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83068" w:rsidRPr="005F1BAB" w:rsidTr="00B47D05">
        <w:trPr>
          <w:jc w:val="center"/>
        </w:trPr>
        <w:tc>
          <w:tcPr>
            <w:tcW w:w="893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7E3F" w:rsidRPr="00C30CB1" w:rsidRDefault="00C30CB1" w:rsidP="0085356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cs="Arial"/>
                <w:szCs w:val="22"/>
                <w:u w:val="single"/>
                <w:lang w:val="ru-RU"/>
              </w:rPr>
              <w:t>Резюме</w:t>
            </w:r>
          </w:p>
          <w:p w:rsidR="00C30CB1" w:rsidRPr="00C30CB1" w:rsidRDefault="00C30CB1" w:rsidP="00294AD5">
            <w:pPr>
              <w:pStyle w:val="Marge"/>
              <w:spacing w:after="120"/>
              <w:rPr>
                <w:lang w:val="ru-RU"/>
              </w:rPr>
            </w:pPr>
            <w:r w:rsidRPr="00C30CB1">
              <w:rPr>
                <w:lang w:val="ru-RU"/>
              </w:rPr>
              <w:t xml:space="preserve">В решениях </w:t>
            </w:r>
            <w:r w:rsidRPr="00C30CB1">
              <w:rPr>
                <w:lang w:val="en-US"/>
              </w:rPr>
              <w:t>EC</w:t>
            </w:r>
            <w:r w:rsidRPr="00C30CB1">
              <w:rPr>
                <w:lang w:val="ru-RU"/>
              </w:rPr>
              <w:t>-</w:t>
            </w:r>
            <w:r w:rsidRPr="00C30CB1">
              <w:rPr>
                <w:lang w:val="en-US"/>
              </w:rPr>
              <w:t>XLVII</w:t>
            </w:r>
            <w:r w:rsidRPr="00C30CB1">
              <w:rPr>
                <w:lang w:val="ru-RU"/>
              </w:rPr>
              <w:t xml:space="preserve">/6.2 и </w:t>
            </w:r>
            <w:r w:rsidRPr="00C30CB1">
              <w:rPr>
                <w:lang w:val="en-US"/>
              </w:rPr>
              <w:t>XXVIII</w:t>
            </w:r>
            <w:r w:rsidRPr="00C30CB1">
              <w:rPr>
                <w:lang w:val="ru-RU"/>
              </w:rPr>
              <w:t xml:space="preserve">/5.1 МОК постановила учредить межсессионную рабочую группу и оказывать поддержку подготовке Глобального доклада о состоянии океанографии, в котором представлена основная информация о людском и техническом потенциале, инфраструктуре и инвестициях, а также о воздействии науки об океане на глобальном и национальном уровне. </w:t>
            </w:r>
          </w:p>
          <w:p w:rsidR="00C30CB1" w:rsidRPr="00B827BA" w:rsidRDefault="00C30CB1" w:rsidP="00294AD5">
            <w:pPr>
              <w:pStyle w:val="Marge"/>
              <w:spacing w:after="120"/>
              <w:rPr>
                <w:lang w:val="ru-RU"/>
              </w:rPr>
            </w:pPr>
            <w:r w:rsidRPr="00B827BA">
              <w:rPr>
                <w:lang w:val="ru-RU"/>
              </w:rPr>
              <w:t>Глобальный доклад о состоянии океанографии (ГДСО) был опубликован в июне 2017 г.</w:t>
            </w:r>
            <w:r w:rsidR="00B827BA" w:rsidRPr="00B827BA">
              <w:rPr>
                <w:lang w:val="ru-RU"/>
              </w:rPr>
              <w:t xml:space="preserve"> </w:t>
            </w:r>
            <w:r w:rsidR="00C440A7" w:rsidRPr="00C440A7">
              <w:rPr>
                <w:lang w:val="ru-RU"/>
              </w:rPr>
              <w:t>на шести языках</w:t>
            </w:r>
            <w:r w:rsidR="00C440A7">
              <w:rPr>
                <w:lang w:val="ru-RU"/>
              </w:rPr>
              <w:t>.</w:t>
            </w:r>
            <w:r w:rsidR="00C440A7" w:rsidRPr="00C440A7">
              <w:rPr>
                <w:lang w:val="ru-RU"/>
              </w:rPr>
              <w:t xml:space="preserve"> </w:t>
            </w:r>
            <w:r w:rsidR="00B827BA" w:rsidRPr="00B827BA">
              <w:rPr>
                <w:lang w:val="ru-RU"/>
              </w:rPr>
              <w:t xml:space="preserve">Его презентация, проведенная Исполнительным секретарем, состоялась </w:t>
            </w:r>
            <w:r w:rsidR="001C6FB4" w:rsidRPr="001C6FB4">
              <w:rPr>
                <w:lang w:val="ru-RU"/>
              </w:rPr>
              <w:t xml:space="preserve">8 июня 2017 г. </w:t>
            </w:r>
            <w:r w:rsidR="00B827BA" w:rsidRPr="00B827BA">
              <w:rPr>
                <w:lang w:val="ru-RU"/>
              </w:rPr>
              <w:t xml:space="preserve">на </w:t>
            </w:r>
            <w:r w:rsidR="001C6FB4">
              <w:rPr>
                <w:lang w:val="ru-RU"/>
              </w:rPr>
              <w:t xml:space="preserve">организованной ООН «Конференции </w:t>
            </w:r>
            <w:r w:rsidR="00B827BA" w:rsidRPr="00B827BA">
              <w:rPr>
                <w:lang w:val="ru-RU"/>
              </w:rPr>
              <w:t>по океанам»</w:t>
            </w:r>
            <w:r w:rsidR="001C6FB4">
              <w:rPr>
                <w:lang w:val="ru-RU"/>
              </w:rPr>
              <w:t>.</w:t>
            </w:r>
            <w:r w:rsidR="00B827BA" w:rsidRPr="00B827BA">
              <w:rPr>
                <w:lang w:val="ru-RU"/>
              </w:rPr>
              <w:t xml:space="preserve"> В докладе содержится информация, полученная от государств-членов на основе вопросника, посредством библиометрического анализа, а также из других источников.</w:t>
            </w:r>
          </w:p>
          <w:p w:rsidR="00B827BA" w:rsidRPr="00477D2F" w:rsidRDefault="008A1C3B" w:rsidP="00294AD5">
            <w:pPr>
              <w:pStyle w:val="Marge"/>
              <w:spacing w:after="120"/>
              <w:rPr>
                <w:lang w:val="ru-RU"/>
              </w:rPr>
            </w:pPr>
            <w:r w:rsidRPr="00477D2F">
              <w:rPr>
                <w:lang w:val="ru-RU"/>
              </w:rPr>
              <w:t xml:space="preserve">Межучрежденческая группа экспертов по показателям ЦУР (МУГЭ-ЦУР) признала, что часть информации, представленной в ГДСО, содержит данные, необходимые для подготовки </w:t>
            </w:r>
            <w:r w:rsidR="00477D2F" w:rsidRPr="00477D2F">
              <w:rPr>
                <w:lang w:val="ru-RU"/>
              </w:rPr>
              <w:t xml:space="preserve">докладов, касающихся </w:t>
            </w:r>
            <w:r w:rsidRPr="00477D2F">
              <w:rPr>
                <w:lang w:val="ru-RU"/>
              </w:rPr>
              <w:t>задачи 14.</w:t>
            </w:r>
            <w:r w:rsidRPr="00477D2F">
              <w:rPr>
                <w:lang w:val="en-US"/>
              </w:rPr>
              <w:t>a</w:t>
            </w:r>
            <w:r w:rsidRPr="00477D2F">
              <w:rPr>
                <w:lang w:val="ru-RU"/>
              </w:rPr>
              <w:t xml:space="preserve"> ЦУР</w:t>
            </w:r>
            <w:r w:rsidR="00477D2F" w:rsidRPr="00477D2F">
              <w:rPr>
                <w:lang w:val="ru-RU"/>
              </w:rPr>
              <w:t>,</w:t>
            </w:r>
            <w:r w:rsidRPr="00477D2F">
              <w:rPr>
                <w:lang w:val="ru-RU"/>
              </w:rPr>
              <w:t xml:space="preserve"> в интересах расширения научных знаний, развития исследовательского потенциала и передачи морской технологии; МОК приняла решение </w:t>
            </w:r>
            <w:r w:rsidR="00477D2F" w:rsidRPr="00477D2F">
              <w:rPr>
                <w:lang w:val="ru-RU"/>
              </w:rPr>
              <w:t>выполнять функцию учреждения, хранящего данные в отношении показателя 14.</w:t>
            </w:r>
            <w:r w:rsidR="00477D2F" w:rsidRPr="00477D2F">
              <w:rPr>
                <w:lang w:val="en-US"/>
              </w:rPr>
              <w:t>a</w:t>
            </w:r>
            <w:r w:rsidR="00477D2F" w:rsidRPr="00477D2F">
              <w:rPr>
                <w:lang w:val="ru-RU"/>
              </w:rPr>
              <w:t>.1.</w:t>
            </w:r>
            <w:r w:rsidRPr="00477D2F">
              <w:rPr>
                <w:lang w:val="ru-RU"/>
              </w:rPr>
              <w:t xml:space="preserve"> </w:t>
            </w:r>
          </w:p>
          <w:p w:rsidR="00477D2F" w:rsidRPr="00D103FF" w:rsidRDefault="00477D2F" w:rsidP="00294AD5">
            <w:pPr>
              <w:pStyle w:val="Marge"/>
              <w:spacing w:after="120"/>
              <w:rPr>
                <w:lang w:val="ru-RU"/>
              </w:rPr>
            </w:pPr>
            <w:r w:rsidRPr="00D103FF">
              <w:rPr>
                <w:lang w:val="ru-RU"/>
              </w:rPr>
              <w:t xml:space="preserve">Постоянная </w:t>
            </w:r>
            <w:r w:rsidR="004F7384">
              <w:rPr>
                <w:lang w:val="ru-RU"/>
              </w:rPr>
              <w:t xml:space="preserve">поддержка со стороны государств – </w:t>
            </w:r>
            <w:r w:rsidRPr="00D103FF">
              <w:rPr>
                <w:lang w:val="ru-RU"/>
              </w:rPr>
              <w:t>членов МОК позволила бы давать оценку состояния океанографического потенциала, инфраструктуры и практических результатов деятельности на основе проведения регулярного анализа (каждые 4</w:t>
            </w:r>
            <w:r w:rsidR="002F36D5">
              <w:rPr>
                <w:lang w:val="ru-RU"/>
              </w:rPr>
              <w:noBreakHyphen/>
            </w:r>
            <w:r w:rsidRPr="00D103FF">
              <w:rPr>
                <w:lang w:val="ru-RU"/>
              </w:rPr>
              <w:t>5</w:t>
            </w:r>
            <w:r w:rsidR="002F36D5">
              <w:rPr>
                <w:lang w:val="ru-RU"/>
              </w:rPr>
              <w:t> </w:t>
            </w:r>
            <w:r w:rsidRPr="00D103FF">
              <w:rPr>
                <w:lang w:val="ru-RU"/>
              </w:rPr>
              <w:t>лет). Кроме того, одобрение такого решения Ассамблеей МОК</w:t>
            </w:r>
            <w:r w:rsidR="00D103FF" w:rsidRPr="00D103FF">
              <w:rPr>
                <w:lang w:val="ru-RU"/>
              </w:rPr>
              <w:t xml:space="preserve"> позволит государствам-членам, получая соответствующую поддержку, представлять национальные данные и </w:t>
            </w:r>
            <w:r w:rsidR="001C6FB4">
              <w:rPr>
                <w:lang w:val="ru-RU"/>
              </w:rPr>
              <w:t>иметь к ним доступ благодаря созданию</w:t>
            </w:r>
            <w:r w:rsidR="00D103FF" w:rsidRPr="00D103FF">
              <w:rPr>
                <w:lang w:val="ru-RU"/>
              </w:rPr>
              <w:t xml:space="preserve"> хранилища данных и портала данных ГДСО.</w:t>
            </w:r>
          </w:p>
          <w:p w:rsidR="00D103FF" w:rsidRPr="00D103FF" w:rsidRDefault="00D103FF" w:rsidP="00467E3F">
            <w:pPr>
              <w:pStyle w:val="Marge"/>
              <w:spacing w:after="120"/>
              <w:rPr>
                <w:rFonts w:cs="Arial"/>
                <w:szCs w:val="22"/>
                <w:u w:val="single"/>
                <w:lang w:val="ru-RU"/>
              </w:rPr>
            </w:pPr>
            <w:r w:rsidRPr="00D103FF">
              <w:rPr>
                <w:rFonts w:cs="Arial"/>
                <w:szCs w:val="22"/>
                <w:u w:val="single"/>
                <w:lang w:val="ru-RU"/>
              </w:rPr>
              <w:t>Финансовые и административные последствия</w:t>
            </w:r>
            <w:r w:rsidRPr="002F36D5">
              <w:rPr>
                <w:rFonts w:cs="Arial"/>
                <w:szCs w:val="22"/>
                <w:lang w:val="ru-RU"/>
              </w:rPr>
              <w:t>:</w:t>
            </w:r>
            <w:r w:rsidRPr="00D103FF">
              <w:rPr>
                <w:rFonts w:cs="Arial"/>
                <w:szCs w:val="22"/>
                <w:lang w:val="ru-RU"/>
              </w:rPr>
              <w:t xml:space="preserve"> см. пункт 22. Бюджет на подготовку ГДСО будет определен в общем решении о бюджетных ассигнованиях в рамках общего проекта резолюции по программе и бюджету МОК </w:t>
            </w:r>
            <w:r w:rsidRPr="00D103FF">
              <w:rPr>
                <w:rFonts w:cs="Arial"/>
                <w:szCs w:val="22"/>
              </w:rPr>
              <w:t>XXIX</w:t>
            </w:r>
            <w:r w:rsidRPr="00D103FF">
              <w:rPr>
                <w:rFonts w:cs="Arial"/>
                <w:szCs w:val="22"/>
                <w:lang w:val="ru-RU"/>
              </w:rPr>
              <w:t>-(11.1).</w:t>
            </w:r>
          </w:p>
          <w:p w:rsidR="00737A18" w:rsidRPr="005673D8" w:rsidRDefault="00D103FF" w:rsidP="007B0DA3">
            <w:pPr>
              <w:pStyle w:val="Marge"/>
              <w:spacing w:after="120"/>
              <w:rPr>
                <w:rFonts w:cs="Arial"/>
                <w:szCs w:val="22"/>
                <w:lang w:val="ru-RU"/>
              </w:rPr>
            </w:pPr>
            <w:r w:rsidRPr="00D103FF">
              <w:rPr>
                <w:rFonts w:cs="Arial"/>
                <w:szCs w:val="22"/>
                <w:u w:val="single"/>
                <w:lang w:val="ru-RU"/>
              </w:rPr>
              <w:t>Предлагаемое решение</w:t>
            </w:r>
            <w:r w:rsidR="001C6FB4" w:rsidRPr="00430533">
              <w:rPr>
                <w:rFonts w:cs="Arial"/>
                <w:szCs w:val="22"/>
                <w:lang w:val="ru-RU"/>
              </w:rPr>
              <w:t>:</w:t>
            </w:r>
            <w:r w:rsidRPr="00D103FF">
              <w:rPr>
                <w:rFonts w:cs="Arial"/>
                <w:szCs w:val="22"/>
                <w:lang w:val="ru-RU"/>
              </w:rPr>
              <w:t xml:space="preserve"> указано как </w:t>
            </w:r>
            <w:r w:rsidRPr="00D103FF">
              <w:rPr>
                <w:rFonts w:cs="Arial"/>
                <w:szCs w:val="22"/>
              </w:rPr>
              <w:t>IOC</w:t>
            </w:r>
            <w:r w:rsidRPr="00D103FF">
              <w:rPr>
                <w:rFonts w:cs="Arial"/>
                <w:szCs w:val="22"/>
                <w:lang w:val="ru-RU"/>
              </w:rPr>
              <w:t>-</w:t>
            </w:r>
            <w:r w:rsidRPr="00D103FF">
              <w:rPr>
                <w:rFonts w:cs="Arial"/>
                <w:szCs w:val="22"/>
              </w:rPr>
              <w:t>XXIX</w:t>
            </w:r>
            <w:r w:rsidRPr="00D103FF">
              <w:rPr>
                <w:rFonts w:cs="Arial"/>
                <w:szCs w:val="22"/>
                <w:lang w:val="ru-RU"/>
              </w:rPr>
              <w:t>/</w:t>
            </w:r>
            <w:r w:rsidR="005673D8">
              <w:rPr>
                <w:rFonts w:cs="Arial"/>
                <w:szCs w:val="22"/>
                <w:lang w:val="ru-RU"/>
              </w:rPr>
              <w:t>Реш</w:t>
            </w:r>
            <w:r w:rsidRPr="00D103FF">
              <w:rPr>
                <w:rFonts w:cs="Arial"/>
                <w:szCs w:val="22"/>
                <w:lang w:val="ru-RU"/>
              </w:rPr>
              <w:t>.5.1</w:t>
            </w:r>
            <w:r>
              <w:rPr>
                <w:rFonts w:cs="Arial"/>
                <w:szCs w:val="22"/>
                <w:lang w:val="ru-RU"/>
              </w:rPr>
              <w:t xml:space="preserve"> в документе о принятых и предлагаемых мерах (документ </w:t>
            </w:r>
            <w:r w:rsidRPr="00D103FF">
              <w:rPr>
                <w:rFonts w:cs="Arial"/>
                <w:szCs w:val="22"/>
              </w:rPr>
              <w:t>IOC</w:t>
            </w:r>
            <w:r w:rsidRPr="00D103FF">
              <w:rPr>
                <w:rFonts w:cs="Arial"/>
                <w:szCs w:val="22"/>
                <w:lang w:val="ru-RU"/>
              </w:rPr>
              <w:t>-</w:t>
            </w:r>
            <w:r w:rsidRPr="00D103FF">
              <w:rPr>
                <w:rFonts w:cs="Arial"/>
                <w:szCs w:val="22"/>
              </w:rPr>
              <w:t>XXIX</w:t>
            </w:r>
            <w:r w:rsidRPr="00D103FF">
              <w:rPr>
                <w:rFonts w:cs="Arial"/>
                <w:szCs w:val="22"/>
                <w:lang w:val="ru-RU"/>
              </w:rPr>
              <w:t xml:space="preserve">/2 </w:t>
            </w:r>
            <w:r w:rsidRPr="00D103FF">
              <w:rPr>
                <w:rFonts w:cs="Arial"/>
                <w:szCs w:val="22"/>
              </w:rPr>
              <w:t>Prov</w:t>
            </w:r>
            <w:r w:rsidRPr="00D103FF">
              <w:rPr>
                <w:rFonts w:cs="Arial"/>
                <w:szCs w:val="22"/>
                <w:lang w:val="ru-RU"/>
              </w:rPr>
              <w:t>.)</w:t>
            </w:r>
            <w:r>
              <w:rPr>
                <w:rFonts w:cs="Arial"/>
                <w:szCs w:val="22"/>
                <w:lang w:val="ru-RU"/>
              </w:rPr>
              <w:t>.</w:t>
            </w:r>
          </w:p>
        </w:tc>
      </w:tr>
    </w:tbl>
    <w:p w:rsidR="00746B89" w:rsidRPr="005673D8" w:rsidRDefault="00746B89" w:rsidP="005C7A36">
      <w:pPr>
        <w:pStyle w:val="Titre3"/>
        <w:rPr>
          <w:lang w:val="ru-RU"/>
        </w:rPr>
        <w:sectPr w:rsidR="00746B89" w:rsidRPr="005673D8" w:rsidSect="00B47D0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737A18" w:rsidRPr="00F673CB" w:rsidRDefault="00F673CB" w:rsidP="009026D3">
      <w:pPr>
        <w:pStyle w:val="Titre3"/>
        <w:rPr>
          <w:lang w:val="ru-RU"/>
        </w:rPr>
      </w:pPr>
      <w:r>
        <w:rPr>
          <w:lang w:val="ru-RU"/>
        </w:rPr>
        <w:lastRenderedPageBreak/>
        <w:t>История вопроса</w:t>
      </w:r>
    </w:p>
    <w:p w:rsidR="00F673CB" w:rsidRPr="00F673CB" w:rsidRDefault="00F673CB" w:rsidP="0080288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F673CB">
        <w:rPr>
          <w:rFonts w:hAnsi="Arial" w:cs="Arial"/>
          <w:lang w:val="ru-RU"/>
        </w:rPr>
        <w:t xml:space="preserve">Во исполнение решений </w:t>
      </w:r>
      <w:r w:rsidRPr="00F673CB">
        <w:rPr>
          <w:rFonts w:hAnsi="Arial" w:cs="Arial"/>
          <w:lang w:val="en-US"/>
        </w:rPr>
        <w:t>EC</w:t>
      </w:r>
      <w:r w:rsidRPr="00F673CB">
        <w:rPr>
          <w:rFonts w:hAnsi="Arial" w:cs="Arial"/>
          <w:lang w:val="ru-RU"/>
        </w:rPr>
        <w:t>-</w:t>
      </w:r>
      <w:r w:rsidRPr="00F673CB">
        <w:rPr>
          <w:rFonts w:hAnsi="Arial" w:cs="Arial"/>
          <w:lang w:val="en-US"/>
        </w:rPr>
        <w:t>XLVII</w:t>
      </w:r>
      <w:r w:rsidRPr="00F673CB">
        <w:rPr>
          <w:rFonts w:hAnsi="Arial" w:cs="Arial"/>
          <w:lang w:val="ru-RU"/>
        </w:rPr>
        <w:t xml:space="preserve">/6.2 </w:t>
      </w:r>
      <w:r>
        <w:rPr>
          <w:rFonts w:hAnsi="Arial" w:cs="Arial"/>
          <w:lang w:val="ru-RU"/>
        </w:rPr>
        <w:t>и</w:t>
      </w:r>
      <w:r w:rsidRPr="00F673CB">
        <w:rPr>
          <w:rFonts w:hAnsi="Arial" w:cs="Arial"/>
          <w:lang w:val="ru-RU"/>
        </w:rPr>
        <w:t xml:space="preserve"> </w:t>
      </w:r>
      <w:r w:rsidRPr="00F673CB">
        <w:rPr>
          <w:rFonts w:hAnsi="Arial" w:cs="Arial"/>
          <w:lang w:val="en-US"/>
        </w:rPr>
        <w:t>XXVIII</w:t>
      </w:r>
      <w:r w:rsidRPr="00F673CB">
        <w:rPr>
          <w:rFonts w:hAnsi="Arial" w:cs="Arial"/>
          <w:lang w:val="ru-RU"/>
        </w:rPr>
        <w:t>/5.1,</w:t>
      </w:r>
      <w:r>
        <w:rPr>
          <w:rFonts w:hAnsi="Arial" w:cs="Arial"/>
          <w:lang w:val="ru-RU"/>
        </w:rPr>
        <w:t xml:space="preserve"> принятых Исполнительным советом МОК на его 47-й сессии (Париж, 1-4 июля 2014 г.) и Ассамблеей МОК на ее 28-й сессии (Париж, 18-25 июня 2015 г.), МОК включила в свой мандат издание первого </w:t>
      </w:r>
      <w:r w:rsidRPr="00F673CB">
        <w:rPr>
          <w:rFonts w:hAnsi="Arial" w:cs="Arial"/>
          <w:i/>
          <w:lang w:val="ru-RU"/>
        </w:rPr>
        <w:t>Глобального доклада о состоянии океанографии</w:t>
      </w:r>
      <w:r>
        <w:rPr>
          <w:rFonts w:hAnsi="Arial" w:cs="Arial"/>
          <w:lang w:val="ru-RU"/>
        </w:rPr>
        <w:t xml:space="preserve"> (ГДСО).</w:t>
      </w:r>
    </w:p>
    <w:p w:rsidR="003008EB" w:rsidRPr="003008EB" w:rsidRDefault="003008EB" w:rsidP="0080288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3008EB">
        <w:rPr>
          <w:rFonts w:hAnsi="Arial" w:cs="Arial"/>
          <w:lang w:val="ru-RU"/>
        </w:rPr>
        <w:t>Доклад был подготовлен</w:t>
      </w:r>
      <w:r>
        <w:rPr>
          <w:rFonts w:hAnsi="Arial" w:cs="Arial"/>
          <w:lang w:val="ru-RU"/>
        </w:rPr>
        <w:t xml:space="preserve"> для содействия местным и национальным правительствам, научным и исследовательским учреждениям, а также международным организациям и донорам в принятии обоснованных решений, например, в отношении будущих инвестиций в океанические исследования. В общих чертах, ГДСО позволит получать информацию </w:t>
      </w:r>
      <w:r w:rsidR="001C6FB4">
        <w:rPr>
          <w:rFonts w:hAnsi="Arial" w:cs="Arial"/>
          <w:lang w:val="ru-RU"/>
        </w:rPr>
        <w:t>о</w:t>
      </w:r>
      <w:r>
        <w:rPr>
          <w:rFonts w:hAnsi="Arial" w:cs="Arial"/>
          <w:lang w:val="ru-RU"/>
        </w:rPr>
        <w:t xml:space="preserve"> наличии морской технологии и людского потенциала для решения существующих проблем, касающихся состояния морской среды.</w:t>
      </w:r>
    </w:p>
    <w:p w:rsidR="0080288C" w:rsidRPr="00D63FDF" w:rsidRDefault="00D63FDF" w:rsidP="00DA43E8">
      <w:pPr>
        <w:pStyle w:val="Paragraphedeliste"/>
        <w:ind w:left="0" w:firstLine="0"/>
        <w:jc w:val="both"/>
        <w:rPr>
          <w:lang w:val="ru-RU"/>
        </w:rPr>
      </w:pPr>
      <w:r>
        <w:rPr>
          <w:rFonts w:hAnsi="Arial" w:cs="Arial"/>
          <w:lang w:val="ru-RU"/>
        </w:rPr>
        <w:t>Р</w:t>
      </w:r>
      <w:r w:rsidR="003008EB">
        <w:rPr>
          <w:rFonts w:hAnsi="Arial" w:cs="Arial"/>
          <w:lang w:val="ru-RU"/>
        </w:rPr>
        <w:t>уковод</w:t>
      </w:r>
      <w:r>
        <w:rPr>
          <w:rFonts w:hAnsi="Arial" w:cs="Arial"/>
          <w:lang w:val="ru-RU"/>
        </w:rPr>
        <w:t xml:space="preserve">ство </w:t>
      </w:r>
      <w:r w:rsidR="003008EB">
        <w:rPr>
          <w:rFonts w:hAnsi="Arial" w:cs="Arial"/>
          <w:lang w:val="ru-RU"/>
        </w:rPr>
        <w:t xml:space="preserve">процессом подготовки </w:t>
      </w:r>
      <w:r>
        <w:rPr>
          <w:rFonts w:hAnsi="Arial" w:cs="Arial"/>
          <w:lang w:val="ru-RU"/>
        </w:rPr>
        <w:t xml:space="preserve">доклада и </w:t>
      </w:r>
      <w:r w:rsidR="003008EB">
        <w:rPr>
          <w:rFonts w:hAnsi="Arial" w:cs="Arial"/>
          <w:lang w:val="ru-RU"/>
        </w:rPr>
        <w:t>анализ</w:t>
      </w:r>
      <w:r>
        <w:rPr>
          <w:rFonts w:hAnsi="Arial" w:cs="Arial"/>
          <w:lang w:val="ru-RU"/>
        </w:rPr>
        <w:t xml:space="preserve"> </w:t>
      </w:r>
      <w:r w:rsidR="003008EB">
        <w:rPr>
          <w:rFonts w:hAnsi="Arial" w:cs="Arial"/>
          <w:lang w:val="ru-RU"/>
        </w:rPr>
        <w:t>полученны</w:t>
      </w:r>
      <w:r>
        <w:rPr>
          <w:rFonts w:hAnsi="Arial" w:cs="Arial"/>
          <w:lang w:val="ru-RU"/>
        </w:rPr>
        <w:t>х</w:t>
      </w:r>
      <w:r w:rsidR="003008EB">
        <w:rPr>
          <w:rFonts w:hAnsi="Arial" w:cs="Arial"/>
          <w:lang w:val="ru-RU"/>
        </w:rPr>
        <w:t xml:space="preserve"> (</w:t>
      </w:r>
      <w:r>
        <w:rPr>
          <w:rFonts w:hAnsi="Arial" w:cs="Arial"/>
          <w:lang w:val="ru-RU"/>
        </w:rPr>
        <w:t xml:space="preserve">на основе </w:t>
      </w:r>
      <w:r w:rsidR="003008EB">
        <w:rPr>
          <w:rFonts w:hAnsi="Arial" w:cs="Arial"/>
          <w:lang w:val="ru-RU"/>
        </w:rPr>
        <w:t>вопросник</w:t>
      </w:r>
      <w:r>
        <w:rPr>
          <w:rFonts w:hAnsi="Arial" w:cs="Arial"/>
          <w:lang w:val="ru-RU"/>
        </w:rPr>
        <w:t>а</w:t>
      </w:r>
      <w:r w:rsidR="003008EB">
        <w:rPr>
          <w:rFonts w:hAnsi="Arial" w:cs="Arial"/>
          <w:lang w:val="ru-RU"/>
        </w:rPr>
        <w:t xml:space="preserve"> ГДСО</w:t>
      </w:r>
      <w:r>
        <w:rPr>
          <w:rFonts w:hAnsi="Arial" w:cs="Arial"/>
          <w:lang w:val="ru-RU"/>
        </w:rPr>
        <w:t xml:space="preserve">) данных обеспечивает </w:t>
      </w:r>
      <w:r w:rsidRPr="00D63FDF">
        <w:rPr>
          <w:rFonts w:hAnsi="Arial" w:cs="Arial"/>
          <w:lang w:val="ru-RU"/>
        </w:rPr>
        <w:t xml:space="preserve">независимая </w:t>
      </w:r>
      <w:r>
        <w:rPr>
          <w:rFonts w:hAnsi="Arial" w:cs="Arial"/>
          <w:lang w:val="ru-RU"/>
        </w:rPr>
        <w:t xml:space="preserve">международная </w:t>
      </w:r>
      <w:r w:rsidRPr="00D63FDF">
        <w:rPr>
          <w:rFonts w:hAnsi="Arial" w:cs="Arial"/>
          <w:lang w:val="ru-RU"/>
        </w:rPr>
        <w:t>группа экспертов, учрежденная в качестве Редакционного совета и состоящая из предс</w:t>
      </w:r>
      <w:r>
        <w:rPr>
          <w:rFonts w:hAnsi="Arial" w:cs="Arial"/>
          <w:lang w:val="ru-RU"/>
        </w:rPr>
        <w:t>тавителей различных дисциплин. На втором заседании Редакционного совета ГДСО, проведенном в октябре 2016 г. в Сеуле (Республика Корея), был рассмотрен вопрос о</w:t>
      </w:r>
      <w:r w:rsidR="00AA7F0E">
        <w:rPr>
          <w:rFonts w:hAnsi="Arial" w:cs="Arial"/>
          <w:lang w:val="ru-RU"/>
        </w:rPr>
        <w:t>б улучшении</w:t>
      </w:r>
      <w:r>
        <w:rPr>
          <w:rFonts w:hAnsi="Arial" w:cs="Arial"/>
          <w:lang w:val="ru-RU"/>
        </w:rPr>
        <w:t xml:space="preserve"> </w:t>
      </w:r>
      <w:r w:rsidRPr="00AA7F0E">
        <w:rPr>
          <w:rFonts w:hAnsi="Arial" w:cs="Arial"/>
          <w:lang w:val="ru-RU"/>
        </w:rPr>
        <w:t>визуализации</w:t>
      </w:r>
      <w:r>
        <w:rPr>
          <w:rFonts w:hAnsi="Arial" w:cs="Arial"/>
          <w:lang w:val="ru-RU"/>
        </w:rPr>
        <w:t xml:space="preserve"> результатов, представленных в ГДСО, в отношении Повестки-2030. Дискуссия была сосредоточена на возможности использования данных ГДСО для </w:t>
      </w:r>
      <w:r w:rsidR="00DA43E8">
        <w:rPr>
          <w:rFonts w:hAnsi="Arial" w:cs="Arial"/>
          <w:lang w:val="ru-RU"/>
        </w:rPr>
        <w:t xml:space="preserve">подготовки докладов, касающихся задачи </w:t>
      </w:r>
      <w:r w:rsidR="00DA43E8" w:rsidRPr="00DA43E8">
        <w:rPr>
          <w:rFonts w:hAnsi="Arial" w:cs="Arial"/>
          <w:lang w:val="ru-RU"/>
        </w:rPr>
        <w:t>14.</w:t>
      </w:r>
      <w:r w:rsidR="00DA43E8" w:rsidRPr="00DA43E8">
        <w:rPr>
          <w:rFonts w:hAnsi="Arial" w:cs="Arial"/>
          <w:lang w:val="en-US"/>
        </w:rPr>
        <w:t>a</w:t>
      </w:r>
      <w:r w:rsidR="00DA43E8">
        <w:rPr>
          <w:rFonts w:hAnsi="Arial" w:cs="Arial"/>
          <w:lang w:val="ru-RU"/>
        </w:rPr>
        <w:t xml:space="preserve"> ЦУР. До настоящего времени не существовало</w:t>
      </w:r>
      <w:r w:rsidR="00DA43E8" w:rsidRPr="00DA43E8">
        <w:rPr>
          <w:rFonts w:hAnsi="Arial" w:cs="Arial"/>
          <w:lang w:val="ru-RU"/>
        </w:rPr>
        <w:t xml:space="preserve"> </w:t>
      </w:r>
      <w:r w:rsidR="007A44CD" w:rsidRPr="001C6FB4">
        <w:rPr>
          <w:rFonts w:hAnsi="Arial" w:cs="Arial"/>
          <w:lang w:val="ru-RU"/>
        </w:rPr>
        <w:t>глобальн</w:t>
      </w:r>
      <w:r w:rsidR="00DA43E8" w:rsidRPr="001C6FB4">
        <w:rPr>
          <w:rFonts w:hAnsi="Arial" w:cs="Arial"/>
          <w:lang w:val="ru-RU"/>
        </w:rPr>
        <w:t xml:space="preserve">ого </w:t>
      </w:r>
      <w:r w:rsidR="007A44CD" w:rsidRPr="001C6FB4">
        <w:rPr>
          <w:rFonts w:hAnsi="Arial" w:cs="Arial"/>
          <w:lang w:val="ru-RU"/>
        </w:rPr>
        <w:t>механизм</w:t>
      </w:r>
      <w:r w:rsidR="00DA43E8" w:rsidRPr="001C6FB4">
        <w:rPr>
          <w:rFonts w:hAnsi="Arial" w:cs="Arial"/>
          <w:lang w:val="ru-RU"/>
        </w:rPr>
        <w:t>а</w:t>
      </w:r>
      <w:r w:rsidR="007A44CD" w:rsidRPr="001C6FB4">
        <w:rPr>
          <w:rFonts w:hAnsi="Arial" w:cs="Arial"/>
          <w:lang w:val="ru-RU"/>
        </w:rPr>
        <w:t xml:space="preserve"> для оценки и отчетности о масштабах потенциала, инвестиций и потребностей государств в области науки об океане, наблюдений и услуг</w:t>
      </w:r>
      <w:r w:rsidR="007B04DD" w:rsidRPr="001C6FB4">
        <w:rPr>
          <w:rFonts w:hAnsi="Arial" w:cs="Arial"/>
          <w:lang w:val="ru-RU"/>
        </w:rPr>
        <w:t xml:space="preserve">. </w:t>
      </w:r>
    </w:p>
    <w:p w:rsidR="0080288C" w:rsidRPr="00DA43E8" w:rsidRDefault="00DA43E8" w:rsidP="0080288C">
      <w:pPr>
        <w:pStyle w:val="Titre3"/>
        <w:rPr>
          <w:lang w:val="ru-RU"/>
        </w:rPr>
      </w:pPr>
      <w:r w:rsidRPr="00DA43E8">
        <w:rPr>
          <w:lang w:val="ru-RU"/>
        </w:rPr>
        <w:t>Сбор данных</w:t>
      </w:r>
    </w:p>
    <w:p w:rsidR="00DA43E8" w:rsidRPr="00DA43E8" w:rsidRDefault="00DA43E8" w:rsidP="0080288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DA43E8">
        <w:rPr>
          <w:rFonts w:hAnsi="Arial" w:cs="Arial"/>
          <w:lang w:val="ru-RU"/>
        </w:rPr>
        <w:t>Для анализа информации</w:t>
      </w:r>
      <w:r>
        <w:rPr>
          <w:rFonts w:hAnsi="Arial" w:cs="Arial"/>
          <w:lang w:val="ru-RU"/>
        </w:rPr>
        <w:t xml:space="preserve">, представленной и рассматриваемой в ГДСО, использовался ряд взаимодополняющих подходов и методов. Применявшиеся методологии позволяют получить информацию о различных аспектах науки об океане, в том числе о результатах исследований, людском и техническом потенциале и </w:t>
      </w:r>
      <w:r w:rsidR="008167F4">
        <w:rPr>
          <w:rFonts w:hAnsi="Arial" w:cs="Arial"/>
          <w:lang w:val="ru-RU"/>
        </w:rPr>
        <w:t xml:space="preserve">соответствующей продукции (например, о публикациях), а также об организациях и службах, оказывающих поддержку. </w:t>
      </w:r>
    </w:p>
    <w:p w:rsidR="008167F4" w:rsidRPr="008167F4" w:rsidRDefault="008167F4" w:rsidP="0080288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>
        <w:rPr>
          <w:rFonts w:hAnsi="Arial" w:cs="Arial"/>
          <w:lang w:val="ru-RU"/>
        </w:rPr>
        <w:t xml:space="preserve">Для сбора данных и информации, составляющих основу данного доклада, использовался целый ряд качественных ресурсов из открытых источников наряду с </w:t>
      </w:r>
      <w:r w:rsidR="00554938">
        <w:rPr>
          <w:rFonts w:hAnsi="Arial" w:cs="Arial"/>
          <w:lang w:val="ru-RU"/>
        </w:rPr>
        <w:t xml:space="preserve">результатами </w:t>
      </w:r>
      <w:r>
        <w:rPr>
          <w:rFonts w:hAnsi="Arial" w:cs="Arial"/>
          <w:lang w:val="ru-RU"/>
        </w:rPr>
        <w:t>целевы</w:t>
      </w:r>
      <w:r w:rsidR="00554938">
        <w:rPr>
          <w:rFonts w:hAnsi="Arial" w:cs="Arial"/>
          <w:lang w:val="ru-RU"/>
        </w:rPr>
        <w:t>х</w:t>
      </w:r>
      <w:r>
        <w:rPr>
          <w:rFonts w:hAnsi="Arial" w:cs="Arial"/>
          <w:lang w:val="ru-RU"/>
        </w:rPr>
        <w:t xml:space="preserve"> обследовани</w:t>
      </w:r>
      <w:r w:rsidR="00554938">
        <w:rPr>
          <w:rFonts w:hAnsi="Arial" w:cs="Arial"/>
          <w:lang w:val="ru-RU"/>
        </w:rPr>
        <w:t>й</w:t>
      </w:r>
      <w:r>
        <w:rPr>
          <w:rFonts w:hAnsi="Arial" w:cs="Arial"/>
          <w:lang w:val="ru-RU"/>
        </w:rPr>
        <w:t xml:space="preserve">. </w:t>
      </w:r>
      <w:r w:rsidR="00554938">
        <w:rPr>
          <w:rFonts w:hAnsi="Arial" w:cs="Arial"/>
          <w:lang w:val="ru-RU"/>
        </w:rPr>
        <w:t xml:space="preserve">Глобальный доклад о состоянии океанографии </w:t>
      </w:r>
      <w:r w:rsidR="004C2169">
        <w:rPr>
          <w:rFonts w:hAnsi="Arial" w:cs="Arial"/>
          <w:lang w:val="ru-RU"/>
        </w:rPr>
        <w:t xml:space="preserve">сочетает использование количественных данных, таких как число рецензируемых публикаций, научно-исследовательских судов и объем национального финансирования, с качественными данными, например наличие национальных стратегий в области науки об океане. Многие сведения, представленные в этом докладе, </w:t>
      </w:r>
      <w:r w:rsidR="00501A69">
        <w:rPr>
          <w:rFonts w:hAnsi="Arial" w:cs="Arial"/>
          <w:lang w:val="ru-RU"/>
        </w:rPr>
        <w:t>сопоставляются с данными</w:t>
      </w:r>
      <w:r w:rsidR="00B31ADE">
        <w:rPr>
          <w:rFonts w:hAnsi="Arial" w:cs="Arial"/>
          <w:lang w:val="ru-RU"/>
        </w:rPr>
        <w:t xml:space="preserve"> </w:t>
      </w:r>
      <w:r w:rsidR="00501A69">
        <w:rPr>
          <w:rFonts w:hAnsi="Arial" w:cs="Arial"/>
          <w:lang w:val="ru-RU"/>
        </w:rPr>
        <w:t xml:space="preserve">в </w:t>
      </w:r>
      <w:r w:rsidR="00B31ADE">
        <w:rPr>
          <w:rFonts w:hAnsi="Arial" w:cs="Arial"/>
          <w:lang w:val="ru-RU"/>
        </w:rPr>
        <w:t>области естественных наук и/или научных исследований и разработок (НИОКР)</w:t>
      </w:r>
      <w:r w:rsidR="004C2169">
        <w:rPr>
          <w:rFonts w:hAnsi="Arial" w:cs="Arial"/>
          <w:lang w:val="ru-RU"/>
        </w:rPr>
        <w:t xml:space="preserve"> </w:t>
      </w:r>
      <w:r w:rsidR="00B31ADE">
        <w:rPr>
          <w:rFonts w:hAnsi="Arial" w:cs="Arial"/>
          <w:lang w:val="ru-RU"/>
        </w:rPr>
        <w:t>в целом и представляют собой выводы океанографического анализа для определения контрольных показателей с целью оценки результатов.</w:t>
      </w:r>
    </w:p>
    <w:p w:rsidR="00B31ADE" w:rsidRPr="00501A69" w:rsidRDefault="00501A69" w:rsidP="0080288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501A69">
        <w:rPr>
          <w:rFonts w:hAnsi="Arial" w:cs="Arial"/>
          <w:lang w:val="ru-RU"/>
        </w:rPr>
        <w:t xml:space="preserve">Инструменты </w:t>
      </w:r>
      <w:r>
        <w:rPr>
          <w:rFonts w:hAnsi="Arial" w:cs="Arial"/>
          <w:lang w:val="ru-RU"/>
        </w:rPr>
        <w:t xml:space="preserve">для </w:t>
      </w:r>
      <w:r w:rsidRPr="00501A69">
        <w:rPr>
          <w:rFonts w:hAnsi="Arial" w:cs="Arial"/>
          <w:lang w:val="ru-RU"/>
        </w:rPr>
        <w:t>сбора данных включают:</w:t>
      </w:r>
      <w:r>
        <w:rPr>
          <w:rFonts w:hAnsi="Arial" w:cs="Arial"/>
          <w:lang w:val="ru-RU"/>
        </w:rPr>
        <w:t xml:space="preserve"> </w:t>
      </w:r>
      <w:r w:rsidRPr="00501A69">
        <w:rPr>
          <w:rFonts w:hAnsi="Arial" w:cs="Arial"/>
          <w:lang w:val="ru-RU"/>
        </w:rPr>
        <w:t>(</w:t>
      </w:r>
      <w:r w:rsidRPr="00501A69">
        <w:rPr>
          <w:rFonts w:hAnsi="Arial" w:cs="Arial"/>
          <w:lang w:val="en-US"/>
        </w:rPr>
        <w:t>i</w:t>
      </w:r>
      <w:r w:rsidRPr="00501A69">
        <w:rPr>
          <w:rFonts w:hAnsi="Arial" w:cs="Arial"/>
          <w:lang w:val="ru-RU"/>
        </w:rPr>
        <w:t>)</w:t>
      </w:r>
      <w:r>
        <w:rPr>
          <w:rFonts w:hAnsi="Arial" w:cs="Arial"/>
          <w:lang w:val="ru-RU"/>
        </w:rPr>
        <w:t xml:space="preserve"> специализированные вопросники; </w:t>
      </w:r>
      <w:r w:rsidRPr="00501A69">
        <w:rPr>
          <w:rFonts w:hAnsi="Arial" w:cs="Arial"/>
          <w:lang w:val="ru-RU"/>
        </w:rPr>
        <w:t>(</w:t>
      </w:r>
      <w:r w:rsidRPr="00501A69">
        <w:rPr>
          <w:rFonts w:hAnsi="Arial" w:cs="Arial"/>
          <w:lang w:val="en-US"/>
        </w:rPr>
        <w:t>ii</w:t>
      </w:r>
      <w:r w:rsidRPr="00501A69">
        <w:rPr>
          <w:rFonts w:hAnsi="Arial" w:cs="Arial"/>
          <w:lang w:val="ru-RU"/>
        </w:rPr>
        <w:t>)</w:t>
      </w:r>
      <w:r>
        <w:rPr>
          <w:rFonts w:hAnsi="Arial" w:cs="Arial"/>
          <w:lang w:val="ru-RU"/>
        </w:rPr>
        <w:t xml:space="preserve"> рецензируемые публикации, национальные доклады, интернет-источники; и </w:t>
      </w:r>
      <w:r w:rsidRPr="00501A69">
        <w:rPr>
          <w:rFonts w:hAnsi="Arial" w:cs="Arial"/>
          <w:lang w:val="ru-RU"/>
        </w:rPr>
        <w:t>(</w:t>
      </w:r>
      <w:r w:rsidRPr="00501A69">
        <w:rPr>
          <w:rFonts w:hAnsi="Arial" w:cs="Arial"/>
          <w:lang w:val="en-US"/>
        </w:rPr>
        <w:t>iii</w:t>
      </w:r>
      <w:r w:rsidRPr="00501A69">
        <w:rPr>
          <w:rFonts w:hAnsi="Arial" w:cs="Arial"/>
          <w:lang w:val="ru-RU"/>
        </w:rPr>
        <w:t>)</w:t>
      </w:r>
      <w:r>
        <w:rPr>
          <w:rFonts w:hAnsi="Arial" w:cs="Arial"/>
          <w:lang w:val="ru-RU"/>
        </w:rPr>
        <w:t xml:space="preserve"> библиометрический анализ на основе </w:t>
      </w:r>
      <w:r w:rsidR="00AA7F0E">
        <w:rPr>
          <w:rFonts w:hAnsi="Arial" w:cs="Arial"/>
          <w:lang w:val="ru-RU"/>
        </w:rPr>
        <w:t xml:space="preserve">международных </w:t>
      </w:r>
      <w:r>
        <w:rPr>
          <w:rFonts w:hAnsi="Arial" w:cs="Arial"/>
          <w:lang w:val="ru-RU"/>
        </w:rPr>
        <w:t xml:space="preserve">баз данных о публикациях. Доступ к некоторым количественным показателям ограничен или отсутствует. В настоящее время </w:t>
      </w:r>
      <w:r w:rsidR="000534FA">
        <w:rPr>
          <w:rFonts w:hAnsi="Arial" w:cs="Arial"/>
          <w:lang w:val="ru-RU"/>
        </w:rPr>
        <w:t>во многих случаях не существует национальных</w:t>
      </w:r>
      <w:r>
        <w:rPr>
          <w:rFonts w:hAnsi="Arial" w:cs="Arial"/>
          <w:lang w:val="ru-RU"/>
        </w:rPr>
        <w:t xml:space="preserve"> механизм</w:t>
      </w:r>
      <w:r w:rsidR="000534FA">
        <w:rPr>
          <w:rFonts w:hAnsi="Arial" w:cs="Arial"/>
          <w:lang w:val="ru-RU"/>
        </w:rPr>
        <w:t>ов</w:t>
      </w:r>
      <w:r>
        <w:rPr>
          <w:rFonts w:hAnsi="Arial" w:cs="Arial"/>
          <w:lang w:val="ru-RU"/>
        </w:rPr>
        <w:t xml:space="preserve"> отчетности</w:t>
      </w:r>
      <w:r w:rsidR="000534FA">
        <w:rPr>
          <w:rFonts w:hAnsi="Arial" w:cs="Arial"/>
          <w:lang w:val="ru-RU"/>
        </w:rPr>
        <w:t xml:space="preserve">, позволяющих получить ту информацию, которая требуется для </w:t>
      </w:r>
      <w:r w:rsidR="000534FA" w:rsidRPr="000534FA">
        <w:rPr>
          <w:rFonts w:hAnsi="Arial" w:cs="Arial"/>
          <w:i/>
          <w:lang w:val="ru-RU"/>
        </w:rPr>
        <w:t>Глобального доклада о состоянии океанографии</w:t>
      </w:r>
      <w:r w:rsidR="000534FA">
        <w:rPr>
          <w:rFonts w:hAnsi="Arial" w:cs="Arial"/>
          <w:lang w:val="ru-RU"/>
        </w:rPr>
        <w:t xml:space="preserve">. </w:t>
      </w:r>
    </w:p>
    <w:p w:rsidR="000534FA" w:rsidRPr="000534FA" w:rsidRDefault="000534FA" w:rsidP="00686AD2">
      <w:pPr>
        <w:pStyle w:val="Paragraphedeliste"/>
        <w:ind w:left="0" w:firstLine="0"/>
        <w:jc w:val="both"/>
        <w:rPr>
          <w:rFonts w:hAnsi="Arial" w:cs="Arial"/>
          <w:lang w:val="en-US"/>
        </w:rPr>
      </w:pPr>
      <w:r w:rsidRPr="000534FA">
        <w:rPr>
          <w:rFonts w:hAnsi="Arial" w:cs="Arial"/>
          <w:lang w:val="ru-RU"/>
        </w:rPr>
        <w:t xml:space="preserve">Секретариат МОК получил </w:t>
      </w:r>
      <w:r>
        <w:rPr>
          <w:rFonts w:hAnsi="Arial" w:cs="Arial"/>
          <w:lang w:val="ru-RU"/>
        </w:rPr>
        <w:t>34 национальных ответа на вопросник ГДСО (разосланный посредством циркулярного п</w:t>
      </w:r>
      <w:r w:rsidR="005B16B2">
        <w:rPr>
          <w:rFonts w:hAnsi="Arial" w:cs="Arial"/>
          <w:lang w:val="ru-RU"/>
        </w:rPr>
        <w:t xml:space="preserve">исьма МОК </w:t>
      </w:r>
      <w:r w:rsidR="00A56A0B">
        <w:rPr>
          <w:rFonts w:hAnsi="Arial" w:cs="Arial"/>
          <w:lang w:val="ru-RU"/>
        </w:rPr>
        <w:t xml:space="preserve">№ </w:t>
      </w:r>
      <w:r w:rsidR="005B16B2">
        <w:rPr>
          <w:rFonts w:hAnsi="Arial" w:cs="Arial"/>
          <w:lang w:val="ru-RU"/>
        </w:rPr>
        <w:t xml:space="preserve">2506) (23% государств – </w:t>
      </w:r>
      <w:r>
        <w:rPr>
          <w:rFonts w:hAnsi="Arial" w:cs="Arial"/>
          <w:lang w:val="ru-RU"/>
        </w:rPr>
        <w:t>членов МОК). На эти страны приходится около 75% океанографических публикаций</w:t>
      </w:r>
      <w:r>
        <w:rPr>
          <w:rFonts w:hAnsi="Arial" w:cs="Arial"/>
          <w:lang w:val="ru-RU"/>
        </w:rPr>
        <w:tab/>
        <w:t xml:space="preserve">, выпущенные в период 2010-2014 гг. </w:t>
      </w:r>
      <w:r w:rsidRPr="000534FA">
        <w:rPr>
          <w:rFonts w:hAnsi="Arial" w:cs="Arial"/>
          <w:lang w:val="en-US"/>
        </w:rPr>
        <w:t>(</w:t>
      </w:r>
      <w:r>
        <w:rPr>
          <w:rFonts w:hAnsi="Arial" w:cs="Arial"/>
          <w:lang w:val="ru-RU"/>
        </w:rPr>
        <w:t>Рис</w:t>
      </w:r>
      <w:r w:rsidRPr="000534FA">
        <w:rPr>
          <w:rFonts w:hAnsi="Arial" w:cs="Arial"/>
          <w:lang w:val="en-US"/>
        </w:rPr>
        <w:t xml:space="preserve">. 1). </w:t>
      </w:r>
      <w:r>
        <w:rPr>
          <w:rFonts w:hAnsi="Arial" w:cs="Arial"/>
          <w:lang w:val="ru-RU"/>
        </w:rPr>
        <w:t>В</w:t>
      </w:r>
      <w:r w:rsidRPr="000534FA">
        <w:rPr>
          <w:rFonts w:hAnsi="Arial" w:cs="Arial"/>
          <w:lang w:val="en-US"/>
        </w:rPr>
        <w:t xml:space="preserve"> </w:t>
      </w:r>
      <w:r>
        <w:rPr>
          <w:rFonts w:hAnsi="Arial" w:cs="Arial"/>
          <w:lang w:val="ru-RU"/>
        </w:rPr>
        <w:t>среднем</w:t>
      </w:r>
      <w:r w:rsidRPr="000534FA">
        <w:rPr>
          <w:rFonts w:hAnsi="Arial" w:cs="Arial"/>
          <w:lang w:val="en-US"/>
        </w:rPr>
        <w:t xml:space="preserve"> </w:t>
      </w:r>
      <w:r>
        <w:rPr>
          <w:rFonts w:hAnsi="Arial" w:cs="Arial"/>
          <w:lang w:val="ru-RU"/>
        </w:rPr>
        <w:t>страны</w:t>
      </w:r>
      <w:r w:rsidRPr="000534FA">
        <w:rPr>
          <w:rFonts w:hAnsi="Arial" w:cs="Arial"/>
          <w:lang w:val="en-US"/>
        </w:rPr>
        <w:t xml:space="preserve"> </w:t>
      </w:r>
      <w:r>
        <w:rPr>
          <w:rFonts w:hAnsi="Arial" w:cs="Arial"/>
          <w:lang w:val="ru-RU"/>
        </w:rPr>
        <w:t>ответили</w:t>
      </w:r>
      <w:r w:rsidRPr="000534FA">
        <w:rPr>
          <w:rFonts w:hAnsi="Arial" w:cs="Arial"/>
          <w:lang w:val="en-US"/>
        </w:rPr>
        <w:t xml:space="preserve"> </w:t>
      </w:r>
      <w:r>
        <w:rPr>
          <w:rFonts w:hAnsi="Arial" w:cs="Arial"/>
          <w:lang w:val="ru-RU"/>
        </w:rPr>
        <w:t>на</w:t>
      </w:r>
      <w:r w:rsidRPr="000534FA">
        <w:rPr>
          <w:rFonts w:hAnsi="Arial" w:cs="Arial"/>
          <w:lang w:val="en-US"/>
        </w:rPr>
        <w:t xml:space="preserve"> 77,4% </w:t>
      </w:r>
      <w:r>
        <w:rPr>
          <w:rFonts w:hAnsi="Arial" w:cs="Arial"/>
          <w:lang w:val="ru-RU"/>
        </w:rPr>
        <w:t>вопросов</w:t>
      </w:r>
      <w:r w:rsidRPr="000534FA">
        <w:rPr>
          <w:rFonts w:hAnsi="Arial" w:cs="Arial"/>
          <w:lang w:val="en-US"/>
        </w:rPr>
        <w:t xml:space="preserve">. </w:t>
      </w:r>
    </w:p>
    <w:p w:rsidR="00815172" w:rsidRDefault="005F1BAB" w:rsidP="00815172">
      <w:pPr>
        <w:pStyle w:val="Paragraphedeliste"/>
        <w:keepNext/>
        <w:numPr>
          <w:ilvl w:val="0"/>
          <w:numId w:val="0"/>
        </w:numPr>
        <w:jc w:val="both"/>
      </w:pPr>
      <w:r>
        <w:rPr>
          <w:noProof/>
          <w:lang w:val="fr-FR" w:eastAsia="zh-CN"/>
        </w:rPr>
        <w:lastRenderedPageBreak/>
        <w:drawing>
          <wp:inline distT="0" distB="0" distL="0" distR="0">
            <wp:extent cx="6120130" cy="3622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10-fig 2-re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FA" w:rsidRPr="000534FA" w:rsidRDefault="000534FA" w:rsidP="00CC29F7">
      <w:pPr>
        <w:pStyle w:val="Lgende"/>
        <w:tabs>
          <w:tab w:val="clear" w:pos="567"/>
          <w:tab w:val="left" w:pos="709"/>
        </w:tabs>
        <w:rPr>
          <w:lang w:val="ru-RU"/>
        </w:rPr>
      </w:pPr>
      <w:r>
        <w:rPr>
          <w:lang w:val="ru-RU"/>
        </w:rPr>
        <w:t>Рис</w:t>
      </w:r>
      <w:r w:rsidRPr="00FF5D94">
        <w:rPr>
          <w:lang w:val="ru-RU"/>
        </w:rPr>
        <w:t>.</w:t>
      </w:r>
      <w:r w:rsidR="00815172" w:rsidRPr="00FF5D94">
        <w:rPr>
          <w:lang w:val="ru-RU"/>
        </w:rPr>
        <w:t xml:space="preserve"> </w:t>
      </w:r>
      <w:r w:rsidR="00815172">
        <w:fldChar w:fldCharType="begin"/>
      </w:r>
      <w:r w:rsidR="00815172" w:rsidRPr="00FF5D94">
        <w:rPr>
          <w:lang w:val="ru-RU"/>
        </w:rPr>
        <w:instrText xml:space="preserve"> </w:instrText>
      </w:r>
      <w:r w:rsidR="00815172" w:rsidRPr="005F1BAB">
        <w:rPr>
          <w:lang w:val="es-AR"/>
        </w:rPr>
        <w:instrText>SEQ</w:instrText>
      </w:r>
      <w:r w:rsidR="00815172" w:rsidRPr="00FF5D94">
        <w:rPr>
          <w:lang w:val="ru-RU"/>
        </w:rPr>
        <w:instrText xml:space="preserve"> </w:instrText>
      </w:r>
      <w:r w:rsidR="00815172" w:rsidRPr="005F1BAB">
        <w:rPr>
          <w:lang w:val="es-AR"/>
        </w:rPr>
        <w:instrText>Figure</w:instrText>
      </w:r>
      <w:r w:rsidR="00815172" w:rsidRPr="00FF5D94">
        <w:rPr>
          <w:lang w:val="ru-RU"/>
        </w:rPr>
        <w:instrText xml:space="preserve"> \* </w:instrText>
      </w:r>
      <w:r w:rsidR="00815172" w:rsidRPr="005F1BAB">
        <w:rPr>
          <w:lang w:val="es-AR"/>
        </w:rPr>
        <w:instrText>ARABIC</w:instrText>
      </w:r>
      <w:r w:rsidR="00815172" w:rsidRPr="00FF5D94">
        <w:rPr>
          <w:lang w:val="ru-RU"/>
        </w:rPr>
        <w:instrText xml:space="preserve"> </w:instrText>
      </w:r>
      <w:r w:rsidR="00815172">
        <w:fldChar w:fldCharType="separate"/>
      </w:r>
      <w:r w:rsidR="003F3362">
        <w:rPr>
          <w:noProof/>
          <w:lang w:val="es-AR"/>
        </w:rPr>
        <w:t>1</w:t>
      </w:r>
      <w:r w:rsidR="00815172">
        <w:fldChar w:fldCharType="end"/>
      </w:r>
      <w:r w:rsidR="00635425" w:rsidRPr="000534FA">
        <w:rPr>
          <w:lang w:val="ru-RU"/>
        </w:rPr>
        <w:t>.</w:t>
      </w:r>
      <w:r>
        <w:rPr>
          <w:lang w:val="ru-RU"/>
        </w:rPr>
        <w:t xml:space="preserve"> </w:t>
      </w:r>
      <w:r w:rsidR="00CC29F7">
        <w:rPr>
          <w:lang w:val="ru-RU"/>
        </w:rPr>
        <w:tab/>
      </w:r>
      <w:r>
        <w:rPr>
          <w:lang w:val="ru-RU"/>
        </w:rPr>
        <w:t>Карта мира, на которой показаны</w:t>
      </w:r>
      <w:r w:rsidRPr="000534FA">
        <w:rPr>
          <w:b/>
          <w:lang w:val="ru-RU"/>
        </w:rPr>
        <w:t xml:space="preserve"> </w:t>
      </w:r>
      <w:r w:rsidRPr="000534FA">
        <w:rPr>
          <w:lang w:val="ru-RU"/>
        </w:rPr>
        <w:t>государства</w:t>
      </w:r>
      <w:r>
        <w:rPr>
          <w:lang w:val="ru-RU"/>
        </w:rPr>
        <w:t xml:space="preserve">-члены, ответившие на вопросник </w:t>
      </w:r>
      <w:r w:rsidR="00CC29F7">
        <w:rPr>
          <w:lang w:val="ru-RU"/>
        </w:rPr>
        <w:br/>
      </w:r>
      <w:r w:rsidR="00CC29F7">
        <w:rPr>
          <w:lang w:val="ru-RU"/>
        </w:rPr>
        <w:tab/>
      </w:r>
      <w:r>
        <w:rPr>
          <w:lang w:val="ru-RU"/>
        </w:rPr>
        <w:t>(выделены синим цветом).</w:t>
      </w:r>
    </w:p>
    <w:p w:rsidR="00B81A2E" w:rsidRPr="00B81A2E" w:rsidRDefault="00B81A2E" w:rsidP="007F751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B81A2E">
        <w:rPr>
          <w:rFonts w:hAnsi="Arial" w:cs="Arial"/>
          <w:lang w:val="ru-RU"/>
        </w:rPr>
        <w:t>Благодаря применению стандартизированного подхода</w:t>
      </w:r>
      <w:r>
        <w:rPr>
          <w:rFonts w:hAnsi="Arial" w:cs="Arial"/>
          <w:lang w:val="ru-RU"/>
        </w:rPr>
        <w:t>, разработанного в первом издании данного доклада, сделан важный шаг в направлении систематической отчетности об общем состоянии науки об океане.</w:t>
      </w:r>
    </w:p>
    <w:p w:rsidR="00B81A2E" w:rsidRPr="00C96A65" w:rsidRDefault="00B81A2E" w:rsidP="00815172">
      <w:pPr>
        <w:pStyle w:val="Paragraphedeliste"/>
        <w:numPr>
          <w:ilvl w:val="0"/>
          <w:numId w:val="0"/>
        </w:numPr>
        <w:jc w:val="both"/>
        <w:rPr>
          <w:rFonts w:hAnsi="Arial" w:cs="Arial"/>
          <w:b/>
          <w:lang w:val="ru-RU"/>
        </w:rPr>
      </w:pPr>
      <w:r w:rsidRPr="00C96A65">
        <w:rPr>
          <w:rFonts w:hAnsi="Arial" w:cs="Arial"/>
          <w:b/>
          <w:lang w:val="ru-RU"/>
        </w:rPr>
        <w:t>Основные выводы ГДСО</w:t>
      </w:r>
    </w:p>
    <w:p w:rsidR="00B81A2E" w:rsidRPr="00B81A2E" w:rsidRDefault="00B81A2E" w:rsidP="007F751C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B81A2E">
        <w:rPr>
          <w:rFonts w:hAnsi="Arial" w:cs="Arial"/>
          <w:lang w:val="ru-RU"/>
        </w:rPr>
        <w:t>В резюме ГДСО</w:t>
      </w:r>
      <w:r>
        <w:rPr>
          <w:rFonts w:hAnsi="Arial" w:cs="Arial"/>
          <w:lang w:val="ru-RU"/>
        </w:rPr>
        <w:t xml:space="preserve"> кратко изложены следующие основные выводы:</w:t>
      </w:r>
    </w:p>
    <w:p w:rsidR="00815172" w:rsidRPr="000B2450" w:rsidRDefault="001B3706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1B3706">
        <w:rPr>
          <w:rFonts w:hAnsi="Arial" w:cs="Arial"/>
          <w:color w:val="000000" w:themeColor="text1"/>
          <w:lang w:val="ru-RU"/>
        </w:rPr>
        <w:t xml:space="preserve">Наука о </w:t>
      </w:r>
      <w:r w:rsidR="00B81A2E">
        <w:rPr>
          <w:rFonts w:hAnsi="Arial" w:cs="Arial"/>
          <w:color w:val="000000" w:themeColor="text1"/>
          <w:lang w:val="ru-RU"/>
        </w:rPr>
        <w:t>М</w:t>
      </w:r>
      <w:r w:rsidRPr="001B3706">
        <w:rPr>
          <w:rFonts w:hAnsi="Arial" w:cs="Arial"/>
          <w:color w:val="000000" w:themeColor="text1"/>
          <w:lang w:val="ru-RU"/>
        </w:rPr>
        <w:t>ировом океане – это ресурсоемкая наука</w:t>
      </w:r>
      <w:r w:rsidRPr="0041143B">
        <w:rPr>
          <w:rFonts w:hAnsi="Arial" w:cs="Arial"/>
          <w:color w:val="000000" w:themeColor="text1"/>
          <w:lang w:val="ru-RU"/>
        </w:rPr>
        <w:t>. Для проведения океанических исследований требуются многочисленный персонал и такое крупное и дорогостоящее оборудование, как суда, океанические инфраструктуры и расположенные на побережье лаборатории. Эти ресурсы распределены по всему миру и включают в себя, например, 784 морские станции, 325 исследовательских судов и более 3800 буев Арго</w:t>
      </w:r>
      <w:r w:rsidR="00815172" w:rsidRPr="000B2450">
        <w:rPr>
          <w:lang w:val="ru-RU"/>
        </w:rPr>
        <w:t>.</w:t>
      </w:r>
    </w:p>
    <w:p w:rsidR="00815172" w:rsidRPr="000B2450" w:rsidRDefault="001B3706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1B3706">
        <w:rPr>
          <w:rFonts w:hAnsi="Arial" w:cs="Arial"/>
          <w:color w:val="000000" w:themeColor="text1"/>
          <w:lang w:val="ru-RU"/>
        </w:rPr>
        <w:t>Наука об океане носит междисциплинарный характер</w:t>
      </w:r>
      <w:r w:rsidRPr="0041143B">
        <w:rPr>
          <w:rFonts w:hAnsi="Arial" w:cs="Arial"/>
          <w:color w:val="000000" w:themeColor="text1"/>
          <w:lang w:val="ru-RU"/>
        </w:rPr>
        <w:t>. Большая часть учреждений в области науки об океане охватывает несколько океанографических дисциплин (</w:t>
      </w:r>
      <w:r>
        <w:rPr>
          <w:rFonts w:hAnsi="Arial" w:cs="Arial"/>
          <w:color w:val="000000" w:themeColor="text1"/>
          <w:lang w:val="ru-RU"/>
        </w:rPr>
        <w:t>39</w:t>
      </w:r>
      <w:r w:rsidRPr="0041143B">
        <w:rPr>
          <w:rFonts w:hAnsi="Arial" w:cs="Arial"/>
          <w:color w:val="000000" w:themeColor="text1"/>
          <w:lang w:val="ru-RU"/>
        </w:rPr>
        <w:t xml:space="preserve">%), тогда как </w:t>
      </w:r>
      <w:r w:rsidR="00F618A1">
        <w:rPr>
          <w:rFonts w:hAnsi="Arial" w:cs="Arial"/>
          <w:color w:val="000000" w:themeColor="text1"/>
          <w:lang w:val="ru-RU"/>
        </w:rPr>
        <w:t>другие специализируются</w:t>
      </w:r>
      <w:r w:rsidRPr="0041143B">
        <w:rPr>
          <w:rFonts w:hAnsi="Arial" w:cs="Arial"/>
          <w:color w:val="000000" w:themeColor="text1"/>
          <w:lang w:val="ru-RU"/>
        </w:rPr>
        <w:t xml:space="preserve"> на наблюдениях (</w:t>
      </w:r>
      <w:r>
        <w:rPr>
          <w:rFonts w:hAnsi="Arial" w:cs="Arial"/>
          <w:color w:val="000000" w:themeColor="text1"/>
          <w:lang w:val="ru-RU"/>
        </w:rPr>
        <w:t>35</w:t>
      </w:r>
      <w:r w:rsidRPr="0041143B">
        <w:rPr>
          <w:rFonts w:hAnsi="Arial" w:cs="Arial"/>
          <w:color w:val="000000" w:themeColor="text1"/>
          <w:lang w:val="ru-RU"/>
        </w:rPr>
        <w:t>%) или рыбном промысле (</w:t>
      </w:r>
      <w:r>
        <w:rPr>
          <w:rFonts w:hAnsi="Arial" w:cs="Arial"/>
          <w:color w:val="000000" w:themeColor="text1"/>
          <w:lang w:val="ru-RU"/>
        </w:rPr>
        <w:t>26</w:t>
      </w:r>
      <w:r w:rsidRPr="0041143B">
        <w:rPr>
          <w:rFonts w:hAnsi="Arial" w:cs="Arial"/>
          <w:color w:val="000000" w:themeColor="text1"/>
          <w:lang w:val="ru-RU"/>
        </w:rPr>
        <w:t>%)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В науке об океане отмечается более выраженная гендерная сбалансированность по сравнению с ситуацией в науке в целом</w:t>
      </w:r>
      <w:r w:rsidRPr="0041143B">
        <w:rPr>
          <w:rFonts w:hAnsi="Arial" w:cs="Arial"/>
          <w:color w:val="000000" w:themeColor="text1"/>
          <w:lang w:val="ru-RU"/>
        </w:rPr>
        <w:t xml:space="preserve">. Женщины-ученые представляют в среднем 38% исследователей в области океанографии, что примерно на 10% выше показателя </w:t>
      </w:r>
      <w:r w:rsidR="00B81A2E">
        <w:rPr>
          <w:rFonts w:hAnsi="Arial" w:cs="Arial"/>
          <w:color w:val="000000" w:themeColor="text1"/>
          <w:lang w:val="ru-RU"/>
        </w:rPr>
        <w:t>для</w:t>
      </w:r>
      <w:r w:rsidRPr="0041143B">
        <w:rPr>
          <w:rFonts w:hAnsi="Arial" w:cs="Arial"/>
          <w:color w:val="000000" w:themeColor="text1"/>
          <w:lang w:val="ru-RU"/>
        </w:rPr>
        <w:t xml:space="preserve"> наук</w:t>
      </w:r>
      <w:r w:rsidR="00B81A2E">
        <w:rPr>
          <w:rFonts w:hAnsi="Arial" w:cs="Arial"/>
          <w:color w:val="000000" w:themeColor="text1"/>
          <w:lang w:val="ru-RU"/>
        </w:rPr>
        <w:t>и</w:t>
      </w:r>
      <w:r w:rsidRPr="0041143B">
        <w:rPr>
          <w:rFonts w:hAnsi="Arial" w:cs="Arial"/>
          <w:color w:val="000000" w:themeColor="text1"/>
          <w:lang w:val="ru-RU"/>
        </w:rPr>
        <w:t xml:space="preserve"> в целом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В мире отмечаются значительные различия в расходах на океанические исследования</w:t>
      </w:r>
      <w:r w:rsidRPr="0041143B">
        <w:rPr>
          <w:rFonts w:hAnsi="Arial" w:cs="Arial"/>
          <w:color w:val="000000" w:themeColor="text1"/>
          <w:lang w:val="ru-RU"/>
        </w:rPr>
        <w:t>. Согласно имеющимся данным на науку об океане приходится от 0,1% до 21% расходов на естественные науки и от менее 0,04% до 4% от общего объема расходов на научные исследования и разработки. В период с 2009</w:t>
      </w:r>
      <w:r w:rsidR="00B47D05" w:rsidRPr="005F1BAB">
        <w:rPr>
          <w:rFonts w:hAnsi="Arial" w:cs="Arial"/>
          <w:color w:val="000000" w:themeColor="text1"/>
          <w:lang w:val="ru-RU"/>
        </w:rPr>
        <w:t xml:space="preserve"> </w:t>
      </w:r>
      <w:r w:rsidR="00B47D05">
        <w:rPr>
          <w:rFonts w:hAnsi="Arial" w:cs="Arial"/>
          <w:color w:val="000000" w:themeColor="text1"/>
          <w:lang w:val="ru-RU"/>
        </w:rPr>
        <w:t xml:space="preserve">г. по 2013 </w:t>
      </w:r>
      <w:r w:rsidRPr="0041143B">
        <w:rPr>
          <w:rFonts w:hAnsi="Arial" w:cs="Arial"/>
          <w:color w:val="000000" w:themeColor="text1"/>
          <w:lang w:val="ru-RU"/>
        </w:rPr>
        <w:t>г. в расход</w:t>
      </w:r>
      <w:r>
        <w:rPr>
          <w:rFonts w:hAnsi="Arial" w:cs="Arial"/>
          <w:color w:val="000000" w:themeColor="text1"/>
          <w:lang w:val="ru-RU"/>
        </w:rPr>
        <w:t>ах</w:t>
      </w:r>
      <w:r w:rsidRPr="0041143B">
        <w:rPr>
          <w:rFonts w:hAnsi="Arial" w:cs="Arial"/>
          <w:color w:val="000000" w:themeColor="text1"/>
          <w:lang w:val="ru-RU"/>
        </w:rPr>
        <w:t xml:space="preserve"> на науку об океане отмечались различия между регионами и </w:t>
      </w:r>
      <w:r w:rsidRPr="0041143B">
        <w:rPr>
          <w:rFonts w:hAnsi="Arial" w:cs="Arial"/>
          <w:color w:val="000000" w:themeColor="text1"/>
          <w:lang w:val="ru-RU"/>
        </w:rPr>
        <w:lastRenderedPageBreak/>
        <w:t>странами, ряд которых увеличил ежегодные расходы на океанографию, в то время как другие значительно сократили их объем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Наука об океане получает финансирование из альтернативных источников</w:t>
      </w:r>
      <w:r w:rsidRPr="0041143B">
        <w:rPr>
          <w:rFonts w:hAnsi="Arial" w:cs="Arial"/>
          <w:color w:val="000000" w:themeColor="text1"/>
          <w:lang w:val="ru-RU"/>
        </w:rPr>
        <w:t>. Частное финансирование, в том числе благотворительность, в ряде случаев обеспечивает дополнительную поддержку науки об океане и позволяет разрабатывать новые технологии в этой отрасли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Повышается производительность науки об океане</w:t>
      </w:r>
      <w:r w:rsidRPr="0041143B">
        <w:rPr>
          <w:rFonts w:hAnsi="Arial" w:cs="Arial"/>
          <w:color w:val="000000" w:themeColor="text1"/>
          <w:lang w:val="ru-RU"/>
        </w:rPr>
        <w:t>. Наука об океане расширяет свои масштабы и сферу охвата, что воплощается в росте результатов научной деятельности. При сравнении периодов 2000-2004 гг. и 2010-2014 гг. отмечается значительный относительный рост результатов научной деятельности в Китае, Иране, Индии, Бразилии, Республике Корея, Турции и Малайзии. Китай стал одним из основных источников новых публикаций, а США, Канада, Австралия и европейские страны (Великобритания, Германия, Франция, Испания и Италия) продолжают выпускать основной объем публикаций в области науки об океане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Международное сотрудничество способствует повышению показателей цитирования</w:t>
      </w:r>
      <w:r w:rsidRPr="0041143B">
        <w:rPr>
          <w:rFonts w:hAnsi="Arial" w:cs="Arial"/>
          <w:color w:val="000000" w:themeColor="text1"/>
          <w:lang w:val="ru-RU"/>
        </w:rPr>
        <w:t>. В целом североамериканские и европейские страны характеризуются более высоким преумножающим фактором или фактором воздействия (соотношение цитат и публикаций), нежели страны из других регионов мира. Показатели цитирования зависят от степени участия страны в международном сотрудничестве. В среднем публикации, подготовленные в соавторстве учеными из нескольких стран, цитируются чаще, чем публикации, соавторы которых представляют одну страну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Центры океанических данных предоставляют многочисленным сообществам пользователей широкий спектр продуктов</w:t>
      </w:r>
      <w:r w:rsidRPr="0041143B">
        <w:rPr>
          <w:rFonts w:hAnsi="Arial" w:cs="Arial"/>
          <w:color w:val="000000" w:themeColor="text1"/>
          <w:lang w:val="ru-RU"/>
        </w:rPr>
        <w:t>. На глобальном уровне в центрах океанических данных хранятся в основном физические данные, за которыми следуют биологические и химические данные. Менее половины центров океанических данных предоставляют данные о загрязнителях или рыбном промысле. В число трех основных типов данных/информации, предоставляемых центрами океанических данных, входят метаданные, продукты Географической информационной системы (ГИС) и доступ к исходным данным. Центры океанических данных предоставляют три основные услуги: архивирование данных, просмотр данных и контроль качества данных</w:t>
      </w:r>
      <w:r w:rsidR="00815172" w:rsidRPr="000B2450">
        <w:rPr>
          <w:lang w:val="ru-RU"/>
        </w:rPr>
        <w:t>.</w:t>
      </w:r>
    </w:p>
    <w:p w:rsidR="00815172" w:rsidRPr="000B2450" w:rsidRDefault="00F618A1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F618A1">
        <w:rPr>
          <w:rFonts w:hAnsi="Arial" w:cs="Arial"/>
          <w:color w:val="000000" w:themeColor="text1"/>
          <w:lang w:val="ru-RU"/>
        </w:rPr>
        <w:t>Взаимосвязь между наукой и политикой проявляется в различных областях</w:t>
      </w:r>
      <w:r w:rsidRPr="0041143B">
        <w:rPr>
          <w:rFonts w:hAnsi="Arial" w:cs="Arial"/>
          <w:color w:val="000000" w:themeColor="text1"/>
          <w:lang w:val="ru-RU"/>
        </w:rPr>
        <w:t>. Нынешняя политика в области науки об океане и научная дипломатия сосредоточены на определении приоритетов в областях научных исследований и управлении выработкой и использованием знаний для удовлетворения потребностей общества и подготовки стран к решению будущих задач на национальном, региональном и глобальном уровнях</w:t>
      </w:r>
      <w:r w:rsidR="00815172" w:rsidRPr="000B2450">
        <w:rPr>
          <w:lang w:val="ru-RU"/>
        </w:rPr>
        <w:t>.</w:t>
      </w:r>
    </w:p>
    <w:p w:rsidR="00815172" w:rsidRPr="000B2450" w:rsidRDefault="005E3196" w:rsidP="003229BE">
      <w:pPr>
        <w:pStyle w:val="Paragraphedeliste"/>
        <w:numPr>
          <w:ilvl w:val="1"/>
          <w:numId w:val="7"/>
        </w:numPr>
        <w:tabs>
          <w:tab w:val="clear" w:pos="720"/>
        </w:tabs>
        <w:ind w:left="1418" w:hanging="709"/>
        <w:jc w:val="both"/>
        <w:rPr>
          <w:lang w:val="ru-RU"/>
        </w:rPr>
      </w:pPr>
      <w:r w:rsidRPr="005E3196">
        <w:rPr>
          <w:rFonts w:hAnsi="Arial" w:cs="Arial"/>
          <w:color w:val="000000" w:themeColor="text1"/>
          <w:lang w:val="ru-RU"/>
        </w:rPr>
        <w:t>Национальные реестры потенциала в области науки об океане существуют лишь в малом числе стран</w:t>
      </w:r>
      <w:r w:rsidRPr="0041143B">
        <w:rPr>
          <w:rFonts w:hAnsi="Arial" w:cs="Arial"/>
          <w:color w:val="000000" w:themeColor="text1"/>
          <w:lang w:val="ru-RU"/>
        </w:rPr>
        <w:t>. Многодисциплинарный характер науки об океане осложняет работу по созданию механизмов отчетности для картирования потенциала науки об океане; отмечаются значительные различия в структуре национального, академического и федерального потенциала в области морских исследований</w:t>
      </w:r>
      <w:r w:rsidR="00815172" w:rsidRPr="000B2450">
        <w:rPr>
          <w:lang w:val="ru-RU"/>
        </w:rPr>
        <w:t>.</w:t>
      </w:r>
    </w:p>
    <w:p w:rsidR="009D34E3" w:rsidRPr="000B2450" w:rsidRDefault="005E3196" w:rsidP="009D34E3">
      <w:pPr>
        <w:pStyle w:val="Paragraphedeliste"/>
        <w:ind w:left="0" w:firstLine="0"/>
        <w:jc w:val="both"/>
        <w:rPr>
          <w:lang w:val="ru-RU"/>
        </w:rPr>
      </w:pPr>
      <w:r w:rsidRPr="0041143B">
        <w:rPr>
          <w:rFonts w:hAnsi="Arial" w:cs="Arial"/>
          <w:color w:val="000000" w:themeColor="text1"/>
          <w:lang w:val="ru-RU"/>
        </w:rPr>
        <w:t>Для содействия опирающемуся на океаны устойчивому развитию необходимо иметь базовое понимание то</w:t>
      </w:r>
      <w:r>
        <w:rPr>
          <w:rFonts w:hAnsi="Arial" w:cs="Arial"/>
          <w:color w:val="000000" w:themeColor="text1"/>
          <w:lang w:val="ru-RU"/>
        </w:rPr>
        <w:t>го</w:t>
      </w:r>
      <w:r w:rsidRPr="0041143B">
        <w:rPr>
          <w:rFonts w:hAnsi="Arial" w:cs="Arial"/>
          <w:color w:val="000000" w:themeColor="text1"/>
          <w:lang w:val="ru-RU"/>
        </w:rPr>
        <w:t xml:space="preserve">, где и каким образом имеющийся потенциал науки об океане используется для расширения возможностей общества, сохранения окружающей среды и выработки знаний в поддержку управления океанами, а также для создания полезных продуктов, услуг и рабочих мест. </w:t>
      </w:r>
      <w:r w:rsidR="0021442D">
        <w:rPr>
          <w:rFonts w:hAnsi="Arial" w:cs="Arial"/>
          <w:lang w:val="ru-RU"/>
        </w:rPr>
        <w:t>ГДСО</w:t>
      </w:r>
      <w:r w:rsidRPr="0041143B">
        <w:rPr>
          <w:rFonts w:hAnsi="Arial" w:cs="Arial"/>
          <w:lang w:val="ru-RU"/>
        </w:rPr>
        <w:t xml:space="preserve"> </w:t>
      </w:r>
      <w:r w:rsidRPr="0041143B">
        <w:rPr>
          <w:rFonts w:hAnsi="Arial" w:cs="Arial"/>
          <w:color w:val="000000" w:themeColor="text1"/>
          <w:lang w:val="ru-RU"/>
        </w:rPr>
        <w:t xml:space="preserve">предоставляет инструмент, способствующий </w:t>
      </w:r>
      <w:r w:rsidRPr="0041143B">
        <w:rPr>
          <w:rFonts w:hAnsi="Arial" w:cs="Arial"/>
          <w:color w:val="000000" w:themeColor="text1"/>
          <w:lang w:val="ru-RU"/>
        </w:rPr>
        <w:lastRenderedPageBreak/>
        <w:t xml:space="preserve">восполнению этого пробела. </w:t>
      </w:r>
      <w:r w:rsidRPr="0041143B">
        <w:rPr>
          <w:rFonts w:hAnsi="Arial" w:cs="Arial"/>
          <w:lang w:val="ru-RU"/>
        </w:rPr>
        <w:t xml:space="preserve">В докладе определены и обозначены в количественных показателях основные элементы науки об океане </w:t>
      </w:r>
      <w:r w:rsidRPr="0041143B">
        <w:rPr>
          <w:rFonts w:hAnsi="Arial" w:cs="Arial"/>
          <w:color w:val="000000" w:themeColor="text1"/>
          <w:lang w:val="ru-RU"/>
        </w:rPr>
        <w:t>на национальном, региональном и глобальном уровнях</w:t>
      </w:r>
      <w:r w:rsidRPr="0041143B">
        <w:rPr>
          <w:rFonts w:hAnsi="Arial" w:cs="Arial"/>
          <w:lang w:val="ru-RU"/>
        </w:rPr>
        <w:t>, включая кадры, инфраструктуру и публикации</w:t>
      </w:r>
      <w:r w:rsidR="00815172" w:rsidRPr="000B2450">
        <w:rPr>
          <w:lang w:val="ru-RU"/>
        </w:rPr>
        <w:t>.</w:t>
      </w:r>
    </w:p>
    <w:p w:rsidR="009D34E3" w:rsidRPr="0021442D" w:rsidRDefault="0021442D" w:rsidP="009D34E3">
      <w:pPr>
        <w:pStyle w:val="Paragraphedeliste"/>
        <w:numPr>
          <w:ilvl w:val="0"/>
          <w:numId w:val="0"/>
        </w:numPr>
        <w:jc w:val="both"/>
        <w:rPr>
          <w:b/>
          <w:lang w:val="ru-RU"/>
        </w:rPr>
      </w:pPr>
      <w:r w:rsidRPr="00FF5D94">
        <w:rPr>
          <w:rFonts w:hAnsi="Arial" w:cs="Arial"/>
          <w:b/>
          <w:lang w:val="ru-RU"/>
        </w:rPr>
        <w:t>Хранилище данных – Портал данных</w:t>
      </w:r>
      <w:r w:rsidRPr="00FF5D94">
        <w:rPr>
          <w:b/>
          <w:lang w:val="ru-RU"/>
        </w:rPr>
        <w:t xml:space="preserve"> </w:t>
      </w:r>
    </w:p>
    <w:p w:rsidR="00FF5D94" w:rsidRPr="00FF5D94" w:rsidRDefault="00FF5D94" w:rsidP="00763BC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FF5D94">
        <w:rPr>
          <w:rFonts w:hAnsi="Arial" w:cs="Arial"/>
          <w:lang w:val="ru-RU"/>
        </w:rPr>
        <w:t>В свете ЦУР 14, в частности задачи 14.</w:t>
      </w:r>
      <w:r w:rsidRPr="00FF5D94">
        <w:rPr>
          <w:rFonts w:hAnsi="Arial" w:cs="Arial"/>
          <w:lang w:val="en-US"/>
        </w:rPr>
        <w:t>a</w:t>
      </w:r>
      <w:r w:rsidRPr="00FF5D94">
        <w:rPr>
          <w:rFonts w:hAnsi="Arial" w:cs="Arial"/>
          <w:lang w:val="ru-RU"/>
        </w:rPr>
        <w:t>,</w:t>
      </w:r>
      <w:r>
        <w:rPr>
          <w:rFonts w:hAnsi="Arial" w:cs="Arial"/>
          <w:lang w:val="ru-RU"/>
        </w:rPr>
        <w:t xml:space="preserve"> которая согласуется с Критериями и руководящими принципами МОК в отношении передачи морской технологи, и соответствующего предлагаемого показателя </w:t>
      </w:r>
      <w:r w:rsidRPr="00FF5D94">
        <w:rPr>
          <w:rFonts w:hAnsi="Arial" w:cs="Arial"/>
          <w:lang w:val="ru-RU"/>
        </w:rPr>
        <w:t>14.</w:t>
      </w:r>
      <w:r w:rsidRPr="00FF5D94">
        <w:rPr>
          <w:rFonts w:hAnsi="Arial" w:cs="Arial"/>
          <w:lang w:val="en-US"/>
        </w:rPr>
        <w:t>a</w:t>
      </w:r>
      <w:r w:rsidRPr="00FF5D94">
        <w:rPr>
          <w:rFonts w:hAnsi="Arial" w:cs="Arial"/>
          <w:lang w:val="ru-RU"/>
        </w:rPr>
        <w:t>.1</w:t>
      </w:r>
      <w:r>
        <w:rPr>
          <w:rFonts w:hAnsi="Arial" w:cs="Arial"/>
          <w:lang w:val="ru-RU"/>
        </w:rPr>
        <w:t xml:space="preserve"> (доля общего бюджета научных исследований, выделяемая на исследования в области морской технологии) должен быть налажен регулярный процесс отчетности о национальных бюджетах </w:t>
      </w:r>
      <w:r w:rsidR="001B1FB6">
        <w:rPr>
          <w:rFonts w:hAnsi="Arial" w:cs="Arial"/>
          <w:lang w:val="ru-RU"/>
        </w:rPr>
        <w:t xml:space="preserve">для науки об океане/морской технологии. В первом издании ГДСО определена необходимая методология для сбора и оценки таких данных. </w:t>
      </w:r>
    </w:p>
    <w:p w:rsidR="001B1FB6" w:rsidRPr="001B1FB6" w:rsidRDefault="001B1FB6" w:rsidP="00763BC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1B1FB6">
        <w:rPr>
          <w:rFonts w:hAnsi="Arial" w:cs="Arial"/>
          <w:lang w:val="ru-RU"/>
        </w:rPr>
        <w:t xml:space="preserve">Межучрежденческая группа экспертов по показателям ЦУР </w:t>
      </w:r>
      <w:r>
        <w:rPr>
          <w:rFonts w:hAnsi="Arial" w:cs="Arial"/>
          <w:lang w:val="ru-RU"/>
        </w:rPr>
        <w:t xml:space="preserve">(МУГЭ-ЦУР) признала также, что часть информации, представленной в ГДСО, содержит данные, необходимые для подготовки докладов в отношении задачи </w:t>
      </w:r>
      <w:r w:rsidRPr="001B1FB6">
        <w:rPr>
          <w:rFonts w:hAnsi="Arial" w:cs="Arial"/>
          <w:lang w:val="ru-RU"/>
        </w:rPr>
        <w:t>14.</w:t>
      </w:r>
      <w:r w:rsidRPr="001B1FB6">
        <w:rPr>
          <w:rFonts w:hAnsi="Arial" w:cs="Arial"/>
          <w:lang w:val="en-US"/>
        </w:rPr>
        <w:t>a</w:t>
      </w:r>
      <w:r>
        <w:rPr>
          <w:rFonts w:hAnsi="Arial" w:cs="Arial"/>
          <w:lang w:val="ru-RU"/>
        </w:rPr>
        <w:t xml:space="preserve"> ЦУР. В связи с этим данная многосторонняя группа решила, что МОК является учреждением, обеспечивающим хранение данных по показателю </w:t>
      </w:r>
      <w:r w:rsidRPr="001B1FB6">
        <w:rPr>
          <w:rFonts w:hAnsi="Arial" w:cs="Arial"/>
          <w:lang w:val="en-US"/>
        </w:rPr>
        <w:t>14.a.1.</w:t>
      </w:r>
    </w:p>
    <w:p w:rsidR="001B1FB6" w:rsidRPr="001B1FB6" w:rsidRDefault="001B1FB6" w:rsidP="00635425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1B1FB6">
        <w:rPr>
          <w:rFonts w:hAnsi="Arial" w:cs="Arial"/>
          <w:lang w:val="ru-RU"/>
        </w:rPr>
        <w:t xml:space="preserve">Вместе с тем, </w:t>
      </w:r>
      <w:r>
        <w:rPr>
          <w:rFonts w:hAnsi="Arial" w:cs="Arial"/>
          <w:lang w:val="ru-RU"/>
        </w:rPr>
        <w:t xml:space="preserve">поскольку ГДСО предусмотрено подготавливать один раз в четыре-пять лет, потребуется механизм для </w:t>
      </w:r>
      <w:r w:rsidR="00C96A65">
        <w:rPr>
          <w:rFonts w:hAnsi="Arial" w:cs="Arial"/>
          <w:lang w:val="ru-RU"/>
        </w:rPr>
        <w:t xml:space="preserve">более регулярного </w:t>
      </w:r>
      <w:r>
        <w:rPr>
          <w:rFonts w:hAnsi="Arial" w:cs="Arial"/>
          <w:lang w:val="ru-RU"/>
        </w:rPr>
        <w:t xml:space="preserve">сбора и представления запрашиваемой информации. </w:t>
      </w:r>
      <w:r w:rsidR="009B1042">
        <w:rPr>
          <w:rFonts w:hAnsi="Arial" w:cs="Arial"/>
          <w:lang w:val="ru-RU"/>
        </w:rPr>
        <w:t xml:space="preserve">Эту задачу предлагается решить путем создания портала данных ГДСО. Ожидается, что государства-члены будут предоставлять данные каждые два года на основе усовершенствованного вопросника ГДСО (циркулярное письмо МОК </w:t>
      </w:r>
      <w:r w:rsidR="009B1042" w:rsidRPr="009B1042">
        <w:rPr>
          <w:rFonts w:hAnsi="Arial" w:cs="Arial"/>
          <w:lang w:val="en-US"/>
        </w:rPr>
        <w:t>CL</w:t>
      </w:r>
      <w:r w:rsidR="009B1042" w:rsidRPr="009B1042">
        <w:rPr>
          <w:rFonts w:hAnsi="Arial" w:cs="Arial"/>
          <w:lang w:val="ru-RU"/>
        </w:rPr>
        <w:t>-2506</w:t>
      </w:r>
      <w:r w:rsidR="009B1042">
        <w:rPr>
          <w:rFonts w:hAnsi="Arial" w:cs="Arial"/>
          <w:lang w:val="ru-RU"/>
        </w:rPr>
        <w:t xml:space="preserve">), который будет разработан при поддержке со стороны МООД и Статистического института ЮНЕСКО. </w:t>
      </w:r>
    </w:p>
    <w:p w:rsidR="009B1042" w:rsidRPr="009B1042" w:rsidRDefault="009B1042" w:rsidP="00635425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9B1042">
        <w:rPr>
          <w:rFonts w:hAnsi="Arial" w:cs="Arial"/>
          <w:lang w:val="ru-RU"/>
        </w:rPr>
        <w:t xml:space="preserve">На этом портале данных </w:t>
      </w:r>
      <w:r>
        <w:rPr>
          <w:rFonts w:hAnsi="Arial" w:cs="Arial"/>
          <w:lang w:val="ru-RU"/>
        </w:rPr>
        <w:t xml:space="preserve">будут размещены все виды данных, представленные в первом издании ГДСО, дополнительные данные из соответствующих существующих баз данных, а для обеспечения надлежащего подтверждения и контроля качества будут использованы другие опубликованные доклады по этой тематике. </w:t>
      </w:r>
    </w:p>
    <w:p w:rsidR="009B1042" w:rsidRPr="00CD0EBC" w:rsidRDefault="009B1042" w:rsidP="00635425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9B1042">
        <w:rPr>
          <w:rFonts w:hAnsi="Arial" w:cs="Arial"/>
          <w:lang w:val="ru-RU"/>
        </w:rPr>
        <w:t xml:space="preserve">Кроме того, </w:t>
      </w:r>
      <w:r w:rsidR="00CD0EBC">
        <w:rPr>
          <w:rFonts w:hAnsi="Arial" w:cs="Arial"/>
          <w:lang w:val="ru-RU"/>
        </w:rPr>
        <w:t xml:space="preserve">портал ГДСО будут тесно связан с новой системой «страновых обзоров МОК», создание которой началось в 2017 г. (совместные усилия Штаб-квартиры МОК и Бюро МОК </w:t>
      </w:r>
      <w:r w:rsidR="00CD0EBC" w:rsidRPr="00CD0EBC">
        <w:rPr>
          <w:rFonts w:hAnsi="Arial" w:cs="Arial"/>
          <w:lang w:val="ru-RU"/>
        </w:rPr>
        <w:t>по проектам</w:t>
      </w:r>
      <w:r w:rsidR="00CD0EBC">
        <w:rPr>
          <w:rFonts w:hAnsi="Arial" w:cs="Arial"/>
          <w:lang w:val="ru-RU"/>
        </w:rPr>
        <w:t xml:space="preserve"> МООД, Остенде, Бельгия).</w:t>
      </w:r>
    </w:p>
    <w:p w:rsidR="00CD0EBC" w:rsidRPr="00CD0EBC" w:rsidRDefault="00CD0EBC" w:rsidP="00763BC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CD0EBC">
        <w:rPr>
          <w:rFonts w:hAnsi="Arial" w:cs="Arial"/>
          <w:lang w:val="ru-RU"/>
        </w:rPr>
        <w:t xml:space="preserve">Предусмотрено </w:t>
      </w:r>
      <w:r>
        <w:rPr>
          <w:rFonts w:hAnsi="Arial" w:cs="Arial"/>
          <w:lang w:val="ru-RU"/>
        </w:rPr>
        <w:t xml:space="preserve">начать эту работу с создания к концу 2017 г. хранилища документов. Это хранилище является основой для портала данных. </w:t>
      </w:r>
      <w:r w:rsidR="000C1A8A">
        <w:rPr>
          <w:rFonts w:hAnsi="Arial" w:cs="Arial"/>
          <w:lang w:val="ru-RU"/>
        </w:rPr>
        <w:t>П</w:t>
      </w:r>
      <w:r w:rsidR="000C1A8A" w:rsidRPr="000C1A8A">
        <w:rPr>
          <w:rFonts w:hAnsi="Arial" w:cs="Arial"/>
          <w:lang w:val="ru-RU"/>
        </w:rPr>
        <w:t>осле принятия проекта решения</w:t>
      </w:r>
      <w:r w:rsidR="00E30A5B">
        <w:rPr>
          <w:rFonts w:hAnsi="Arial" w:cs="Arial"/>
          <w:lang w:val="ru-RU"/>
        </w:rPr>
        <w:t> </w:t>
      </w:r>
      <w:r w:rsidR="000C1A8A" w:rsidRPr="000C1A8A">
        <w:rPr>
          <w:rFonts w:hAnsi="Arial" w:cs="Arial"/>
          <w:lang w:val="en-US"/>
        </w:rPr>
        <w:t>XXIX</w:t>
      </w:r>
      <w:r w:rsidR="000C1A8A" w:rsidRPr="000C1A8A">
        <w:rPr>
          <w:rFonts w:hAnsi="Arial" w:cs="Arial"/>
          <w:lang w:val="ru-RU"/>
        </w:rPr>
        <w:t xml:space="preserve">/5.1 Ассамблеей МОК на ее 29-й сессии </w:t>
      </w:r>
      <w:r>
        <w:rPr>
          <w:rFonts w:hAnsi="Arial" w:cs="Arial"/>
          <w:lang w:val="ru-RU"/>
        </w:rPr>
        <w:t xml:space="preserve">Секретариат МОК (в Штаб-квартире и в Бюро МОК по проектам МООД) в сотрудничестве со Статистическим институтом ЮНЕСКО подготовит подробное предложение относительно портала данных ГДСО, включая </w:t>
      </w:r>
      <w:r w:rsidR="000C1A8A">
        <w:rPr>
          <w:rFonts w:hAnsi="Arial" w:cs="Arial"/>
          <w:lang w:val="ru-RU"/>
        </w:rPr>
        <w:t xml:space="preserve">аспекты </w:t>
      </w:r>
      <w:r>
        <w:rPr>
          <w:rFonts w:hAnsi="Arial" w:cs="Arial"/>
          <w:lang w:val="ru-RU"/>
        </w:rPr>
        <w:t>сбор</w:t>
      </w:r>
      <w:r w:rsidR="000C1A8A">
        <w:rPr>
          <w:rFonts w:hAnsi="Arial" w:cs="Arial"/>
          <w:lang w:val="ru-RU"/>
        </w:rPr>
        <w:t>а</w:t>
      </w:r>
      <w:r>
        <w:rPr>
          <w:rFonts w:hAnsi="Arial" w:cs="Arial"/>
          <w:lang w:val="ru-RU"/>
        </w:rPr>
        <w:t xml:space="preserve"> данных, анализ</w:t>
      </w:r>
      <w:r w:rsidR="000C1A8A">
        <w:rPr>
          <w:rFonts w:hAnsi="Arial" w:cs="Arial"/>
          <w:lang w:val="ru-RU"/>
        </w:rPr>
        <w:t>а</w:t>
      </w:r>
      <w:r>
        <w:rPr>
          <w:rFonts w:hAnsi="Arial" w:cs="Arial"/>
          <w:lang w:val="ru-RU"/>
        </w:rPr>
        <w:t xml:space="preserve"> данных, хранени</w:t>
      </w:r>
      <w:r w:rsidR="000C1A8A">
        <w:rPr>
          <w:rFonts w:hAnsi="Arial" w:cs="Arial"/>
          <w:lang w:val="ru-RU"/>
        </w:rPr>
        <w:t>я</w:t>
      </w:r>
      <w:r>
        <w:rPr>
          <w:rFonts w:hAnsi="Arial" w:cs="Arial"/>
          <w:lang w:val="ru-RU"/>
        </w:rPr>
        <w:t xml:space="preserve"> данных и отчетност</w:t>
      </w:r>
      <w:r w:rsidR="000C1A8A">
        <w:rPr>
          <w:rFonts w:hAnsi="Arial" w:cs="Arial"/>
          <w:lang w:val="ru-RU"/>
        </w:rPr>
        <w:t>и</w:t>
      </w:r>
      <w:r>
        <w:rPr>
          <w:rFonts w:hAnsi="Arial" w:cs="Arial"/>
          <w:lang w:val="ru-RU"/>
        </w:rPr>
        <w:t xml:space="preserve"> в отношении задачи </w:t>
      </w:r>
      <w:r w:rsidRPr="00CD0EBC">
        <w:rPr>
          <w:rFonts w:hAnsi="Arial" w:cs="Arial"/>
          <w:lang w:val="ru-RU"/>
        </w:rPr>
        <w:t>14.</w:t>
      </w:r>
      <w:r w:rsidRPr="00CD0EBC">
        <w:rPr>
          <w:rFonts w:hAnsi="Arial" w:cs="Arial"/>
          <w:lang w:val="en-US"/>
        </w:rPr>
        <w:t>a</w:t>
      </w:r>
      <w:r w:rsidR="000C1A8A">
        <w:rPr>
          <w:rFonts w:hAnsi="Arial" w:cs="Arial"/>
          <w:lang w:val="ru-RU"/>
        </w:rPr>
        <w:t>.</w:t>
      </w:r>
      <w:r>
        <w:rPr>
          <w:rFonts w:hAnsi="Arial" w:cs="Arial"/>
          <w:lang w:val="ru-RU"/>
        </w:rPr>
        <w:t xml:space="preserve"> </w:t>
      </w:r>
    </w:p>
    <w:p w:rsidR="000C1A8A" w:rsidRPr="000C1A8A" w:rsidRDefault="000C1A8A" w:rsidP="00763BC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>
        <w:rPr>
          <w:rFonts w:hAnsi="Arial" w:cs="Arial"/>
          <w:lang w:val="ru-RU"/>
        </w:rPr>
        <w:t>Для создания и ведения портала данных ГДСО потребуются дополнительные финансовые и кадровые ресурсы, поскольку эта работа выходит за рамки нынешних возможностей Секретариата МОК. Предполагается, что для выполнения этой задачи потребуется разработчик программного обеспечения и специалист по управлению данным</w:t>
      </w:r>
      <w:r w:rsidR="00C666F3">
        <w:rPr>
          <w:rFonts w:hAnsi="Arial" w:cs="Arial"/>
          <w:lang w:val="ru-RU"/>
        </w:rPr>
        <w:t>и</w:t>
      </w:r>
      <w:r>
        <w:rPr>
          <w:rFonts w:hAnsi="Arial" w:cs="Arial"/>
          <w:lang w:val="ru-RU"/>
        </w:rPr>
        <w:t xml:space="preserve">, </w:t>
      </w:r>
      <w:r w:rsidR="00F844F7">
        <w:rPr>
          <w:rFonts w:hAnsi="Arial" w:cs="Arial"/>
          <w:lang w:val="ru-RU"/>
        </w:rPr>
        <w:t>привлекаемый</w:t>
      </w:r>
      <w:r>
        <w:rPr>
          <w:rFonts w:hAnsi="Arial" w:cs="Arial"/>
          <w:lang w:val="ru-RU"/>
        </w:rPr>
        <w:t xml:space="preserve"> на условиях неполного </w:t>
      </w:r>
      <w:r w:rsidR="00F844F7">
        <w:rPr>
          <w:rFonts w:hAnsi="Arial" w:cs="Arial"/>
          <w:lang w:val="ru-RU"/>
        </w:rPr>
        <w:t xml:space="preserve">рабочего </w:t>
      </w:r>
      <w:r>
        <w:rPr>
          <w:rFonts w:hAnsi="Arial" w:cs="Arial"/>
          <w:lang w:val="ru-RU"/>
        </w:rPr>
        <w:t>дня.</w:t>
      </w:r>
    </w:p>
    <w:p w:rsidR="000C1A8A" w:rsidRPr="000C1A8A" w:rsidRDefault="000C1A8A" w:rsidP="00763BC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0C1A8A">
        <w:rPr>
          <w:rFonts w:hAnsi="Arial" w:cs="Arial"/>
          <w:lang w:val="ru-RU"/>
        </w:rPr>
        <w:t>Полностью с</w:t>
      </w:r>
      <w:r>
        <w:rPr>
          <w:rFonts w:hAnsi="Arial" w:cs="Arial"/>
          <w:lang w:val="ru-RU"/>
        </w:rPr>
        <w:t xml:space="preserve">формированный портал данных позволит </w:t>
      </w:r>
      <w:r w:rsidR="00B819C5">
        <w:rPr>
          <w:rFonts w:hAnsi="Arial" w:cs="Arial"/>
          <w:lang w:val="ru-RU"/>
        </w:rPr>
        <w:t xml:space="preserve">обеспечить представление и поиск </w:t>
      </w:r>
      <w:r w:rsidR="00B819C5" w:rsidRPr="00B819C5">
        <w:rPr>
          <w:rFonts w:hAnsi="Arial" w:cs="Arial"/>
          <w:lang w:val="ru-RU"/>
        </w:rPr>
        <w:t>(</w:t>
      </w:r>
      <w:r w:rsidR="008E0EFD">
        <w:rPr>
          <w:rFonts w:hAnsi="Arial" w:cs="Arial"/>
          <w:lang w:val="ru-RU"/>
        </w:rPr>
        <w:t>при контроле версии</w:t>
      </w:r>
      <w:r w:rsidR="00B819C5" w:rsidRPr="00B819C5">
        <w:rPr>
          <w:rFonts w:hAnsi="Arial" w:cs="Arial"/>
          <w:lang w:val="ru-RU"/>
        </w:rPr>
        <w:t xml:space="preserve">) </w:t>
      </w:r>
      <w:r w:rsidR="00B819C5">
        <w:rPr>
          <w:rFonts w:hAnsi="Arial" w:cs="Arial"/>
          <w:lang w:val="ru-RU"/>
        </w:rPr>
        <w:t xml:space="preserve">«необработанных данных», метаданных и публикаций. Сбор новых данных будет организован с регулярными промежутками времени, возможно каждые два года. Создание удобного для пользователя интерфейса и обеспечение многочисленных возможностей визуализации позволит различным заинтересованным сторонам, включая ученых, представителей гражданского общества, разработчиков политики и политических </w:t>
      </w:r>
      <w:r w:rsidR="00B819C5">
        <w:rPr>
          <w:rFonts w:hAnsi="Arial" w:cs="Arial"/>
          <w:lang w:val="ru-RU"/>
        </w:rPr>
        <w:lastRenderedPageBreak/>
        <w:t xml:space="preserve">деятелей, использовать </w:t>
      </w:r>
      <w:r w:rsidR="00447AB8">
        <w:rPr>
          <w:rFonts w:hAnsi="Arial" w:cs="Arial"/>
          <w:lang w:val="ru-RU"/>
        </w:rPr>
        <w:t xml:space="preserve">и распространять результаты первого и последующих изданий ГДСО в соответствии со своими конкретными потребностями. </w:t>
      </w:r>
    </w:p>
    <w:p w:rsidR="00447AB8" w:rsidRPr="005F1BAB" w:rsidRDefault="00447AB8" w:rsidP="00B47D05">
      <w:pPr>
        <w:pStyle w:val="Paragraphedeliste"/>
        <w:ind w:left="0" w:firstLine="0"/>
        <w:jc w:val="both"/>
        <w:rPr>
          <w:lang w:val="ru-RU"/>
        </w:rPr>
      </w:pPr>
      <w:r w:rsidRPr="00447AB8">
        <w:rPr>
          <w:rFonts w:hAnsi="Arial" w:cs="Arial"/>
          <w:lang w:val="ru-RU"/>
        </w:rPr>
        <w:t xml:space="preserve">Создание </w:t>
      </w:r>
      <w:r>
        <w:rPr>
          <w:rFonts w:hAnsi="Arial" w:cs="Arial"/>
          <w:lang w:val="ru-RU"/>
        </w:rPr>
        <w:t xml:space="preserve">хранилища данных ГДСО и соответствующего портала данных станет вкладом в выполнение Среднесрочной стратегии МОК на 2014-2021 гг. и Повестки дня в области устойчивого развития на период до 2030 г., в частности Цели 14 </w:t>
      </w:r>
      <w:r w:rsidRPr="00447AB8">
        <w:rPr>
          <w:rFonts w:hAnsi="Arial" w:cs="Arial"/>
          <w:lang w:val="ru-RU"/>
        </w:rPr>
        <w:t>(</w:t>
      </w:r>
      <w:r w:rsidR="005E3196" w:rsidRPr="00447AB8">
        <w:rPr>
          <w:rFonts w:hAnsi="Arial" w:cs="Arial"/>
          <w:lang w:val="ru-RU"/>
        </w:rPr>
        <w:t>«Сохранение и рациональное использование океанов, морей и морских ресурсов в</w:t>
      </w:r>
      <w:r w:rsidR="005E3196" w:rsidRPr="00447AB8">
        <w:rPr>
          <w:rFonts w:hAnsi="Arial" w:cs="Arial"/>
          <w:lang w:val="en-US"/>
        </w:rPr>
        <w:t> </w:t>
      </w:r>
      <w:r w:rsidR="005E3196" w:rsidRPr="00447AB8">
        <w:rPr>
          <w:rFonts w:hAnsi="Arial" w:cs="Arial"/>
          <w:lang w:val="ru-RU"/>
        </w:rPr>
        <w:t>интересах устойчивого развития»</w:t>
      </w:r>
      <w:r w:rsidR="00F936C4" w:rsidRPr="005F1BAB">
        <w:rPr>
          <w:rFonts w:hAnsi="Arial" w:cs="Arial"/>
          <w:lang w:val="ru-RU"/>
        </w:rPr>
        <w:t>;</w:t>
      </w:r>
      <w:r w:rsidR="00D14EB6" w:rsidRPr="005F1BAB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 xml:space="preserve">см. также проект решения </w:t>
      </w:r>
      <w:r w:rsidRPr="00447AB8">
        <w:rPr>
          <w:rFonts w:hAnsi="Arial" w:cs="Arial"/>
          <w:lang w:val="en-GB"/>
        </w:rPr>
        <w:t>IOC</w:t>
      </w:r>
      <w:r w:rsidRPr="00447AB8">
        <w:rPr>
          <w:rFonts w:hAnsi="Arial" w:cs="Arial"/>
          <w:lang w:val="ru-RU"/>
        </w:rPr>
        <w:t>-</w:t>
      </w:r>
      <w:r w:rsidRPr="00447AB8">
        <w:rPr>
          <w:rFonts w:hAnsi="Arial" w:cs="Arial"/>
          <w:lang w:val="en-GB"/>
        </w:rPr>
        <w:t>XXIX</w:t>
      </w:r>
      <w:r w:rsidRPr="00447AB8">
        <w:rPr>
          <w:rFonts w:hAnsi="Arial" w:cs="Arial"/>
          <w:lang w:val="ru-RU"/>
        </w:rPr>
        <w:t>/6.2.2</w:t>
      </w:r>
      <w:r>
        <w:rPr>
          <w:rFonts w:hAnsi="Arial" w:cs="Arial"/>
          <w:lang w:val="ru-RU"/>
        </w:rPr>
        <w:t xml:space="preserve"> «Стратегический план МОК по управлению данными и информацией, 2017-2021 гг.»)</w:t>
      </w:r>
      <w:r w:rsidR="00634844">
        <w:rPr>
          <w:rFonts w:hAnsi="Arial" w:cs="Arial"/>
          <w:lang w:val="ru-RU"/>
        </w:rPr>
        <w:t>.</w:t>
      </w:r>
    </w:p>
    <w:p w:rsidR="00763BC1" w:rsidRPr="00447AB8" w:rsidRDefault="00447AB8" w:rsidP="00763BC1">
      <w:pPr>
        <w:pStyle w:val="Paragraphedeliste"/>
        <w:numPr>
          <w:ilvl w:val="0"/>
          <w:numId w:val="0"/>
        </w:numPr>
        <w:jc w:val="both"/>
        <w:rPr>
          <w:b/>
          <w:lang w:val="ru-RU"/>
        </w:rPr>
      </w:pPr>
      <w:r w:rsidRPr="00447AB8">
        <w:rPr>
          <w:rFonts w:hAnsi="Arial" w:cs="Arial"/>
          <w:b/>
          <w:lang w:val="ru-RU"/>
        </w:rPr>
        <w:t>Будущие</w:t>
      </w:r>
      <w:r w:rsidRPr="00447AB8">
        <w:rPr>
          <w:rFonts w:hAnsi="Arial" w:cs="Arial"/>
          <w:b/>
          <w:lang w:val="en-US"/>
        </w:rPr>
        <w:t xml:space="preserve"> </w:t>
      </w:r>
      <w:r w:rsidRPr="00447AB8">
        <w:rPr>
          <w:rFonts w:hAnsi="Arial" w:cs="Arial"/>
          <w:b/>
          <w:lang w:val="ru-RU"/>
        </w:rPr>
        <w:t>издания</w:t>
      </w:r>
      <w:r w:rsidRPr="00447AB8">
        <w:rPr>
          <w:rFonts w:hAnsi="Arial" w:cs="Arial"/>
          <w:b/>
          <w:lang w:val="en-US"/>
        </w:rPr>
        <w:t xml:space="preserve"> </w:t>
      </w:r>
      <w:r w:rsidRPr="00447AB8">
        <w:rPr>
          <w:rFonts w:hAnsi="Arial" w:cs="Arial"/>
          <w:b/>
          <w:lang w:val="ru-RU"/>
        </w:rPr>
        <w:t>ГДСО</w:t>
      </w:r>
    </w:p>
    <w:p w:rsidR="00447AB8" w:rsidRPr="00447AB8" w:rsidRDefault="00447AB8" w:rsidP="008F0F81">
      <w:pPr>
        <w:pStyle w:val="Paragraphedeliste"/>
        <w:ind w:left="0" w:firstLine="0"/>
        <w:jc w:val="both"/>
        <w:rPr>
          <w:rFonts w:hAnsi="Arial" w:cs="Arial"/>
          <w:lang w:val="ru-RU"/>
        </w:rPr>
      </w:pPr>
      <w:r w:rsidRPr="00447AB8">
        <w:rPr>
          <w:rFonts w:hAnsi="Arial" w:cs="Arial"/>
          <w:lang w:val="ru-RU"/>
        </w:rPr>
        <w:t>Полное издание ГДСО</w:t>
      </w:r>
      <w:r>
        <w:rPr>
          <w:rFonts w:hAnsi="Arial" w:cs="Arial"/>
          <w:lang w:val="ru-RU"/>
        </w:rPr>
        <w:t xml:space="preserve"> будет публиковаться каждые четыре-пять лет (в соответствии с другими глобальными докладами ЮНЕСКО, </w:t>
      </w:r>
      <w:r w:rsidR="006F2C4C">
        <w:rPr>
          <w:rFonts w:hAnsi="Arial" w:cs="Arial"/>
          <w:lang w:val="ru-RU"/>
        </w:rPr>
        <w:t>такими как</w:t>
      </w:r>
      <w:r>
        <w:rPr>
          <w:rFonts w:hAnsi="Arial" w:cs="Arial"/>
          <w:lang w:val="ru-RU"/>
        </w:rPr>
        <w:t xml:space="preserve"> </w:t>
      </w:r>
      <w:r w:rsidR="006F2C4C" w:rsidRPr="006F2C4C">
        <w:rPr>
          <w:rFonts w:hAnsi="Arial" w:cs="Arial"/>
          <w:i/>
          <w:lang w:val="ru-RU"/>
        </w:rPr>
        <w:t xml:space="preserve">Доклад ЮНЕСКО по науке, </w:t>
      </w:r>
      <w:r w:rsidR="006F2C4C">
        <w:rPr>
          <w:rFonts w:hAnsi="Arial" w:cs="Arial"/>
          <w:i/>
          <w:lang w:val="ru-RU"/>
        </w:rPr>
        <w:t>Всемирный</w:t>
      </w:r>
      <w:r w:rsidR="006F2C4C" w:rsidRPr="006F2C4C">
        <w:rPr>
          <w:rFonts w:hAnsi="Arial" w:cs="Arial"/>
          <w:i/>
          <w:lang w:val="ru-RU"/>
        </w:rPr>
        <w:t xml:space="preserve"> доклад по мониторингу образования</w:t>
      </w:r>
      <w:r w:rsidR="006F2C4C">
        <w:rPr>
          <w:rFonts w:hAnsi="Arial" w:cs="Arial"/>
          <w:lang w:val="ru-RU"/>
        </w:rPr>
        <w:t>).</w:t>
      </w:r>
    </w:p>
    <w:p w:rsidR="006F2C4C" w:rsidRPr="006F2C4C" w:rsidRDefault="00DB0C16" w:rsidP="00DC1D1B">
      <w:pPr>
        <w:pStyle w:val="Paragraphedeliste"/>
        <w:ind w:left="0" w:firstLine="0"/>
        <w:jc w:val="both"/>
        <w:rPr>
          <w:rFonts w:hAnsi="Arial" w:cs="Arial"/>
          <w:lang w:val="ru-RU"/>
        </w:rPr>
      </w:pPr>
      <w:r>
        <w:rPr>
          <w:rFonts w:hAnsi="Arial" w:cs="Arial"/>
          <w:lang w:val="ru-RU"/>
        </w:rPr>
        <w:t>В целях</w:t>
      </w:r>
      <w:r w:rsidR="006F2C4C" w:rsidRPr="006F2C4C">
        <w:rPr>
          <w:rFonts w:hAnsi="Arial" w:cs="Arial"/>
          <w:lang w:val="ru-RU"/>
        </w:rPr>
        <w:t xml:space="preserve"> обеспечения преемственности и обновления</w:t>
      </w:r>
      <w:r w:rsidR="006F2C4C">
        <w:rPr>
          <w:rFonts w:hAnsi="Arial" w:cs="Arial"/>
          <w:lang w:val="ru-RU"/>
        </w:rPr>
        <w:t xml:space="preserve"> членство в независимом Редакционном совете ГДСО будет осуществляться на основе ротации (50% нынешних членов будут заменены незамедлительно с учетом их специализации, </w:t>
      </w:r>
      <w:r>
        <w:rPr>
          <w:rFonts w:hAnsi="Arial" w:cs="Arial"/>
          <w:lang w:val="ru-RU"/>
        </w:rPr>
        <w:t xml:space="preserve">факторов географического распределения и гендерной сбалансированности). Исполнительный секретарь или его представитель будет выступать в качестве секретаря Редакционного совета. Эта внешняя группа квалифицированных международных экспертов, обладающих опытом и знаниями в области науки об океане и/или научной дипломатии, статистики и оценки, будет руководить процессом подготовки доклада и дополнительно вносить свой вклад непосредственно, </w:t>
      </w:r>
      <w:r w:rsidR="008E0EFD">
        <w:rPr>
          <w:rFonts w:hAnsi="Arial" w:cs="Arial"/>
          <w:lang w:val="ru-RU"/>
        </w:rPr>
        <w:t>путем</w:t>
      </w:r>
      <w:r>
        <w:rPr>
          <w:rFonts w:hAnsi="Arial" w:cs="Arial"/>
          <w:lang w:val="ru-RU"/>
        </w:rPr>
        <w:t xml:space="preserve"> соавторства в составлении глав, или косвенно, предлагая авторов с учетом содержания доклада. </w:t>
      </w:r>
    </w:p>
    <w:p w:rsidR="00791108" w:rsidRPr="00DB0C16" w:rsidRDefault="00DB0C16" w:rsidP="00791108">
      <w:pPr>
        <w:jc w:val="both"/>
        <w:rPr>
          <w:b/>
          <w:lang w:val="ru-RU"/>
        </w:rPr>
      </w:pPr>
      <w:r w:rsidRPr="00DB0C16">
        <w:rPr>
          <w:b/>
          <w:lang w:val="ru-RU"/>
        </w:rPr>
        <w:t>Финансовые последствия</w:t>
      </w:r>
    </w:p>
    <w:p w:rsidR="00791108" w:rsidRPr="00791108" w:rsidRDefault="00791108" w:rsidP="00791108">
      <w:pPr>
        <w:jc w:val="both"/>
        <w:rPr>
          <w:lang w:val="en-US"/>
        </w:rPr>
      </w:pPr>
    </w:p>
    <w:p w:rsidR="00DB0C16" w:rsidRPr="00DB0C16" w:rsidRDefault="00DB0C16" w:rsidP="00DC1D1B">
      <w:pPr>
        <w:pStyle w:val="Paragraphedeliste"/>
        <w:ind w:left="0" w:firstLine="0"/>
        <w:jc w:val="both"/>
        <w:rPr>
          <w:rFonts w:hAnsi="Arial" w:cs="Arial"/>
          <w:lang w:val="ru-RU"/>
        </w:rPr>
      </w:pPr>
      <w:r>
        <w:rPr>
          <w:rFonts w:hAnsi="Arial" w:cs="Arial"/>
          <w:lang w:val="ru-RU"/>
        </w:rPr>
        <w:t>Согласно оценке,</w:t>
      </w:r>
      <w:r w:rsidRPr="00DB0C16">
        <w:rPr>
          <w:rFonts w:hAnsi="Arial" w:cs="Arial"/>
          <w:lang w:val="ru-RU"/>
        </w:rPr>
        <w:t xml:space="preserve"> расходы </w:t>
      </w:r>
      <w:r>
        <w:rPr>
          <w:rFonts w:hAnsi="Arial" w:cs="Arial"/>
          <w:lang w:val="ru-RU"/>
        </w:rPr>
        <w:t>на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выпуск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доклада</w:t>
      </w:r>
      <w:r w:rsidRPr="00DB0C16">
        <w:rPr>
          <w:rFonts w:hAnsi="Arial" w:cs="Arial"/>
          <w:lang w:val="ru-RU"/>
        </w:rPr>
        <w:t xml:space="preserve">, </w:t>
      </w:r>
      <w:r>
        <w:rPr>
          <w:rFonts w:hAnsi="Arial" w:cs="Arial"/>
          <w:lang w:val="ru-RU"/>
        </w:rPr>
        <w:t>включая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затраты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на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проведение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заседаний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Редакционного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совета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ГДСО</w:t>
      </w:r>
      <w:r w:rsidRPr="00DB0C16">
        <w:rPr>
          <w:rFonts w:hAnsi="Arial" w:cs="Arial"/>
          <w:lang w:val="ru-RU"/>
        </w:rPr>
        <w:t xml:space="preserve">, </w:t>
      </w:r>
      <w:r>
        <w:rPr>
          <w:rFonts w:hAnsi="Arial" w:cs="Arial"/>
          <w:lang w:val="ru-RU"/>
        </w:rPr>
        <w:t>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также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на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создание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и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ведение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портала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данных</w:t>
      </w:r>
      <w:r w:rsidRPr="00DB0C16">
        <w:rPr>
          <w:rFonts w:hAnsi="Arial" w:cs="Arial"/>
          <w:lang w:val="ru-RU"/>
        </w:rPr>
        <w:t xml:space="preserve">, </w:t>
      </w:r>
      <w:r>
        <w:rPr>
          <w:rFonts w:hAnsi="Arial" w:cs="Arial"/>
          <w:lang w:val="ru-RU"/>
        </w:rPr>
        <w:t>составят</w:t>
      </w:r>
      <w:r w:rsidRPr="00DB0C16">
        <w:rPr>
          <w:rFonts w:hAnsi="Arial" w:cs="Arial"/>
          <w:lang w:val="ru-RU"/>
        </w:rPr>
        <w:t xml:space="preserve"> </w:t>
      </w:r>
      <w:r>
        <w:rPr>
          <w:rFonts w:hAnsi="Arial" w:cs="Arial"/>
          <w:lang w:val="ru-RU"/>
        </w:rPr>
        <w:t>приблизительно</w:t>
      </w:r>
      <w:r w:rsidRPr="00DB0C16">
        <w:rPr>
          <w:rFonts w:hAnsi="Arial" w:cs="Arial"/>
          <w:lang w:val="ru-RU"/>
        </w:rPr>
        <w:t xml:space="preserve"> 250</w:t>
      </w:r>
      <w:r w:rsidRPr="00DB0C16">
        <w:rPr>
          <w:rFonts w:hAnsi="Arial" w:cs="Arial"/>
          <w:lang w:val="en-US"/>
        </w:rPr>
        <w:t> </w:t>
      </w:r>
      <w:r w:rsidRPr="00DB0C16">
        <w:rPr>
          <w:rFonts w:hAnsi="Arial" w:cs="Arial"/>
          <w:lang w:val="ru-RU"/>
        </w:rPr>
        <w:t xml:space="preserve">000 </w:t>
      </w:r>
      <w:r>
        <w:rPr>
          <w:rFonts w:hAnsi="Arial" w:cs="Arial"/>
          <w:lang w:val="ru-RU"/>
        </w:rPr>
        <w:t>долл</w:t>
      </w:r>
      <w:r w:rsidRPr="00DB0C16">
        <w:rPr>
          <w:rFonts w:hAnsi="Arial" w:cs="Arial"/>
          <w:lang w:val="ru-RU"/>
        </w:rPr>
        <w:t xml:space="preserve">. </w:t>
      </w:r>
      <w:r>
        <w:rPr>
          <w:rFonts w:hAnsi="Arial" w:cs="Arial"/>
          <w:lang w:val="ru-RU"/>
        </w:rPr>
        <w:t xml:space="preserve">за двухлетний период. </w:t>
      </w:r>
    </w:p>
    <w:p w:rsidR="00791108" w:rsidRPr="001C6FB4" w:rsidRDefault="00791108" w:rsidP="004A42F2">
      <w:pPr>
        <w:pStyle w:val="Paragraphedeliste"/>
        <w:numPr>
          <w:ilvl w:val="0"/>
          <w:numId w:val="0"/>
        </w:numPr>
        <w:jc w:val="both"/>
        <w:rPr>
          <w:lang w:val="ru-RU"/>
        </w:rPr>
      </w:pPr>
    </w:p>
    <w:sectPr w:rsidR="00791108" w:rsidRPr="001C6FB4" w:rsidSect="00B47D05">
      <w:headerReference w:type="even" r:id="rId12"/>
      <w:headerReference w:type="default" r:id="rId13"/>
      <w:headerReference w:type="first" r:id="rId14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CA" w:rsidRDefault="00CD24CA">
      <w:r>
        <w:separator/>
      </w:r>
    </w:p>
  </w:endnote>
  <w:endnote w:type="continuationSeparator" w:id="0">
    <w:p w:rsidR="00CD24CA" w:rsidRDefault="00C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CA" w:rsidRDefault="00CD24CA">
      <w:r>
        <w:separator/>
      </w:r>
    </w:p>
  </w:footnote>
  <w:footnote w:type="continuationSeparator" w:id="0">
    <w:p w:rsidR="00CD24CA" w:rsidRDefault="00CD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C962F0" w:rsidRDefault="003821AE">
    <w:pPr>
      <w:pStyle w:val="En-tte"/>
      <w:rPr>
        <w:szCs w:val="22"/>
      </w:rPr>
    </w:pPr>
    <w:r w:rsidRPr="00C2436B">
      <w:rPr>
        <w:szCs w:val="22"/>
        <w:highlight w:val="yellow"/>
      </w:rPr>
      <w:t>ICG/CARIBE-EWS II/WD</w:t>
    </w:r>
    <w:r w:rsidRPr="00C962F0">
      <w:rPr>
        <w:szCs w:val="22"/>
      </w:rPr>
      <w:t> </w:t>
    </w:r>
    <w:r w:rsidRPr="00C962F0">
      <w:rPr>
        <w:szCs w:val="22"/>
        <w:highlight w:val="cyan"/>
      </w:rPr>
      <w:t>__</w:t>
    </w:r>
  </w:p>
  <w:p w:rsidR="003821AE" w:rsidRPr="00C962F0" w:rsidRDefault="003821AE">
    <w:pPr>
      <w:pStyle w:val="En-tte"/>
      <w:rPr>
        <w:szCs w:val="22"/>
      </w:rPr>
    </w:pPr>
    <w:r w:rsidRPr="00C962F0">
      <w:rPr>
        <w:szCs w:val="22"/>
      </w:rPr>
      <w:t>Page </w:t>
    </w:r>
    <w:r w:rsidRPr="00C962F0">
      <w:rPr>
        <w:rStyle w:val="Numrodepage"/>
        <w:szCs w:val="22"/>
      </w:rPr>
      <w:fldChar w:fldCharType="begin"/>
    </w:r>
    <w:r w:rsidRPr="00C962F0">
      <w:rPr>
        <w:rStyle w:val="Numrodepage"/>
        <w:szCs w:val="22"/>
      </w:rPr>
      <w:instrText xml:space="preserve"> PAGE </w:instrText>
    </w:r>
    <w:r w:rsidRPr="00C962F0">
      <w:rPr>
        <w:rStyle w:val="Numrodepage"/>
        <w:szCs w:val="22"/>
      </w:rPr>
      <w:fldChar w:fldCharType="separate"/>
    </w:r>
    <w:r w:rsidR="005F1BAB">
      <w:rPr>
        <w:rStyle w:val="Numrodepage"/>
        <w:noProof/>
        <w:szCs w:val="22"/>
      </w:rPr>
      <w:t>2</w:t>
    </w:r>
    <w:r w:rsidRPr="00C962F0">
      <w:rPr>
        <w:rStyle w:val="Numrodepage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746B89" w:rsidRDefault="003821AE" w:rsidP="00DF2FB9">
    <w:pPr>
      <w:pStyle w:val="En-tte"/>
      <w:tabs>
        <w:tab w:val="clear" w:pos="8306"/>
      </w:tabs>
      <w:rPr>
        <w:szCs w:val="22"/>
      </w:rPr>
    </w:pPr>
    <w:r w:rsidRPr="00C2436B">
      <w:rPr>
        <w:szCs w:val="22"/>
        <w:highlight w:val="lightGray"/>
      </w:rPr>
      <w:t>IOC-XXIV/2 Annex</w:t>
    </w:r>
    <w:r w:rsidRPr="00746B89">
      <w:rPr>
        <w:szCs w:val="22"/>
      </w:rPr>
      <w:t xml:space="preserve"> </w:t>
    </w:r>
    <w:r w:rsidRPr="00746B89">
      <w:rPr>
        <w:szCs w:val="22"/>
        <w:highlight w:val="yellow"/>
      </w:rPr>
      <w:t>__</w:t>
    </w:r>
  </w:p>
  <w:p w:rsidR="003821AE" w:rsidRPr="00746B89" w:rsidRDefault="003821AE" w:rsidP="00DF2FB9">
    <w:pPr>
      <w:pStyle w:val="En-tte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Pr="00746B89">
      <w:rPr>
        <w:rStyle w:val="Numrodepage"/>
        <w:szCs w:val="22"/>
      </w:rPr>
      <w:fldChar w:fldCharType="begin"/>
    </w:r>
    <w:r w:rsidRPr="00746B89">
      <w:rPr>
        <w:rStyle w:val="Numrodepage"/>
        <w:szCs w:val="22"/>
      </w:rPr>
      <w:instrText xml:space="preserve"> PAGE </w:instrText>
    </w:r>
    <w:r w:rsidRPr="00746B89">
      <w:rPr>
        <w:rStyle w:val="Numrodepage"/>
        <w:szCs w:val="22"/>
      </w:rPr>
      <w:fldChar w:fldCharType="separate"/>
    </w:r>
    <w:r>
      <w:rPr>
        <w:rStyle w:val="Numrodepage"/>
        <w:noProof/>
        <w:szCs w:val="22"/>
      </w:rPr>
      <w:t>3</w:t>
    </w:r>
    <w:r w:rsidRPr="00746B89">
      <w:rPr>
        <w:rStyle w:val="Numrodepage"/>
        <w:szCs w:val="22"/>
      </w:rPr>
      <w:fldChar w:fldCharType="end"/>
    </w:r>
  </w:p>
  <w:p w:rsidR="003821AE" w:rsidRPr="00DF2FB9" w:rsidRDefault="003821AE" w:rsidP="00DF2FB9">
    <w:pPr>
      <w:pStyle w:val="En-tt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5F1BAB" w:rsidRDefault="00C30CB1" w:rsidP="005F1BAB">
    <w:pPr>
      <w:pStyle w:val="Marge"/>
      <w:tabs>
        <w:tab w:val="left" w:pos="5245"/>
      </w:tabs>
      <w:spacing w:after="0"/>
      <w:rPr>
        <w:rFonts w:cs="Arial"/>
        <w:szCs w:val="22"/>
        <w:lang w:val="fr-CH"/>
      </w:rPr>
    </w:pPr>
    <w:r w:rsidRPr="00B47D05">
      <w:rPr>
        <w:rFonts w:cs="Arial"/>
        <w:szCs w:val="22"/>
        <w:lang w:val="ru-RU"/>
      </w:rPr>
      <w:t>Рассылается по списку</w:t>
    </w:r>
    <w:r w:rsidR="003821AE" w:rsidRPr="00B47D05">
      <w:rPr>
        <w:rFonts w:cs="Arial"/>
        <w:szCs w:val="22"/>
        <w:lang w:val="ru-RU"/>
      </w:rPr>
      <w:tab/>
    </w:r>
    <w:r w:rsidR="003821AE" w:rsidRPr="00B47D05">
      <w:rPr>
        <w:rFonts w:cs="Arial"/>
        <w:b/>
        <w:sz w:val="36"/>
        <w:szCs w:val="36"/>
      </w:rPr>
      <w:t>IOC</w:t>
    </w:r>
    <w:r w:rsidR="003821AE" w:rsidRPr="00B47D05">
      <w:rPr>
        <w:rFonts w:cs="Arial"/>
        <w:b/>
        <w:sz w:val="36"/>
        <w:szCs w:val="36"/>
        <w:lang w:val="ru-RU"/>
      </w:rPr>
      <w:t>-</w:t>
    </w:r>
    <w:r w:rsidR="003821AE" w:rsidRPr="00B47D05">
      <w:rPr>
        <w:rFonts w:cs="Arial"/>
        <w:b/>
        <w:sz w:val="36"/>
        <w:szCs w:val="36"/>
      </w:rPr>
      <w:t>XXIX</w:t>
    </w:r>
    <w:r w:rsidR="003821AE" w:rsidRPr="00B47D05">
      <w:rPr>
        <w:rFonts w:cs="Arial"/>
        <w:b/>
        <w:sz w:val="36"/>
        <w:szCs w:val="36"/>
        <w:lang w:val="ru-RU"/>
      </w:rPr>
      <w:t xml:space="preserve">/2 </w:t>
    </w:r>
    <w:r w:rsidR="003821AE" w:rsidRPr="00B47D05">
      <w:rPr>
        <w:rFonts w:cs="Arial"/>
        <w:b/>
        <w:sz w:val="36"/>
        <w:szCs w:val="36"/>
      </w:rPr>
      <w:t>Annex</w:t>
    </w:r>
    <w:r w:rsidR="003821AE" w:rsidRPr="00B47D05">
      <w:rPr>
        <w:rFonts w:cs="Arial"/>
        <w:b/>
        <w:sz w:val="36"/>
        <w:szCs w:val="36"/>
        <w:lang w:val="ru-RU"/>
      </w:rPr>
      <w:t xml:space="preserve"> 10</w:t>
    </w:r>
    <w:r w:rsidR="005F1BAB">
      <w:rPr>
        <w:rFonts w:cs="Arial"/>
        <w:b/>
        <w:sz w:val="36"/>
        <w:szCs w:val="36"/>
        <w:lang w:val="fr-CH"/>
      </w:rPr>
      <w:t xml:space="preserve"> </w:t>
    </w:r>
    <w:proofErr w:type="spellStart"/>
    <w:r w:rsidR="005F1BAB">
      <w:rPr>
        <w:rFonts w:cs="Arial"/>
        <w:b/>
        <w:sz w:val="36"/>
        <w:szCs w:val="36"/>
        <w:lang w:val="fr-CH"/>
      </w:rPr>
      <w:t>Rev</w:t>
    </w:r>
    <w:proofErr w:type="spellEnd"/>
    <w:r w:rsidR="005F1BAB">
      <w:rPr>
        <w:rFonts w:cs="Arial"/>
        <w:b/>
        <w:sz w:val="36"/>
        <w:szCs w:val="36"/>
        <w:lang w:val="fr-CH"/>
      </w:rPr>
      <w:t>.</w:t>
    </w:r>
  </w:p>
  <w:p w:rsidR="003821AE" w:rsidRPr="00B47D05" w:rsidRDefault="003821AE" w:rsidP="005F1BAB">
    <w:pPr>
      <w:tabs>
        <w:tab w:val="clear" w:pos="567"/>
        <w:tab w:val="left" w:pos="5245"/>
        <w:tab w:val="left" w:pos="6120"/>
      </w:tabs>
      <w:jc w:val="both"/>
      <w:rPr>
        <w:rFonts w:cs="Arial"/>
        <w:b/>
        <w:szCs w:val="22"/>
        <w:lang w:val="ru-RU"/>
      </w:rPr>
    </w:pPr>
  </w:p>
  <w:p w:rsidR="003821AE" w:rsidRPr="00B47D05" w:rsidRDefault="003821AE" w:rsidP="005F1BAB">
    <w:pPr>
      <w:tabs>
        <w:tab w:val="clear" w:pos="567"/>
        <w:tab w:val="left" w:pos="5245"/>
      </w:tabs>
      <w:jc w:val="both"/>
      <w:rPr>
        <w:rFonts w:cs="Arial"/>
        <w:szCs w:val="22"/>
        <w:lang w:val="ru-RU"/>
      </w:rPr>
    </w:pPr>
    <w:r w:rsidRPr="00B47D05">
      <w:rPr>
        <w:rFonts w:cs="Arial"/>
        <w:b/>
        <w:szCs w:val="22"/>
        <w:lang w:val="ru-RU"/>
      </w:rPr>
      <w:tab/>
    </w:r>
    <w:r w:rsidR="00C30CB1" w:rsidRPr="00B47D05">
      <w:rPr>
        <w:rFonts w:cs="Arial"/>
        <w:szCs w:val="22"/>
        <w:lang w:val="ru-RU"/>
      </w:rPr>
      <w:t>Париж</w:t>
    </w:r>
    <w:r w:rsidRPr="00B47D05">
      <w:rPr>
        <w:rFonts w:cs="Arial"/>
        <w:szCs w:val="22"/>
        <w:lang w:val="ru-RU"/>
      </w:rPr>
      <w:t xml:space="preserve">, </w:t>
    </w:r>
    <w:r w:rsidR="005F1BAB">
      <w:rPr>
        <w:rFonts w:cs="Arial"/>
        <w:szCs w:val="22"/>
        <w:lang w:val="fr-CH"/>
      </w:rPr>
      <w:t>23</w:t>
    </w:r>
    <w:r w:rsidR="00C30CB1" w:rsidRPr="00B47D05">
      <w:rPr>
        <w:rFonts w:cs="Arial"/>
        <w:szCs w:val="22"/>
        <w:lang w:val="ru-RU"/>
      </w:rPr>
      <w:t xml:space="preserve"> июня</w:t>
    </w:r>
    <w:r w:rsidRPr="00B47D05">
      <w:rPr>
        <w:rFonts w:cs="Arial"/>
        <w:szCs w:val="22"/>
        <w:lang w:val="ru-RU"/>
      </w:rPr>
      <w:t xml:space="preserve"> 2017</w:t>
    </w:r>
    <w:r w:rsidR="00C30CB1" w:rsidRPr="00B47D05">
      <w:rPr>
        <w:rFonts w:cs="Arial"/>
        <w:szCs w:val="22"/>
        <w:lang w:val="ru-RU"/>
      </w:rPr>
      <w:t xml:space="preserve"> г.</w:t>
    </w:r>
  </w:p>
  <w:p w:rsidR="003821AE" w:rsidRPr="00B47D05" w:rsidRDefault="003821AE" w:rsidP="005F1BAB">
    <w:pPr>
      <w:tabs>
        <w:tab w:val="clear" w:pos="567"/>
        <w:tab w:val="left" w:pos="5245"/>
      </w:tabs>
      <w:jc w:val="both"/>
      <w:rPr>
        <w:rFonts w:cs="Arial"/>
        <w:szCs w:val="22"/>
        <w:lang w:val="ru-RU"/>
      </w:rPr>
    </w:pPr>
    <w:r w:rsidRPr="00B47D05">
      <w:rPr>
        <w:rFonts w:cs="Arial"/>
        <w:b/>
        <w:szCs w:val="22"/>
        <w:lang w:val="ru-RU"/>
      </w:rPr>
      <w:tab/>
    </w:r>
    <w:r w:rsidR="00C30CB1" w:rsidRPr="00B47D05">
      <w:rPr>
        <w:rFonts w:cs="Arial"/>
        <w:szCs w:val="22"/>
        <w:lang w:val="ru-RU"/>
      </w:rPr>
      <w:t>Оригинал: английский</w:t>
    </w:r>
  </w:p>
  <w:p w:rsidR="003821AE" w:rsidRPr="00B47D05" w:rsidRDefault="003821AE" w:rsidP="005F1BA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:rsidR="003821AE" w:rsidRPr="00B47D05" w:rsidRDefault="003821AE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:rsidR="003821AE" w:rsidRPr="00B47D05" w:rsidRDefault="003821A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  <w:r w:rsidRPr="00B47D05">
      <w:rPr>
        <w:rFonts w:cs="Arial"/>
        <w:noProof/>
        <w:snapToGrid/>
        <w:szCs w:val="22"/>
        <w:lang w:val="fr-FR" w:eastAsia="zh-CN"/>
      </w:rPr>
      <w:drawing>
        <wp:anchor distT="0" distB="0" distL="114300" distR="114300" simplePos="0" relativeHeight="251657216" behindDoc="1" locked="0" layoutInCell="1" allowOverlap="1" wp14:anchorId="221EDEDE" wp14:editId="15589FB3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B1" w:rsidRPr="00B47D05">
      <w:rPr>
        <w:rFonts w:cs="Arial"/>
        <w:b/>
        <w:sz w:val="24"/>
        <w:lang w:val="ru-RU"/>
      </w:rPr>
      <w:t xml:space="preserve">МЕЖПРАВИТЕЛЬСТВЕННАЯ ОКЕАНОГРАФИЧЕСКАЯ КОМИССИЯ </w:t>
    </w:r>
  </w:p>
  <w:p w:rsidR="003821AE" w:rsidRPr="00B47D05" w:rsidRDefault="003821A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bCs/>
        <w:sz w:val="24"/>
        <w:lang w:val="ru-RU"/>
      </w:rPr>
    </w:pPr>
    <w:r w:rsidRPr="00B47D05">
      <w:rPr>
        <w:rFonts w:cs="Arial"/>
        <w:b/>
        <w:bCs/>
        <w:sz w:val="24"/>
        <w:lang w:val="ru-RU"/>
      </w:rPr>
      <w:t>(</w:t>
    </w:r>
    <w:r w:rsidR="00C30CB1" w:rsidRPr="00B47D05">
      <w:rPr>
        <w:rFonts w:cs="Arial"/>
        <w:b/>
        <w:bCs/>
        <w:sz w:val="24"/>
        <w:lang w:val="ru-RU"/>
      </w:rPr>
      <w:t>ЮНЕСКО</w:t>
    </w:r>
    <w:r w:rsidRPr="00B47D05">
      <w:rPr>
        <w:rFonts w:cs="Arial"/>
        <w:b/>
        <w:bCs/>
        <w:sz w:val="24"/>
        <w:lang w:val="ru-RU"/>
      </w:rPr>
      <w:t>)</w:t>
    </w:r>
  </w:p>
  <w:p w:rsidR="003821AE" w:rsidRPr="00B47D05" w:rsidRDefault="003821AE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:rsidR="003821AE" w:rsidRPr="00B47D05" w:rsidRDefault="00C30CB1" w:rsidP="00294AD5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  <w:r w:rsidRPr="00B47D05">
      <w:rPr>
        <w:rFonts w:cs="Arial"/>
        <w:b/>
        <w:sz w:val="24"/>
        <w:lang w:val="ru-RU"/>
      </w:rPr>
      <w:t>Двадцать девятая сессия Ассамблеи</w:t>
    </w:r>
  </w:p>
  <w:p w:rsidR="003821AE" w:rsidRPr="00B47D05" w:rsidRDefault="00C30CB1" w:rsidP="00294AD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  <w:lang w:val="ru-RU"/>
      </w:rPr>
    </w:pPr>
    <w:r w:rsidRPr="00B47D05">
      <w:rPr>
        <w:rFonts w:cs="Arial"/>
        <w:sz w:val="24"/>
        <w:lang w:val="ru-RU"/>
      </w:rPr>
      <w:t>ЮНЕСКО</w:t>
    </w:r>
    <w:r w:rsidR="003821AE" w:rsidRPr="00B47D05">
      <w:rPr>
        <w:rFonts w:cs="Arial"/>
        <w:sz w:val="24"/>
        <w:lang w:val="ru-RU"/>
      </w:rPr>
      <w:t xml:space="preserve">, </w:t>
    </w:r>
    <w:r w:rsidRPr="00B47D05">
      <w:rPr>
        <w:rFonts w:cs="Arial"/>
        <w:sz w:val="24"/>
        <w:lang w:val="ru-RU"/>
      </w:rPr>
      <w:t>Париж</w:t>
    </w:r>
    <w:r w:rsidR="003821AE" w:rsidRPr="00B47D05">
      <w:rPr>
        <w:rFonts w:cs="Arial"/>
        <w:sz w:val="24"/>
        <w:lang w:val="ru-RU"/>
      </w:rPr>
      <w:t>, 21</w:t>
    </w:r>
    <w:r w:rsidR="00B47D05" w:rsidRPr="005F1BAB">
      <w:rPr>
        <w:rFonts w:cs="Arial"/>
        <w:sz w:val="24"/>
        <w:lang w:val="ru-RU"/>
      </w:rPr>
      <w:t>-</w:t>
    </w:r>
    <w:r w:rsidR="003821AE" w:rsidRPr="00B47D05">
      <w:rPr>
        <w:rFonts w:cs="Arial"/>
        <w:sz w:val="24"/>
        <w:lang w:val="ru-RU"/>
      </w:rPr>
      <w:t xml:space="preserve">29 </w:t>
    </w:r>
    <w:r w:rsidRPr="00B47D05">
      <w:rPr>
        <w:rFonts w:cs="Arial"/>
        <w:sz w:val="24"/>
        <w:lang w:val="ru-RU"/>
      </w:rPr>
      <w:t>июня</w:t>
    </w:r>
    <w:r w:rsidR="003821AE" w:rsidRPr="00B47D05">
      <w:rPr>
        <w:rFonts w:cs="Arial"/>
        <w:sz w:val="24"/>
        <w:lang w:val="ru-RU"/>
      </w:rPr>
      <w:t xml:space="preserve"> 2017</w:t>
    </w:r>
    <w:r w:rsidRPr="00B47D05">
      <w:rPr>
        <w:rFonts w:cs="Arial"/>
        <w:sz w:val="24"/>
        <w:lang w:val="ru-RU"/>
      </w:rPr>
      <w:t xml:space="preserve"> г.</w:t>
    </w:r>
  </w:p>
  <w:p w:rsidR="003821AE" w:rsidRPr="00B47D05" w:rsidRDefault="003821AE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  <w:lang w:val="ru-RU"/>
      </w:rPr>
    </w:pPr>
  </w:p>
  <w:p w:rsidR="003821AE" w:rsidRPr="00B47D05" w:rsidRDefault="003821AE" w:rsidP="00DF2FB9">
    <w:pPr>
      <w:jc w:val="center"/>
      <w:rPr>
        <w:rFonts w:cs="Arial"/>
        <w:szCs w:val="22"/>
        <w:lang w:val="ru-RU"/>
      </w:rPr>
    </w:pPr>
  </w:p>
  <w:p w:rsidR="003821AE" w:rsidRPr="00B47D05" w:rsidRDefault="00C30CB1" w:rsidP="00B47D05">
    <w:pPr>
      <w:pStyle w:val="Titre7"/>
      <w:tabs>
        <w:tab w:val="right" w:pos="9540"/>
      </w:tabs>
      <w:ind w:left="1134"/>
      <w:rPr>
        <w:rFonts w:cs="Arial"/>
        <w:sz w:val="24"/>
        <w:u w:val="none"/>
        <w:lang w:val="ru-RU"/>
      </w:rPr>
    </w:pPr>
    <w:r w:rsidRPr="00B47D05">
      <w:rPr>
        <w:rFonts w:cs="Arial"/>
        <w:sz w:val="24"/>
        <w:lang w:val="ru-RU"/>
      </w:rPr>
      <w:t>Пункт</w:t>
    </w:r>
    <w:r w:rsidR="003821AE" w:rsidRPr="00B47D05">
      <w:rPr>
        <w:rFonts w:cs="Arial"/>
        <w:sz w:val="24"/>
        <w:lang w:val="ru-RU"/>
      </w:rPr>
      <w:t xml:space="preserve"> </w:t>
    </w:r>
    <w:r w:rsidR="003821AE" w:rsidRPr="00B47D05">
      <w:rPr>
        <w:rFonts w:cs="Arial"/>
        <w:b/>
        <w:sz w:val="24"/>
        <w:lang w:val="ru-RU"/>
      </w:rPr>
      <w:t>5.1</w:t>
    </w:r>
    <w:r w:rsidR="003821AE" w:rsidRPr="00B47D05">
      <w:rPr>
        <w:rFonts w:cs="Arial"/>
        <w:sz w:val="24"/>
        <w:lang w:val="ru-RU"/>
      </w:rPr>
      <w:t xml:space="preserve"> </w:t>
    </w:r>
    <w:r w:rsidRPr="00B47D05">
      <w:rPr>
        <w:rFonts w:cs="Arial"/>
        <w:sz w:val="24"/>
        <w:lang w:val="ru-RU"/>
      </w:rPr>
      <w:t>предварительной повестки дня</w:t>
    </w:r>
  </w:p>
  <w:p w:rsidR="003821AE" w:rsidRPr="00B47D05" w:rsidRDefault="003821AE" w:rsidP="00DF2FB9">
    <w:pPr>
      <w:rPr>
        <w:rFonts w:cs="Arial"/>
        <w:szCs w:val="22"/>
        <w:lang w:val="ru-RU"/>
      </w:rPr>
    </w:pPr>
  </w:p>
  <w:p w:rsidR="003821AE" w:rsidRPr="00B47D05" w:rsidRDefault="003821AE" w:rsidP="00DF2FB9">
    <w:pPr>
      <w:rPr>
        <w:rFonts w:cs="Arial"/>
        <w:szCs w:val="22"/>
        <w:lang w:val="ru-RU"/>
      </w:rPr>
    </w:pPr>
  </w:p>
  <w:p w:rsidR="003821AE" w:rsidRPr="00B47D05" w:rsidRDefault="00B47D05" w:rsidP="00B47D05">
    <w:pPr>
      <w:pStyle w:val="Docheading"/>
      <w:rPr>
        <w:sz w:val="28"/>
        <w:szCs w:val="28"/>
        <w:lang w:val="ru-RU"/>
      </w:rPr>
    </w:pPr>
    <w:r w:rsidRPr="00B47D05">
      <w:rPr>
        <w:caps w:val="0"/>
        <w:sz w:val="28"/>
        <w:szCs w:val="28"/>
        <w:lang w:val="ru-RU"/>
      </w:rPr>
      <w:t xml:space="preserve">Глобальный доклад о состоянии океанографии: </w:t>
    </w:r>
    <w:r w:rsidRPr="00B47D05">
      <w:rPr>
        <w:caps w:val="0"/>
        <w:sz w:val="28"/>
        <w:szCs w:val="28"/>
        <w:lang w:val="ru-RU"/>
      </w:rPr>
      <w:br/>
      <w:t>перспективы и развитие</w:t>
    </w:r>
    <w:r w:rsidR="00C30CB1" w:rsidRPr="00B47D05">
      <w:rPr>
        <w:sz w:val="28"/>
        <w:szCs w:val="28"/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B47D05" w:rsidRDefault="003821AE" w:rsidP="00746B89">
    <w:pPr>
      <w:pStyle w:val="En-tte"/>
      <w:tabs>
        <w:tab w:val="clear" w:pos="8306"/>
      </w:tabs>
      <w:rPr>
        <w:rFonts w:cs="Arial"/>
        <w:szCs w:val="22"/>
      </w:rPr>
    </w:pPr>
    <w:r w:rsidRPr="00B47D05">
      <w:rPr>
        <w:rFonts w:cs="Arial"/>
        <w:szCs w:val="22"/>
      </w:rPr>
      <w:t>IOC-XXIX/2 Annex 10</w:t>
    </w:r>
    <w:r w:rsidR="005F1BAB">
      <w:rPr>
        <w:rFonts w:cs="Arial"/>
        <w:szCs w:val="22"/>
      </w:rPr>
      <w:t xml:space="preserve"> Rev.</w:t>
    </w:r>
    <w:r w:rsidR="00B47D05" w:rsidRPr="00B47D05">
      <w:rPr>
        <w:rFonts w:cs="Arial"/>
        <w:szCs w:val="22"/>
      </w:rPr>
      <w:t xml:space="preserve"> – </w:t>
    </w:r>
    <w:r w:rsidRPr="00B47D05">
      <w:rPr>
        <w:rFonts w:cs="Arial"/>
        <w:szCs w:val="22"/>
      </w:rPr>
      <w:t>page </w:t>
    </w:r>
    <w:r w:rsidRPr="00B47D05">
      <w:rPr>
        <w:rStyle w:val="Numrodepage"/>
        <w:rFonts w:cs="Arial"/>
        <w:szCs w:val="22"/>
      </w:rPr>
      <w:fldChar w:fldCharType="begin"/>
    </w:r>
    <w:r w:rsidRPr="00B47D05">
      <w:rPr>
        <w:rStyle w:val="Numrodepage"/>
        <w:rFonts w:cs="Arial"/>
        <w:szCs w:val="22"/>
      </w:rPr>
      <w:instrText xml:space="preserve"> PAGE </w:instrText>
    </w:r>
    <w:r w:rsidRPr="00B47D05">
      <w:rPr>
        <w:rStyle w:val="Numrodepage"/>
        <w:rFonts w:cs="Arial"/>
        <w:szCs w:val="22"/>
      </w:rPr>
      <w:fldChar w:fldCharType="separate"/>
    </w:r>
    <w:r w:rsidR="003F3362">
      <w:rPr>
        <w:rStyle w:val="Numrodepage"/>
        <w:rFonts w:cs="Arial"/>
        <w:noProof/>
        <w:szCs w:val="22"/>
      </w:rPr>
      <w:t>4</w:t>
    </w:r>
    <w:r w:rsidRPr="00B47D05">
      <w:rPr>
        <w:rStyle w:val="Numrodepage"/>
        <w:rFonts w:cs="Arial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B47D05" w:rsidRDefault="003821AE" w:rsidP="00B47D05">
    <w:pPr>
      <w:pStyle w:val="En-tte"/>
      <w:tabs>
        <w:tab w:val="clear" w:pos="8306"/>
      </w:tabs>
      <w:ind w:left="5812"/>
      <w:jc w:val="right"/>
      <w:rPr>
        <w:rFonts w:cs="Arial"/>
        <w:szCs w:val="22"/>
        <w:lang w:val="en-US"/>
      </w:rPr>
    </w:pPr>
    <w:r w:rsidRPr="00B47D05">
      <w:rPr>
        <w:rFonts w:cs="Arial"/>
        <w:szCs w:val="22"/>
        <w:lang w:val="en-US"/>
      </w:rPr>
      <w:t>IOC-XXIX/2 Annex 10</w:t>
    </w:r>
    <w:r w:rsidR="00B47D05" w:rsidRPr="00B47D05">
      <w:rPr>
        <w:rFonts w:cs="Arial"/>
        <w:szCs w:val="22"/>
        <w:lang w:val="en-US"/>
      </w:rPr>
      <w:t xml:space="preserve"> </w:t>
    </w:r>
    <w:r w:rsidR="005F1BAB">
      <w:rPr>
        <w:rFonts w:cs="Arial"/>
        <w:szCs w:val="22"/>
        <w:lang w:val="en-US"/>
      </w:rPr>
      <w:t xml:space="preserve">Rev. </w:t>
    </w:r>
    <w:r w:rsidR="00B47D05" w:rsidRPr="00B47D05">
      <w:rPr>
        <w:rFonts w:cs="Arial"/>
        <w:szCs w:val="22"/>
        <w:lang w:val="en-US"/>
      </w:rPr>
      <w:t xml:space="preserve">– </w:t>
    </w:r>
    <w:r w:rsidRPr="00B47D05">
      <w:rPr>
        <w:rFonts w:cs="Arial"/>
        <w:szCs w:val="22"/>
        <w:lang w:val="en-US"/>
      </w:rPr>
      <w:t>page </w:t>
    </w:r>
    <w:r w:rsidRPr="00B47D05">
      <w:rPr>
        <w:rStyle w:val="Numrodepage"/>
        <w:rFonts w:cs="Arial"/>
        <w:szCs w:val="22"/>
        <w:lang w:val="en-US"/>
      </w:rPr>
      <w:fldChar w:fldCharType="begin"/>
    </w:r>
    <w:r w:rsidRPr="00B47D05">
      <w:rPr>
        <w:rStyle w:val="Numrodepage"/>
        <w:rFonts w:cs="Arial"/>
        <w:szCs w:val="22"/>
        <w:lang w:val="en-US"/>
      </w:rPr>
      <w:instrText xml:space="preserve"> PAGE </w:instrText>
    </w:r>
    <w:r w:rsidRPr="00B47D05">
      <w:rPr>
        <w:rStyle w:val="Numrodepage"/>
        <w:rFonts w:cs="Arial"/>
        <w:szCs w:val="22"/>
        <w:lang w:val="en-US"/>
      </w:rPr>
      <w:fldChar w:fldCharType="separate"/>
    </w:r>
    <w:r w:rsidR="003F3362">
      <w:rPr>
        <w:rStyle w:val="Numrodepage"/>
        <w:rFonts w:cs="Arial"/>
        <w:noProof/>
        <w:szCs w:val="22"/>
        <w:lang w:val="en-US"/>
      </w:rPr>
      <w:t>5</w:t>
    </w:r>
    <w:r w:rsidRPr="00B47D05">
      <w:rPr>
        <w:rStyle w:val="Numrodepage"/>
        <w:rFonts w:cs="Arial"/>
        <w:szCs w:val="22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E" w:rsidRPr="003229BE" w:rsidRDefault="003821AE" w:rsidP="003229BE">
    <w:pPr>
      <w:pStyle w:val="En-tte"/>
      <w:tabs>
        <w:tab w:val="clear" w:pos="8306"/>
      </w:tabs>
      <w:ind w:right="140"/>
      <w:jc w:val="right"/>
      <w:rPr>
        <w:rFonts w:cs="Arial"/>
        <w:szCs w:val="22"/>
      </w:rPr>
    </w:pPr>
    <w:r w:rsidRPr="00B47D05">
      <w:rPr>
        <w:rFonts w:cs="Arial"/>
        <w:szCs w:val="22"/>
      </w:rPr>
      <w:t>IOC-XXIX/2 Annex 10</w:t>
    </w:r>
    <w:r w:rsidR="005F1BAB">
      <w:rPr>
        <w:rFonts w:cs="Arial"/>
        <w:szCs w:val="22"/>
      </w:rPr>
      <w:t xml:space="preserve">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epuces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35E5D85"/>
    <w:multiLevelType w:val="hybridMultilevel"/>
    <w:tmpl w:val="E94244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A56"/>
    <w:multiLevelType w:val="hybridMultilevel"/>
    <w:tmpl w:val="458C5E00"/>
    <w:lvl w:ilvl="0" w:tplc="E174E4D6">
      <w:start w:val="1"/>
      <w:numFmt w:val="decimal"/>
      <w:pStyle w:val="Paragraphedeliste"/>
      <w:lvlText w:val="%1."/>
      <w:lvlJc w:val="left"/>
      <w:pPr>
        <w:ind w:left="1440" w:hanging="360"/>
      </w:pPr>
      <w:rPr>
        <w:rFonts w:hint="default"/>
      </w:rPr>
    </w:lvl>
    <w:lvl w:ilvl="1" w:tplc="E796F0F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UNESCOTERM-Acronyms-mai-2016|UNESCOTERM-Long-mai-2016|UNESCOTERM-Short-mai-2016|UNESCOTERM-Acronyms-01-07-2015|UNESCOTERM-Long-01-07-2015|UNESCOTERM-Short-01-07-2015"/>
    <w:docVar w:name="TermBaseURL" w:val="empty"/>
    <w:docVar w:name="TextBases" w:val="HQ-MULTITRANS.hq.int.unesco.org\TextBase TMs\C-4-C-5\39-C-5|HQ-MULTITRANS.hq.int.unesco.org\TextBase TMs\C-4-C-5\34-C-4-C-5|HQ-MULTITRANS.hq.int.unesco.org\TextBase TMs\C-4-C-5\35-C-5|HQ-MULTITRANS.hq.int.unesco.org\TextBase TMs\C-4-C-5\36-C-5|HQ-MULTITRANS.hq.int.unesco.org\TextBase TMs\C-4-C-5\37-C-4-C-5|HQ-MULTITRANS.hq.int.unesco.org\TextBase TMs\C-4-C-5\38-C-5|HQ-MULTITRANS.hq.int.unesco.org\TextBase TMs\Test\Pour-prétraitement-C-5|HQ-MULTITRANS.hq.int.unesco.org\TextBase TMs\BASIC-TEXTS|HQ-MULTITRANS.hq.int.unesco.org\TextBase TMs\CI-2013-2017|HQ-MULTITRANS.hq.int.unesco.org\TextBase TMs\CI-until-2012|HQ-MULTITRANS.hq.int.unesco.org\TextBase TMs\CLT-2013-2017|HQ-MULTITRANS.hq.int.unesco.org\TextBase TMs\CLT-until-2012|HQ-MULTITRANS.hq.int.unesco.org\TextBase TMs\DG|HQ-MULTITRANS.hq.int.unesco.org\TextBase TMs\DIVERS|HQ-MULTITRANS.hq.int.unesco.org\TextBase TMs\ED-2013-2017|HQ-MULTITRANS.hq.int.unesco.org\TextBase TMs\ED-until-2012|HQ-MULTITRANS.hq.int.unesco.org\TextBase TMs\EFA-GMR-2010|HQ-MULTITRANS.hq.int.unesco.org\TextBase TMs\EFA-GMR-2011|HQ-MULTITRANS.hq.int.unesco.org\TextBase TMs\EFA-GMR-2012|HQ-MULTITRANS.hq.int.unesco.org\TextBase TMs\EFA-GMR-2013|HQ-MULTITRANS.hq.int.unesco.org\TextBase TMs\EFA-GMR-2015|HQ-MULTITRANS.hq.int.unesco.org\TextBase TMs\EX-GC-2008-2012|HQ-MULTITRANS.hq.int.unesco.org\TextBase TMs\EX-GC-2013-2017|HQ-MULTITRANS.hq.int.unesco.org\TextBase TMs\EX-GC-until-2007|HQ-MULTITRANS.hq.int.unesco.org\TextBase TMs\IOS|HQ-MULTITRANS.hq.int.unesco.org\TextBase TMs\LETTRES-CIRCULAIRES|HQ-MULTITRANS.hq.int.unesco.org\TextBase TMs\ONU|HQ-MULTITRANS.hq.int.unesco.org\TextBase TMs\RES-DEC|HQ-MULTITRANS.hq.int.unesco.org\TextBase TMs\SC-2013-2017|HQ-MULTITRANS.hq.int.unesco.org\TextBase TMs\SC-until-2012|HQ-MULTITRANS.hq.int.unesco.org\TextBase TMs\SHS-2013-2017|HQ-MULTITRANS.hq.int.unesco.org\TextBase TMs\SHS-until-2012"/>
    <w:docVar w:name="TextBaseURL" w:val="empty"/>
    <w:docVar w:name="UILng" w:val="fr"/>
  </w:docVars>
  <w:rsids>
    <w:rsidRoot w:val="00CC1086"/>
    <w:rsid w:val="00003B31"/>
    <w:rsid w:val="00004135"/>
    <w:rsid w:val="00010BBB"/>
    <w:rsid w:val="00020AA1"/>
    <w:rsid w:val="000534FA"/>
    <w:rsid w:val="00077453"/>
    <w:rsid w:val="00085D6A"/>
    <w:rsid w:val="00094E0F"/>
    <w:rsid w:val="000A2C89"/>
    <w:rsid w:val="000B2450"/>
    <w:rsid w:val="000C1A8A"/>
    <w:rsid w:val="000C422A"/>
    <w:rsid w:val="000F0254"/>
    <w:rsid w:val="00116FAC"/>
    <w:rsid w:val="00123719"/>
    <w:rsid w:val="001241D7"/>
    <w:rsid w:val="001311E6"/>
    <w:rsid w:val="00137E97"/>
    <w:rsid w:val="001448C4"/>
    <w:rsid w:val="00155393"/>
    <w:rsid w:val="00167158"/>
    <w:rsid w:val="00177572"/>
    <w:rsid w:val="00196052"/>
    <w:rsid w:val="001B1FB6"/>
    <w:rsid w:val="001B3706"/>
    <w:rsid w:val="001B3B24"/>
    <w:rsid w:val="001C6455"/>
    <w:rsid w:val="001C6FB4"/>
    <w:rsid w:val="0021210D"/>
    <w:rsid w:val="0021442D"/>
    <w:rsid w:val="0028407E"/>
    <w:rsid w:val="00294AD5"/>
    <w:rsid w:val="002C7DE3"/>
    <w:rsid w:val="002E0859"/>
    <w:rsid w:val="002F36D5"/>
    <w:rsid w:val="003008EB"/>
    <w:rsid w:val="003229BE"/>
    <w:rsid w:val="003337AB"/>
    <w:rsid w:val="0034156B"/>
    <w:rsid w:val="00355412"/>
    <w:rsid w:val="003561BE"/>
    <w:rsid w:val="00356805"/>
    <w:rsid w:val="003661BC"/>
    <w:rsid w:val="00375CB0"/>
    <w:rsid w:val="003773E5"/>
    <w:rsid w:val="003805F5"/>
    <w:rsid w:val="003821AE"/>
    <w:rsid w:val="00390887"/>
    <w:rsid w:val="00393439"/>
    <w:rsid w:val="003A7860"/>
    <w:rsid w:val="003B40B5"/>
    <w:rsid w:val="003B69D6"/>
    <w:rsid w:val="003C70DB"/>
    <w:rsid w:val="003D3711"/>
    <w:rsid w:val="003F3362"/>
    <w:rsid w:val="003F55CF"/>
    <w:rsid w:val="003F7186"/>
    <w:rsid w:val="004031FB"/>
    <w:rsid w:val="00413F17"/>
    <w:rsid w:val="00417319"/>
    <w:rsid w:val="00424DE6"/>
    <w:rsid w:val="00430533"/>
    <w:rsid w:val="00431DB6"/>
    <w:rsid w:val="00447AB8"/>
    <w:rsid w:val="004529B8"/>
    <w:rsid w:val="00467E3F"/>
    <w:rsid w:val="004707A4"/>
    <w:rsid w:val="00477D2F"/>
    <w:rsid w:val="004A135F"/>
    <w:rsid w:val="004A42F2"/>
    <w:rsid w:val="004B499D"/>
    <w:rsid w:val="004C1625"/>
    <w:rsid w:val="004C2169"/>
    <w:rsid w:val="004F675E"/>
    <w:rsid w:val="004F6CB2"/>
    <w:rsid w:val="004F7384"/>
    <w:rsid w:val="004F7D6C"/>
    <w:rsid w:val="00501A69"/>
    <w:rsid w:val="00513EF3"/>
    <w:rsid w:val="00530CE1"/>
    <w:rsid w:val="00533E0B"/>
    <w:rsid w:val="00554938"/>
    <w:rsid w:val="00555EDB"/>
    <w:rsid w:val="005673D8"/>
    <w:rsid w:val="00583BA4"/>
    <w:rsid w:val="00594808"/>
    <w:rsid w:val="005B16B2"/>
    <w:rsid w:val="005C7A36"/>
    <w:rsid w:val="005C7D76"/>
    <w:rsid w:val="005E3196"/>
    <w:rsid w:val="005E544C"/>
    <w:rsid w:val="005F1BAB"/>
    <w:rsid w:val="006110DA"/>
    <w:rsid w:val="00633EA5"/>
    <w:rsid w:val="00634844"/>
    <w:rsid w:val="00635425"/>
    <w:rsid w:val="00644A26"/>
    <w:rsid w:val="00646B4C"/>
    <w:rsid w:val="006671FD"/>
    <w:rsid w:val="006842FA"/>
    <w:rsid w:val="0068682C"/>
    <w:rsid w:val="00686AD2"/>
    <w:rsid w:val="00690A0C"/>
    <w:rsid w:val="00690FD2"/>
    <w:rsid w:val="00693199"/>
    <w:rsid w:val="006B4B95"/>
    <w:rsid w:val="006C18D9"/>
    <w:rsid w:val="006C6449"/>
    <w:rsid w:val="006F2C4C"/>
    <w:rsid w:val="00737A18"/>
    <w:rsid w:val="00746B89"/>
    <w:rsid w:val="00763BC1"/>
    <w:rsid w:val="00791108"/>
    <w:rsid w:val="0079212B"/>
    <w:rsid w:val="0079370B"/>
    <w:rsid w:val="00795146"/>
    <w:rsid w:val="007A44CD"/>
    <w:rsid w:val="007A6D07"/>
    <w:rsid w:val="007B04DD"/>
    <w:rsid w:val="007B0DA3"/>
    <w:rsid w:val="007B23FD"/>
    <w:rsid w:val="007F546C"/>
    <w:rsid w:val="007F7518"/>
    <w:rsid w:val="007F751C"/>
    <w:rsid w:val="0080288C"/>
    <w:rsid w:val="008048D2"/>
    <w:rsid w:val="0081004E"/>
    <w:rsid w:val="00815172"/>
    <w:rsid w:val="008167F4"/>
    <w:rsid w:val="00853565"/>
    <w:rsid w:val="008619A8"/>
    <w:rsid w:val="0089433B"/>
    <w:rsid w:val="008A1C3B"/>
    <w:rsid w:val="008A6E5C"/>
    <w:rsid w:val="008B384B"/>
    <w:rsid w:val="008D2398"/>
    <w:rsid w:val="008E0EFD"/>
    <w:rsid w:val="008E768A"/>
    <w:rsid w:val="008F0F81"/>
    <w:rsid w:val="008F6942"/>
    <w:rsid w:val="009026D3"/>
    <w:rsid w:val="00957A3B"/>
    <w:rsid w:val="009638B6"/>
    <w:rsid w:val="0098661D"/>
    <w:rsid w:val="00993CA4"/>
    <w:rsid w:val="009B1042"/>
    <w:rsid w:val="009B5B92"/>
    <w:rsid w:val="009B63AB"/>
    <w:rsid w:val="009C0A89"/>
    <w:rsid w:val="009C15B1"/>
    <w:rsid w:val="009C6D90"/>
    <w:rsid w:val="009D34E3"/>
    <w:rsid w:val="009E6A03"/>
    <w:rsid w:val="009F3A67"/>
    <w:rsid w:val="009F7769"/>
    <w:rsid w:val="00A01396"/>
    <w:rsid w:val="00A11697"/>
    <w:rsid w:val="00A24AA3"/>
    <w:rsid w:val="00A25BC8"/>
    <w:rsid w:val="00A56A0B"/>
    <w:rsid w:val="00AA7F0E"/>
    <w:rsid w:val="00AD3D55"/>
    <w:rsid w:val="00AE26EF"/>
    <w:rsid w:val="00B15DC9"/>
    <w:rsid w:val="00B31ADE"/>
    <w:rsid w:val="00B47D05"/>
    <w:rsid w:val="00B722DE"/>
    <w:rsid w:val="00B819C5"/>
    <w:rsid w:val="00B81A2E"/>
    <w:rsid w:val="00B827BA"/>
    <w:rsid w:val="00B83068"/>
    <w:rsid w:val="00B945FC"/>
    <w:rsid w:val="00BD6603"/>
    <w:rsid w:val="00BF069C"/>
    <w:rsid w:val="00BF3835"/>
    <w:rsid w:val="00C1002D"/>
    <w:rsid w:val="00C2436B"/>
    <w:rsid w:val="00C2635E"/>
    <w:rsid w:val="00C30CB1"/>
    <w:rsid w:val="00C31E35"/>
    <w:rsid w:val="00C3684D"/>
    <w:rsid w:val="00C4032B"/>
    <w:rsid w:val="00C440A7"/>
    <w:rsid w:val="00C6486C"/>
    <w:rsid w:val="00C648D3"/>
    <w:rsid w:val="00C666F3"/>
    <w:rsid w:val="00C74780"/>
    <w:rsid w:val="00C75B02"/>
    <w:rsid w:val="00C77152"/>
    <w:rsid w:val="00C845C2"/>
    <w:rsid w:val="00C962F0"/>
    <w:rsid w:val="00C96A65"/>
    <w:rsid w:val="00CC1086"/>
    <w:rsid w:val="00CC29F7"/>
    <w:rsid w:val="00CC7CD2"/>
    <w:rsid w:val="00CD0EBC"/>
    <w:rsid w:val="00CD24CA"/>
    <w:rsid w:val="00D013ED"/>
    <w:rsid w:val="00D103FF"/>
    <w:rsid w:val="00D14EB6"/>
    <w:rsid w:val="00D16FC3"/>
    <w:rsid w:val="00D36BDC"/>
    <w:rsid w:val="00D5049E"/>
    <w:rsid w:val="00D526D9"/>
    <w:rsid w:val="00D55FEC"/>
    <w:rsid w:val="00D63FDF"/>
    <w:rsid w:val="00DA43E8"/>
    <w:rsid w:val="00DB0C16"/>
    <w:rsid w:val="00DC1D1B"/>
    <w:rsid w:val="00DC2A4C"/>
    <w:rsid w:val="00DD0880"/>
    <w:rsid w:val="00DE398C"/>
    <w:rsid w:val="00DE6C21"/>
    <w:rsid w:val="00DF15DB"/>
    <w:rsid w:val="00DF2FB9"/>
    <w:rsid w:val="00E30A5B"/>
    <w:rsid w:val="00E44CDE"/>
    <w:rsid w:val="00E63DEF"/>
    <w:rsid w:val="00E64936"/>
    <w:rsid w:val="00E87356"/>
    <w:rsid w:val="00EE0542"/>
    <w:rsid w:val="00F463F2"/>
    <w:rsid w:val="00F52DD1"/>
    <w:rsid w:val="00F618A1"/>
    <w:rsid w:val="00F662AA"/>
    <w:rsid w:val="00F673CB"/>
    <w:rsid w:val="00F7054D"/>
    <w:rsid w:val="00F749FE"/>
    <w:rsid w:val="00F8186D"/>
    <w:rsid w:val="00F844F7"/>
    <w:rsid w:val="00F936C4"/>
    <w:rsid w:val="00FA1471"/>
    <w:rsid w:val="00FC2521"/>
    <w:rsid w:val="00FC2875"/>
    <w:rsid w:val="00FE4E65"/>
    <w:rsid w:val="00FF3F9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6C4FFA"/>
  <w15:docId w15:val="{C16540B2-930D-44DA-B59B-6A7BF0F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Titre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Titre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Titre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Titre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Titre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Titre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Titre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431DB6"/>
    <w:pPr>
      <w:tabs>
        <w:tab w:val="clear" w:pos="567"/>
        <w:tab w:val="left" w:pos="709"/>
      </w:tabs>
      <w:jc w:val="center"/>
    </w:pPr>
    <w:rPr>
      <w:rFonts w:eastAsia="Arial Unicode MS"/>
      <w:b/>
      <w:szCs w:val="22"/>
      <w:lang w:val="en-US"/>
    </w:rPr>
  </w:style>
  <w:style w:type="paragraph" w:styleId="Normalcentr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Corpsdetexte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Retraitcorpsdetexte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En-tte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Retraitcorpset1relig">
    <w:name w:val="Body Text First Indent 2"/>
    <w:basedOn w:val="Retraitcorpsdetexte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epuces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epuces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431DB6"/>
    <w:rPr>
      <w:rFonts w:ascii="Arial" w:eastAsia="Arial Unicode MS" w:hAnsi="Arial"/>
      <w:b/>
      <w:snapToGrid w:val="0"/>
      <w:sz w:val="22"/>
      <w:szCs w:val="22"/>
      <w:lang w:val="en-US" w:eastAsia="en-US"/>
    </w:rPr>
  </w:style>
  <w:style w:type="character" w:customStyle="1" w:styleId="Titre9Car">
    <w:name w:val="Titre 9 Car"/>
    <w:link w:val="Titre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Lienhypertexte">
    <w:name w:val="Hyperlink"/>
    <w:basedOn w:val="Policepardfaut"/>
    <w:rsid w:val="00C263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403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526D9"/>
    <w:pPr>
      <w:numPr>
        <w:numId w:val="7"/>
      </w:numPr>
      <w:tabs>
        <w:tab w:val="clear" w:pos="567"/>
        <w:tab w:val="left" w:pos="720"/>
      </w:tabs>
      <w:spacing w:after="240"/>
    </w:pPr>
    <w:rPr>
      <w:rFonts w:eastAsiaTheme="minorHAnsi" w:hAnsiTheme="minorHAnsi" w:cstheme="minorBidi"/>
      <w:snapToGrid/>
      <w:szCs w:val="22"/>
      <w:lang w:val="es-AR"/>
    </w:rPr>
  </w:style>
  <w:style w:type="paragraph" w:styleId="Sansinterligne">
    <w:name w:val="No Spacing"/>
    <w:uiPriority w:val="1"/>
    <w:qFormat/>
    <w:rsid w:val="00FF3F9E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Grilledutableau">
    <w:name w:val="Table Grid"/>
    <w:basedOn w:val="TableauNormal"/>
    <w:uiPriority w:val="59"/>
    <w:rsid w:val="0098661D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815172"/>
    <w:pPr>
      <w:spacing w:after="200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28407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840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8407E"/>
    <w:rPr>
      <w:rFonts w:ascii="Arial" w:hAnsi="Arial"/>
      <w:snapToGrid w:val="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84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8407E"/>
    <w:rPr>
      <w:rFonts w:ascii="Arial" w:hAnsi="Arial"/>
      <w:b/>
      <w:bCs/>
      <w:snapToGrid w:val="0"/>
      <w:lang w:val="en-GB" w:eastAsia="en-US"/>
    </w:rPr>
  </w:style>
  <w:style w:type="paragraph" w:styleId="Textedebulles">
    <w:name w:val="Balloon Text"/>
    <w:basedOn w:val="Normal"/>
    <w:link w:val="TextedebullesCar"/>
    <w:semiHidden/>
    <w:unhideWhenUsed/>
    <w:rsid w:val="002840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8407E"/>
    <w:rPr>
      <w:rFonts w:ascii="Tahoma" w:hAnsi="Tahoma" w:cs="Tahoma"/>
      <w:snapToGrid w:val="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42C3-2709-4A7C-BA93-4B763A8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2005</Words>
  <Characters>13679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Глобальный доклад о состоянии океанографии: перспективы и развитие</vt:lpstr>
      <vt:lpstr>Глобальный доклад о состоянии океанографии: перспективы и развитие _x000d_
</vt:lpstr>
    </vt:vector>
  </TitlesOfParts>
  <Company>UNESCO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доклад о состоянии океанографии: перспективы и развитие</dc:title>
  <dc:subject>IOC-XXIX/2 ANNEX 10</dc:subject>
  <dc:creator>Boned, Patrice</dc:creator>
  <cp:keywords>1703.17R</cp:keywords>
  <dc:description/>
  <cp:lastModifiedBy>Boned, Patrice</cp:lastModifiedBy>
  <cp:revision>3</cp:revision>
  <cp:lastPrinted>2017-06-25T17:09:00Z</cp:lastPrinted>
  <dcterms:created xsi:type="dcterms:W3CDTF">2017-06-25T17:09:00Z</dcterms:created>
  <dcterms:modified xsi:type="dcterms:W3CDTF">2017-06-25T17:12:00Z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102540</vt:i4>
  </property>
  <property fmtid="{D5CDD505-2E9C-101B-9397-08002B2CF9AE}" pid="3" name="JobDMS">
    <vt:r8>1703.17</vt:r8>
  </property>
  <property fmtid="{D5CDD505-2E9C-101B-9397-08002B2CF9AE}" pid="4" name="Language">
    <vt:lpwstr>R</vt:lpwstr>
  </property>
</Properties>
</file>