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14" w:tblpY="1"/>
        <w:tblOverlap w:val="never"/>
        <w:tblW w:w="8674" w:type="dxa"/>
        <w:tblLayout w:type="fixed"/>
        <w:tblLook w:val="0000" w:firstRow="0" w:lastRow="0" w:firstColumn="0" w:lastColumn="0" w:noHBand="0" w:noVBand="0"/>
      </w:tblPr>
      <w:tblGrid>
        <w:gridCol w:w="5138"/>
        <w:gridCol w:w="3536"/>
      </w:tblGrid>
      <w:tr w:rsidR="004908B1" w:rsidRPr="001F0928" w:rsidTr="00B951F1">
        <w:trPr>
          <w:cantSplit/>
          <w:trHeight w:val="708"/>
        </w:trPr>
        <w:tc>
          <w:tcPr>
            <w:tcW w:w="8674" w:type="dxa"/>
            <w:gridSpan w:val="2"/>
            <w:noWrap/>
            <w:tcMar>
              <w:left w:w="0" w:type="dxa"/>
              <w:right w:w="0" w:type="dxa"/>
            </w:tcMar>
          </w:tcPr>
          <w:p w:rsidR="004908B1" w:rsidRPr="00A320FF" w:rsidRDefault="004908B1" w:rsidP="004104B8">
            <w:pPr>
              <w:pStyle w:val="Heading7"/>
              <w:tabs>
                <w:tab w:val="left" w:pos="2220"/>
              </w:tabs>
              <w:spacing w:before="60" w:after="240" w:line="240" w:lineRule="auto"/>
              <w:rPr>
                <w:b w:val="0"/>
                <w:bCs/>
                <w:color w:val="auto"/>
                <w:sz w:val="22"/>
                <w:szCs w:val="22"/>
                <w:lang w:val="fr-FR"/>
              </w:rPr>
            </w:pPr>
            <w:r w:rsidRPr="00A320FF">
              <w:rPr>
                <w:rFonts w:eastAsia="Times New Roman"/>
                <w:caps/>
                <w:color w:val="auto"/>
                <w:sz w:val="22"/>
                <w:szCs w:val="22"/>
                <w:lang w:val="fr-FR" w:eastAsia="en-US"/>
              </w:rPr>
              <w:t xml:space="preserve">COMMISSION OCÉANOGRAPHIQUE </w:t>
            </w:r>
            <w:r w:rsidRPr="00A320FF">
              <w:rPr>
                <w:rFonts w:eastAsia="Times New Roman"/>
                <w:caps/>
                <w:color w:val="auto"/>
                <w:sz w:val="22"/>
                <w:szCs w:val="22"/>
                <w:lang w:val="fr-FR" w:eastAsia="en-US"/>
              </w:rPr>
              <w:br/>
              <w:t>INTERGOUVERNEMENTALE</w:t>
            </w:r>
            <w:r w:rsidRPr="00A320FF">
              <w:rPr>
                <w:color w:val="auto"/>
                <w:sz w:val="22"/>
                <w:szCs w:val="22"/>
                <w:lang w:val="fr-FR"/>
              </w:rPr>
              <w:t xml:space="preserve"> </w:t>
            </w:r>
            <w:r w:rsidRPr="00A320FF">
              <w:rPr>
                <w:color w:val="auto"/>
                <w:sz w:val="22"/>
                <w:szCs w:val="22"/>
                <w:lang w:val="fr-FR"/>
              </w:rPr>
              <w:br/>
            </w:r>
            <w:r w:rsidRPr="00A320FF">
              <w:rPr>
                <w:b w:val="0"/>
                <w:bCs/>
                <w:color w:val="auto"/>
                <w:sz w:val="22"/>
                <w:szCs w:val="22"/>
                <w:lang w:val="fr-FR"/>
              </w:rPr>
              <w:t>(de l'UNESCO)</w:t>
            </w:r>
          </w:p>
        </w:tc>
      </w:tr>
      <w:tr w:rsidR="004908B1" w:rsidRPr="001F0928" w:rsidTr="00B951F1">
        <w:trPr>
          <w:trHeight w:val="704"/>
        </w:trPr>
        <w:tc>
          <w:tcPr>
            <w:tcW w:w="5138" w:type="dxa"/>
            <w:noWrap/>
            <w:tcMar>
              <w:left w:w="0" w:type="dxa"/>
              <w:right w:w="0" w:type="dxa"/>
            </w:tcMar>
          </w:tcPr>
          <w:p w:rsidR="004908B1" w:rsidRPr="00A320FF" w:rsidRDefault="004908B1" w:rsidP="004104B8">
            <w:pPr>
              <w:pStyle w:val="Heading7"/>
              <w:tabs>
                <w:tab w:val="left" w:pos="2220"/>
              </w:tabs>
              <w:spacing w:before="100" w:beforeAutospacing="1" w:after="240" w:line="240" w:lineRule="auto"/>
              <w:rPr>
                <w:color w:val="auto"/>
                <w:sz w:val="22"/>
                <w:szCs w:val="22"/>
                <w:lang w:val="fr-FR"/>
              </w:rPr>
            </w:pPr>
          </w:p>
        </w:tc>
        <w:tc>
          <w:tcPr>
            <w:tcW w:w="3536" w:type="dxa"/>
            <w:noWrap/>
            <w:tcMar>
              <w:left w:w="0" w:type="dxa"/>
              <w:right w:w="0" w:type="dxa"/>
            </w:tcMar>
          </w:tcPr>
          <w:p w:rsidR="004908B1" w:rsidRPr="00A320FF" w:rsidRDefault="004908B1" w:rsidP="00616336">
            <w:pPr>
              <w:spacing w:after="240"/>
              <w:rPr>
                <w:rFonts w:cs="Arial"/>
                <w:szCs w:val="22"/>
                <w:lang w:val="fr-FR"/>
              </w:rPr>
            </w:pPr>
            <w:r w:rsidRPr="00A320FF">
              <w:rPr>
                <w:rFonts w:cs="Arial"/>
                <w:szCs w:val="22"/>
                <w:lang w:val="fr-FR"/>
              </w:rPr>
              <w:t xml:space="preserve">PARIS, le </w:t>
            </w:r>
            <w:r w:rsidR="00616336">
              <w:rPr>
                <w:rFonts w:cs="Arial"/>
                <w:szCs w:val="22"/>
                <w:lang w:val="fr-FR"/>
              </w:rPr>
              <w:t>1</w:t>
            </w:r>
            <w:r w:rsidR="00616336" w:rsidRPr="00616336">
              <w:rPr>
                <w:rFonts w:cs="Arial"/>
                <w:szCs w:val="22"/>
                <w:vertAlign w:val="superscript"/>
                <w:lang w:val="fr-FR"/>
              </w:rPr>
              <w:t>er</w:t>
            </w:r>
            <w:r w:rsidR="00616336">
              <w:rPr>
                <w:rFonts w:cs="Arial"/>
                <w:szCs w:val="22"/>
                <w:lang w:val="fr-FR"/>
              </w:rPr>
              <w:t xml:space="preserve"> avril</w:t>
            </w:r>
            <w:r w:rsidR="006C69AE" w:rsidRPr="00A320FF">
              <w:rPr>
                <w:rFonts w:cs="Arial"/>
                <w:szCs w:val="22"/>
                <w:lang w:val="fr-FR"/>
              </w:rPr>
              <w:t xml:space="preserve"> 201</w:t>
            </w:r>
            <w:r w:rsidR="004678F7">
              <w:rPr>
                <w:rFonts w:cs="Arial"/>
                <w:szCs w:val="22"/>
                <w:lang w:val="fr-FR"/>
              </w:rPr>
              <w:t>9</w:t>
            </w:r>
            <w:r w:rsidR="00D6741A">
              <w:rPr>
                <w:rFonts w:cs="Arial"/>
                <w:szCs w:val="22"/>
                <w:lang w:val="fr-FR"/>
              </w:rPr>
              <w:br/>
            </w:r>
            <w:r w:rsidRPr="00A320FF">
              <w:rPr>
                <w:rFonts w:cs="Arial"/>
                <w:szCs w:val="22"/>
                <w:lang w:val="fr-FR"/>
              </w:rPr>
              <w:t>Original anglais</w:t>
            </w:r>
          </w:p>
        </w:tc>
      </w:tr>
      <w:tr w:rsidR="004908B1" w:rsidRPr="001F0928" w:rsidTr="00B951F1">
        <w:trPr>
          <w:trHeight w:val="1239"/>
        </w:trPr>
        <w:tc>
          <w:tcPr>
            <w:tcW w:w="5138" w:type="dxa"/>
            <w:noWrap/>
            <w:tcMar>
              <w:left w:w="0" w:type="dxa"/>
              <w:right w:w="0" w:type="dxa"/>
            </w:tcMar>
          </w:tcPr>
          <w:p w:rsidR="004908B1" w:rsidRPr="00A320FF" w:rsidRDefault="004678F7" w:rsidP="004678F7">
            <w:pPr>
              <w:pStyle w:val="Heading7"/>
              <w:tabs>
                <w:tab w:val="left" w:pos="2220"/>
              </w:tabs>
              <w:spacing w:before="100" w:beforeAutospacing="1" w:after="240" w:line="240" w:lineRule="auto"/>
              <w:rPr>
                <w:color w:val="auto"/>
                <w:sz w:val="22"/>
                <w:szCs w:val="22"/>
                <w:lang w:val="fr-FR"/>
              </w:rPr>
            </w:pPr>
            <w:r>
              <w:rPr>
                <w:color w:val="auto"/>
                <w:sz w:val="22"/>
                <w:szCs w:val="22"/>
                <w:lang w:val="fr-FR"/>
              </w:rPr>
              <w:t>Trentième</w:t>
            </w:r>
            <w:r w:rsidR="004908B1" w:rsidRPr="00A320FF">
              <w:rPr>
                <w:color w:val="auto"/>
                <w:sz w:val="22"/>
                <w:szCs w:val="22"/>
                <w:lang w:val="fr-FR"/>
              </w:rPr>
              <w:t xml:space="preserve"> session de l'Assemblée</w:t>
            </w:r>
            <w:r w:rsidR="004908B1" w:rsidRPr="00A320FF">
              <w:rPr>
                <w:b w:val="0"/>
                <w:bCs/>
                <w:color w:val="auto"/>
                <w:sz w:val="22"/>
                <w:szCs w:val="22"/>
                <w:lang w:val="fr-FR"/>
              </w:rPr>
              <w:br/>
              <w:t xml:space="preserve">UNESCO, Paris, </w:t>
            </w:r>
            <w:r w:rsidR="006C69AE" w:rsidRPr="00A320FF">
              <w:rPr>
                <w:b w:val="0"/>
                <w:bCs/>
                <w:color w:val="auto"/>
                <w:sz w:val="22"/>
                <w:szCs w:val="22"/>
                <w:lang w:val="fr-FR"/>
              </w:rPr>
              <w:t>2</w:t>
            </w:r>
            <w:r>
              <w:rPr>
                <w:b w:val="0"/>
                <w:bCs/>
                <w:color w:val="auto"/>
                <w:sz w:val="22"/>
                <w:szCs w:val="22"/>
                <w:lang w:val="fr-FR"/>
              </w:rPr>
              <w:t>6 juin – 4 juillet 2019</w:t>
            </w:r>
          </w:p>
        </w:tc>
        <w:tc>
          <w:tcPr>
            <w:tcW w:w="3536" w:type="dxa"/>
            <w:noWrap/>
            <w:tcMar>
              <w:left w:w="0" w:type="dxa"/>
              <w:right w:w="0" w:type="dxa"/>
            </w:tcMar>
          </w:tcPr>
          <w:p w:rsidR="004908B1" w:rsidRPr="00A320FF" w:rsidRDefault="004908B1" w:rsidP="004104B8">
            <w:pPr>
              <w:pStyle w:val="Heading7"/>
              <w:tabs>
                <w:tab w:val="left" w:pos="2220"/>
              </w:tabs>
              <w:spacing w:after="240"/>
              <w:ind w:left="-332"/>
              <w:rPr>
                <w:color w:val="auto"/>
                <w:sz w:val="22"/>
                <w:szCs w:val="22"/>
                <w:lang w:val="fr-FR"/>
              </w:rPr>
            </w:pPr>
          </w:p>
        </w:tc>
      </w:tr>
    </w:tbl>
    <w:p w:rsidR="00FB1C70" w:rsidRDefault="005E2339" w:rsidP="003A7492">
      <w:pPr>
        <w:pStyle w:val="Marge"/>
        <w:ind w:left="1021"/>
        <w:rPr>
          <w:u w:val="single"/>
        </w:rPr>
      </w:pPr>
      <w:r w:rsidRPr="00EE2B7A">
        <w:rPr>
          <w:noProof/>
          <w:u w:val="single"/>
          <w:lang w:val="en-US"/>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-274955</wp:posOffset>
                </wp:positionV>
                <wp:extent cx="2063115" cy="39116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0D3" w:rsidRDefault="004470D3" w:rsidP="004908B1">
                            <w:pPr>
                              <w:pStyle w:val="Header"/>
                              <w:tabs>
                                <w:tab w:val="clear" w:pos="4153"/>
                                <w:tab w:val="clear" w:pos="8306"/>
                              </w:tabs>
                              <w:spacing w:before="60"/>
                              <w:rPr>
                                <w:rFonts w:eastAsia="SimSun"/>
                                <w:spacing w:val="2"/>
                                <w:szCs w:val="22"/>
                                <w:lang w:eastAsia="zh-CN"/>
                              </w:rPr>
                            </w:pPr>
                            <w:r>
                              <w:rPr>
                                <w:rFonts w:eastAsia="SimSun"/>
                                <w:spacing w:val="2"/>
                                <w:szCs w:val="22"/>
                                <w:lang w:eastAsia="zh-CN"/>
                              </w:rPr>
                              <w:t>Distribution limitée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6pt;margin-top:-21.65pt;width:162.4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Jeg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" stroked="f">
                <v:textbox inset="0,0,0,0">
                  <w:txbxContent>
                    <w:p w:rsidR="004470D3" w:rsidRDefault="004470D3" w:rsidP="004908B1">
                      <w:pPr>
                        <w:pStyle w:val="En-tte"/>
                        <w:tabs>
                          <w:tab w:val="clear" w:pos="4153"/>
                          <w:tab w:val="clear" w:pos="8306"/>
                        </w:tabs>
                        <w:spacing w:before="60"/>
                        <w:rPr>
                          <w:rFonts w:eastAsia="SimSun"/>
                          <w:spacing w:val="2"/>
                          <w:szCs w:val="22"/>
                          <w:lang w:eastAsia="zh-CN"/>
                        </w:rPr>
                      </w:pPr>
                      <w:r>
                        <w:rPr>
                          <w:rFonts w:eastAsia="SimSun"/>
                          <w:spacing w:val="2"/>
                          <w:szCs w:val="22"/>
                          <w:lang w:eastAsia="zh-CN"/>
                        </w:rPr>
                        <w:t xml:space="preserve">Distribution </w:t>
                      </w:r>
                      <w:proofErr w:type="spellStart"/>
                      <w:r>
                        <w:rPr>
                          <w:rFonts w:eastAsia="SimSun"/>
                          <w:spacing w:val="2"/>
                          <w:szCs w:val="22"/>
                          <w:lang w:eastAsia="zh-CN"/>
                        </w:rPr>
                        <w:t>limitée</w:t>
                      </w:r>
                      <w:proofErr w:type="spellEnd"/>
                    </w:p>
                  </w:txbxContent>
                </v:textbox>
              </v:shape>
            </w:pict>
          </mc:Fallback>
        </mc:AlternateContent>
      </w:r>
      <w:r w:rsidR="00EE2B7A" w:rsidRPr="00EE2B7A">
        <w:rPr>
          <w:u w:val="single"/>
        </w:rPr>
        <w:t xml:space="preserve">Point </w:t>
      </w:r>
      <w:r w:rsidR="00EE2B7A" w:rsidRPr="00EE2B7A">
        <w:rPr>
          <w:b/>
          <w:u w:val="single"/>
        </w:rPr>
        <w:t>12.2</w:t>
      </w:r>
      <w:r w:rsidR="003A7492">
        <w:rPr>
          <w:u w:val="single"/>
        </w:rPr>
        <w:t xml:space="preserve"> de l’ordre du jour provisoire</w:t>
      </w:r>
    </w:p>
    <w:p w:rsidR="003A7492" w:rsidRPr="003A7492" w:rsidRDefault="003A7492" w:rsidP="003A7492">
      <w:pPr>
        <w:pStyle w:val="Marge"/>
        <w:spacing w:after="0"/>
        <w:ind w:left="1021"/>
        <w:rPr>
          <w:u w:val="single"/>
        </w:rPr>
      </w:pPr>
    </w:p>
    <w:p w:rsidR="00EE2B7A" w:rsidRPr="00717355" w:rsidRDefault="00FB1C70" w:rsidP="003A7492">
      <w:pPr>
        <w:pStyle w:val="b"/>
        <w:adjustRightInd w:val="0"/>
        <w:jc w:val="center"/>
        <w:rPr>
          <w:rFonts w:cs="Arial"/>
          <w:b/>
          <w:lang w:val="fr-FR"/>
        </w:rPr>
      </w:pPr>
      <w:r w:rsidRPr="00EE2B7A">
        <w:rPr>
          <w:rFonts w:cs="Arial"/>
          <w:b/>
          <w:lang w:val="fr-FR"/>
        </w:rPr>
        <w:t>PROJET DE PROGRAMME ET DE BUDGET POUR 2020-2021</w:t>
      </w:r>
      <w:r w:rsidR="00EE2B7A">
        <w:rPr>
          <w:rFonts w:cs="Arial"/>
          <w:b/>
          <w:lang w:val="fr-FR"/>
        </w:rPr>
        <w:br/>
      </w:r>
      <w:r w:rsidRPr="00EE2B7A">
        <w:rPr>
          <w:rFonts w:cs="Arial"/>
          <w:b/>
          <w:lang w:val="fr-FR"/>
        </w:rPr>
        <w:t>(PROJET DE 40 C/5)</w:t>
      </w:r>
    </w:p>
    <w:tbl>
      <w:tblPr>
        <w:tblStyle w:val="TableGrid"/>
        <w:tblW w:w="0" w:type="auto"/>
        <w:tblInd w:w="1413" w:type="dxa"/>
        <w:tblLook w:val="04A0" w:firstRow="1" w:lastRow="0" w:firstColumn="1" w:lastColumn="0" w:noHBand="0" w:noVBand="1"/>
      </w:tblPr>
      <w:tblGrid>
        <w:gridCol w:w="7938"/>
      </w:tblGrid>
      <w:tr w:rsidR="00F6694A" w:rsidRPr="001F0928" w:rsidTr="003A7492">
        <w:tc>
          <w:tcPr>
            <w:tcW w:w="7938" w:type="dxa"/>
          </w:tcPr>
          <w:p w:rsidR="00F6694A" w:rsidRPr="003A7492" w:rsidRDefault="00F6694A" w:rsidP="003A7492">
            <w:pPr>
              <w:pStyle w:val="Marge"/>
              <w:ind w:left="36"/>
              <w:jc w:val="center"/>
              <w:rPr>
                <w:b/>
              </w:rPr>
            </w:pPr>
            <w:r w:rsidRPr="003A7492">
              <w:rPr>
                <w:b/>
              </w:rPr>
              <w:t>Résumé</w:t>
            </w:r>
          </w:p>
          <w:p w:rsidR="00F6694A" w:rsidRDefault="00F6694A" w:rsidP="003A7492">
            <w:pPr>
              <w:pStyle w:val="Marge"/>
              <w:ind w:left="284" w:right="284"/>
            </w:pPr>
            <w:r>
              <w:t>Le présent document contient la proposition du Secréta</w:t>
            </w:r>
            <w:r w:rsidR="003A7492">
              <w:t>riat concernant le Projet de 40 </w:t>
            </w:r>
            <w:r>
              <w:t>C/5, accompagnée de cibles de programme et de scénarios budgétaires pour le second exercice biennal (2020-2021) du programme quadriennal (2018-2021), tel qu’approuvé par l’Assemblée de la COI à sa 29e session, en 2017. Il est pleinement co</w:t>
            </w:r>
            <w:r w:rsidR="003A7492">
              <w:t xml:space="preserve">nforme au Projet de document </w:t>
            </w:r>
            <w:hyperlink r:id="rId8" w:history="1">
              <w:r w:rsidR="003A7492" w:rsidRPr="003A7492">
                <w:rPr>
                  <w:rStyle w:val="Hyperlink"/>
                </w:rPr>
                <w:t>40 </w:t>
              </w:r>
              <w:r w:rsidRPr="003A7492">
                <w:rPr>
                  <w:rStyle w:val="Hyperlink"/>
                </w:rPr>
                <w:t>C/5</w:t>
              </w:r>
            </w:hyperlink>
            <w:r>
              <w:t xml:space="preserve"> présenté au Conseil exécutif de l’UNESCO à sa 206e session, mais apporte davantage d’informations sur les allocations proposées dans le cadre des différents scénarios budgétaires, pour examen par l’Assemblée.</w:t>
            </w:r>
          </w:p>
          <w:p w:rsidR="00F6694A" w:rsidRDefault="00F6694A" w:rsidP="003A7492">
            <w:pPr>
              <w:pStyle w:val="Marge"/>
              <w:ind w:left="284" w:right="284"/>
            </w:pPr>
            <w:r w:rsidRPr="003A7492">
              <w:rPr>
                <w:u w:val="single"/>
              </w:rPr>
              <w:t>Décision proposée</w:t>
            </w:r>
            <w:r w:rsidR="003A7492">
              <w:t> </w:t>
            </w:r>
            <w:r>
              <w:t>: À la suite de l’introduction du Secrétaire exécutif, le présent document sera examiné par le Comité financier statutaire à composition non limitée, et la décision se traduira dans le projet de résolution que le Comité financier soumettra à l’Assemblée pour adoption, conformément au paragraphe 15 du projet de directives révisées pour la préparation et l'examen des projets de résolution (</w:t>
            </w:r>
            <w:hyperlink r:id="rId9" w:history="1">
              <w:r w:rsidRPr="003A7492">
                <w:rPr>
                  <w:rStyle w:val="Hyperlink"/>
                </w:rPr>
                <w:t>IOC/INF-1315</w:t>
              </w:r>
            </w:hyperlink>
            <w:r>
              <w:t>).</w:t>
            </w:r>
          </w:p>
        </w:tc>
      </w:tr>
    </w:tbl>
    <w:p w:rsidR="003A7492" w:rsidRDefault="003A7492" w:rsidP="00EE2B7A">
      <w:pPr>
        <w:pStyle w:val="Marge"/>
      </w:pPr>
      <w:r>
        <w:br w:type="page"/>
      </w:r>
    </w:p>
    <w:p w:rsidR="00FB1C70" w:rsidRPr="0095735D" w:rsidRDefault="0095735D" w:rsidP="00FB1C70">
      <w:pPr>
        <w:pStyle w:val="Marge"/>
        <w:rPr>
          <w:b/>
        </w:rPr>
      </w:pPr>
      <w:r w:rsidRPr="0095735D">
        <w:rPr>
          <w:b/>
        </w:rPr>
        <w:lastRenderedPageBreak/>
        <w:t xml:space="preserve">Introduction </w:t>
      </w:r>
    </w:p>
    <w:p w:rsidR="0095735D" w:rsidRDefault="004F1B4B" w:rsidP="004F1B4B">
      <w:pPr>
        <w:pStyle w:val="Marge"/>
      </w:pPr>
      <w:r>
        <w:t>1.</w:t>
      </w:r>
      <w:r>
        <w:tab/>
      </w:r>
      <w:r w:rsidR="0095735D">
        <w:t xml:space="preserve">Le Projet de programme et de budget de l’UNESCO pour 2020-2021 (40 C/5) </w:t>
      </w:r>
      <w:r w:rsidR="0095735D" w:rsidRPr="0095735D">
        <w:t>constitue le second volet du Programme quadriennal adopté par la Conférence générale à sa 39</w:t>
      </w:r>
      <w:r w:rsidR="0095735D" w:rsidRPr="0095735D">
        <w:rPr>
          <w:vertAlign w:val="superscript"/>
        </w:rPr>
        <w:t>e</w:t>
      </w:r>
      <w:r w:rsidR="0095735D" w:rsidRPr="0095735D">
        <w:t xml:space="preserve"> session (document </w:t>
      </w:r>
      <w:r w:rsidR="0095735D">
        <w:t>39 </w:t>
      </w:r>
      <w:r w:rsidR="0095735D" w:rsidRPr="0095735D">
        <w:t>C/5).</w:t>
      </w:r>
      <w:r w:rsidR="0095735D">
        <w:t xml:space="preserve"> </w:t>
      </w:r>
      <w:r w:rsidR="0095735D" w:rsidRPr="0095735D">
        <w:t>Il clôturera le cycle de la Stratégie à moyen terme de l’Organisat</w:t>
      </w:r>
      <w:r w:rsidR="00A93D47">
        <w:t>ion pour 2014-2021 (</w:t>
      </w:r>
      <w:hyperlink r:id="rId10" w:history="1">
        <w:r w:rsidR="00A93D47" w:rsidRPr="00A93D47">
          <w:rPr>
            <w:rStyle w:val="Hyperlink"/>
          </w:rPr>
          <w:t>document 37 </w:t>
        </w:r>
        <w:r w:rsidR="0095735D" w:rsidRPr="00A93D47">
          <w:rPr>
            <w:rStyle w:val="Hyperlink"/>
          </w:rPr>
          <w:t>C/4</w:t>
        </w:r>
      </w:hyperlink>
      <w:r w:rsidR="0095735D" w:rsidRPr="0095735D">
        <w:t>).</w:t>
      </w:r>
    </w:p>
    <w:p w:rsidR="0095735D" w:rsidRDefault="0095735D" w:rsidP="004F1B4B">
      <w:pPr>
        <w:pStyle w:val="Marge"/>
      </w:pPr>
      <w:r>
        <w:t>2.</w:t>
      </w:r>
      <w:r>
        <w:tab/>
        <w:t>Fidèle à la décision du Conseil exécutif lors de sa 205</w:t>
      </w:r>
      <w:r w:rsidRPr="0095735D">
        <w:rPr>
          <w:vertAlign w:val="superscript"/>
        </w:rPr>
        <w:t>e</w:t>
      </w:r>
      <w:r>
        <w:t xml:space="preserve"> session, le Projet de 40 C/5 est établi dans un cadre budgétaire intégré ; </w:t>
      </w:r>
      <w:r w:rsidR="00FD23F1">
        <w:t>il présente quatre scénarios</w:t>
      </w:r>
      <w:r>
        <w:t xml:space="preserve"> budgétaires</w:t>
      </w:r>
      <w:r w:rsidR="001F064C">
        <w:t xml:space="preserve"> </w:t>
      </w:r>
      <w:r w:rsidR="00FD23F1">
        <w:t>pour</w:t>
      </w:r>
      <w:r w:rsidR="001F064C">
        <w:t xml:space="preserve"> l’UNESCO et trois </w:t>
      </w:r>
      <w:r w:rsidR="00FD23F1">
        <w:t>scénarios</w:t>
      </w:r>
      <w:r w:rsidR="001F064C">
        <w:t xml:space="preserve"> </w:t>
      </w:r>
      <w:r w:rsidR="00FD23F1">
        <w:t>pour</w:t>
      </w:r>
      <w:r w:rsidR="001F064C">
        <w:t xml:space="preserve"> la COI</w:t>
      </w:r>
      <w:r>
        <w:t>, conformément à la demande exprimée par les États membres</w:t>
      </w:r>
      <w:r w:rsidR="001F064C">
        <w:t xml:space="preserve">, </w:t>
      </w:r>
      <w:r w:rsidR="001F064C" w:rsidRPr="001F064C">
        <w:t>sur la base de</w:t>
      </w:r>
      <w:r w:rsidR="001F064C">
        <w:t>s</w:t>
      </w:r>
      <w:r w:rsidR="001F064C" w:rsidRPr="001F064C">
        <w:t xml:space="preserve"> crédits budgétaires ouverts au titre du Programme ordinaire pour</w:t>
      </w:r>
      <w:r w:rsidR="001F064C">
        <w:t> :</w:t>
      </w:r>
    </w:p>
    <w:p w:rsidR="001F064C" w:rsidRDefault="001F064C" w:rsidP="003A7492">
      <w:pPr>
        <w:pStyle w:val="Marge"/>
        <w:numPr>
          <w:ilvl w:val="0"/>
          <w:numId w:val="23"/>
        </w:numPr>
        <w:tabs>
          <w:tab w:val="clear" w:pos="567"/>
        </w:tabs>
        <w:spacing w:after="120"/>
        <w:ind w:left="851" w:hanging="284"/>
      </w:pPr>
      <w:r>
        <w:t>un montant de 507 millions de dollars (10 276 200 M$ pour la COI) ;</w:t>
      </w:r>
    </w:p>
    <w:p w:rsidR="001F064C" w:rsidRDefault="001F064C" w:rsidP="003A7492">
      <w:pPr>
        <w:pStyle w:val="Marge"/>
        <w:numPr>
          <w:ilvl w:val="0"/>
          <w:numId w:val="23"/>
        </w:numPr>
        <w:tabs>
          <w:tab w:val="clear" w:pos="567"/>
        </w:tabs>
        <w:spacing w:after="120"/>
        <w:ind w:left="851" w:hanging="284"/>
      </w:pPr>
      <w:r>
        <w:t>un montant de 518 millions de dollars et de 523,6 millions de dollars (10 776 100 M$ pour la COI)</w:t>
      </w:r>
      <w:r>
        <w:rPr>
          <w:rStyle w:val="FootnoteReference"/>
        </w:rPr>
        <w:footnoteReference w:id="1"/>
      </w:r>
      <w:r>
        <w:t> ;</w:t>
      </w:r>
    </w:p>
    <w:p w:rsidR="001F064C" w:rsidRDefault="001F064C" w:rsidP="003A7492">
      <w:pPr>
        <w:pStyle w:val="Marge"/>
        <w:numPr>
          <w:ilvl w:val="0"/>
          <w:numId w:val="23"/>
        </w:numPr>
        <w:tabs>
          <w:tab w:val="clear" w:pos="567"/>
        </w:tabs>
        <w:ind w:left="851" w:hanging="284"/>
      </w:pPr>
      <w:r>
        <w:t>un montant de 534,6 millions de dollars (11 075 500 M$ pour la COI).</w:t>
      </w:r>
    </w:p>
    <w:p w:rsidR="001F064C" w:rsidRPr="00A311D2" w:rsidRDefault="00FD23F1" w:rsidP="0095735D">
      <w:pPr>
        <w:pStyle w:val="Marge"/>
        <w:rPr>
          <w:b/>
        </w:rPr>
      </w:pPr>
      <w:r w:rsidRPr="00A311D2">
        <w:rPr>
          <w:b/>
        </w:rPr>
        <w:t>Impact des différents scénarios budgétaires</w:t>
      </w:r>
    </w:p>
    <w:p w:rsidR="00C60141" w:rsidRPr="0059449E" w:rsidRDefault="004F1B4B" w:rsidP="004F1B4B">
      <w:pPr>
        <w:pStyle w:val="Marge"/>
        <w:rPr>
          <w:rFonts w:eastAsia="Calibri"/>
          <w:snapToGrid/>
        </w:rPr>
      </w:pPr>
      <w:r>
        <w:rPr>
          <w:rFonts w:eastAsia="Calibri"/>
          <w:snapToGrid/>
        </w:rPr>
        <w:t>3.</w:t>
      </w:r>
      <w:r>
        <w:rPr>
          <w:rFonts w:eastAsia="Calibri"/>
          <w:snapToGrid/>
        </w:rPr>
        <w:tab/>
      </w:r>
      <w:r w:rsidR="003A4BAD" w:rsidRPr="0059449E">
        <w:rPr>
          <w:rFonts w:eastAsia="Calibri"/>
          <w:snapToGrid/>
        </w:rPr>
        <w:t>La Commission océanographique intergouvernementale (COI) de l’UNESCO a connu un tournant important à la fin de l’année 2017 avec l’approbation par l’Assemblée générale des Nations Unies, à sa 72</w:t>
      </w:r>
      <w:r w:rsidR="003A4BAD" w:rsidRPr="006F3204">
        <w:rPr>
          <w:rFonts w:eastAsia="Calibri"/>
          <w:snapToGrid/>
          <w:vertAlign w:val="superscript"/>
        </w:rPr>
        <w:t>e</w:t>
      </w:r>
      <w:r w:rsidR="003A4BAD" w:rsidRPr="0059449E">
        <w:rPr>
          <w:rFonts w:eastAsia="Calibri"/>
          <w:snapToGrid/>
        </w:rPr>
        <w:t xml:space="preserve"> session, de la proposition de la COI tendant à proclamer la période 2021-2030 </w:t>
      </w:r>
      <w:r w:rsidR="003A4BAD" w:rsidRPr="0059449E">
        <w:rPr>
          <w:rFonts w:eastAsia="Calibri"/>
          <w:b/>
          <w:snapToGrid/>
        </w:rPr>
        <w:t>Décennie des Nations Unies pour les sciences océaniques au service du développement durable</w:t>
      </w:r>
      <w:r w:rsidR="006F3204">
        <w:rPr>
          <w:rFonts w:eastAsia="Calibri"/>
          <w:snapToGrid/>
        </w:rPr>
        <w:t xml:space="preserve"> (ci-après dénommée « la Décennie </w:t>
      </w:r>
      <w:r w:rsidR="003A4BAD" w:rsidRPr="0059449E">
        <w:rPr>
          <w:rFonts w:eastAsia="Calibri"/>
          <w:snapToGrid/>
        </w:rPr>
        <w:t>»). Dans le prolongement des travaux entamés lors de l’exercice biennal en cours, la COI a désormais moins de deux ans devant elle pour élaborer un plan de mise en œuvre pour la Décennie, en collaboration avec les États membres, les Nations Unies et l’ensemble des partenaires et parties prenantes. Cela représente pour chacun une occasion unique de faire progresser de manière décisive la capacité de l’océanographie à servir les populations et la planète. Progressivement, une image très prometteuse de la Décennie se dessine, avec un certain nombre d’avancées révolutionnaires, préparées en amont, dans le domaine des observations, des sciences et des services océaniques, ainsi que leur utilisation à grande échelle dans toutes les activités visant une exploitation accrue, mais viable, de l’espace marin et de ses ressources</w:t>
      </w:r>
      <w:r w:rsidR="006F3204">
        <w:rPr>
          <w:rFonts w:eastAsia="Calibri"/>
          <w:snapToGrid/>
        </w:rPr>
        <w:t>.</w:t>
      </w:r>
    </w:p>
    <w:p w:rsidR="003A4BAD" w:rsidRPr="0059449E" w:rsidRDefault="004F1B4B" w:rsidP="004F1B4B">
      <w:pPr>
        <w:pStyle w:val="Marge"/>
        <w:rPr>
          <w:rFonts w:eastAsia="Calibri"/>
          <w:bCs/>
          <w:snapToGrid/>
          <w:color w:val="000000"/>
        </w:rPr>
      </w:pPr>
      <w:r>
        <w:rPr>
          <w:rFonts w:eastAsia="Calibri"/>
          <w:bCs/>
          <w:snapToGrid/>
          <w:color w:val="000000"/>
        </w:rPr>
        <w:t>4.</w:t>
      </w:r>
      <w:r>
        <w:rPr>
          <w:rFonts w:eastAsia="Calibri"/>
          <w:bCs/>
          <w:snapToGrid/>
          <w:color w:val="000000"/>
        </w:rPr>
        <w:tab/>
      </w:r>
      <w:r w:rsidR="003A4BAD" w:rsidRPr="0059449E">
        <w:rPr>
          <w:rFonts w:eastAsia="Calibri"/>
          <w:bCs/>
          <w:snapToGrid/>
          <w:color w:val="000000"/>
        </w:rPr>
        <w:t>Pour le Secrétariat de la COI, dont la taille est plutôt modeste, le défi consiste à présent à mobiliser non seulement les ressources extrabudgétaires nécessaires à l’exécution de ses programmes fondamentaux, mais également d’importantes ressou</w:t>
      </w:r>
      <w:r w:rsidR="007C3273" w:rsidRPr="0059449E">
        <w:rPr>
          <w:rFonts w:eastAsia="Calibri"/>
          <w:bCs/>
          <w:snapToGrid/>
          <w:color w:val="000000"/>
        </w:rPr>
        <w:t xml:space="preserve">rces supplémentaires destinées </w:t>
      </w:r>
      <w:r w:rsidR="003A4BAD" w:rsidRPr="0059449E">
        <w:rPr>
          <w:rFonts w:eastAsia="Calibri"/>
          <w:bCs/>
          <w:snapToGrid/>
          <w:color w:val="000000"/>
        </w:rPr>
        <w:t>à conduire et coordonner la phase de préparation de la Décennie. La situation critique en termes de sous-effectifs, déjà soulignée par le Commissaire aux comptes en 2016, tend à saper ces efforts de collecte de fonds et met en péril la viabilité du Secrétariat.</w:t>
      </w:r>
    </w:p>
    <w:p w:rsidR="003A4BAD" w:rsidRPr="0059449E" w:rsidRDefault="004F1B4B" w:rsidP="004F1B4B">
      <w:pPr>
        <w:pStyle w:val="Marge"/>
        <w:rPr>
          <w:rFonts w:eastAsia="Calibri"/>
          <w:bCs/>
          <w:snapToGrid/>
          <w:color w:val="000000"/>
        </w:rPr>
      </w:pPr>
      <w:r>
        <w:t>5.</w:t>
      </w:r>
      <w:r>
        <w:tab/>
      </w:r>
      <w:r w:rsidR="003A4BAD" w:rsidRPr="0059449E">
        <w:t>Aucun</w:t>
      </w:r>
      <w:r w:rsidR="003A4BAD" w:rsidRPr="0059449E">
        <w:rPr>
          <w:rFonts w:eastAsia="Calibri"/>
          <w:bCs/>
          <w:snapToGrid/>
          <w:color w:val="000000"/>
        </w:rPr>
        <w:t xml:space="preserve"> des scénarios budgétaires proposés ne permet véritablement de remédier à cette situation, compte tenu du fait que la nécessité d’assurer un appu</w:t>
      </w:r>
      <w:r w:rsidR="007C3273" w:rsidRPr="0059449E">
        <w:rPr>
          <w:rFonts w:eastAsia="Calibri"/>
          <w:bCs/>
          <w:snapToGrid/>
          <w:color w:val="000000"/>
        </w:rPr>
        <w:t xml:space="preserve">i minimum de base à toutes les sections de programme en créant un poste supplémentaire de la catégorie du cadre de </w:t>
      </w:r>
      <w:r w:rsidR="003A4BAD" w:rsidRPr="0059449E">
        <w:rPr>
          <w:rFonts w:eastAsia="Calibri"/>
          <w:bCs/>
          <w:snapToGrid/>
          <w:color w:val="000000"/>
        </w:rPr>
        <w:t>service et de bur</w:t>
      </w:r>
      <w:r w:rsidR="006F3204">
        <w:rPr>
          <w:rFonts w:eastAsia="Calibri"/>
          <w:bCs/>
          <w:snapToGrid/>
          <w:color w:val="000000"/>
        </w:rPr>
        <w:t>eau suppose une réduction de 11 </w:t>
      </w:r>
      <w:r w:rsidR="003A4BAD" w:rsidRPr="0059449E">
        <w:rPr>
          <w:rFonts w:eastAsia="Calibri"/>
          <w:bCs/>
          <w:snapToGrid/>
          <w:color w:val="000000"/>
        </w:rPr>
        <w:t>% des activit</w:t>
      </w:r>
      <w:r w:rsidR="007C3273" w:rsidRPr="0059449E">
        <w:rPr>
          <w:rFonts w:eastAsia="Calibri"/>
          <w:bCs/>
          <w:snapToGrid/>
          <w:color w:val="000000"/>
        </w:rPr>
        <w:t>és de programme de la COI avec un scénario budgétaire de 518</w:t>
      </w:r>
      <w:r w:rsidR="006F3204">
        <w:rPr>
          <w:rFonts w:eastAsia="Calibri"/>
          <w:bCs/>
          <w:snapToGrid/>
          <w:color w:val="000000"/>
        </w:rPr>
        <w:t xml:space="preserve"> M$ (et de 523,6 M$) pour le 40 </w:t>
      </w:r>
      <w:r w:rsidR="007C3273" w:rsidRPr="0059449E">
        <w:rPr>
          <w:rFonts w:eastAsia="Calibri"/>
          <w:bCs/>
          <w:snapToGrid/>
          <w:color w:val="000000"/>
        </w:rPr>
        <w:t>C/5. Si tout sera mis en œuvre pour compenser l’impact de cette réduction grâce à la mobilisation de fonds</w:t>
      </w:r>
      <w:r w:rsidR="003A4BAD" w:rsidRPr="0059449E">
        <w:rPr>
          <w:rFonts w:eastAsia="Calibri"/>
          <w:bCs/>
          <w:snapToGrid/>
          <w:color w:val="000000"/>
        </w:rPr>
        <w:t xml:space="preserve"> extrabudgétaires</w:t>
      </w:r>
      <w:r w:rsidR="007C3273" w:rsidRPr="0059449E">
        <w:rPr>
          <w:rFonts w:eastAsia="Calibri"/>
          <w:bCs/>
          <w:snapToGrid/>
          <w:color w:val="000000"/>
        </w:rPr>
        <w:t xml:space="preserve">, il faut toutefois garder à l’esprit qu’une dépendance accrue à l’égard des ressources extrabudgétaires entraîne un certain nombre de contraintes. Même en alignant pleinement les objectifs des projets extrabudgétaires sur </w:t>
      </w:r>
      <w:r w:rsidR="003A4BAD" w:rsidRPr="0059449E">
        <w:rPr>
          <w:rFonts w:eastAsia="Calibri"/>
          <w:bCs/>
          <w:snapToGrid/>
          <w:color w:val="000000"/>
        </w:rPr>
        <w:t>ce</w:t>
      </w:r>
      <w:r w:rsidR="007C3273" w:rsidRPr="0059449E">
        <w:rPr>
          <w:rFonts w:eastAsia="Calibri"/>
          <w:bCs/>
          <w:snapToGrid/>
          <w:color w:val="000000"/>
        </w:rPr>
        <w:t xml:space="preserve">ux des programmes de la COI, </w:t>
      </w:r>
      <w:r w:rsidR="003A4BAD" w:rsidRPr="0059449E">
        <w:rPr>
          <w:rFonts w:eastAsia="Calibri"/>
          <w:bCs/>
          <w:snapToGrid/>
          <w:color w:val="000000"/>
        </w:rPr>
        <w:t xml:space="preserve">une approche axée sur les projets conduit souvent à un des changements d’orientation et ne favorise pas une mise en œuvre harmonieuse et continue sur la base des priorités définies d’un commun accord. Cette perspective est particulièrement préoccupante pour les programmes opérationnels de la COI en matière d’observations et de </w:t>
      </w:r>
      <w:r w:rsidR="003A4BAD" w:rsidRPr="0059449E">
        <w:rPr>
          <w:rFonts w:eastAsia="Calibri"/>
          <w:bCs/>
          <w:snapToGrid/>
          <w:color w:val="000000"/>
        </w:rPr>
        <w:lastRenderedPageBreak/>
        <w:t xml:space="preserve">services océaniques, ainsi que pour la gestion des données et de l’information, qui requièrent un investissement stable dans la </w:t>
      </w:r>
      <w:r w:rsidR="007C3273" w:rsidRPr="0059449E">
        <w:rPr>
          <w:rFonts w:eastAsia="Calibri"/>
          <w:bCs/>
          <w:snapToGrid/>
          <w:color w:val="000000"/>
        </w:rPr>
        <w:t>conception et</w:t>
      </w:r>
      <w:r w:rsidR="003A4BAD" w:rsidRPr="0059449E">
        <w:rPr>
          <w:rFonts w:eastAsia="Calibri"/>
          <w:bCs/>
          <w:snapToGrid/>
          <w:color w:val="000000"/>
        </w:rPr>
        <w:t xml:space="preserve"> le</w:t>
      </w:r>
      <w:r w:rsidR="007C3273" w:rsidRPr="0059449E">
        <w:rPr>
          <w:rFonts w:eastAsia="Calibri"/>
          <w:bCs/>
          <w:snapToGrid/>
          <w:color w:val="000000"/>
        </w:rPr>
        <w:t xml:space="preserve"> maintien de systèmes fondamentaux. La réduction des ressources nuira </w:t>
      </w:r>
      <w:r w:rsidR="003A4BAD" w:rsidRPr="0059449E">
        <w:rPr>
          <w:rFonts w:eastAsia="Calibri"/>
          <w:bCs/>
          <w:snapToGrid/>
          <w:color w:val="000000"/>
        </w:rPr>
        <w:t>également à la capacité de la COI d’agir à l’échelon régional, n</w:t>
      </w:r>
      <w:r w:rsidR="007C3273" w:rsidRPr="0059449E">
        <w:rPr>
          <w:rFonts w:eastAsia="Calibri"/>
          <w:bCs/>
          <w:snapToGrid/>
          <w:color w:val="000000"/>
        </w:rPr>
        <w:t>otamment en ce qui concerne la mise en œuvre de sa stratégie de développement des capacités. Si les</w:t>
      </w:r>
      <w:r w:rsidR="003A4BAD" w:rsidRPr="0059449E">
        <w:rPr>
          <w:rFonts w:eastAsia="Calibri"/>
          <w:bCs/>
          <w:snapToGrid/>
          <w:color w:val="000000"/>
        </w:rPr>
        <w:t xml:space="preserve"> s</w:t>
      </w:r>
      <w:r w:rsidR="007C3273" w:rsidRPr="0059449E">
        <w:rPr>
          <w:rFonts w:eastAsia="Calibri"/>
          <w:bCs/>
          <w:snapToGrid/>
          <w:color w:val="000000"/>
        </w:rPr>
        <w:t xml:space="preserve">ous-commissions </w:t>
      </w:r>
      <w:r w:rsidR="003A4BAD" w:rsidRPr="0059449E">
        <w:rPr>
          <w:rFonts w:eastAsia="Calibri"/>
          <w:bCs/>
          <w:snapToGrid/>
          <w:color w:val="000000"/>
        </w:rPr>
        <w:t>régionales de la COI doivent mettre l’accent sur un développement autonome des capacités ainsi que sur la coopération Sud-Sud, le manque d’effectifs au niveau régional, mais aussi sur le plan de la coordination centrale, menace de transformer les activités de développement des capacités de la COI en activités axées sur les priorités des donateurs et moins coordonnées.</w:t>
      </w:r>
    </w:p>
    <w:p w:rsidR="00C60141" w:rsidRPr="0059449E" w:rsidRDefault="004F1B4B" w:rsidP="004F1B4B">
      <w:pPr>
        <w:pStyle w:val="Marge"/>
        <w:rPr>
          <w:rFonts w:eastAsia="Calibri"/>
          <w:snapToGrid/>
        </w:rPr>
      </w:pPr>
      <w:r>
        <w:rPr>
          <w:rFonts w:eastAsia="Calibri"/>
          <w:bCs/>
          <w:snapToGrid/>
          <w:color w:val="000000"/>
        </w:rPr>
        <w:t>6.</w:t>
      </w:r>
      <w:r>
        <w:rPr>
          <w:rFonts w:eastAsia="Calibri"/>
          <w:bCs/>
          <w:snapToGrid/>
          <w:color w:val="000000"/>
        </w:rPr>
        <w:tab/>
      </w:r>
      <w:r w:rsidR="003A4BAD" w:rsidRPr="0059449E">
        <w:rPr>
          <w:rFonts w:eastAsia="Calibri"/>
          <w:bCs/>
          <w:snapToGrid/>
          <w:color w:val="000000"/>
        </w:rPr>
        <w:t>Le scénario de 534,6 M$ permet de disposer d’un capital d’amorçage pour la coordination de la Décennie et les activités de collecte de fonds tout en maintenant le reste des programmes au même niveau qu’en 2018-2019. Alors qu’il mène à son terme la mise en œuvre du dernier exe</w:t>
      </w:r>
      <w:r w:rsidR="007C3273" w:rsidRPr="0059449E">
        <w:rPr>
          <w:rFonts w:eastAsia="Calibri"/>
          <w:bCs/>
          <w:snapToGrid/>
          <w:color w:val="000000"/>
        </w:rPr>
        <w:t>rcice biennal de la deuxième et ultime période quadriennale de la Stratégie à moyen terme</w:t>
      </w:r>
      <w:r w:rsidR="003A4BAD" w:rsidRPr="0059449E">
        <w:rPr>
          <w:rFonts w:eastAsia="Calibri"/>
          <w:bCs/>
          <w:snapToGrid/>
          <w:color w:val="000000"/>
        </w:rPr>
        <w:t xml:space="preserve"> p</w:t>
      </w:r>
      <w:r w:rsidR="007C3273" w:rsidRPr="0059449E">
        <w:rPr>
          <w:rFonts w:eastAsia="Calibri"/>
          <w:bCs/>
          <w:snapToGrid/>
          <w:color w:val="000000"/>
        </w:rPr>
        <w:t xml:space="preserve">our 2014-2021, le Secrétariat entend </w:t>
      </w:r>
      <w:r w:rsidR="003A4BAD" w:rsidRPr="0059449E">
        <w:rPr>
          <w:rFonts w:eastAsia="Calibri"/>
          <w:bCs/>
          <w:snapToGrid/>
          <w:color w:val="000000"/>
        </w:rPr>
        <w:t xml:space="preserve">affiner son action et refléter pleinement la nature intergouvernementale de la COI dans l’action qu’elle mène avec l’ensemble de ses parties prenantes. Les années 2020 et 2021 seront cruciales pour faire en sorte que la contribution institutionnelle de la COI à la Décennie repose sur </w:t>
      </w:r>
      <w:r w:rsidR="007C3273" w:rsidRPr="0059449E">
        <w:rPr>
          <w:rFonts w:eastAsia="Calibri"/>
          <w:bCs/>
          <w:snapToGrid/>
          <w:color w:val="000000"/>
        </w:rPr>
        <w:t xml:space="preserve">les activités spécialisées bien établies qui ont fait la preuve de leur </w:t>
      </w:r>
      <w:r w:rsidR="003A4BAD" w:rsidRPr="0059449E">
        <w:rPr>
          <w:rFonts w:eastAsia="Calibri"/>
          <w:bCs/>
          <w:snapToGrid/>
          <w:color w:val="000000"/>
        </w:rPr>
        <w:t>perti</w:t>
      </w:r>
      <w:r w:rsidR="007C3273" w:rsidRPr="0059449E">
        <w:rPr>
          <w:rFonts w:eastAsia="Calibri"/>
          <w:bCs/>
          <w:snapToGrid/>
          <w:color w:val="000000"/>
        </w:rPr>
        <w:t xml:space="preserve">nence et d’une contribution effective à l’agenda de la </w:t>
      </w:r>
      <w:r w:rsidR="003A4BAD" w:rsidRPr="0059449E">
        <w:rPr>
          <w:rFonts w:eastAsia="Calibri"/>
          <w:bCs/>
          <w:snapToGrid/>
          <w:color w:val="000000"/>
        </w:rPr>
        <w:t>durabilité</w:t>
      </w:r>
      <w:r w:rsidR="00C60141" w:rsidRPr="0059449E">
        <w:rPr>
          <w:rFonts w:eastAsia="Calibri"/>
          <w:snapToGrid/>
        </w:rPr>
        <w:t>.</w:t>
      </w:r>
    </w:p>
    <w:p w:rsidR="00C60141" w:rsidRPr="0059449E" w:rsidRDefault="004F1B4B" w:rsidP="004F1B4B">
      <w:pPr>
        <w:pStyle w:val="Marge"/>
        <w:rPr>
          <w:rFonts w:eastAsia="Calibri"/>
          <w:iCs/>
          <w:snapToGrid/>
        </w:rPr>
      </w:pPr>
      <w:r>
        <w:rPr>
          <w:rFonts w:eastAsia="Calibri"/>
          <w:bCs/>
          <w:snapToGrid/>
          <w:color w:val="000000"/>
        </w:rPr>
        <w:t>7.</w:t>
      </w:r>
      <w:r>
        <w:rPr>
          <w:rFonts w:eastAsia="Calibri"/>
          <w:bCs/>
          <w:snapToGrid/>
          <w:color w:val="000000"/>
        </w:rPr>
        <w:tab/>
      </w:r>
      <w:r w:rsidR="007C3273" w:rsidRPr="0059449E">
        <w:rPr>
          <w:rFonts w:eastAsia="Calibri"/>
          <w:bCs/>
          <w:snapToGrid/>
          <w:color w:val="000000"/>
        </w:rPr>
        <w:t>Sans la marge de manœuvre minimale que seul permettrait le scénario de 534,6 M$, le Secrétariat</w:t>
      </w:r>
      <w:r w:rsidR="003A4BAD" w:rsidRPr="0059449E">
        <w:rPr>
          <w:rFonts w:eastAsia="Calibri"/>
          <w:bCs/>
          <w:snapToGrid/>
          <w:color w:val="000000"/>
        </w:rPr>
        <w:t xml:space="preserve"> pourrait ne pas être en mesure de produire un plan pour la Décennie qui ref</w:t>
      </w:r>
      <w:r w:rsidR="007C3273" w:rsidRPr="0059449E">
        <w:rPr>
          <w:rFonts w:eastAsia="Calibri"/>
          <w:bCs/>
          <w:snapToGrid/>
          <w:color w:val="000000"/>
        </w:rPr>
        <w:t>lète pleinement les attentes de toutes les nations, essentiellement par ce qu’il</w:t>
      </w:r>
      <w:r w:rsidR="003A4BAD" w:rsidRPr="0059449E">
        <w:rPr>
          <w:rFonts w:eastAsia="Calibri"/>
          <w:bCs/>
          <w:snapToGrid/>
          <w:color w:val="000000"/>
        </w:rPr>
        <w:t xml:space="preserve"> </w:t>
      </w:r>
      <w:r w:rsidR="007C3273" w:rsidRPr="0059449E">
        <w:rPr>
          <w:rFonts w:eastAsia="Calibri"/>
          <w:bCs/>
          <w:snapToGrid/>
          <w:color w:val="000000"/>
        </w:rPr>
        <w:t>ne serait pas possible d’organiser des consultations</w:t>
      </w:r>
      <w:r w:rsidR="003A4BAD" w:rsidRPr="0059449E">
        <w:rPr>
          <w:rFonts w:eastAsia="Calibri"/>
          <w:bCs/>
          <w:snapToGrid/>
          <w:color w:val="000000"/>
        </w:rPr>
        <w:t xml:space="preserve"> approfondies dans toutes les régions. Le scénario de 534,6 M$ permettrait en outre de mener l’action plus ciblée dont ont grandement besoin l’Afrique et les PEID. Dans le domaine des sciences océa</w:t>
      </w:r>
      <w:r w:rsidR="007C3273" w:rsidRPr="0059449E">
        <w:rPr>
          <w:rFonts w:eastAsia="Calibri"/>
          <w:bCs/>
          <w:snapToGrid/>
          <w:color w:val="000000"/>
        </w:rPr>
        <w:t>niques, il</w:t>
      </w:r>
      <w:r w:rsidR="003A4BAD" w:rsidRPr="0059449E">
        <w:rPr>
          <w:rFonts w:eastAsia="Calibri"/>
          <w:bCs/>
          <w:snapToGrid/>
          <w:color w:val="000000"/>
        </w:rPr>
        <w:t xml:space="preserve"> serait</w:t>
      </w:r>
      <w:r w:rsidR="007C3273" w:rsidRPr="0059449E">
        <w:rPr>
          <w:rFonts w:eastAsia="Calibri"/>
          <w:bCs/>
          <w:snapToGrid/>
          <w:color w:val="000000"/>
        </w:rPr>
        <w:t xml:space="preserve"> également possible de mobiliser les réseaux compétents de différentes régions à l’appui des</w:t>
      </w:r>
      <w:r w:rsidR="003A4BAD" w:rsidRPr="0059449E">
        <w:rPr>
          <w:rFonts w:eastAsia="Calibri"/>
          <w:bCs/>
          <w:snapToGrid/>
          <w:color w:val="000000"/>
        </w:rPr>
        <w:t xml:space="preserve"> priorités de recherche et développement recensées dans le plan scientifique de la Décennie, notamment en élaborant des notes d’orientation, en définissant des programmes de recherche et en identifiant les produits et services qui pourraient bénéficier à la société</w:t>
      </w:r>
      <w:r w:rsidR="00C60141" w:rsidRPr="0059449E">
        <w:rPr>
          <w:rFonts w:eastAsia="Calibri"/>
          <w:iCs/>
          <w:snapToGrid/>
        </w:rPr>
        <w:t>.</w:t>
      </w:r>
    </w:p>
    <w:p w:rsidR="00C60141" w:rsidRPr="0059449E" w:rsidRDefault="004F1B4B" w:rsidP="004F1B4B">
      <w:pPr>
        <w:pStyle w:val="Marge"/>
        <w:rPr>
          <w:rFonts w:eastAsia="Calibri"/>
          <w:snapToGrid/>
        </w:rPr>
      </w:pPr>
      <w:r>
        <w:rPr>
          <w:rFonts w:eastAsia="Calibri"/>
          <w:snapToGrid/>
        </w:rPr>
        <w:t>8.</w:t>
      </w:r>
      <w:r>
        <w:rPr>
          <w:rFonts w:eastAsia="Calibri"/>
          <w:snapToGrid/>
        </w:rPr>
        <w:tab/>
      </w:r>
      <w:r w:rsidR="003A4BAD" w:rsidRPr="0059449E">
        <w:rPr>
          <w:rFonts w:eastAsia="Calibri"/>
          <w:snapToGrid/>
        </w:rPr>
        <w:t>Le scénario de 534,6 M$ permettrait par ailleurs de mettre en place un mécanisme mondial d’échange d’informations pour faciliter le transfert de techniques marines et ainsi répondre aux besoins régionaux des nations en développement, notamment les PMA et les PEID. Ce mécanisme se</w:t>
      </w:r>
      <w:r w:rsidR="007C3273" w:rsidRPr="0059449E">
        <w:rPr>
          <w:rFonts w:eastAsia="Calibri"/>
          <w:snapToGrid/>
        </w:rPr>
        <w:t xml:space="preserve">rait crucial pour la stratégie de développement des capacités de la COI dans son </w:t>
      </w:r>
      <w:r w:rsidR="003A4BAD" w:rsidRPr="0059449E">
        <w:rPr>
          <w:rFonts w:eastAsia="Calibri"/>
          <w:snapToGrid/>
        </w:rPr>
        <w:t>ens</w:t>
      </w:r>
      <w:r w:rsidR="006F3204">
        <w:rPr>
          <w:rFonts w:eastAsia="Calibri"/>
          <w:snapToGrid/>
        </w:rPr>
        <w:t>emble et</w:t>
      </w:r>
      <w:r w:rsidR="007C3273" w:rsidRPr="0059449E">
        <w:rPr>
          <w:rFonts w:eastAsia="Calibri"/>
          <w:snapToGrid/>
        </w:rPr>
        <w:t xml:space="preserve"> permettrait de répondre aux différents appels lancés à l’échelon international pour que la COI exerce un rôle de chef de file</w:t>
      </w:r>
      <w:r w:rsidR="003A4BAD" w:rsidRPr="0059449E">
        <w:rPr>
          <w:rFonts w:eastAsia="Calibri"/>
          <w:snapToGrid/>
        </w:rPr>
        <w:t xml:space="preserve"> dans ce domaine (Assemblée générale des Nations Unies</w:t>
      </w:r>
      <w:r w:rsidR="006F3204">
        <w:rPr>
          <w:rFonts w:eastAsia="Calibri"/>
          <w:snapToGrid/>
        </w:rPr>
        <w:t> ; ODD 14 </w:t>
      </w:r>
      <w:r w:rsidR="003A4BAD" w:rsidRPr="0059449E">
        <w:rPr>
          <w:rFonts w:eastAsia="Calibri"/>
          <w:snapToGrid/>
        </w:rPr>
        <w:t>; UNCLOS dans le cadre du futur instrument international juridiquement contraignant sur la conservation et l’utilisat</w:t>
      </w:r>
      <w:r w:rsidR="007C3273" w:rsidRPr="0059449E">
        <w:rPr>
          <w:rFonts w:eastAsia="Calibri"/>
          <w:snapToGrid/>
        </w:rPr>
        <w:t>ion durable de la biodiversité marine des zones ne relevant pas de la juridiction nationale, actuellement en cours de</w:t>
      </w:r>
      <w:r w:rsidR="003A4BAD" w:rsidRPr="0059449E">
        <w:rPr>
          <w:rFonts w:eastAsia="Calibri"/>
          <w:snapToGrid/>
        </w:rPr>
        <w:t xml:space="preserve"> négociation, etc.).</w:t>
      </w:r>
    </w:p>
    <w:p w:rsidR="0047294A" w:rsidRPr="0059449E" w:rsidRDefault="004F1B4B" w:rsidP="004F1B4B">
      <w:pPr>
        <w:pStyle w:val="Marge"/>
        <w:rPr>
          <w:b/>
        </w:rPr>
      </w:pPr>
      <w:r>
        <w:rPr>
          <w:rFonts w:eastAsia="Calibri"/>
          <w:bCs/>
          <w:snapToGrid/>
          <w:color w:val="000000"/>
        </w:rPr>
        <w:t>9.</w:t>
      </w:r>
      <w:r>
        <w:rPr>
          <w:rFonts w:eastAsia="Calibri"/>
          <w:bCs/>
          <w:snapToGrid/>
          <w:color w:val="000000"/>
        </w:rPr>
        <w:tab/>
      </w:r>
      <w:r w:rsidR="007C3273" w:rsidRPr="0059449E">
        <w:rPr>
          <w:rFonts w:eastAsia="Calibri"/>
          <w:bCs/>
          <w:snapToGrid/>
          <w:color w:val="000000"/>
        </w:rPr>
        <w:t>Le scénario de</w:t>
      </w:r>
      <w:r w:rsidR="003A4BAD" w:rsidRPr="0059449E">
        <w:rPr>
          <w:rFonts w:eastAsia="Calibri"/>
          <w:bCs/>
          <w:snapToGrid/>
          <w:color w:val="000000"/>
        </w:rPr>
        <w:t xml:space="preserve"> </w:t>
      </w:r>
      <w:r w:rsidR="007C3273" w:rsidRPr="0059449E">
        <w:rPr>
          <w:rFonts w:eastAsia="Calibri"/>
          <w:bCs/>
          <w:snapToGrid/>
          <w:color w:val="000000"/>
        </w:rPr>
        <w:t>507 M$ a quant à lui été établi à partir d’une revalorisation des postes établis du</w:t>
      </w:r>
      <w:r w:rsidR="006F3204">
        <w:rPr>
          <w:rFonts w:eastAsia="Calibri"/>
          <w:bCs/>
          <w:snapToGrid/>
          <w:color w:val="000000"/>
        </w:rPr>
        <w:t xml:space="preserve"> 39 </w:t>
      </w:r>
      <w:r w:rsidR="003A4BAD" w:rsidRPr="0059449E">
        <w:rPr>
          <w:rFonts w:eastAsia="Calibri"/>
          <w:bCs/>
          <w:snapToGrid/>
          <w:color w:val="000000"/>
        </w:rPr>
        <w:t>C/5, sans aucun changeme</w:t>
      </w:r>
      <w:r w:rsidR="006F3204">
        <w:rPr>
          <w:rFonts w:eastAsia="Calibri"/>
          <w:bCs/>
          <w:snapToGrid/>
          <w:color w:val="000000"/>
        </w:rPr>
        <w:t>nt, et avec une réduction de 19 </w:t>
      </w:r>
      <w:r w:rsidR="003A4BAD" w:rsidRPr="0059449E">
        <w:rPr>
          <w:rFonts w:eastAsia="Calibri"/>
          <w:bCs/>
          <w:snapToGrid/>
          <w:color w:val="000000"/>
        </w:rPr>
        <w:t>% des activités de programme répartie sur l’ensemble des activités. Compte tenu de l’impact qu’aurait une telle réduction, si ce scénario était retenu, la COI serait contrainte de procéder à une redéfinition des priorités de gra</w:t>
      </w:r>
      <w:r w:rsidR="007C3273" w:rsidRPr="0059449E">
        <w:rPr>
          <w:rFonts w:eastAsia="Calibri"/>
          <w:bCs/>
          <w:snapToGrid/>
          <w:color w:val="000000"/>
        </w:rPr>
        <w:t>nde envergure. Cela supposerait vraisemblablement l’arrêt ou une réduction considérable de certains programmes,</w:t>
      </w:r>
      <w:r w:rsidR="003A4BAD" w:rsidRPr="0059449E">
        <w:rPr>
          <w:rFonts w:eastAsia="Calibri"/>
          <w:bCs/>
          <w:snapToGrid/>
          <w:color w:val="000000"/>
        </w:rPr>
        <w:t xml:space="preserve"> ain</w:t>
      </w:r>
      <w:r w:rsidR="007C3273" w:rsidRPr="0059449E">
        <w:rPr>
          <w:rFonts w:eastAsia="Calibri"/>
          <w:bCs/>
          <w:snapToGrid/>
          <w:color w:val="000000"/>
        </w:rPr>
        <w:t xml:space="preserve">si qu’une baisse de leurs effectifs d’appui. Des programmes fondamentaux de la COI fonctionneraient </w:t>
      </w:r>
      <w:r w:rsidR="003A4BAD" w:rsidRPr="0059449E">
        <w:rPr>
          <w:rFonts w:eastAsia="Calibri"/>
          <w:bCs/>
          <w:snapToGrid/>
          <w:color w:val="000000"/>
        </w:rPr>
        <w:t xml:space="preserve">alors en-deçà du seuil de viabilité et pourraient même être abandonnés. </w:t>
      </w:r>
      <w:r w:rsidR="0047294A" w:rsidRPr="0059449E">
        <w:t xml:space="preserve">L’Assemblée est invitée à fournir des orientations quant à l’approche </w:t>
      </w:r>
      <w:r w:rsidR="00EF6525" w:rsidRPr="0059449E">
        <w:t>que le</w:t>
      </w:r>
      <w:r w:rsidR="0047294A" w:rsidRPr="0059449E">
        <w:t xml:space="preserve"> Secrétariat</w:t>
      </w:r>
      <w:r w:rsidR="00EF6525" w:rsidRPr="0059449E">
        <w:t xml:space="preserve"> devrait adopter si un tel scénario était retenu, notamment en ce qui concerne la validité</w:t>
      </w:r>
      <w:r w:rsidR="009A3FBF" w:rsidRPr="0059449E">
        <w:t xml:space="preserve"> des </w:t>
      </w:r>
      <w:r w:rsidR="00524D79" w:rsidRPr="0059449E">
        <w:t>principes</w:t>
      </w:r>
      <w:r w:rsidR="009A3FBF" w:rsidRPr="0059449E">
        <w:t xml:space="preserve"> de budgétisation adoptés dans la </w:t>
      </w:r>
      <w:hyperlink r:id="rId11" w:history="1">
        <w:r w:rsidR="009A3FBF" w:rsidRPr="0059449E">
          <w:rPr>
            <w:rStyle w:val="Hyperlink"/>
          </w:rPr>
          <w:t>résolution XXVII-2 Annexe 2</w:t>
        </w:r>
      </w:hyperlink>
      <w:r w:rsidR="009A3FBF" w:rsidRPr="0059449E">
        <w:t>.</w:t>
      </w:r>
    </w:p>
    <w:p w:rsidR="009A3FBF" w:rsidRPr="0059449E" w:rsidRDefault="004F1B4B" w:rsidP="004F1B4B">
      <w:pPr>
        <w:pStyle w:val="Marge"/>
      </w:pPr>
      <w:r>
        <w:t>10.</w:t>
      </w:r>
      <w:r>
        <w:tab/>
      </w:r>
      <w:r w:rsidR="009A3FBF" w:rsidRPr="0059449E">
        <w:t xml:space="preserve">Afin de clarifier les informations budgétaires </w:t>
      </w:r>
      <w:r w:rsidR="00441BA4" w:rsidRPr="0059449E">
        <w:t>figurant</w:t>
      </w:r>
      <w:r w:rsidR="009A3FBF" w:rsidRPr="0059449E">
        <w:t xml:space="preserve"> plus loin dans le document, le tableau ci-après </w:t>
      </w:r>
      <w:r w:rsidR="00441BA4" w:rsidRPr="0059449E">
        <w:t>présente</w:t>
      </w:r>
      <w:r w:rsidR="009A3FBF" w:rsidRPr="0059449E">
        <w:t xml:space="preserve"> une comparaison </w:t>
      </w:r>
      <w:r w:rsidR="004E613A" w:rsidRPr="0059449E">
        <w:t xml:space="preserve">simple </w:t>
      </w:r>
      <w:r w:rsidR="009A3FBF" w:rsidRPr="0059449E">
        <w:t xml:space="preserve">entre l’exercice biennal </w:t>
      </w:r>
      <w:r w:rsidR="004E613A" w:rsidRPr="0059449E">
        <w:t>2018-2019 en cours</w:t>
      </w:r>
      <w:r w:rsidR="009A3FBF" w:rsidRPr="0059449E">
        <w:t xml:space="preserve"> (</w:t>
      </w:r>
      <w:hyperlink r:id="rId12" w:history="1">
        <w:r w:rsidR="009A3FBF" w:rsidRPr="0059449E">
          <w:rPr>
            <w:rStyle w:val="Hyperlink"/>
          </w:rPr>
          <w:t>IOC-XXIX/2 Annexe 5 Rev.2</w:t>
        </w:r>
      </w:hyperlink>
      <w:r w:rsidR="009A3FBF" w:rsidRPr="0059449E">
        <w:t xml:space="preserve">) (budget effectif fondé sur le plan de dépenses de 518 M$ et scénario de 507 M$ </w:t>
      </w:r>
      <w:r w:rsidR="00313C03" w:rsidRPr="0059449E">
        <w:t>n’ayant</w:t>
      </w:r>
      <w:r w:rsidR="009A3FBF" w:rsidRPr="0059449E">
        <w:t xml:space="preserve"> pas été retenu)</w:t>
      </w:r>
      <w:r w:rsidR="004E613A" w:rsidRPr="0059449E">
        <w:t xml:space="preserve"> et les différents scénarios pour 2020-2021, en termes d’allocations au titre du programme ordinaire.</w:t>
      </w:r>
    </w:p>
    <w:tbl>
      <w:tblPr>
        <w:tblW w:w="5000" w:type="pct"/>
        <w:tblCellMar>
          <w:left w:w="70" w:type="dxa"/>
          <w:right w:w="70" w:type="dxa"/>
        </w:tblCellMar>
        <w:tblLook w:val="04A0" w:firstRow="1" w:lastRow="0" w:firstColumn="1" w:lastColumn="0" w:noHBand="0" w:noVBand="1"/>
      </w:tblPr>
      <w:tblGrid>
        <w:gridCol w:w="1057"/>
        <w:gridCol w:w="1042"/>
        <w:gridCol w:w="651"/>
        <w:gridCol w:w="1106"/>
        <w:gridCol w:w="657"/>
        <w:gridCol w:w="1052"/>
        <w:gridCol w:w="655"/>
        <w:gridCol w:w="1052"/>
        <w:gridCol w:w="653"/>
        <w:gridCol w:w="1052"/>
        <w:gridCol w:w="651"/>
      </w:tblGrid>
      <w:tr w:rsidR="004E613A" w:rsidRPr="0059449E" w:rsidTr="00A311D2">
        <w:trPr>
          <w:trHeight w:val="300"/>
        </w:trPr>
        <w:tc>
          <w:tcPr>
            <w:tcW w:w="55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613A" w:rsidRPr="0059449E" w:rsidRDefault="004E613A" w:rsidP="000D1B28">
            <w:pPr>
              <w:tabs>
                <w:tab w:val="clear" w:pos="567"/>
              </w:tabs>
              <w:snapToGrid/>
              <w:jc w:val="center"/>
              <w:rPr>
                <w:rFonts w:cs="Arial"/>
                <w:snapToGrid/>
                <w:color w:val="000000"/>
                <w:sz w:val="18"/>
                <w:szCs w:val="18"/>
                <w:lang w:val="fr-FR" w:eastAsia="fr-FR"/>
              </w:rPr>
            </w:pPr>
            <w:r w:rsidRPr="0059449E">
              <w:rPr>
                <w:rFonts w:cs="Arial"/>
                <w:snapToGrid/>
                <w:color w:val="000000"/>
                <w:sz w:val="18"/>
                <w:szCs w:val="18"/>
                <w:lang w:val="fr-FR" w:eastAsia="fr-FR"/>
              </w:rPr>
              <w:lastRenderedPageBreak/>
              <w:t> </w:t>
            </w:r>
          </w:p>
        </w:tc>
        <w:tc>
          <w:tcPr>
            <w:tcW w:w="178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4E613A" w:rsidRPr="0059449E" w:rsidRDefault="00D57CE8" w:rsidP="00D57CE8">
            <w:pPr>
              <w:tabs>
                <w:tab w:val="clear" w:pos="567"/>
              </w:tabs>
              <w:snapToGrid/>
              <w:jc w:val="center"/>
              <w:rPr>
                <w:rFonts w:cs="Arial"/>
                <w:b/>
                <w:bCs/>
                <w:snapToGrid/>
                <w:color w:val="000000"/>
                <w:sz w:val="18"/>
                <w:szCs w:val="18"/>
                <w:lang w:val="fr-FR" w:eastAsia="fr-FR"/>
              </w:rPr>
            </w:pPr>
            <w:r w:rsidRPr="0059449E">
              <w:rPr>
                <w:rFonts w:cs="Arial"/>
                <w:b/>
                <w:bCs/>
                <w:snapToGrid/>
                <w:color w:val="000000"/>
                <w:sz w:val="18"/>
                <w:szCs w:val="18"/>
                <w:lang w:val="fr-FR" w:eastAsia="fr-FR"/>
              </w:rPr>
              <w:t>39 </w:t>
            </w:r>
            <w:r w:rsidR="00313C03" w:rsidRPr="0059449E">
              <w:rPr>
                <w:rFonts w:cs="Arial"/>
                <w:b/>
                <w:bCs/>
                <w:snapToGrid/>
                <w:color w:val="000000"/>
                <w:sz w:val="18"/>
                <w:szCs w:val="18"/>
                <w:lang w:val="fr-FR" w:eastAsia="fr-FR"/>
              </w:rPr>
              <w:t>C/5 :</w:t>
            </w:r>
            <w:r w:rsidR="004E613A" w:rsidRPr="0059449E">
              <w:rPr>
                <w:rFonts w:cs="Arial"/>
                <w:b/>
                <w:bCs/>
                <w:snapToGrid/>
                <w:color w:val="000000"/>
                <w:sz w:val="18"/>
                <w:szCs w:val="18"/>
                <w:lang w:val="fr-FR" w:eastAsia="fr-FR"/>
              </w:rPr>
              <w:t xml:space="preserve"> 2018</w:t>
            </w:r>
            <w:r w:rsidRPr="0059449E">
              <w:rPr>
                <w:rFonts w:cs="Arial"/>
                <w:b/>
                <w:bCs/>
                <w:snapToGrid/>
                <w:color w:val="000000"/>
                <w:sz w:val="18"/>
                <w:szCs w:val="18"/>
                <w:lang w:val="fr-FR" w:eastAsia="fr-FR"/>
              </w:rPr>
              <w:t>-</w:t>
            </w:r>
            <w:r w:rsidR="004E613A" w:rsidRPr="0059449E">
              <w:rPr>
                <w:rFonts w:cs="Arial"/>
                <w:b/>
                <w:bCs/>
                <w:snapToGrid/>
                <w:color w:val="000000"/>
                <w:sz w:val="18"/>
                <w:szCs w:val="18"/>
                <w:lang w:val="fr-FR" w:eastAsia="fr-FR"/>
              </w:rPr>
              <w:t>2019</w:t>
            </w:r>
          </w:p>
        </w:tc>
        <w:tc>
          <w:tcPr>
            <w:tcW w:w="2659" w:type="pct"/>
            <w:gridSpan w:val="6"/>
            <w:tcBorders>
              <w:top w:val="single" w:sz="4" w:space="0" w:color="auto"/>
              <w:left w:val="nil"/>
              <w:bottom w:val="single" w:sz="4" w:space="0" w:color="auto"/>
              <w:right w:val="single" w:sz="4" w:space="0" w:color="auto"/>
            </w:tcBorders>
            <w:shd w:val="clear" w:color="000000" w:fill="DDEBF7"/>
            <w:noWrap/>
            <w:vAlign w:val="bottom"/>
            <w:hideMark/>
          </w:tcPr>
          <w:p w:rsidR="004E613A" w:rsidRPr="0059449E" w:rsidRDefault="00D57CE8" w:rsidP="00D57CE8">
            <w:pPr>
              <w:tabs>
                <w:tab w:val="clear" w:pos="567"/>
              </w:tabs>
              <w:snapToGrid/>
              <w:jc w:val="center"/>
              <w:rPr>
                <w:rFonts w:cs="Arial"/>
                <w:b/>
                <w:bCs/>
                <w:snapToGrid/>
                <w:color w:val="000000"/>
                <w:sz w:val="18"/>
                <w:szCs w:val="18"/>
                <w:lang w:val="fr-FR" w:eastAsia="fr-FR"/>
              </w:rPr>
            </w:pPr>
            <w:r w:rsidRPr="0059449E">
              <w:rPr>
                <w:rFonts w:cs="Arial"/>
                <w:b/>
                <w:bCs/>
                <w:snapToGrid/>
                <w:color w:val="000000"/>
                <w:sz w:val="18"/>
                <w:szCs w:val="18"/>
                <w:lang w:val="fr-FR" w:eastAsia="fr-FR"/>
              </w:rPr>
              <w:t>Projet de 40 </w:t>
            </w:r>
            <w:r w:rsidR="00313C03" w:rsidRPr="0059449E">
              <w:rPr>
                <w:rFonts w:cs="Arial"/>
                <w:b/>
                <w:bCs/>
                <w:snapToGrid/>
                <w:color w:val="000000"/>
                <w:sz w:val="18"/>
                <w:szCs w:val="18"/>
                <w:lang w:val="fr-FR" w:eastAsia="fr-FR"/>
              </w:rPr>
              <w:t>C/5 :</w:t>
            </w:r>
            <w:r w:rsidR="004E613A" w:rsidRPr="0059449E">
              <w:rPr>
                <w:rFonts w:cs="Arial"/>
                <w:b/>
                <w:bCs/>
                <w:snapToGrid/>
                <w:color w:val="000000"/>
                <w:sz w:val="18"/>
                <w:szCs w:val="18"/>
                <w:lang w:val="fr-FR" w:eastAsia="fr-FR"/>
              </w:rPr>
              <w:t xml:space="preserve"> 2020</w:t>
            </w:r>
            <w:r w:rsidRPr="0059449E">
              <w:rPr>
                <w:rFonts w:cs="Arial"/>
                <w:b/>
                <w:bCs/>
                <w:snapToGrid/>
                <w:color w:val="000000"/>
                <w:sz w:val="18"/>
                <w:szCs w:val="18"/>
                <w:lang w:val="fr-FR" w:eastAsia="fr-FR"/>
              </w:rPr>
              <w:t>-</w:t>
            </w:r>
            <w:r w:rsidR="004E613A" w:rsidRPr="0059449E">
              <w:rPr>
                <w:rFonts w:cs="Arial"/>
                <w:b/>
                <w:bCs/>
                <w:snapToGrid/>
                <w:color w:val="000000"/>
                <w:sz w:val="18"/>
                <w:szCs w:val="18"/>
                <w:lang w:val="fr-FR" w:eastAsia="fr-FR"/>
              </w:rPr>
              <w:t>2021</w:t>
            </w:r>
          </w:p>
        </w:tc>
      </w:tr>
      <w:tr w:rsidR="004E613A" w:rsidRPr="0059449E" w:rsidTr="00A311D2">
        <w:trPr>
          <w:trHeight w:val="300"/>
        </w:trPr>
        <w:tc>
          <w:tcPr>
            <w:tcW w:w="554" w:type="pct"/>
            <w:vMerge/>
            <w:tcBorders>
              <w:top w:val="single" w:sz="4" w:space="0" w:color="auto"/>
              <w:left w:val="single" w:sz="4" w:space="0" w:color="auto"/>
              <w:bottom w:val="single" w:sz="4" w:space="0" w:color="000000"/>
              <w:right w:val="single" w:sz="4" w:space="0" w:color="auto"/>
            </w:tcBorders>
            <w:vAlign w:val="center"/>
            <w:hideMark/>
          </w:tcPr>
          <w:p w:rsidR="004E613A" w:rsidRPr="0059449E" w:rsidRDefault="004E613A" w:rsidP="000D1B28">
            <w:pPr>
              <w:tabs>
                <w:tab w:val="clear" w:pos="567"/>
              </w:tabs>
              <w:snapToGrid/>
              <w:rPr>
                <w:rFonts w:cs="Arial"/>
                <w:snapToGrid/>
                <w:color w:val="000000"/>
                <w:sz w:val="18"/>
                <w:szCs w:val="18"/>
                <w:lang w:val="fr-FR" w:eastAsia="fr-FR"/>
              </w:rPr>
            </w:pPr>
          </w:p>
        </w:tc>
        <w:tc>
          <w:tcPr>
            <w:tcW w:w="86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E613A" w:rsidRPr="0059449E" w:rsidRDefault="004E613A" w:rsidP="000D1B28">
            <w:pPr>
              <w:tabs>
                <w:tab w:val="clear" w:pos="567"/>
              </w:tabs>
              <w:snapToGrid/>
              <w:jc w:val="center"/>
              <w:rPr>
                <w:rFonts w:cs="Arial"/>
                <w:snapToGrid/>
                <w:color w:val="000000"/>
                <w:sz w:val="18"/>
                <w:szCs w:val="18"/>
                <w:lang w:val="fr-FR" w:eastAsia="fr-FR"/>
              </w:rPr>
            </w:pPr>
            <w:r w:rsidRPr="0059449E">
              <w:rPr>
                <w:rFonts w:cs="Arial"/>
                <w:snapToGrid/>
                <w:color w:val="000000"/>
                <w:sz w:val="18"/>
                <w:szCs w:val="18"/>
                <w:lang w:val="fr-FR" w:eastAsia="fr-FR"/>
              </w:rPr>
              <w:t>507 M$</w:t>
            </w:r>
          </w:p>
        </w:tc>
        <w:tc>
          <w:tcPr>
            <w:tcW w:w="92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4E613A" w:rsidRPr="0059449E" w:rsidRDefault="004E613A" w:rsidP="000D1B28">
            <w:pPr>
              <w:tabs>
                <w:tab w:val="clear" w:pos="567"/>
              </w:tabs>
              <w:snapToGrid/>
              <w:jc w:val="center"/>
              <w:rPr>
                <w:rFonts w:cs="Arial"/>
                <w:b/>
                <w:bCs/>
                <w:snapToGrid/>
                <w:color w:val="000000"/>
                <w:sz w:val="18"/>
                <w:szCs w:val="18"/>
                <w:lang w:val="fr-FR" w:eastAsia="fr-FR"/>
              </w:rPr>
            </w:pPr>
            <w:r w:rsidRPr="0059449E">
              <w:rPr>
                <w:rFonts w:cs="Arial"/>
                <w:b/>
                <w:bCs/>
                <w:snapToGrid/>
                <w:color w:val="000000"/>
                <w:sz w:val="18"/>
                <w:szCs w:val="18"/>
                <w:lang w:val="fr-FR" w:eastAsia="fr-FR"/>
              </w:rPr>
              <w:t>518 </w:t>
            </w:r>
            <w:r w:rsidRPr="0059449E">
              <w:rPr>
                <w:rFonts w:cs="Arial"/>
                <w:b/>
                <w:snapToGrid/>
                <w:color w:val="000000"/>
                <w:sz w:val="18"/>
                <w:szCs w:val="18"/>
                <w:lang w:val="fr-FR" w:eastAsia="fr-FR"/>
              </w:rPr>
              <w:t>M$</w:t>
            </w:r>
          </w:p>
        </w:tc>
        <w:tc>
          <w:tcPr>
            <w:tcW w:w="896" w:type="pct"/>
            <w:gridSpan w:val="2"/>
            <w:tcBorders>
              <w:top w:val="single" w:sz="4" w:space="0" w:color="auto"/>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center"/>
              <w:rPr>
                <w:rFonts w:cs="Arial"/>
                <w:snapToGrid/>
                <w:color w:val="000000"/>
                <w:sz w:val="18"/>
                <w:szCs w:val="18"/>
                <w:lang w:val="fr-FR" w:eastAsia="fr-FR"/>
              </w:rPr>
            </w:pPr>
            <w:r w:rsidRPr="0059449E">
              <w:rPr>
                <w:rFonts w:cs="Arial"/>
                <w:snapToGrid/>
                <w:color w:val="000000"/>
                <w:sz w:val="18"/>
                <w:szCs w:val="18"/>
                <w:lang w:val="fr-FR" w:eastAsia="fr-FR"/>
              </w:rPr>
              <w:t>507 M$</w:t>
            </w:r>
          </w:p>
        </w:tc>
        <w:tc>
          <w:tcPr>
            <w:tcW w:w="895" w:type="pct"/>
            <w:gridSpan w:val="2"/>
            <w:tcBorders>
              <w:top w:val="single" w:sz="4" w:space="0" w:color="auto"/>
              <w:left w:val="nil"/>
              <w:bottom w:val="single" w:sz="4" w:space="0" w:color="auto"/>
              <w:right w:val="single" w:sz="4" w:space="0" w:color="auto"/>
            </w:tcBorders>
            <w:shd w:val="clear" w:color="000000" w:fill="DDEBF7"/>
            <w:noWrap/>
            <w:vAlign w:val="bottom"/>
            <w:hideMark/>
          </w:tcPr>
          <w:p w:rsidR="004E613A" w:rsidRPr="0059449E" w:rsidRDefault="00FA2E7A" w:rsidP="00FA2E7A">
            <w:pPr>
              <w:tabs>
                <w:tab w:val="clear" w:pos="567"/>
              </w:tabs>
              <w:snapToGrid/>
              <w:jc w:val="center"/>
              <w:rPr>
                <w:rFonts w:cs="Arial"/>
                <w:b/>
                <w:bCs/>
                <w:snapToGrid/>
                <w:color w:val="000000"/>
                <w:sz w:val="18"/>
                <w:szCs w:val="18"/>
                <w:lang w:val="fr-FR" w:eastAsia="fr-FR"/>
              </w:rPr>
            </w:pPr>
            <w:r w:rsidRPr="0059449E">
              <w:rPr>
                <w:rFonts w:cs="Arial"/>
                <w:b/>
                <w:bCs/>
                <w:snapToGrid/>
                <w:color w:val="000000"/>
                <w:sz w:val="18"/>
                <w:szCs w:val="18"/>
                <w:lang w:val="fr-FR" w:eastAsia="fr-FR"/>
              </w:rPr>
              <w:t>518</w:t>
            </w:r>
            <w:r w:rsidR="004E613A" w:rsidRPr="0059449E">
              <w:rPr>
                <w:rFonts w:cs="Arial"/>
                <w:b/>
                <w:bCs/>
                <w:snapToGrid/>
                <w:color w:val="000000"/>
                <w:sz w:val="18"/>
                <w:szCs w:val="18"/>
                <w:lang w:val="fr-FR" w:eastAsia="fr-FR"/>
              </w:rPr>
              <w:t xml:space="preserve"> / 523,6 </w:t>
            </w:r>
            <w:r w:rsidR="004E613A" w:rsidRPr="0059449E">
              <w:rPr>
                <w:rFonts w:cs="Arial"/>
                <w:b/>
                <w:snapToGrid/>
                <w:color w:val="000000"/>
                <w:sz w:val="18"/>
                <w:szCs w:val="18"/>
                <w:lang w:val="fr-FR" w:eastAsia="fr-FR"/>
              </w:rPr>
              <w:t>M$</w:t>
            </w:r>
          </w:p>
        </w:tc>
        <w:tc>
          <w:tcPr>
            <w:tcW w:w="868" w:type="pct"/>
            <w:gridSpan w:val="2"/>
            <w:tcBorders>
              <w:top w:val="single" w:sz="4" w:space="0" w:color="auto"/>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center"/>
              <w:rPr>
                <w:rFonts w:cs="Arial"/>
                <w:snapToGrid/>
                <w:color w:val="000000"/>
                <w:sz w:val="18"/>
                <w:szCs w:val="18"/>
                <w:lang w:val="fr-FR" w:eastAsia="fr-FR"/>
              </w:rPr>
            </w:pPr>
            <w:r w:rsidRPr="0059449E">
              <w:rPr>
                <w:rFonts w:cs="Arial"/>
                <w:snapToGrid/>
                <w:color w:val="000000"/>
                <w:sz w:val="18"/>
                <w:szCs w:val="18"/>
                <w:lang w:val="fr-FR" w:eastAsia="fr-FR"/>
              </w:rPr>
              <w:t>534,6 M$</w:t>
            </w:r>
          </w:p>
        </w:tc>
      </w:tr>
      <w:tr w:rsidR="004E613A" w:rsidRPr="0059449E" w:rsidTr="00A311D2">
        <w:trPr>
          <w:trHeight w:val="300"/>
        </w:trPr>
        <w:tc>
          <w:tcPr>
            <w:tcW w:w="554" w:type="pct"/>
            <w:vMerge/>
            <w:tcBorders>
              <w:top w:val="single" w:sz="4" w:space="0" w:color="auto"/>
              <w:left w:val="single" w:sz="4" w:space="0" w:color="auto"/>
              <w:bottom w:val="single" w:sz="4" w:space="0" w:color="000000"/>
              <w:right w:val="single" w:sz="4" w:space="0" w:color="auto"/>
            </w:tcBorders>
            <w:vAlign w:val="center"/>
            <w:hideMark/>
          </w:tcPr>
          <w:p w:rsidR="004E613A" w:rsidRPr="0059449E" w:rsidRDefault="004E613A" w:rsidP="000D1B28">
            <w:pPr>
              <w:tabs>
                <w:tab w:val="clear" w:pos="567"/>
              </w:tabs>
              <w:snapToGrid/>
              <w:rPr>
                <w:rFonts w:cs="Arial"/>
                <w:snapToGrid/>
                <w:color w:val="000000"/>
                <w:sz w:val="18"/>
                <w:szCs w:val="18"/>
                <w:lang w:val="fr-FR" w:eastAsia="fr-FR"/>
              </w:rPr>
            </w:pPr>
          </w:p>
        </w:tc>
        <w:tc>
          <w:tcPr>
            <w:tcW w:w="546" w:type="pct"/>
            <w:tcBorders>
              <w:top w:val="nil"/>
              <w:left w:val="nil"/>
              <w:bottom w:val="single" w:sz="4" w:space="0" w:color="auto"/>
              <w:right w:val="single" w:sz="4" w:space="0" w:color="auto"/>
            </w:tcBorders>
            <w:shd w:val="clear" w:color="auto" w:fill="auto"/>
            <w:noWrap/>
            <w:vAlign w:val="bottom"/>
            <w:hideMark/>
          </w:tcPr>
          <w:p w:rsidR="004E613A" w:rsidRPr="0059449E" w:rsidRDefault="004E613A" w:rsidP="000D1B28">
            <w:pPr>
              <w:tabs>
                <w:tab w:val="clear" w:pos="567"/>
              </w:tabs>
              <w:snapToGrid/>
              <w:jc w:val="center"/>
              <w:rPr>
                <w:rFonts w:cs="Arial"/>
                <w:snapToGrid/>
                <w:color w:val="000000"/>
                <w:sz w:val="18"/>
                <w:szCs w:val="18"/>
                <w:lang w:val="fr-FR" w:eastAsia="fr-FR"/>
              </w:rPr>
            </w:pPr>
            <w:r w:rsidRPr="0059449E">
              <w:rPr>
                <w:rFonts w:cs="Arial"/>
                <w:snapToGrid/>
                <w:color w:val="000000"/>
                <w:sz w:val="18"/>
                <w:szCs w:val="18"/>
                <w:lang w:val="fr-FR" w:eastAsia="fr-FR"/>
              </w:rPr>
              <w:t>$</w:t>
            </w:r>
          </w:p>
        </w:tc>
        <w:tc>
          <w:tcPr>
            <w:tcW w:w="316" w:type="pct"/>
            <w:tcBorders>
              <w:top w:val="nil"/>
              <w:left w:val="nil"/>
              <w:bottom w:val="single" w:sz="4" w:space="0" w:color="auto"/>
              <w:right w:val="single" w:sz="4" w:space="0" w:color="auto"/>
            </w:tcBorders>
            <w:shd w:val="clear" w:color="auto" w:fill="auto"/>
            <w:noWrap/>
            <w:vAlign w:val="bottom"/>
            <w:hideMark/>
          </w:tcPr>
          <w:p w:rsidR="004E613A" w:rsidRPr="0059449E" w:rsidRDefault="004E613A" w:rsidP="000D1B28">
            <w:pPr>
              <w:tabs>
                <w:tab w:val="clear" w:pos="567"/>
              </w:tabs>
              <w:snapToGrid/>
              <w:jc w:val="center"/>
              <w:rPr>
                <w:rFonts w:cs="Arial"/>
                <w:snapToGrid/>
                <w:color w:val="000000"/>
                <w:sz w:val="18"/>
                <w:szCs w:val="18"/>
                <w:lang w:val="fr-FR" w:eastAsia="fr-FR"/>
              </w:rPr>
            </w:pPr>
            <w:r w:rsidRPr="0059449E">
              <w:rPr>
                <w:rFonts w:cs="Arial"/>
                <w:snapToGrid/>
                <w:color w:val="000000"/>
                <w:sz w:val="18"/>
                <w:szCs w:val="18"/>
                <w:lang w:val="fr-FR" w:eastAsia="fr-FR"/>
              </w:rPr>
              <w:t>%</w:t>
            </w:r>
          </w:p>
        </w:tc>
        <w:tc>
          <w:tcPr>
            <w:tcW w:w="579" w:type="pct"/>
            <w:tcBorders>
              <w:top w:val="nil"/>
              <w:left w:val="nil"/>
              <w:bottom w:val="single" w:sz="4" w:space="0" w:color="auto"/>
              <w:right w:val="single" w:sz="4" w:space="0" w:color="auto"/>
            </w:tcBorders>
            <w:shd w:val="clear" w:color="auto" w:fill="auto"/>
            <w:noWrap/>
            <w:vAlign w:val="bottom"/>
            <w:hideMark/>
          </w:tcPr>
          <w:p w:rsidR="004E613A" w:rsidRPr="0059449E" w:rsidRDefault="004E613A" w:rsidP="000D1B28">
            <w:pPr>
              <w:tabs>
                <w:tab w:val="clear" w:pos="567"/>
              </w:tabs>
              <w:snapToGrid/>
              <w:jc w:val="center"/>
              <w:rPr>
                <w:rFonts w:cs="Arial"/>
                <w:b/>
                <w:bCs/>
                <w:snapToGrid/>
                <w:color w:val="000000"/>
                <w:sz w:val="18"/>
                <w:szCs w:val="18"/>
                <w:lang w:val="fr-FR" w:eastAsia="fr-FR"/>
              </w:rPr>
            </w:pPr>
            <w:r w:rsidRPr="0059449E">
              <w:rPr>
                <w:rFonts w:cs="Arial"/>
                <w:b/>
                <w:bCs/>
                <w:snapToGrid/>
                <w:color w:val="000000"/>
                <w:sz w:val="18"/>
                <w:szCs w:val="18"/>
                <w:lang w:val="fr-FR" w:eastAsia="fr-FR"/>
              </w:rPr>
              <w:t>$</w:t>
            </w:r>
          </w:p>
        </w:tc>
        <w:tc>
          <w:tcPr>
            <w:tcW w:w="345" w:type="pct"/>
            <w:tcBorders>
              <w:top w:val="nil"/>
              <w:left w:val="nil"/>
              <w:bottom w:val="single" w:sz="4" w:space="0" w:color="auto"/>
              <w:right w:val="single" w:sz="4" w:space="0" w:color="auto"/>
            </w:tcBorders>
            <w:shd w:val="clear" w:color="auto" w:fill="auto"/>
            <w:noWrap/>
            <w:vAlign w:val="bottom"/>
            <w:hideMark/>
          </w:tcPr>
          <w:p w:rsidR="004E613A" w:rsidRPr="0059449E" w:rsidRDefault="004E613A" w:rsidP="000D1B28">
            <w:pPr>
              <w:tabs>
                <w:tab w:val="clear" w:pos="567"/>
              </w:tabs>
              <w:snapToGrid/>
              <w:jc w:val="center"/>
              <w:rPr>
                <w:rFonts w:cs="Arial"/>
                <w:b/>
                <w:bCs/>
                <w:snapToGrid/>
                <w:color w:val="000000"/>
                <w:sz w:val="18"/>
                <w:szCs w:val="18"/>
                <w:lang w:val="fr-FR" w:eastAsia="fr-FR"/>
              </w:rPr>
            </w:pPr>
            <w:r w:rsidRPr="0059449E">
              <w:rPr>
                <w:rFonts w:cs="Arial"/>
                <w:b/>
                <w:bCs/>
                <w:snapToGrid/>
                <w:color w:val="000000"/>
                <w:sz w:val="18"/>
                <w:szCs w:val="18"/>
                <w:lang w:val="fr-FR" w:eastAsia="fr-FR"/>
              </w:rPr>
              <w:t>%</w:t>
            </w:r>
          </w:p>
        </w:tc>
        <w:tc>
          <w:tcPr>
            <w:tcW w:w="551" w:type="pct"/>
            <w:tcBorders>
              <w:top w:val="nil"/>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center"/>
              <w:rPr>
                <w:rFonts w:cs="Arial"/>
                <w:snapToGrid/>
                <w:color w:val="000000"/>
                <w:sz w:val="18"/>
                <w:szCs w:val="18"/>
                <w:lang w:val="fr-FR" w:eastAsia="fr-FR"/>
              </w:rPr>
            </w:pPr>
            <w:r w:rsidRPr="0059449E">
              <w:rPr>
                <w:rFonts w:cs="Arial"/>
                <w:snapToGrid/>
                <w:color w:val="000000"/>
                <w:sz w:val="18"/>
                <w:szCs w:val="18"/>
                <w:lang w:val="fr-FR" w:eastAsia="fr-FR"/>
              </w:rPr>
              <w:t>$</w:t>
            </w:r>
          </w:p>
        </w:tc>
        <w:tc>
          <w:tcPr>
            <w:tcW w:w="345" w:type="pct"/>
            <w:tcBorders>
              <w:top w:val="nil"/>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center"/>
              <w:rPr>
                <w:rFonts w:cs="Arial"/>
                <w:snapToGrid/>
                <w:color w:val="000000"/>
                <w:sz w:val="18"/>
                <w:szCs w:val="18"/>
                <w:lang w:val="fr-FR" w:eastAsia="fr-FR"/>
              </w:rPr>
            </w:pPr>
            <w:r w:rsidRPr="0059449E">
              <w:rPr>
                <w:rFonts w:cs="Arial"/>
                <w:snapToGrid/>
                <w:color w:val="000000"/>
                <w:sz w:val="18"/>
                <w:szCs w:val="18"/>
                <w:lang w:val="fr-FR" w:eastAsia="fr-FR"/>
              </w:rPr>
              <w:t>%</w:t>
            </w:r>
          </w:p>
        </w:tc>
        <w:tc>
          <w:tcPr>
            <w:tcW w:w="551" w:type="pct"/>
            <w:tcBorders>
              <w:top w:val="nil"/>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center"/>
              <w:rPr>
                <w:rFonts w:cs="Arial"/>
                <w:b/>
                <w:bCs/>
                <w:snapToGrid/>
                <w:color w:val="000000"/>
                <w:sz w:val="18"/>
                <w:szCs w:val="18"/>
                <w:lang w:val="fr-FR" w:eastAsia="fr-FR"/>
              </w:rPr>
            </w:pPr>
            <w:r w:rsidRPr="0059449E">
              <w:rPr>
                <w:rFonts w:cs="Arial"/>
                <w:b/>
                <w:bCs/>
                <w:snapToGrid/>
                <w:color w:val="000000"/>
                <w:sz w:val="18"/>
                <w:szCs w:val="18"/>
                <w:lang w:val="fr-FR" w:eastAsia="fr-FR"/>
              </w:rPr>
              <w:t>$</w:t>
            </w:r>
          </w:p>
        </w:tc>
        <w:tc>
          <w:tcPr>
            <w:tcW w:w="344" w:type="pct"/>
            <w:tcBorders>
              <w:top w:val="nil"/>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center"/>
              <w:rPr>
                <w:rFonts w:cs="Arial"/>
                <w:b/>
                <w:bCs/>
                <w:snapToGrid/>
                <w:color w:val="000000"/>
                <w:sz w:val="18"/>
                <w:szCs w:val="18"/>
                <w:lang w:val="fr-FR" w:eastAsia="fr-FR"/>
              </w:rPr>
            </w:pPr>
            <w:r w:rsidRPr="0059449E">
              <w:rPr>
                <w:rFonts w:cs="Arial"/>
                <w:b/>
                <w:bCs/>
                <w:snapToGrid/>
                <w:color w:val="000000"/>
                <w:sz w:val="18"/>
                <w:szCs w:val="18"/>
                <w:lang w:val="fr-FR" w:eastAsia="fr-FR"/>
              </w:rPr>
              <w:t>%</w:t>
            </w:r>
          </w:p>
        </w:tc>
        <w:tc>
          <w:tcPr>
            <w:tcW w:w="551" w:type="pct"/>
            <w:tcBorders>
              <w:top w:val="nil"/>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center"/>
              <w:rPr>
                <w:rFonts w:cs="Arial"/>
                <w:snapToGrid/>
                <w:color w:val="000000"/>
                <w:sz w:val="18"/>
                <w:szCs w:val="18"/>
                <w:lang w:val="fr-FR" w:eastAsia="fr-FR"/>
              </w:rPr>
            </w:pPr>
            <w:r w:rsidRPr="0059449E">
              <w:rPr>
                <w:rFonts w:cs="Arial"/>
                <w:snapToGrid/>
                <w:color w:val="000000"/>
                <w:sz w:val="18"/>
                <w:szCs w:val="18"/>
                <w:lang w:val="fr-FR" w:eastAsia="fr-FR"/>
              </w:rPr>
              <w:t>$</w:t>
            </w:r>
          </w:p>
        </w:tc>
        <w:tc>
          <w:tcPr>
            <w:tcW w:w="316" w:type="pct"/>
            <w:tcBorders>
              <w:top w:val="nil"/>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center"/>
              <w:rPr>
                <w:rFonts w:cs="Arial"/>
                <w:snapToGrid/>
                <w:color w:val="000000"/>
                <w:sz w:val="18"/>
                <w:szCs w:val="18"/>
                <w:lang w:val="fr-FR" w:eastAsia="fr-FR"/>
              </w:rPr>
            </w:pPr>
            <w:r w:rsidRPr="0059449E">
              <w:rPr>
                <w:rFonts w:cs="Arial"/>
                <w:snapToGrid/>
                <w:color w:val="000000"/>
                <w:sz w:val="18"/>
                <w:szCs w:val="18"/>
                <w:lang w:val="fr-FR" w:eastAsia="fr-FR"/>
              </w:rPr>
              <w:t>%</w:t>
            </w:r>
          </w:p>
        </w:tc>
      </w:tr>
      <w:tr w:rsidR="004E613A" w:rsidRPr="0059449E" w:rsidTr="00A311D2">
        <w:trPr>
          <w:trHeight w:val="300"/>
        </w:trPr>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4E613A" w:rsidRPr="0059449E" w:rsidRDefault="004E613A" w:rsidP="000D1B28">
            <w:pPr>
              <w:tabs>
                <w:tab w:val="clear" w:pos="567"/>
              </w:tabs>
              <w:snapToGrid/>
              <w:rPr>
                <w:rFonts w:cs="Arial"/>
                <w:snapToGrid/>
                <w:color w:val="000000"/>
                <w:sz w:val="18"/>
                <w:szCs w:val="18"/>
                <w:lang w:val="fr-FR" w:eastAsia="fr-FR"/>
              </w:rPr>
            </w:pPr>
            <w:r w:rsidRPr="0059449E">
              <w:rPr>
                <w:rFonts w:cs="Arial"/>
                <w:snapToGrid/>
                <w:color w:val="000000"/>
                <w:sz w:val="18"/>
                <w:szCs w:val="18"/>
                <w:lang w:val="fr-FR" w:eastAsia="fr-FR"/>
              </w:rPr>
              <w:t>Activités</w:t>
            </w:r>
          </w:p>
        </w:tc>
        <w:tc>
          <w:tcPr>
            <w:tcW w:w="546" w:type="pct"/>
            <w:tcBorders>
              <w:top w:val="nil"/>
              <w:left w:val="nil"/>
              <w:bottom w:val="single" w:sz="4" w:space="0" w:color="auto"/>
              <w:right w:val="single" w:sz="4" w:space="0" w:color="auto"/>
            </w:tcBorders>
            <w:shd w:val="clear" w:color="auto" w:fill="auto"/>
            <w:noWrap/>
            <w:vAlign w:val="bottom"/>
            <w:hideMark/>
          </w:tcPr>
          <w:p w:rsidR="004E613A" w:rsidRPr="0059449E" w:rsidRDefault="00D57CE8"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2 324 </w:t>
            </w:r>
            <w:r w:rsidR="004E613A" w:rsidRPr="0059449E">
              <w:rPr>
                <w:rFonts w:cs="Arial"/>
                <w:snapToGrid/>
                <w:color w:val="000000"/>
                <w:sz w:val="18"/>
                <w:szCs w:val="18"/>
                <w:lang w:val="fr-FR" w:eastAsia="fr-FR"/>
              </w:rPr>
              <w:t>900</w:t>
            </w:r>
          </w:p>
        </w:tc>
        <w:tc>
          <w:tcPr>
            <w:tcW w:w="316" w:type="pct"/>
            <w:tcBorders>
              <w:top w:val="nil"/>
              <w:left w:val="nil"/>
              <w:bottom w:val="single" w:sz="4" w:space="0" w:color="auto"/>
              <w:right w:val="single" w:sz="4" w:space="0" w:color="auto"/>
            </w:tcBorders>
            <w:shd w:val="clear" w:color="auto" w:fill="auto"/>
            <w:noWrap/>
            <w:vAlign w:val="bottom"/>
            <w:hideMark/>
          </w:tcPr>
          <w:p w:rsidR="004E613A" w:rsidRPr="0059449E" w:rsidRDefault="004E613A"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23</w:t>
            </w:r>
            <w:r w:rsidR="00D57CE8" w:rsidRPr="0059449E">
              <w:rPr>
                <w:rFonts w:cs="Arial"/>
                <w:snapToGrid/>
                <w:color w:val="000000"/>
                <w:sz w:val="18"/>
                <w:szCs w:val="18"/>
                <w:lang w:val="fr-FR" w:eastAsia="fr-FR"/>
              </w:rPr>
              <w:t> </w:t>
            </w:r>
            <w:r w:rsidRPr="0059449E">
              <w:rPr>
                <w:rFonts w:cs="Arial"/>
                <w:snapToGrid/>
                <w:color w:val="000000"/>
                <w:sz w:val="18"/>
                <w:szCs w:val="18"/>
                <w:lang w:val="fr-FR" w:eastAsia="fr-FR"/>
              </w:rPr>
              <w:t>%</w:t>
            </w:r>
          </w:p>
        </w:tc>
        <w:tc>
          <w:tcPr>
            <w:tcW w:w="579" w:type="pct"/>
            <w:tcBorders>
              <w:top w:val="nil"/>
              <w:left w:val="nil"/>
              <w:bottom w:val="single" w:sz="4" w:space="0" w:color="auto"/>
              <w:right w:val="single" w:sz="4" w:space="0" w:color="auto"/>
            </w:tcBorders>
            <w:shd w:val="clear" w:color="auto" w:fill="auto"/>
            <w:noWrap/>
            <w:vAlign w:val="bottom"/>
            <w:hideMark/>
          </w:tcPr>
          <w:p w:rsidR="004E613A" w:rsidRPr="0059449E" w:rsidRDefault="00D57CE8"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2 659 </w:t>
            </w:r>
            <w:r w:rsidR="004E613A" w:rsidRPr="0059449E">
              <w:rPr>
                <w:rFonts w:cs="Arial"/>
                <w:b/>
                <w:bCs/>
                <w:snapToGrid/>
                <w:color w:val="000000"/>
                <w:sz w:val="18"/>
                <w:szCs w:val="18"/>
                <w:lang w:val="fr-FR" w:eastAsia="fr-FR"/>
              </w:rPr>
              <w:t>100</w:t>
            </w:r>
          </w:p>
        </w:tc>
        <w:tc>
          <w:tcPr>
            <w:tcW w:w="345" w:type="pct"/>
            <w:tcBorders>
              <w:top w:val="nil"/>
              <w:left w:val="nil"/>
              <w:bottom w:val="single" w:sz="4" w:space="0" w:color="auto"/>
              <w:right w:val="single" w:sz="4" w:space="0" w:color="auto"/>
            </w:tcBorders>
            <w:shd w:val="clear" w:color="auto" w:fill="auto"/>
            <w:noWrap/>
            <w:vAlign w:val="bottom"/>
            <w:hideMark/>
          </w:tcPr>
          <w:p w:rsidR="004E613A" w:rsidRPr="0059449E" w:rsidRDefault="004E613A"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25</w:t>
            </w:r>
            <w:r w:rsidR="00D57CE8" w:rsidRPr="0059449E">
              <w:rPr>
                <w:rFonts w:cs="Arial"/>
                <w:b/>
                <w:bCs/>
                <w:snapToGrid/>
                <w:color w:val="000000"/>
                <w:sz w:val="18"/>
                <w:szCs w:val="18"/>
                <w:lang w:val="fr-FR" w:eastAsia="fr-FR"/>
              </w:rPr>
              <w:t> </w:t>
            </w:r>
            <w:r w:rsidRPr="0059449E">
              <w:rPr>
                <w:rFonts w:cs="Arial"/>
                <w:b/>
                <w:bCs/>
                <w:snapToGrid/>
                <w:color w:val="000000"/>
                <w:sz w:val="18"/>
                <w:szCs w:val="18"/>
                <w:lang w:val="fr-FR" w:eastAsia="fr-FR"/>
              </w:rPr>
              <w:t>%</w:t>
            </w:r>
          </w:p>
        </w:tc>
        <w:tc>
          <w:tcPr>
            <w:tcW w:w="551" w:type="pct"/>
            <w:tcBorders>
              <w:top w:val="nil"/>
              <w:left w:val="nil"/>
              <w:bottom w:val="single" w:sz="4" w:space="0" w:color="auto"/>
              <w:right w:val="single" w:sz="4" w:space="0" w:color="auto"/>
            </w:tcBorders>
            <w:shd w:val="clear" w:color="000000" w:fill="DDEBF7"/>
            <w:noWrap/>
            <w:vAlign w:val="bottom"/>
            <w:hideMark/>
          </w:tcPr>
          <w:p w:rsidR="004E613A" w:rsidRPr="0059449E" w:rsidRDefault="00D57CE8"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2 165 </w:t>
            </w:r>
            <w:r w:rsidR="004E613A" w:rsidRPr="0059449E">
              <w:rPr>
                <w:rFonts w:cs="Arial"/>
                <w:snapToGrid/>
                <w:color w:val="000000"/>
                <w:sz w:val="18"/>
                <w:szCs w:val="18"/>
                <w:lang w:val="fr-FR" w:eastAsia="fr-FR"/>
              </w:rPr>
              <w:t>500</w:t>
            </w:r>
          </w:p>
        </w:tc>
        <w:tc>
          <w:tcPr>
            <w:tcW w:w="345" w:type="pct"/>
            <w:tcBorders>
              <w:top w:val="nil"/>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21</w:t>
            </w:r>
            <w:r w:rsidR="00D57CE8" w:rsidRPr="0059449E">
              <w:rPr>
                <w:rFonts w:cs="Arial"/>
                <w:snapToGrid/>
                <w:color w:val="000000"/>
                <w:sz w:val="18"/>
                <w:szCs w:val="18"/>
                <w:lang w:val="fr-FR" w:eastAsia="fr-FR"/>
              </w:rPr>
              <w:t> </w:t>
            </w:r>
            <w:r w:rsidRPr="0059449E">
              <w:rPr>
                <w:rFonts w:cs="Arial"/>
                <w:snapToGrid/>
                <w:color w:val="000000"/>
                <w:sz w:val="18"/>
                <w:szCs w:val="18"/>
                <w:lang w:val="fr-FR" w:eastAsia="fr-FR"/>
              </w:rPr>
              <w:t>%</w:t>
            </w:r>
          </w:p>
        </w:tc>
        <w:tc>
          <w:tcPr>
            <w:tcW w:w="551" w:type="pct"/>
            <w:tcBorders>
              <w:top w:val="nil"/>
              <w:left w:val="nil"/>
              <w:bottom w:val="single" w:sz="4" w:space="0" w:color="auto"/>
              <w:right w:val="single" w:sz="4" w:space="0" w:color="auto"/>
            </w:tcBorders>
            <w:shd w:val="clear" w:color="000000" w:fill="DDEBF7"/>
            <w:noWrap/>
            <w:vAlign w:val="bottom"/>
            <w:hideMark/>
          </w:tcPr>
          <w:p w:rsidR="004E613A" w:rsidRPr="0059449E" w:rsidRDefault="00D57CE8"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2 504 </w:t>
            </w:r>
            <w:r w:rsidR="004E613A" w:rsidRPr="0059449E">
              <w:rPr>
                <w:rFonts w:cs="Arial"/>
                <w:b/>
                <w:bCs/>
                <w:snapToGrid/>
                <w:color w:val="000000"/>
                <w:sz w:val="18"/>
                <w:szCs w:val="18"/>
                <w:lang w:val="fr-FR" w:eastAsia="fr-FR"/>
              </w:rPr>
              <w:t>400</w:t>
            </w:r>
          </w:p>
        </w:tc>
        <w:tc>
          <w:tcPr>
            <w:tcW w:w="344" w:type="pct"/>
            <w:tcBorders>
              <w:top w:val="nil"/>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23</w:t>
            </w:r>
            <w:r w:rsidR="00D57CE8" w:rsidRPr="0059449E">
              <w:rPr>
                <w:rFonts w:cs="Arial"/>
                <w:b/>
                <w:bCs/>
                <w:snapToGrid/>
                <w:color w:val="000000"/>
                <w:sz w:val="18"/>
                <w:szCs w:val="18"/>
                <w:lang w:val="fr-FR" w:eastAsia="fr-FR"/>
              </w:rPr>
              <w:t> </w:t>
            </w:r>
            <w:r w:rsidRPr="0059449E">
              <w:rPr>
                <w:rFonts w:cs="Arial"/>
                <w:b/>
                <w:bCs/>
                <w:snapToGrid/>
                <w:color w:val="000000"/>
                <w:sz w:val="18"/>
                <w:szCs w:val="18"/>
                <w:lang w:val="fr-FR" w:eastAsia="fr-FR"/>
              </w:rPr>
              <w:t>%</w:t>
            </w:r>
          </w:p>
        </w:tc>
        <w:tc>
          <w:tcPr>
            <w:tcW w:w="551" w:type="pct"/>
            <w:tcBorders>
              <w:top w:val="nil"/>
              <w:left w:val="nil"/>
              <w:bottom w:val="single" w:sz="4" w:space="0" w:color="auto"/>
              <w:right w:val="single" w:sz="4" w:space="0" w:color="auto"/>
            </w:tcBorders>
            <w:shd w:val="clear" w:color="000000" w:fill="DDEBF7"/>
            <w:noWrap/>
            <w:vAlign w:val="bottom"/>
            <w:hideMark/>
          </w:tcPr>
          <w:p w:rsidR="004E613A" w:rsidRPr="0059449E" w:rsidRDefault="00D57CE8"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2 803 </w:t>
            </w:r>
            <w:r w:rsidR="004E613A" w:rsidRPr="0059449E">
              <w:rPr>
                <w:rFonts w:cs="Arial"/>
                <w:snapToGrid/>
                <w:color w:val="000000"/>
                <w:sz w:val="18"/>
                <w:szCs w:val="18"/>
                <w:lang w:val="fr-FR" w:eastAsia="fr-FR"/>
              </w:rPr>
              <w:t>800</w:t>
            </w:r>
          </w:p>
        </w:tc>
        <w:tc>
          <w:tcPr>
            <w:tcW w:w="316" w:type="pct"/>
            <w:tcBorders>
              <w:top w:val="nil"/>
              <w:left w:val="nil"/>
              <w:bottom w:val="single" w:sz="4"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25</w:t>
            </w:r>
            <w:r w:rsidR="00D57CE8" w:rsidRPr="0059449E">
              <w:rPr>
                <w:rFonts w:cs="Arial"/>
                <w:snapToGrid/>
                <w:color w:val="000000"/>
                <w:sz w:val="18"/>
                <w:szCs w:val="18"/>
                <w:lang w:val="fr-FR" w:eastAsia="fr-FR"/>
              </w:rPr>
              <w:t> </w:t>
            </w:r>
            <w:r w:rsidRPr="0059449E">
              <w:rPr>
                <w:rFonts w:cs="Arial"/>
                <w:snapToGrid/>
                <w:color w:val="000000"/>
                <w:sz w:val="18"/>
                <w:szCs w:val="18"/>
                <w:lang w:val="fr-FR" w:eastAsia="fr-FR"/>
              </w:rPr>
              <w:t>%</w:t>
            </w:r>
          </w:p>
        </w:tc>
      </w:tr>
      <w:tr w:rsidR="004E613A" w:rsidRPr="0059449E" w:rsidTr="00A311D2">
        <w:trPr>
          <w:trHeight w:val="315"/>
        </w:trPr>
        <w:tc>
          <w:tcPr>
            <w:tcW w:w="554" w:type="pct"/>
            <w:tcBorders>
              <w:top w:val="nil"/>
              <w:left w:val="single" w:sz="4" w:space="0" w:color="auto"/>
              <w:bottom w:val="single" w:sz="8" w:space="0" w:color="auto"/>
              <w:right w:val="single" w:sz="4" w:space="0" w:color="auto"/>
            </w:tcBorders>
            <w:shd w:val="clear" w:color="auto" w:fill="auto"/>
            <w:noWrap/>
            <w:vAlign w:val="bottom"/>
            <w:hideMark/>
          </w:tcPr>
          <w:p w:rsidR="004E613A" w:rsidRPr="0059449E" w:rsidRDefault="004E613A" w:rsidP="000D1B28">
            <w:pPr>
              <w:tabs>
                <w:tab w:val="clear" w:pos="567"/>
              </w:tabs>
              <w:snapToGrid/>
              <w:rPr>
                <w:rFonts w:cs="Arial"/>
                <w:snapToGrid/>
                <w:color w:val="000000"/>
                <w:sz w:val="18"/>
                <w:szCs w:val="18"/>
                <w:lang w:val="fr-FR" w:eastAsia="fr-FR"/>
              </w:rPr>
            </w:pPr>
            <w:r w:rsidRPr="0059449E">
              <w:rPr>
                <w:rFonts w:cs="Arial"/>
                <w:snapToGrid/>
                <w:color w:val="000000"/>
                <w:sz w:val="18"/>
                <w:szCs w:val="18"/>
                <w:lang w:val="fr-FR" w:eastAsia="fr-FR"/>
              </w:rPr>
              <w:t>Personnel</w:t>
            </w:r>
          </w:p>
        </w:tc>
        <w:tc>
          <w:tcPr>
            <w:tcW w:w="546" w:type="pct"/>
            <w:tcBorders>
              <w:top w:val="nil"/>
              <w:left w:val="nil"/>
              <w:bottom w:val="single" w:sz="8" w:space="0" w:color="auto"/>
              <w:right w:val="single" w:sz="4" w:space="0" w:color="auto"/>
            </w:tcBorders>
            <w:shd w:val="clear" w:color="auto" w:fill="auto"/>
            <w:noWrap/>
            <w:vAlign w:val="bottom"/>
            <w:hideMark/>
          </w:tcPr>
          <w:p w:rsidR="004E613A" w:rsidRPr="0059449E" w:rsidRDefault="00D57CE8"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7 873 </w:t>
            </w:r>
            <w:r w:rsidR="004E613A" w:rsidRPr="0059449E">
              <w:rPr>
                <w:rFonts w:cs="Arial"/>
                <w:snapToGrid/>
                <w:color w:val="000000"/>
                <w:sz w:val="18"/>
                <w:szCs w:val="18"/>
                <w:lang w:val="fr-FR" w:eastAsia="fr-FR"/>
              </w:rPr>
              <w:t>300</w:t>
            </w:r>
          </w:p>
        </w:tc>
        <w:tc>
          <w:tcPr>
            <w:tcW w:w="316" w:type="pct"/>
            <w:tcBorders>
              <w:top w:val="nil"/>
              <w:left w:val="nil"/>
              <w:bottom w:val="single" w:sz="8" w:space="0" w:color="auto"/>
              <w:right w:val="single" w:sz="4" w:space="0" w:color="auto"/>
            </w:tcBorders>
            <w:shd w:val="clear" w:color="auto" w:fill="auto"/>
            <w:noWrap/>
            <w:vAlign w:val="bottom"/>
            <w:hideMark/>
          </w:tcPr>
          <w:p w:rsidR="004E613A" w:rsidRPr="0059449E" w:rsidRDefault="004E613A"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77</w:t>
            </w:r>
            <w:r w:rsidR="00D57CE8" w:rsidRPr="0059449E">
              <w:rPr>
                <w:rFonts w:cs="Arial"/>
                <w:snapToGrid/>
                <w:color w:val="000000"/>
                <w:sz w:val="18"/>
                <w:szCs w:val="18"/>
                <w:lang w:val="fr-FR" w:eastAsia="fr-FR"/>
              </w:rPr>
              <w:t> </w:t>
            </w:r>
            <w:r w:rsidRPr="0059449E">
              <w:rPr>
                <w:rFonts w:cs="Arial"/>
                <w:snapToGrid/>
                <w:color w:val="000000"/>
                <w:sz w:val="18"/>
                <w:szCs w:val="18"/>
                <w:lang w:val="fr-FR" w:eastAsia="fr-FR"/>
              </w:rPr>
              <w:t>%</w:t>
            </w:r>
          </w:p>
        </w:tc>
        <w:tc>
          <w:tcPr>
            <w:tcW w:w="579" w:type="pct"/>
            <w:tcBorders>
              <w:top w:val="nil"/>
              <w:left w:val="nil"/>
              <w:bottom w:val="single" w:sz="8" w:space="0" w:color="auto"/>
              <w:right w:val="single" w:sz="4" w:space="0" w:color="auto"/>
            </w:tcBorders>
            <w:shd w:val="clear" w:color="auto" w:fill="auto"/>
            <w:noWrap/>
            <w:vAlign w:val="bottom"/>
            <w:hideMark/>
          </w:tcPr>
          <w:p w:rsidR="004E613A" w:rsidRPr="0059449E" w:rsidRDefault="00D57CE8"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8 022 </w:t>
            </w:r>
            <w:r w:rsidR="004E613A" w:rsidRPr="0059449E">
              <w:rPr>
                <w:rFonts w:cs="Arial"/>
                <w:b/>
                <w:bCs/>
                <w:snapToGrid/>
                <w:color w:val="000000"/>
                <w:sz w:val="18"/>
                <w:szCs w:val="18"/>
                <w:lang w:val="fr-FR" w:eastAsia="fr-FR"/>
              </w:rPr>
              <w:t>200</w:t>
            </w:r>
          </w:p>
        </w:tc>
        <w:tc>
          <w:tcPr>
            <w:tcW w:w="345" w:type="pct"/>
            <w:tcBorders>
              <w:top w:val="nil"/>
              <w:left w:val="nil"/>
              <w:bottom w:val="single" w:sz="8" w:space="0" w:color="auto"/>
              <w:right w:val="single" w:sz="4" w:space="0" w:color="auto"/>
            </w:tcBorders>
            <w:shd w:val="clear" w:color="auto" w:fill="auto"/>
            <w:noWrap/>
            <w:vAlign w:val="bottom"/>
            <w:hideMark/>
          </w:tcPr>
          <w:p w:rsidR="004E613A" w:rsidRPr="0059449E" w:rsidRDefault="004E613A"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75</w:t>
            </w:r>
            <w:r w:rsidR="00D57CE8" w:rsidRPr="0059449E">
              <w:rPr>
                <w:rFonts w:cs="Arial"/>
                <w:b/>
                <w:bCs/>
                <w:snapToGrid/>
                <w:color w:val="000000"/>
                <w:sz w:val="18"/>
                <w:szCs w:val="18"/>
                <w:lang w:val="fr-FR" w:eastAsia="fr-FR"/>
              </w:rPr>
              <w:t> </w:t>
            </w:r>
            <w:r w:rsidRPr="0059449E">
              <w:rPr>
                <w:rFonts w:cs="Arial"/>
                <w:b/>
                <w:bCs/>
                <w:snapToGrid/>
                <w:color w:val="000000"/>
                <w:sz w:val="18"/>
                <w:szCs w:val="18"/>
                <w:lang w:val="fr-FR" w:eastAsia="fr-FR"/>
              </w:rPr>
              <w:t>%</w:t>
            </w:r>
          </w:p>
        </w:tc>
        <w:tc>
          <w:tcPr>
            <w:tcW w:w="551" w:type="pct"/>
            <w:tcBorders>
              <w:top w:val="nil"/>
              <w:left w:val="nil"/>
              <w:bottom w:val="single" w:sz="8" w:space="0" w:color="auto"/>
              <w:right w:val="single" w:sz="4" w:space="0" w:color="auto"/>
            </w:tcBorders>
            <w:shd w:val="clear" w:color="000000" w:fill="DDEBF7"/>
            <w:noWrap/>
            <w:vAlign w:val="bottom"/>
            <w:hideMark/>
          </w:tcPr>
          <w:p w:rsidR="004E613A" w:rsidRPr="0059449E" w:rsidRDefault="00D57CE8"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8 110 </w:t>
            </w:r>
            <w:r w:rsidR="004E613A" w:rsidRPr="0059449E">
              <w:rPr>
                <w:rFonts w:cs="Arial"/>
                <w:snapToGrid/>
                <w:color w:val="000000"/>
                <w:sz w:val="18"/>
                <w:szCs w:val="18"/>
                <w:lang w:val="fr-FR" w:eastAsia="fr-FR"/>
              </w:rPr>
              <w:t>700</w:t>
            </w:r>
          </w:p>
        </w:tc>
        <w:tc>
          <w:tcPr>
            <w:tcW w:w="345" w:type="pct"/>
            <w:tcBorders>
              <w:top w:val="nil"/>
              <w:left w:val="nil"/>
              <w:bottom w:val="single" w:sz="8"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79</w:t>
            </w:r>
            <w:r w:rsidR="00D57CE8" w:rsidRPr="0059449E">
              <w:rPr>
                <w:rFonts w:cs="Arial"/>
                <w:snapToGrid/>
                <w:color w:val="000000"/>
                <w:sz w:val="18"/>
                <w:szCs w:val="18"/>
                <w:lang w:val="fr-FR" w:eastAsia="fr-FR"/>
              </w:rPr>
              <w:t> </w:t>
            </w:r>
            <w:r w:rsidRPr="0059449E">
              <w:rPr>
                <w:rFonts w:cs="Arial"/>
                <w:snapToGrid/>
                <w:color w:val="000000"/>
                <w:sz w:val="18"/>
                <w:szCs w:val="18"/>
                <w:lang w:val="fr-FR" w:eastAsia="fr-FR"/>
              </w:rPr>
              <w:t>%</w:t>
            </w:r>
          </w:p>
        </w:tc>
        <w:tc>
          <w:tcPr>
            <w:tcW w:w="551" w:type="pct"/>
            <w:tcBorders>
              <w:top w:val="nil"/>
              <w:left w:val="nil"/>
              <w:bottom w:val="single" w:sz="8" w:space="0" w:color="auto"/>
              <w:right w:val="single" w:sz="4" w:space="0" w:color="auto"/>
            </w:tcBorders>
            <w:shd w:val="clear" w:color="000000" w:fill="DDEBF7"/>
            <w:noWrap/>
            <w:vAlign w:val="bottom"/>
            <w:hideMark/>
          </w:tcPr>
          <w:p w:rsidR="004E613A" w:rsidRPr="0059449E" w:rsidRDefault="00D57CE8"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8 271 </w:t>
            </w:r>
            <w:r w:rsidR="004E613A" w:rsidRPr="0059449E">
              <w:rPr>
                <w:rFonts w:cs="Arial"/>
                <w:b/>
                <w:bCs/>
                <w:snapToGrid/>
                <w:color w:val="000000"/>
                <w:sz w:val="18"/>
                <w:szCs w:val="18"/>
                <w:lang w:val="fr-FR" w:eastAsia="fr-FR"/>
              </w:rPr>
              <w:t>700</w:t>
            </w:r>
          </w:p>
        </w:tc>
        <w:tc>
          <w:tcPr>
            <w:tcW w:w="344" w:type="pct"/>
            <w:tcBorders>
              <w:top w:val="nil"/>
              <w:left w:val="nil"/>
              <w:bottom w:val="single" w:sz="8"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77</w:t>
            </w:r>
            <w:r w:rsidR="00D57CE8" w:rsidRPr="0059449E">
              <w:rPr>
                <w:rFonts w:cs="Arial"/>
                <w:b/>
                <w:bCs/>
                <w:snapToGrid/>
                <w:color w:val="000000"/>
                <w:sz w:val="18"/>
                <w:szCs w:val="18"/>
                <w:lang w:val="fr-FR" w:eastAsia="fr-FR"/>
              </w:rPr>
              <w:t> </w:t>
            </w:r>
            <w:r w:rsidRPr="0059449E">
              <w:rPr>
                <w:rFonts w:cs="Arial"/>
                <w:b/>
                <w:bCs/>
                <w:snapToGrid/>
                <w:color w:val="000000"/>
                <w:sz w:val="18"/>
                <w:szCs w:val="18"/>
                <w:lang w:val="fr-FR" w:eastAsia="fr-FR"/>
              </w:rPr>
              <w:t>%</w:t>
            </w:r>
          </w:p>
        </w:tc>
        <w:tc>
          <w:tcPr>
            <w:tcW w:w="551" w:type="pct"/>
            <w:tcBorders>
              <w:top w:val="nil"/>
              <w:left w:val="nil"/>
              <w:bottom w:val="single" w:sz="8" w:space="0" w:color="auto"/>
              <w:right w:val="single" w:sz="4" w:space="0" w:color="auto"/>
            </w:tcBorders>
            <w:shd w:val="clear" w:color="000000" w:fill="DDEBF7"/>
            <w:noWrap/>
            <w:vAlign w:val="bottom"/>
            <w:hideMark/>
          </w:tcPr>
          <w:p w:rsidR="004E613A" w:rsidRPr="0059449E" w:rsidRDefault="00D57CE8"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8 271 </w:t>
            </w:r>
            <w:r w:rsidR="004E613A" w:rsidRPr="0059449E">
              <w:rPr>
                <w:rFonts w:cs="Arial"/>
                <w:snapToGrid/>
                <w:color w:val="000000"/>
                <w:sz w:val="18"/>
                <w:szCs w:val="18"/>
                <w:lang w:val="fr-FR" w:eastAsia="fr-FR"/>
              </w:rPr>
              <w:t>700</w:t>
            </w:r>
          </w:p>
        </w:tc>
        <w:tc>
          <w:tcPr>
            <w:tcW w:w="316" w:type="pct"/>
            <w:tcBorders>
              <w:top w:val="nil"/>
              <w:left w:val="nil"/>
              <w:bottom w:val="single" w:sz="8"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75</w:t>
            </w:r>
            <w:r w:rsidR="00D57CE8" w:rsidRPr="0059449E">
              <w:rPr>
                <w:rFonts w:cs="Arial"/>
                <w:snapToGrid/>
                <w:color w:val="000000"/>
                <w:sz w:val="18"/>
                <w:szCs w:val="18"/>
                <w:lang w:val="fr-FR" w:eastAsia="fr-FR"/>
              </w:rPr>
              <w:t> </w:t>
            </w:r>
            <w:r w:rsidRPr="0059449E">
              <w:rPr>
                <w:rFonts w:cs="Arial"/>
                <w:snapToGrid/>
                <w:color w:val="000000"/>
                <w:sz w:val="18"/>
                <w:szCs w:val="18"/>
                <w:lang w:val="fr-FR" w:eastAsia="fr-FR"/>
              </w:rPr>
              <w:t>%</w:t>
            </w:r>
          </w:p>
        </w:tc>
      </w:tr>
      <w:tr w:rsidR="004E613A" w:rsidRPr="0059449E" w:rsidTr="00A311D2">
        <w:trPr>
          <w:trHeight w:val="315"/>
        </w:trPr>
        <w:tc>
          <w:tcPr>
            <w:tcW w:w="554" w:type="pct"/>
            <w:tcBorders>
              <w:top w:val="nil"/>
              <w:left w:val="single" w:sz="4" w:space="0" w:color="auto"/>
              <w:bottom w:val="single" w:sz="8" w:space="0" w:color="auto"/>
              <w:right w:val="single" w:sz="4" w:space="0" w:color="auto"/>
            </w:tcBorders>
            <w:shd w:val="clear" w:color="auto" w:fill="auto"/>
            <w:noWrap/>
            <w:vAlign w:val="bottom"/>
            <w:hideMark/>
          </w:tcPr>
          <w:p w:rsidR="004E613A" w:rsidRPr="0059449E" w:rsidRDefault="004E613A" w:rsidP="000D1B28">
            <w:pPr>
              <w:tabs>
                <w:tab w:val="clear" w:pos="567"/>
              </w:tabs>
              <w:snapToGrid/>
              <w:rPr>
                <w:rFonts w:cs="Arial"/>
                <w:snapToGrid/>
                <w:color w:val="000000"/>
                <w:sz w:val="18"/>
                <w:szCs w:val="18"/>
                <w:lang w:val="fr-FR" w:eastAsia="fr-FR"/>
              </w:rPr>
            </w:pPr>
            <w:r w:rsidRPr="0059449E">
              <w:rPr>
                <w:rFonts w:cs="Arial"/>
                <w:snapToGrid/>
                <w:color w:val="000000"/>
                <w:sz w:val="18"/>
                <w:szCs w:val="18"/>
                <w:lang w:val="fr-FR" w:eastAsia="fr-FR"/>
              </w:rPr>
              <w:t>Total</w:t>
            </w:r>
          </w:p>
        </w:tc>
        <w:tc>
          <w:tcPr>
            <w:tcW w:w="546" w:type="pct"/>
            <w:tcBorders>
              <w:top w:val="nil"/>
              <w:left w:val="nil"/>
              <w:bottom w:val="single" w:sz="8" w:space="0" w:color="auto"/>
              <w:right w:val="single" w:sz="4" w:space="0" w:color="auto"/>
            </w:tcBorders>
            <w:shd w:val="clear" w:color="auto" w:fill="auto"/>
            <w:noWrap/>
            <w:vAlign w:val="bottom"/>
            <w:hideMark/>
          </w:tcPr>
          <w:p w:rsidR="004E613A" w:rsidRPr="0059449E" w:rsidRDefault="00D57CE8"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10 198 </w:t>
            </w:r>
            <w:r w:rsidR="004E613A" w:rsidRPr="0059449E">
              <w:rPr>
                <w:rFonts w:cs="Arial"/>
                <w:snapToGrid/>
                <w:color w:val="000000"/>
                <w:sz w:val="18"/>
                <w:szCs w:val="18"/>
                <w:lang w:val="fr-FR" w:eastAsia="fr-FR"/>
              </w:rPr>
              <w:t>200</w:t>
            </w:r>
          </w:p>
        </w:tc>
        <w:tc>
          <w:tcPr>
            <w:tcW w:w="316" w:type="pct"/>
            <w:tcBorders>
              <w:top w:val="nil"/>
              <w:left w:val="nil"/>
              <w:bottom w:val="single" w:sz="8" w:space="0" w:color="auto"/>
              <w:right w:val="single" w:sz="4" w:space="0" w:color="auto"/>
            </w:tcBorders>
            <w:shd w:val="clear" w:color="auto" w:fill="auto"/>
            <w:noWrap/>
            <w:vAlign w:val="bottom"/>
            <w:hideMark/>
          </w:tcPr>
          <w:p w:rsidR="004E613A" w:rsidRPr="0059449E" w:rsidRDefault="004E613A"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100</w:t>
            </w:r>
            <w:r w:rsidR="00D57CE8" w:rsidRPr="0059449E">
              <w:rPr>
                <w:rFonts w:cs="Arial"/>
                <w:snapToGrid/>
                <w:color w:val="000000"/>
                <w:sz w:val="18"/>
                <w:szCs w:val="18"/>
                <w:lang w:val="fr-FR" w:eastAsia="fr-FR"/>
              </w:rPr>
              <w:t> </w:t>
            </w:r>
            <w:r w:rsidRPr="0059449E">
              <w:rPr>
                <w:rFonts w:cs="Arial"/>
                <w:snapToGrid/>
                <w:color w:val="000000"/>
                <w:sz w:val="18"/>
                <w:szCs w:val="18"/>
                <w:lang w:val="fr-FR" w:eastAsia="fr-FR"/>
              </w:rPr>
              <w:t>%</w:t>
            </w:r>
          </w:p>
        </w:tc>
        <w:tc>
          <w:tcPr>
            <w:tcW w:w="579" w:type="pct"/>
            <w:tcBorders>
              <w:top w:val="nil"/>
              <w:left w:val="nil"/>
              <w:bottom w:val="single" w:sz="8" w:space="0" w:color="auto"/>
              <w:right w:val="single" w:sz="4" w:space="0" w:color="auto"/>
            </w:tcBorders>
            <w:shd w:val="clear" w:color="auto" w:fill="auto"/>
            <w:noWrap/>
            <w:vAlign w:val="bottom"/>
            <w:hideMark/>
          </w:tcPr>
          <w:p w:rsidR="004E613A" w:rsidRPr="0059449E" w:rsidRDefault="00D57CE8"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10 681 </w:t>
            </w:r>
            <w:r w:rsidR="004E613A" w:rsidRPr="0059449E">
              <w:rPr>
                <w:rFonts w:cs="Arial"/>
                <w:b/>
                <w:bCs/>
                <w:snapToGrid/>
                <w:color w:val="000000"/>
                <w:sz w:val="18"/>
                <w:szCs w:val="18"/>
                <w:lang w:val="fr-FR" w:eastAsia="fr-FR"/>
              </w:rPr>
              <w:t>300</w:t>
            </w:r>
          </w:p>
        </w:tc>
        <w:tc>
          <w:tcPr>
            <w:tcW w:w="345" w:type="pct"/>
            <w:tcBorders>
              <w:top w:val="nil"/>
              <w:left w:val="nil"/>
              <w:bottom w:val="single" w:sz="8" w:space="0" w:color="auto"/>
              <w:right w:val="single" w:sz="4" w:space="0" w:color="auto"/>
            </w:tcBorders>
            <w:shd w:val="clear" w:color="auto" w:fill="auto"/>
            <w:noWrap/>
            <w:vAlign w:val="bottom"/>
            <w:hideMark/>
          </w:tcPr>
          <w:p w:rsidR="004E613A" w:rsidRPr="0059449E" w:rsidRDefault="004E613A"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100</w:t>
            </w:r>
            <w:r w:rsidR="00D57CE8" w:rsidRPr="0059449E">
              <w:rPr>
                <w:rFonts w:cs="Arial"/>
                <w:b/>
                <w:bCs/>
                <w:snapToGrid/>
                <w:color w:val="000000"/>
                <w:sz w:val="18"/>
                <w:szCs w:val="18"/>
                <w:lang w:val="fr-FR" w:eastAsia="fr-FR"/>
              </w:rPr>
              <w:t> </w:t>
            </w:r>
            <w:r w:rsidRPr="0059449E">
              <w:rPr>
                <w:rFonts w:cs="Arial"/>
                <w:b/>
                <w:bCs/>
                <w:snapToGrid/>
                <w:color w:val="000000"/>
                <w:sz w:val="18"/>
                <w:szCs w:val="18"/>
                <w:lang w:val="fr-FR" w:eastAsia="fr-FR"/>
              </w:rPr>
              <w:t>%</w:t>
            </w:r>
          </w:p>
        </w:tc>
        <w:tc>
          <w:tcPr>
            <w:tcW w:w="551" w:type="pct"/>
            <w:tcBorders>
              <w:top w:val="nil"/>
              <w:left w:val="nil"/>
              <w:bottom w:val="single" w:sz="8" w:space="0" w:color="auto"/>
              <w:right w:val="single" w:sz="4" w:space="0" w:color="auto"/>
            </w:tcBorders>
            <w:shd w:val="clear" w:color="000000" w:fill="DDEBF7"/>
            <w:noWrap/>
            <w:vAlign w:val="bottom"/>
            <w:hideMark/>
          </w:tcPr>
          <w:p w:rsidR="004E613A" w:rsidRPr="0059449E" w:rsidRDefault="00D57CE8"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10 276 </w:t>
            </w:r>
            <w:r w:rsidR="004E613A" w:rsidRPr="0059449E">
              <w:rPr>
                <w:rFonts w:cs="Arial"/>
                <w:snapToGrid/>
                <w:color w:val="000000"/>
                <w:sz w:val="18"/>
                <w:szCs w:val="18"/>
                <w:lang w:val="fr-FR" w:eastAsia="fr-FR"/>
              </w:rPr>
              <w:t>200</w:t>
            </w:r>
          </w:p>
        </w:tc>
        <w:tc>
          <w:tcPr>
            <w:tcW w:w="345" w:type="pct"/>
            <w:tcBorders>
              <w:top w:val="nil"/>
              <w:left w:val="nil"/>
              <w:bottom w:val="single" w:sz="8"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100</w:t>
            </w:r>
            <w:r w:rsidR="00D57CE8" w:rsidRPr="0059449E">
              <w:rPr>
                <w:rFonts w:cs="Arial"/>
                <w:snapToGrid/>
                <w:color w:val="000000"/>
                <w:sz w:val="18"/>
                <w:szCs w:val="18"/>
                <w:lang w:val="fr-FR" w:eastAsia="fr-FR"/>
              </w:rPr>
              <w:t> </w:t>
            </w:r>
            <w:r w:rsidRPr="0059449E">
              <w:rPr>
                <w:rFonts w:cs="Arial"/>
                <w:snapToGrid/>
                <w:color w:val="000000"/>
                <w:sz w:val="18"/>
                <w:szCs w:val="18"/>
                <w:lang w:val="fr-FR" w:eastAsia="fr-FR"/>
              </w:rPr>
              <w:t>%</w:t>
            </w:r>
          </w:p>
        </w:tc>
        <w:tc>
          <w:tcPr>
            <w:tcW w:w="551" w:type="pct"/>
            <w:tcBorders>
              <w:top w:val="nil"/>
              <w:left w:val="nil"/>
              <w:bottom w:val="single" w:sz="8" w:space="0" w:color="auto"/>
              <w:right w:val="single" w:sz="4" w:space="0" w:color="auto"/>
            </w:tcBorders>
            <w:shd w:val="clear" w:color="000000" w:fill="DDEBF7"/>
            <w:noWrap/>
            <w:vAlign w:val="bottom"/>
            <w:hideMark/>
          </w:tcPr>
          <w:p w:rsidR="004E613A" w:rsidRPr="0059449E" w:rsidRDefault="00D57CE8"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10 776 </w:t>
            </w:r>
            <w:r w:rsidR="004E613A" w:rsidRPr="0059449E">
              <w:rPr>
                <w:rFonts w:cs="Arial"/>
                <w:b/>
                <w:bCs/>
                <w:snapToGrid/>
                <w:color w:val="000000"/>
                <w:sz w:val="18"/>
                <w:szCs w:val="18"/>
                <w:lang w:val="fr-FR" w:eastAsia="fr-FR"/>
              </w:rPr>
              <w:t>100</w:t>
            </w:r>
          </w:p>
        </w:tc>
        <w:tc>
          <w:tcPr>
            <w:tcW w:w="344" w:type="pct"/>
            <w:tcBorders>
              <w:top w:val="nil"/>
              <w:left w:val="nil"/>
              <w:bottom w:val="single" w:sz="8"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right"/>
              <w:rPr>
                <w:rFonts w:cs="Arial"/>
                <w:b/>
                <w:bCs/>
                <w:snapToGrid/>
                <w:color w:val="000000"/>
                <w:sz w:val="18"/>
                <w:szCs w:val="18"/>
                <w:lang w:val="fr-FR" w:eastAsia="fr-FR"/>
              </w:rPr>
            </w:pPr>
            <w:r w:rsidRPr="0059449E">
              <w:rPr>
                <w:rFonts w:cs="Arial"/>
                <w:b/>
                <w:bCs/>
                <w:snapToGrid/>
                <w:color w:val="000000"/>
                <w:sz w:val="18"/>
                <w:szCs w:val="18"/>
                <w:lang w:val="fr-FR" w:eastAsia="fr-FR"/>
              </w:rPr>
              <w:t>100</w:t>
            </w:r>
            <w:r w:rsidR="00D57CE8" w:rsidRPr="0059449E">
              <w:rPr>
                <w:rFonts w:cs="Arial"/>
                <w:b/>
                <w:bCs/>
                <w:snapToGrid/>
                <w:color w:val="000000"/>
                <w:sz w:val="18"/>
                <w:szCs w:val="18"/>
                <w:lang w:val="fr-FR" w:eastAsia="fr-FR"/>
              </w:rPr>
              <w:t> </w:t>
            </w:r>
            <w:r w:rsidRPr="0059449E">
              <w:rPr>
                <w:rFonts w:cs="Arial"/>
                <w:b/>
                <w:bCs/>
                <w:snapToGrid/>
                <w:color w:val="000000"/>
                <w:sz w:val="18"/>
                <w:szCs w:val="18"/>
                <w:lang w:val="fr-FR" w:eastAsia="fr-FR"/>
              </w:rPr>
              <w:t>%</w:t>
            </w:r>
          </w:p>
        </w:tc>
        <w:tc>
          <w:tcPr>
            <w:tcW w:w="551" w:type="pct"/>
            <w:tcBorders>
              <w:top w:val="nil"/>
              <w:left w:val="nil"/>
              <w:bottom w:val="single" w:sz="8" w:space="0" w:color="auto"/>
              <w:right w:val="single" w:sz="4" w:space="0" w:color="auto"/>
            </w:tcBorders>
            <w:shd w:val="clear" w:color="000000" w:fill="DDEBF7"/>
            <w:noWrap/>
            <w:vAlign w:val="bottom"/>
            <w:hideMark/>
          </w:tcPr>
          <w:p w:rsidR="004E613A" w:rsidRPr="0059449E" w:rsidRDefault="00D57CE8"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11 075 </w:t>
            </w:r>
            <w:r w:rsidR="004E613A" w:rsidRPr="0059449E">
              <w:rPr>
                <w:rFonts w:cs="Arial"/>
                <w:snapToGrid/>
                <w:color w:val="000000"/>
                <w:sz w:val="18"/>
                <w:szCs w:val="18"/>
                <w:lang w:val="fr-FR" w:eastAsia="fr-FR"/>
              </w:rPr>
              <w:t>500</w:t>
            </w:r>
          </w:p>
        </w:tc>
        <w:tc>
          <w:tcPr>
            <w:tcW w:w="316" w:type="pct"/>
            <w:tcBorders>
              <w:top w:val="nil"/>
              <w:left w:val="nil"/>
              <w:bottom w:val="single" w:sz="8" w:space="0" w:color="auto"/>
              <w:right w:val="single" w:sz="4" w:space="0" w:color="auto"/>
            </w:tcBorders>
            <w:shd w:val="clear" w:color="000000" w:fill="DDEBF7"/>
            <w:noWrap/>
            <w:vAlign w:val="bottom"/>
            <w:hideMark/>
          </w:tcPr>
          <w:p w:rsidR="004E613A" w:rsidRPr="0059449E" w:rsidRDefault="004E613A" w:rsidP="000D1B28">
            <w:pPr>
              <w:tabs>
                <w:tab w:val="clear" w:pos="567"/>
              </w:tabs>
              <w:snapToGrid/>
              <w:jc w:val="right"/>
              <w:rPr>
                <w:rFonts w:cs="Arial"/>
                <w:snapToGrid/>
                <w:color w:val="000000"/>
                <w:sz w:val="18"/>
                <w:szCs w:val="18"/>
                <w:lang w:val="fr-FR" w:eastAsia="fr-FR"/>
              </w:rPr>
            </w:pPr>
            <w:r w:rsidRPr="0059449E">
              <w:rPr>
                <w:rFonts w:cs="Arial"/>
                <w:snapToGrid/>
                <w:color w:val="000000"/>
                <w:sz w:val="18"/>
                <w:szCs w:val="18"/>
                <w:lang w:val="fr-FR" w:eastAsia="fr-FR"/>
              </w:rPr>
              <w:t>100</w:t>
            </w:r>
            <w:r w:rsidR="00D57CE8" w:rsidRPr="0059449E">
              <w:rPr>
                <w:rFonts w:cs="Arial"/>
                <w:snapToGrid/>
                <w:color w:val="000000"/>
                <w:sz w:val="18"/>
                <w:szCs w:val="18"/>
                <w:lang w:val="fr-FR" w:eastAsia="fr-FR"/>
              </w:rPr>
              <w:t> </w:t>
            </w:r>
            <w:r w:rsidRPr="0059449E">
              <w:rPr>
                <w:rFonts w:cs="Arial"/>
                <w:snapToGrid/>
                <w:color w:val="000000"/>
                <w:sz w:val="18"/>
                <w:szCs w:val="18"/>
                <w:lang w:val="fr-FR" w:eastAsia="fr-FR"/>
              </w:rPr>
              <w:t>%</w:t>
            </w:r>
          </w:p>
        </w:tc>
      </w:tr>
    </w:tbl>
    <w:p w:rsidR="004E613A" w:rsidRPr="0059449E" w:rsidRDefault="004E613A" w:rsidP="00F76A1D">
      <w:pPr>
        <w:pStyle w:val="Marge"/>
        <w:spacing w:after="0"/>
      </w:pPr>
    </w:p>
    <w:p w:rsidR="00F80909" w:rsidRPr="0059449E" w:rsidRDefault="004F1B4B" w:rsidP="004F1B4B">
      <w:pPr>
        <w:pStyle w:val="Marge"/>
      </w:pPr>
      <w:r>
        <w:t>11.</w:t>
      </w:r>
      <w:r>
        <w:tab/>
      </w:r>
      <w:r w:rsidR="00F80909" w:rsidRPr="0059449E">
        <w:t>En application des décisions des États membres de l’UNESCO, le Projet de 40 C/5 est le second budget de l’exercice biennal établi dans un cadre budgétaire intégré, qui permet une plus grande transparence de l’ensemble des ressources disponibles. Au moment de l’établissement du Projet de 40 C/5, le montant des fonds extrabudgétaires déjà reçus ou faisant l’objet d’un engagement ferme dans le cadre d’accords signés était de l’ordre de 2 600 000 dollars.</w:t>
      </w:r>
      <w:r w:rsidR="00812839" w:rsidRPr="0059449E">
        <w:t xml:space="preserve"> Ce montant est plus faible encore que ce qu’il était au même point de l’élaboration de Projet de 39 C/5, ce qui démontre une fois</w:t>
      </w:r>
      <w:r w:rsidR="00313C03" w:rsidRPr="0059449E">
        <w:t xml:space="preserve"> encore</w:t>
      </w:r>
      <w:r w:rsidR="00812839" w:rsidRPr="0059449E">
        <w:t xml:space="preserve"> l’extrême volatilité du financement de la Commission. La part des accords </w:t>
      </w:r>
      <w:r w:rsidR="000B5513" w:rsidRPr="0059449E">
        <w:t>de financement à long terme et d</w:t>
      </w:r>
      <w:r w:rsidR="00812839" w:rsidRPr="0059449E">
        <w:t>es contributions volontaires sans affectation prédéfinie reste faible.</w:t>
      </w:r>
    </w:p>
    <w:p w:rsidR="00812839" w:rsidRPr="0059449E" w:rsidRDefault="004F1B4B" w:rsidP="004F1B4B">
      <w:pPr>
        <w:pStyle w:val="Marge"/>
      </w:pPr>
      <w:r>
        <w:t>12.</w:t>
      </w:r>
      <w:r>
        <w:tab/>
      </w:r>
      <w:r w:rsidR="000B5513" w:rsidRPr="0059449E">
        <w:t xml:space="preserve">Le Secrétariat a défini des cibles extrabudgétaires représentant les fonds qu’il espère mobiliser, </w:t>
      </w:r>
      <w:r w:rsidR="00BB7AEB" w:rsidRPr="0059449E">
        <w:t>sur la base d</w:t>
      </w:r>
      <w:r w:rsidR="001E25BD" w:rsidRPr="0059449E">
        <w:t>es</w:t>
      </w:r>
      <w:r w:rsidR="000B5513" w:rsidRPr="0059449E">
        <w:t xml:space="preserve"> tendances observées par le passé, </w:t>
      </w:r>
      <w:r w:rsidR="00BB7AEB" w:rsidRPr="0059449E">
        <w:t xml:space="preserve">de </w:t>
      </w:r>
      <w:r w:rsidR="000B5513" w:rsidRPr="0059449E">
        <w:t>l’expérience de l’exercice biennal en cours et d’une évaluation réaliste de ses capacités d’exécution.</w:t>
      </w:r>
      <w:r w:rsidR="001E25BD" w:rsidRPr="0059449E">
        <w:t xml:space="preserve"> La différence entre ces cibles extrabudgétaires et les fonds déjà reçus ou ayant fait l’objet d’un engagement ferme constitue l’écart de financement qui guidera les efforts de mobilisation de ressources de la Commission.</w:t>
      </w:r>
    </w:p>
    <w:p w:rsidR="001E25BD" w:rsidRDefault="004F1B4B" w:rsidP="004F1B4B">
      <w:pPr>
        <w:pStyle w:val="Marge"/>
      </w:pPr>
      <w:r>
        <w:t>13.</w:t>
      </w:r>
      <w:r>
        <w:tab/>
      </w:r>
      <w:r w:rsidR="001E25BD">
        <w:t xml:space="preserve">Le tableau et le graphique ci-dessous donnent un aperçu général et des </w:t>
      </w:r>
      <w:r w:rsidR="00A93609">
        <w:t>informations détaillées</w:t>
      </w:r>
      <w:r w:rsidR="001E25BD">
        <w:t xml:space="preserve"> </w:t>
      </w:r>
      <w:r w:rsidR="00441BA4">
        <w:t>concernant</w:t>
      </w:r>
      <w:r w:rsidR="001E25BD">
        <w:t xml:space="preserve"> chacun des trois scénarios budgétaires du 40 C/5, ainsi qu’une comparaison</w:t>
      </w:r>
      <w:r w:rsidR="00A93609">
        <w:t xml:space="preserve"> avec le budget de l’exercice 2018-2019 en cours (budget effectif fondé sur le plan de dépenses de 518 M$).</w:t>
      </w:r>
    </w:p>
    <w:tbl>
      <w:tblPr>
        <w:tblW w:w="9209" w:type="dxa"/>
        <w:jc w:val="center"/>
        <w:tblCellMar>
          <w:left w:w="70" w:type="dxa"/>
          <w:right w:w="70" w:type="dxa"/>
        </w:tblCellMar>
        <w:tblLook w:val="04A0" w:firstRow="1" w:lastRow="0" w:firstColumn="1" w:lastColumn="0" w:noHBand="0" w:noVBand="1"/>
      </w:tblPr>
      <w:tblGrid>
        <w:gridCol w:w="3029"/>
        <w:gridCol w:w="1361"/>
        <w:gridCol w:w="1389"/>
        <w:gridCol w:w="1707"/>
        <w:gridCol w:w="1723"/>
      </w:tblGrid>
      <w:tr w:rsidR="00441BA4" w:rsidRPr="00441BA4" w:rsidTr="00441BA4">
        <w:trPr>
          <w:trHeight w:val="361"/>
          <w:jc w:val="center"/>
        </w:trPr>
        <w:tc>
          <w:tcPr>
            <w:tcW w:w="302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41BA4" w:rsidRPr="00C60141" w:rsidRDefault="00441BA4" w:rsidP="000D1B28">
            <w:pPr>
              <w:tabs>
                <w:tab w:val="clear" w:pos="567"/>
              </w:tabs>
              <w:snapToGrid/>
              <w:jc w:val="center"/>
              <w:rPr>
                <w:rFonts w:cs="Arial"/>
                <w:snapToGrid/>
                <w:color w:val="000000"/>
                <w:sz w:val="20"/>
                <w:szCs w:val="20"/>
                <w:lang w:val="fr-FR" w:eastAsia="fr-FR"/>
              </w:rPr>
            </w:pPr>
            <w:r w:rsidRPr="00C60141">
              <w:rPr>
                <w:rFonts w:cs="Arial"/>
                <w:snapToGrid/>
                <w:color w:val="000000"/>
                <w:sz w:val="20"/>
                <w:szCs w:val="20"/>
                <w:lang w:val="fr-FR" w:eastAsia="fr-FR"/>
              </w:rPr>
              <w:t> </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441BA4" w:rsidRPr="00C60141" w:rsidRDefault="00441BA4" w:rsidP="000D1B28">
            <w:pPr>
              <w:tabs>
                <w:tab w:val="clear" w:pos="567"/>
              </w:tabs>
              <w:snapToGrid/>
              <w:jc w:val="center"/>
              <w:rPr>
                <w:rFonts w:cs="Arial"/>
                <w:b/>
                <w:bCs/>
                <w:snapToGrid/>
                <w:color w:val="000000"/>
                <w:sz w:val="20"/>
                <w:szCs w:val="20"/>
                <w:lang w:val="fr-FR" w:eastAsia="fr-FR"/>
              </w:rPr>
            </w:pPr>
            <w:r w:rsidRPr="00C60141">
              <w:rPr>
                <w:rFonts w:cs="Arial"/>
                <w:b/>
                <w:bCs/>
                <w:snapToGrid/>
                <w:color w:val="000000"/>
                <w:sz w:val="20"/>
                <w:szCs w:val="20"/>
                <w:lang w:val="fr-FR" w:eastAsia="fr-FR"/>
              </w:rPr>
              <w:t>39 C/5</w:t>
            </w:r>
          </w:p>
        </w:tc>
        <w:tc>
          <w:tcPr>
            <w:tcW w:w="4819" w:type="dxa"/>
            <w:gridSpan w:val="3"/>
            <w:tcBorders>
              <w:top w:val="single" w:sz="4" w:space="0" w:color="auto"/>
              <w:left w:val="nil"/>
              <w:bottom w:val="single" w:sz="4" w:space="0" w:color="auto"/>
              <w:right w:val="single" w:sz="4" w:space="0" w:color="auto"/>
            </w:tcBorders>
            <w:shd w:val="clear" w:color="000000" w:fill="DDEBF7"/>
            <w:noWrap/>
            <w:vAlign w:val="bottom"/>
            <w:hideMark/>
          </w:tcPr>
          <w:p w:rsidR="00441BA4" w:rsidRPr="00C60141" w:rsidRDefault="00441BA4" w:rsidP="000D1B28">
            <w:pPr>
              <w:tabs>
                <w:tab w:val="clear" w:pos="567"/>
              </w:tabs>
              <w:snapToGrid/>
              <w:jc w:val="center"/>
              <w:rPr>
                <w:rFonts w:cs="Arial"/>
                <w:b/>
                <w:bCs/>
                <w:snapToGrid/>
                <w:color w:val="000000"/>
                <w:sz w:val="20"/>
                <w:szCs w:val="20"/>
                <w:lang w:val="fr-FR" w:eastAsia="fr-FR"/>
              </w:rPr>
            </w:pPr>
            <w:r w:rsidRPr="00C60141">
              <w:rPr>
                <w:rFonts w:cs="Arial"/>
                <w:b/>
                <w:bCs/>
                <w:snapToGrid/>
                <w:color w:val="000000"/>
                <w:sz w:val="20"/>
                <w:szCs w:val="20"/>
                <w:lang w:val="fr-FR" w:eastAsia="fr-FR"/>
              </w:rPr>
              <w:t>Projet de 40 C/5</w:t>
            </w:r>
          </w:p>
        </w:tc>
      </w:tr>
      <w:tr w:rsidR="00441BA4" w:rsidRPr="00441BA4" w:rsidTr="00441BA4">
        <w:trPr>
          <w:trHeight w:val="361"/>
          <w:jc w:val="center"/>
        </w:trPr>
        <w:tc>
          <w:tcPr>
            <w:tcW w:w="3029" w:type="dxa"/>
            <w:vMerge/>
            <w:tcBorders>
              <w:top w:val="single" w:sz="4" w:space="0" w:color="auto"/>
              <w:left w:val="single" w:sz="4" w:space="0" w:color="auto"/>
              <w:bottom w:val="single" w:sz="12" w:space="0" w:color="auto"/>
              <w:right w:val="single" w:sz="4" w:space="0" w:color="auto"/>
            </w:tcBorders>
            <w:vAlign w:val="center"/>
            <w:hideMark/>
          </w:tcPr>
          <w:p w:rsidR="00441BA4" w:rsidRPr="00C60141" w:rsidRDefault="00441BA4" w:rsidP="000D1B28">
            <w:pPr>
              <w:tabs>
                <w:tab w:val="clear" w:pos="567"/>
              </w:tabs>
              <w:snapToGrid/>
              <w:rPr>
                <w:rFonts w:cs="Arial"/>
                <w:snapToGrid/>
                <w:color w:val="000000"/>
                <w:sz w:val="20"/>
                <w:szCs w:val="20"/>
                <w:lang w:val="fr-FR" w:eastAsia="fr-FR"/>
              </w:rPr>
            </w:pPr>
          </w:p>
        </w:tc>
        <w:tc>
          <w:tcPr>
            <w:tcW w:w="1361" w:type="dxa"/>
            <w:tcBorders>
              <w:top w:val="nil"/>
              <w:left w:val="nil"/>
              <w:bottom w:val="single" w:sz="12" w:space="0" w:color="auto"/>
              <w:right w:val="single" w:sz="4" w:space="0" w:color="auto"/>
            </w:tcBorders>
            <w:shd w:val="clear" w:color="auto" w:fill="auto"/>
            <w:noWrap/>
            <w:vAlign w:val="bottom"/>
            <w:hideMark/>
          </w:tcPr>
          <w:p w:rsidR="00441BA4" w:rsidRPr="00C60141" w:rsidRDefault="00441BA4" w:rsidP="000D1B28">
            <w:pPr>
              <w:tabs>
                <w:tab w:val="clear" w:pos="567"/>
              </w:tabs>
              <w:snapToGrid/>
              <w:jc w:val="center"/>
              <w:rPr>
                <w:rFonts w:cs="Arial"/>
                <w:b/>
                <w:bCs/>
                <w:snapToGrid/>
                <w:color w:val="000000"/>
                <w:sz w:val="20"/>
                <w:szCs w:val="20"/>
                <w:lang w:val="fr-FR" w:eastAsia="fr-FR"/>
              </w:rPr>
            </w:pPr>
            <w:r w:rsidRPr="00C60141">
              <w:rPr>
                <w:rFonts w:cs="Arial"/>
                <w:b/>
                <w:bCs/>
                <w:snapToGrid/>
                <w:color w:val="000000"/>
                <w:sz w:val="20"/>
                <w:szCs w:val="20"/>
                <w:lang w:val="fr-FR" w:eastAsia="fr-FR"/>
              </w:rPr>
              <w:t>518 M$</w:t>
            </w:r>
          </w:p>
        </w:tc>
        <w:tc>
          <w:tcPr>
            <w:tcW w:w="1389" w:type="dxa"/>
            <w:tcBorders>
              <w:top w:val="nil"/>
              <w:left w:val="nil"/>
              <w:bottom w:val="single" w:sz="12" w:space="0" w:color="auto"/>
              <w:right w:val="single" w:sz="4" w:space="0" w:color="auto"/>
            </w:tcBorders>
            <w:shd w:val="clear" w:color="000000" w:fill="DDEBF7"/>
            <w:noWrap/>
            <w:vAlign w:val="bottom"/>
            <w:hideMark/>
          </w:tcPr>
          <w:p w:rsidR="00441BA4" w:rsidRPr="00C60141" w:rsidRDefault="00441BA4" w:rsidP="000D1B28">
            <w:pPr>
              <w:tabs>
                <w:tab w:val="clear" w:pos="567"/>
              </w:tabs>
              <w:snapToGrid/>
              <w:jc w:val="center"/>
              <w:rPr>
                <w:rFonts w:cs="Arial"/>
                <w:b/>
                <w:bCs/>
                <w:snapToGrid/>
                <w:color w:val="000000"/>
                <w:sz w:val="20"/>
                <w:szCs w:val="20"/>
                <w:lang w:val="fr-FR" w:eastAsia="fr-FR"/>
              </w:rPr>
            </w:pPr>
            <w:r w:rsidRPr="00C60141">
              <w:rPr>
                <w:rFonts w:cs="Arial"/>
                <w:b/>
                <w:bCs/>
                <w:snapToGrid/>
                <w:color w:val="000000"/>
                <w:sz w:val="20"/>
                <w:szCs w:val="20"/>
                <w:lang w:val="fr-FR" w:eastAsia="fr-FR"/>
              </w:rPr>
              <w:t>507 M$</w:t>
            </w:r>
          </w:p>
        </w:tc>
        <w:tc>
          <w:tcPr>
            <w:tcW w:w="1707" w:type="dxa"/>
            <w:tcBorders>
              <w:top w:val="nil"/>
              <w:left w:val="nil"/>
              <w:bottom w:val="single" w:sz="12" w:space="0" w:color="auto"/>
              <w:right w:val="single" w:sz="4" w:space="0" w:color="auto"/>
            </w:tcBorders>
            <w:shd w:val="clear" w:color="000000" w:fill="DDEBF7"/>
            <w:noWrap/>
            <w:vAlign w:val="bottom"/>
            <w:hideMark/>
          </w:tcPr>
          <w:p w:rsidR="00441BA4" w:rsidRPr="00C60141" w:rsidRDefault="00441BA4" w:rsidP="000D1B28">
            <w:pPr>
              <w:tabs>
                <w:tab w:val="clear" w:pos="567"/>
              </w:tabs>
              <w:snapToGrid/>
              <w:jc w:val="center"/>
              <w:rPr>
                <w:rFonts w:cs="Arial"/>
                <w:b/>
                <w:bCs/>
                <w:snapToGrid/>
                <w:color w:val="000000"/>
                <w:sz w:val="20"/>
                <w:szCs w:val="20"/>
                <w:lang w:val="fr-FR" w:eastAsia="fr-FR"/>
              </w:rPr>
            </w:pPr>
            <w:r w:rsidRPr="00C60141">
              <w:rPr>
                <w:rFonts w:cs="Arial"/>
                <w:b/>
                <w:bCs/>
                <w:snapToGrid/>
                <w:color w:val="000000"/>
                <w:sz w:val="20"/>
                <w:szCs w:val="20"/>
                <w:lang w:val="fr-FR" w:eastAsia="fr-FR"/>
              </w:rPr>
              <w:t>518 M$ / 523,6 M$</w:t>
            </w:r>
          </w:p>
        </w:tc>
        <w:tc>
          <w:tcPr>
            <w:tcW w:w="1723" w:type="dxa"/>
            <w:tcBorders>
              <w:top w:val="nil"/>
              <w:left w:val="nil"/>
              <w:bottom w:val="single" w:sz="12" w:space="0" w:color="auto"/>
              <w:right w:val="single" w:sz="4" w:space="0" w:color="auto"/>
            </w:tcBorders>
            <w:shd w:val="clear" w:color="000000" w:fill="DDEBF7"/>
            <w:noWrap/>
            <w:vAlign w:val="bottom"/>
            <w:hideMark/>
          </w:tcPr>
          <w:p w:rsidR="00441BA4" w:rsidRPr="00C60141" w:rsidRDefault="00441BA4" w:rsidP="000D1B28">
            <w:pPr>
              <w:tabs>
                <w:tab w:val="clear" w:pos="567"/>
              </w:tabs>
              <w:snapToGrid/>
              <w:jc w:val="center"/>
              <w:rPr>
                <w:rFonts w:cs="Arial"/>
                <w:b/>
                <w:bCs/>
                <w:snapToGrid/>
                <w:color w:val="000000"/>
                <w:sz w:val="20"/>
                <w:szCs w:val="20"/>
                <w:lang w:val="fr-FR" w:eastAsia="fr-FR"/>
              </w:rPr>
            </w:pPr>
            <w:r w:rsidRPr="00C60141">
              <w:rPr>
                <w:rFonts w:cs="Arial"/>
                <w:b/>
                <w:bCs/>
                <w:snapToGrid/>
                <w:color w:val="000000"/>
                <w:sz w:val="20"/>
                <w:szCs w:val="20"/>
                <w:lang w:val="fr-FR" w:eastAsia="fr-FR"/>
              </w:rPr>
              <w:t>534,6 M$</w:t>
            </w:r>
          </w:p>
        </w:tc>
      </w:tr>
      <w:tr w:rsidR="00441BA4" w:rsidRPr="00441BA4" w:rsidTr="00441BA4">
        <w:trPr>
          <w:trHeight w:val="361"/>
          <w:jc w:val="center"/>
        </w:trPr>
        <w:tc>
          <w:tcPr>
            <w:tcW w:w="3029"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441BA4" w:rsidRPr="00C60141" w:rsidRDefault="00441BA4" w:rsidP="000D1B28">
            <w:pPr>
              <w:tabs>
                <w:tab w:val="clear" w:pos="567"/>
              </w:tabs>
              <w:snapToGrid/>
              <w:rPr>
                <w:rFonts w:cs="Arial"/>
                <w:snapToGrid/>
                <w:color w:val="000000"/>
                <w:sz w:val="20"/>
                <w:szCs w:val="20"/>
                <w:lang w:val="fr-FR" w:eastAsia="fr-FR"/>
              </w:rPr>
            </w:pPr>
            <w:r w:rsidRPr="00C60141">
              <w:rPr>
                <w:rFonts w:cs="Arial"/>
                <w:snapToGrid/>
                <w:color w:val="000000"/>
                <w:sz w:val="20"/>
                <w:szCs w:val="20"/>
                <w:lang w:val="fr-FR" w:eastAsia="fr-FR"/>
              </w:rPr>
              <w:t>Budget du Programme ordinaire</w:t>
            </w:r>
          </w:p>
        </w:tc>
        <w:tc>
          <w:tcPr>
            <w:tcW w:w="1361" w:type="dxa"/>
            <w:tcBorders>
              <w:top w:val="single" w:sz="12" w:space="0" w:color="auto"/>
              <w:left w:val="nil"/>
              <w:bottom w:val="single" w:sz="4" w:space="0" w:color="auto"/>
              <w:right w:val="single" w:sz="4" w:space="0" w:color="auto"/>
            </w:tcBorders>
            <w:shd w:val="clear" w:color="auto" w:fill="auto"/>
            <w:noWrap/>
            <w:vAlign w:val="bottom"/>
            <w:hideMark/>
          </w:tcPr>
          <w:p w:rsidR="00441BA4" w:rsidRPr="00C60141" w:rsidRDefault="00C60141" w:rsidP="000D1B28">
            <w:pPr>
              <w:tabs>
                <w:tab w:val="clear" w:pos="567"/>
              </w:tabs>
              <w:snapToGrid/>
              <w:jc w:val="right"/>
              <w:rPr>
                <w:rFonts w:cs="Arial"/>
                <w:b/>
                <w:bCs/>
                <w:snapToGrid/>
                <w:color w:val="000000"/>
                <w:sz w:val="20"/>
                <w:szCs w:val="20"/>
                <w:lang w:val="fr-FR" w:eastAsia="fr-FR"/>
              </w:rPr>
            </w:pPr>
            <w:r>
              <w:rPr>
                <w:rFonts w:cs="Arial"/>
                <w:b/>
                <w:bCs/>
                <w:snapToGrid/>
                <w:color w:val="000000"/>
                <w:sz w:val="20"/>
                <w:szCs w:val="20"/>
                <w:lang w:val="fr-FR" w:eastAsia="fr-FR"/>
              </w:rPr>
              <w:t>10 681 </w:t>
            </w:r>
            <w:r w:rsidR="00441BA4" w:rsidRPr="00C60141">
              <w:rPr>
                <w:rFonts w:cs="Arial"/>
                <w:b/>
                <w:bCs/>
                <w:snapToGrid/>
                <w:color w:val="000000"/>
                <w:sz w:val="20"/>
                <w:szCs w:val="20"/>
                <w:lang w:val="fr-FR" w:eastAsia="fr-FR"/>
              </w:rPr>
              <w:t>300</w:t>
            </w:r>
          </w:p>
        </w:tc>
        <w:tc>
          <w:tcPr>
            <w:tcW w:w="1389" w:type="dxa"/>
            <w:tcBorders>
              <w:top w:val="single" w:sz="12" w:space="0" w:color="auto"/>
              <w:left w:val="nil"/>
              <w:bottom w:val="single" w:sz="4"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snapToGrid/>
                <w:color w:val="000000"/>
                <w:sz w:val="20"/>
                <w:szCs w:val="20"/>
                <w:lang w:val="fr-FR" w:eastAsia="fr-FR"/>
              </w:rPr>
            </w:pPr>
            <w:r>
              <w:rPr>
                <w:rFonts w:cs="Arial"/>
                <w:snapToGrid/>
                <w:color w:val="000000"/>
                <w:sz w:val="20"/>
                <w:szCs w:val="20"/>
                <w:lang w:val="fr-FR" w:eastAsia="fr-FR"/>
              </w:rPr>
              <w:t>10 276 </w:t>
            </w:r>
            <w:r w:rsidR="00441BA4" w:rsidRPr="00C60141">
              <w:rPr>
                <w:rFonts w:cs="Arial"/>
                <w:snapToGrid/>
                <w:color w:val="000000"/>
                <w:sz w:val="20"/>
                <w:szCs w:val="20"/>
                <w:lang w:val="fr-FR" w:eastAsia="fr-FR"/>
              </w:rPr>
              <w:t>100</w:t>
            </w:r>
          </w:p>
        </w:tc>
        <w:tc>
          <w:tcPr>
            <w:tcW w:w="1707" w:type="dxa"/>
            <w:tcBorders>
              <w:top w:val="single" w:sz="12" w:space="0" w:color="auto"/>
              <w:left w:val="nil"/>
              <w:bottom w:val="single" w:sz="4"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b/>
                <w:bCs/>
                <w:snapToGrid/>
                <w:color w:val="000000"/>
                <w:sz w:val="20"/>
                <w:szCs w:val="20"/>
                <w:lang w:val="fr-FR" w:eastAsia="fr-FR"/>
              </w:rPr>
            </w:pPr>
            <w:r>
              <w:rPr>
                <w:rFonts w:cs="Arial"/>
                <w:b/>
                <w:bCs/>
                <w:snapToGrid/>
                <w:color w:val="000000"/>
                <w:sz w:val="20"/>
                <w:szCs w:val="20"/>
                <w:lang w:val="fr-FR" w:eastAsia="fr-FR"/>
              </w:rPr>
              <w:t>10 776 </w:t>
            </w:r>
            <w:r w:rsidR="00441BA4" w:rsidRPr="00C60141">
              <w:rPr>
                <w:rFonts w:cs="Arial"/>
                <w:b/>
                <w:bCs/>
                <w:snapToGrid/>
                <w:color w:val="000000"/>
                <w:sz w:val="20"/>
                <w:szCs w:val="20"/>
                <w:lang w:val="fr-FR" w:eastAsia="fr-FR"/>
              </w:rPr>
              <w:t>100</w:t>
            </w:r>
          </w:p>
        </w:tc>
        <w:tc>
          <w:tcPr>
            <w:tcW w:w="1723" w:type="dxa"/>
            <w:tcBorders>
              <w:top w:val="single" w:sz="12" w:space="0" w:color="auto"/>
              <w:left w:val="nil"/>
              <w:bottom w:val="single" w:sz="4"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snapToGrid/>
                <w:color w:val="000000"/>
                <w:sz w:val="20"/>
                <w:szCs w:val="20"/>
                <w:lang w:val="fr-FR" w:eastAsia="fr-FR"/>
              </w:rPr>
            </w:pPr>
            <w:r>
              <w:rPr>
                <w:rFonts w:cs="Arial"/>
                <w:snapToGrid/>
                <w:color w:val="000000"/>
                <w:sz w:val="20"/>
                <w:szCs w:val="20"/>
                <w:lang w:val="fr-FR" w:eastAsia="fr-FR"/>
              </w:rPr>
              <w:t>11 075 </w:t>
            </w:r>
            <w:r w:rsidR="00441BA4" w:rsidRPr="00C60141">
              <w:rPr>
                <w:rFonts w:cs="Arial"/>
                <w:snapToGrid/>
                <w:color w:val="000000"/>
                <w:sz w:val="20"/>
                <w:szCs w:val="20"/>
                <w:lang w:val="fr-FR" w:eastAsia="fr-FR"/>
              </w:rPr>
              <w:t>500</w:t>
            </w:r>
          </w:p>
        </w:tc>
      </w:tr>
      <w:tr w:rsidR="00441BA4" w:rsidRPr="00441BA4" w:rsidTr="00441BA4">
        <w:trPr>
          <w:trHeight w:val="361"/>
          <w:jc w:val="center"/>
        </w:trPr>
        <w:tc>
          <w:tcPr>
            <w:tcW w:w="3029" w:type="dxa"/>
            <w:tcBorders>
              <w:top w:val="nil"/>
              <w:left w:val="single" w:sz="4" w:space="0" w:color="auto"/>
              <w:bottom w:val="single" w:sz="4" w:space="0" w:color="auto"/>
              <w:right w:val="single" w:sz="4" w:space="0" w:color="auto"/>
            </w:tcBorders>
            <w:shd w:val="clear" w:color="auto" w:fill="auto"/>
            <w:noWrap/>
            <w:vAlign w:val="bottom"/>
            <w:hideMark/>
          </w:tcPr>
          <w:p w:rsidR="00441BA4" w:rsidRPr="00C60141" w:rsidRDefault="00FA2E7A" w:rsidP="000D1B28">
            <w:pPr>
              <w:tabs>
                <w:tab w:val="clear" w:pos="567"/>
              </w:tabs>
              <w:snapToGrid/>
              <w:rPr>
                <w:rFonts w:cs="Arial"/>
                <w:snapToGrid/>
                <w:color w:val="000000"/>
                <w:sz w:val="20"/>
                <w:szCs w:val="20"/>
                <w:lang w:val="fr-FR" w:eastAsia="fr-FR"/>
              </w:rPr>
            </w:pPr>
            <w:r w:rsidRPr="00C60141">
              <w:rPr>
                <w:rFonts w:cs="Arial"/>
                <w:snapToGrid/>
                <w:color w:val="000000"/>
                <w:sz w:val="20"/>
                <w:szCs w:val="20"/>
                <w:lang w:val="fr-FR" w:eastAsia="fr-FR"/>
              </w:rPr>
              <w:t>Fonds extrabudgétaires reçu</w:t>
            </w:r>
            <w:r w:rsidR="00441BA4" w:rsidRPr="00C60141">
              <w:rPr>
                <w:rFonts w:cs="Arial"/>
                <w:snapToGrid/>
                <w:color w:val="000000"/>
                <w:sz w:val="20"/>
                <w:szCs w:val="20"/>
                <w:lang w:val="fr-FR" w:eastAsia="fr-FR"/>
              </w:rPr>
              <w:t>s</w:t>
            </w:r>
          </w:p>
        </w:tc>
        <w:tc>
          <w:tcPr>
            <w:tcW w:w="1361" w:type="dxa"/>
            <w:tcBorders>
              <w:top w:val="nil"/>
              <w:left w:val="nil"/>
              <w:bottom w:val="single" w:sz="4" w:space="0" w:color="auto"/>
              <w:right w:val="single" w:sz="4" w:space="0" w:color="auto"/>
            </w:tcBorders>
            <w:shd w:val="clear" w:color="auto" w:fill="auto"/>
            <w:noWrap/>
            <w:vAlign w:val="bottom"/>
            <w:hideMark/>
          </w:tcPr>
          <w:p w:rsidR="00441BA4" w:rsidRPr="00C60141" w:rsidRDefault="00C60141" w:rsidP="000D1B28">
            <w:pPr>
              <w:tabs>
                <w:tab w:val="clear" w:pos="567"/>
              </w:tabs>
              <w:snapToGrid/>
              <w:jc w:val="right"/>
              <w:rPr>
                <w:rFonts w:cs="Arial"/>
                <w:b/>
                <w:bCs/>
                <w:snapToGrid/>
                <w:color w:val="000000"/>
                <w:sz w:val="20"/>
                <w:szCs w:val="20"/>
                <w:lang w:val="fr-FR" w:eastAsia="fr-FR"/>
              </w:rPr>
            </w:pPr>
            <w:r>
              <w:rPr>
                <w:rFonts w:cs="Arial"/>
                <w:b/>
                <w:bCs/>
                <w:snapToGrid/>
                <w:color w:val="000000"/>
                <w:sz w:val="20"/>
                <w:szCs w:val="20"/>
                <w:lang w:val="fr-FR" w:eastAsia="fr-FR"/>
              </w:rPr>
              <w:t>4 800 </w:t>
            </w:r>
            <w:r w:rsidR="00441BA4" w:rsidRPr="00C60141">
              <w:rPr>
                <w:rFonts w:cs="Arial"/>
                <w:b/>
                <w:bCs/>
                <w:snapToGrid/>
                <w:color w:val="000000"/>
                <w:sz w:val="20"/>
                <w:szCs w:val="20"/>
                <w:lang w:val="fr-FR" w:eastAsia="fr-FR"/>
              </w:rPr>
              <w:t>000</w:t>
            </w:r>
          </w:p>
        </w:tc>
        <w:tc>
          <w:tcPr>
            <w:tcW w:w="1389" w:type="dxa"/>
            <w:tcBorders>
              <w:top w:val="nil"/>
              <w:left w:val="nil"/>
              <w:bottom w:val="single" w:sz="4"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snapToGrid/>
                <w:color w:val="000000"/>
                <w:sz w:val="20"/>
                <w:szCs w:val="20"/>
                <w:lang w:val="fr-FR" w:eastAsia="fr-FR"/>
              </w:rPr>
            </w:pPr>
            <w:r>
              <w:rPr>
                <w:rFonts w:cs="Arial"/>
                <w:snapToGrid/>
                <w:color w:val="000000"/>
                <w:sz w:val="20"/>
                <w:szCs w:val="20"/>
                <w:lang w:val="fr-FR" w:eastAsia="fr-FR"/>
              </w:rPr>
              <w:t>2 600 </w:t>
            </w:r>
            <w:r w:rsidR="00441BA4" w:rsidRPr="00C60141">
              <w:rPr>
                <w:rFonts w:cs="Arial"/>
                <w:snapToGrid/>
                <w:color w:val="000000"/>
                <w:sz w:val="20"/>
                <w:szCs w:val="20"/>
                <w:lang w:val="fr-FR" w:eastAsia="fr-FR"/>
              </w:rPr>
              <w:t>000</w:t>
            </w:r>
          </w:p>
        </w:tc>
        <w:tc>
          <w:tcPr>
            <w:tcW w:w="1707" w:type="dxa"/>
            <w:tcBorders>
              <w:top w:val="nil"/>
              <w:left w:val="nil"/>
              <w:bottom w:val="single" w:sz="4"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b/>
                <w:bCs/>
                <w:snapToGrid/>
                <w:color w:val="000000"/>
                <w:sz w:val="20"/>
                <w:szCs w:val="20"/>
                <w:lang w:val="fr-FR" w:eastAsia="fr-FR"/>
              </w:rPr>
            </w:pPr>
            <w:r>
              <w:rPr>
                <w:rFonts w:cs="Arial"/>
                <w:b/>
                <w:bCs/>
                <w:snapToGrid/>
                <w:color w:val="000000"/>
                <w:sz w:val="20"/>
                <w:szCs w:val="20"/>
                <w:lang w:val="fr-FR" w:eastAsia="fr-FR"/>
              </w:rPr>
              <w:t>2 600 </w:t>
            </w:r>
            <w:r w:rsidR="00441BA4" w:rsidRPr="00C60141">
              <w:rPr>
                <w:rFonts w:cs="Arial"/>
                <w:b/>
                <w:bCs/>
                <w:snapToGrid/>
                <w:color w:val="000000"/>
                <w:sz w:val="20"/>
                <w:szCs w:val="20"/>
                <w:lang w:val="fr-FR" w:eastAsia="fr-FR"/>
              </w:rPr>
              <w:t>000</w:t>
            </w:r>
          </w:p>
        </w:tc>
        <w:tc>
          <w:tcPr>
            <w:tcW w:w="1723" w:type="dxa"/>
            <w:tcBorders>
              <w:top w:val="nil"/>
              <w:left w:val="nil"/>
              <w:bottom w:val="single" w:sz="4"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snapToGrid/>
                <w:color w:val="000000"/>
                <w:sz w:val="20"/>
                <w:szCs w:val="20"/>
                <w:lang w:val="fr-FR" w:eastAsia="fr-FR"/>
              </w:rPr>
            </w:pPr>
            <w:r>
              <w:rPr>
                <w:rFonts w:cs="Arial"/>
                <w:snapToGrid/>
                <w:color w:val="000000"/>
                <w:sz w:val="20"/>
                <w:szCs w:val="20"/>
                <w:lang w:val="fr-FR" w:eastAsia="fr-FR"/>
              </w:rPr>
              <w:t>2 600 </w:t>
            </w:r>
            <w:r w:rsidR="00441BA4" w:rsidRPr="00C60141">
              <w:rPr>
                <w:rFonts w:cs="Arial"/>
                <w:snapToGrid/>
                <w:color w:val="000000"/>
                <w:sz w:val="20"/>
                <w:szCs w:val="20"/>
                <w:lang w:val="fr-FR" w:eastAsia="fr-FR"/>
              </w:rPr>
              <w:t>000</w:t>
            </w:r>
          </w:p>
        </w:tc>
      </w:tr>
      <w:tr w:rsidR="00441BA4" w:rsidRPr="00441BA4" w:rsidTr="00441BA4">
        <w:trPr>
          <w:trHeight w:val="379"/>
          <w:jc w:val="center"/>
        </w:trPr>
        <w:tc>
          <w:tcPr>
            <w:tcW w:w="3029" w:type="dxa"/>
            <w:tcBorders>
              <w:top w:val="nil"/>
              <w:left w:val="single" w:sz="4" w:space="0" w:color="auto"/>
              <w:bottom w:val="single" w:sz="8" w:space="0" w:color="auto"/>
              <w:right w:val="single" w:sz="4" w:space="0" w:color="auto"/>
            </w:tcBorders>
            <w:shd w:val="clear" w:color="auto" w:fill="auto"/>
            <w:noWrap/>
            <w:vAlign w:val="bottom"/>
            <w:hideMark/>
          </w:tcPr>
          <w:p w:rsidR="00441BA4" w:rsidRPr="00C60141" w:rsidRDefault="00441BA4" w:rsidP="00441BA4">
            <w:pPr>
              <w:tabs>
                <w:tab w:val="clear" w:pos="567"/>
              </w:tabs>
              <w:snapToGrid/>
              <w:rPr>
                <w:rFonts w:cs="Arial"/>
                <w:snapToGrid/>
                <w:color w:val="000000"/>
                <w:sz w:val="20"/>
                <w:szCs w:val="20"/>
                <w:lang w:val="fr-FR" w:eastAsia="fr-FR"/>
              </w:rPr>
            </w:pPr>
            <w:r w:rsidRPr="00C60141">
              <w:rPr>
                <w:rFonts w:cs="Arial"/>
                <w:snapToGrid/>
                <w:color w:val="000000"/>
                <w:sz w:val="20"/>
                <w:szCs w:val="20"/>
                <w:lang w:val="fr-FR" w:eastAsia="fr-FR"/>
              </w:rPr>
              <w:t>Écart de financement</w:t>
            </w:r>
          </w:p>
        </w:tc>
        <w:tc>
          <w:tcPr>
            <w:tcW w:w="1361" w:type="dxa"/>
            <w:tcBorders>
              <w:top w:val="nil"/>
              <w:left w:val="nil"/>
              <w:bottom w:val="single" w:sz="8" w:space="0" w:color="auto"/>
              <w:right w:val="single" w:sz="4" w:space="0" w:color="auto"/>
            </w:tcBorders>
            <w:shd w:val="clear" w:color="auto" w:fill="auto"/>
            <w:noWrap/>
            <w:vAlign w:val="bottom"/>
            <w:hideMark/>
          </w:tcPr>
          <w:p w:rsidR="00441BA4" w:rsidRPr="00C60141" w:rsidRDefault="00C60141" w:rsidP="000D1B28">
            <w:pPr>
              <w:tabs>
                <w:tab w:val="clear" w:pos="567"/>
              </w:tabs>
              <w:snapToGrid/>
              <w:jc w:val="right"/>
              <w:rPr>
                <w:rFonts w:cs="Arial"/>
                <w:b/>
                <w:bCs/>
                <w:snapToGrid/>
                <w:color w:val="000000"/>
                <w:sz w:val="20"/>
                <w:szCs w:val="20"/>
                <w:lang w:val="fr-FR" w:eastAsia="fr-FR"/>
              </w:rPr>
            </w:pPr>
            <w:r>
              <w:rPr>
                <w:rFonts w:cs="Arial"/>
                <w:b/>
                <w:bCs/>
                <w:snapToGrid/>
                <w:color w:val="000000"/>
                <w:sz w:val="20"/>
                <w:szCs w:val="20"/>
                <w:lang w:val="fr-FR" w:eastAsia="fr-FR"/>
              </w:rPr>
              <w:t>12 776 </w:t>
            </w:r>
            <w:r w:rsidR="00441BA4" w:rsidRPr="00C60141">
              <w:rPr>
                <w:rFonts w:cs="Arial"/>
                <w:b/>
                <w:bCs/>
                <w:snapToGrid/>
                <w:color w:val="000000"/>
                <w:sz w:val="20"/>
                <w:szCs w:val="20"/>
                <w:lang w:val="fr-FR" w:eastAsia="fr-FR"/>
              </w:rPr>
              <w:t>400</w:t>
            </w:r>
          </w:p>
        </w:tc>
        <w:tc>
          <w:tcPr>
            <w:tcW w:w="1389" w:type="dxa"/>
            <w:tcBorders>
              <w:top w:val="nil"/>
              <w:left w:val="nil"/>
              <w:bottom w:val="single" w:sz="8"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snapToGrid/>
                <w:color w:val="000000"/>
                <w:sz w:val="20"/>
                <w:szCs w:val="20"/>
                <w:lang w:val="fr-FR" w:eastAsia="fr-FR"/>
              </w:rPr>
            </w:pPr>
            <w:r>
              <w:rPr>
                <w:rFonts w:cs="Arial"/>
                <w:snapToGrid/>
                <w:color w:val="000000"/>
                <w:sz w:val="20"/>
                <w:szCs w:val="20"/>
                <w:lang w:val="fr-FR" w:eastAsia="fr-FR"/>
              </w:rPr>
              <w:t>13 160 </w:t>
            </w:r>
            <w:r w:rsidR="00441BA4" w:rsidRPr="00C60141">
              <w:rPr>
                <w:rFonts w:cs="Arial"/>
                <w:snapToGrid/>
                <w:color w:val="000000"/>
                <w:sz w:val="20"/>
                <w:szCs w:val="20"/>
                <w:lang w:val="fr-FR" w:eastAsia="fr-FR"/>
              </w:rPr>
              <w:t>200</w:t>
            </w:r>
          </w:p>
        </w:tc>
        <w:tc>
          <w:tcPr>
            <w:tcW w:w="1707" w:type="dxa"/>
            <w:tcBorders>
              <w:top w:val="nil"/>
              <w:left w:val="nil"/>
              <w:bottom w:val="single" w:sz="8"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b/>
                <w:bCs/>
                <w:snapToGrid/>
                <w:color w:val="000000"/>
                <w:sz w:val="20"/>
                <w:szCs w:val="20"/>
                <w:lang w:val="fr-FR" w:eastAsia="fr-FR"/>
              </w:rPr>
            </w:pPr>
            <w:r>
              <w:rPr>
                <w:rFonts w:cs="Arial"/>
                <w:b/>
                <w:bCs/>
                <w:snapToGrid/>
                <w:color w:val="000000"/>
                <w:sz w:val="20"/>
                <w:szCs w:val="20"/>
                <w:lang w:val="fr-FR" w:eastAsia="fr-FR"/>
              </w:rPr>
              <w:t>13 160 </w:t>
            </w:r>
            <w:r w:rsidR="00441BA4" w:rsidRPr="00C60141">
              <w:rPr>
                <w:rFonts w:cs="Arial"/>
                <w:b/>
                <w:bCs/>
                <w:snapToGrid/>
                <w:color w:val="000000"/>
                <w:sz w:val="20"/>
                <w:szCs w:val="20"/>
                <w:lang w:val="fr-FR" w:eastAsia="fr-FR"/>
              </w:rPr>
              <w:t>200</w:t>
            </w:r>
          </w:p>
        </w:tc>
        <w:tc>
          <w:tcPr>
            <w:tcW w:w="1723" w:type="dxa"/>
            <w:tcBorders>
              <w:top w:val="nil"/>
              <w:left w:val="nil"/>
              <w:bottom w:val="single" w:sz="8"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snapToGrid/>
                <w:color w:val="000000"/>
                <w:sz w:val="20"/>
                <w:szCs w:val="20"/>
                <w:lang w:val="fr-FR" w:eastAsia="fr-FR"/>
              </w:rPr>
            </w:pPr>
            <w:r>
              <w:rPr>
                <w:rFonts w:cs="Arial"/>
                <w:snapToGrid/>
                <w:color w:val="000000"/>
                <w:sz w:val="20"/>
                <w:szCs w:val="20"/>
                <w:lang w:val="fr-FR" w:eastAsia="fr-FR"/>
              </w:rPr>
              <w:t>13 160 </w:t>
            </w:r>
            <w:r w:rsidR="00441BA4" w:rsidRPr="00C60141">
              <w:rPr>
                <w:rFonts w:cs="Arial"/>
                <w:snapToGrid/>
                <w:color w:val="000000"/>
                <w:sz w:val="20"/>
                <w:szCs w:val="20"/>
                <w:lang w:val="fr-FR" w:eastAsia="fr-FR"/>
              </w:rPr>
              <w:t>200</w:t>
            </w:r>
          </w:p>
        </w:tc>
      </w:tr>
      <w:tr w:rsidR="00441BA4" w:rsidRPr="00441BA4" w:rsidTr="00441BA4">
        <w:trPr>
          <w:trHeight w:val="379"/>
          <w:jc w:val="center"/>
        </w:trPr>
        <w:tc>
          <w:tcPr>
            <w:tcW w:w="3029" w:type="dxa"/>
            <w:tcBorders>
              <w:top w:val="nil"/>
              <w:left w:val="single" w:sz="4" w:space="0" w:color="auto"/>
              <w:bottom w:val="single" w:sz="8" w:space="0" w:color="auto"/>
              <w:right w:val="single" w:sz="4" w:space="0" w:color="auto"/>
            </w:tcBorders>
            <w:shd w:val="clear" w:color="auto" w:fill="auto"/>
            <w:noWrap/>
            <w:vAlign w:val="bottom"/>
            <w:hideMark/>
          </w:tcPr>
          <w:p w:rsidR="00441BA4" w:rsidRPr="00C60141" w:rsidRDefault="00441BA4" w:rsidP="000D1B28">
            <w:pPr>
              <w:tabs>
                <w:tab w:val="clear" w:pos="567"/>
              </w:tabs>
              <w:snapToGrid/>
              <w:rPr>
                <w:rFonts w:cs="Arial"/>
                <w:snapToGrid/>
                <w:color w:val="000000"/>
                <w:sz w:val="20"/>
                <w:szCs w:val="20"/>
                <w:lang w:val="fr-FR" w:eastAsia="fr-FR"/>
              </w:rPr>
            </w:pPr>
            <w:r w:rsidRPr="00C60141">
              <w:rPr>
                <w:rFonts w:cs="Arial"/>
                <w:snapToGrid/>
                <w:color w:val="000000"/>
                <w:sz w:val="20"/>
                <w:szCs w:val="20"/>
                <w:lang w:val="fr-FR" w:eastAsia="fr-FR"/>
              </w:rPr>
              <w:t>Total</w:t>
            </w:r>
          </w:p>
        </w:tc>
        <w:tc>
          <w:tcPr>
            <w:tcW w:w="1361" w:type="dxa"/>
            <w:tcBorders>
              <w:top w:val="nil"/>
              <w:left w:val="nil"/>
              <w:bottom w:val="single" w:sz="8" w:space="0" w:color="auto"/>
              <w:right w:val="single" w:sz="4" w:space="0" w:color="auto"/>
            </w:tcBorders>
            <w:shd w:val="clear" w:color="auto" w:fill="auto"/>
            <w:noWrap/>
            <w:vAlign w:val="bottom"/>
            <w:hideMark/>
          </w:tcPr>
          <w:p w:rsidR="00441BA4" w:rsidRPr="00C60141" w:rsidRDefault="00C60141" w:rsidP="000D1B28">
            <w:pPr>
              <w:tabs>
                <w:tab w:val="clear" w:pos="567"/>
              </w:tabs>
              <w:snapToGrid/>
              <w:jc w:val="right"/>
              <w:rPr>
                <w:rFonts w:cs="Arial"/>
                <w:b/>
                <w:bCs/>
                <w:snapToGrid/>
                <w:color w:val="000000"/>
                <w:sz w:val="20"/>
                <w:szCs w:val="20"/>
                <w:lang w:val="fr-FR" w:eastAsia="fr-FR"/>
              </w:rPr>
            </w:pPr>
            <w:r>
              <w:rPr>
                <w:rFonts w:cs="Arial"/>
                <w:b/>
                <w:bCs/>
                <w:snapToGrid/>
                <w:color w:val="000000"/>
                <w:sz w:val="20"/>
                <w:szCs w:val="20"/>
                <w:lang w:val="fr-FR" w:eastAsia="fr-FR"/>
              </w:rPr>
              <w:t>28 257 </w:t>
            </w:r>
            <w:r w:rsidR="00441BA4" w:rsidRPr="00C60141">
              <w:rPr>
                <w:rFonts w:cs="Arial"/>
                <w:b/>
                <w:bCs/>
                <w:snapToGrid/>
                <w:color w:val="000000"/>
                <w:sz w:val="20"/>
                <w:szCs w:val="20"/>
                <w:lang w:val="fr-FR" w:eastAsia="fr-FR"/>
              </w:rPr>
              <w:t>700</w:t>
            </w:r>
          </w:p>
        </w:tc>
        <w:tc>
          <w:tcPr>
            <w:tcW w:w="1389" w:type="dxa"/>
            <w:tcBorders>
              <w:top w:val="nil"/>
              <w:left w:val="nil"/>
              <w:bottom w:val="single" w:sz="8"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snapToGrid/>
                <w:color w:val="000000"/>
                <w:sz w:val="20"/>
                <w:szCs w:val="20"/>
                <w:lang w:val="fr-FR" w:eastAsia="fr-FR"/>
              </w:rPr>
            </w:pPr>
            <w:r>
              <w:rPr>
                <w:rFonts w:cs="Arial"/>
                <w:snapToGrid/>
                <w:color w:val="000000"/>
                <w:sz w:val="20"/>
                <w:szCs w:val="20"/>
                <w:lang w:val="fr-FR" w:eastAsia="fr-FR"/>
              </w:rPr>
              <w:t>26 036 </w:t>
            </w:r>
            <w:r w:rsidR="00441BA4" w:rsidRPr="00C60141">
              <w:rPr>
                <w:rFonts w:cs="Arial"/>
                <w:snapToGrid/>
                <w:color w:val="000000"/>
                <w:sz w:val="20"/>
                <w:szCs w:val="20"/>
                <w:lang w:val="fr-FR" w:eastAsia="fr-FR"/>
              </w:rPr>
              <w:t>300</w:t>
            </w:r>
          </w:p>
        </w:tc>
        <w:tc>
          <w:tcPr>
            <w:tcW w:w="1707" w:type="dxa"/>
            <w:tcBorders>
              <w:top w:val="nil"/>
              <w:left w:val="nil"/>
              <w:bottom w:val="single" w:sz="8"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b/>
                <w:bCs/>
                <w:snapToGrid/>
                <w:color w:val="000000"/>
                <w:sz w:val="20"/>
                <w:szCs w:val="20"/>
                <w:lang w:val="fr-FR" w:eastAsia="fr-FR"/>
              </w:rPr>
            </w:pPr>
            <w:r>
              <w:rPr>
                <w:rFonts w:cs="Arial"/>
                <w:b/>
                <w:bCs/>
                <w:snapToGrid/>
                <w:color w:val="000000"/>
                <w:sz w:val="20"/>
                <w:szCs w:val="20"/>
                <w:lang w:val="fr-FR" w:eastAsia="fr-FR"/>
              </w:rPr>
              <w:t>26 536 </w:t>
            </w:r>
            <w:r w:rsidR="00441BA4" w:rsidRPr="00C60141">
              <w:rPr>
                <w:rFonts w:cs="Arial"/>
                <w:b/>
                <w:bCs/>
                <w:snapToGrid/>
                <w:color w:val="000000"/>
                <w:sz w:val="20"/>
                <w:szCs w:val="20"/>
                <w:lang w:val="fr-FR" w:eastAsia="fr-FR"/>
              </w:rPr>
              <w:t>300</w:t>
            </w:r>
          </w:p>
        </w:tc>
        <w:tc>
          <w:tcPr>
            <w:tcW w:w="1723" w:type="dxa"/>
            <w:tcBorders>
              <w:top w:val="nil"/>
              <w:left w:val="nil"/>
              <w:bottom w:val="single" w:sz="8" w:space="0" w:color="auto"/>
              <w:right w:val="single" w:sz="4" w:space="0" w:color="auto"/>
            </w:tcBorders>
            <w:shd w:val="clear" w:color="000000" w:fill="DDEBF7"/>
            <w:noWrap/>
            <w:vAlign w:val="bottom"/>
            <w:hideMark/>
          </w:tcPr>
          <w:p w:rsidR="00441BA4" w:rsidRPr="00C60141" w:rsidRDefault="00C60141" w:rsidP="000D1B28">
            <w:pPr>
              <w:tabs>
                <w:tab w:val="clear" w:pos="567"/>
              </w:tabs>
              <w:snapToGrid/>
              <w:jc w:val="right"/>
              <w:rPr>
                <w:rFonts w:cs="Arial"/>
                <w:snapToGrid/>
                <w:color w:val="000000"/>
                <w:sz w:val="20"/>
                <w:szCs w:val="20"/>
                <w:lang w:val="fr-FR" w:eastAsia="fr-FR"/>
              </w:rPr>
            </w:pPr>
            <w:r>
              <w:rPr>
                <w:rFonts w:cs="Arial"/>
                <w:snapToGrid/>
                <w:color w:val="000000"/>
                <w:sz w:val="20"/>
                <w:szCs w:val="20"/>
                <w:lang w:val="fr-FR" w:eastAsia="fr-FR"/>
              </w:rPr>
              <w:t>26 835 </w:t>
            </w:r>
            <w:r w:rsidR="00441BA4" w:rsidRPr="00C60141">
              <w:rPr>
                <w:rFonts w:cs="Arial"/>
                <w:snapToGrid/>
                <w:color w:val="000000"/>
                <w:sz w:val="20"/>
                <w:szCs w:val="20"/>
                <w:lang w:val="fr-FR" w:eastAsia="fr-FR"/>
              </w:rPr>
              <w:t>700</w:t>
            </w:r>
          </w:p>
        </w:tc>
      </w:tr>
    </w:tbl>
    <w:p w:rsidR="00441BA4" w:rsidRDefault="00441BA4" w:rsidP="006F3204">
      <w:pPr>
        <w:pStyle w:val="Header"/>
      </w:pPr>
    </w:p>
    <w:p w:rsidR="00441BA4" w:rsidRPr="00D57CE8" w:rsidRDefault="00C60141" w:rsidP="00D57CE8">
      <w:pPr>
        <w:pStyle w:val="Header"/>
        <w:spacing w:after="240"/>
        <w:jc w:val="center"/>
      </w:pPr>
      <w:r>
        <w:rPr>
          <w:noProof/>
          <w:snapToGrid/>
          <w:lang w:val="en-US"/>
        </w:rPr>
        <w:drawing>
          <wp:inline distT="0" distB="0" distL="0" distR="0" wp14:anchorId="120BE376" wp14:editId="674E2DE4">
            <wp:extent cx="5603444" cy="2699308"/>
            <wp:effectExtent l="0" t="0" r="16510" b="63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1BA4" w:rsidRDefault="004F1B4B" w:rsidP="004F1B4B">
      <w:pPr>
        <w:pStyle w:val="Marge"/>
      </w:pPr>
      <w:r>
        <w:lastRenderedPageBreak/>
        <w:t>14.</w:t>
      </w:r>
      <w:r>
        <w:tab/>
      </w:r>
      <w:r w:rsidR="00AD1FC0" w:rsidRPr="00AD1FC0">
        <w:t>Des contributions volontaires</w:t>
      </w:r>
      <w:r w:rsidR="00AD1FC0">
        <w:t xml:space="preserve"> permettant de combler l’écart de financement peuvent être </w:t>
      </w:r>
      <w:r w:rsidR="00313C03">
        <w:t>versées</w:t>
      </w:r>
      <w:r w:rsidR="00AD1FC0">
        <w:t xml:space="preserve"> selon trois modalités principales : crédits ouverts au titre du budget ordinaire, contributions au Compte spécial de la COI et accords de fonds-en-dépôt. </w:t>
      </w:r>
      <w:r w:rsidR="00AD1FC0" w:rsidRPr="00AD1FC0">
        <w:t>Le choix de la modalité est négocié avec chaque donateur, en fonction de la nature et du montant de la contribution, ainsi que des exigences en matière de rapports.</w:t>
      </w:r>
    </w:p>
    <w:p w:rsidR="00C60141" w:rsidRDefault="004F1B4B" w:rsidP="00F76A1D">
      <w:pPr>
        <w:pStyle w:val="Marge"/>
        <w:spacing w:after="360"/>
      </w:pPr>
      <w:r>
        <w:t>15.</w:t>
      </w:r>
      <w:r>
        <w:tab/>
      </w:r>
      <w:r w:rsidR="00AD1FC0">
        <w:t xml:space="preserve">Conformément au Règlement financier applicable au Compte spécial de la COI, </w:t>
      </w:r>
      <w:r w:rsidR="00AD1FC0" w:rsidRPr="00AD1FC0">
        <w:t>l</w:t>
      </w:r>
      <w:r w:rsidR="006D2149">
        <w:t>es crédits budgétaires pour 2020-2021</w:t>
      </w:r>
      <w:r w:rsidR="00AD1FC0" w:rsidRPr="00AD1FC0">
        <w:t xml:space="preserve"> sont proposés à l’Assemblée pour examen en appendice au présent document.</w:t>
      </w:r>
    </w:p>
    <w:tbl>
      <w:tblPr>
        <w:tblW w:w="5000" w:type="pct"/>
        <w:tblCellMar>
          <w:left w:w="70" w:type="dxa"/>
          <w:right w:w="70" w:type="dxa"/>
        </w:tblCellMar>
        <w:tblLook w:val="04A0" w:firstRow="1" w:lastRow="0" w:firstColumn="1" w:lastColumn="0" w:noHBand="0" w:noVBand="1"/>
      </w:tblPr>
      <w:tblGrid>
        <w:gridCol w:w="3449"/>
        <w:gridCol w:w="939"/>
        <w:gridCol w:w="860"/>
        <w:gridCol w:w="1020"/>
        <w:gridCol w:w="860"/>
        <w:gridCol w:w="780"/>
        <w:gridCol w:w="860"/>
        <w:gridCol w:w="860"/>
      </w:tblGrid>
      <w:tr w:rsidR="000D1B28" w:rsidRPr="001F0928" w:rsidTr="00A311D2">
        <w:trPr>
          <w:trHeight w:val="240"/>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B28" w:rsidRPr="00226E45" w:rsidRDefault="00B243E9" w:rsidP="00B243E9">
            <w:pPr>
              <w:tabs>
                <w:tab w:val="clear" w:pos="567"/>
              </w:tabs>
              <w:snapToGrid/>
              <w:jc w:val="center"/>
              <w:rPr>
                <w:rFonts w:cs="Arial"/>
                <w:b/>
                <w:bCs/>
                <w:snapToGrid/>
                <w:sz w:val="16"/>
                <w:szCs w:val="16"/>
                <w:lang w:val="fr-FR" w:eastAsia="fr-FR"/>
              </w:rPr>
            </w:pPr>
            <w:r>
              <w:rPr>
                <w:rFonts w:cs="Arial"/>
                <w:b/>
                <w:bCs/>
                <w:snapToGrid/>
                <w:sz w:val="16"/>
                <w:szCs w:val="16"/>
                <w:lang w:val="fr-FR" w:eastAsia="fr-FR"/>
              </w:rPr>
              <w:t xml:space="preserve">Projet de structure de plan de travail et proposition d’allocations pour </w:t>
            </w:r>
            <w:r w:rsidR="00D57CE8">
              <w:rPr>
                <w:rFonts w:cs="Arial"/>
                <w:b/>
                <w:bCs/>
                <w:snapToGrid/>
                <w:sz w:val="16"/>
                <w:szCs w:val="16"/>
                <w:lang w:val="fr-FR" w:eastAsia="fr-FR"/>
              </w:rPr>
              <w:t>2020-</w:t>
            </w:r>
            <w:r w:rsidR="000D1B28" w:rsidRPr="00226E45">
              <w:rPr>
                <w:rFonts w:cs="Arial"/>
                <w:b/>
                <w:bCs/>
                <w:snapToGrid/>
                <w:sz w:val="16"/>
                <w:szCs w:val="16"/>
                <w:lang w:val="fr-FR" w:eastAsia="fr-FR"/>
              </w:rPr>
              <w:t>2021 (</w:t>
            </w:r>
            <w:r>
              <w:rPr>
                <w:rFonts w:cs="Arial"/>
                <w:b/>
                <w:bCs/>
                <w:snapToGrid/>
                <w:sz w:val="16"/>
                <w:szCs w:val="16"/>
                <w:lang w:val="fr-FR" w:eastAsia="fr-FR"/>
              </w:rPr>
              <w:t>Projet de</w:t>
            </w:r>
            <w:r w:rsidR="00D57CE8">
              <w:rPr>
                <w:rFonts w:cs="Arial"/>
                <w:b/>
                <w:bCs/>
                <w:snapToGrid/>
                <w:sz w:val="16"/>
                <w:szCs w:val="16"/>
                <w:lang w:val="fr-FR" w:eastAsia="fr-FR"/>
              </w:rPr>
              <w:t xml:space="preserve"> 40 </w:t>
            </w:r>
            <w:r w:rsidR="000D1B28" w:rsidRPr="00226E45">
              <w:rPr>
                <w:rFonts w:cs="Arial"/>
                <w:b/>
                <w:bCs/>
                <w:snapToGrid/>
                <w:sz w:val="16"/>
                <w:szCs w:val="16"/>
                <w:lang w:val="fr-FR" w:eastAsia="fr-FR"/>
              </w:rPr>
              <w:t>C/5)</w:t>
            </w:r>
          </w:p>
        </w:tc>
      </w:tr>
      <w:tr w:rsidR="000D1B28" w:rsidRPr="00226E45" w:rsidTr="00A311D2">
        <w:trPr>
          <w:trHeight w:val="315"/>
          <w:tblHeader/>
        </w:trPr>
        <w:tc>
          <w:tcPr>
            <w:tcW w:w="1691" w:type="pct"/>
            <w:vMerge w:val="restart"/>
            <w:tcBorders>
              <w:top w:val="single" w:sz="4" w:space="0" w:color="auto"/>
              <w:left w:val="single" w:sz="8" w:space="0" w:color="auto"/>
              <w:bottom w:val="single" w:sz="4" w:space="0" w:color="auto"/>
              <w:right w:val="single" w:sz="8" w:space="0" w:color="auto"/>
            </w:tcBorders>
            <w:shd w:val="clear" w:color="000000" w:fill="F2F2F2"/>
            <w:vAlign w:val="center"/>
            <w:hideMark/>
          </w:tcPr>
          <w:p w:rsidR="000D1B28" w:rsidRPr="00226E45" w:rsidRDefault="00226E45" w:rsidP="000D1B28">
            <w:pPr>
              <w:tabs>
                <w:tab w:val="clear" w:pos="567"/>
              </w:tabs>
              <w:snapToGrid/>
              <w:jc w:val="center"/>
              <w:rPr>
                <w:rFonts w:cs="Arial"/>
                <w:b/>
                <w:bCs/>
                <w:snapToGrid/>
                <w:sz w:val="16"/>
                <w:szCs w:val="16"/>
                <w:lang w:val="fr-FR" w:eastAsia="fr-FR"/>
              </w:rPr>
            </w:pPr>
            <w:r w:rsidRPr="00226E45">
              <w:rPr>
                <w:rFonts w:cs="Arial"/>
                <w:b/>
                <w:bCs/>
                <w:snapToGrid/>
                <w:sz w:val="16"/>
                <w:szCs w:val="16"/>
                <w:lang w:val="fr-FR" w:eastAsia="fr-FR"/>
              </w:rPr>
              <w:t>Fonction/Activité de la COI</w:t>
            </w:r>
          </w:p>
        </w:tc>
        <w:tc>
          <w:tcPr>
            <w:tcW w:w="588" w:type="pct"/>
            <w:tcBorders>
              <w:top w:val="single" w:sz="4" w:space="0" w:color="auto"/>
              <w:left w:val="nil"/>
              <w:bottom w:val="single" w:sz="4" w:space="0" w:color="auto"/>
              <w:right w:val="single" w:sz="8" w:space="0" w:color="auto"/>
            </w:tcBorders>
            <w:shd w:val="clear" w:color="auto" w:fill="auto"/>
            <w:vAlign w:val="center"/>
            <w:hideMark/>
          </w:tcPr>
          <w:p w:rsidR="000D1B28" w:rsidRPr="00226E45" w:rsidRDefault="00D57CE8" w:rsidP="00B243E9">
            <w:pPr>
              <w:tabs>
                <w:tab w:val="clear" w:pos="567"/>
              </w:tabs>
              <w:snapToGrid/>
              <w:jc w:val="center"/>
              <w:rPr>
                <w:rFonts w:cs="Arial"/>
                <w:b/>
                <w:bCs/>
                <w:snapToGrid/>
                <w:sz w:val="16"/>
                <w:szCs w:val="16"/>
                <w:lang w:val="fr-FR" w:eastAsia="fr-FR"/>
              </w:rPr>
            </w:pPr>
            <w:r>
              <w:rPr>
                <w:rFonts w:cs="Arial"/>
                <w:b/>
                <w:bCs/>
                <w:snapToGrid/>
                <w:sz w:val="16"/>
                <w:szCs w:val="16"/>
                <w:lang w:val="fr-FR" w:eastAsia="fr-FR"/>
              </w:rPr>
              <w:t>39 </w:t>
            </w:r>
            <w:r w:rsidR="000D1B28" w:rsidRPr="00226E45">
              <w:rPr>
                <w:rFonts w:cs="Arial"/>
                <w:b/>
                <w:bCs/>
                <w:snapToGrid/>
                <w:sz w:val="16"/>
                <w:szCs w:val="16"/>
                <w:lang w:val="fr-FR" w:eastAsia="fr-FR"/>
              </w:rPr>
              <w:t xml:space="preserve">C/5 </w:t>
            </w:r>
            <w:r w:rsidR="00B243E9">
              <w:rPr>
                <w:rFonts w:cs="Arial"/>
                <w:b/>
                <w:bCs/>
                <w:snapToGrid/>
                <w:sz w:val="16"/>
                <w:szCs w:val="16"/>
                <w:lang w:val="fr-FR" w:eastAsia="fr-FR"/>
              </w:rPr>
              <w:t>Programme ordinaire</w:t>
            </w:r>
          </w:p>
        </w:tc>
        <w:tc>
          <w:tcPr>
            <w:tcW w:w="1423" w:type="pct"/>
            <w:gridSpan w:val="3"/>
            <w:tcBorders>
              <w:top w:val="single" w:sz="4" w:space="0" w:color="auto"/>
              <w:left w:val="single" w:sz="8" w:space="0" w:color="auto"/>
              <w:bottom w:val="single" w:sz="4" w:space="0" w:color="auto"/>
              <w:right w:val="single" w:sz="4" w:space="0" w:color="auto"/>
            </w:tcBorders>
            <w:shd w:val="clear" w:color="000000" w:fill="B7DEE8"/>
            <w:vAlign w:val="center"/>
            <w:hideMark/>
          </w:tcPr>
          <w:p w:rsidR="000D1B28" w:rsidRPr="00226E45" w:rsidRDefault="00D57CE8" w:rsidP="00884BF5">
            <w:pPr>
              <w:tabs>
                <w:tab w:val="clear" w:pos="567"/>
              </w:tabs>
              <w:snapToGrid/>
              <w:jc w:val="center"/>
              <w:rPr>
                <w:rFonts w:cs="Arial"/>
                <w:b/>
                <w:bCs/>
                <w:snapToGrid/>
                <w:sz w:val="16"/>
                <w:szCs w:val="16"/>
                <w:lang w:val="fr-FR" w:eastAsia="fr-FR"/>
              </w:rPr>
            </w:pPr>
            <w:r>
              <w:rPr>
                <w:rFonts w:cs="Arial"/>
                <w:b/>
                <w:bCs/>
                <w:snapToGrid/>
                <w:sz w:val="16"/>
                <w:szCs w:val="16"/>
                <w:lang w:val="fr-FR" w:eastAsia="fr-FR"/>
              </w:rPr>
              <w:t>40 </w:t>
            </w:r>
            <w:r w:rsidR="000D1B28" w:rsidRPr="00226E45">
              <w:rPr>
                <w:rFonts w:cs="Arial"/>
                <w:b/>
                <w:bCs/>
                <w:snapToGrid/>
                <w:sz w:val="16"/>
                <w:szCs w:val="16"/>
                <w:lang w:val="fr-FR" w:eastAsia="fr-FR"/>
              </w:rPr>
              <w:t xml:space="preserve">C/5 </w:t>
            </w:r>
            <w:r w:rsidR="00884BF5">
              <w:rPr>
                <w:rFonts w:cs="Arial"/>
                <w:b/>
                <w:bCs/>
                <w:snapToGrid/>
                <w:sz w:val="16"/>
                <w:szCs w:val="16"/>
                <w:lang w:val="fr-FR" w:eastAsia="fr-FR"/>
              </w:rPr>
              <w:t>Programme ordinaire</w:t>
            </w:r>
          </w:p>
        </w:tc>
        <w:tc>
          <w:tcPr>
            <w:tcW w:w="1298" w:type="pct"/>
            <w:gridSpan w:val="3"/>
            <w:tcBorders>
              <w:top w:val="single" w:sz="4" w:space="0" w:color="auto"/>
              <w:left w:val="nil"/>
              <w:bottom w:val="nil"/>
              <w:right w:val="single" w:sz="8" w:space="0" w:color="000000"/>
            </w:tcBorders>
            <w:shd w:val="clear" w:color="000000" w:fill="B7DEE8"/>
            <w:vAlign w:val="center"/>
            <w:hideMark/>
          </w:tcPr>
          <w:p w:rsidR="000D1B28" w:rsidRPr="00226E45" w:rsidRDefault="00D57CE8" w:rsidP="00884BF5">
            <w:pPr>
              <w:tabs>
                <w:tab w:val="clear" w:pos="567"/>
              </w:tabs>
              <w:snapToGrid/>
              <w:jc w:val="center"/>
              <w:rPr>
                <w:rFonts w:cs="Arial"/>
                <w:b/>
                <w:bCs/>
                <w:snapToGrid/>
                <w:sz w:val="16"/>
                <w:szCs w:val="16"/>
                <w:lang w:val="fr-FR" w:eastAsia="fr-FR"/>
              </w:rPr>
            </w:pPr>
            <w:r>
              <w:rPr>
                <w:rFonts w:cs="Arial"/>
                <w:b/>
                <w:bCs/>
                <w:snapToGrid/>
                <w:sz w:val="16"/>
                <w:szCs w:val="16"/>
                <w:lang w:val="fr-FR" w:eastAsia="fr-FR"/>
              </w:rPr>
              <w:t>40 </w:t>
            </w:r>
            <w:r w:rsidR="000D1B28" w:rsidRPr="00226E45">
              <w:rPr>
                <w:rFonts w:cs="Arial"/>
                <w:b/>
                <w:bCs/>
                <w:snapToGrid/>
                <w:sz w:val="16"/>
                <w:szCs w:val="16"/>
                <w:lang w:val="fr-FR" w:eastAsia="fr-FR"/>
              </w:rPr>
              <w:t xml:space="preserve">C/5 </w:t>
            </w:r>
            <w:r w:rsidR="00884BF5">
              <w:rPr>
                <w:rFonts w:cs="Arial"/>
                <w:b/>
                <w:bCs/>
                <w:snapToGrid/>
                <w:sz w:val="16"/>
                <w:szCs w:val="16"/>
                <w:lang w:val="fr-FR" w:eastAsia="fr-FR"/>
              </w:rPr>
              <w:t>extrabudgétaire</w:t>
            </w:r>
          </w:p>
        </w:tc>
      </w:tr>
      <w:tr w:rsidR="000D1B28" w:rsidRPr="00226E45" w:rsidTr="00A311D2">
        <w:trPr>
          <w:trHeight w:val="270"/>
          <w:tblHeader/>
        </w:trPr>
        <w:tc>
          <w:tcPr>
            <w:tcW w:w="1691" w:type="pct"/>
            <w:vMerge/>
            <w:tcBorders>
              <w:top w:val="nil"/>
              <w:left w:val="single" w:sz="8" w:space="0" w:color="auto"/>
              <w:bottom w:val="single" w:sz="4" w:space="0" w:color="auto"/>
              <w:right w:val="single" w:sz="8" w:space="0" w:color="auto"/>
            </w:tcBorders>
            <w:vAlign w:val="center"/>
            <w:hideMark/>
          </w:tcPr>
          <w:p w:rsidR="000D1B28" w:rsidRPr="00226E45" w:rsidRDefault="000D1B28" w:rsidP="000D1B28">
            <w:pPr>
              <w:tabs>
                <w:tab w:val="clear" w:pos="567"/>
              </w:tabs>
              <w:snapToGrid/>
              <w:rPr>
                <w:rFonts w:cs="Arial"/>
                <w:b/>
                <w:bCs/>
                <w:snapToGrid/>
                <w:sz w:val="16"/>
                <w:szCs w:val="16"/>
                <w:lang w:val="fr-FR" w:eastAsia="fr-FR"/>
              </w:rPr>
            </w:pPr>
          </w:p>
        </w:tc>
        <w:tc>
          <w:tcPr>
            <w:tcW w:w="588" w:type="pct"/>
            <w:tcBorders>
              <w:top w:val="nil"/>
              <w:left w:val="nil"/>
              <w:bottom w:val="single" w:sz="4" w:space="0" w:color="auto"/>
              <w:right w:val="single" w:sz="8" w:space="0" w:color="auto"/>
            </w:tcBorders>
            <w:shd w:val="clear" w:color="auto" w:fill="auto"/>
            <w:vAlign w:val="center"/>
            <w:hideMark/>
          </w:tcPr>
          <w:p w:rsidR="000D1B28" w:rsidRPr="00226E45" w:rsidRDefault="007011F5" w:rsidP="000D1B28">
            <w:pPr>
              <w:tabs>
                <w:tab w:val="clear" w:pos="567"/>
              </w:tabs>
              <w:snapToGrid/>
              <w:jc w:val="center"/>
              <w:rPr>
                <w:rFonts w:cs="Arial"/>
                <w:b/>
                <w:bCs/>
                <w:snapToGrid/>
                <w:sz w:val="16"/>
                <w:szCs w:val="16"/>
                <w:lang w:val="fr-FR" w:eastAsia="fr-FR"/>
              </w:rPr>
            </w:pPr>
            <w:r>
              <w:rPr>
                <w:rFonts w:cs="Arial"/>
                <w:b/>
                <w:bCs/>
                <w:snapToGrid/>
                <w:sz w:val="16"/>
                <w:szCs w:val="16"/>
                <w:lang w:val="fr-FR" w:eastAsia="fr-FR"/>
              </w:rPr>
              <w:t>518</w:t>
            </w:r>
            <w:r w:rsidR="00884BF5">
              <w:rPr>
                <w:rFonts w:cs="Arial"/>
                <w:b/>
                <w:bCs/>
                <w:snapToGrid/>
                <w:sz w:val="16"/>
                <w:szCs w:val="16"/>
                <w:lang w:val="fr-FR" w:eastAsia="fr-FR"/>
              </w:rPr>
              <w:t> M$</w:t>
            </w:r>
          </w:p>
        </w:tc>
        <w:tc>
          <w:tcPr>
            <w:tcW w:w="447" w:type="pct"/>
            <w:tcBorders>
              <w:top w:val="nil"/>
              <w:left w:val="single" w:sz="8" w:space="0" w:color="auto"/>
              <w:bottom w:val="single" w:sz="4" w:space="0" w:color="auto"/>
              <w:right w:val="single" w:sz="4" w:space="0" w:color="auto"/>
            </w:tcBorders>
            <w:shd w:val="clear" w:color="000000" w:fill="B7DEE8"/>
            <w:noWrap/>
            <w:vAlign w:val="center"/>
            <w:hideMark/>
          </w:tcPr>
          <w:p w:rsidR="000D1B28" w:rsidRPr="00226E45" w:rsidRDefault="007011F5" w:rsidP="000D1B28">
            <w:pPr>
              <w:tabs>
                <w:tab w:val="clear" w:pos="567"/>
              </w:tabs>
              <w:snapToGrid/>
              <w:jc w:val="center"/>
              <w:rPr>
                <w:rFonts w:cs="Arial"/>
                <w:b/>
                <w:bCs/>
                <w:snapToGrid/>
                <w:sz w:val="16"/>
                <w:szCs w:val="16"/>
                <w:lang w:val="fr-FR" w:eastAsia="fr-FR"/>
              </w:rPr>
            </w:pPr>
            <w:r>
              <w:rPr>
                <w:rFonts w:cs="Arial"/>
                <w:b/>
                <w:bCs/>
                <w:snapToGrid/>
                <w:sz w:val="16"/>
                <w:szCs w:val="16"/>
                <w:lang w:val="fr-FR" w:eastAsia="fr-FR"/>
              </w:rPr>
              <w:t>507</w:t>
            </w:r>
            <w:r w:rsidR="00884BF5">
              <w:rPr>
                <w:rFonts w:cs="Arial"/>
                <w:b/>
                <w:bCs/>
                <w:snapToGrid/>
                <w:sz w:val="16"/>
                <w:szCs w:val="16"/>
                <w:lang w:val="fr-FR" w:eastAsia="fr-FR"/>
              </w:rPr>
              <w:t xml:space="preserve"> M$</w:t>
            </w:r>
          </w:p>
        </w:tc>
        <w:tc>
          <w:tcPr>
            <w:tcW w:w="530" w:type="pct"/>
            <w:tcBorders>
              <w:top w:val="nil"/>
              <w:left w:val="nil"/>
              <w:bottom w:val="single" w:sz="4" w:space="0" w:color="auto"/>
              <w:right w:val="single" w:sz="4" w:space="0" w:color="auto"/>
            </w:tcBorders>
            <w:shd w:val="clear" w:color="000000" w:fill="B7DEE8"/>
            <w:vAlign w:val="center"/>
            <w:hideMark/>
          </w:tcPr>
          <w:p w:rsidR="000D1B28" w:rsidRPr="00226E45" w:rsidRDefault="007011F5" w:rsidP="000D1B28">
            <w:pPr>
              <w:tabs>
                <w:tab w:val="clear" w:pos="567"/>
              </w:tabs>
              <w:snapToGrid/>
              <w:jc w:val="center"/>
              <w:rPr>
                <w:rFonts w:cs="Arial"/>
                <w:b/>
                <w:bCs/>
                <w:snapToGrid/>
                <w:sz w:val="16"/>
                <w:szCs w:val="16"/>
                <w:lang w:val="fr-FR" w:eastAsia="fr-FR"/>
              </w:rPr>
            </w:pPr>
            <w:r>
              <w:rPr>
                <w:rFonts w:cs="Arial"/>
                <w:b/>
                <w:bCs/>
                <w:snapToGrid/>
                <w:sz w:val="16"/>
                <w:szCs w:val="16"/>
                <w:lang w:val="fr-FR" w:eastAsia="fr-FR"/>
              </w:rPr>
              <w:t>518/523,6</w:t>
            </w:r>
            <w:r w:rsidR="00884BF5">
              <w:rPr>
                <w:rFonts w:cs="Arial"/>
                <w:b/>
                <w:bCs/>
                <w:snapToGrid/>
                <w:sz w:val="16"/>
                <w:szCs w:val="16"/>
                <w:lang w:val="fr-FR" w:eastAsia="fr-FR"/>
              </w:rPr>
              <w:t> M$</w:t>
            </w:r>
          </w:p>
        </w:tc>
        <w:tc>
          <w:tcPr>
            <w:tcW w:w="447" w:type="pct"/>
            <w:tcBorders>
              <w:top w:val="nil"/>
              <w:left w:val="nil"/>
              <w:bottom w:val="single" w:sz="4" w:space="0" w:color="auto"/>
              <w:right w:val="single" w:sz="4" w:space="0" w:color="auto"/>
            </w:tcBorders>
            <w:shd w:val="clear" w:color="000000" w:fill="B7DEE8"/>
            <w:vAlign w:val="center"/>
            <w:hideMark/>
          </w:tcPr>
          <w:p w:rsidR="000D1B28" w:rsidRPr="00226E45" w:rsidRDefault="000D1B28" w:rsidP="000D1B28">
            <w:pPr>
              <w:tabs>
                <w:tab w:val="clear" w:pos="567"/>
              </w:tabs>
              <w:snapToGrid/>
              <w:jc w:val="center"/>
              <w:rPr>
                <w:rFonts w:cs="Arial"/>
                <w:b/>
                <w:bCs/>
                <w:snapToGrid/>
                <w:sz w:val="16"/>
                <w:szCs w:val="16"/>
                <w:lang w:val="fr-FR" w:eastAsia="fr-FR"/>
              </w:rPr>
            </w:pPr>
            <w:r w:rsidRPr="00226E45">
              <w:rPr>
                <w:rFonts w:cs="Arial"/>
                <w:b/>
                <w:bCs/>
                <w:snapToGrid/>
                <w:sz w:val="16"/>
                <w:szCs w:val="16"/>
                <w:lang w:val="fr-FR" w:eastAsia="fr-FR"/>
              </w:rPr>
              <w:t>534</w:t>
            </w:r>
            <w:r w:rsidR="007011F5">
              <w:rPr>
                <w:rFonts w:cs="Arial"/>
                <w:b/>
                <w:bCs/>
                <w:snapToGrid/>
                <w:sz w:val="16"/>
                <w:szCs w:val="16"/>
                <w:lang w:val="fr-FR" w:eastAsia="fr-FR"/>
              </w:rPr>
              <w:t>,6</w:t>
            </w:r>
            <w:r w:rsidR="00884BF5">
              <w:rPr>
                <w:rFonts w:cs="Arial"/>
                <w:b/>
                <w:bCs/>
                <w:snapToGrid/>
                <w:sz w:val="16"/>
                <w:szCs w:val="16"/>
                <w:lang w:val="fr-FR" w:eastAsia="fr-FR"/>
              </w:rPr>
              <w:t xml:space="preserve"> M$</w:t>
            </w:r>
          </w:p>
        </w:tc>
        <w:tc>
          <w:tcPr>
            <w:tcW w:w="405" w:type="pct"/>
            <w:tcBorders>
              <w:top w:val="single" w:sz="4" w:space="0" w:color="auto"/>
              <w:left w:val="nil"/>
              <w:bottom w:val="single" w:sz="4" w:space="0" w:color="auto"/>
              <w:right w:val="single" w:sz="4" w:space="0" w:color="auto"/>
            </w:tcBorders>
            <w:shd w:val="clear" w:color="000000" w:fill="B7DEE8"/>
            <w:vAlign w:val="center"/>
            <w:hideMark/>
          </w:tcPr>
          <w:p w:rsidR="000D1B28" w:rsidRPr="00226E45" w:rsidRDefault="007011F5" w:rsidP="000D1B28">
            <w:pPr>
              <w:tabs>
                <w:tab w:val="clear" w:pos="567"/>
              </w:tabs>
              <w:snapToGrid/>
              <w:jc w:val="center"/>
              <w:rPr>
                <w:rFonts w:cs="Arial"/>
                <w:b/>
                <w:bCs/>
                <w:snapToGrid/>
                <w:sz w:val="16"/>
                <w:szCs w:val="16"/>
                <w:lang w:val="fr-FR" w:eastAsia="fr-FR"/>
              </w:rPr>
            </w:pPr>
            <w:r>
              <w:rPr>
                <w:rFonts w:cs="Arial"/>
                <w:b/>
                <w:bCs/>
                <w:snapToGrid/>
                <w:sz w:val="16"/>
                <w:szCs w:val="16"/>
                <w:lang w:val="fr-FR" w:eastAsia="fr-FR"/>
              </w:rPr>
              <w:t>reçu</w:t>
            </w:r>
          </w:p>
        </w:tc>
        <w:tc>
          <w:tcPr>
            <w:tcW w:w="447" w:type="pct"/>
            <w:tcBorders>
              <w:top w:val="single" w:sz="4" w:space="0" w:color="auto"/>
              <w:left w:val="nil"/>
              <w:bottom w:val="single" w:sz="4" w:space="0" w:color="auto"/>
              <w:right w:val="single" w:sz="4" w:space="0" w:color="auto"/>
            </w:tcBorders>
            <w:shd w:val="clear" w:color="000000" w:fill="B7DEE8"/>
            <w:vAlign w:val="center"/>
            <w:hideMark/>
          </w:tcPr>
          <w:p w:rsidR="000D1B28" w:rsidRPr="00226E45" w:rsidRDefault="007011F5" w:rsidP="000D1B28">
            <w:pPr>
              <w:tabs>
                <w:tab w:val="clear" w:pos="567"/>
              </w:tabs>
              <w:snapToGrid/>
              <w:jc w:val="center"/>
              <w:rPr>
                <w:rFonts w:cs="Arial"/>
                <w:b/>
                <w:bCs/>
                <w:snapToGrid/>
                <w:sz w:val="16"/>
                <w:szCs w:val="16"/>
                <w:lang w:val="fr-FR" w:eastAsia="fr-FR"/>
              </w:rPr>
            </w:pPr>
            <w:r>
              <w:rPr>
                <w:rFonts w:cs="Arial"/>
                <w:b/>
                <w:bCs/>
                <w:snapToGrid/>
                <w:sz w:val="16"/>
                <w:szCs w:val="16"/>
                <w:lang w:val="fr-FR" w:eastAsia="fr-FR"/>
              </w:rPr>
              <w:t>écart</w:t>
            </w:r>
          </w:p>
        </w:tc>
        <w:tc>
          <w:tcPr>
            <w:tcW w:w="447" w:type="pct"/>
            <w:tcBorders>
              <w:top w:val="single" w:sz="4" w:space="0" w:color="auto"/>
              <w:left w:val="nil"/>
              <w:bottom w:val="single" w:sz="4" w:space="0" w:color="auto"/>
              <w:right w:val="single" w:sz="8" w:space="0" w:color="auto"/>
            </w:tcBorders>
            <w:shd w:val="clear" w:color="000000" w:fill="B7DEE8"/>
            <w:vAlign w:val="center"/>
            <w:hideMark/>
          </w:tcPr>
          <w:p w:rsidR="000D1B28" w:rsidRPr="00226E45" w:rsidRDefault="007011F5" w:rsidP="000D1B28">
            <w:pPr>
              <w:tabs>
                <w:tab w:val="clear" w:pos="567"/>
              </w:tabs>
              <w:snapToGrid/>
              <w:jc w:val="center"/>
              <w:rPr>
                <w:rFonts w:cs="Arial"/>
                <w:b/>
                <w:bCs/>
                <w:snapToGrid/>
                <w:sz w:val="16"/>
                <w:szCs w:val="16"/>
                <w:lang w:val="fr-FR" w:eastAsia="fr-FR"/>
              </w:rPr>
            </w:pPr>
            <w:r>
              <w:rPr>
                <w:rFonts w:cs="Arial"/>
                <w:b/>
                <w:bCs/>
                <w:snapToGrid/>
                <w:sz w:val="16"/>
                <w:szCs w:val="16"/>
                <w:lang w:val="fr-FR" w:eastAsia="fr-FR"/>
              </w:rPr>
              <w:t>cible</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000000" w:fill="DAEEF3"/>
            <w:vAlign w:val="center"/>
            <w:hideMark/>
          </w:tcPr>
          <w:p w:rsidR="000D1B28" w:rsidRPr="00226E45" w:rsidRDefault="00226E45" w:rsidP="00226E45">
            <w:pPr>
              <w:tabs>
                <w:tab w:val="clear" w:pos="567"/>
              </w:tabs>
              <w:snapToGrid/>
              <w:rPr>
                <w:rFonts w:cs="Arial"/>
                <w:b/>
                <w:bCs/>
                <w:snapToGrid/>
                <w:sz w:val="16"/>
                <w:szCs w:val="16"/>
                <w:lang w:val="fr-FR" w:eastAsia="fr-FR"/>
              </w:rPr>
            </w:pPr>
            <w:r>
              <w:rPr>
                <w:rFonts w:cs="Arial"/>
                <w:b/>
                <w:bCs/>
                <w:snapToGrid/>
                <w:sz w:val="16"/>
                <w:szCs w:val="16"/>
                <w:lang w:val="fr-FR" w:eastAsia="fr-FR"/>
              </w:rPr>
              <w:t>FO</w:t>
            </w:r>
            <w:r w:rsidR="000D1B28" w:rsidRPr="00226E45">
              <w:rPr>
                <w:rFonts w:cs="Arial"/>
                <w:b/>
                <w:bCs/>
                <w:snapToGrid/>
                <w:sz w:val="16"/>
                <w:szCs w:val="16"/>
                <w:lang w:val="fr-FR" w:eastAsia="fr-FR"/>
              </w:rPr>
              <w:t xml:space="preserve">NCTION A </w:t>
            </w:r>
            <w:r>
              <w:rPr>
                <w:rFonts w:cs="Arial"/>
                <w:b/>
                <w:bCs/>
                <w:snapToGrid/>
                <w:sz w:val="16"/>
                <w:szCs w:val="16"/>
                <w:lang w:val="fr-FR" w:eastAsia="fr-FR"/>
              </w:rPr>
              <w:t>–</w:t>
            </w:r>
            <w:r w:rsidR="000D1B28" w:rsidRPr="00226E45">
              <w:rPr>
                <w:rFonts w:cs="Arial"/>
                <w:b/>
                <w:bCs/>
                <w:snapToGrid/>
                <w:sz w:val="16"/>
                <w:szCs w:val="16"/>
                <w:lang w:val="fr-FR" w:eastAsia="fr-FR"/>
              </w:rPr>
              <w:t xml:space="preserve"> </w:t>
            </w:r>
            <w:r>
              <w:rPr>
                <w:rFonts w:cs="Arial"/>
                <w:b/>
                <w:bCs/>
                <w:snapToGrid/>
                <w:sz w:val="16"/>
                <w:szCs w:val="16"/>
                <w:lang w:val="fr-FR" w:eastAsia="fr-FR"/>
              </w:rPr>
              <w:t>Recherche océanographique</w:t>
            </w:r>
          </w:p>
        </w:tc>
        <w:tc>
          <w:tcPr>
            <w:tcW w:w="588" w:type="pct"/>
            <w:tcBorders>
              <w:top w:val="nil"/>
              <w:left w:val="nil"/>
              <w:bottom w:val="single" w:sz="4" w:space="0" w:color="auto"/>
              <w:right w:val="single" w:sz="8" w:space="0" w:color="auto"/>
            </w:tcBorders>
            <w:shd w:val="clear" w:color="000000" w:fill="DAEEF3"/>
            <w:noWrap/>
            <w:vAlign w:val="center"/>
            <w:hideMark/>
          </w:tcPr>
          <w:p w:rsidR="000D1B28" w:rsidRPr="00226E45" w:rsidRDefault="00D57CE8"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185 </w:t>
            </w:r>
            <w:r w:rsidR="000D1B28" w:rsidRPr="00226E45">
              <w:rPr>
                <w:rFonts w:cs="Arial"/>
                <w:b/>
                <w:bCs/>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000000" w:fill="DAEEF3"/>
            <w:noWrap/>
            <w:vAlign w:val="center"/>
            <w:hideMark/>
          </w:tcPr>
          <w:p w:rsidR="000D1B28" w:rsidRPr="00226E45" w:rsidRDefault="00D57CE8"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121 </w:t>
            </w:r>
            <w:r w:rsidR="000D1B28" w:rsidRPr="00226E45">
              <w:rPr>
                <w:rFonts w:cs="Arial"/>
                <w:b/>
                <w:bCs/>
                <w:snapToGrid/>
                <w:sz w:val="16"/>
                <w:szCs w:val="16"/>
                <w:lang w:val="fr-FR" w:eastAsia="fr-FR"/>
              </w:rPr>
              <w:t>599</w:t>
            </w:r>
          </w:p>
        </w:tc>
        <w:tc>
          <w:tcPr>
            <w:tcW w:w="530" w:type="pct"/>
            <w:tcBorders>
              <w:top w:val="nil"/>
              <w:left w:val="nil"/>
              <w:bottom w:val="single" w:sz="4" w:space="0" w:color="auto"/>
              <w:right w:val="single" w:sz="4" w:space="0" w:color="auto"/>
            </w:tcBorders>
            <w:shd w:val="clear" w:color="000000" w:fill="DAEEF3"/>
            <w:noWrap/>
            <w:vAlign w:val="center"/>
            <w:hideMark/>
          </w:tcPr>
          <w:p w:rsidR="000D1B28" w:rsidRPr="00226E45" w:rsidRDefault="00D57CE8"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182 </w:t>
            </w:r>
            <w:r w:rsidR="000D1B28" w:rsidRPr="00226E45">
              <w:rPr>
                <w:rFonts w:cs="Arial"/>
                <w:b/>
                <w:bCs/>
                <w:snapToGrid/>
                <w:sz w:val="16"/>
                <w:szCs w:val="16"/>
                <w:lang w:val="fr-FR" w:eastAsia="fr-FR"/>
              </w:rPr>
              <w:t>136</w:t>
            </w:r>
          </w:p>
        </w:tc>
        <w:tc>
          <w:tcPr>
            <w:tcW w:w="447" w:type="pct"/>
            <w:tcBorders>
              <w:top w:val="nil"/>
              <w:left w:val="nil"/>
              <w:bottom w:val="single" w:sz="4" w:space="0" w:color="auto"/>
              <w:right w:val="single" w:sz="4" w:space="0" w:color="auto"/>
            </w:tcBorders>
            <w:shd w:val="clear" w:color="000000" w:fill="DAEEF3"/>
            <w:noWrap/>
            <w:vAlign w:val="center"/>
            <w:hideMark/>
          </w:tcPr>
          <w:p w:rsidR="000D1B28" w:rsidRPr="00226E45" w:rsidRDefault="00D57CE8"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205 </w:t>
            </w:r>
            <w:r w:rsidR="000D1B28" w:rsidRPr="00226E45">
              <w:rPr>
                <w:rFonts w:cs="Arial"/>
                <w:b/>
                <w:bCs/>
                <w:snapToGrid/>
                <w:sz w:val="16"/>
                <w:szCs w:val="16"/>
                <w:lang w:val="fr-FR" w:eastAsia="fr-FR"/>
              </w:rPr>
              <w:t>000</w:t>
            </w:r>
          </w:p>
        </w:tc>
        <w:tc>
          <w:tcPr>
            <w:tcW w:w="405" w:type="pct"/>
            <w:tcBorders>
              <w:top w:val="nil"/>
              <w:left w:val="nil"/>
              <w:bottom w:val="single" w:sz="4" w:space="0" w:color="auto"/>
              <w:right w:val="single" w:sz="4" w:space="0" w:color="auto"/>
            </w:tcBorders>
            <w:shd w:val="clear" w:color="000000" w:fill="DAEEF3"/>
            <w:noWrap/>
            <w:vAlign w:val="center"/>
            <w:hideMark/>
          </w:tcPr>
          <w:p w:rsidR="000D1B28" w:rsidRPr="00226E45" w:rsidRDefault="00D57CE8"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50 </w:t>
            </w:r>
            <w:r w:rsidR="000D1B28" w:rsidRPr="00226E45">
              <w:rPr>
                <w:rFonts w:cs="Arial"/>
                <w:b/>
                <w:bCs/>
                <w:snapToGrid/>
                <w:sz w:val="16"/>
                <w:szCs w:val="16"/>
                <w:lang w:val="fr-FR" w:eastAsia="fr-FR"/>
              </w:rPr>
              <w:t>000</w:t>
            </w:r>
          </w:p>
        </w:tc>
        <w:tc>
          <w:tcPr>
            <w:tcW w:w="447" w:type="pct"/>
            <w:tcBorders>
              <w:top w:val="nil"/>
              <w:left w:val="nil"/>
              <w:bottom w:val="single" w:sz="4" w:space="0" w:color="auto"/>
              <w:right w:val="single" w:sz="4" w:space="0" w:color="auto"/>
            </w:tcBorders>
            <w:shd w:val="clear" w:color="000000" w:fill="DAEEF3"/>
            <w:noWrap/>
            <w:vAlign w:val="center"/>
            <w:hideMark/>
          </w:tcPr>
          <w:p w:rsidR="000D1B28" w:rsidRPr="00226E45" w:rsidRDefault="00D57CE8"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994 </w:t>
            </w:r>
            <w:r w:rsidR="000D1B28" w:rsidRPr="00226E45">
              <w:rPr>
                <w:rFonts w:cs="Arial"/>
                <w:b/>
                <w:bCs/>
                <w:snapToGrid/>
                <w:sz w:val="16"/>
                <w:szCs w:val="16"/>
                <w:lang w:val="fr-FR" w:eastAsia="fr-FR"/>
              </w:rPr>
              <w:t>000</w:t>
            </w:r>
          </w:p>
        </w:tc>
        <w:tc>
          <w:tcPr>
            <w:tcW w:w="447" w:type="pct"/>
            <w:tcBorders>
              <w:top w:val="nil"/>
              <w:left w:val="nil"/>
              <w:bottom w:val="single" w:sz="4" w:space="0" w:color="auto"/>
              <w:right w:val="single" w:sz="8" w:space="0" w:color="auto"/>
            </w:tcBorders>
            <w:shd w:val="clear" w:color="000000" w:fill="DAEEF3"/>
            <w:noWrap/>
            <w:vAlign w:val="center"/>
            <w:hideMark/>
          </w:tcPr>
          <w:p w:rsidR="000D1B28" w:rsidRPr="00226E45" w:rsidRDefault="00D57CE8"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1 044 </w:t>
            </w:r>
            <w:r w:rsidR="000D1B28" w:rsidRPr="00226E45">
              <w:rPr>
                <w:rFonts w:cs="Arial"/>
                <w:b/>
                <w:bCs/>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226E45" w:rsidP="000D1B28">
            <w:pPr>
              <w:tabs>
                <w:tab w:val="clear" w:pos="567"/>
              </w:tabs>
              <w:snapToGrid/>
              <w:rPr>
                <w:rFonts w:cs="Arial"/>
                <w:snapToGrid/>
                <w:sz w:val="16"/>
                <w:szCs w:val="16"/>
                <w:lang w:val="fr-FR" w:eastAsia="fr-FR"/>
              </w:rPr>
            </w:pPr>
            <w:r>
              <w:rPr>
                <w:rFonts w:cs="Arial"/>
                <w:snapToGrid/>
                <w:sz w:val="16"/>
                <w:szCs w:val="16"/>
                <w:lang w:val="fr-FR" w:eastAsia="fr-FR"/>
              </w:rPr>
              <w:t>PMRC</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50 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0</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43 </w:t>
            </w:r>
            <w:r w:rsidR="000D1B28" w:rsidRPr="00226E45">
              <w:rPr>
                <w:rFonts w:cs="Arial"/>
                <w:snapToGrid/>
                <w:sz w:val="16"/>
                <w:szCs w:val="16"/>
                <w:lang w:val="fr-FR" w:eastAsia="fr-FR"/>
              </w:rPr>
              <w:t>820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50 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noWrap/>
            <w:vAlign w:val="center"/>
            <w:hideMark/>
          </w:tcPr>
          <w:p w:rsidR="000D1B28" w:rsidRPr="00226E45" w:rsidRDefault="000D1B28" w:rsidP="00D57CE8">
            <w:pPr>
              <w:tabs>
                <w:tab w:val="clear" w:pos="567"/>
              </w:tabs>
              <w:snapToGrid/>
              <w:jc w:val="right"/>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noWrap/>
            <w:vAlign w:val="center"/>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100 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noWrap/>
            <w:vAlign w:val="center"/>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100 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noWrap/>
            <w:vAlign w:val="bottom"/>
            <w:hideMark/>
          </w:tcPr>
          <w:p w:rsidR="000D1B28" w:rsidRPr="00226E45" w:rsidRDefault="00226E45" w:rsidP="000D1B28">
            <w:pPr>
              <w:tabs>
                <w:tab w:val="clear" w:pos="567"/>
              </w:tabs>
              <w:snapToGrid/>
              <w:rPr>
                <w:rFonts w:cs="Arial"/>
                <w:snapToGrid/>
                <w:sz w:val="16"/>
                <w:szCs w:val="16"/>
                <w:lang w:val="fr-FR" w:eastAsia="fr-FR"/>
              </w:rPr>
            </w:pPr>
            <w:r>
              <w:rPr>
                <w:rFonts w:cs="Arial"/>
                <w:snapToGrid/>
                <w:sz w:val="16"/>
                <w:szCs w:val="16"/>
                <w:lang w:val="fr-FR" w:eastAsia="fr-FR"/>
              </w:rPr>
              <w:t>Sources et puits de carbone océanique</w:t>
            </w:r>
            <w:r w:rsidR="000D1B28" w:rsidRPr="00226E45">
              <w:rPr>
                <w:rFonts w:cs="Arial"/>
                <w:snapToGrid/>
                <w:sz w:val="16"/>
                <w:szCs w:val="16"/>
                <w:lang w:val="fr-FR" w:eastAsia="fr-FR"/>
              </w:rPr>
              <w:t xml:space="preserve"> </w:t>
            </w:r>
          </w:p>
        </w:tc>
        <w:tc>
          <w:tcPr>
            <w:tcW w:w="588" w:type="pct"/>
            <w:tcBorders>
              <w:top w:val="nil"/>
              <w:left w:val="nil"/>
              <w:bottom w:val="single" w:sz="4" w:space="0" w:color="auto"/>
              <w:right w:val="single" w:sz="8" w:space="0" w:color="auto"/>
            </w:tcBorders>
            <w:shd w:val="clear" w:color="auto" w:fill="auto"/>
            <w:noWrap/>
            <w:vAlign w:val="bottom"/>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75 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noWrap/>
            <w:vAlign w:val="bottom"/>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56 </w:t>
            </w:r>
            <w:r w:rsidR="000D1B28" w:rsidRPr="00226E45">
              <w:rPr>
                <w:rFonts w:cs="Arial"/>
                <w:snapToGrid/>
                <w:sz w:val="16"/>
                <w:szCs w:val="16"/>
                <w:lang w:val="fr-FR" w:eastAsia="fr-FR"/>
              </w:rPr>
              <w:t>444</w:t>
            </w:r>
          </w:p>
        </w:tc>
        <w:tc>
          <w:tcPr>
            <w:tcW w:w="530" w:type="pct"/>
            <w:tcBorders>
              <w:top w:val="nil"/>
              <w:left w:val="nil"/>
              <w:bottom w:val="single" w:sz="4" w:space="0" w:color="auto"/>
              <w:right w:val="single" w:sz="4" w:space="0" w:color="auto"/>
            </w:tcBorders>
            <w:shd w:val="clear" w:color="auto" w:fill="auto"/>
            <w:noWrap/>
            <w:vAlign w:val="bottom"/>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65 </w:t>
            </w:r>
            <w:r w:rsidR="000D1B28" w:rsidRPr="00226E45">
              <w:rPr>
                <w:rFonts w:cs="Arial"/>
                <w:snapToGrid/>
                <w:sz w:val="16"/>
                <w:szCs w:val="16"/>
                <w:lang w:val="fr-FR" w:eastAsia="fr-FR"/>
              </w:rPr>
              <w:t>731</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7</w:t>
            </w:r>
            <w:r w:rsidR="00D57CE8">
              <w:rPr>
                <w:rFonts w:cs="Arial"/>
                <w:snapToGrid/>
                <w:sz w:val="16"/>
                <w:szCs w:val="16"/>
                <w:lang w:val="fr-FR" w:eastAsia="fr-FR"/>
              </w:rPr>
              <w:t>5 </w:t>
            </w:r>
            <w:r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noWrap/>
            <w:vAlign w:val="center"/>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50 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noWrap/>
            <w:vAlign w:val="center"/>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400 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noWrap/>
            <w:vAlign w:val="center"/>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450 </w:t>
            </w:r>
            <w:r w:rsidR="000D1B28" w:rsidRPr="00226E45">
              <w:rPr>
                <w:rFonts w:cs="Arial"/>
                <w:snapToGrid/>
                <w:sz w:val="16"/>
                <w:szCs w:val="16"/>
                <w:lang w:val="fr-FR" w:eastAsia="fr-FR"/>
              </w:rPr>
              <w:t>000</w:t>
            </w:r>
          </w:p>
        </w:tc>
      </w:tr>
      <w:tr w:rsidR="000D1B28" w:rsidRPr="00226E45" w:rsidTr="00A311D2">
        <w:trPr>
          <w:trHeight w:val="113"/>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226E45" w:rsidP="000D1B28">
            <w:pPr>
              <w:tabs>
                <w:tab w:val="clear" w:pos="567"/>
              </w:tabs>
              <w:snapToGrid/>
              <w:rPr>
                <w:rFonts w:cs="Arial"/>
                <w:snapToGrid/>
                <w:sz w:val="16"/>
                <w:szCs w:val="16"/>
                <w:lang w:val="fr-FR" w:eastAsia="fr-FR"/>
              </w:rPr>
            </w:pPr>
            <w:r w:rsidRPr="00226E45">
              <w:rPr>
                <w:rFonts w:cs="Arial"/>
                <w:snapToGrid/>
                <w:sz w:val="16"/>
                <w:szCs w:val="16"/>
                <w:lang w:val="fr-FR" w:eastAsia="fr-FR"/>
              </w:rPr>
              <w:t>Impact du changement climatique sur les écosystèmes océaniques et côtiers</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60 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65 </w:t>
            </w:r>
            <w:r w:rsidR="000D1B28" w:rsidRPr="00226E45">
              <w:rPr>
                <w:rFonts w:cs="Arial"/>
                <w:snapToGrid/>
                <w:sz w:val="16"/>
                <w:szCs w:val="16"/>
                <w:lang w:val="fr-FR" w:eastAsia="fr-FR"/>
              </w:rPr>
              <w:t>155</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72 </w:t>
            </w:r>
            <w:r w:rsidR="000D1B28" w:rsidRPr="00226E45">
              <w:rPr>
                <w:rFonts w:cs="Arial"/>
                <w:snapToGrid/>
                <w:sz w:val="16"/>
                <w:szCs w:val="16"/>
                <w:lang w:val="fr-FR" w:eastAsia="fr-FR"/>
              </w:rPr>
              <w:t>585</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D57CE8" w:rsidP="000D1B28">
            <w:pPr>
              <w:tabs>
                <w:tab w:val="clear" w:pos="567"/>
              </w:tabs>
              <w:snapToGrid/>
              <w:jc w:val="right"/>
              <w:rPr>
                <w:rFonts w:cs="Arial"/>
                <w:snapToGrid/>
                <w:sz w:val="16"/>
                <w:szCs w:val="16"/>
                <w:lang w:val="fr-FR" w:eastAsia="fr-FR"/>
              </w:rPr>
            </w:pPr>
            <w:r>
              <w:rPr>
                <w:rFonts w:cs="Arial"/>
                <w:snapToGrid/>
                <w:sz w:val="16"/>
                <w:szCs w:val="16"/>
                <w:lang w:val="fr-FR" w:eastAsia="fr-FR"/>
              </w:rPr>
              <w:t>80 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noWrap/>
            <w:vAlign w:val="bottom"/>
            <w:hideMark/>
          </w:tcPr>
          <w:p w:rsidR="000D1B28" w:rsidRPr="00226E45" w:rsidRDefault="000D1B28" w:rsidP="00D57CE8">
            <w:pPr>
              <w:tabs>
                <w:tab w:val="clear" w:pos="567"/>
              </w:tabs>
              <w:snapToGrid/>
              <w:jc w:val="right"/>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D57CE8" w:rsidP="00D57CE8">
            <w:pPr>
              <w:tabs>
                <w:tab w:val="clear" w:pos="567"/>
              </w:tabs>
              <w:snapToGrid/>
              <w:jc w:val="right"/>
              <w:rPr>
                <w:rFonts w:cs="Arial"/>
                <w:snapToGrid/>
                <w:sz w:val="16"/>
                <w:szCs w:val="16"/>
                <w:lang w:val="fr-FR" w:eastAsia="fr-FR"/>
              </w:rPr>
            </w:pPr>
            <w:r>
              <w:rPr>
                <w:rFonts w:cs="Arial"/>
                <w:snapToGrid/>
                <w:sz w:val="16"/>
                <w:szCs w:val="16"/>
                <w:lang w:val="fr-FR" w:eastAsia="fr-FR"/>
              </w:rPr>
              <w:t>494 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noWrap/>
            <w:vAlign w:val="bottom"/>
            <w:hideMark/>
          </w:tcPr>
          <w:p w:rsidR="000D1B28" w:rsidRPr="00226E45" w:rsidRDefault="00D57CE8" w:rsidP="00D57CE8">
            <w:pPr>
              <w:tabs>
                <w:tab w:val="clear" w:pos="567"/>
              </w:tabs>
              <w:snapToGrid/>
              <w:jc w:val="right"/>
              <w:rPr>
                <w:rFonts w:cs="Arial"/>
                <w:snapToGrid/>
                <w:sz w:val="16"/>
                <w:szCs w:val="16"/>
                <w:lang w:val="fr-FR" w:eastAsia="fr-FR"/>
              </w:rPr>
            </w:pPr>
            <w:r>
              <w:rPr>
                <w:rFonts w:cs="Arial"/>
                <w:snapToGrid/>
                <w:sz w:val="16"/>
                <w:szCs w:val="16"/>
                <w:lang w:val="fr-FR" w:eastAsia="fr-FR"/>
              </w:rPr>
              <w:t>494 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000000" w:fill="DAEEF3"/>
            <w:vAlign w:val="bottom"/>
            <w:hideMark/>
          </w:tcPr>
          <w:p w:rsidR="000D1B28" w:rsidRPr="00226E45" w:rsidRDefault="00226E45" w:rsidP="00226E45">
            <w:pPr>
              <w:tabs>
                <w:tab w:val="clear" w:pos="567"/>
              </w:tabs>
              <w:snapToGrid/>
              <w:rPr>
                <w:rFonts w:cs="Arial"/>
                <w:b/>
                <w:bCs/>
                <w:snapToGrid/>
                <w:color w:val="000000"/>
                <w:sz w:val="16"/>
                <w:szCs w:val="16"/>
                <w:lang w:val="fr-FR" w:eastAsia="fr-FR"/>
              </w:rPr>
            </w:pPr>
            <w:r>
              <w:rPr>
                <w:rFonts w:cs="Arial"/>
                <w:b/>
                <w:bCs/>
                <w:snapToGrid/>
                <w:color w:val="000000"/>
                <w:sz w:val="16"/>
                <w:szCs w:val="16"/>
                <w:lang w:val="fr-FR" w:eastAsia="fr-FR"/>
              </w:rPr>
              <w:t>FO</w:t>
            </w:r>
            <w:r w:rsidR="000D1B28" w:rsidRPr="00226E45">
              <w:rPr>
                <w:rFonts w:cs="Arial"/>
                <w:b/>
                <w:bCs/>
                <w:snapToGrid/>
                <w:color w:val="000000"/>
                <w:sz w:val="16"/>
                <w:szCs w:val="16"/>
                <w:lang w:val="fr-FR" w:eastAsia="fr-FR"/>
              </w:rPr>
              <w:t xml:space="preserve">NCTION B </w:t>
            </w:r>
            <w:r>
              <w:rPr>
                <w:rFonts w:cs="Arial"/>
                <w:b/>
                <w:bCs/>
                <w:snapToGrid/>
                <w:color w:val="000000"/>
                <w:sz w:val="16"/>
                <w:szCs w:val="16"/>
                <w:lang w:val="fr-FR" w:eastAsia="fr-FR"/>
              </w:rPr>
              <w:t>–</w:t>
            </w:r>
            <w:r w:rsidR="000D1B28" w:rsidRPr="00226E45">
              <w:rPr>
                <w:rFonts w:cs="Arial"/>
                <w:b/>
                <w:bCs/>
                <w:snapToGrid/>
                <w:color w:val="000000"/>
                <w:sz w:val="16"/>
                <w:szCs w:val="16"/>
                <w:lang w:val="fr-FR" w:eastAsia="fr-FR"/>
              </w:rPr>
              <w:t xml:space="preserve"> </w:t>
            </w:r>
            <w:r>
              <w:rPr>
                <w:rFonts w:cs="Arial"/>
                <w:b/>
                <w:bCs/>
                <w:snapToGrid/>
                <w:color w:val="000000"/>
                <w:sz w:val="16"/>
                <w:szCs w:val="16"/>
                <w:lang w:val="fr-FR" w:eastAsia="fr-FR"/>
              </w:rPr>
              <w:t>Systèmes d’observation et données</w:t>
            </w:r>
          </w:p>
        </w:tc>
        <w:tc>
          <w:tcPr>
            <w:tcW w:w="588" w:type="pct"/>
            <w:tcBorders>
              <w:top w:val="nil"/>
              <w:left w:val="nil"/>
              <w:bottom w:val="single" w:sz="4" w:space="0" w:color="auto"/>
              <w:right w:val="single" w:sz="8"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567 </w:t>
            </w:r>
            <w:r w:rsidR="000D1B28" w:rsidRPr="00226E45">
              <w:rPr>
                <w:rFonts w:cs="Arial"/>
                <w:b/>
                <w:bCs/>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426 </w:t>
            </w:r>
            <w:r w:rsidR="000D1B28" w:rsidRPr="00226E45">
              <w:rPr>
                <w:rFonts w:cs="Arial"/>
                <w:b/>
                <w:bCs/>
                <w:snapToGrid/>
                <w:sz w:val="16"/>
                <w:szCs w:val="16"/>
                <w:lang w:val="fr-FR" w:eastAsia="fr-FR"/>
              </w:rPr>
              <w:t>717</w:t>
            </w:r>
          </w:p>
        </w:tc>
        <w:tc>
          <w:tcPr>
            <w:tcW w:w="530" w:type="pct"/>
            <w:tcBorders>
              <w:top w:val="nil"/>
              <w:left w:val="nil"/>
              <w:bottom w:val="single" w:sz="4" w:space="0" w:color="auto"/>
              <w:right w:val="single" w:sz="4"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496 </w:t>
            </w:r>
            <w:r w:rsidR="000D1B28" w:rsidRPr="00226E45">
              <w:rPr>
                <w:rFonts w:cs="Arial"/>
                <w:b/>
                <w:bCs/>
                <w:snapToGrid/>
                <w:sz w:val="16"/>
                <w:szCs w:val="16"/>
                <w:lang w:val="fr-FR" w:eastAsia="fr-FR"/>
              </w:rPr>
              <w:t>924</w:t>
            </w:r>
          </w:p>
        </w:tc>
        <w:tc>
          <w:tcPr>
            <w:tcW w:w="447" w:type="pct"/>
            <w:tcBorders>
              <w:top w:val="nil"/>
              <w:left w:val="nil"/>
              <w:bottom w:val="single" w:sz="4" w:space="0" w:color="auto"/>
              <w:right w:val="single" w:sz="4"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567 </w:t>
            </w:r>
            <w:r w:rsidR="000D1B28" w:rsidRPr="00226E45">
              <w:rPr>
                <w:rFonts w:cs="Arial"/>
                <w:b/>
                <w:bCs/>
                <w:snapToGrid/>
                <w:sz w:val="16"/>
                <w:szCs w:val="16"/>
                <w:lang w:val="fr-FR" w:eastAsia="fr-FR"/>
              </w:rPr>
              <w:t>000</w:t>
            </w:r>
          </w:p>
        </w:tc>
        <w:tc>
          <w:tcPr>
            <w:tcW w:w="405" w:type="pct"/>
            <w:tcBorders>
              <w:top w:val="nil"/>
              <w:left w:val="nil"/>
              <w:bottom w:val="single" w:sz="4" w:space="0" w:color="auto"/>
              <w:right w:val="single" w:sz="4"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220 </w:t>
            </w:r>
            <w:r w:rsidR="000D1B28" w:rsidRPr="00226E45">
              <w:rPr>
                <w:rFonts w:cs="Arial"/>
                <w:b/>
                <w:bCs/>
                <w:snapToGrid/>
                <w:sz w:val="16"/>
                <w:szCs w:val="16"/>
                <w:lang w:val="fr-FR" w:eastAsia="fr-FR"/>
              </w:rPr>
              <w:t>000</w:t>
            </w:r>
          </w:p>
        </w:tc>
        <w:tc>
          <w:tcPr>
            <w:tcW w:w="447" w:type="pct"/>
            <w:tcBorders>
              <w:top w:val="nil"/>
              <w:left w:val="nil"/>
              <w:bottom w:val="single" w:sz="4" w:space="0" w:color="auto"/>
              <w:right w:val="single" w:sz="4"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1 722 </w:t>
            </w:r>
            <w:r w:rsidR="000D1B28" w:rsidRPr="00226E45">
              <w:rPr>
                <w:rFonts w:cs="Arial"/>
                <w:b/>
                <w:bCs/>
                <w:snapToGrid/>
                <w:sz w:val="16"/>
                <w:szCs w:val="16"/>
                <w:lang w:val="fr-FR" w:eastAsia="fr-FR"/>
              </w:rPr>
              <w:t>200</w:t>
            </w:r>
          </w:p>
        </w:tc>
        <w:tc>
          <w:tcPr>
            <w:tcW w:w="447" w:type="pct"/>
            <w:tcBorders>
              <w:top w:val="nil"/>
              <w:left w:val="nil"/>
              <w:bottom w:val="single" w:sz="4" w:space="0" w:color="auto"/>
              <w:right w:val="single" w:sz="8"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1 942 </w:t>
            </w:r>
            <w:r w:rsidR="000D1B28" w:rsidRPr="00226E45">
              <w:rPr>
                <w:rFonts w:cs="Arial"/>
                <w:b/>
                <w:bCs/>
                <w:snapToGrid/>
                <w:sz w:val="16"/>
                <w:szCs w:val="16"/>
                <w:lang w:val="fr-FR" w:eastAsia="fr-FR"/>
              </w:rPr>
              <w:t>200</w:t>
            </w:r>
          </w:p>
        </w:tc>
      </w:tr>
      <w:tr w:rsidR="000D1B28" w:rsidRPr="00226E45" w:rsidTr="00A311D2">
        <w:trPr>
          <w:trHeight w:val="255"/>
        </w:trPr>
        <w:tc>
          <w:tcPr>
            <w:tcW w:w="1691" w:type="pct"/>
            <w:tcBorders>
              <w:top w:val="nil"/>
              <w:left w:val="single" w:sz="8" w:space="0" w:color="auto"/>
              <w:bottom w:val="single" w:sz="4" w:space="0" w:color="auto"/>
              <w:right w:val="single" w:sz="8" w:space="0" w:color="auto"/>
            </w:tcBorders>
            <w:shd w:val="clear" w:color="auto" w:fill="auto"/>
            <w:noWrap/>
            <w:vAlign w:val="bottom"/>
            <w:hideMark/>
          </w:tcPr>
          <w:p w:rsidR="000D1B28" w:rsidRPr="00226E45" w:rsidRDefault="00677AAE" w:rsidP="00677AAE">
            <w:pPr>
              <w:tabs>
                <w:tab w:val="clear" w:pos="567"/>
              </w:tabs>
              <w:snapToGrid/>
              <w:rPr>
                <w:rFonts w:cs="Arial"/>
                <w:snapToGrid/>
                <w:color w:val="000000"/>
                <w:sz w:val="16"/>
                <w:szCs w:val="16"/>
                <w:lang w:val="fr-FR" w:eastAsia="fr-FR"/>
              </w:rPr>
            </w:pPr>
            <w:r>
              <w:rPr>
                <w:rFonts w:cs="Arial"/>
                <w:snapToGrid/>
                <w:color w:val="000000"/>
                <w:sz w:val="16"/>
                <w:szCs w:val="16"/>
                <w:lang w:val="fr-FR" w:eastAsia="fr-FR"/>
              </w:rPr>
              <w:t xml:space="preserve">Conception, développement et impact du </w:t>
            </w:r>
            <w:r w:rsidR="000D1B28" w:rsidRPr="00226E45">
              <w:rPr>
                <w:rFonts w:cs="Arial"/>
                <w:snapToGrid/>
                <w:color w:val="000000"/>
                <w:sz w:val="16"/>
                <w:szCs w:val="16"/>
                <w:lang w:val="fr-FR" w:eastAsia="fr-FR"/>
              </w:rPr>
              <w:t xml:space="preserve">GOOS </w:t>
            </w:r>
          </w:p>
        </w:tc>
        <w:tc>
          <w:tcPr>
            <w:tcW w:w="588" w:type="pct"/>
            <w:tcBorders>
              <w:top w:val="nil"/>
              <w:left w:val="nil"/>
              <w:bottom w:val="single" w:sz="4" w:space="0" w:color="auto"/>
              <w:right w:val="single" w:sz="8"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290 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218 </w:t>
            </w:r>
            <w:r w:rsidR="000D1B28" w:rsidRPr="00226E45">
              <w:rPr>
                <w:rFonts w:cs="Arial"/>
                <w:snapToGrid/>
                <w:sz w:val="16"/>
                <w:szCs w:val="16"/>
                <w:lang w:val="fr-FR" w:eastAsia="fr-FR"/>
              </w:rPr>
              <w:t>250</w:t>
            </w:r>
          </w:p>
        </w:tc>
        <w:tc>
          <w:tcPr>
            <w:tcW w:w="530" w:type="pct"/>
            <w:tcBorders>
              <w:top w:val="nil"/>
              <w:left w:val="nil"/>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254 </w:t>
            </w:r>
            <w:r w:rsidR="000D1B28" w:rsidRPr="00226E45">
              <w:rPr>
                <w:rFonts w:cs="Arial"/>
                <w:snapToGrid/>
                <w:sz w:val="16"/>
                <w:szCs w:val="16"/>
                <w:lang w:val="fr-FR" w:eastAsia="fr-FR"/>
              </w:rPr>
              <w:t>159</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290 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noWrap/>
            <w:vAlign w:val="center"/>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noWrap/>
            <w:vAlign w:val="center"/>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603 </w:t>
            </w:r>
            <w:r w:rsidR="000D1B28" w:rsidRPr="00226E45">
              <w:rPr>
                <w:rFonts w:cs="Arial"/>
                <w:snapToGrid/>
                <w:sz w:val="16"/>
                <w:szCs w:val="16"/>
                <w:lang w:val="fr-FR" w:eastAsia="fr-FR"/>
              </w:rPr>
              <w:t>200</w:t>
            </w:r>
          </w:p>
        </w:tc>
        <w:tc>
          <w:tcPr>
            <w:tcW w:w="447" w:type="pct"/>
            <w:tcBorders>
              <w:top w:val="nil"/>
              <w:left w:val="nil"/>
              <w:bottom w:val="single" w:sz="4" w:space="0" w:color="auto"/>
              <w:right w:val="single" w:sz="8" w:space="0" w:color="auto"/>
            </w:tcBorders>
            <w:shd w:val="clear" w:color="auto" w:fill="auto"/>
            <w:noWrap/>
            <w:vAlign w:val="center"/>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603 </w:t>
            </w:r>
            <w:r w:rsidR="000D1B28" w:rsidRPr="00226E45">
              <w:rPr>
                <w:rFonts w:cs="Arial"/>
                <w:snapToGrid/>
                <w:sz w:val="16"/>
                <w:szCs w:val="16"/>
                <w:lang w:val="fr-FR" w:eastAsia="fr-FR"/>
              </w:rPr>
              <w:t>200</w:t>
            </w:r>
          </w:p>
        </w:tc>
      </w:tr>
      <w:tr w:rsidR="000D1B28" w:rsidRPr="00226E45" w:rsidTr="00A311D2">
        <w:trPr>
          <w:trHeight w:val="255"/>
        </w:trPr>
        <w:tc>
          <w:tcPr>
            <w:tcW w:w="1691" w:type="pct"/>
            <w:tcBorders>
              <w:top w:val="nil"/>
              <w:left w:val="single" w:sz="8" w:space="0" w:color="auto"/>
              <w:bottom w:val="single" w:sz="4" w:space="0" w:color="auto"/>
              <w:right w:val="single" w:sz="8" w:space="0" w:color="auto"/>
            </w:tcBorders>
            <w:shd w:val="clear" w:color="auto" w:fill="auto"/>
            <w:noWrap/>
            <w:vAlign w:val="bottom"/>
            <w:hideMark/>
          </w:tcPr>
          <w:p w:rsidR="000D1B28" w:rsidRPr="00226E45" w:rsidRDefault="00677AAE" w:rsidP="000D1B28">
            <w:pPr>
              <w:tabs>
                <w:tab w:val="clear" w:pos="567"/>
              </w:tabs>
              <w:snapToGrid/>
              <w:rPr>
                <w:rFonts w:cs="Arial"/>
                <w:snapToGrid/>
                <w:sz w:val="16"/>
                <w:szCs w:val="16"/>
                <w:lang w:val="fr-FR" w:eastAsia="fr-FR"/>
              </w:rPr>
            </w:pPr>
            <w:r w:rsidRPr="00677AAE">
              <w:rPr>
                <w:rFonts w:cs="Arial"/>
                <w:snapToGrid/>
                <w:sz w:val="16"/>
                <w:szCs w:val="16"/>
                <w:lang w:val="fr-FR" w:eastAsia="fr-FR"/>
              </w:rPr>
              <w:t>Projets du GOOS par le biais de l’IOCAFRICA</w:t>
            </w:r>
          </w:p>
        </w:tc>
        <w:tc>
          <w:tcPr>
            <w:tcW w:w="588" w:type="pct"/>
            <w:tcBorders>
              <w:top w:val="nil"/>
              <w:left w:val="nil"/>
              <w:bottom w:val="single" w:sz="4" w:space="0" w:color="auto"/>
              <w:right w:val="single" w:sz="8"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30 </w:t>
            </w:r>
            <w:r w:rsidR="000D1B28" w:rsidRPr="00226E45">
              <w:rPr>
                <w:rFonts w:cs="Arial"/>
                <w:snapToGrid/>
                <w:sz w:val="16"/>
                <w:szCs w:val="16"/>
                <w:lang w:val="fr-FR" w:eastAsia="fr-FR"/>
              </w:rPr>
              <w:t>103</w:t>
            </w:r>
          </w:p>
        </w:tc>
        <w:tc>
          <w:tcPr>
            <w:tcW w:w="530" w:type="pct"/>
            <w:tcBorders>
              <w:top w:val="nil"/>
              <w:left w:val="nil"/>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35 </w:t>
            </w:r>
            <w:r w:rsidR="000D1B28" w:rsidRPr="00226E45">
              <w:rPr>
                <w:rFonts w:cs="Arial"/>
                <w:snapToGrid/>
                <w:sz w:val="16"/>
                <w:szCs w:val="16"/>
                <w:lang w:val="fr-FR" w:eastAsia="fr-FR"/>
              </w:rPr>
              <w:t>056</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noWrap/>
            <w:vAlign w:val="center"/>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noWrap/>
            <w:vAlign w:val="center"/>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50 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noWrap/>
            <w:vAlign w:val="center"/>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50 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77AAE" w:rsidP="000D1B28">
            <w:pPr>
              <w:tabs>
                <w:tab w:val="clear" w:pos="567"/>
              </w:tabs>
              <w:snapToGrid/>
              <w:rPr>
                <w:rFonts w:cs="Arial"/>
                <w:snapToGrid/>
                <w:sz w:val="16"/>
                <w:szCs w:val="16"/>
                <w:lang w:val="fr-FR" w:eastAsia="fr-FR"/>
              </w:rPr>
            </w:pPr>
            <w:r w:rsidRPr="00677AAE">
              <w:rPr>
                <w:rFonts w:cs="Arial"/>
                <w:snapToGrid/>
                <w:sz w:val="16"/>
                <w:szCs w:val="16"/>
                <w:lang w:val="fr-FR" w:eastAsia="fr-FR"/>
              </w:rPr>
              <w:t>Projets du GOOS dans l’océan Pacifique par le biais du Bureau de projet de Perth</w:t>
            </w:r>
          </w:p>
        </w:tc>
        <w:tc>
          <w:tcPr>
            <w:tcW w:w="588" w:type="pct"/>
            <w:tcBorders>
              <w:top w:val="nil"/>
              <w:left w:val="nil"/>
              <w:bottom w:val="single" w:sz="4" w:space="0" w:color="auto"/>
              <w:right w:val="single" w:sz="8"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15 </w:t>
            </w:r>
            <w:r w:rsidR="000D1B28" w:rsidRPr="00226E45">
              <w:rPr>
                <w:rFonts w:cs="Arial"/>
                <w:snapToGrid/>
                <w:sz w:val="16"/>
                <w:szCs w:val="16"/>
                <w:lang w:val="fr-FR" w:eastAsia="fr-FR"/>
              </w:rPr>
              <w:t>052</w:t>
            </w:r>
          </w:p>
        </w:tc>
        <w:tc>
          <w:tcPr>
            <w:tcW w:w="530" w:type="pct"/>
            <w:tcBorders>
              <w:top w:val="nil"/>
              <w:left w:val="nil"/>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17 </w:t>
            </w:r>
            <w:r w:rsidR="000D1B28" w:rsidRPr="00226E45">
              <w:rPr>
                <w:rFonts w:cs="Arial"/>
                <w:snapToGrid/>
                <w:sz w:val="16"/>
                <w:szCs w:val="16"/>
                <w:lang w:val="fr-FR" w:eastAsia="fr-FR"/>
              </w:rPr>
              <w:t>528</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noWrap/>
            <w:vAlign w:val="center"/>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CF05C0" w:rsidP="00CF05C0">
            <w:pPr>
              <w:tabs>
                <w:tab w:val="clear" w:pos="567"/>
              </w:tabs>
              <w:snapToGrid/>
              <w:jc w:val="right"/>
              <w:rPr>
                <w:rFonts w:cs="Arial"/>
                <w:snapToGrid/>
                <w:sz w:val="16"/>
                <w:szCs w:val="16"/>
                <w:lang w:val="fr-FR" w:eastAsia="fr-FR"/>
              </w:rPr>
            </w:pPr>
            <w:r>
              <w:rPr>
                <w:rFonts w:cs="Arial"/>
                <w:snapToGrid/>
                <w:sz w:val="16"/>
                <w:szCs w:val="16"/>
                <w:lang w:val="fr-FR" w:eastAsia="fr-FR"/>
              </w:rPr>
              <w:t>100 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noWrap/>
            <w:vAlign w:val="bottom"/>
            <w:hideMark/>
          </w:tcPr>
          <w:p w:rsidR="000D1B28" w:rsidRPr="00226E45" w:rsidRDefault="00CF05C0" w:rsidP="00CF05C0">
            <w:pPr>
              <w:tabs>
                <w:tab w:val="clear" w:pos="567"/>
              </w:tabs>
              <w:snapToGrid/>
              <w:jc w:val="right"/>
              <w:rPr>
                <w:rFonts w:cs="Arial"/>
                <w:snapToGrid/>
                <w:sz w:val="16"/>
                <w:szCs w:val="16"/>
                <w:lang w:val="fr-FR" w:eastAsia="fr-FR"/>
              </w:rPr>
            </w:pPr>
            <w:r>
              <w:rPr>
                <w:rFonts w:cs="Arial"/>
                <w:snapToGrid/>
                <w:sz w:val="16"/>
                <w:szCs w:val="16"/>
                <w:lang w:val="fr-FR" w:eastAsia="fr-FR"/>
              </w:rPr>
              <w:t>100 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77AAE" w:rsidP="000D1B28">
            <w:pPr>
              <w:tabs>
                <w:tab w:val="clear" w:pos="567"/>
              </w:tabs>
              <w:snapToGrid/>
              <w:rPr>
                <w:rFonts w:cs="Arial"/>
                <w:snapToGrid/>
                <w:sz w:val="16"/>
                <w:szCs w:val="16"/>
                <w:lang w:val="fr-FR" w:eastAsia="fr-FR"/>
              </w:rPr>
            </w:pPr>
            <w:r w:rsidRPr="00677AAE">
              <w:rPr>
                <w:rFonts w:cs="Arial"/>
                <w:snapToGrid/>
                <w:sz w:val="16"/>
                <w:szCs w:val="16"/>
                <w:lang w:val="fr-FR" w:eastAsia="fr-FR"/>
              </w:rPr>
              <w:t>Projets du GOOS dans l’océan Indien par le biais du Bureau de projet de Perth</w:t>
            </w:r>
          </w:p>
        </w:tc>
        <w:tc>
          <w:tcPr>
            <w:tcW w:w="588" w:type="pct"/>
            <w:tcBorders>
              <w:top w:val="nil"/>
              <w:left w:val="nil"/>
              <w:bottom w:val="single" w:sz="4" w:space="0" w:color="auto"/>
              <w:right w:val="single" w:sz="8"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15 </w:t>
            </w:r>
            <w:r w:rsidR="000D1B28" w:rsidRPr="00226E45">
              <w:rPr>
                <w:rFonts w:cs="Arial"/>
                <w:snapToGrid/>
                <w:sz w:val="16"/>
                <w:szCs w:val="16"/>
                <w:lang w:val="fr-FR" w:eastAsia="fr-FR"/>
              </w:rPr>
              <w:t>052</w:t>
            </w:r>
          </w:p>
        </w:tc>
        <w:tc>
          <w:tcPr>
            <w:tcW w:w="530"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17 </w:t>
            </w:r>
            <w:r w:rsidR="000D1B28" w:rsidRPr="00226E45">
              <w:rPr>
                <w:rFonts w:cs="Arial"/>
                <w:snapToGrid/>
                <w:sz w:val="16"/>
                <w:szCs w:val="16"/>
                <w:lang w:val="fr-FR" w:eastAsia="fr-FR"/>
              </w:rPr>
              <w:t>528</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noWrap/>
            <w:vAlign w:val="center"/>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CF05C0">
            <w:pPr>
              <w:tabs>
                <w:tab w:val="clear" w:pos="567"/>
              </w:tabs>
              <w:snapToGrid/>
              <w:jc w:val="right"/>
              <w:rPr>
                <w:rFonts w:cs="Arial"/>
                <w:snapToGrid/>
                <w:sz w:val="16"/>
                <w:szCs w:val="16"/>
                <w:lang w:val="fr-FR" w:eastAsia="fr-FR"/>
              </w:rPr>
            </w:pPr>
            <w:r>
              <w:rPr>
                <w:rFonts w:cs="Arial"/>
                <w:snapToGrid/>
                <w:sz w:val="16"/>
                <w:szCs w:val="16"/>
                <w:lang w:val="fr-FR" w:eastAsia="fr-FR"/>
              </w:rPr>
              <w:t>175 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noWrap/>
            <w:vAlign w:val="bottom"/>
            <w:hideMark/>
          </w:tcPr>
          <w:p w:rsidR="000D1B28" w:rsidRPr="00226E45" w:rsidRDefault="008D0952" w:rsidP="00CF05C0">
            <w:pPr>
              <w:tabs>
                <w:tab w:val="clear" w:pos="567"/>
              </w:tabs>
              <w:snapToGrid/>
              <w:jc w:val="right"/>
              <w:rPr>
                <w:rFonts w:cs="Arial"/>
                <w:snapToGrid/>
                <w:sz w:val="16"/>
                <w:szCs w:val="16"/>
                <w:lang w:val="fr-FR" w:eastAsia="fr-FR"/>
              </w:rPr>
            </w:pPr>
            <w:r>
              <w:rPr>
                <w:rFonts w:cs="Arial"/>
                <w:snapToGrid/>
                <w:sz w:val="16"/>
                <w:szCs w:val="16"/>
                <w:lang w:val="fr-FR" w:eastAsia="fr-FR"/>
              </w:rPr>
              <w:t>175 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77AAE" w:rsidP="000D1B28">
            <w:pPr>
              <w:tabs>
                <w:tab w:val="clear" w:pos="567"/>
              </w:tabs>
              <w:snapToGrid/>
              <w:rPr>
                <w:rFonts w:cs="Arial"/>
                <w:snapToGrid/>
                <w:sz w:val="16"/>
                <w:szCs w:val="16"/>
                <w:lang w:val="fr-FR" w:eastAsia="fr-FR"/>
              </w:rPr>
            </w:pPr>
            <w:r>
              <w:rPr>
                <w:rFonts w:cs="Arial"/>
                <w:snapToGrid/>
                <w:sz w:val="16"/>
                <w:szCs w:val="16"/>
                <w:lang w:val="fr-FR" w:eastAsia="fr-FR"/>
              </w:rPr>
              <w:t>EIOI</w:t>
            </w:r>
            <w:r w:rsidR="000D1B28" w:rsidRPr="00226E45">
              <w:rPr>
                <w:rFonts w:cs="Arial"/>
                <w:snapToGrid/>
                <w:sz w:val="16"/>
                <w:szCs w:val="16"/>
                <w:lang w:val="fr-FR" w:eastAsia="fr-FR"/>
              </w:rPr>
              <w:t>-2</w:t>
            </w:r>
          </w:p>
        </w:tc>
        <w:tc>
          <w:tcPr>
            <w:tcW w:w="588" w:type="pct"/>
            <w:tcBorders>
              <w:top w:val="nil"/>
              <w:left w:val="nil"/>
              <w:bottom w:val="single" w:sz="4" w:space="0" w:color="auto"/>
              <w:right w:val="single" w:sz="8"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35 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26 </w:t>
            </w:r>
            <w:r w:rsidR="000D1B28" w:rsidRPr="00226E45">
              <w:rPr>
                <w:rFonts w:cs="Arial"/>
                <w:snapToGrid/>
                <w:sz w:val="16"/>
                <w:szCs w:val="16"/>
                <w:lang w:val="fr-FR" w:eastAsia="fr-FR"/>
              </w:rPr>
              <w:t>341</w:t>
            </w:r>
          </w:p>
        </w:tc>
        <w:tc>
          <w:tcPr>
            <w:tcW w:w="530"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30 </w:t>
            </w:r>
            <w:r w:rsidR="000D1B28" w:rsidRPr="00226E45">
              <w:rPr>
                <w:rFonts w:cs="Arial"/>
                <w:snapToGrid/>
                <w:sz w:val="16"/>
                <w:szCs w:val="16"/>
                <w:lang w:val="fr-FR" w:eastAsia="fr-FR"/>
              </w:rPr>
              <w:t>674</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35 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noWrap/>
            <w:vAlign w:val="center"/>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170 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noWrap/>
            <w:vAlign w:val="center"/>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250 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noWrap/>
            <w:vAlign w:val="center"/>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420 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noWrap/>
            <w:vAlign w:val="bottom"/>
            <w:hideMark/>
          </w:tcPr>
          <w:p w:rsidR="000D1B28" w:rsidRPr="00226E45" w:rsidRDefault="00677AAE" w:rsidP="000D1B28">
            <w:pPr>
              <w:tabs>
                <w:tab w:val="clear" w:pos="567"/>
              </w:tabs>
              <w:snapToGrid/>
              <w:rPr>
                <w:rFonts w:cs="Arial"/>
                <w:snapToGrid/>
                <w:color w:val="000000"/>
                <w:sz w:val="16"/>
                <w:szCs w:val="16"/>
                <w:lang w:val="fr-FR" w:eastAsia="fr-FR"/>
              </w:rPr>
            </w:pPr>
            <w:r>
              <w:rPr>
                <w:rFonts w:cs="Arial"/>
                <w:snapToGrid/>
                <w:color w:val="000000"/>
                <w:sz w:val="16"/>
                <w:szCs w:val="16"/>
                <w:lang w:val="fr-FR" w:eastAsia="fr-FR"/>
              </w:rPr>
              <w:t>Intégration et exécution des systèmes d’observation</w:t>
            </w:r>
          </w:p>
        </w:tc>
        <w:tc>
          <w:tcPr>
            <w:tcW w:w="588" w:type="pct"/>
            <w:tcBorders>
              <w:top w:val="nil"/>
              <w:left w:val="nil"/>
              <w:bottom w:val="single" w:sz="4" w:space="0" w:color="auto"/>
              <w:right w:val="single" w:sz="8" w:space="0" w:color="auto"/>
            </w:tcBorders>
            <w:shd w:val="clear" w:color="auto" w:fill="auto"/>
            <w:noWrap/>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80 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60 </w:t>
            </w:r>
            <w:r w:rsidR="000D1B28" w:rsidRPr="00226E45">
              <w:rPr>
                <w:rFonts w:cs="Arial"/>
                <w:snapToGrid/>
                <w:sz w:val="16"/>
                <w:szCs w:val="16"/>
                <w:lang w:val="fr-FR" w:eastAsia="fr-FR"/>
              </w:rPr>
              <w:t>207</w:t>
            </w:r>
          </w:p>
        </w:tc>
        <w:tc>
          <w:tcPr>
            <w:tcW w:w="530"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70 </w:t>
            </w:r>
            <w:r w:rsidR="000D1B28" w:rsidRPr="00226E45">
              <w:rPr>
                <w:rFonts w:cs="Arial"/>
                <w:snapToGrid/>
                <w:sz w:val="16"/>
                <w:szCs w:val="16"/>
                <w:lang w:val="fr-FR" w:eastAsia="fr-FR"/>
              </w:rPr>
              <w:t>113</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80 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noWrap/>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50</w:t>
            </w:r>
            <w:r w:rsidR="008D0952">
              <w:rPr>
                <w:rFonts w:cs="Arial"/>
                <w:snapToGrid/>
                <w:sz w:val="16"/>
                <w:szCs w:val="16"/>
                <w:lang w:val="fr-FR" w:eastAsia="fr-FR"/>
              </w:rPr>
              <w:t> </w:t>
            </w:r>
            <w:r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344</w:t>
            </w:r>
            <w:r w:rsidR="008D0952">
              <w:rPr>
                <w:rFonts w:cs="Arial"/>
                <w:snapToGrid/>
                <w:sz w:val="16"/>
                <w:szCs w:val="16"/>
                <w:lang w:val="fr-FR" w:eastAsia="fr-FR"/>
              </w:rPr>
              <w:t> </w:t>
            </w:r>
            <w:r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noWrap/>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394</w:t>
            </w:r>
            <w:r w:rsidR="008D0952">
              <w:rPr>
                <w:rFonts w:cs="Arial"/>
                <w:snapToGrid/>
                <w:sz w:val="16"/>
                <w:szCs w:val="16"/>
                <w:lang w:val="fr-FR" w:eastAsia="fr-FR"/>
              </w:rPr>
              <w:t> </w:t>
            </w:r>
            <w:r w:rsidRPr="00226E45">
              <w:rPr>
                <w:rFonts w:cs="Arial"/>
                <w:snapToGrid/>
                <w:sz w:val="16"/>
                <w:szCs w:val="16"/>
                <w:lang w:val="fr-FR" w:eastAsia="fr-FR"/>
              </w:rPr>
              <w:t>000</w:t>
            </w:r>
          </w:p>
        </w:tc>
      </w:tr>
      <w:tr w:rsidR="000D1B28" w:rsidRPr="00226E45" w:rsidTr="00A311D2">
        <w:trPr>
          <w:trHeight w:val="25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77AAE" w:rsidP="00677AAE">
            <w:pPr>
              <w:tabs>
                <w:tab w:val="clear" w:pos="567"/>
              </w:tabs>
              <w:snapToGrid/>
              <w:rPr>
                <w:rFonts w:cs="Arial"/>
                <w:snapToGrid/>
                <w:sz w:val="16"/>
                <w:szCs w:val="16"/>
                <w:lang w:val="fr-FR" w:eastAsia="fr-FR"/>
              </w:rPr>
            </w:pPr>
            <w:r>
              <w:rPr>
                <w:rFonts w:cs="Arial"/>
                <w:snapToGrid/>
                <w:sz w:val="16"/>
                <w:szCs w:val="16"/>
                <w:lang w:val="fr-FR" w:eastAsia="fr-FR"/>
              </w:rPr>
              <w:t>Systèmes centraux IODE/</w:t>
            </w:r>
            <w:r w:rsidR="000D1B28" w:rsidRPr="00226E45">
              <w:rPr>
                <w:rFonts w:cs="Arial"/>
                <w:snapToGrid/>
                <w:sz w:val="16"/>
                <w:szCs w:val="16"/>
                <w:lang w:val="fr-FR" w:eastAsia="fr-FR"/>
              </w:rPr>
              <w:t xml:space="preserve">OBIS </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82 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61 </w:t>
            </w:r>
            <w:r w:rsidR="000D1B28" w:rsidRPr="00226E45">
              <w:rPr>
                <w:rFonts w:cs="Arial"/>
                <w:snapToGrid/>
                <w:sz w:val="16"/>
                <w:szCs w:val="16"/>
                <w:lang w:val="fr-FR" w:eastAsia="fr-FR"/>
              </w:rPr>
              <w:t>712</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71 </w:t>
            </w:r>
            <w:r w:rsidR="000D1B28" w:rsidRPr="00226E45">
              <w:rPr>
                <w:rFonts w:cs="Arial"/>
                <w:snapToGrid/>
                <w:sz w:val="16"/>
                <w:szCs w:val="16"/>
                <w:lang w:val="fr-FR" w:eastAsia="fr-FR"/>
              </w:rPr>
              <w:t>866</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82 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noWrap/>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200</w:t>
            </w:r>
            <w:r w:rsidR="008D0952">
              <w:rPr>
                <w:rFonts w:cs="Arial"/>
                <w:snapToGrid/>
                <w:sz w:val="16"/>
                <w:szCs w:val="16"/>
                <w:lang w:val="fr-FR" w:eastAsia="fr-FR"/>
              </w:rPr>
              <w:t> </w:t>
            </w:r>
            <w:r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noWrap/>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200</w:t>
            </w:r>
            <w:r w:rsidR="008D0952">
              <w:rPr>
                <w:rFonts w:cs="Arial"/>
                <w:snapToGrid/>
                <w:sz w:val="16"/>
                <w:szCs w:val="16"/>
                <w:lang w:val="fr-FR" w:eastAsia="fr-FR"/>
              </w:rPr>
              <w:t> </w:t>
            </w:r>
            <w:r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000000" w:fill="DAEEF3"/>
            <w:vAlign w:val="bottom"/>
            <w:hideMark/>
          </w:tcPr>
          <w:p w:rsidR="000D1B28" w:rsidRPr="00226E45" w:rsidRDefault="00332725" w:rsidP="00332725">
            <w:pPr>
              <w:tabs>
                <w:tab w:val="clear" w:pos="567"/>
              </w:tabs>
              <w:snapToGrid/>
              <w:rPr>
                <w:rFonts w:cs="Arial"/>
                <w:b/>
                <w:bCs/>
                <w:snapToGrid/>
                <w:sz w:val="16"/>
                <w:szCs w:val="16"/>
                <w:lang w:val="fr-FR" w:eastAsia="fr-FR"/>
              </w:rPr>
            </w:pPr>
            <w:r>
              <w:rPr>
                <w:rFonts w:cs="Arial"/>
                <w:b/>
                <w:bCs/>
                <w:snapToGrid/>
                <w:sz w:val="16"/>
                <w:szCs w:val="16"/>
                <w:lang w:val="fr-FR" w:eastAsia="fr-FR"/>
              </w:rPr>
              <w:t>FO</w:t>
            </w:r>
            <w:r w:rsidR="000D1B28" w:rsidRPr="00226E45">
              <w:rPr>
                <w:rFonts w:cs="Arial"/>
                <w:b/>
                <w:bCs/>
                <w:snapToGrid/>
                <w:sz w:val="16"/>
                <w:szCs w:val="16"/>
                <w:lang w:val="fr-FR" w:eastAsia="fr-FR"/>
              </w:rPr>
              <w:t xml:space="preserve">NCTION C </w:t>
            </w:r>
            <w:r>
              <w:rPr>
                <w:rFonts w:cs="Arial"/>
                <w:b/>
                <w:bCs/>
                <w:snapToGrid/>
                <w:sz w:val="16"/>
                <w:szCs w:val="16"/>
                <w:lang w:val="fr-FR" w:eastAsia="fr-FR"/>
              </w:rPr>
              <w:t>–</w:t>
            </w:r>
            <w:r w:rsidR="000D1B28" w:rsidRPr="00226E45">
              <w:rPr>
                <w:rFonts w:cs="Arial"/>
                <w:b/>
                <w:bCs/>
                <w:snapToGrid/>
                <w:sz w:val="16"/>
                <w:szCs w:val="16"/>
                <w:lang w:val="fr-FR" w:eastAsia="fr-FR"/>
              </w:rPr>
              <w:t xml:space="preserve"> </w:t>
            </w:r>
            <w:r>
              <w:rPr>
                <w:rFonts w:cs="Arial"/>
                <w:b/>
                <w:bCs/>
                <w:snapToGrid/>
                <w:sz w:val="16"/>
                <w:szCs w:val="16"/>
                <w:lang w:val="fr-FR" w:eastAsia="fr-FR"/>
              </w:rPr>
              <w:t>Alerte rapide et</w:t>
            </w:r>
            <w:r w:rsidR="000D1B28" w:rsidRPr="00226E45">
              <w:rPr>
                <w:rFonts w:cs="Arial"/>
                <w:b/>
                <w:bCs/>
                <w:snapToGrid/>
                <w:sz w:val="16"/>
                <w:szCs w:val="16"/>
                <w:lang w:val="fr-FR" w:eastAsia="fr-FR"/>
              </w:rPr>
              <w:t xml:space="preserve"> services</w:t>
            </w:r>
          </w:p>
        </w:tc>
        <w:tc>
          <w:tcPr>
            <w:tcW w:w="588" w:type="pct"/>
            <w:tcBorders>
              <w:top w:val="nil"/>
              <w:left w:val="nil"/>
              <w:bottom w:val="single" w:sz="4" w:space="0" w:color="auto"/>
              <w:right w:val="single" w:sz="8" w:space="0" w:color="auto"/>
            </w:tcBorders>
            <w:shd w:val="clear" w:color="000000" w:fill="DAEEF3"/>
            <w:noWrap/>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450 </w:t>
            </w:r>
            <w:r w:rsidR="000D1B28" w:rsidRPr="00226E45">
              <w:rPr>
                <w:rFonts w:cs="Arial"/>
                <w:b/>
                <w:bCs/>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000000" w:fill="DAEEF3"/>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338 </w:t>
            </w:r>
            <w:r w:rsidR="000D1B28" w:rsidRPr="00226E45">
              <w:rPr>
                <w:rFonts w:cs="Arial"/>
                <w:b/>
                <w:bCs/>
                <w:snapToGrid/>
                <w:sz w:val="16"/>
                <w:szCs w:val="16"/>
                <w:lang w:val="fr-FR" w:eastAsia="fr-FR"/>
              </w:rPr>
              <w:t>664</w:t>
            </w:r>
          </w:p>
        </w:tc>
        <w:tc>
          <w:tcPr>
            <w:tcW w:w="530" w:type="pct"/>
            <w:tcBorders>
              <w:top w:val="nil"/>
              <w:left w:val="nil"/>
              <w:bottom w:val="single" w:sz="4" w:space="0" w:color="auto"/>
              <w:right w:val="single" w:sz="4" w:space="0" w:color="auto"/>
            </w:tcBorders>
            <w:shd w:val="clear" w:color="000000" w:fill="DAEEF3"/>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394 </w:t>
            </w:r>
            <w:r w:rsidR="000D1B28" w:rsidRPr="00226E45">
              <w:rPr>
                <w:rFonts w:cs="Arial"/>
                <w:b/>
                <w:bCs/>
                <w:snapToGrid/>
                <w:sz w:val="16"/>
                <w:szCs w:val="16"/>
                <w:lang w:val="fr-FR" w:eastAsia="fr-FR"/>
              </w:rPr>
              <w:t>384</w:t>
            </w:r>
          </w:p>
        </w:tc>
        <w:tc>
          <w:tcPr>
            <w:tcW w:w="447" w:type="pct"/>
            <w:tcBorders>
              <w:top w:val="nil"/>
              <w:left w:val="nil"/>
              <w:bottom w:val="single" w:sz="4" w:space="0" w:color="auto"/>
              <w:right w:val="single" w:sz="4" w:space="0" w:color="auto"/>
            </w:tcBorders>
            <w:shd w:val="clear" w:color="000000" w:fill="DAEEF3"/>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450 </w:t>
            </w:r>
            <w:r w:rsidR="000D1B28" w:rsidRPr="00226E45">
              <w:rPr>
                <w:rFonts w:cs="Arial"/>
                <w:b/>
                <w:bCs/>
                <w:snapToGrid/>
                <w:sz w:val="16"/>
                <w:szCs w:val="16"/>
                <w:lang w:val="fr-FR" w:eastAsia="fr-FR"/>
              </w:rPr>
              <w:t>000</w:t>
            </w:r>
          </w:p>
        </w:tc>
        <w:tc>
          <w:tcPr>
            <w:tcW w:w="405" w:type="pct"/>
            <w:tcBorders>
              <w:top w:val="nil"/>
              <w:left w:val="nil"/>
              <w:bottom w:val="single" w:sz="4" w:space="0" w:color="auto"/>
              <w:right w:val="single" w:sz="4" w:space="0" w:color="auto"/>
            </w:tcBorders>
            <w:shd w:val="clear" w:color="000000" w:fill="DAEEF3"/>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550 </w:t>
            </w:r>
            <w:r w:rsidR="000D1B28" w:rsidRPr="00226E45">
              <w:rPr>
                <w:rFonts w:cs="Arial"/>
                <w:b/>
                <w:bCs/>
                <w:snapToGrid/>
                <w:sz w:val="16"/>
                <w:szCs w:val="16"/>
                <w:lang w:val="fr-FR" w:eastAsia="fr-FR"/>
              </w:rPr>
              <w:t>000</w:t>
            </w:r>
          </w:p>
        </w:tc>
        <w:tc>
          <w:tcPr>
            <w:tcW w:w="447" w:type="pct"/>
            <w:tcBorders>
              <w:top w:val="nil"/>
              <w:left w:val="nil"/>
              <w:bottom w:val="single" w:sz="4" w:space="0" w:color="auto"/>
              <w:right w:val="single" w:sz="4" w:space="0" w:color="auto"/>
            </w:tcBorders>
            <w:shd w:val="clear" w:color="000000" w:fill="DAEEF3"/>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2 130 </w:t>
            </w:r>
            <w:r w:rsidR="000D1B28" w:rsidRPr="00226E45">
              <w:rPr>
                <w:rFonts w:cs="Arial"/>
                <w:b/>
                <w:bCs/>
                <w:snapToGrid/>
                <w:sz w:val="16"/>
                <w:szCs w:val="16"/>
                <w:lang w:val="fr-FR" w:eastAsia="fr-FR"/>
              </w:rPr>
              <w:t>000</w:t>
            </w:r>
          </w:p>
        </w:tc>
        <w:tc>
          <w:tcPr>
            <w:tcW w:w="447" w:type="pct"/>
            <w:tcBorders>
              <w:top w:val="nil"/>
              <w:left w:val="nil"/>
              <w:bottom w:val="single" w:sz="4" w:space="0" w:color="auto"/>
              <w:right w:val="single" w:sz="8" w:space="0" w:color="auto"/>
            </w:tcBorders>
            <w:shd w:val="clear" w:color="000000" w:fill="DAEEF3"/>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w:t>
            </w:r>
            <w:r w:rsidR="000D1B28" w:rsidRPr="00226E45">
              <w:rPr>
                <w:rFonts w:cs="Arial"/>
                <w:b/>
                <w:bCs/>
                <w:snapToGrid/>
                <w:sz w:val="16"/>
                <w:szCs w:val="16"/>
                <w:lang w:val="fr-FR" w:eastAsia="fr-FR"/>
              </w:rPr>
              <w:t>6</w:t>
            </w:r>
            <w:r>
              <w:rPr>
                <w:rFonts w:cs="Arial"/>
                <w:b/>
                <w:bCs/>
                <w:snapToGrid/>
                <w:sz w:val="16"/>
                <w:szCs w:val="16"/>
                <w:lang w:val="fr-FR" w:eastAsia="fr-FR"/>
              </w:rPr>
              <w:t>80 </w:t>
            </w:r>
            <w:r w:rsidR="000D1B28" w:rsidRPr="00226E45">
              <w:rPr>
                <w:rFonts w:cs="Arial"/>
                <w:b/>
                <w:bCs/>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332725" w:rsidP="000D1B28">
            <w:pPr>
              <w:tabs>
                <w:tab w:val="clear" w:pos="567"/>
              </w:tabs>
              <w:snapToGrid/>
              <w:rPr>
                <w:rFonts w:cs="Arial"/>
                <w:snapToGrid/>
                <w:sz w:val="16"/>
                <w:szCs w:val="16"/>
                <w:lang w:val="fr-FR" w:eastAsia="fr-FR"/>
              </w:rPr>
            </w:pPr>
            <w:r w:rsidRPr="00332725">
              <w:rPr>
                <w:rFonts w:cs="Arial"/>
                <w:snapToGrid/>
                <w:sz w:val="16"/>
                <w:szCs w:val="16"/>
                <w:lang w:val="fr-FR" w:eastAsia="fr-FR"/>
              </w:rPr>
              <w:t>Promouvoir des systèmes d’alerte intégrés et permanents</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125 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center"/>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94 </w:t>
            </w:r>
            <w:r w:rsidR="000D1B28" w:rsidRPr="00226E45">
              <w:rPr>
                <w:rFonts w:cs="Arial"/>
                <w:snapToGrid/>
                <w:sz w:val="16"/>
                <w:szCs w:val="16"/>
                <w:lang w:val="fr-FR" w:eastAsia="fr-FR"/>
              </w:rPr>
              <w:t>073</w:t>
            </w:r>
          </w:p>
        </w:tc>
        <w:tc>
          <w:tcPr>
            <w:tcW w:w="530" w:type="pct"/>
            <w:tcBorders>
              <w:top w:val="nil"/>
              <w:left w:val="nil"/>
              <w:bottom w:val="single" w:sz="4" w:space="0" w:color="auto"/>
              <w:right w:val="single" w:sz="4" w:space="0" w:color="auto"/>
            </w:tcBorders>
            <w:shd w:val="clear" w:color="auto" w:fill="auto"/>
            <w:vAlign w:val="center"/>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109 </w:t>
            </w:r>
            <w:r w:rsidR="000D1B28" w:rsidRPr="00226E45">
              <w:rPr>
                <w:rFonts w:cs="Arial"/>
                <w:snapToGrid/>
                <w:sz w:val="16"/>
                <w:szCs w:val="16"/>
                <w:lang w:val="fr-FR" w:eastAsia="fr-FR"/>
              </w:rPr>
              <w:t>551</w:t>
            </w:r>
          </w:p>
        </w:tc>
        <w:tc>
          <w:tcPr>
            <w:tcW w:w="447" w:type="pct"/>
            <w:tcBorders>
              <w:top w:val="nil"/>
              <w:left w:val="nil"/>
              <w:bottom w:val="single" w:sz="4" w:space="0" w:color="auto"/>
              <w:right w:val="single" w:sz="4" w:space="0" w:color="auto"/>
            </w:tcBorders>
            <w:shd w:val="clear" w:color="auto" w:fill="auto"/>
            <w:vAlign w:val="center"/>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125 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150</w:t>
            </w:r>
            <w:r w:rsidR="008D0952">
              <w:rPr>
                <w:rFonts w:cs="Arial"/>
                <w:snapToGrid/>
                <w:sz w:val="16"/>
                <w:szCs w:val="16"/>
                <w:lang w:val="fr-FR" w:eastAsia="fr-FR"/>
              </w:rPr>
              <w:t> </w:t>
            </w:r>
            <w:r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270</w:t>
            </w:r>
            <w:r w:rsidR="008D0952">
              <w:rPr>
                <w:rFonts w:cs="Arial"/>
                <w:snapToGrid/>
                <w:sz w:val="16"/>
                <w:szCs w:val="16"/>
                <w:lang w:val="fr-FR" w:eastAsia="fr-FR"/>
              </w:rPr>
              <w:t> </w:t>
            </w:r>
            <w:r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420</w:t>
            </w:r>
            <w:r w:rsidR="008D0952">
              <w:rPr>
                <w:rFonts w:cs="Arial"/>
                <w:snapToGrid/>
                <w:sz w:val="16"/>
                <w:szCs w:val="16"/>
                <w:lang w:val="fr-FR" w:eastAsia="fr-FR"/>
              </w:rPr>
              <w:t> </w:t>
            </w:r>
            <w:r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332725" w:rsidP="000D1B28">
            <w:pPr>
              <w:tabs>
                <w:tab w:val="clear" w:pos="567"/>
              </w:tabs>
              <w:snapToGrid/>
              <w:rPr>
                <w:rFonts w:cs="Arial"/>
                <w:snapToGrid/>
                <w:sz w:val="16"/>
                <w:szCs w:val="16"/>
                <w:lang w:val="fr-FR" w:eastAsia="fr-FR"/>
              </w:rPr>
            </w:pPr>
            <w:r w:rsidRPr="00332725">
              <w:rPr>
                <w:rFonts w:cs="Arial"/>
                <w:snapToGrid/>
                <w:sz w:val="16"/>
                <w:szCs w:val="16"/>
                <w:lang w:val="fr-FR" w:eastAsia="fr-FR"/>
              </w:rPr>
              <w:t>Éduquer les communautés menacées</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45 </w:t>
            </w:r>
            <w:r w:rsidR="000D1B28" w:rsidRPr="00226E45">
              <w:rPr>
                <w:rFonts w:cs="Arial"/>
                <w:snapToGrid/>
                <w:sz w:val="16"/>
                <w:szCs w:val="16"/>
                <w:lang w:val="fr-FR" w:eastAsia="fr-FR"/>
              </w:rPr>
              <w:t>155</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52 </w:t>
            </w:r>
            <w:r w:rsidR="000D1B28" w:rsidRPr="00226E45">
              <w:rPr>
                <w:rFonts w:cs="Arial"/>
                <w:snapToGrid/>
                <w:sz w:val="16"/>
                <w:szCs w:val="16"/>
                <w:lang w:val="fr-FR" w:eastAsia="fr-FR"/>
              </w:rPr>
              <w:t>585</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150 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150</w:t>
            </w:r>
            <w:r w:rsidR="008D0952">
              <w:rPr>
                <w:rFonts w:cs="Arial"/>
                <w:snapToGrid/>
                <w:sz w:val="16"/>
                <w:szCs w:val="16"/>
                <w:lang w:val="fr-FR" w:eastAsia="fr-FR"/>
              </w:rPr>
              <w:t> </w:t>
            </w:r>
            <w:r w:rsidRPr="00226E45">
              <w:rPr>
                <w:rFonts w:cs="Arial"/>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332725" w:rsidP="00332725">
            <w:pPr>
              <w:tabs>
                <w:tab w:val="clear" w:pos="567"/>
              </w:tabs>
              <w:snapToGrid/>
              <w:rPr>
                <w:rFonts w:cs="Arial"/>
                <w:snapToGrid/>
                <w:sz w:val="16"/>
                <w:szCs w:val="16"/>
                <w:lang w:val="fr-FR" w:eastAsia="fr-FR"/>
              </w:rPr>
            </w:pPr>
            <w:r w:rsidRPr="00332725">
              <w:rPr>
                <w:rFonts w:cs="Arial"/>
                <w:snapToGrid/>
                <w:sz w:val="16"/>
                <w:szCs w:val="16"/>
                <w:lang w:val="fr-FR" w:eastAsia="fr-FR"/>
              </w:rPr>
              <w:t xml:space="preserve">Éduquer les communautés menacées </w:t>
            </w:r>
            <w:r w:rsidR="000D1B28" w:rsidRPr="00226E45">
              <w:rPr>
                <w:rFonts w:cs="Arial"/>
                <w:snapToGrid/>
                <w:sz w:val="16"/>
                <w:szCs w:val="16"/>
                <w:lang w:val="fr-FR" w:eastAsia="fr-FR"/>
              </w:rPr>
              <w:t>(</w:t>
            </w:r>
            <w:r>
              <w:rPr>
                <w:rFonts w:cs="Arial"/>
                <w:snapToGrid/>
                <w:sz w:val="16"/>
                <w:szCs w:val="16"/>
                <w:lang w:val="fr-FR" w:eastAsia="fr-FR"/>
              </w:rPr>
              <w:t>Caraïbes</w:t>
            </w:r>
            <w:r w:rsidR="000D1B28" w:rsidRPr="00226E45">
              <w:rPr>
                <w:rFonts w:cs="Arial"/>
                <w:snapToGrid/>
                <w:sz w:val="16"/>
                <w:szCs w:val="16"/>
                <w:lang w:val="fr-FR" w:eastAsia="fr-FR"/>
              </w:rPr>
              <w:t>)</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15 </w:t>
            </w:r>
            <w:r w:rsidR="000D1B28" w:rsidRPr="00226E45">
              <w:rPr>
                <w:rFonts w:cs="Arial"/>
                <w:snapToGrid/>
                <w:sz w:val="16"/>
                <w:szCs w:val="16"/>
                <w:lang w:val="fr-FR" w:eastAsia="fr-FR"/>
              </w:rPr>
              <w:t>052</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17</w:t>
            </w:r>
            <w:r w:rsidR="008D0952">
              <w:rPr>
                <w:rFonts w:cs="Arial"/>
                <w:snapToGrid/>
                <w:sz w:val="16"/>
                <w:szCs w:val="16"/>
                <w:lang w:val="fr-FR" w:eastAsia="fr-FR"/>
              </w:rPr>
              <w:t> </w:t>
            </w:r>
            <w:r w:rsidRPr="00226E45">
              <w:rPr>
                <w:rFonts w:cs="Arial"/>
                <w:snapToGrid/>
                <w:sz w:val="16"/>
                <w:szCs w:val="16"/>
                <w:lang w:val="fr-FR" w:eastAsia="fr-FR"/>
              </w:rPr>
              <w:t>528</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150 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150 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332725" w:rsidP="000D1B28">
            <w:pPr>
              <w:tabs>
                <w:tab w:val="clear" w:pos="567"/>
              </w:tabs>
              <w:snapToGrid/>
              <w:rPr>
                <w:rFonts w:cs="Arial"/>
                <w:snapToGrid/>
                <w:sz w:val="16"/>
                <w:szCs w:val="16"/>
                <w:lang w:val="fr-FR" w:eastAsia="fr-FR"/>
              </w:rPr>
            </w:pPr>
            <w:r w:rsidRPr="00332725">
              <w:rPr>
                <w:rFonts w:cs="Arial"/>
                <w:snapToGrid/>
                <w:sz w:val="16"/>
                <w:szCs w:val="16"/>
                <w:lang w:val="fr-FR" w:eastAsia="fr-FR"/>
              </w:rPr>
              <w:t xml:space="preserve">Éduquer les communautés menacées </w:t>
            </w:r>
            <w:r>
              <w:rPr>
                <w:rFonts w:cs="Arial"/>
                <w:snapToGrid/>
                <w:sz w:val="16"/>
                <w:szCs w:val="16"/>
                <w:lang w:val="fr-FR" w:eastAsia="fr-FR"/>
              </w:rPr>
              <w:t>(Pacifique</w:t>
            </w:r>
            <w:r w:rsidR="000D1B28" w:rsidRPr="00226E45">
              <w:rPr>
                <w:rFonts w:cs="Arial"/>
                <w:snapToGrid/>
                <w:sz w:val="16"/>
                <w:szCs w:val="16"/>
                <w:lang w:val="fr-FR" w:eastAsia="fr-FR"/>
              </w:rPr>
              <w:t>)</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30 </w:t>
            </w:r>
            <w:r w:rsidR="000D1B28" w:rsidRPr="00226E45">
              <w:rPr>
                <w:rFonts w:cs="Arial"/>
                <w:snapToGrid/>
                <w:sz w:val="16"/>
                <w:szCs w:val="16"/>
                <w:lang w:val="fr-FR" w:eastAsia="fr-FR"/>
              </w:rPr>
              <w:t>103</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35 </w:t>
            </w:r>
            <w:r w:rsidR="000D1B28" w:rsidRPr="00226E45">
              <w:rPr>
                <w:rFonts w:cs="Arial"/>
                <w:snapToGrid/>
                <w:sz w:val="16"/>
                <w:szCs w:val="16"/>
                <w:lang w:val="fr-FR" w:eastAsia="fr-FR"/>
              </w:rPr>
              <w:t>056</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350 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550 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332725" w:rsidP="00332725">
            <w:pPr>
              <w:tabs>
                <w:tab w:val="clear" w:pos="567"/>
              </w:tabs>
              <w:snapToGrid/>
              <w:rPr>
                <w:rFonts w:cs="Arial"/>
                <w:snapToGrid/>
                <w:sz w:val="16"/>
                <w:szCs w:val="16"/>
                <w:lang w:val="fr-FR" w:eastAsia="fr-FR"/>
              </w:rPr>
            </w:pPr>
            <w:r w:rsidRPr="00332725">
              <w:rPr>
                <w:rFonts w:cs="Arial"/>
                <w:snapToGrid/>
                <w:sz w:val="16"/>
                <w:szCs w:val="16"/>
                <w:lang w:val="fr-FR" w:eastAsia="fr-FR"/>
              </w:rPr>
              <w:t>Contribuer à développer les capacités des États membres</w:t>
            </w:r>
            <w:r>
              <w:rPr>
                <w:rFonts w:cs="Arial"/>
                <w:snapToGrid/>
                <w:sz w:val="16"/>
                <w:szCs w:val="16"/>
                <w:lang w:val="fr-FR" w:eastAsia="fr-FR"/>
              </w:rPr>
              <w:t xml:space="preserve"> pour l’évaluation</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45 </w:t>
            </w:r>
            <w:r w:rsidR="000D1B28" w:rsidRPr="00226E45">
              <w:rPr>
                <w:rFonts w:cs="Arial"/>
                <w:snapToGrid/>
                <w:sz w:val="16"/>
                <w:szCs w:val="16"/>
                <w:lang w:val="fr-FR" w:eastAsia="fr-FR"/>
              </w:rPr>
              <w:t>155</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52 </w:t>
            </w:r>
            <w:r w:rsidR="000D1B28" w:rsidRPr="00226E45">
              <w:rPr>
                <w:rFonts w:cs="Arial"/>
                <w:snapToGrid/>
                <w:sz w:val="16"/>
                <w:szCs w:val="16"/>
                <w:lang w:val="fr-FR" w:eastAsia="fr-FR"/>
              </w:rPr>
              <w:t>585</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220 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220 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332725" w:rsidP="000D1B28">
            <w:pPr>
              <w:tabs>
                <w:tab w:val="clear" w:pos="567"/>
              </w:tabs>
              <w:snapToGrid/>
              <w:rPr>
                <w:rFonts w:cs="Arial"/>
                <w:snapToGrid/>
                <w:sz w:val="16"/>
                <w:szCs w:val="16"/>
                <w:lang w:val="fr-FR" w:eastAsia="fr-FR"/>
              </w:rPr>
            </w:pPr>
            <w:r w:rsidRPr="00332725">
              <w:rPr>
                <w:rFonts w:cs="Arial"/>
                <w:snapToGrid/>
                <w:sz w:val="16"/>
                <w:szCs w:val="16"/>
                <w:lang w:val="fr-FR" w:eastAsia="fr-FR"/>
              </w:rPr>
              <w:t>Contribuer à développer les capacités des États membres pour l’évaluation</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30 </w:t>
            </w:r>
            <w:r w:rsidR="000D1B28" w:rsidRPr="00226E45">
              <w:rPr>
                <w:rFonts w:cs="Arial"/>
                <w:snapToGrid/>
                <w:sz w:val="16"/>
                <w:szCs w:val="16"/>
                <w:lang w:val="fr-FR" w:eastAsia="fr-FR"/>
              </w:rPr>
              <w:t>103</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35 </w:t>
            </w:r>
            <w:r w:rsidR="000D1B28" w:rsidRPr="00226E45">
              <w:rPr>
                <w:rFonts w:cs="Arial"/>
                <w:snapToGrid/>
                <w:sz w:val="16"/>
                <w:szCs w:val="16"/>
                <w:lang w:val="fr-FR" w:eastAsia="fr-FR"/>
              </w:rPr>
              <w:t>056</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8D0952">
            <w:pPr>
              <w:tabs>
                <w:tab w:val="clear" w:pos="567"/>
              </w:tabs>
              <w:snapToGrid/>
              <w:jc w:val="right"/>
              <w:rPr>
                <w:rFonts w:cs="Arial"/>
                <w:snapToGrid/>
                <w:sz w:val="16"/>
                <w:szCs w:val="16"/>
                <w:lang w:val="fr-FR" w:eastAsia="fr-FR"/>
              </w:rPr>
            </w:pPr>
            <w:r w:rsidRPr="00226E45">
              <w:rPr>
                <w:rFonts w:cs="Arial"/>
                <w:snapToGrid/>
                <w:sz w:val="16"/>
                <w:szCs w:val="16"/>
                <w:lang w:val="fr-FR" w:eastAsia="fr-FR"/>
              </w:rPr>
              <w:t>340</w:t>
            </w:r>
            <w:r w:rsidR="008D0952">
              <w:rPr>
                <w:rFonts w:cs="Arial"/>
                <w:snapToGrid/>
                <w:sz w:val="16"/>
                <w:szCs w:val="16"/>
                <w:lang w:val="fr-FR" w:eastAsia="fr-FR"/>
              </w:rPr>
              <w:t> </w:t>
            </w:r>
            <w:r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5</w:t>
            </w:r>
            <w:r w:rsidR="008D0952">
              <w:rPr>
                <w:rFonts w:cs="Arial"/>
                <w:snapToGrid/>
                <w:sz w:val="16"/>
                <w:szCs w:val="16"/>
                <w:lang w:val="fr-FR" w:eastAsia="fr-FR"/>
              </w:rPr>
              <w:t>40 </w:t>
            </w:r>
            <w:r w:rsidRPr="00226E45">
              <w:rPr>
                <w:rFonts w:cs="Arial"/>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noWrap/>
            <w:vAlign w:val="bottom"/>
            <w:hideMark/>
          </w:tcPr>
          <w:p w:rsidR="000D1B28" w:rsidRPr="00226E45" w:rsidRDefault="00332725" w:rsidP="00332725">
            <w:pPr>
              <w:tabs>
                <w:tab w:val="clear" w:pos="567"/>
              </w:tabs>
              <w:snapToGrid/>
              <w:rPr>
                <w:rFonts w:cs="Arial"/>
                <w:snapToGrid/>
                <w:color w:val="000000"/>
                <w:sz w:val="16"/>
                <w:szCs w:val="16"/>
                <w:lang w:val="fr-FR" w:eastAsia="fr-FR"/>
              </w:rPr>
            </w:pPr>
            <w:r>
              <w:rPr>
                <w:rFonts w:cs="Arial"/>
                <w:snapToGrid/>
                <w:color w:val="000000"/>
                <w:sz w:val="16"/>
                <w:szCs w:val="16"/>
                <w:lang w:val="fr-FR" w:eastAsia="fr-FR"/>
              </w:rPr>
              <w:t xml:space="preserve">Systèmes et applications de prévision océanique </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65 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48 </w:t>
            </w:r>
            <w:r w:rsidR="000D1B28" w:rsidRPr="00226E45">
              <w:rPr>
                <w:rFonts w:cs="Arial"/>
                <w:snapToGrid/>
                <w:sz w:val="16"/>
                <w:szCs w:val="16"/>
                <w:lang w:val="fr-FR" w:eastAsia="fr-FR"/>
              </w:rPr>
              <w:t>918</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56 </w:t>
            </w:r>
            <w:r w:rsidR="000D1B28" w:rsidRPr="00226E45">
              <w:rPr>
                <w:rFonts w:cs="Arial"/>
                <w:snapToGrid/>
                <w:sz w:val="16"/>
                <w:szCs w:val="16"/>
                <w:lang w:val="fr-FR" w:eastAsia="fr-FR"/>
              </w:rPr>
              <w:t>967</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65 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450 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450 </w:t>
            </w:r>
            <w:r w:rsidR="000D1B28" w:rsidRPr="00226E45">
              <w:rPr>
                <w:rFonts w:cs="Arial"/>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vAlign w:val="center"/>
            <w:hideMark/>
          </w:tcPr>
          <w:p w:rsidR="000D1B28" w:rsidRPr="00226E45" w:rsidRDefault="00332725" w:rsidP="000D1B28">
            <w:pPr>
              <w:tabs>
                <w:tab w:val="clear" w:pos="567"/>
              </w:tabs>
              <w:snapToGrid/>
              <w:rPr>
                <w:rFonts w:cs="Arial"/>
                <w:snapToGrid/>
                <w:color w:val="000000"/>
                <w:sz w:val="16"/>
                <w:szCs w:val="16"/>
                <w:lang w:val="fr-FR" w:eastAsia="fr-FR"/>
              </w:rPr>
            </w:pPr>
            <w:r w:rsidRPr="00332725">
              <w:rPr>
                <w:rFonts w:cs="Arial"/>
                <w:snapToGrid/>
                <w:color w:val="000000"/>
                <w:sz w:val="16"/>
                <w:szCs w:val="16"/>
                <w:lang w:val="fr-FR" w:eastAsia="fr-FR"/>
              </w:rPr>
              <w:t>Recherche et suivi sur les HAB</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3</w:t>
            </w:r>
            <w:r w:rsidR="00CF05C0">
              <w:rPr>
                <w:rFonts w:cs="Arial"/>
                <w:snapToGrid/>
                <w:sz w:val="16"/>
                <w:szCs w:val="16"/>
                <w:lang w:val="fr-FR" w:eastAsia="fr-FR"/>
              </w:rPr>
              <w:t>0 </w:t>
            </w:r>
            <w:r w:rsidRPr="00226E45">
              <w:rPr>
                <w:rFonts w:cs="Arial"/>
                <w:snapToGrid/>
                <w:sz w:val="16"/>
                <w:szCs w:val="16"/>
                <w:lang w:val="fr-FR" w:eastAsia="fr-FR"/>
              </w:rPr>
              <w:t>103</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35 </w:t>
            </w:r>
            <w:r w:rsidR="000D1B28" w:rsidRPr="00226E45">
              <w:rPr>
                <w:rFonts w:cs="Arial"/>
                <w:snapToGrid/>
                <w:sz w:val="16"/>
                <w:szCs w:val="16"/>
                <w:lang w:val="fr-FR" w:eastAsia="fr-FR"/>
              </w:rPr>
              <w:t>056</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000000" w:fill="DAEEF3"/>
            <w:vAlign w:val="bottom"/>
            <w:hideMark/>
          </w:tcPr>
          <w:p w:rsidR="000D1B28" w:rsidRPr="00226E45" w:rsidRDefault="00332725" w:rsidP="00332725">
            <w:pPr>
              <w:tabs>
                <w:tab w:val="clear" w:pos="567"/>
              </w:tabs>
              <w:snapToGrid/>
              <w:rPr>
                <w:rFonts w:cs="Arial"/>
                <w:b/>
                <w:bCs/>
                <w:snapToGrid/>
                <w:sz w:val="16"/>
                <w:szCs w:val="16"/>
                <w:lang w:val="fr-FR" w:eastAsia="fr-FR"/>
              </w:rPr>
            </w:pPr>
            <w:r>
              <w:rPr>
                <w:rFonts w:cs="Arial"/>
                <w:b/>
                <w:bCs/>
                <w:snapToGrid/>
                <w:sz w:val="16"/>
                <w:szCs w:val="16"/>
                <w:lang w:val="fr-FR" w:eastAsia="fr-FR"/>
              </w:rPr>
              <w:t>FO</w:t>
            </w:r>
            <w:r w:rsidR="000D1B28" w:rsidRPr="00226E45">
              <w:rPr>
                <w:rFonts w:cs="Arial"/>
                <w:b/>
                <w:bCs/>
                <w:snapToGrid/>
                <w:sz w:val="16"/>
                <w:szCs w:val="16"/>
                <w:lang w:val="fr-FR" w:eastAsia="fr-FR"/>
              </w:rPr>
              <w:t xml:space="preserve">NCTION D </w:t>
            </w:r>
            <w:r>
              <w:rPr>
                <w:rFonts w:cs="Arial"/>
                <w:b/>
                <w:bCs/>
                <w:snapToGrid/>
                <w:sz w:val="16"/>
                <w:szCs w:val="16"/>
                <w:lang w:val="fr-FR" w:eastAsia="fr-FR"/>
              </w:rPr>
              <w:t>–</w:t>
            </w:r>
            <w:r w:rsidR="000D1B28" w:rsidRPr="00226E45">
              <w:rPr>
                <w:rFonts w:cs="Arial"/>
                <w:b/>
                <w:bCs/>
                <w:snapToGrid/>
                <w:sz w:val="16"/>
                <w:szCs w:val="16"/>
                <w:lang w:val="fr-FR" w:eastAsia="fr-FR"/>
              </w:rPr>
              <w:t xml:space="preserve"> </w:t>
            </w:r>
            <w:r>
              <w:rPr>
                <w:rFonts w:cs="Arial"/>
                <w:b/>
                <w:bCs/>
                <w:snapToGrid/>
                <w:sz w:val="16"/>
                <w:szCs w:val="16"/>
                <w:lang w:val="fr-FR" w:eastAsia="fr-FR"/>
              </w:rPr>
              <w:t>Évaluation/information pour l’élaboration des politiques</w:t>
            </w:r>
            <w:r w:rsidR="000D1B28" w:rsidRPr="00226E45">
              <w:rPr>
                <w:rFonts w:cs="Arial"/>
                <w:b/>
                <w:bCs/>
                <w:snapToGrid/>
                <w:sz w:val="16"/>
                <w:szCs w:val="16"/>
                <w:lang w:val="fr-FR" w:eastAsia="fr-FR"/>
              </w:rPr>
              <w:t xml:space="preserve"> </w:t>
            </w:r>
          </w:p>
        </w:tc>
        <w:tc>
          <w:tcPr>
            <w:tcW w:w="588" w:type="pct"/>
            <w:tcBorders>
              <w:top w:val="nil"/>
              <w:left w:val="nil"/>
              <w:bottom w:val="single" w:sz="4" w:space="0" w:color="auto"/>
              <w:right w:val="single" w:sz="8" w:space="0" w:color="auto"/>
            </w:tcBorders>
            <w:shd w:val="clear" w:color="000000" w:fill="DAEEF3"/>
            <w:noWrap/>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287 </w:t>
            </w:r>
            <w:r w:rsidR="000D1B28" w:rsidRPr="00226E45">
              <w:rPr>
                <w:rFonts w:cs="Arial"/>
                <w:b/>
                <w:bCs/>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000000" w:fill="DAEEF3"/>
            <w:noWrap/>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195 </w:t>
            </w:r>
            <w:r w:rsidR="000D1B28" w:rsidRPr="00226E45">
              <w:rPr>
                <w:rFonts w:cs="Arial"/>
                <w:b/>
                <w:bCs/>
                <w:snapToGrid/>
                <w:sz w:val="16"/>
                <w:szCs w:val="16"/>
                <w:lang w:val="fr-FR" w:eastAsia="fr-FR"/>
              </w:rPr>
              <w:t>993</w:t>
            </w:r>
          </w:p>
        </w:tc>
        <w:tc>
          <w:tcPr>
            <w:tcW w:w="530" w:type="pct"/>
            <w:tcBorders>
              <w:top w:val="nil"/>
              <w:left w:val="nil"/>
              <w:bottom w:val="single" w:sz="4" w:space="0" w:color="auto"/>
              <w:right w:val="single" w:sz="4" w:space="0" w:color="auto"/>
            </w:tcBorders>
            <w:shd w:val="clear" w:color="000000" w:fill="DAEEF3"/>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231 </w:t>
            </w:r>
            <w:r w:rsidR="000D1B28" w:rsidRPr="00226E45">
              <w:rPr>
                <w:rFonts w:cs="Arial"/>
                <w:b/>
                <w:bCs/>
                <w:snapToGrid/>
                <w:sz w:val="16"/>
                <w:szCs w:val="16"/>
                <w:lang w:val="fr-FR" w:eastAsia="fr-FR"/>
              </w:rPr>
              <w:t>529</w:t>
            </w:r>
          </w:p>
        </w:tc>
        <w:tc>
          <w:tcPr>
            <w:tcW w:w="447" w:type="pct"/>
            <w:tcBorders>
              <w:top w:val="nil"/>
              <w:left w:val="nil"/>
              <w:bottom w:val="single" w:sz="4" w:space="0" w:color="auto"/>
              <w:right w:val="single" w:sz="4" w:space="0" w:color="auto"/>
            </w:tcBorders>
            <w:shd w:val="clear" w:color="000000" w:fill="DAEEF3"/>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267 </w:t>
            </w:r>
            <w:r w:rsidR="000D1B28" w:rsidRPr="00226E45">
              <w:rPr>
                <w:rFonts w:cs="Arial"/>
                <w:b/>
                <w:bCs/>
                <w:snapToGrid/>
                <w:sz w:val="16"/>
                <w:szCs w:val="16"/>
                <w:lang w:val="fr-FR" w:eastAsia="fr-FR"/>
              </w:rPr>
              <w:t>000</w:t>
            </w:r>
          </w:p>
        </w:tc>
        <w:tc>
          <w:tcPr>
            <w:tcW w:w="405" w:type="pct"/>
            <w:tcBorders>
              <w:top w:val="nil"/>
              <w:left w:val="nil"/>
              <w:bottom w:val="single" w:sz="4" w:space="0" w:color="auto"/>
              <w:right w:val="single" w:sz="4" w:space="0" w:color="auto"/>
            </w:tcBorders>
            <w:shd w:val="clear" w:color="000000" w:fill="DAEEF3"/>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single" w:sz="4" w:space="0" w:color="auto"/>
              <w:right w:val="single" w:sz="4" w:space="0" w:color="auto"/>
            </w:tcBorders>
            <w:shd w:val="clear" w:color="000000" w:fill="DAEEF3"/>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2 016 </w:t>
            </w:r>
            <w:r w:rsidR="000D1B28" w:rsidRPr="00226E45">
              <w:rPr>
                <w:rFonts w:cs="Arial"/>
                <w:b/>
                <w:bCs/>
                <w:snapToGrid/>
                <w:sz w:val="16"/>
                <w:szCs w:val="16"/>
                <w:lang w:val="fr-FR" w:eastAsia="fr-FR"/>
              </w:rPr>
              <w:t>000</w:t>
            </w:r>
          </w:p>
        </w:tc>
        <w:tc>
          <w:tcPr>
            <w:tcW w:w="447" w:type="pct"/>
            <w:tcBorders>
              <w:top w:val="nil"/>
              <w:left w:val="nil"/>
              <w:bottom w:val="single" w:sz="4" w:space="0" w:color="auto"/>
              <w:right w:val="single" w:sz="8" w:space="0" w:color="auto"/>
            </w:tcBorders>
            <w:shd w:val="clear" w:color="000000" w:fill="DAEEF3"/>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2 016 </w:t>
            </w:r>
            <w:r w:rsidR="000D1B28" w:rsidRPr="00226E45">
              <w:rPr>
                <w:rFonts w:cs="Arial"/>
                <w:b/>
                <w:bCs/>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17424" w:rsidP="000D1B28">
            <w:pPr>
              <w:tabs>
                <w:tab w:val="clear" w:pos="567"/>
              </w:tabs>
              <w:snapToGrid/>
              <w:rPr>
                <w:rFonts w:cs="Arial"/>
                <w:snapToGrid/>
                <w:sz w:val="16"/>
                <w:szCs w:val="16"/>
                <w:lang w:val="fr-FR" w:eastAsia="fr-FR"/>
              </w:rPr>
            </w:pPr>
            <w:r w:rsidRPr="00617424">
              <w:rPr>
                <w:rFonts w:cs="Arial"/>
                <w:snapToGrid/>
                <w:sz w:val="16"/>
                <w:szCs w:val="16"/>
                <w:lang w:val="fr-FR" w:eastAsia="fr-FR"/>
              </w:rPr>
              <w:t>Suivi des ODD et Évaluation mondiale des océans</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85 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63 </w:t>
            </w:r>
            <w:r w:rsidR="000D1B28" w:rsidRPr="00226E45">
              <w:rPr>
                <w:rFonts w:cs="Arial"/>
                <w:snapToGrid/>
                <w:sz w:val="16"/>
                <w:szCs w:val="16"/>
                <w:lang w:val="fr-FR" w:eastAsia="fr-FR"/>
              </w:rPr>
              <w:t>970</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74 </w:t>
            </w:r>
            <w:r w:rsidR="000D1B28" w:rsidRPr="00226E45">
              <w:rPr>
                <w:rFonts w:cs="Arial"/>
                <w:snapToGrid/>
                <w:sz w:val="16"/>
                <w:szCs w:val="16"/>
                <w:lang w:val="fr-FR" w:eastAsia="fr-FR"/>
              </w:rPr>
              <w:t>495</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85 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446 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446 </w:t>
            </w:r>
            <w:r w:rsidR="000D1B28" w:rsidRPr="00226E45">
              <w:rPr>
                <w:rFonts w:cs="Arial"/>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GEBCO</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15 </w:t>
            </w:r>
            <w:r w:rsidR="000D1B28" w:rsidRPr="00226E45">
              <w:rPr>
                <w:rFonts w:cs="Arial"/>
                <w:snapToGrid/>
                <w:sz w:val="16"/>
                <w:szCs w:val="16"/>
                <w:lang w:val="fr-FR" w:eastAsia="fr-FR"/>
              </w:rPr>
              <w:t>052</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17 </w:t>
            </w:r>
            <w:r w:rsidR="000D1B28" w:rsidRPr="00226E45">
              <w:rPr>
                <w:rFonts w:cs="Arial"/>
                <w:snapToGrid/>
                <w:sz w:val="16"/>
                <w:szCs w:val="16"/>
                <w:lang w:val="fr-FR" w:eastAsia="fr-FR"/>
              </w:rPr>
              <w:t>528</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300 </w:t>
            </w:r>
            <w:r w:rsidR="000D1B28" w:rsidRPr="00226E45">
              <w:rPr>
                <w:rFonts w:cs="Arial"/>
                <w:snapToGrid/>
                <w:sz w:val="16"/>
                <w:szCs w:val="16"/>
                <w:lang w:val="fr-FR" w:eastAsia="fr-FR"/>
              </w:rPr>
              <w:t>000</w:t>
            </w:r>
          </w:p>
        </w:tc>
      </w:tr>
      <w:tr w:rsidR="000D1B28" w:rsidRPr="00226E45" w:rsidTr="00A311D2">
        <w:trPr>
          <w:trHeight w:val="25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17424" w:rsidP="000D1B28">
            <w:pPr>
              <w:tabs>
                <w:tab w:val="clear" w:pos="567"/>
              </w:tabs>
              <w:snapToGrid/>
              <w:rPr>
                <w:rFonts w:cs="Arial"/>
                <w:snapToGrid/>
                <w:sz w:val="16"/>
                <w:szCs w:val="16"/>
                <w:lang w:val="fr-FR" w:eastAsia="fr-FR"/>
              </w:rPr>
            </w:pPr>
            <w:r w:rsidRPr="00617424">
              <w:rPr>
                <w:rFonts w:cs="Arial"/>
                <w:snapToGrid/>
                <w:sz w:val="16"/>
                <w:szCs w:val="16"/>
                <w:lang w:val="fr-FR" w:eastAsia="fr-FR"/>
              </w:rPr>
              <w:t>Réduction de l'enrichissement en nutriments</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25 </w:t>
            </w:r>
            <w:r w:rsidR="000D1B28" w:rsidRPr="00226E45">
              <w:rPr>
                <w:rFonts w:cs="Arial"/>
                <w:snapToGrid/>
                <w:sz w:val="16"/>
                <w:szCs w:val="16"/>
                <w:lang w:val="fr-FR" w:eastAsia="fr-FR"/>
              </w:rPr>
              <w:t>155</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32 </w:t>
            </w:r>
            <w:r w:rsidR="000D1B28" w:rsidRPr="00226E45">
              <w:rPr>
                <w:rFonts w:cs="Arial"/>
                <w:snapToGrid/>
                <w:sz w:val="16"/>
                <w:szCs w:val="16"/>
                <w:lang w:val="fr-FR" w:eastAsia="fr-FR"/>
              </w:rPr>
              <w:t>585</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300 </w:t>
            </w:r>
            <w:r w:rsidR="000D1B28" w:rsidRPr="00226E45">
              <w:rPr>
                <w:rFonts w:cs="Arial"/>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17424" w:rsidP="000D1B28">
            <w:pPr>
              <w:tabs>
                <w:tab w:val="clear" w:pos="567"/>
              </w:tabs>
              <w:snapToGrid/>
              <w:rPr>
                <w:rFonts w:cs="Arial"/>
                <w:snapToGrid/>
                <w:sz w:val="16"/>
                <w:szCs w:val="16"/>
                <w:lang w:val="fr-FR" w:eastAsia="fr-FR"/>
              </w:rPr>
            </w:pPr>
            <w:r w:rsidRPr="00617424">
              <w:rPr>
                <w:rFonts w:cs="Arial"/>
                <w:snapToGrid/>
                <w:sz w:val="16"/>
                <w:szCs w:val="16"/>
                <w:lang w:val="fr-FR" w:eastAsia="fr-FR"/>
              </w:rPr>
              <w:t>Produits et services IODE/OBIS</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67 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50 </w:t>
            </w:r>
            <w:r w:rsidR="000D1B28" w:rsidRPr="00226E45">
              <w:rPr>
                <w:rFonts w:cs="Arial"/>
                <w:snapToGrid/>
                <w:sz w:val="16"/>
                <w:szCs w:val="16"/>
                <w:lang w:val="fr-FR" w:eastAsia="fr-FR"/>
              </w:rPr>
              <w:t>423</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58 </w:t>
            </w:r>
            <w:r w:rsidR="000D1B28" w:rsidRPr="00226E45">
              <w:rPr>
                <w:rFonts w:cs="Arial"/>
                <w:snapToGrid/>
                <w:sz w:val="16"/>
                <w:szCs w:val="16"/>
                <w:lang w:val="fr-FR" w:eastAsia="fr-FR"/>
              </w:rPr>
              <w:t>719</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67 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500 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17424" w:rsidP="00617424">
            <w:pPr>
              <w:tabs>
                <w:tab w:val="clear" w:pos="567"/>
              </w:tabs>
              <w:snapToGrid/>
              <w:rPr>
                <w:rFonts w:cs="Arial"/>
                <w:snapToGrid/>
                <w:sz w:val="16"/>
                <w:szCs w:val="16"/>
                <w:lang w:val="fr-FR" w:eastAsia="fr-FR"/>
              </w:rPr>
            </w:pPr>
            <w:r w:rsidRPr="00617424">
              <w:rPr>
                <w:rFonts w:cs="Arial"/>
                <w:snapToGrid/>
                <w:sz w:val="16"/>
                <w:szCs w:val="16"/>
                <w:lang w:val="fr-FR" w:eastAsia="fr-FR"/>
              </w:rPr>
              <w:t xml:space="preserve">Adaptation au changement climatique dans les zones côtières </w:t>
            </w:r>
            <w:r w:rsidR="000D1B28" w:rsidRPr="00226E45">
              <w:rPr>
                <w:rFonts w:cs="Arial"/>
                <w:snapToGrid/>
                <w:sz w:val="16"/>
                <w:szCs w:val="16"/>
                <w:lang w:val="fr-FR" w:eastAsia="fr-FR"/>
              </w:rPr>
              <w:t>(</w:t>
            </w:r>
            <w:r>
              <w:rPr>
                <w:rFonts w:cs="Arial"/>
                <w:snapToGrid/>
                <w:sz w:val="16"/>
                <w:szCs w:val="16"/>
                <w:lang w:val="fr-FR" w:eastAsia="fr-FR"/>
              </w:rPr>
              <w:t>Afrique</w:t>
            </w:r>
            <w:r w:rsidR="000D1B28" w:rsidRPr="00226E45">
              <w:rPr>
                <w:rFonts w:cs="Arial"/>
                <w:snapToGrid/>
                <w:sz w:val="16"/>
                <w:szCs w:val="16"/>
                <w:lang w:val="fr-FR" w:eastAsia="fr-FR"/>
              </w:rPr>
              <w:t>)</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30 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22 </w:t>
            </w:r>
            <w:r w:rsidR="000D1B28" w:rsidRPr="00226E45">
              <w:rPr>
                <w:rFonts w:cs="Arial"/>
                <w:snapToGrid/>
                <w:sz w:val="16"/>
                <w:szCs w:val="16"/>
                <w:lang w:val="fr-FR" w:eastAsia="fr-FR"/>
              </w:rPr>
              <w:t>578</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26 </w:t>
            </w:r>
            <w:r w:rsidR="000D1B28" w:rsidRPr="00226E45">
              <w:rPr>
                <w:rFonts w:cs="Arial"/>
                <w:snapToGrid/>
                <w:sz w:val="16"/>
                <w:szCs w:val="16"/>
                <w:lang w:val="fr-FR" w:eastAsia="fr-FR"/>
              </w:rPr>
              <w:t>292</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8D0952">
            <w:pPr>
              <w:tabs>
                <w:tab w:val="clear" w:pos="567"/>
              </w:tabs>
              <w:snapToGrid/>
              <w:jc w:val="right"/>
              <w:rPr>
                <w:rFonts w:cs="Arial"/>
                <w:snapToGrid/>
                <w:sz w:val="16"/>
                <w:szCs w:val="16"/>
                <w:lang w:val="fr-FR" w:eastAsia="fr-FR"/>
              </w:rPr>
            </w:pPr>
            <w:r w:rsidRPr="00226E45">
              <w:rPr>
                <w:rFonts w:cs="Arial"/>
                <w:snapToGrid/>
                <w:sz w:val="16"/>
                <w:szCs w:val="16"/>
                <w:lang w:val="fr-FR" w:eastAsia="fr-FR"/>
              </w:rPr>
              <w:t>200</w:t>
            </w:r>
            <w:r w:rsidR="008D0952">
              <w:rPr>
                <w:rFonts w:cs="Arial"/>
                <w:snapToGrid/>
                <w:sz w:val="16"/>
                <w:szCs w:val="16"/>
                <w:lang w:val="fr-FR" w:eastAsia="fr-FR"/>
              </w:rPr>
              <w:t> </w:t>
            </w:r>
            <w:r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2</w:t>
            </w:r>
            <w:r w:rsidR="008D0952">
              <w:rPr>
                <w:rFonts w:cs="Arial"/>
                <w:snapToGrid/>
                <w:sz w:val="16"/>
                <w:szCs w:val="16"/>
                <w:lang w:val="fr-FR" w:eastAsia="fr-FR"/>
              </w:rPr>
              <w:t>00 </w:t>
            </w:r>
            <w:r w:rsidRPr="00226E45">
              <w:rPr>
                <w:rFonts w:cs="Arial"/>
                <w:snapToGrid/>
                <w:sz w:val="16"/>
                <w:szCs w:val="16"/>
                <w:lang w:val="fr-FR" w:eastAsia="fr-FR"/>
              </w:rPr>
              <w:t>000</w:t>
            </w:r>
          </w:p>
        </w:tc>
      </w:tr>
      <w:tr w:rsidR="000D1B28" w:rsidRPr="00226E45" w:rsidTr="00A311D2">
        <w:trPr>
          <w:trHeight w:val="270"/>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17424" w:rsidP="000D1B28">
            <w:pPr>
              <w:tabs>
                <w:tab w:val="clear" w:pos="567"/>
              </w:tabs>
              <w:snapToGrid/>
              <w:rPr>
                <w:rFonts w:cs="Arial"/>
                <w:snapToGrid/>
                <w:sz w:val="16"/>
                <w:szCs w:val="16"/>
                <w:lang w:val="fr-FR" w:eastAsia="fr-FR"/>
              </w:rPr>
            </w:pPr>
            <w:r w:rsidRPr="00617424">
              <w:rPr>
                <w:rFonts w:cs="Arial"/>
                <w:snapToGrid/>
                <w:sz w:val="16"/>
                <w:szCs w:val="16"/>
                <w:lang w:val="fr-FR" w:eastAsia="fr-FR"/>
              </w:rPr>
              <w:t>Adaptation au changement climatique dans les zones côtières</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25 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18 </w:t>
            </w:r>
            <w:r w:rsidR="000D1B28" w:rsidRPr="00226E45">
              <w:rPr>
                <w:rFonts w:cs="Arial"/>
                <w:snapToGrid/>
                <w:sz w:val="16"/>
                <w:szCs w:val="16"/>
                <w:lang w:val="fr-FR" w:eastAsia="fr-FR"/>
              </w:rPr>
              <w:t>815</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21 </w:t>
            </w:r>
            <w:r w:rsidR="000D1B28" w:rsidRPr="00226E45">
              <w:rPr>
                <w:rFonts w:cs="Arial"/>
                <w:snapToGrid/>
                <w:sz w:val="16"/>
                <w:szCs w:val="16"/>
                <w:lang w:val="fr-FR" w:eastAsia="fr-FR"/>
              </w:rPr>
              <w:t>910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25 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270 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270 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000000" w:fill="DAEEF3"/>
            <w:vAlign w:val="bottom"/>
            <w:hideMark/>
          </w:tcPr>
          <w:p w:rsidR="000D1B28" w:rsidRPr="00226E45" w:rsidRDefault="00617424" w:rsidP="00617424">
            <w:pPr>
              <w:tabs>
                <w:tab w:val="clear" w:pos="567"/>
              </w:tabs>
              <w:snapToGrid/>
              <w:rPr>
                <w:rFonts w:cs="Arial"/>
                <w:b/>
                <w:bCs/>
                <w:snapToGrid/>
                <w:sz w:val="16"/>
                <w:szCs w:val="16"/>
                <w:lang w:val="fr-FR" w:eastAsia="fr-FR"/>
              </w:rPr>
            </w:pPr>
            <w:r>
              <w:rPr>
                <w:rFonts w:cs="Arial"/>
                <w:b/>
                <w:bCs/>
                <w:snapToGrid/>
                <w:sz w:val="16"/>
                <w:szCs w:val="16"/>
                <w:lang w:val="fr-FR" w:eastAsia="fr-FR"/>
              </w:rPr>
              <w:t>FO</w:t>
            </w:r>
            <w:r w:rsidR="000D1B28" w:rsidRPr="00226E45">
              <w:rPr>
                <w:rFonts w:cs="Arial"/>
                <w:b/>
                <w:bCs/>
                <w:snapToGrid/>
                <w:sz w:val="16"/>
                <w:szCs w:val="16"/>
                <w:lang w:val="fr-FR" w:eastAsia="fr-FR"/>
              </w:rPr>
              <w:t xml:space="preserve">NCTION E- </w:t>
            </w:r>
            <w:r>
              <w:rPr>
                <w:rFonts w:cs="Arial"/>
                <w:b/>
                <w:bCs/>
                <w:snapToGrid/>
                <w:sz w:val="16"/>
                <w:szCs w:val="16"/>
                <w:lang w:val="fr-FR" w:eastAsia="fr-FR"/>
              </w:rPr>
              <w:t>Gestion durable</w:t>
            </w:r>
          </w:p>
        </w:tc>
        <w:tc>
          <w:tcPr>
            <w:tcW w:w="588" w:type="pct"/>
            <w:tcBorders>
              <w:top w:val="nil"/>
              <w:left w:val="nil"/>
              <w:bottom w:val="single" w:sz="4" w:space="0" w:color="auto"/>
              <w:right w:val="single" w:sz="8"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527 </w:t>
            </w:r>
            <w:r w:rsidR="000D1B28" w:rsidRPr="00226E45">
              <w:rPr>
                <w:rFonts w:cs="Arial"/>
                <w:b/>
                <w:bCs/>
                <w:snapToGrid/>
                <w:sz w:val="16"/>
                <w:szCs w:val="16"/>
                <w:lang w:val="fr-FR" w:eastAsia="fr-FR"/>
              </w:rPr>
              <w:t>700</w:t>
            </w:r>
          </w:p>
        </w:tc>
        <w:tc>
          <w:tcPr>
            <w:tcW w:w="447" w:type="pct"/>
            <w:tcBorders>
              <w:top w:val="nil"/>
              <w:left w:val="single" w:sz="8" w:space="0" w:color="auto"/>
              <w:bottom w:val="single" w:sz="4" w:space="0" w:color="auto"/>
              <w:right w:val="single" w:sz="4"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457 </w:t>
            </w:r>
            <w:r w:rsidR="000D1B28" w:rsidRPr="00226E45">
              <w:rPr>
                <w:rFonts w:cs="Arial"/>
                <w:b/>
                <w:bCs/>
                <w:snapToGrid/>
                <w:sz w:val="16"/>
                <w:szCs w:val="16"/>
                <w:lang w:val="fr-FR" w:eastAsia="fr-FR"/>
              </w:rPr>
              <w:t>979</w:t>
            </w:r>
          </w:p>
        </w:tc>
        <w:tc>
          <w:tcPr>
            <w:tcW w:w="530" w:type="pct"/>
            <w:tcBorders>
              <w:top w:val="nil"/>
              <w:left w:val="nil"/>
              <w:bottom w:val="single" w:sz="4" w:space="0" w:color="auto"/>
              <w:right w:val="single" w:sz="4" w:space="0" w:color="auto"/>
            </w:tcBorders>
            <w:shd w:val="clear" w:color="000000" w:fill="DAEEF3"/>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492 </w:t>
            </w:r>
            <w:r w:rsidR="000D1B28" w:rsidRPr="00226E45">
              <w:rPr>
                <w:rFonts w:cs="Arial"/>
                <w:b/>
                <w:bCs/>
                <w:snapToGrid/>
                <w:sz w:val="16"/>
                <w:szCs w:val="16"/>
                <w:lang w:val="fr-FR" w:eastAsia="fr-FR"/>
              </w:rPr>
              <w:t>872</w:t>
            </w:r>
          </w:p>
        </w:tc>
        <w:tc>
          <w:tcPr>
            <w:tcW w:w="447" w:type="pct"/>
            <w:tcBorders>
              <w:top w:val="nil"/>
              <w:left w:val="nil"/>
              <w:bottom w:val="single" w:sz="4" w:space="0" w:color="auto"/>
              <w:right w:val="single" w:sz="4" w:space="0" w:color="auto"/>
            </w:tcBorders>
            <w:shd w:val="clear" w:color="000000" w:fill="DAEEF3"/>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547 </w:t>
            </w:r>
            <w:r w:rsidR="000D1B28" w:rsidRPr="00226E45">
              <w:rPr>
                <w:rFonts w:cs="Arial"/>
                <w:b/>
                <w:bCs/>
                <w:snapToGrid/>
                <w:sz w:val="16"/>
                <w:szCs w:val="16"/>
                <w:lang w:val="fr-FR" w:eastAsia="fr-FR"/>
              </w:rPr>
              <w:t>908</w:t>
            </w:r>
          </w:p>
        </w:tc>
        <w:tc>
          <w:tcPr>
            <w:tcW w:w="405" w:type="pct"/>
            <w:tcBorders>
              <w:top w:val="nil"/>
              <w:left w:val="nil"/>
              <w:bottom w:val="single" w:sz="4" w:space="0" w:color="auto"/>
              <w:right w:val="single" w:sz="4" w:space="0" w:color="auto"/>
            </w:tcBorders>
            <w:shd w:val="clear" w:color="000000" w:fill="DAEEF3"/>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1 630 </w:t>
            </w:r>
            <w:r w:rsidR="000D1B28" w:rsidRPr="00226E45">
              <w:rPr>
                <w:rFonts w:cs="Arial"/>
                <w:b/>
                <w:bCs/>
                <w:snapToGrid/>
                <w:sz w:val="16"/>
                <w:szCs w:val="16"/>
                <w:lang w:val="fr-FR" w:eastAsia="fr-FR"/>
              </w:rPr>
              <w:t>000</w:t>
            </w:r>
          </w:p>
        </w:tc>
        <w:tc>
          <w:tcPr>
            <w:tcW w:w="447" w:type="pct"/>
            <w:tcBorders>
              <w:top w:val="nil"/>
              <w:left w:val="nil"/>
              <w:bottom w:val="single" w:sz="4" w:space="0" w:color="auto"/>
              <w:right w:val="single" w:sz="4" w:space="0" w:color="auto"/>
            </w:tcBorders>
            <w:shd w:val="clear" w:color="000000" w:fill="DAEEF3"/>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4 123 </w:t>
            </w:r>
            <w:r w:rsidR="000D1B28" w:rsidRPr="00226E45">
              <w:rPr>
                <w:rFonts w:cs="Arial"/>
                <w:b/>
                <w:bCs/>
                <w:snapToGrid/>
                <w:sz w:val="16"/>
                <w:szCs w:val="16"/>
                <w:lang w:val="fr-FR" w:eastAsia="fr-FR"/>
              </w:rPr>
              <w:t>000</w:t>
            </w:r>
          </w:p>
        </w:tc>
        <w:tc>
          <w:tcPr>
            <w:tcW w:w="447" w:type="pct"/>
            <w:tcBorders>
              <w:top w:val="nil"/>
              <w:left w:val="nil"/>
              <w:bottom w:val="single" w:sz="4" w:space="0" w:color="auto"/>
              <w:right w:val="single" w:sz="8" w:space="0" w:color="auto"/>
            </w:tcBorders>
            <w:shd w:val="clear" w:color="000000" w:fill="DAEEF3"/>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5 753 </w:t>
            </w:r>
            <w:r w:rsidR="000D1B28" w:rsidRPr="00226E45">
              <w:rPr>
                <w:rFonts w:cs="Arial"/>
                <w:b/>
                <w:bCs/>
                <w:snapToGrid/>
                <w:sz w:val="16"/>
                <w:szCs w:val="16"/>
                <w:lang w:val="fr-FR" w:eastAsia="fr-FR"/>
              </w:rPr>
              <w:t>000</w:t>
            </w:r>
          </w:p>
        </w:tc>
      </w:tr>
      <w:tr w:rsidR="000D1B28" w:rsidRPr="00226E45" w:rsidTr="00A311D2">
        <w:trPr>
          <w:trHeight w:val="25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17424" w:rsidP="000D1B28">
            <w:pPr>
              <w:tabs>
                <w:tab w:val="clear" w:pos="567"/>
              </w:tabs>
              <w:snapToGrid/>
              <w:rPr>
                <w:rFonts w:cs="Arial"/>
                <w:snapToGrid/>
                <w:sz w:val="16"/>
                <w:szCs w:val="16"/>
                <w:lang w:val="fr-FR" w:eastAsia="fr-FR"/>
              </w:rPr>
            </w:pPr>
            <w:r w:rsidRPr="00617424">
              <w:rPr>
                <w:rFonts w:cs="Arial"/>
                <w:snapToGrid/>
                <w:sz w:val="16"/>
                <w:szCs w:val="16"/>
                <w:lang w:val="fr-FR" w:eastAsia="fr-FR"/>
              </w:rPr>
              <w:t>Organes directeurs de la COI</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245 </w:t>
            </w:r>
            <w:r w:rsidR="000D1B28" w:rsidRPr="00226E45">
              <w:rPr>
                <w:rFonts w:cs="Arial"/>
                <w:snapToGrid/>
                <w:sz w:val="16"/>
                <w:szCs w:val="16"/>
                <w:lang w:val="fr-FR" w:eastAsia="fr-FR"/>
              </w:rPr>
              <w:t>900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245 </w:t>
            </w:r>
            <w:r w:rsidR="000D1B28" w:rsidRPr="00226E45">
              <w:rPr>
                <w:rFonts w:cs="Arial"/>
                <w:snapToGrid/>
                <w:sz w:val="16"/>
                <w:szCs w:val="16"/>
                <w:lang w:val="fr-FR" w:eastAsia="fr-FR"/>
              </w:rPr>
              <w:t>900</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245 </w:t>
            </w:r>
            <w:r w:rsidR="000D1B28" w:rsidRPr="00226E45">
              <w:rPr>
                <w:rFonts w:cs="Arial"/>
                <w:snapToGrid/>
                <w:sz w:val="16"/>
                <w:szCs w:val="16"/>
                <w:lang w:val="fr-FR" w:eastAsia="fr-FR"/>
              </w:rPr>
              <w:t>900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245 </w:t>
            </w:r>
            <w:r w:rsidR="000D1B28" w:rsidRPr="00226E45">
              <w:rPr>
                <w:rFonts w:cs="Arial"/>
                <w:snapToGrid/>
                <w:sz w:val="16"/>
                <w:szCs w:val="16"/>
                <w:lang w:val="fr-FR" w:eastAsia="fr-FR"/>
              </w:rPr>
              <w:t>900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160 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260 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IOCARIBE</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30 </w:t>
            </w:r>
            <w:r w:rsidR="000D1B28" w:rsidRPr="00226E45">
              <w:rPr>
                <w:rFonts w:cs="Arial"/>
                <w:snapToGrid/>
                <w:sz w:val="16"/>
                <w:szCs w:val="16"/>
                <w:lang w:val="fr-FR" w:eastAsia="fr-FR"/>
              </w:rPr>
              <w:t>103</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35 </w:t>
            </w:r>
            <w:r w:rsidR="000D1B28" w:rsidRPr="00226E45">
              <w:rPr>
                <w:rFonts w:cs="Arial"/>
                <w:snapToGrid/>
                <w:sz w:val="16"/>
                <w:szCs w:val="16"/>
                <w:lang w:val="fr-FR" w:eastAsia="fr-FR"/>
              </w:rPr>
              <w:t>056</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208 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208 </w:t>
            </w:r>
            <w:r w:rsidR="000D1B28" w:rsidRPr="00226E45">
              <w:rPr>
                <w:rFonts w:cs="Arial"/>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lastRenderedPageBreak/>
              <w:t>IOCAFRICA</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30 </w:t>
            </w:r>
            <w:r w:rsidR="000D1B28" w:rsidRPr="00226E45">
              <w:rPr>
                <w:rFonts w:cs="Arial"/>
                <w:snapToGrid/>
                <w:sz w:val="16"/>
                <w:szCs w:val="16"/>
                <w:lang w:val="fr-FR" w:eastAsia="fr-FR"/>
              </w:rPr>
              <w:t>103</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35 </w:t>
            </w:r>
            <w:r w:rsidR="000D1B28" w:rsidRPr="00226E45">
              <w:rPr>
                <w:rFonts w:cs="Arial"/>
                <w:snapToGrid/>
                <w:sz w:val="16"/>
                <w:szCs w:val="16"/>
                <w:lang w:val="fr-FR" w:eastAsia="fr-FR"/>
              </w:rPr>
              <w:t>056</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208 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208 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WESTPAC</w:t>
            </w:r>
          </w:p>
        </w:tc>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30 </w:t>
            </w:r>
            <w:r w:rsidR="000D1B28" w:rsidRPr="00226E45">
              <w:rPr>
                <w:rFonts w:cs="Arial"/>
                <w:snapToGrid/>
                <w:sz w:val="16"/>
                <w:szCs w:val="16"/>
                <w:lang w:val="fr-FR" w:eastAsia="fr-FR"/>
              </w:rPr>
              <w:t>103</w:t>
            </w:r>
          </w:p>
        </w:tc>
        <w:tc>
          <w:tcPr>
            <w:tcW w:w="5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35 </w:t>
            </w:r>
            <w:r w:rsidR="000D1B28" w:rsidRPr="00226E45">
              <w:rPr>
                <w:rFonts w:cs="Arial"/>
                <w:snapToGrid/>
                <w:sz w:val="16"/>
                <w:szCs w:val="16"/>
                <w:lang w:val="fr-FR" w:eastAsia="fr-FR"/>
              </w:rPr>
              <w:t>056</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40 </w:t>
            </w:r>
            <w:r w:rsidR="000D1B28" w:rsidRPr="00226E45">
              <w:rPr>
                <w:rFonts w:cs="Arial"/>
                <w:snapToGrid/>
                <w:sz w:val="16"/>
                <w:szCs w:val="16"/>
                <w:lang w:val="fr-FR" w:eastAsia="fr-FR"/>
              </w:rPr>
              <w:t>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D1B28" w:rsidRPr="00226E45" w:rsidRDefault="000D1B28" w:rsidP="008D0952">
            <w:pPr>
              <w:tabs>
                <w:tab w:val="clear" w:pos="567"/>
              </w:tabs>
              <w:snapToGrid/>
              <w:jc w:val="right"/>
              <w:rPr>
                <w:rFonts w:cs="Arial"/>
                <w:snapToGrid/>
                <w:sz w:val="16"/>
                <w:szCs w:val="16"/>
                <w:lang w:val="fr-FR" w:eastAsia="fr-FR"/>
              </w:rPr>
            </w:pPr>
            <w:r w:rsidRPr="00226E45">
              <w:rPr>
                <w:rFonts w:cs="Arial"/>
                <w:snapToGrid/>
                <w:sz w:val="16"/>
                <w:szCs w:val="16"/>
                <w:lang w:val="fr-FR" w:eastAsia="fr-FR"/>
              </w:rPr>
              <w:t>100</w:t>
            </w:r>
            <w:r w:rsidR="008D0952">
              <w:rPr>
                <w:rFonts w:cs="Arial"/>
                <w:snapToGrid/>
                <w:sz w:val="16"/>
                <w:szCs w:val="16"/>
                <w:lang w:val="fr-FR" w:eastAsia="fr-FR"/>
              </w:rPr>
              <w:t> </w:t>
            </w:r>
            <w:r w:rsidRPr="00226E45">
              <w:rPr>
                <w:rFonts w:cs="Arial"/>
                <w:snapToGrid/>
                <w:sz w:val="16"/>
                <w:szCs w:val="16"/>
                <w:lang w:val="fr-FR" w:eastAsia="fr-FR"/>
              </w:rPr>
              <w:t>000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2</w:t>
            </w:r>
            <w:r w:rsidR="008D0952">
              <w:rPr>
                <w:rFonts w:cs="Arial"/>
                <w:snapToGrid/>
                <w:sz w:val="16"/>
                <w:szCs w:val="16"/>
                <w:lang w:val="fr-FR" w:eastAsia="fr-FR"/>
              </w:rPr>
              <w:t>12 </w:t>
            </w:r>
            <w:r w:rsidRPr="00226E45">
              <w:rPr>
                <w:rFonts w:cs="Arial"/>
                <w:snapToGrid/>
                <w:sz w:val="16"/>
                <w:szCs w:val="16"/>
                <w:lang w:val="fr-FR" w:eastAsia="fr-FR"/>
              </w:rPr>
              <w:t>000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312 </w:t>
            </w:r>
            <w:r w:rsidR="000D1B28" w:rsidRPr="00226E45">
              <w:rPr>
                <w:rFonts w:cs="Arial"/>
                <w:snapToGrid/>
                <w:sz w:val="16"/>
                <w:szCs w:val="16"/>
                <w:lang w:val="fr-FR" w:eastAsia="fr-FR"/>
              </w:rPr>
              <w:t>000</w:t>
            </w:r>
          </w:p>
        </w:tc>
      </w:tr>
      <w:tr w:rsidR="000D1B28" w:rsidRPr="00226E45" w:rsidTr="00A311D2">
        <w:trPr>
          <w:trHeight w:val="25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IOCINDIO</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15 </w:t>
            </w:r>
            <w:r w:rsidR="000D1B28" w:rsidRPr="00226E45">
              <w:rPr>
                <w:rFonts w:cs="Arial"/>
                <w:snapToGrid/>
                <w:sz w:val="16"/>
                <w:szCs w:val="16"/>
                <w:lang w:val="fr-FR" w:eastAsia="fr-FR"/>
              </w:rPr>
              <w:t>052</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17 </w:t>
            </w:r>
            <w:r w:rsidR="000D1B28" w:rsidRPr="00226E45">
              <w:rPr>
                <w:rFonts w:cs="Arial"/>
                <w:snapToGrid/>
                <w:sz w:val="16"/>
                <w:szCs w:val="16"/>
                <w:lang w:val="fr-FR" w:eastAsia="fr-FR"/>
              </w:rPr>
              <w:t>528</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50 </w:t>
            </w:r>
            <w:r w:rsidR="000D1B28" w:rsidRPr="00226E45">
              <w:rPr>
                <w:rFonts w:cs="Arial"/>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17424" w:rsidP="000D1B28">
            <w:pPr>
              <w:tabs>
                <w:tab w:val="clear" w:pos="567"/>
              </w:tabs>
              <w:snapToGrid/>
              <w:rPr>
                <w:rFonts w:cs="Arial"/>
                <w:snapToGrid/>
                <w:sz w:val="16"/>
                <w:szCs w:val="16"/>
                <w:lang w:val="fr-FR" w:eastAsia="fr-FR"/>
              </w:rPr>
            </w:pPr>
            <w:r w:rsidRPr="00617424">
              <w:rPr>
                <w:rFonts w:cs="Arial"/>
                <w:snapToGrid/>
                <w:sz w:val="16"/>
                <w:szCs w:val="16"/>
                <w:lang w:val="fr-FR" w:eastAsia="fr-FR"/>
              </w:rPr>
              <w:t>Partenariats et actions extérieures (suivi des ODD)</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81 </w:t>
            </w:r>
            <w:r w:rsidR="000D1B28" w:rsidRPr="00226E45">
              <w:rPr>
                <w:rFonts w:cs="Arial"/>
                <w:snapToGrid/>
                <w:sz w:val="16"/>
                <w:szCs w:val="16"/>
                <w:lang w:val="fr-FR" w:eastAsia="fr-FR"/>
              </w:rPr>
              <w:t>800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61 </w:t>
            </w:r>
            <w:r w:rsidR="000D1B28" w:rsidRPr="00226E45">
              <w:rPr>
                <w:rFonts w:cs="Arial"/>
                <w:snapToGrid/>
                <w:sz w:val="16"/>
                <w:szCs w:val="16"/>
                <w:lang w:val="fr-FR" w:eastAsia="fr-FR"/>
              </w:rPr>
              <w:t>562</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71 </w:t>
            </w:r>
            <w:r w:rsidR="000D1B28" w:rsidRPr="00226E45">
              <w:rPr>
                <w:rFonts w:cs="Arial"/>
                <w:snapToGrid/>
                <w:sz w:val="16"/>
                <w:szCs w:val="16"/>
                <w:lang w:val="fr-FR" w:eastAsia="fr-FR"/>
              </w:rPr>
              <w:t>690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81 </w:t>
            </w:r>
            <w:r w:rsidR="000D1B28" w:rsidRPr="00226E45">
              <w:rPr>
                <w:rFonts w:cs="Arial"/>
                <w:snapToGrid/>
                <w:sz w:val="16"/>
                <w:szCs w:val="16"/>
                <w:lang w:val="fr-FR" w:eastAsia="fr-FR"/>
              </w:rPr>
              <w:t>800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635 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835 </w:t>
            </w:r>
            <w:r w:rsidR="000D1B28" w:rsidRPr="00226E45">
              <w:rPr>
                <w:rFonts w:cs="Arial"/>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617424" w:rsidP="000D1B28">
            <w:pPr>
              <w:tabs>
                <w:tab w:val="clear" w:pos="567"/>
              </w:tabs>
              <w:snapToGrid/>
              <w:rPr>
                <w:rFonts w:cs="Arial"/>
                <w:snapToGrid/>
                <w:sz w:val="16"/>
                <w:szCs w:val="16"/>
                <w:lang w:val="fr-FR" w:eastAsia="fr-FR"/>
              </w:rPr>
            </w:pPr>
            <w:r>
              <w:rPr>
                <w:rFonts w:cs="Arial"/>
                <w:snapToGrid/>
                <w:sz w:val="16"/>
                <w:szCs w:val="16"/>
                <w:lang w:val="fr-FR" w:eastAsia="fr-FR"/>
              </w:rPr>
              <w:t>Phase préparatoire</w:t>
            </w:r>
            <w:r w:rsidR="000D1B28" w:rsidRPr="00226E45">
              <w:rPr>
                <w:rFonts w:cs="Arial"/>
                <w:snapToGrid/>
                <w:sz w:val="16"/>
                <w:szCs w:val="16"/>
                <w:lang w:val="fr-FR" w:eastAsia="fr-FR"/>
              </w:rPr>
              <w:t>/coordination</w:t>
            </w:r>
            <w:r>
              <w:rPr>
                <w:rFonts w:cs="Arial"/>
                <w:snapToGrid/>
                <w:sz w:val="16"/>
                <w:szCs w:val="16"/>
                <w:lang w:val="fr-FR" w:eastAsia="fr-FR"/>
              </w:rPr>
              <w:t xml:space="preserve"> de la Décennie des Nations Unies</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 </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jc w:val="right"/>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208</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130 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1 000 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1 130 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0D1B28" w:rsidP="00617424">
            <w:pPr>
              <w:tabs>
                <w:tab w:val="clear" w:pos="567"/>
              </w:tabs>
              <w:snapToGrid/>
              <w:rPr>
                <w:rFonts w:cs="Arial"/>
                <w:snapToGrid/>
                <w:sz w:val="16"/>
                <w:szCs w:val="16"/>
                <w:lang w:val="fr-FR" w:eastAsia="fr-FR"/>
              </w:rPr>
            </w:pPr>
            <w:r w:rsidRPr="00226E45">
              <w:rPr>
                <w:rFonts w:cs="Arial"/>
                <w:snapToGrid/>
                <w:sz w:val="16"/>
                <w:szCs w:val="16"/>
                <w:lang w:val="fr-FR" w:eastAsia="fr-FR"/>
              </w:rPr>
              <w:t xml:space="preserve">ICAM </w:t>
            </w:r>
            <w:r w:rsidR="00617424">
              <w:rPr>
                <w:rFonts w:cs="Arial"/>
                <w:snapToGrid/>
                <w:sz w:val="16"/>
                <w:szCs w:val="16"/>
                <w:lang w:val="fr-FR" w:eastAsia="fr-FR"/>
              </w:rPr>
              <w:t>et aménagement de l’espace marin</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45 </w:t>
            </w:r>
            <w:r w:rsidR="000D1B28" w:rsidRPr="00226E45">
              <w:rPr>
                <w:rFonts w:cs="Arial"/>
                <w:snapToGrid/>
                <w:sz w:val="16"/>
                <w:szCs w:val="16"/>
                <w:lang w:val="fr-FR" w:eastAsia="fr-FR"/>
              </w:rPr>
              <w:t>155</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52 </w:t>
            </w:r>
            <w:r w:rsidR="000D1B28" w:rsidRPr="00226E45">
              <w:rPr>
                <w:rFonts w:cs="Arial"/>
                <w:snapToGrid/>
                <w:sz w:val="16"/>
                <w:szCs w:val="16"/>
                <w:lang w:val="fr-FR" w:eastAsia="fr-FR"/>
              </w:rPr>
              <w:t>585</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1 100 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1 650 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2 750 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0D1B28" w:rsidRPr="00226E45" w:rsidRDefault="00C4700C" w:rsidP="00C4700C">
            <w:pPr>
              <w:tabs>
                <w:tab w:val="clear" w:pos="567"/>
              </w:tabs>
              <w:snapToGrid/>
              <w:rPr>
                <w:rFonts w:cs="Arial"/>
                <w:b/>
                <w:bCs/>
                <w:snapToGrid/>
                <w:sz w:val="16"/>
                <w:szCs w:val="16"/>
                <w:lang w:val="fr-FR" w:eastAsia="fr-FR"/>
              </w:rPr>
            </w:pPr>
            <w:r>
              <w:rPr>
                <w:rFonts w:cs="Arial"/>
                <w:b/>
                <w:bCs/>
                <w:snapToGrid/>
                <w:sz w:val="16"/>
                <w:szCs w:val="16"/>
                <w:lang w:val="fr-FR" w:eastAsia="fr-FR"/>
              </w:rPr>
              <w:t>FO</w:t>
            </w:r>
            <w:r w:rsidR="000D1B28" w:rsidRPr="00226E45">
              <w:rPr>
                <w:rFonts w:cs="Arial"/>
                <w:b/>
                <w:bCs/>
                <w:snapToGrid/>
                <w:sz w:val="16"/>
                <w:szCs w:val="16"/>
                <w:lang w:val="fr-FR" w:eastAsia="fr-FR"/>
              </w:rPr>
              <w:t xml:space="preserve">NCTION F </w:t>
            </w:r>
            <w:r>
              <w:rPr>
                <w:rFonts w:cs="Arial"/>
                <w:b/>
                <w:bCs/>
                <w:snapToGrid/>
                <w:sz w:val="16"/>
                <w:szCs w:val="16"/>
                <w:lang w:val="fr-FR" w:eastAsia="fr-FR"/>
              </w:rPr>
              <w:t>–</w:t>
            </w:r>
            <w:r w:rsidR="000D1B28" w:rsidRPr="00226E45">
              <w:rPr>
                <w:rFonts w:cs="Arial"/>
                <w:b/>
                <w:bCs/>
                <w:snapToGrid/>
                <w:sz w:val="16"/>
                <w:szCs w:val="16"/>
                <w:lang w:val="fr-FR" w:eastAsia="fr-FR"/>
              </w:rPr>
              <w:t xml:space="preserve"> </w:t>
            </w:r>
            <w:r>
              <w:rPr>
                <w:rFonts w:cs="Arial"/>
                <w:b/>
                <w:bCs/>
                <w:snapToGrid/>
                <w:sz w:val="16"/>
                <w:szCs w:val="16"/>
                <w:lang w:val="fr-FR" w:eastAsia="fr-FR"/>
              </w:rPr>
              <w:t>Développement des capacités</w:t>
            </w:r>
          </w:p>
        </w:tc>
        <w:tc>
          <w:tcPr>
            <w:tcW w:w="588"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391 </w:t>
            </w:r>
            <w:r w:rsidR="000D1B28" w:rsidRPr="00226E45">
              <w:rPr>
                <w:rFonts w:cs="Arial"/>
                <w:b/>
                <w:bCs/>
                <w:snapToGrid/>
                <w:sz w:val="16"/>
                <w:szCs w:val="16"/>
                <w:lang w:val="fr-FR" w:eastAsia="fr-FR"/>
              </w:rPr>
              <w:t>300</w:t>
            </w:r>
          </w:p>
        </w:tc>
        <w:tc>
          <w:tcPr>
            <w:tcW w:w="447"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296 </w:t>
            </w:r>
            <w:r w:rsidR="000D1B28" w:rsidRPr="00226E45">
              <w:rPr>
                <w:rFonts w:cs="Arial"/>
                <w:b/>
                <w:bCs/>
                <w:snapToGrid/>
                <w:sz w:val="16"/>
                <w:szCs w:val="16"/>
                <w:lang w:val="fr-FR" w:eastAsia="fr-FR"/>
              </w:rPr>
              <w:t>487</w:t>
            </w:r>
          </w:p>
        </w:tc>
        <w:tc>
          <w:tcPr>
            <w:tcW w:w="530"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345 </w:t>
            </w:r>
            <w:r w:rsidR="000D1B28" w:rsidRPr="00226E45">
              <w:rPr>
                <w:rFonts w:cs="Arial"/>
                <w:b/>
                <w:bCs/>
                <w:snapToGrid/>
                <w:sz w:val="16"/>
                <w:szCs w:val="16"/>
                <w:lang w:val="fr-FR" w:eastAsia="fr-FR"/>
              </w:rPr>
              <w:t>739</w:t>
            </w:r>
          </w:p>
        </w:tc>
        <w:tc>
          <w:tcPr>
            <w:tcW w:w="447"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394 </w:t>
            </w:r>
            <w:r w:rsidR="000D1B28" w:rsidRPr="00226E45">
              <w:rPr>
                <w:rFonts w:cs="Arial"/>
                <w:b/>
                <w:bCs/>
                <w:snapToGrid/>
                <w:sz w:val="16"/>
                <w:szCs w:val="16"/>
                <w:lang w:val="fr-FR" w:eastAsia="fr-FR"/>
              </w:rPr>
              <w:t>100</w:t>
            </w:r>
          </w:p>
        </w:tc>
        <w:tc>
          <w:tcPr>
            <w:tcW w:w="405"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150 </w:t>
            </w:r>
            <w:r w:rsidR="000D1B28" w:rsidRPr="00226E45">
              <w:rPr>
                <w:rFonts w:cs="Arial"/>
                <w:b/>
                <w:bCs/>
                <w:snapToGrid/>
                <w:sz w:val="16"/>
                <w:szCs w:val="16"/>
                <w:lang w:val="fr-FR" w:eastAsia="fr-FR"/>
              </w:rPr>
              <w:t>000</w:t>
            </w:r>
          </w:p>
        </w:tc>
        <w:tc>
          <w:tcPr>
            <w:tcW w:w="447"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2 175 </w:t>
            </w:r>
            <w:r w:rsidR="000D1B28" w:rsidRPr="00226E45">
              <w:rPr>
                <w:rFonts w:cs="Arial"/>
                <w:b/>
                <w:bCs/>
                <w:snapToGrid/>
                <w:sz w:val="16"/>
                <w:szCs w:val="16"/>
                <w:lang w:val="fr-FR" w:eastAsia="fr-FR"/>
              </w:rPr>
              <w:t>000</w:t>
            </w:r>
          </w:p>
        </w:tc>
        <w:tc>
          <w:tcPr>
            <w:tcW w:w="447"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2 325 </w:t>
            </w:r>
            <w:r w:rsidR="000D1B28" w:rsidRPr="00226E45">
              <w:rPr>
                <w:rFonts w:cs="Arial"/>
                <w:b/>
                <w:bCs/>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7011F5" w:rsidP="000D1B28">
            <w:pPr>
              <w:tabs>
                <w:tab w:val="clear" w:pos="567"/>
              </w:tabs>
              <w:snapToGrid/>
              <w:rPr>
                <w:rFonts w:cs="Arial"/>
                <w:snapToGrid/>
                <w:sz w:val="16"/>
                <w:szCs w:val="16"/>
                <w:lang w:val="fr-FR" w:eastAsia="fr-FR"/>
              </w:rPr>
            </w:pPr>
            <w:r w:rsidRPr="007011F5">
              <w:rPr>
                <w:rFonts w:cs="Arial"/>
                <w:snapToGrid/>
                <w:sz w:val="16"/>
                <w:szCs w:val="16"/>
                <w:lang w:val="fr-FR" w:eastAsia="fr-FR"/>
              </w:rPr>
              <w:t>Développement des capacités, transfert des techniques marines et Rapport mondial sur les sciences océaniques</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61 </w:t>
            </w:r>
            <w:r w:rsidR="000D1B28" w:rsidRPr="00226E45">
              <w:rPr>
                <w:rFonts w:cs="Arial"/>
                <w:snapToGrid/>
                <w:sz w:val="16"/>
                <w:szCs w:val="16"/>
                <w:lang w:val="fr-FR" w:eastAsia="fr-FR"/>
              </w:rPr>
              <w:t>300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48 </w:t>
            </w:r>
            <w:r w:rsidR="000D1B28" w:rsidRPr="00226E45">
              <w:rPr>
                <w:rFonts w:cs="Arial"/>
                <w:snapToGrid/>
                <w:sz w:val="16"/>
                <w:szCs w:val="16"/>
                <w:lang w:val="fr-FR" w:eastAsia="fr-FR"/>
              </w:rPr>
              <w:t>134</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56 </w:t>
            </w:r>
            <w:r w:rsidR="000D1B28" w:rsidRPr="00226E45">
              <w:rPr>
                <w:rFonts w:cs="Arial"/>
                <w:snapToGrid/>
                <w:sz w:val="16"/>
                <w:szCs w:val="16"/>
                <w:lang w:val="fr-FR" w:eastAsia="fr-FR"/>
              </w:rPr>
              <w:t>524</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64 </w:t>
            </w:r>
            <w:r w:rsidR="000D1B28" w:rsidRPr="00226E45">
              <w:rPr>
                <w:rFonts w:cs="Arial"/>
                <w:snapToGrid/>
                <w:sz w:val="16"/>
                <w:szCs w:val="16"/>
                <w:lang w:val="fr-FR" w:eastAsia="fr-FR"/>
              </w:rPr>
              <w:t>100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785 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0D1B28" w:rsidP="00C24391">
            <w:pPr>
              <w:tabs>
                <w:tab w:val="clear" w:pos="567"/>
              </w:tabs>
              <w:snapToGrid/>
              <w:jc w:val="right"/>
              <w:rPr>
                <w:rFonts w:cs="Arial"/>
                <w:snapToGrid/>
                <w:sz w:val="16"/>
                <w:szCs w:val="16"/>
                <w:lang w:val="fr-FR" w:eastAsia="fr-FR"/>
              </w:rPr>
            </w:pPr>
            <w:r w:rsidRPr="00226E45">
              <w:rPr>
                <w:rFonts w:cs="Arial"/>
                <w:snapToGrid/>
                <w:sz w:val="16"/>
                <w:szCs w:val="16"/>
                <w:lang w:val="fr-FR" w:eastAsia="fr-FR"/>
              </w:rPr>
              <w:t>785</w:t>
            </w:r>
            <w:r w:rsidR="00C24391">
              <w:rPr>
                <w:rFonts w:cs="Arial"/>
                <w:snapToGrid/>
                <w:sz w:val="16"/>
                <w:szCs w:val="16"/>
                <w:lang w:val="fr-FR" w:eastAsia="fr-FR"/>
              </w:rPr>
              <w:t> </w:t>
            </w:r>
            <w:r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7011F5" w:rsidP="000D1B28">
            <w:pPr>
              <w:tabs>
                <w:tab w:val="clear" w:pos="567"/>
              </w:tabs>
              <w:snapToGrid/>
              <w:rPr>
                <w:rFonts w:cs="Arial"/>
                <w:snapToGrid/>
                <w:sz w:val="16"/>
                <w:szCs w:val="16"/>
                <w:lang w:val="fr-FR" w:eastAsia="fr-FR"/>
              </w:rPr>
            </w:pPr>
            <w:r w:rsidRPr="007011F5">
              <w:rPr>
                <w:rFonts w:cs="Arial"/>
                <w:snapToGrid/>
                <w:sz w:val="16"/>
                <w:szCs w:val="16"/>
                <w:lang w:val="fr-FR" w:eastAsia="fr-FR"/>
              </w:rPr>
              <w:t>Développement des capacités de l’IOCAFRICA</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75 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56 </w:t>
            </w:r>
            <w:r w:rsidR="000D1B28" w:rsidRPr="00226E45">
              <w:rPr>
                <w:rFonts w:cs="Arial"/>
                <w:snapToGrid/>
                <w:sz w:val="16"/>
                <w:szCs w:val="16"/>
                <w:lang w:val="fr-FR" w:eastAsia="fr-FR"/>
              </w:rPr>
              <w:t>444</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65 </w:t>
            </w:r>
            <w:r w:rsidR="000D1B28" w:rsidRPr="00226E45">
              <w:rPr>
                <w:rFonts w:cs="Arial"/>
                <w:snapToGrid/>
                <w:sz w:val="16"/>
                <w:szCs w:val="16"/>
                <w:lang w:val="fr-FR" w:eastAsia="fr-FR"/>
              </w:rPr>
              <w:t>731</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75 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C24391" w:rsidP="000D1B28">
            <w:pPr>
              <w:tabs>
                <w:tab w:val="clear" w:pos="567"/>
              </w:tabs>
              <w:snapToGrid/>
              <w:jc w:val="right"/>
              <w:rPr>
                <w:rFonts w:cs="Arial"/>
                <w:snapToGrid/>
                <w:sz w:val="16"/>
                <w:szCs w:val="16"/>
                <w:lang w:val="fr-FR" w:eastAsia="fr-FR"/>
              </w:rPr>
            </w:pPr>
            <w:r>
              <w:rPr>
                <w:rFonts w:cs="Arial"/>
                <w:snapToGrid/>
                <w:sz w:val="16"/>
                <w:szCs w:val="16"/>
                <w:lang w:val="fr-FR" w:eastAsia="fr-FR"/>
              </w:rPr>
              <w:t>200 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7011F5" w:rsidP="000D1B28">
            <w:pPr>
              <w:tabs>
                <w:tab w:val="clear" w:pos="567"/>
              </w:tabs>
              <w:snapToGrid/>
              <w:rPr>
                <w:rFonts w:cs="Arial"/>
                <w:snapToGrid/>
                <w:sz w:val="16"/>
                <w:szCs w:val="16"/>
                <w:lang w:val="fr-FR" w:eastAsia="fr-FR"/>
              </w:rPr>
            </w:pPr>
            <w:r w:rsidRPr="007011F5">
              <w:rPr>
                <w:rFonts w:cs="Arial"/>
                <w:snapToGrid/>
                <w:sz w:val="16"/>
                <w:szCs w:val="16"/>
                <w:lang w:val="fr-FR" w:eastAsia="fr-FR"/>
              </w:rPr>
              <w:t>Développement des capacités de l’IOCARIBE</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75 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56 </w:t>
            </w:r>
            <w:r w:rsidR="000D1B28" w:rsidRPr="00226E45">
              <w:rPr>
                <w:rFonts w:cs="Arial"/>
                <w:snapToGrid/>
                <w:sz w:val="16"/>
                <w:szCs w:val="16"/>
                <w:lang w:val="fr-FR" w:eastAsia="fr-FR"/>
              </w:rPr>
              <w:t>444</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65 </w:t>
            </w:r>
            <w:r w:rsidR="000D1B28" w:rsidRPr="00226E45">
              <w:rPr>
                <w:rFonts w:cs="Arial"/>
                <w:snapToGrid/>
                <w:sz w:val="16"/>
                <w:szCs w:val="16"/>
                <w:lang w:val="fr-FR" w:eastAsia="fr-FR"/>
              </w:rPr>
              <w:t>731</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75 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8D0952">
            <w:pPr>
              <w:tabs>
                <w:tab w:val="clear" w:pos="567"/>
              </w:tabs>
              <w:snapToGrid/>
              <w:jc w:val="right"/>
              <w:rPr>
                <w:rFonts w:cs="Arial"/>
                <w:snapToGrid/>
                <w:sz w:val="16"/>
                <w:szCs w:val="16"/>
                <w:lang w:val="fr-FR" w:eastAsia="fr-FR"/>
              </w:rPr>
            </w:pPr>
            <w:r w:rsidRPr="00226E45">
              <w:rPr>
                <w:rFonts w:cs="Arial"/>
                <w:snapToGrid/>
                <w:sz w:val="16"/>
                <w:szCs w:val="16"/>
                <w:lang w:val="fr-FR" w:eastAsia="fr-FR"/>
              </w:rPr>
              <w:t>200</w:t>
            </w:r>
            <w:r w:rsidR="008D0952">
              <w:rPr>
                <w:rFonts w:cs="Arial"/>
                <w:snapToGrid/>
                <w:sz w:val="16"/>
                <w:szCs w:val="16"/>
                <w:lang w:val="fr-FR" w:eastAsia="fr-FR"/>
              </w:rPr>
              <w:t> </w:t>
            </w:r>
            <w:r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C24391" w:rsidP="000D1B28">
            <w:pPr>
              <w:tabs>
                <w:tab w:val="clear" w:pos="567"/>
              </w:tabs>
              <w:snapToGrid/>
              <w:jc w:val="right"/>
              <w:rPr>
                <w:rFonts w:cs="Arial"/>
                <w:snapToGrid/>
                <w:sz w:val="16"/>
                <w:szCs w:val="16"/>
                <w:lang w:val="fr-FR" w:eastAsia="fr-FR"/>
              </w:rPr>
            </w:pPr>
            <w:r>
              <w:rPr>
                <w:rFonts w:cs="Arial"/>
                <w:snapToGrid/>
                <w:sz w:val="16"/>
                <w:szCs w:val="16"/>
                <w:lang w:val="fr-FR" w:eastAsia="fr-FR"/>
              </w:rPr>
              <w:t>200 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7011F5" w:rsidP="000D1B28">
            <w:pPr>
              <w:tabs>
                <w:tab w:val="clear" w:pos="567"/>
              </w:tabs>
              <w:snapToGrid/>
              <w:rPr>
                <w:rFonts w:cs="Arial"/>
                <w:snapToGrid/>
                <w:sz w:val="16"/>
                <w:szCs w:val="16"/>
                <w:lang w:val="fr-FR" w:eastAsia="fr-FR"/>
              </w:rPr>
            </w:pPr>
            <w:r w:rsidRPr="007011F5">
              <w:rPr>
                <w:rFonts w:cs="Arial"/>
                <w:snapToGrid/>
                <w:sz w:val="16"/>
                <w:szCs w:val="16"/>
                <w:lang w:val="fr-FR" w:eastAsia="fr-FR"/>
              </w:rPr>
              <w:t>Développement des capacités de la WESTPAC</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75 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56 </w:t>
            </w:r>
            <w:r w:rsidR="000D1B28" w:rsidRPr="00226E45">
              <w:rPr>
                <w:rFonts w:cs="Arial"/>
                <w:snapToGrid/>
                <w:sz w:val="16"/>
                <w:szCs w:val="16"/>
                <w:lang w:val="fr-FR" w:eastAsia="fr-FR"/>
              </w:rPr>
              <w:t>444</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65 </w:t>
            </w:r>
            <w:r w:rsidR="000D1B28" w:rsidRPr="00226E45">
              <w:rPr>
                <w:rFonts w:cs="Arial"/>
                <w:snapToGrid/>
                <w:sz w:val="16"/>
                <w:szCs w:val="16"/>
                <w:lang w:val="fr-FR" w:eastAsia="fr-FR"/>
              </w:rPr>
              <w:t>731</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75 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150 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325 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C24391" w:rsidP="000D1B28">
            <w:pPr>
              <w:tabs>
                <w:tab w:val="clear" w:pos="567"/>
              </w:tabs>
              <w:snapToGrid/>
              <w:jc w:val="right"/>
              <w:rPr>
                <w:rFonts w:cs="Arial"/>
                <w:snapToGrid/>
                <w:sz w:val="16"/>
                <w:szCs w:val="16"/>
                <w:lang w:val="fr-FR" w:eastAsia="fr-FR"/>
              </w:rPr>
            </w:pPr>
            <w:r>
              <w:rPr>
                <w:rFonts w:cs="Arial"/>
                <w:snapToGrid/>
                <w:sz w:val="16"/>
                <w:szCs w:val="16"/>
                <w:lang w:val="fr-FR" w:eastAsia="fr-FR"/>
              </w:rPr>
              <w:t>475 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7011F5" w:rsidP="000D1B28">
            <w:pPr>
              <w:tabs>
                <w:tab w:val="clear" w:pos="567"/>
              </w:tabs>
              <w:snapToGrid/>
              <w:rPr>
                <w:rFonts w:cs="Arial"/>
                <w:snapToGrid/>
                <w:sz w:val="16"/>
                <w:szCs w:val="16"/>
                <w:lang w:val="fr-FR" w:eastAsia="fr-FR"/>
              </w:rPr>
            </w:pPr>
            <w:r w:rsidRPr="007011F5">
              <w:rPr>
                <w:rFonts w:cs="Arial"/>
                <w:snapToGrid/>
                <w:sz w:val="16"/>
                <w:szCs w:val="16"/>
                <w:lang w:val="fr-FR" w:eastAsia="fr-FR"/>
              </w:rPr>
              <w:t>Développement des capacités de l’IOCINDIO</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15 </w:t>
            </w:r>
            <w:r w:rsidR="000D1B28" w:rsidRPr="00226E45">
              <w:rPr>
                <w:rFonts w:cs="Arial"/>
                <w:snapToGrid/>
                <w:sz w:val="16"/>
                <w:szCs w:val="16"/>
                <w:lang w:val="fr-FR" w:eastAsia="fr-FR"/>
              </w:rPr>
              <w:t>052</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17 </w:t>
            </w:r>
            <w:r w:rsidR="000D1B28" w:rsidRPr="00226E45">
              <w:rPr>
                <w:rFonts w:cs="Arial"/>
                <w:snapToGrid/>
                <w:sz w:val="16"/>
                <w:szCs w:val="16"/>
                <w:lang w:val="fr-FR" w:eastAsia="fr-FR"/>
              </w:rPr>
              <w:t>528</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20 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65 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C24391" w:rsidP="000D1B28">
            <w:pPr>
              <w:tabs>
                <w:tab w:val="clear" w:pos="567"/>
              </w:tabs>
              <w:snapToGrid/>
              <w:jc w:val="right"/>
              <w:rPr>
                <w:rFonts w:cs="Arial"/>
                <w:snapToGrid/>
                <w:sz w:val="16"/>
                <w:szCs w:val="16"/>
                <w:lang w:val="fr-FR" w:eastAsia="fr-FR"/>
              </w:rPr>
            </w:pPr>
            <w:r>
              <w:rPr>
                <w:rFonts w:cs="Arial"/>
                <w:snapToGrid/>
                <w:sz w:val="16"/>
                <w:szCs w:val="16"/>
                <w:lang w:val="fr-FR" w:eastAsia="fr-FR"/>
              </w:rPr>
              <w:t>65 </w:t>
            </w:r>
            <w:r w:rsidR="000D1B28" w:rsidRPr="00226E45">
              <w:rPr>
                <w:rFonts w:cs="Arial"/>
                <w:snapToGrid/>
                <w:sz w:val="16"/>
                <w:szCs w:val="16"/>
                <w:lang w:val="fr-FR" w:eastAsia="fr-FR"/>
              </w:rPr>
              <w:t>000</w:t>
            </w:r>
          </w:p>
        </w:tc>
      </w:tr>
      <w:tr w:rsidR="000D1B28" w:rsidRPr="00226E45" w:rsidTr="00A311D2">
        <w:trPr>
          <w:trHeight w:val="240"/>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7011F5" w:rsidP="000D1B28">
            <w:pPr>
              <w:tabs>
                <w:tab w:val="clear" w:pos="567"/>
              </w:tabs>
              <w:snapToGrid/>
              <w:rPr>
                <w:rFonts w:cs="Arial"/>
                <w:snapToGrid/>
                <w:sz w:val="16"/>
                <w:szCs w:val="16"/>
                <w:lang w:val="fr-FR" w:eastAsia="fr-FR"/>
              </w:rPr>
            </w:pPr>
            <w:r w:rsidRPr="007011F5">
              <w:rPr>
                <w:rFonts w:cs="Arial"/>
                <w:snapToGrid/>
                <w:sz w:val="16"/>
                <w:szCs w:val="16"/>
                <w:lang w:val="fr-FR" w:eastAsia="fr-FR"/>
              </w:rPr>
              <w:t>Formation et éducation IODE/OBIS</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85 </w:t>
            </w:r>
            <w:r w:rsidR="000D1B28" w:rsidRPr="00226E45">
              <w:rPr>
                <w:rFonts w:cs="Arial"/>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snapToGrid/>
                <w:sz w:val="16"/>
                <w:szCs w:val="16"/>
                <w:lang w:val="fr-FR" w:eastAsia="fr-FR"/>
              </w:rPr>
            </w:pPr>
            <w:r>
              <w:rPr>
                <w:rFonts w:cs="Arial"/>
                <w:snapToGrid/>
                <w:sz w:val="16"/>
                <w:szCs w:val="16"/>
                <w:lang w:val="fr-FR" w:eastAsia="fr-FR"/>
              </w:rPr>
              <w:t>63 </w:t>
            </w:r>
            <w:r w:rsidR="000D1B28" w:rsidRPr="00226E45">
              <w:rPr>
                <w:rFonts w:cs="Arial"/>
                <w:snapToGrid/>
                <w:sz w:val="16"/>
                <w:szCs w:val="16"/>
                <w:lang w:val="fr-FR" w:eastAsia="fr-FR"/>
              </w:rPr>
              <w:t>970</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74 </w:t>
            </w:r>
            <w:r w:rsidR="000D1B28" w:rsidRPr="00226E45">
              <w:rPr>
                <w:rFonts w:cs="Arial"/>
                <w:snapToGrid/>
                <w:sz w:val="16"/>
                <w:szCs w:val="16"/>
                <w:lang w:val="fr-FR" w:eastAsia="fr-FR"/>
              </w:rPr>
              <w:t>495</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85 </w:t>
            </w:r>
            <w:r w:rsidR="000D1B28" w:rsidRPr="00226E45">
              <w:rPr>
                <w:rFonts w:cs="Arial"/>
                <w:snapToGrid/>
                <w:sz w:val="16"/>
                <w:szCs w:val="16"/>
                <w:lang w:val="fr-FR" w:eastAsia="fr-FR"/>
              </w:rPr>
              <w:t>000</w:t>
            </w:r>
          </w:p>
        </w:tc>
        <w:tc>
          <w:tcPr>
            <w:tcW w:w="405" w:type="pct"/>
            <w:tcBorders>
              <w:top w:val="nil"/>
              <w:left w:val="nil"/>
              <w:bottom w:val="single" w:sz="4" w:space="0" w:color="auto"/>
              <w:right w:val="single" w:sz="4" w:space="0" w:color="auto"/>
            </w:tcBorders>
            <w:shd w:val="clear" w:color="auto" w:fill="auto"/>
            <w:vAlign w:val="bottom"/>
            <w:hideMark/>
          </w:tcPr>
          <w:p w:rsidR="000D1B28" w:rsidRPr="00226E45" w:rsidRDefault="000D1B28" w:rsidP="000D1B28">
            <w:pPr>
              <w:tabs>
                <w:tab w:val="clear" w:pos="567"/>
              </w:tabs>
              <w:snapToGrid/>
              <w:rPr>
                <w:rFonts w:cs="Arial"/>
                <w:snapToGrid/>
                <w:sz w:val="16"/>
                <w:szCs w:val="16"/>
                <w:lang w:val="fr-FR" w:eastAsia="fr-FR"/>
              </w:rPr>
            </w:pPr>
            <w:r w:rsidRPr="00226E45">
              <w:rPr>
                <w:rFonts w:cs="Arial"/>
                <w:snapToGrid/>
                <w:sz w:val="16"/>
                <w:szCs w:val="16"/>
                <w:lang w:val="fr-FR" w:eastAsia="fr-FR"/>
              </w:rPr>
              <w:t> </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snapToGrid/>
                <w:sz w:val="16"/>
                <w:szCs w:val="16"/>
                <w:lang w:val="fr-FR" w:eastAsia="fr-FR"/>
              </w:rPr>
            </w:pPr>
            <w:r>
              <w:rPr>
                <w:rFonts w:cs="Arial"/>
                <w:snapToGrid/>
                <w:sz w:val="16"/>
                <w:szCs w:val="16"/>
                <w:lang w:val="fr-FR" w:eastAsia="fr-FR"/>
              </w:rPr>
              <w:t>600 </w:t>
            </w:r>
            <w:r w:rsidR="000D1B28" w:rsidRPr="00226E45">
              <w:rPr>
                <w:rFonts w:cs="Arial"/>
                <w:snapToGrid/>
                <w:sz w:val="16"/>
                <w:szCs w:val="16"/>
                <w:lang w:val="fr-FR" w:eastAsia="fr-FR"/>
              </w:rPr>
              <w:t>000</w:t>
            </w:r>
          </w:p>
        </w:tc>
        <w:tc>
          <w:tcPr>
            <w:tcW w:w="447" w:type="pct"/>
            <w:tcBorders>
              <w:top w:val="nil"/>
              <w:left w:val="nil"/>
              <w:bottom w:val="single" w:sz="4" w:space="0" w:color="auto"/>
              <w:right w:val="single" w:sz="8" w:space="0" w:color="auto"/>
            </w:tcBorders>
            <w:shd w:val="clear" w:color="auto" w:fill="auto"/>
            <w:vAlign w:val="bottom"/>
            <w:hideMark/>
          </w:tcPr>
          <w:p w:rsidR="000D1B28" w:rsidRPr="00226E45" w:rsidRDefault="00C24391" w:rsidP="000D1B28">
            <w:pPr>
              <w:tabs>
                <w:tab w:val="clear" w:pos="567"/>
              </w:tabs>
              <w:snapToGrid/>
              <w:jc w:val="right"/>
              <w:rPr>
                <w:rFonts w:cs="Arial"/>
                <w:snapToGrid/>
                <w:sz w:val="16"/>
                <w:szCs w:val="16"/>
                <w:lang w:val="fr-FR" w:eastAsia="fr-FR"/>
              </w:rPr>
            </w:pPr>
            <w:r>
              <w:rPr>
                <w:rFonts w:cs="Arial"/>
                <w:snapToGrid/>
                <w:sz w:val="16"/>
                <w:szCs w:val="16"/>
                <w:lang w:val="fr-FR" w:eastAsia="fr-FR"/>
              </w:rPr>
              <w:t>600 </w:t>
            </w:r>
            <w:r w:rsidR="000D1B28" w:rsidRPr="00226E45">
              <w:rPr>
                <w:rFonts w:cs="Arial"/>
                <w:snapToGrid/>
                <w:sz w:val="16"/>
                <w:szCs w:val="16"/>
                <w:lang w:val="fr-FR" w:eastAsia="fr-FR"/>
              </w:rPr>
              <w:t>000</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000000" w:fill="B7DEE8"/>
            <w:noWrap/>
            <w:vAlign w:val="bottom"/>
            <w:hideMark/>
          </w:tcPr>
          <w:p w:rsidR="000D1B28" w:rsidRPr="00226E45" w:rsidRDefault="00194D38" w:rsidP="00194D38">
            <w:pPr>
              <w:tabs>
                <w:tab w:val="clear" w:pos="567"/>
              </w:tabs>
              <w:snapToGrid/>
              <w:rPr>
                <w:rFonts w:cs="Arial"/>
                <w:b/>
                <w:bCs/>
                <w:snapToGrid/>
                <w:sz w:val="16"/>
                <w:szCs w:val="16"/>
                <w:lang w:val="fr-FR" w:eastAsia="fr-FR"/>
              </w:rPr>
            </w:pPr>
            <w:r w:rsidRPr="00884BF5">
              <w:rPr>
                <w:rFonts w:cs="Arial"/>
                <w:b/>
                <w:bCs/>
                <w:snapToGrid/>
                <w:sz w:val="16"/>
                <w:szCs w:val="16"/>
                <w:lang w:val="fr-FR" w:eastAsia="fr-FR"/>
              </w:rPr>
              <w:t>ACTIVITÉS DE PROGRAMME DE LA COI (NET)</w:t>
            </w:r>
            <w:r>
              <w:rPr>
                <w:rFonts w:cs="Arial"/>
                <w:b/>
                <w:bCs/>
                <w:snapToGrid/>
                <w:sz w:val="16"/>
                <w:szCs w:val="16"/>
                <w:lang w:val="fr-FR" w:eastAsia="fr-FR"/>
              </w:rPr>
              <w:t xml:space="preserve"> </w:t>
            </w:r>
          </w:p>
        </w:tc>
        <w:tc>
          <w:tcPr>
            <w:tcW w:w="588" w:type="pct"/>
            <w:tcBorders>
              <w:top w:val="nil"/>
              <w:left w:val="nil"/>
              <w:bottom w:val="single" w:sz="4" w:space="0" w:color="auto"/>
              <w:right w:val="single" w:sz="8" w:space="0" w:color="auto"/>
            </w:tcBorders>
            <w:shd w:val="clear" w:color="000000" w:fill="B7DEE8"/>
            <w:noWrap/>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2 408 </w:t>
            </w:r>
            <w:r w:rsidR="000D1B28" w:rsidRPr="00226E45">
              <w:rPr>
                <w:rFonts w:cs="Arial"/>
                <w:b/>
                <w:bCs/>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000000" w:fill="B7DEE8"/>
            <w:noWrap/>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1 837 </w:t>
            </w:r>
            <w:r w:rsidR="000D1B28" w:rsidRPr="00226E45">
              <w:rPr>
                <w:rFonts w:cs="Arial"/>
                <w:b/>
                <w:bCs/>
                <w:snapToGrid/>
                <w:sz w:val="16"/>
                <w:szCs w:val="16"/>
                <w:lang w:val="fr-FR" w:eastAsia="fr-FR"/>
              </w:rPr>
              <w:t>440</w:t>
            </w:r>
          </w:p>
        </w:tc>
        <w:tc>
          <w:tcPr>
            <w:tcW w:w="530" w:type="pct"/>
            <w:tcBorders>
              <w:top w:val="nil"/>
              <w:left w:val="nil"/>
              <w:bottom w:val="single" w:sz="4" w:space="0" w:color="auto"/>
              <w:right w:val="single" w:sz="4" w:space="0" w:color="auto"/>
            </w:tcBorders>
            <w:shd w:val="clear" w:color="000000" w:fill="B7DEE8"/>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2,143 </w:t>
            </w:r>
            <w:r w:rsidR="000D1B28" w:rsidRPr="00226E45">
              <w:rPr>
                <w:rFonts w:cs="Arial"/>
                <w:b/>
                <w:bCs/>
                <w:snapToGrid/>
                <w:sz w:val="16"/>
                <w:szCs w:val="16"/>
                <w:lang w:val="fr-FR" w:eastAsia="fr-FR"/>
              </w:rPr>
              <w:t>584</w:t>
            </w:r>
          </w:p>
        </w:tc>
        <w:tc>
          <w:tcPr>
            <w:tcW w:w="447" w:type="pct"/>
            <w:tcBorders>
              <w:top w:val="nil"/>
              <w:left w:val="nil"/>
              <w:bottom w:val="single" w:sz="4" w:space="0" w:color="auto"/>
              <w:right w:val="single" w:sz="4" w:space="0" w:color="auto"/>
            </w:tcBorders>
            <w:shd w:val="clear" w:color="000000" w:fill="B7DEE8"/>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2 431 </w:t>
            </w:r>
            <w:r w:rsidR="000D1B28" w:rsidRPr="00226E45">
              <w:rPr>
                <w:rFonts w:cs="Arial"/>
                <w:b/>
                <w:bCs/>
                <w:snapToGrid/>
                <w:sz w:val="16"/>
                <w:szCs w:val="16"/>
                <w:lang w:val="fr-FR" w:eastAsia="fr-FR"/>
              </w:rPr>
              <w:t>008</w:t>
            </w:r>
          </w:p>
        </w:tc>
        <w:tc>
          <w:tcPr>
            <w:tcW w:w="405"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nil"/>
              <w:right w:val="single" w:sz="8" w:space="0" w:color="auto"/>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noWrap/>
            <w:vAlign w:val="bottom"/>
            <w:hideMark/>
          </w:tcPr>
          <w:p w:rsidR="000D1B28" w:rsidRPr="00226E45" w:rsidRDefault="00194D38" w:rsidP="000D1B28">
            <w:pPr>
              <w:tabs>
                <w:tab w:val="clear" w:pos="567"/>
              </w:tabs>
              <w:snapToGrid/>
              <w:rPr>
                <w:rFonts w:cs="Arial"/>
                <w:i/>
                <w:iCs/>
                <w:snapToGrid/>
                <w:sz w:val="16"/>
                <w:szCs w:val="16"/>
                <w:lang w:val="fr-FR" w:eastAsia="fr-FR"/>
              </w:rPr>
            </w:pPr>
            <w:r>
              <w:rPr>
                <w:rFonts w:cs="Arial"/>
                <w:i/>
                <w:iCs/>
                <w:snapToGrid/>
                <w:sz w:val="16"/>
                <w:szCs w:val="16"/>
                <w:lang w:val="fr-FR" w:eastAsia="fr-FR"/>
              </w:rPr>
              <w:t>Programmation conjointe par pays</w:t>
            </w:r>
            <w:r w:rsidR="000D1B28" w:rsidRPr="00226E45">
              <w:rPr>
                <w:rFonts w:cs="Arial"/>
                <w:i/>
                <w:iCs/>
                <w:snapToGrid/>
                <w:sz w:val="16"/>
                <w:szCs w:val="16"/>
                <w:lang w:val="fr-FR" w:eastAsia="fr-FR"/>
              </w:rPr>
              <w:t xml:space="preserve"> 1</w:t>
            </w:r>
            <w:r>
              <w:rPr>
                <w:rFonts w:cs="Arial"/>
                <w:i/>
                <w:iCs/>
                <w:snapToGrid/>
                <w:sz w:val="16"/>
                <w:szCs w:val="16"/>
                <w:lang w:val="fr-FR" w:eastAsia="fr-FR"/>
              </w:rPr>
              <w:t> </w:t>
            </w:r>
            <w:r w:rsidR="000D1B28" w:rsidRPr="00226E45">
              <w:rPr>
                <w:rFonts w:cs="Arial"/>
                <w:i/>
                <w:iCs/>
                <w:snapToGrid/>
                <w:sz w:val="16"/>
                <w:szCs w:val="16"/>
                <w:lang w:val="fr-FR" w:eastAsia="fr-FR"/>
              </w:rPr>
              <w:t xml:space="preserve">% </w:t>
            </w:r>
          </w:p>
        </w:tc>
        <w:tc>
          <w:tcPr>
            <w:tcW w:w="588" w:type="pct"/>
            <w:tcBorders>
              <w:top w:val="nil"/>
              <w:left w:val="nil"/>
              <w:bottom w:val="single" w:sz="4" w:space="0" w:color="auto"/>
              <w:right w:val="single" w:sz="8" w:space="0" w:color="auto"/>
            </w:tcBorders>
            <w:shd w:val="clear" w:color="auto" w:fill="auto"/>
            <w:noWrap/>
            <w:vAlign w:val="bottom"/>
            <w:hideMark/>
          </w:tcPr>
          <w:p w:rsidR="000D1B28" w:rsidRPr="00226E45" w:rsidRDefault="000D1B28" w:rsidP="000D1B28">
            <w:pPr>
              <w:tabs>
                <w:tab w:val="clear" w:pos="567"/>
              </w:tabs>
              <w:snapToGrid/>
              <w:jc w:val="right"/>
              <w:rPr>
                <w:rFonts w:cs="Arial"/>
                <w:i/>
                <w:iCs/>
                <w:snapToGrid/>
                <w:sz w:val="16"/>
                <w:szCs w:val="16"/>
                <w:lang w:val="fr-FR" w:eastAsia="fr-FR"/>
              </w:rPr>
            </w:pPr>
            <w:r w:rsidRPr="00226E45">
              <w:rPr>
                <w:rFonts w:cs="Arial"/>
                <w:i/>
                <w:iCs/>
                <w:snapToGrid/>
                <w:sz w:val="16"/>
                <w:szCs w:val="16"/>
                <w:lang w:val="fr-FR" w:eastAsia="fr-FR"/>
              </w:rPr>
              <w:t> </w:t>
            </w:r>
          </w:p>
        </w:tc>
        <w:tc>
          <w:tcPr>
            <w:tcW w:w="447" w:type="pct"/>
            <w:tcBorders>
              <w:top w:val="nil"/>
              <w:left w:val="single" w:sz="8" w:space="0" w:color="auto"/>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19 </w:t>
            </w:r>
            <w:r w:rsidR="000D1B28" w:rsidRPr="00226E45">
              <w:rPr>
                <w:rFonts w:cs="Arial"/>
                <w:i/>
                <w:iCs/>
                <w:snapToGrid/>
                <w:sz w:val="16"/>
                <w:szCs w:val="16"/>
                <w:lang w:val="fr-FR" w:eastAsia="fr-FR"/>
              </w:rPr>
              <w:t>140</w:t>
            </w:r>
          </w:p>
        </w:tc>
        <w:tc>
          <w:tcPr>
            <w:tcW w:w="530"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22 </w:t>
            </w:r>
            <w:r w:rsidR="000D1B28" w:rsidRPr="00226E45">
              <w:rPr>
                <w:rFonts w:cs="Arial"/>
                <w:i/>
                <w:iCs/>
                <w:snapToGrid/>
                <w:sz w:val="16"/>
                <w:szCs w:val="16"/>
                <w:lang w:val="fr-FR" w:eastAsia="fr-FR"/>
              </w:rPr>
              <w:t>329</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25 </w:t>
            </w:r>
            <w:r w:rsidR="000D1B28" w:rsidRPr="00226E45">
              <w:rPr>
                <w:rFonts w:cs="Arial"/>
                <w:i/>
                <w:iCs/>
                <w:snapToGrid/>
                <w:sz w:val="16"/>
                <w:szCs w:val="16"/>
                <w:lang w:val="fr-FR" w:eastAsia="fr-FR"/>
              </w:rPr>
              <w:t>323</w:t>
            </w:r>
          </w:p>
        </w:tc>
        <w:tc>
          <w:tcPr>
            <w:tcW w:w="405"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p>
        </w:tc>
        <w:tc>
          <w:tcPr>
            <w:tcW w:w="447" w:type="pct"/>
            <w:tcBorders>
              <w:top w:val="nil"/>
              <w:left w:val="nil"/>
              <w:bottom w:val="nil"/>
              <w:right w:val="single" w:sz="8" w:space="0" w:color="auto"/>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noWrap/>
            <w:vAlign w:val="bottom"/>
            <w:hideMark/>
          </w:tcPr>
          <w:p w:rsidR="000D1B28" w:rsidRPr="00226E45" w:rsidRDefault="007011F5" w:rsidP="000D1B28">
            <w:pPr>
              <w:tabs>
                <w:tab w:val="clear" w:pos="567"/>
              </w:tabs>
              <w:snapToGrid/>
              <w:rPr>
                <w:rFonts w:cs="Arial"/>
                <w:i/>
                <w:iCs/>
                <w:snapToGrid/>
                <w:sz w:val="16"/>
                <w:szCs w:val="16"/>
                <w:lang w:val="fr-FR" w:eastAsia="fr-FR"/>
              </w:rPr>
            </w:pPr>
            <w:r w:rsidRPr="00226E45">
              <w:rPr>
                <w:rFonts w:cs="Arial"/>
                <w:i/>
                <w:iCs/>
                <w:snapToGrid/>
                <w:sz w:val="16"/>
                <w:szCs w:val="16"/>
                <w:lang w:val="fr-FR" w:eastAsia="fr-FR"/>
              </w:rPr>
              <w:t>Évaluations</w:t>
            </w:r>
            <w:r w:rsidR="000D1B28" w:rsidRPr="00226E45">
              <w:rPr>
                <w:rFonts w:cs="Arial"/>
                <w:i/>
                <w:iCs/>
                <w:snapToGrid/>
                <w:sz w:val="16"/>
                <w:szCs w:val="16"/>
                <w:lang w:val="fr-FR" w:eastAsia="fr-FR"/>
              </w:rPr>
              <w:t xml:space="preserve"> 3</w:t>
            </w:r>
            <w:r w:rsidR="00194D38">
              <w:rPr>
                <w:rFonts w:cs="Arial"/>
                <w:i/>
                <w:iCs/>
                <w:snapToGrid/>
                <w:sz w:val="16"/>
                <w:szCs w:val="16"/>
                <w:lang w:val="fr-FR" w:eastAsia="fr-FR"/>
              </w:rPr>
              <w:t> </w:t>
            </w:r>
            <w:r w:rsidR="000D1B28" w:rsidRPr="00226E45">
              <w:rPr>
                <w:rFonts w:cs="Arial"/>
                <w:i/>
                <w:iCs/>
                <w:snapToGrid/>
                <w:sz w:val="16"/>
                <w:szCs w:val="16"/>
                <w:lang w:val="fr-FR" w:eastAsia="fr-FR"/>
              </w:rPr>
              <w:t>%</w:t>
            </w:r>
          </w:p>
        </w:tc>
        <w:tc>
          <w:tcPr>
            <w:tcW w:w="588" w:type="pct"/>
            <w:tcBorders>
              <w:top w:val="nil"/>
              <w:left w:val="nil"/>
              <w:bottom w:val="single" w:sz="4" w:space="0" w:color="auto"/>
              <w:right w:val="single" w:sz="8" w:space="0" w:color="auto"/>
            </w:tcBorders>
            <w:shd w:val="clear" w:color="auto" w:fill="auto"/>
            <w:noWrap/>
            <w:vAlign w:val="bottom"/>
            <w:hideMark/>
          </w:tcPr>
          <w:p w:rsidR="000D1B28" w:rsidRPr="00226E45" w:rsidRDefault="00CF05C0"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20 </w:t>
            </w:r>
            <w:r w:rsidR="000D1B28" w:rsidRPr="00226E45">
              <w:rPr>
                <w:rFonts w:cs="Arial"/>
                <w:i/>
                <w:iCs/>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noWrap/>
            <w:vAlign w:val="bottom"/>
            <w:hideMark/>
          </w:tcPr>
          <w:p w:rsidR="000D1B28" w:rsidRPr="00226E45" w:rsidRDefault="00CF05C0"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57 </w:t>
            </w:r>
            <w:r w:rsidR="000D1B28" w:rsidRPr="00226E45">
              <w:rPr>
                <w:rFonts w:cs="Arial"/>
                <w:i/>
                <w:iCs/>
                <w:snapToGrid/>
                <w:sz w:val="16"/>
                <w:szCs w:val="16"/>
                <w:lang w:val="fr-FR" w:eastAsia="fr-FR"/>
              </w:rPr>
              <w:t>420</w:t>
            </w:r>
          </w:p>
        </w:tc>
        <w:tc>
          <w:tcPr>
            <w:tcW w:w="530" w:type="pct"/>
            <w:tcBorders>
              <w:top w:val="nil"/>
              <w:left w:val="nil"/>
              <w:bottom w:val="single" w:sz="4" w:space="0" w:color="auto"/>
              <w:right w:val="single" w:sz="4" w:space="0" w:color="auto"/>
            </w:tcBorders>
            <w:shd w:val="clear" w:color="auto" w:fill="auto"/>
            <w:noWrap/>
            <w:vAlign w:val="bottom"/>
            <w:hideMark/>
          </w:tcPr>
          <w:p w:rsidR="000D1B28" w:rsidRPr="00226E45" w:rsidRDefault="000D1B28" w:rsidP="000D1B28">
            <w:pPr>
              <w:tabs>
                <w:tab w:val="clear" w:pos="567"/>
              </w:tabs>
              <w:snapToGrid/>
              <w:jc w:val="right"/>
              <w:rPr>
                <w:rFonts w:cs="Arial"/>
                <w:i/>
                <w:iCs/>
                <w:snapToGrid/>
                <w:sz w:val="16"/>
                <w:szCs w:val="16"/>
                <w:lang w:val="fr-FR" w:eastAsia="fr-FR"/>
              </w:rPr>
            </w:pPr>
            <w:r w:rsidRPr="00226E45">
              <w:rPr>
                <w:rFonts w:cs="Arial"/>
                <w:i/>
                <w:iCs/>
                <w:snapToGrid/>
                <w:sz w:val="16"/>
                <w:szCs w:val="16"/>
                <w:lang w:val="fr-FR" w:eastAsia="fr-FR"/>
              </w:rPr>
              <w:t>6</w:t>
            </w:r>
            <w:r w:rsidR="008D0952">
              <w:rPr>
                <w:rFonts w:cs="Arial"/>
                <w:i/>
                <w:iCs/>
                <w:snapToGrid/>
                <w:sz w:val="16"/>
                <w:szCs w:val="16"/>
                <w:lang w:val="fr-FR" w:eastAsia="fr-FR"/>
              </w:rPr>
              <w:t>6 </w:t>
            </w:r>
            <w:r w:rsidRPr="00226E45">
              <w:rPr>
                <w:rFonts w:cs="Arial"/>
                <w:i/>
                <w:iCs/>
                <w:snapToGrid/>
                <w:sz w:val="16"/>
                <w:szCs w:val="16"/>
                <w:lang w:val="fr-FR" w:eastAsia="fr-FR"/>
              </w:rPr>
              <w:t>987</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75 </w:t>
            </w:r>
            <w:r w:rsidR="000D1B28" w:rsidRPr="00226E45">
              <w:rPr>
                <w:rFonts w:cs="Arial"/>
                <w:i/>
                <w:iCs/>
                <w:snapToGrid/>
                <w:sz w:val="16"/>
                <w:szCs w:val="16"/>
                <w:lang w:val="fr-FR" w:eastAsia="fr-FR"/>
              </w:rPr>
              <w:t>969</w:t>
            </w:r>
          </w:p>
        </w:tc>
        <w:tc>
          <w:tcPr>
            <w:tcW w:w="405"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p>
        </w:tc>
        <w:tc>
          <w:tcPr>
            <w:tcW w:w="447" w:type="pct"/>
            <w:tcBorders>
              <w:top w:val="nil"/>
              <w:left w:val="nil"/>
              <w:bottom w:val="nil"/>
              <w:right w:val="single" w:sz="8" w:space="0" w:color="auto"/>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noWrap/>
            <w:vAlign w:val="bottom"/>
            <w:hideMark/>
          </w:tcPr>
          <w:p w:rsidR="000D1B28" w:rsidRPr="00226E45" w:rsidRDefault="00936AD0" w:rsidP="000D1B28">
            <w:pPr>
              <w:tabs>
                <w:tab w:val="clear" w:pos="567"/>
              </w:tabs>
              <w:snapToGrid/>
              <w:rPr>
                <w:rFonts w:cs="Arial"/>
                <w:snapToGrid/>
                <w:sz w:val="16"/>
                <w:szCs w:val="16"/>
                <w:lang w:val="fr-FR" w:eastAsia="fr-FR"/>
              </w:rPr>
            </w:pPr>
            <w:r>
              <w:rPr>
                <w:rFonts w:cs="Arial"/>
                <w:snapToGrid/>
                <w:sz w:val="16"/>
                <w:szCs w:val="16"/>
                <w:lang w:val="fr-FR" w:eastAsia="fr-FR"/>
              </w:rPr>
              <w:t>Formation et développement de la COI</w:t>
            </w:r>
          </w:p>
        </w:tc>
        <w:tc>
          <w:tcPr>
            <w:tcW w:w="588" w:type="pct"/>
            <w:tcBorders>
              <w:top w:val="nil"/>
              <w:left w:val="nil"/>
              <w:bottom w:val="single" w:sz="4" w:space="0" w:color="auto"/>
              <w:right w:val="single" w:sz="8" w:space="0" w:color="auto"/>
            </w:tcBorders>
            <w:shd w:val="clear" w:color="auto" w:fill="auto"/>
            <w:noWrap/>
            <w:vAlign w:val="bottom"/>
            <w:hideMark/>
          </w:tcPr>
          <w:p w:rsidR="000D1B28" w:rsidRPr="00226E45" w:rsidRDefault="000D1B28" w:rsidP="000D1B28">
            <w:pPr>
              <w:tabs>
                <w:tab w:val="clear" w:pos="567"/>
              </w:tabs>
              <w:snapToGrid/>
              <w:jc w:val="right"/>
              <w:rPr>
                <w:rFonts w:cs="Arial"/>
                <w:i/>
                <w:iCs/>
                <w:snapToGrid/>
                <w:sz w:val="16"/>
                <w:szCs w:val="16"/>
                <w:lang w:val="fr-FR" w:eastAsia="fr-FR"/>
              </w:rPr>
            </w:pPr>
            <w:r w:rsidRPr="00226E45">
              <w:rPr>
                <w:rFonts w:cs="Arial"/>
                <w:i/>
                <w:iCs/>
                <w:snapToGrid/>
                <w:sz w:val="16"/>
                <w:szCs w:val="16"/>
                <w:lang w:val="fr-FR" w:eastAsia="fr-FR"/>
              </w:rPr>
              <w:t> </w:t>
            </w:r>
          </w:p>
        </w:tc>
        <w:tc>
          <w:tcPr>
            <w:tcW w:w="447" w:type="pct"/>
            <w:tcBorders>
              <w:top w:val="nil"/>
              <w:left w:val="single" w:sz="8" w:space="0" w:color="auto"/>
              <w:bottom w:val="single" w:sz="4" w:space="0" w:color="auto"/>
              <w:right w:val="single" w:sz="4" w:space="0" w:color="auto"/>
            </w:tcBorders>
            <w:shd w:val="clear" w:color="auto" w:fill="auto"/>
            <w:noWrap/>
            <w:vAlign w:val="bottom"/>
            <w:hideMark/>
          </w:tcPr>
          <w:p w:rsidR="000D1B28" w:rsidRPr="00226E45" w:rsidRDefault="000D1B28" w:rsidP="000D1B28">
            <w:pPr>
              <w:tabs>
                <w:tab w:val="clear" w:pos="567"/>
              </w:tabs>
              <w:snapToGrid/>
              <w:jc w:val="right"/>
              <w:rPr>
                <w:rFonts w:cs="Arial"/>
                <w:i/>
                <w:iCs/>
                <w:snapToGrid/>
                <w:sz w:val="16"/>
                <w:szCs w:val="16"/>
                <w:lang w:val="fr-FR" w:eastAsia="fr-FR"/>
              </w:rPr>
            </w:pPr>
            <w:r w:rsidRPr="00226E45">
              <w:rPr>
                <w:rFonts w:cs="Arial"/>
                <w:i/>
                <w:iCs/>
                <w:snapToGrid/>
                <w:sz w:val="16"/>
                <w:szCs w:val="16"/>
                <w:lang w:val="fr-FR" w:eastAsia="fr-FR"/>
              </w:rPr>
              <w:t> </w:t>
            </w:r>
          </w:p>
        </w:tc>
        <w:tc>
          <w:tcPr>
            <w:tcW w:w="530"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20 </w:t>
            </w:r>
            <w:r w:rsidR="000D1B28" w:rsidRPr="00226E45">
              <w:rPr>
                <w:rFonts w:cs="Arial"/>
                <w:i/>
                <w:iCs/>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noWrap/>
            <w:vAlign w:val="bottom"/>
            <w:hideMark/>
          </w:tcPr>
          <w:p w:rsidR="000D1B28" w:rsidRPr="00226E45" w:rsidRDefault="008D0952"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20 </w:t>
            </w:r>
            <w:r w:rsidR="000D1B28" w:rsidRPr="00226E45">
              <w:rPr>
                <w:rFonts w:cs="Arial"/>
                <w:i/>
                <w:iCs/>
                <w:snapToGrid/>
                <w:sz w:val="16"/>
                <w:szCs w:val="16"/>
                <w:lang w:val="fr-FR" w:eastAsia="fr-FR"/>
              </w:rPr>
              <w:t>000</w:t>
            </w:r>
          </w:p>
        </w:tc>
        <w:tc>
          <w:tcPr>
            <w:tcW w:w="405"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p>
        </w:tc>
        <w:tc>
          <w:tcPr>
            <w:tcW w:w="447" w:type="pct"/>
            <w:tcBorders>
              <w:top w:val="nil"/>
              <w:left w:val="nil"/>
              <w:bottom w:val="nil"/>
              <w:right w:val="single" w:sz="8" w:space="0" w:color="auto"/>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7011F5" w:rsidP="000D1B28">
            <w:pPr>
              <w:tabs>
                <w:tab w:val="clear" w:pos="567"/>
              </w:tabs>
              <w:snapToGrid/>
              <w:rPr>
                <w:rFonts w:cs="Arial"/>
                <w:snapToGrid/>
                <w:sz w:val="16"/>
                <w:szCs w:val="16"/>
                <w:lang w:val="fr-FR" w:eastAsia="fr-FR"/>
              </w:rPr>
            </w:pPr>
            <w:r>
              <w:rPr>
                <w:rFonts w:cs="Arial"/>
                <w:snapToGrid/>
                <w:sz w:val="16"/>
                <w:szCs w:val="16"/>
                <w:lang w:val="fr-FR" w:eastAsia="fr-FR"/>
              </w:rPr>
              <w:t>Frais de fonctionnement de la COI</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50 </w:t>
            </w:r>
            <w:r w:rsidR="000D1B28" w:rsidRPr="00226E45">
              <w:rPr>
                <w:rFonts w:cs="Arial"/>
                <w:i/>
                <w:iCs/>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50 </w:t>
            </w:r>
            <w:r w:rsidR="000D1B28" w:rsidRPr="00226E45">
              <w:rPr>
                <w:rFonts w:cs="Arial"/>
                <w:i/>
                <w:iCs/>
                <w:snapToGrid/>
                <w:sz w:val="16"/>
                <w:szCs w:val="16"/>
                <w:lang w:val="fr-FR" w:eastAsia="fr-FR"/>
              </w:rPr>
              <w:t>000</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50 </w:t>
            </w:r>
            <w:r w:rsidR="000D1B28" w:rsidRPr="00226E45">
              <w:rPr>
                <w:rFonts w:cs="Arial"/>
                <w:i/>
                <w:iCs/>
                <w:snapToGrid/>
                <w:sz w:val="16"/>
                <w:szCs w:val="16"/>
                <w:lang w:val="fr-FR" w:eastAsia="fr-FR"/>
              </w:rPr>
              <w:t>000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50 </w:t>
            </w:r>
            <w:r w:rsidR="000D1B28" w:rsidRPr="00226E45">
              <w:rPr>
                <w:rFonts w:cs="Arial"/>
                <w:i/>
                <w:iCs/>
                <w:snapToGrid/>
                <w:sz w:val="16"/>
                <w:szCs w:val="16"/>
                <w:lang w:val="fr-FR" w:eastAsia="fr-FR"/>
              </w:rPr>
              <w:t>000</w:t>
            </w:r>
          </w:p>
        </w:tc>
        <w:tc>
          <w:tcPr>
            <w:tcW w:w="405"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p>
        </w:tc>
        <w:tc>
          <w:tcPr>
            <w:tcW w:w="447" w:type="pct"/>
            <w:tcBorders>
              <w:top w:val="nil"/>
              <w:left w:val="nil"/>
              <w:bottom w:val="nil"/>
              <w:right w:val="single" w:sz="8" w:space="0" w:color="auto"/>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194D38" w:rsidP="00884BF5">
            <w:pPr>
              <w:tabs>
                <w:tab w:val="clear" w:pos="567"/>
              </w:tabs>
              <w:snapToGrid/>
              <w:rPr>
                <w:rFonts w:cs="Arial"/>
                <w:b/>
                <w:bCs/>
                <w:snapToGrid/>
                <w:sz w:val="16"/>
                <w:szCs w:val="16"/>
                <w:lang w:val="fr-FR" w:eastAsia="fr-FR"/>
              </w:rPr>
            </w:pPr>
            <w:r>
              <w:rPr>
                <w:rFonts w:cs="Arial"/>
                <w:b/>
                <w:bCs/>
                <w:snapToGrid/>
                <w:sz w:val="16"/>
                <w:szCs w:val="16"/>
                <w:lang w:val="fr-FR" w:eastAsia="fr-FR"/>
              </w:rPr>
              <w:t xml:space="preserve">BUDGET </w:t>
            </w:r>
            <w:r w:rsidR="00884BF5">
              <w:rPr>
                <w:rFonts w:cs="Arial"/>
                <w:b/>
                <w:bCs/>
                <w:snapToGrid/>
                <w:sz w:val="16"/>
                <w:szCs w:val="16"/>
                <w:lang w:val="fr-FR" w:eastAsia="fr-FR"/>
              </w:rPr>
              <w:t xml:space="preserve">OPÉRATIONNEL </w:t>
            </w:r>
            <w:r>
              <w:rPr>
                <w:rFonts w:cs="Arial"/>
                <w:b/>
                <w:bCs/>
                <w:snapToGrid/>
                <w:sz w:val="16"/>
                <w:szCs w:val="16"/>
                <w:lang w:val="fr-FR" w:eastAsia="fr-FR"/>
              </w:rPr>
              <w:t>NET</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b/>
                <w:bCs/>
                <w:i/>
                <w:iCs/>
                <w:snapToGrid/>
                <w:sz w:val="16"/>
                <w:szCs w:val="16"/>
                <w:lang w:val="fr-FR" w:eastAsia="fr-FR"/>
              </w:rPr>
            </w:pPr>
            <w:r>
              <w:rPr>
                <w:rFonts w:cs="Arial"/>
                <w:b/>
                <w:bCs/>
                <w:i/>
                <w:iCs/>
                <w:snapToGrid/>
                <w:sz w:val="16"/>
                <w:szCs w:val="16"/>
                <w:lang w:val="fr-FR" w:eastAsia="fr-FR"/>
              </w:rPr>
              <w:t>2 478 </w:t>
            </w:r>
            <w:r w:rsidR="000D1B28" w:rsidRPr="00226E45">
              <w:rPr>
                <w:rFonts w:cs="Arial"/>
                <w:b/>
                <w:bCs/>
                <w:i/>
                <w:iCs/>
                <w:snapToGrid/>
                <w:sz w:val="16"/>
                <w:szCs w:val="16"/>
                <w:lang w:val="fr-FR" w:eastAsia="fr-FR"/>
              </w:rPr>
              <w:t>000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b/>
                <w:bCs/>
                <w:i/>
                <w:iCs/>
                <w:snapToGrid/>
                <w:sz w:val="16"/>
                <w:szCs w:val="16"/>
                <w:lang w:val="fr-FR" w:eastAsia="fr-FR"/>
              </w:rPr>
            </w:pPr>
            <w:r>
              <w:rPr>
                <w:rFonts w:cs="Arial"/>
                <w:b/>
                <w:bCs/>
                <w:i/>
                <w:iCs/>
                <w:snapToGrid/>
                <w:sz w:val="16"/>
                <w:szCs w:val="16"/>
                <w:lang w:val="fr-FR" w:eastAsia="fr-FR"/>
              </w:rPr>
              <w:t>1 964 </w:t>
            </w:r>
            <w:r w:rsidR="000D1B28" w:rsidRPr="00226E45">
              <w:rPr>
                <w:rFonts w:cs="Arial"/>
                <w:b/>
                <w:bCs/>
                <w:i/>
                <w:iCs/>
                <w:snapToGrid/>
                <w:sz w:val="16"/>
                <w:szCs w:val="16"/>
                <w:lang w:val="fr-FR" w:eastAsia="fr-FR"/>
              </w:rPr>
              <w:t>000</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b/>
                <w:bCs/>
                <w:i/>
                <w:iCs/>
                <w:snapToGrid/>
                <w:sz w:val="16"/>
                <w:szCs w:val="16"/>
                <w:lang w:val="fr-FR" w:eastAsia="fr-FR"/>
              </w:rPr>
            </w:pPr>
            <w:r>
              <w:rPr>
                <w:rFonts w:cs="Arial"/>
                <w:b/>
                <w:bCs/>
                <w:i/>
                <w:iCs/>
                <w:snapToGrid/>
                <w:sz w:val="16"/>
                <w:szCs w:val="16"/>
                <w:lang w:val="fr-FR" w:eastAsia="fr-FR"/>
              </w:rPr>
              <w:t>2 302 </w:t>
            </w:r>
            <w:r w:rsidR="000D1B28" w:rsidRPr="00226E45">
              <w:rPr>
                <w:rFonts w:cs="Arial"/>
                <w:b/>
                <w:bCs/>
                <w:i/>
                <w:iCs/>
                <w:snapToGrid/>
                <w:sz w:val="16"/>
                <w:szCs w:val="16"/>
                <w:lang w:val="fr-FR" w:eastAsia="fr-FR"/>
              </w:rPr>
              <w:t>900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b/>
                <w:bCs/>
                <w:i/>
                <w:iCs/>
                <w:snapToGrid/>
                <w:sz w:val="16"/>
                <w:szCs w:val="16"/>
                <w:lang w:val="fr-FR" w:eastAsia="fr-FR"/>
              </w:rPr>
            </w:pPr>
            <w:r>
              <w:rPr>
                <w:rFonts w:cs="Arial"/>
                <w:b/>
                <w:bCs/>
                <w:i/>
                <w:iCs/>
                <w:snapToGrid/>
                <w:sz w:val="16"/>
                <w:szCs w:val="16"/>
                <w:lang w:val="fr-FR" w:eastAsia="fr-FR"/>
              </w:rPr>
              <w:t>2 602 </w:t>
            </w:r>
            <w:r w:rsidR="000D1B28" w:rsidRPr="00226E45">
              <w:rPr>
                <w:rFonts w:cs="Arial"/>
                <w:b/>
                <w:bCs/>
                <w:i/>
                <w:iCs/>
                <w:snapToGrid/>
                <w:sz w:val="16"/>
                <w:szCs w:val="16"/>
                <w:lang w:val="fr-FR" w:eastAsia="fr-FR"/>
              </w:rPr>
              <w:t>300</w:t>
            </w:r>
          </w:p>
        </w:tc>
        <w:tc>
          <w:tcPr>
            <w:tcW w:w="405"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p>
        </w:tc>
        <w:tc>
          <w:tcPr>
            <w:tcW w:w="447" w:type="pct"/>
            <w:tcBorders>
              <w:top w:val="nil"/>
              <w:left w:val="nil"/>
              <w:bottom w:val="nil"/>
              <w:right w:val="single" w:sz="8" w:space="0" w:color="auto"/>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auto" w:fill="auto"/>
            <w:vAlign w:val="bottom"/>
            <w:hideMark/>
          </w:tcPr>
          <w:p w:rsidR="000D1B28" w:rsidRPr="00226E45" w:rsidRDefault="007011F5" w:rsidP="007011F5">
            <w:pPr>
              <w:tabs>
                <w:tab w:val="clear" w:pos="567"/>
              </w:tabs>
              <w:snapToGrid/>
              <w:rPr>
                <w:rFonts w:cs="Arial"/>
                <w:i/>
                <w:iCs/>
                <w:snapToGrid/>
                <w:sz w:val="16"/>
                <w:szCs w:val="16"/>
                <w:lang w:val="fr-FR" w:eastAsia="fr-FR"/>
              </w:rPr>
            </w:pPr>
            <w:r>
              <w:rPr>
                <w:rFonts w:cs="Arial"/>
                <w:i/>
                <w:iCs/>
                <w:snapToGrid/>
                <w:sz w:val="16"/>
                <w:szCs w:val="16"/>
                <w:lang w:val="fr-FR" w:eastAsia="fr-FR"/>
              </w:rPr>
              <w:t xml:space="preserve">Contribution de la COI aux frais communs </w:t>
            </w:r>
          </w:p>
        </w:tc>
        <w:tc>
          <w:tcPr>
            <w:tcW w:w="588" w:type="pct"/>
            <w:tcBorders>
              <w:top w:val="nil"/>
              <w:left w:val="nil"/>
              <w:bottom w:val="single" w:sz="4" w:space="0" w:color="auto"/>
              <w:right w:val="single" w:sz="8" w:space="0" w:color="auto"/>
            </w:tcBorders>
            <w:shd w:val="clear" w:color="auto" w:fill="auto"/>
            <w:vAlign w:val="bottom"/>
            <w:hideMark/>
          </w:tcPr>
          <w:p w:rsidR="000D1B28" w:rsidRPr="00226E45" w:rsidRDefault="00CF05C0"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181 </w:t>
            </w:r>
            <w:r w:rsidR="000D1B28" w:rsidRPr="00226E45">
              <w:rPr>
                <w:rFonts w:cs="Arial"/>
                <w:i/>
                <w:iCs/>
                <w:snapToGrid/>
                <w:sz w:val="16"/>
                <w:szCs w:val="16"/>
                <w:lang w:val="fr-FR" w:eastAsia="fr-FR"/>
              </w:rPr>
              <w:t>100</w:t>
            </w:r>
          </w:p>
        </w:tc>
        <w:tc>
          <w:tcPr>
            <w:tcW w:w="447" w:type="pct"/>
            <w:tcBorders>
              <w:top w:val="nil"/>
              <w:left w:val="single" w:sz="8" w:space="0" w:color="auto"/>
              <w:bottom w:val="single" w:sz="4" w:space="0" w:color="auto"/>
              <w:right w:val="single" w:sz="4" w:space="0" w:color="auto"/>
            </w:tcBorders>
            <w:shd w:val="clear" w:color="auto" w:fill="auto"/>
            <w:vAlign w:val="bottom"/>
            <w:hideMark/>
          </w:tcPr>
          <w:p w:rsidR="000D1B28" w:rsidRPr="00226E45" w:rsidRDefault="00CF05C0"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201 </w:t>
            </w:r>
            <w:r w:rsidR="000D1B28" w:rsidRPr="00226E45">
              <w:rPr>
                <w:rFonts w:cs="Arial"/>
                <w:i/>
                <w:iCs/>
                <w:snapToGrid/>
                <w:sz w:val="16"/>
                <w:szCs w:val="16"/>
                <w:lang w:val="fr-FR" w:eastAsia="fr-FR"/>
              </w:rPr>
              <w:t>500</w:t>
            </w:r>
          </w:p>
        </w:tc>
        <w:tc>
          <w:tcPr>
            <w:tcW w:w="530"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201 </w:t>
            </w:r>
            <w:r w:rsidR="000D1B28" w:rsidRPr="00226E45">
              <w:rPr>
                <w:rFonts w:cs="Arial"/>
                <w:i/>
                <w:iCs/>
                <w:snapToGrid/>
                <w:sz w:val="16"/>
                <w:szCs w:val="16"/>
                <w:lang w:val="fr-FR" w:eastAsia="fr-FR"/>
              </w:rPr>
              <w:t>500</w:t>
            </w:r>
          </w:p>
        </w:tc>
        <w:tc>
          <w:tcPr>
            <w:tcW w:w="447" w:type="pct"/>
            <w:tcBorders>
              <w:top w:val="nil"/>
              <w:left w:val="nil"/>
              <w:bottom w:val="single" w:sz="4" w:space="0" w:color="auto"/>
              <w:right w:val="single" w:sz="4" w:space="0" w:color="auto"/>
            </w:tcBorders>
            <w:shd w:val="clear" w:color="auto" w:fill="auto"/>
            <w:vAlign w:val="bottom"/>
            <w:hideMark/>
          </w:tcPr>
          <w:p w:rsidR="000D1B28" w:rsidRPr="00226E45" w:rsidRDefault="008D0952" w:rsidP="000D1B28">
            <w:pPr>
              <w:tabs>
                <w:tab w:val="clear" w:pos="567"/>
              </w:tabs>
              <w:snapToGrid/>
              <w:jc w:val="right"/>
              <w:rPr>
                <w:rFonts w:cs="Arial"/>
                <w:i/>
                <w:iCs/>
                <w:snapToGrid/>
                <w:sz w:val="16"/>
                <w:szCs w:val="16"/>
                <w:lang w:val="fr-FR" w:eastAsia="fr-FR"/>
              </w:rPr>
            </w:pPr>
            <w:r>
              <w:rPr>
                <w:rFonts w:cs="Arial"/>
                <w:i/>
                <w:iCs/>
                <w:snapToGrid/>
                <w:sz w:val="16"/>
                <w:szCs w:val="16"/>
                <w:lang w:val="fr-FR" w:eastAsia="fr-FR"/>
              </w:rPr>
              <w:t>201 </w:t>
            </w:r>
            <w:r w:rsidR="000D1B28" w:rsidRPr="00226E45">
              <w:rPr>
                <w:rFonts w:cs="Arial"/>
                <w:i/>
                <w:iCs/>
                <w:snapToGrid/>
                <w:sz w:val="16"/>
                <w:szCs w:val="16"/>
                <w:lang w:val="fr-FR" w:eastAsia="fr-FR"/>
              </w:rPr>
              <w:t>500</w:t>
            </w:r>
          </w:p>
        </w:tc>
        <w:tc>
          <w:tcPr>
            <w:tcW w:w="405"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p>
        </w:tc>
        <w:tc>
          <w:tcPr>
            <w:tcW w:w="447" w:type="pct"/>
            <w:tcBorders>
              <w:top w:val="nil"/>
              <w:left w:val="nil"/>
              <w:bottom w:val="nil"/>
              <w:right w:val="single" w:sz="8" w:space="0" w:color="auto"/>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000000" w:fill="B7DEE8"/>
            <w:vAlign w:val="bottom"/>
            <w:hideMark/>
          </w:tcPr>
          <w:p w:rsidR="000D1B28" w:rsidRPr="00226E45" w:rsidRDefault="000D1B28" w:rsidP="00884BF5">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TOTAL BUDGET</w:t>
            </w:r>
            <w:r w:rsidR="00194D38">
              <w:rPr>
                <w:rFonts w:cs="Arial"/>
                <w:b/>
                <w:bCs/>
                <w:snapToGrid/>
                <w:sz w:val="16"/>
                <w:szCs w:val="16"/>
                <w:lang w:val="fr-FR" w:eastAsia="fr-FR"/>
              </w:rPr>
              <w:t xml:space="preserve"> </w:t>
            </w:r>
            <w:r w:rsidR="00884BF5">
              <w:rPr>
                <w:rFonts w:cs="Arial"/>
                <w:b/>
                <w:bCs/>
                <w:snapToGrid/>
                <w:sz w:val="16"/>
                <w:szCs w:val="16"/>
                <w:lang w:val="fr-FR" w:eastAsia="fr-FR"/>
              </w:rPr>
              <w:t>OPÉRATIONNEL</w:t>
            </w:r>
          </w:p>
        </w:tc>
        <w:tc>
          <w:tcPr>
            <w:tcW w:w="588" w:type="pct"/>
            <w:tcBorders>
              <w:top w:val="nil"/>
              <w:left w:val="nil"/>
              <w:bottom w:val="single" w:sz="4" w:space="0" w:color="auto"/>
              <w:right w:val="single" w:sz="8" w:space="0" w:color="auto"/>
            </w:tcBorders>
            <w:shd w:val="clear" w:color="000000" w:fill="B7DEE8"/>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2 659 </w:t>
            </w:r>
            <w:r w:rsidR="000D1B28" w:rsidRPr="00226E45">
              <w:rPr>
                <w:rFonts w:cs="Arial"/>
                <w:b/>
                <w:bCs/>
                <w:snapToGrid/>
                <w:sz w:val="16"/>
                <w:szCs w:val="16"/>
                <w:lang w:val="fr-FR" w:eastAsia="fr-FR"/>
              </w:rPr>
              <w:t>100</w:t>
            </w:r>
          </w:p>
        </w:tc>
        <w:tc>
          <w:tcPr>
            <w:tcW w:w="447" w:type="pct"/>
            <w:tcBorders>
              <w:top w:val="nil"/>
              <w:left w:val="single" w:sz="8" w:space="0" w:color="auto"/>
              <w:bottom w:val="single" w:sz="4" w:space="0" w:color="auto"/>
              <w:right w:val="single" w:sz="4" w:space="0" w:color="auto"/>
            </w:tcBorders>
            <w:shd w:val="clear" w:color="000000" w:fill="B7DEE8"/>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2 165 </w:t>
            </w:r>
            <w:r w:rsidR="000D1B28" w:rsidRPr="00226E45">
              <w:rPr>
                <w:rFonts w:cs="Arial"/>
                <w:b/>
                <w:bCs/>
                <w:snapToGrid/>
                <w:sz w:val="16"/>
                <w:szCs w:val="16"/>
                <w:lang w:val="fr-FR" w:eastAsia="fr-FR"/>
              </w:rPr>
              <w:t>500</w:t>
            </w:r>
          </w:p>
        </w:tc>
        <w:tc>
          <w:tcPr>
            <w:tcW w:w="530" w:type="pct"/>
            <w:tcBorders>
              <w:top w:val="nil"/>
              <w:left w:val="nil"/>
              <w:bottom w:val="single" w:sz="4" w:space="0" w:color="auto"/>
              <w:right w:val="single" w:sz="4" w:space="0" w:color="auto"/>
            </w:tcBorders>
            <w:shd w:val="clear" w:color="000000" w:fill="B7DEE8"/>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2 504 </w:t>
            </w:r>
            <w:r w:rsidR="000D1B28" w:rsidRPr="00226E45">
              <w:rPr>
                <w:rFonts w:cs="Arial"/>
                <w:b/>
                <w:bCs/>
                <w:snapToGrid/>
                <w:sz w:val="16"/>
                <w:szCs w:val="16"/>
                <w:lang w:val="fr-FR" w:eastAsia="fr-FR"/>
              </w:rPr>
              <w:t>400</w:t>
            </w:r>
          </w:p>
        </w:tc>
        <w:tc>
          <w:tcPr>
            <w:tcW w:w="447" w:type="pct"/>
            <w:tcBorders>
              <w:top w:val="nil"/>
              <w:left w:val="nil"/>
              <w:bottom w:val="single" w:sz="4" w:space="0" w:color="auto"/>
              <w:right w:val="single" w:sz="4" w:space="0" w:color="auto"/>
            </w:tcBorders>
            <w:shd w:val="clear" w:color="000000" w:fill="B7DEE8"/>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2 803 </w:t>
            </w:r>
            <w:r w:rsidR="000D1B28" w:rsidRPr="00226E45">
              <w:rPr>
                <w:rFonts w:cs="Arial"/>
                <w:b/>
                <w:bCs/>
                <w:snapToGrid/>
                <w:sz w:val="16"/>
                <w:szCs w:val="16"/>
                <w:lang w:val="fr-FR" w:eastAsia="fr-FR"/>
              </w:rPr>
              <w:t>800</w:t>
            </w:r>
          </w:p>
        </w:tc>
        <w:tc>
          <w:tcPr>
            <w:tcW w:w="405"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nil"/>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p>
        </w:tc>
        <w:tc>
          <w:tcPr>
            <w:tcW w:w="447" w:type="pct"/>
            <w:tcBorders>
              <w:top w:val="nil"/>
              <w:left w:val="nil"/>
              <w:bottom w:val="nil"/>
              <w:right w:val="single" w:sz="8" w:space="0" w:color="auto"/>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r>
      <w:tr w:rsidR="000D1B28" w:rsidRPr="00226E45" w:rsidTr="00A311D2">
        <w:trPr>
          <w:trHeight w:val="225"/>
        </w:trPr>
        <w:tc>
          <w:tcPr>
            <w:tcW w:w="1691" w:type="pct"/>
            <w:tcBorders>
              <w:top w:val="nil"/>
              <w:left w:val="single" w:sz="8" w:space="0" w:color="auto"/>
              <w:bottom w:val="single" w:sz="4" w:space="0" w:color="auto"/>
              <w:right w:val="single" w:sz="8" w:space="0" w:color="auto"/>
            </w:tcBorders>
            <w:shd w:val="clear" w:color="000000" w:fill="B7DEE8"/>
            <w:noWrap/>
            <w:vAlign w:val="bottom"/>
            <w:hideMark/>
          </w:tcPr>
          <w:p w:rsidR="000D1B28" w:rsidRPr="00226E45" w:rsidRDefault="00936AD0" w:rsidP="00884BF5">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xml:space="preserve">TOTAL </w:t>
            </w:r>
            <w:r w:rsidR="00884BF5">
              <w:rPr>
                <w:rFonts w:cs="Arial"/>
                <w:b/>
                <w:bCs/>
                <w:snapToGrid/>
                <w:sz w:val="16"/>
                <w:szCs w:val="16"/>
                <w:lang w:val="fr-FR" w:eastAsia="fr-FR"/>
              </w:rPr>
              <w:t>COÛTS</w:t>
            </w:r>
            <w:r>
              <w:rPr>
                <w:rFonts w:cs="Arial"/>
                <w:b/>
                <w:bCs/>
                <w:snapToGrid/>
                <w:sz w:val="16"/>
                <w:szCs w:val="16"/>
                <w:lang w:val="fr-FR" w:eastAsia="fr-FR"/>
              </w:rPr>
              <w:t xml:space="preserve"> DE PERSONNEL</w:t>
            </w:r>
          </w:p>
        </w:tc>
        <w:tc>
          <w:tcPr>
            <w:tcW w:w="588" w:type="pct"/>
            <w:tcBorders>
              <w:top w:val="nil"/>
              <w:left w:val="nil"/>
              <w:bottom w:val="single" w:sz="4" w:space="0" w:color="auto"/>
              <w:right w:val="single" w:sz="8" w:space="0" w:color="auto"/>
            </w:tcBorders>
            <w:shd w:val="clear" w:color="000000" w:fill="B7DEE8"/>
            <w:noWrap/>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8 022 </w:t>
            </w:r>
            <w:r w:rsidR="000D1B28" w:rsidRPr="00226E45">
              <w:rPr>
                <w:rFonts w:cs="Arial"/>
                <w:b/>
                <w:bCs/>
                <w:snapToGrid/>
                <w:sz w:val="16"/>
                <w:szCs w:val="16"/>
                <w:lang w:val="fr-FR" w:eastAsia="fr-FR"/>
              </w:rPr>
              <w:t>200</w:t>
            </w:r>
          </w:p>
        </w:tc>
        <w:tc>
          <w:tcPr>
            <w:tcW w:w="447" w:type="pct"/>
            <w:tcBorders>
              <w:top w:val="nil"/>
              <w:left w:val="single" w:sz="8" w:space="0" w:color="auto"/>
              <w:bottom w:val="single" w:sz="4" w:space="0" w:color="auto"/>
              <w:right w:val="single" w:sz="4" w:space="0" w:color="auto"/>
            </w:tcBorders>
            <w:shd w:val="clear" w:color="000000" w:fill="B7DEE8"/>
            <w:noWrap/>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8 110 </w:t>
            </w:r>
            <w:r w:rsidR="000D1B28" w:rsidRPr="00226E45">
              <w:rPr>
                <w:rFonts w:cs="Arial"/>
                <w:b/>
                <w:bCs/>
                <w:snapToGrid/>
                <w:sz w:val="16"/>
                <w:szCs w:val="16"/>
                <w:lang w:val="fr-FR" w:eastAsia="fr-FR"/>
              </w:rPr>
              <w:t>700</w:t>
            </w:r>
          </w:p>
        </w:tc>
        <w:tc>
          <w:tcPr>
            <w:tcW w:w="530" w:type="pct"/>
            <w:tcBorders>
              <w:top w:val="nil"/>
              <w:left w:val="nil"/>
              <w:bottom w:val="single" w:sz="4" w:space="0" w:color="auto"/>
              <w:right w:val="single" w:sz="4" w:space="0" w:color="auto"/>
            </w:tcBorders>
            <w:shd w:val="clear" w:color="000000" w:fill="B7DEE8"/>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8 271 </w:t>
            </w:r>
            <w:r w:rsidR="000D1B28" w:rsidRPr="00226E45">
              <w:rPr>
                <w:rFonts w:cs="Arial"/>
                <w:b/>
                <w:bCs/>
                <w:snapToGrid/>
                <w:sz w:val="16"/>
                <w:szCs w:val="16"/>
                <w:lang w:val="fr-FR" w:eastAsia="fr-FR"/>
              </w:rPr>
              <w:t>700</w:t>
            </w:r>
          </w:p>
        </w:tc>
        <w:tc>
          <w:tcPr>
            <w:tcW w:w="447" w:type="pct"/>
            <w:tcBorders>
              <w:top w:val="nil"/>
              <w:left w:val="nil"/>
              <w:bottom w:val="single" w:sz="4" w:space="0" w:color="auto"/>
              <w:right w:val="single" w:sz="4" w:space="0" w:color="auto"/>
            </w:tcBorders>
            <w:shd w:val="clear" w:color="000000" w:fill="B7DEE8"/>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8 271 </w:t>
            </w:r>
            <w:r w:rsidR="000D1B28" w:rsidRPr="00226E45">
              <w:rPr>
                <w:rFonts w:cs="Arial"/>
                <w:b/>
                <w:bCs/>
                <w:snapToGrid/>
                <w:sz w:val="16"/>
                <w:szCs w:val="16"/>
                <w:lang w:val="fr-FR" w:eastAsia="fr-FR"/>
              </w:rPr>
              <w:t>700</w:t>
            </w:r>
          </w:p>
        </w:tc>
        <w:tc>
          <w:tcPr>
            <w:tcW w:w="405" w:type="pct"/>
            <w:tcBorders>
              <w:top w:val="nil"/>
              <w:left w:val="nil"/>
              <w:bottom w:val="single" w:sz="4" w:space="0" w:color="auto"/>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single" w:sz="4" w:space="0" w:color="auto"/>
              <w:right w:val="nil"/>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c>
          <w:tcPr>
            <w:tcW w:w="447" w:type="pct"/>
            <w:tcBorders>
              <w:top w:val="nil"/>
              <w:left w:val="nil"/>
              <w:bottom w:val="single" w:sz="4" w:space="0" w:color="auto"/>
              <w:right w:val="single" w:sz="8" w:space="0" w:color="auto"/>
            </w:tcBorders>
            <w:shd w:val="clear" w:color="auto" w:fill="auto"/>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 </w:t>
            </w:r>
          </w:p>
        </w:tc>
      </w:tr>
      <w:tr w:rsidR="000D1B28" w:rsidRPr="00226E45" w:rsidTr="00A311D2">
        <w:trPr>
          <w:trHeight w:val="240"/>
        </w:trPr>
        <w:tc>
          <w:tcPr>
            <w:tcW w:w="1691" w:type="pct"/>
            <w:tcBorders>
              <w:top w:val="nil"/>
              <w:left w:val="single" w:sz="8" w:space="0" w:color="auto"/>
              <w:bottom w:val="single" w:sz="8" w:space="0" w:color="auto"/>
              <w:right w:val="single" w:sz="8" w:space="0" w:color="auto"/>
            </w:tcBorders>
            <w:shd w:val="clear" w:color="000000" w:fill="B7DEE8"/>
            <w:noWrap/>
            <w:vAlign w:val="bottom"/>
            <w:hideMark/>
          </w:tcPr>
          <w:p w:rsidR="000D1B28" w:rsidRPr="00226E45" w:rsidRDefault="000D1B28" w:rsidP="000D1B28">
            <w:pPr>
              <w:tabs>
                <w:tab w:val="clear" w:pos="567"/>
              </w:tabs>
              <w:snapToGrid/>
              <w:rPr>
                <w:rFonts w:cs="Arial"/>
                <w:b/>
                <w:bCs/>
                <w:snapToGrid/>
                <w:sz w:val="16"/>
                <w:szCs w:val="16"/>
                <w:lang w:val="fr-FR" w:eastAsia="fr-FR"/>
              </w:rPr>
            </w:pPr>
            <w:r w:rsidRPr="00226E45">
              <w:rPr>
                <w:rFonts w:cs="Arial"/>
                <w:b/>
                <w:bCs/>
                <w:snapToGrid/>
                <w:sz w:val="16"/>
                <w:szCs w:val="16"/>
                <w:lang w:val="fr-FR" w:eastAsia="fr-FR"/>
              </w:rPr>
              <w:t>TOTAL</w:t>
            </w:r>
          </w:p>
        </w:tc>
        <w:tc>
          <w:tcPr>
            <w:tcW w:w="588" w:type="pct"/>
            <w:tcBorders>
              <w:top w:val="nil"/>
              <w:left w:val="nil"/>
              <w:bottom w:val="single" w:sz="8" w:space="0" w:color="auto"/>
              <w:right w:val="single" w:sz="8" w:space="0" w:color="auto"/>
            </w:tcBorders>
            <w:shd w:val="clear" w:color="000000" w:fill="B7DEE8"/>
            <w:noWrap/>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10 681 </w:t>
            </w:r>
            <w:r w:rsidR="000D1B28" w:rsidRPr="00226E45">
              <w:rPr>
                <w:rFonts w:cs="Arial"/>
                <w:b/>
                <w:bCs/>
                <w:snapToGrid/>
                <w:sz w:val="16"/>
                <w:szCs w:val="16"/>
                <w:lang w:val="fr-FR" w:eastAsia="fr-FR"/>
              </w:rPr>
              <w:t>300</w:t>
            </w:r>
          </w:p>
        </w:tc>
        <w:tc>
          <w:tcPr>
            <w:tcW w:w="447" w:type="pct"/>
            <w:tcBorders>
              <w:top w:val="nil"/>
              <w:left w:val="single" w:sz="8" w:space="0" w:color="auto"/>
              <w:bottom w:val="single" w:sz="8" w:space="0" w:color="auto"/>
              <w:right w:val="single" w:sz="4" w:space="0" w:color="auto"/>
            </w:tcBorders>
            <w:shd w:val="clear" w:color="000000" w:fill="B7DEE8"/>
            <w:noWrap/>
            <w:vAlign w:val="bottom"/>
            <w:hideMark/>
          </w:tcPr>
          <w:p w:rsidR="000D1B28" w:rsidRPr="00226E45" w:rsidRDefault="00CF05C0"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10 276 </w:t>
            </w:r>
            <w:r w:rsidR="000D1B28" w:rsidRPr="00226E45">
              <w:rPr>
                <w:rFonts w:cs="Arial"/>
                <w:b/>
                <w:bCs/>
                <w:snapToGrid/>
                <w:sz w:val="16"/>
                <w:szCs w:val="16"/>
                <w:lang w:val="fr-FR" w:eastAsia="fr-FR"/>
              </w:rPr>
              <w:t>200</w:t>
            </w:r>
          </w:p>
        </w:tc>
        <w:tc>
          <w:tcPr>
            <w:tcW w:w="530" w:type="pct"/>
            <w:tcBorders>
              <w:top w:val="nil"/>
              <w:left w:val="nil"/>
              <w:bottom w:val="single" w:sz="8" w:space="0" w:color="auto"/>
              <w:right w:val="single" w:sz="4" w:space="0" w:color="auto"/>
            </w:tcBorders>
            <w:shd w:val="clear" w:color="000000" w:fill="B7DEE8"/>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10 776 </w:t>
            </w:r>
            <w:r w:rsidR="000D1B28" w:rsidRPr="00226E45">
              <w:rPr>
                <w:rFonts w:cs="Arial"/>
                <w:b/>
                <w:bCs/>
                <w:snapToGrid/>
                <w:sz w:val="16"/>
                <w:szCs w:val="16"/>
                <w:lang w:val="fr-FR" w:eastAsia="fr-FR"/>
              </w:rPr>
              <w:t>100</w:t>
            </w:r>
          </w:p>
        </w:tc>
        <w:tc>
          <w:tcPr>
            <w:tcW w:w="447" w:type="pct"/>
            <w:tcBorders>
              <w:top w:val="nil"/>
              <w:left w:val="nil"/>
              <w:bottom w:val="single" w:sz="8" w:space="0" w:color="auto"/>
              <w:right w:val="single" w:sz="4" w:space="0" w:color="auto"/>
            </w:tcBorders>
            <w:shd w:val="clear" w:color="000000" w:fill="B7DEE8"/>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11 075 </w:t>
            </w:r>
            <w:r w:rsidR="000D1B28" w:rsidRPr="00226E45">
              <w:rPr>
                <w:rFonts w:cs="Arial"/>
                <w:b/>
                <w:bCs/>
                <w:snapToGrid/>
                <w:sz w:val="16"/>
                <w:szCs w:val="16"/>
                <w:lang w:val="fr-FR" w:eastAsia="fr-FR"/>
              </w:rPr>
              <w:t>500</w:t>
            </w:r>
          </w:p>
        </w:tc>
        <w:tc>
          <w:tcPr>
            <w:tcW w:w="405" w:type="pct"/>
            <w:tcBorders>
              <w:top w:val="nil"/>
              <w:left w:val="nil"/>
              <w:bottom w:val="single" w:sz="8" w:space="0" w:color="auto"/>
              <w:right w:val="single" w:sz="4" w:space="0" w:color="auto"/>
            </w:tcBorders>
            <w:shd w:val="clear" w:color="000000" w:fill="B7DEE8"/>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2 600 </w:t>
            </w:r>
            <w:r w:rsidR="000D1B28" w:rsidRPr="00226E45">
              <w:rPr>
                <w:rFonts w:cs="Arial"/>
                <w:b/>
                <w:bCs/>
                <w:snapToGrid/>
                <w:sz w:val="16"/>
                <w:szCs w:val="16"/>
                <w:lang w:val="fr-FR" w:eastAsia="fr-FR"/>
              </w:rPr>
              <w:t>000</w:t>
            </w:r>
          </w:p>
        </w:tc>
        <w:tc>
          <w:tcPr>
            <w:tcW w:w="447" w:type="pct"/>
            <w:tcBorders>
              <w:top w:val="nil"/>
              <w:left w:val="nil"/>
              <w:bottom w:val="single" w:sz="8" w:space="0" w:color="auto"/>
              <w:right w:val="single" w:sz="4" w:space="0" w:color="auto"/>
            </w:tcBorders>
            <w:shd w:val="clear" w:color="000000" w:fill="B7DEE8"/>
            <w:noWrap/>
            <w:vAlign w:val="bottom"/>
            <w:hideMark/>
          </w:tcPr>
          <w:p w:rsidR="000D1B28" w:rsidRPr="00226E45" w:rsidRDefault="008D0952"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13 160 </w:t>
            </w:r>
            <w:r w:rsidR="000D1B28" w:rsidRPr="00226E45">
              <w:rPr>
                <w:rFonts w:cs="Arial"/>
                <w:b/>
                <w:bCs/>
                <w:snapToGrid/>
                <w:sz w:val="16"/>
                <w:szCs w:val="16"/>
                <w:lang w:val="fr-FR" w:eastAsia="fr-FR"/>
              </w:rPr>
              <w:t>200</w:t>
            </w:r>
          </w:p>
        </w:tc>
        <w:tc>
          <w:tcPr>
            <w:tcW w:w="447" w:type="pct"/>
            <w:tcBorders>
              <w:top w:val="nil"/>
              <w:left w:val="nil"/>
              <w:bottom w:val="single" w:sz="8" w:space="0" w:color="auto"/>
              <w:right w:val="single" w:sz="8" w:space="0" w:color="auto"/>
            </w:tcBorders>
            <w:shd w:val="clear" w:color="000000" w:fill="B7DEE8"/>
            <w:noWrap/>
            <w:vAlign w:val="bottom"/>
            <w:hideMark/>
          </w:tcPr>
          <w:p w:rsidR="000D1B28" w:rsidRPr="00226E45" w:rsidRDefault="00C24391" w:rsidP="000D1B28">
            <w:pPr>
              <w:tabs>
                <w:tab w:val="clear" w:pos="567"/>
              </w:tabs>
              <w:snapToGrid/>
              <w:jc w:val="right"/>
              <w:rPr>
                <w:rFonts w:cs="Arial"/>
                <w:b/>
                <w:bCs/>
                <w:snapToGrid/>
                <w:sz w:val="16"/>
                <w:szCs w:val="16"/>
                <w:lang w:val="fr-FR" w:eastAsia="fr-FR"/>
              </w:rPr>
            </w:pPr>
            <w:r>
              <w:rPr>
                <w:rFonts w:cs="Arial"/>
                <w:b/>
                <w:bCs/>
                <w:snapToGrid/>
                <w:sz w:val="16"/>
                <w:szCs w:val="16"/>
                <w:lang w:val="fr-FR" w:eastAsia="fr-FR"/>
              </w:rPr>
              <w:t>15 760 </w:t>
            </w:r>
            <w:r w:rsidR="000D1B28" w:rsidRPr="00226E45">
              <w:rPr>
                <w:rFonts w:cs="Arial"/>
                <w:b/>
                <w:bCs/>
                <w:snapToGrid/>
                <w:sz w:val="16"/>
                <w:szCs w:val="16"/>
                <w:lang w:val="fr-FR" w:eastAsia="fr-FR"/>
              </w:rPr>
              <w:t>200</w:t>
            </w:r>
          </w:p>
        </w:tc>
      </w:tr>
    </w:tbl>
    <w:p w:rsidR="008017E0" w:rsidRDefault="008017E0" w:rsidP="004A3D0E">
      <w:pPr>
        <w:pStyle w:val="Header"/>
        <w:spacing w:after="120"/>
        <w:jc w:val="both"/>
        <w:rPr>
          <w:lang w:val="fr-FR"/>
        </w:rPr>
      </w:pPr>
    </w:p>
    <w:p w:rsidR="000D1B28" w:rsidRDefault="006F3204" w:rsidP="004F1B4B">
      <w:pPr>
        <w:pStyle w:val="Marge"/>
      </w:pPr>
      <w:r>
        <w:t>16.</w:t>
      </w:r>
      <w:r>
        <w:tab/>
      </w:r>
      <w:r w:rsidR="00A838EE">
        <w:t xml:space="preserve">Comme il ressort du tableau ci-dessus, il n’est pas proposé de modifier la répartition proportionnelle du budget entre activités mondiales, interrégionales et régionales par rapport à l’exercice biennal 2018-2019 en cours. La réduction </w:t>
      </w:r>
      <w:r w:rsidR="0082696E">
        <w:t xml:space="preserve">découlant des scénarios budgétaires les moins </w:t>
      </w:r>
      <w:r w:rsidR="00590DC8">
        <w:t>optimistes</w:t>
      </w:r>
      <w:r w:rsidR="0082696E">
        <w:t xml:space="preserve"> </w:t>
      </w:r>
      <w:r w:rsidR="008578D0">
        <w:t>s’applique</w:t>
      </w:r>
      <w:r w:rsidR="0082696E">
        <w:t xml:space="preserve"> </w:t>
      </w:r>
      <w:r w:rsidR="008578D0">
        <w:t>de manière uniforme</w:t>
      </w:r>
      <w:r w:rsidR="0082696E">
        <w:t xml:space="preserve"> et </w:t>
      </w:r>
      <w:r w:rsidR="00590DC8">
        <w:t xml:space="preserve">il est proposé d’allouer </w:t>
      </w:r>
      <w:r w:rsidR="0082696E">
        <w:t>l</w:t>
      </w:r>
      <w:r w:rsidR="00590DC8">
        <w:t xml:space="preserve">e </w:t>
      </w:r>
      <w:r w:rsidR="008578D0">
        <w:t>financement supplémentaire minime obtenu</w:t>
      </w:r>
      <w:r w:rsidR="008017E0">
        <w:t xml:space="preserve"> dans le cadre du</w:t>
      </w:r>
      <w:r w:rsidR="0082696E">
        <w:t xml:space="preserve"> scénario budgétaire le plus </w:t>
      </w:r>
      <w:r w:rsidR="00590DC8">
        <w:t xml:space="preserve">élevé </w:t>
      </w:r>
      <w:r w:rsidR="008578D0">
        <w:t>comme</w:t>
      </w:r>
      <w:r w:rsidR="00590DC8">
        <w:t xml:space="preserve"> capital de </w:t>
      </w:r>
      <w:r w:rsidR="008578D0">
        <w:t>départ</w:t>
      </w:r>
      <w:r w:rsidR="00590DC8">
        <w:t xml:space="preserve"> pour les activités de coordination de la Décennie des Nations Unies</w:t>
      </w:r>
      <w:r w:rsidR="008578D0">
        <w:t>,</w:t>
      </w:r>
      <w:r w:rsidR="00590DC8">
        <w:t xml:space="preserve"> et </w:t>
      </w:r>
      <w:r w:rsidR="008578D0">
        <w:t>pour organiser une retraite</w:t>
      </w:r>
      <w:r w:rsidR="00590DC8">
        <w:t xml:space="preserve"> du personnel de la COI </w:t>
      </w:r>
      <w:r w:rsidR="008578D0">
        <w:t>destinée à</w:t>
      </w:r>
      <w:r w:rsidR="00590DC8">
        <w:t xml:space="preserve"> favoriser la cohésion d’équipe et </w:t>
      </w:r>
      <w:r w:rsidR="008578D0">
        <w:t xml:space="preserve">à </w:t>
      </w:r>
      <w:r w:rsidR="00590DC8">
        <w:t>renforcer la communication interne.</w:t>
      </w:r>
    </w:p>
    <w:p w:rsidR="008C7F2D" w:rsidRDefault="006F3204" w:rsidP="004F1B4B">
      <w:pPr>
        <w:pStyle w:val="Marge"/>
      </w:pPr>
      <w:r>
        <w:t>17.</w:t>
      </w:r>
      <w:r>
        <w:tab/>
      </w:r>
      <w:r w:rsidR="008C7F2D">
        <w:t xml:space="preserve">La part du budget affectée aux priorités globales est maintenue au même niveau en ce qui concerne la priorité Afrique (23 %) tandis que le budget prévisionnel </w:t>
      </w:r>
      <w:r w:rsidR="00815B01">
        <w:t>consacré à</w:t>
      </w:r>
      <w:r w:rsidR="008C7F2D">
        <w:t xml:space="preserve"> l’Égalité des genres passe de 3 à 10 %</w:t>
      </w:r>
      <w:r w:rsidR="00815B01">
        <w:t>.</w:t>
      </w:r>
    </w:p>
    <w:p w:rsidR="00815B01" w:rsidRDefault="00815B01">
      <w:pPr>
        <w:tabs>
          <w:tab w:val="clear" w:pos="567"/>
        </w:tabs>
        <w:snapToGrid/>
        <w:rPr>
          <w:rFonts w:eastAsia="Times New Roman"/>
          <w:lang w:val="fr-FR" w:eastAsia="en-US"/>
        </w:rPr>
      </w:pPr>
      <w:r>
        <w:rPr>
          <w:lang w:val="fr-FR"/>
        </w:rPr>
        <w:br w:type="page"/>
      </w:r>
    </w:p>
    <w:p w:rsidR="00815B01" w:rsidRDefault="00524D79" w:rsidP="00524D79">
      <w:pPr>
        <w:pStyle w:val="Header"/>
        <w:spacing w:after="240"/>
        <w:jc w:val="center"/>
        <w:rPr>
          <w:lang w:val="fr-FR"/>
        </w:rPr>
      </w:pPr>
      <w:r w:rsidRPr="00524D79">
        <w:rPr>
          <w:b/>
          <w:lang w:val="fr-FR"/>
        </w:rPr>
        <w:lastRenderedPageBreak/>
        <w:t>CIBLES DE PROGRAMME 2020-2021</w:t>
      </w:r>
      <w:r w:rsidR="00815B01">
        <w:rPr>
          <w:rStyle w:val="FootnoteReference"/>
          <w:lang w:val="fr-FR"/>
        </w:rPr>
        <w:footnoteReference w:id="2"/>
      </w:r>
      <w:r w:rsidR="00815B01">
        <w:rPr>
          <w:lang w:val="fr-FR"/>
        </w:rPr>
        <w:t xml:space="preserve"> (Projet de 40 C/5)</w:t>
      </w:r>
    </w:p>
    <w:p w:rsidR="0059449E" w:rsidRDefault="004470D3" w:rsidP="0059449E">
      <w:pPr>
        <w:tabs>
          <w:tab w:val="clear" w:pos="567"/>
        </w:tabs>
        <w:snapToGrid/>
        <w:jc w:val="both"/>
        <w:rPr>
          <w:rFonts w:eastAsia="Times New Roman"/>
          <w:lang w:val="fr-FR" w:eastAsia="en-US"/>
        </w:rPr>
      </w:pPr>
      <w:r>
        <w:rPr>
          <w:rFonts w:eastAsia="Times New Roman"/>
          <w:lang w:val="fr-FR" w:eastAsia="en-US"/>
        </w:rPr>
        <w:t>Résultat escompté </w:t>
      </w:r>
      <w:r w:rsidR="0059449E" w:rsidRPr="0059449E">
        <w:rPr>
          <w:rFonts w:eastAsia="Times New Roman"/>
          <w:lang w:val="fr-FR" w:eastAsia="en-US"/>
        </w:rPr>
        <w:t>: Élaboration et mise en œuvre, par les États membres, de politiques fondées sur la science au service d’une réduction de la vulnérabilité aux aléas liés aux océans, de la conservation mondiale et de l’exploitation durable des océans, des mers et des ressources marines, ainsi que d’un accroissement de la résilience et de l’adaptation au changement climatique, en vue de la réalisation du Programme 2030</w:t>
      </w:r>
      <w:r w:rsidR="0059449E">
        <w:rPr>
          <w:rFonts w:eastAsia="Times New Roman"/>
          <w:lang w:val="fr-FR" w:eastAsia="en-US"/>
        </w:rPr>
        <w:t>.</w:t>
      </w:r>
    </w:p>
    <w:p w:rsidR="0059449E" w:rsidRDefault="0059449E" w:rsidP="0059449E">
      <w:pPr>
        <w:tabs>
          <w:tab w:val="clear" w:pos="567"/>
        </w:tabs>
        <w:snapToGrid/>
        <w:jc w:val="both"/>
        <w:rPr>
          <w:rFonts w:eastAsia="Times New Roman"/>
          <w:lang w:val="fr-FR" w:eastAsia="en-US"/>
        </w:rPr>
      </w:pPr>
    </w:p>
    <w:tbl>
      <w:tblPr>
        <w:tblStyle w:val="TableGrid"/>
        <w:tblW w:w="0" w:type="auto"/>
        <w:tblLook w:val="04A0" w:firstRow="1" w:lastRow="0" w:firstColumn="1" w:lastColumn="0" w:noHBand="0" w:noVBand="1"/>
      </w:tblPr>
      <w:tblGrid>
        <w:gridCol w:w="2174"/>
        <w:gridCol w:w="1909"/>
        <w:gridCol w:w="1963"/>
        <w:gridCol w:w="1876"/>
        <w:gridCol w:w="1706"/>
      </w:tblGrid>
      <w:tr w:rsidR="00C20AB5" w:rsidRPr="001F0928" w:rsidTr="004470D3">
        <w:tc>
          <w:tcPr>
            <w:tcW w:w="2064" w:type="dxa"/>
            <w:vMerge w:val="restart"/>
          </w:tcPr>
          <w:p w:rsidR="0059449E" w:rsidRPr="0059449E" w:rsidRDefault="0059449E">
            <w:pPr>
              <w:tabs>
                <w:tab w:val="clear" w:pos="567"/>
              </w:tabs>
              <w:snapToGrid/>
              <w:rPr>
                <w:i/>
                <w:sz w:val="20"/>
                <w:szCs w:val="20"/>
                <w:lang w:val="fr-FR"/>
              </w:rPr>
            </w:pPr>
            <w:r w:rsidRPr="0059449E">
              <w:rPr>
                <w:rFonts w:cs="Arial"/>
                <w:i/>
                <w:sz w:val="20"/>
                <w:szCs w:val="20"/>
                <w:shd w:val="clear" w:color="auto" w:fill="FFFFFF"/>
              </w:rPr>
              <w:t>Indicateurs de performance</w:t>
            </w:r>
          </w:p>
        </w:tc>
        <w:tc>
          <w:tcPr>
            <w:tcW w:w="1922" w:type="dxa"/>
            <w:vMerge w:val="restart"/>
          </w:tcPr>
          <w:p w:rsidR="0059449E" w:rsidRPr="0059449E" w:rsidRDefault="0059449E">
            <w:pPr>
              <w:tabs>
                <w:tab w:val="clear" w:pos="567"/>
              </w:tabs>
              <w:snapToGrid/>
              <w:rPr>
                <w:i/>
                <w:sz w:val="20"/>
                <w:szCs w:val="20"/>
                <w:lang w:val="fr-FR"/>
              </w:rPr>
            </w:pPr>
            <w:r w:rsidRPr="0059449E">
              <w:rPr>
                <w:rFonts w:cs="Arial"/>
                <w:i/>
                <w:sz w:val="20"/>
                <w:szCs w:val="20"/>
                <w:shd w:val="clear" w:color="auto" w:fill="FFFFFF"/>
              </w:rPr>
              <w:t>Données initiales 2016-2017</w:t>
            </w:r>
          </w:p>
        </w:tc>
        <w:tc>
          <w:tcPr>
            <w:tcW w:w="2101" w:type="dxa"/>
          </w:tcPr>
          <w:p w:rsidR="0059449E" w:rsidRPr="0059449E" w:rsidRDefault="0059449E">
            <w:pPr>
              <w:tabs>
                <w:tab w:val="clear" w:pos="567"/>
              </w:tabs>
              <w:snapToGrid/>
              <w:rPr>
                <w:i/>
                <w:sz w:val="20"/>
                <w:szCs w:val="20"/>
                <w:lang w:val="fr-FR"/>
              </w:rPr>
            </w:pPr>
            <w:r w:rsidRPr="0059449E">
              <w:rPr>
                <w:rFonts w:cs="Arial"/>
                <w:i/>
                <w:sz w:val="20"/>
                <w:szCs w:val="20"/>
                <w:shd w:val="clear" w:color="auto" w:fill="FFFFFF"/>
                <w:lang w:val="fr-FR"/>
              </w:rPr>
              <w:t>Cibles pour 2019 (cadre budgétaire intégré) (39 C/5 approuvé)</w:t>
            </w:r>
          </w:p>
        </w:tc>
        <w:tc>
          <w:tcPr>
            <w:tcW w:w="3541" w:type="dxa"/>
            <w:gridSpan w:val="2"/>
          </w:tcPr>
          <w:p w:rsidR="0059449E" w:rsidRPr="0059449E" w:rsidRDefault="0059449E">
            <w:pPr>
              <w:tabs>
                <w:tab w:val="clear" w:pos="567"/>
              </w:tabs>
              <w:snapToGrid/>
              <w:rPr>
                <w:i/>
                <w:sz w:val="20"/>
                <w:szCs w:val="20"/>
                <w:lang w:val="fr-FR"/>
              </w:rPr>
            </w:pPr>
            <w:r w:rsidRPr="0059449E">
              <w:rPr>
                <w:i/>
                <w:sz w:val="20"/>
                <w:szCs w:val="20"/>
                <w:lang w:val="fr-FR"/>
              </w:rPr>
              <w:t>Cibles pour 2020-2021 (cadre budgétaire intégré)</w:t>
            </w:r>
          </w:p>
        </w:tc>
      </w:tr>
      <w:tr w:rsidR="00501B48" w:rsidRPr="0059449E" w:rsidTr="0059449E">
        <w:tc>
          <w:tcPr>
            <w:tcW w:w="2064" w:type="dxa"/>
            <w:vMerge/>
          </w:tcPr>
          <w:p w:rsidR="0059449E" w:rsidRPr="0059449E" w:rsidRDefault="0059449E">
            <w:pPr>
              <w:tabs>
                <w:tab w:val="clear" w:pos="567"/>
              </w:tabs>
              <w:snapToGrid/>
              <w:rPr>
                <w:i/>
                <w:sz w:val="20"/>
                <w:szCs w:val="20"/>
                <w:lang w:val="fr-FR"/>
              </w:rPr>
            </w:pPr>
          </w:p>
        </w:tc>
        <w:tc>
          <w:tcPr>
            <w:tcW w:w="1922" w:type="dxa"/>
            <w:vMerge/>
          </w:tcPr>
          <w:p w:rsidR="0059449E" w:rsidRPr="0059449E" w:rsidRDefault="0059449E">
            <w:pPr>
              <w:tabs>
                <w:tab w:val="clear" w:pos="567"/>
              </w:tabs>
              <w:snapToGrid/>
              <w:rPr>
                <w:i/>
                <w:sz w:val="20"/>
                <w:szCs w:val="20"/>
                <w:lang w:val="fr-FR"/>
              </w:rPr>
            </w:pPr>
          </w:p>
        </w:tc>
        <w:tc>
          <w:tcPr>
            <w:tcW w:w="2101" w:type="dxa"/>
          </w:tcPr>
          <w:p w:rsidR="0059449E" w:rsidRPr="0059449E" w:rsidRDefault="0059449E">
            <w:pPr>
              <w:tabs>
                <w:tab w:val="clear" w:pos="567"/>
              </w:tabs>
              <w:snapToGrid/>
              <w:rPr>
                <w:i/>
                <w:sz w:val="20"/>
                <w:szCs w:val="20"/>
                <w:lang w:val="fr-FR"/>
              </w:rPr>
            </w:pPr>
            <w:r w:rsidRPr="0059449E">
              <w:rPr>
                <w:rFonts w:cs="Arial"/>
                <w:i/>
                <w:sz w:val="20"/>
                <w:szCs w:val="20"/>
                <w:shd w:val="clear" w:color="auto" w:fill="FFFFFF"/>
                <w:lang w:val="fr-FR"/>
              </w:rPr>
              <w:t>Plan de dépenses de 518 M$</w:t>
            </w:r>
          </w:p>
        </w:tc>
        <w:tc>
          <w:tcPr>
            <w:tcW w:w="1968" w:type="dxa"/>
          </w:tcPr>
          <w:p w:rsidR="0059449E" w:rsidRPr="0059449E" w:rsidRDefault="0059449E">
            <w:pPr>
              <w:tabs>
                <w:tab w:val="clear" w:pos="567"/>
              </w:tabs>
              <w:snapToGrid/>
              <w:rPr>
                <w:i/>
                <w:sz w:val="20"/>
                <w:szCs w:val="20"/>
                <w:lang w:val="fr-FR"/>
              </w:rPr>
            </w:pPr>
            <w:r w:rsidRPr="0059449E">
              <w:rPr>
                <w:i/>
                <w:sz w:val="20"/>
                <w:szCs w:val="20"/>
                <w:lang w:val="fr-FR"/>
              </w:rPr>
              <w:t>518 M$</w:t>
            </w:r>
          </w:p>
        </w:tc>
        <w:tc>
          <w:tcPr>
            <w:tcW w:w="1573" w:type="dxa"/>
          </w:tcPr>
          <w:p w:rsidR="0059449E" w:rsidRPr="0059449E" w:rsidRDefault="0059449E">
            <w:pPr>
              <w:tabs>
                <w:tab w:val="clear" w:pos="567"/>
              </w:tabs>
              <w:snapToGrid/>
              <w:rPr>
                <w:i/>
                <w:sz w:val="20"/>
                <w:szCs w:val="20"/>
                <w:lang w:val="fr-FR"/>
              </w:rPr>
            </w:pPr>
            <w:r w:rsidRPr="0059449E">
              <w:rPr>
                <w:rFonts w:cs="Arial"/>
                <w:i/>
                <w:sz w:val="20"/>
                <w:szCs w:val="20"/>
                <w:shd w:val="clear" w:color="auto" w:fill="FFFFFF"/>
              </w:rPr>
              <w:t>534,6 M$</w:t>
            </w:r>
          </w:p>
        </w:tc>
      </w:tr>
      <w:tr w:rsidR="00501B48" w:rsidRPr="001F0928" w:rsidTr="0059449E">
        <w:tc>
          <w:tcPr>
            <w:tcW w:w="2064" w:type="dxa"/>
          </w:tcPr>
          <w:p w:rsidR="0059449E" w:rsidRPr="0059449E" w:rsidRDefault="0059449E" w:rsidP="0059449E">
            <w:pPr>
              <w:pStyle w:val="ListParagraph"/>
              <w:numPr>
                <w:ilvl w:val="0"/>
                <w:numId w:val="28"/>
              </w:numPr>
              <w:tabs>
                <w:tab w:val="clear" w:pos="567"/>
              </w:tabs>
              <w:snapToGrid/>
              <w:spacing w:line="240" w:lineRule="auto"/>
              <w:ind w:left="312" w:hanging="312"/>
              <w:contextualSpacing w:val="0"/>
              <w:jc w:val="left"/>
              <w:rPr>
                <w:sz w:val="20"/>
                <w:szCs w:val="20"/>
                <w:lang w:val="fr-FR"/>
              </w:rPr>
            </w:pPr>
            <w:r w:rsidRPr="0059449E">
              <w:rPr>
                <w:sz w:val="20"/>
                <w:szCs w:val="20"/>
                <w:lang w:val="fr-FR"/>
              </w:rPr>
              <w:t>Nombre d’États membres soutenus qui ont mené des recherches océanographiques de pointe afin de répondre aux enjeux spécifiques des impacts océaniques et humains sur les zones côtières</w:t>
            </w:r>
          </w:p>
        </w:tc>
        <w:tc>
          <w:tcPr>
            <w:tcW w:w="1922" w:type="dxa"/>
          </w:tcPr>
          <w:p w:rsidR="0059449E" w:rsidRDefault="0059449E" w:rsidP="0059449E">
            <w:pPr>
              <w:tabs>
                <w:tab w:val="clear" w:pos="567"/>
              </w:tabs>
              <w:snapToGrid/>
              <w:spacing w:after="120"/>
              <w:rPr>
                <w:sz w:val="20"/>
                <w:szCs w:val="20"/>
                <w:lang w:val="fr-FR"/>
              </w:rPr>
            </w:pPr>
            <w:r>
              <w:rPr>
                <w:sz w:val="20"/>
                <w:szCs w:val="20"/>
                <w:lang w:val="fr-FR"/>
              </w:rPr>
              <w:t>(</w:t>
            </w:r>
            <w:r w:rsidRPr="0059449E">
              <w:rPr>
                <w:sz w:val="20"/>
                <w:szCs w:val="20"/>
                <w:lang w:val="fr-FR"/>
              </w:rPr>
              <w:t>i) 50 dont 5 en Afrique et 5 PEID, participent à des initiatives internationales de recherche dans le cadre du PMRC</w:t>
            </w:r>
          </w:p>
          <w:p w:rsidR="0059449E" w:rsidRDefault="0059449E" w:rsidP="0059449E">
            <w:pPr>
              <w:tabs>
                <w:tab w:val="clear" w:pos="567"/>
              </w:tabs>
              <w:snapToGrid/>
              <w:spacing w:after="120"/>
              <w:rPr>
                <w:sz w:val="20"/>
                <w:szCs w:val="20"/>
                <w:lang w:val="fr-FR"/>
              </w:rPr>
            </w:pPr>
            <w:r w:rsidRPr="0059449E">
              <w:rPr>
                <w:sz w:val="20"/>
                <w:szCs w:val="20"/>
                <w:lang w:val="fr-FR"/>
              </w:rPr>
              <w:t>(ii) 89 dont 22 en Afrique et 11</w:t>
            </w:r>
            <w:r w:rsidR="004470D3">
              <w:rPr>
                <w:sz w:val="20"/>
                <w:szCs w:val="20"/>
                <w:lang w:val="fr-FR"/>
              </w:rPr>
              <w:t> </w:t>
            </w:r>
            <w:r w:rsidRPr="0059449E">
              <w:rPr>
                <w:sz w:val="20"/>
                <w:szCs w:val="20"/>
                <w:lang w:val="fr-FR"/>
              </w:rPr>
              <w:t>PEID, combinent les meilleures pratiques, normes et méthodes aux fins d’observation de l’acidification de l’océan et des écosystèmes à carbone bleu</w:t>
            </w:r>
          </w:p>
          <w:p w:rsidR="0059449E" w:rsidRPr="0059449E" w:rsidRDefault="0059449E" w:rsidP="0059449E">
            <w:pPr>
              <w:tabs>
                <w:tab w:val="clear" w:pos="567"/>
              </w:tabs>
              <w:snapToGrid/>
              <w:spacing w:after="120"/>
              <w:rPr>
                <w:sz w:val="20"/>
                <w:szCs w:val="20"/>
                <w:lang w:val="fr-FR"/>
              </w:rPr>
            </w:pPr>
            <w:r w:rsidRPr="0059449E">
              <w:rPr>
                <w:sz w:val="20"/>
                <w:szCs w:val="20"/>
                <w:lang w:val="fr-FR"/>
              </w:rPr>
              <w:t>(iii) 76 dont 6 en Afrique et 2 PEID, contribuent à mieux faire comprendre le fonctionnement de l’écosystème marin et les effets du changement sur les services écosystémiques</w:t>
            </w:r>
          </w:p>
        </w:tc>
        <w:tc>
          <w:tcPr>
            <w:tcW w:w="2101" w:type="dxa"/>
          </w:tcPr>
          <w:p w:rsidR="0059449E" w:rsidRDefault="0059449E">
            <w:pPr>
              <w:tabs>
                <w:tab w:val="clear" w:pos="567"/>
              </w:tabs>
              <w:snapToGrid/>
              <w:rPr>
                <w:sz w:val="20"/>
                <w:szCs w:val="20"/>
                <w:lang w:val="fr-FR"/>
              </w:rPr>
            </w:pPr>
            <w:r>
              <w:rPr>
                <w:sz w:val="20"/>
                <w:szCs w:val="20"/>
                <w:lang w:val="fr-FR"/>
              </w:rPr>
              <w:t>(</w:t>
            </w:r>
            <w:r w:rsidRPr="0059449E">
              <w:rPr>
                <w:sz w:val="20"/>
                <w:szCs w:val="20"/>
                <w:lang w:val="fr-FR"/>
              </w:rPr>
              <w:t>i) 52 dont 7 en Afrique et 7 PEID</w:t>
            </w: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r w:rsidRPr="0059449E">
              <w:rPr>
                <w:sz w:val="20"/>
                <w:szCs w:val="20"/>
                <w:lang w:val="fr-FR"/>
              </w:rPr>
              <w:t xml:space="preserve">(ii) 91 dont 24 en Afrique et 13 </w:t>
            </w:r>
            <w:r>
              <w:rPr>
                <w:sz w:val="20"/>
                <w:szCs w:val="20"/>
                <w:lang w:val="fr-FR"/>
              </w:rPr>
              <w:t>PEID</w:t>
            </w: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4470D3" w:rsidRDefault="004470D3">
            <w:pPr>
              <w:tabs>
                <w:tab w:val="clear" w:pos="567"/>
              </w:tabs>
              <w:snapToGrid/>
              <w:rPr>
                <w:sz w:val="20"/>
                <w:szCs w:val="20"/>
                <w:lang w:val="fr-FR"/>
              </w:rPr>
            </w:pPr>
          </w:p>
          <w:p w:rsidR="0059449E" w:rsidRPr="0059449E" w:rsidRDefault="0059449E">
            <w:pPr>
              <w:tabs>
                <w:tab w:val="clear" w:pos="567"/>
              </w:tabs>
              <w:snapToGrid/>
              <w:rPr>
                <w:sz w:val="20"/>
                <w:szCs w:val="20"/>
                <w:lang w:val="fr-FR"/>
              </w:rPr>
            </w:pPr>
            <w:r w:rsidRPr="0059449E">
              <w:rPr>
                <w:sz w:val="20"/>
                <w:szCs w:val="20"/>
                <w:lang w:val="fr-FR"/>
              </w:rPr>
              <w:t>(iii) 80 dont 8 en Afrique et 4 PEID</w:t>
            </w:r>
          </w:p>
        </w:tc>
        <w:tc>
          <w:tcPr>
            <w:tcW w:w="1968" w:type="dxa"/>
          </w:tcPr>
          <w:p w:rsidR="0059449E" w:rsidRDefault="0059449E">
            <w:pPr>
              <w:tabs>
                <w:tab w:val="clear" w:pos="567"/>
              </w:tabs>
              <w:snapToGrid/>
              <w:rPr>
                <w:sz w:val="20"/>
                <w:szCs w:val="20"/>
                <w:lang w:val="fr-FR"/>
              </w:rPr>
            </w:pPr>
            <w:r>
              <w:rPr>
                <w:sz w:val="20"/>
                <w:szCs w:val="20"/>
                <w:lang w:val="fr-FR"/>
              </w:rPr>
              <w:t>(</w:t>
            </w:r>
            <w:r w:rsidRPr="0059449E">
              <w:rPr>
                <w:sz w:val="20"/>
                <w:szCs w:val="20"/>
                <w:lang w:val="fr-FR"/>
              </w:rPr>
              <w:t>i) 53 dont 7 en Afrique et 7 PEID</w:t>
            </w: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r w:rsidRPr="0059449E">
              <w:rPr>
                <w:sz w:val="20"/>
                <w:szCs w:val="20"/>
                <w:lang w:val="fr-FR"/>
              </w:rPr>
              <w:t xml:space="preserve">(ii) 93 dont 24 en Afrique et 13 </w:t>
            </w:r>
            <w:r>
              <w:rPr>
                <w:sz w:val="20"/>
                <w:szCs w:val="20"/>
                <w:lang w:val="fr-FR"/>
              </w:rPr>
              <w:t>PEID</w:t>
            </w: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4470D3" w:rsidRDefault="004470D3">
            <w:pPr>
              <w:tabs>
                <w:tab w:val="clear" w:pos="567"/>
              </w:tabs>
              <w:snapToGrid/>
              <w:rPr>
                <w:sz w:val="20"/>
                <w:szCs w:val="20"/>
                <w:lang w:val="fr-FR"/>
              </w:rPr>
            </w:pPr>
          </w:p>
          <w:p w:rsidR="0059449E" w:rsidRPr="0059449E" w:rsidRDefault="0059449E">
            <w:pPr>
              <w:tabs>
                <w:tab w:val="clear" w:pos="567"/>
              </w:tabs>
              <w:snapToGrid/>
              <w:rPr>
                <w:sz w:val="20"/>
                <w:szCs w:val="20"/>
                <w:lang w:val="fr-FR"/>
              </w:rPr>
            </w:pPr>
            <w:r w:rsidRPr="0059449E">
              <w:rPr>
                <w:sz w:val="20"/>
                <w:szCs w:val="20"/>
                <w:lang w:val="fr-FR"/>
              </w:rPr>
              <w:t>(iii) 82 dont 8 en Afrique et 4 PEID</w:t>
            </w:r>
          </w:p>
        </w:tc>
        <w:tc>
          <w:tcPr>
            <w:tcW w:w="1573" w:type="dxa"/>
          </w:tcPr>
          <w:p w:rsidR="0059449E" w:rsidRDefault="0059449E">
            <w:pPr>
              <w:tabs>
                <w:tab w:val="clear" w:pos="567"/>
              </w:tabs>
              <w:snapToGrid/>
              <w:rPr>
                <w:sz w:val="20"/>
                <w:szCs w:val="20"/>
                <w:lang w:val="fr-FR"/>
              </w:rPr>
            </w:pPr>
            <w:r w:rsidRPr="0059449E">
              <w:rPr>
                <w:sz w:val="20"/>
                <w:szCs w:val="20"/>
                <w:lang w:val="fr-FR"/>
              </w:rPr>
              <w:t>(i) 54 dont 7 en Afrique et 8</w:t>
            </w:r>
            <w:r w:rsidR="004470D3">
              <w:rPr>
                <w:sz w:val="20"/>
                <w:szCs w:val="20"/>
                <w:lang w:val="fr-FR"/>
              </w:rPr>
              <w:t> </w:t>
            </w:r>
            <w:r w:rsidRPr="0059449E">
              <w:rPr>
                <w:sz w:val="20"/>
                <w:szCs w:val="20"/>
                <w:lang w:val="fr-FR"/>
              </w:rPr>
              <w:t>PEID</w:t>
            </w: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r w:rsidRPr="0059449E">
              <w:rPr>
                <w:sz w:val="20"/>
                <w:szCs w:val="20"/>
                <w:lang w:val="fr-FR"/>
              </w:rPr>
              <w:t>(ii) 94 dont 25 en Afrique et 14</w:t>
            </w:r>
            <w:r w:rsidR="004470D3">
              <w:rPr>
                <w:sz w:val="20"/>
                <w:szCs w:val="20"/>
                <w:lang w:val="fr-FR"/>
              </w:rPr>
              <w:t> </w:t>
            </w:r>
            <w:r>
              <w:rPr>
                <w:sz w:val="20"/>
                <w:szCs w:val="20"/>
                <w:lang w:val="fr-FR"/>
              </w:rPr>
              <w:t>PEID</w:t>
            </w: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59449E" w:rsidRDefault="0059449E">
            <w:pPr>
              <w:tabs>
                <w:tab w:val="clear" w:pos="567"/>
              </w:tabs>
              <w:snapToGrid/>
              <w:rPr>
                <w:sz w:val="20"/>
                <w:szCs w:val="20"/>
                <w:lang w:val="fr-FR"/>
              </w:rPr>
            </w:pPr>
          </w:p>
          <w:p w:rsidR="004470D3" w:rsidRDefault="004470D3">
            <w:pPr>
              <w:tabs>
                <w:tab w:val="clear" w:pos="567"/>
              </w:tabs>
              <w:snapToGrid/>
              <w:rPr>
                <w:sz w:val="20"/>
                <w:szCs w:val="20"/>
                <w:lang w:val="fr-FR"/>
              </w:rPr>
            </w:pPr>
          </w:p>
          <w:p w:rsidR="0059449E" w:rsidRPr="0059449E" w:rsidRDefault="0059449E" w:rsidP="004470D3">
            <w:pPr>
              <w:tabs>
                <w:tab w:val="clear" w:pos="567"/>
              </w:tabs>
              <w:snapToGrid/>
              <w:rPr>
                <w:sz w:val="20"/>
                <w:szCs w:val="20"/>
                <w:lang w:val="fr-FR"/>
              </w:rPr>
            </w:pPr>
            <w:r w:rsidRPr="0059449E">
              <w:rPr>
                <w:sz w:val="20"/>
                <w:szCs w:val="20"/>
                <w:lang w:val="fr-FR"/>
              </w:rPr>
              <w:t>(iii) 83 dont 9 en Afrique et 5</w:t>
            </w:r>
            <w:r w:rsidR="004470D3">
              <w:rPr>
                <w:sz w:val="20"/>
                <w:szCs w:val="20"/>
                <w:lang w:val="fr-FR"/>
              </w:rPr>
              <w:t> PEID</w:t>
            </w:r>
          </w:p>
        </w:tc>
      </w:tr>
      <w:tr w:rsidR="00501B48" w:rsidRPr="001F0928" w:rsidTr="0059449E">
        <w:tc>
          <w:tcPr>
            <w:tcW w:w="2064" w:type="dxa"/>
          </w:tcPr>
          <w:p w:rsidR="0059449E" w:rsidRPr="0059449E" w:rsidRDefault="0059449E" w:rsidP="0059449E">
            <w:pPr>
              <w:pStyle w:val="ListParagraph"/>
              <w:numPr>
                <w:ilvl w:val="0"/>
                <w:numId w:val="28"/>
              </w:numPr>
              <w:tabs>
                <w:tab w:val="clear" w:pos="567"/>
              </w:tabs>
              <w:snapToGrid/>
              <w:spacing w:line="240" w:lineRule="auto"/>
              <w:ind w:left="312" w:hanging="312"/>
              <w:contextualSpacing w:val="0"/>
              <w:jc w:val="left"/>
              <w:rPr>
                <w:sz w:val="20"/>
                <w:szCs w:val="20"/>
                <w:lang w:val="fr-FR"/>
              </w:rPr>
            </w:pPr>
            <w:r w:rsidRPr="0059449E">
              <w:rPr>
                <w:sz w:val="20"/>
                <w:szCs w:val="20"/>
                <w:lang w:val="fr-FR"/>
              </w:rPr>
              <w:t xml:space="preserve">Nombre d’États membres soutenus qui ont entretenu, renforcé et intégré un système mondial d’observation, de données et d’informations relatif à l’océan </w:t>
            </w:r>
            <w:r w:rsidRPr="0059449E">
              <w:rPr>
                <w:sz w:val="20"/>
                <w:szCs w:val="20"/>
                <w:lang w:val="fr-FR"/>
              </w:rPr>
              <w:lastRenderedPageBreak/>
              <w:t>afin de réduire la vulnérabilité aux aléas liés aux océans et de bénéficier des produits obtenus</w:t>
            </w:r>
          </w:p>
        </w:tc>
        <w:tc>
          <w:tcPr>
            <w:tcW w:w="1922" w:type="dxa"/>
          </w:tcPr>
          <w:p w:rsidR="00C20AB5" w:rsidRDefault="0059449E" w:rsidP="0059449E">
            <w:pPr>
              <w:tabs>
                <w:tab w:val="clear" w:pos="567"/>
              </w:tabs>
              <w:snapToGrid/>
              <w:spacing w:after="120"/>
              <w:rPr>
                <w:sz w:val="20"/>
                <w:szCs w:val="20"/>
                <w:lang w:val="fr-FR"/>
              </w:rPr>
            </w:pPr>
            <w:r w:rsidRPr="0059449E">
              <w:rPr>
                <w:sz w:val="20"/>
                <w:szCs w:val="20"/>
                <w:lang w:val="fr-FR"/>
              </w:rPr>
              <w:lastRenderedPageBreak/>
              <w:t xml:space="preserve">(i) 104 dont 5 en Afrique et 39 PEID, appartiennent à des alliances régionales pour le GOOS. Les niveaux de participation et d’engagement varient, on estime </w:t>
            </w:r>
            <w:r w:rsidRPr="0059449E">
              <w:rPr>
                <w:sz w:val="20"/>
                <w:szCs w:val="20"/>
                <w:lang w:val="fr-FR"/>
              </w:rPr>
              <w:lastRenderedPageBreak/>
              <w:t>à 60 le nombre d’EM actifs, dont 5 en Afrique et 8</w:t>
            </w:r>
            <w:r w:rsidR="004470D3">
              <w:rPr>
                <w:sz w:val="20"/>
                <w:szCs w:val="20"/>
                <w:lang w:val="fr-FR"/>
              </w:rPr>
              <w:t> </w:t>
            </w:r>
            <w:r w:rsidRPr="0059449E">
              <w:rPr>
                <w:sz w:val="20"/>
                <w:szCs w:val="20"/>
                <w:lang w:val="fr-FR"/>
              </w:rPr>
              <w:t>PEID</w:t>
            </w:r>
          </w:p>
          <w:p w:rsidR="00C20AB5" w:rsidRDefault="0059449E" w:rsidP="0059449E">
            <w:pPr>
              <w:tabs>
                <w:tab w:val="clear" w:pos="567"/>
              </w:tabs>
              <w:snapToGrid/>
              <w:spacing w:after="120"/>
              <w:rPr>
                <w:sz w:val="20"/>
                <w:szCs w:val="20"/>
                <w:lang w:val="fr-FR"/>
              </w:rPr>
            </w:pPr>
            <w:r w:rsidRPr="0059449E">
              <w:rPr>
                <w:sz w:val="20"/>
                <w:szCs w:val="20"/>
                <w:lang w:val="fr-FR"/>
              </w:rPr>
              <w:t>(ii) 13 dont 5 en Afrique et 1 PEID, participent à l’IO­GOOS, un indicateur de contribution à l’EIOI­2</w:t>
            </w:r>
          </w:p>
          <w:p w:rsidR="00C20AB5" w:rsidRDefault="00C20AB5" w:rsidP="0059449E">
            <w:pPr>
              <w:tabs>
                <w:tab w:val="clear" w:pos="567"/>
              </w:tabs>
              <w:snapToGrid/>
              <w:spacing w:after="120"/>
              <w:rPr>
                <w:sz w:val="20"/>
                <w:szCs w:val="20"/>
                <w:lang w:val="fr-FR"/>
              </w:rPr>
            </w:pPr>
            <w:r>
              <w:rPr>
                <w:sz w:val="20"/>
                <w:szCs w:val="20"/>
                <w:lang w:val="fr-FR"/>
              </w:rPr>
              <w:t xml:space="preserve">(iii) 20 contribuent au </w:t>
            </w:r>
            <w:r w:rsidR="0059449E" w:rsidRPr="0059449E">
              <w:rPr>
                <w:sz w:val="20"/>
                <w:szCs w:val="20"/>
                <w:lang w:val="fr-FR"/>
              </w:rPr>
              <w:t>JCOMMOPS</w:t>
            </w:r>
          </w:p>
          <w:p w:rsidR="0059449E" w:rsidRPr="0059449E" w:rsidRDefault="0059449E" w:rsidP="0059449E">
            <w:pPr>
              <w:tabs>
                <w:tab w:val="clear" w:pos="567"/>
              </w:tabs>
              <w:snapToGrid/>
              <w:spacing w:after="120"/>
              <w:rPr>
                <w:sz w:val="20"/>
                <w:szCs w:val="20"/>
                <w:lang w:val="fr-FR"/>
              </w:rPr>
            </w:pPr>
            <w:r w:rsidRPr="0059449E">
              <w:rPr>
                <w:sz w:val="20"/>
                <w:szCs w:val="20"/>
                <w:lang w:val="fr-FR"/>
              </w:rPr>
              <w:t>(iv) 84 dont 19 en Afrique, participent au réseau de l’IODE et collaborent à la gestion des données et de l’information</w:t>
            </w:r>
          </w:p>
        </w:tc>
        <w:tc>
          <w:tcPr>
            <w:tcW w:w="2101" w:type="dxa"/>
          </w:tcPr>
          <w:p w:rsidR="00C20AB5" w:rsidRDefault="00C20AB5">
            <w:pPr>
              <w:tabs>
                <w:tab w:val="clear" w:pos="567"/>
              </w:tabs>
              <w:snapToGrid/>
              <w:rPr>
                <w:sz w:val="20"/>
                <w:szCs w:val="20"/>
                <w:lang w:val="fr-FR"/>
              </w:rPr>
            </w:pPr>
            <w:r>
              <w:rPr>
                <w:sz w:val="20"/>
                <w:szCs w:val="20"/>
                <w:lang w:val="fr-FR"/>
              </w:rPr>
              <w:lastRenderedPageBreak/>
              <w:t>(i) 6</w:t>
            </w:r>
            <w:r w:rsidRPr="00C20AB5">
              <w:rPr>
                <w:sz w:val="20"/>
                <w:szCs w:val="20"/>
                <w:lang w:val="fr-FR"/>
              </w:rPr>
              <w:t>0 dont 5 en Afrique et 8 PEID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4470D3" w:rsidRDefault="004470D3">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 xml:space="preserve">(ii) 13 dont 5 en Afrique et 1 </w:t>
            </w:r>
            <w:r>
              <w:rPr>
                <w:sz w:val="20"/>
                <w:szCs w:val="20"/>
                <w:lang w:val="fr-FR"/>
              </w:rPr>
              <w:t>PIED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(iii) 20</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59449E" w:rsidRPr="0059449E" w:rsidRDefault="00C20AB5">
            <w:pPr>
              <w:tabs>
                <w:tab w:val="clear" w:pos="567"/>
              </w:tabs>
              <w:snapToGrid/>
              <w:rPr>
                <w:sz w:val="20"/>
                <w:szCs w:val="20"/>
                <w:lang w:val="fr-FR"/>
              </w:rPr>
            </w:pPr>
            <w:r w:rsidRPr="00C20AB5">
              <w:rPr>
                <w:sz w:val="20"/>
                <w:szCs w:val="20"/>
                <w:lang w:val="fr-FR"/>
              </w:rPr>
              <w:t>(iv) 90 dont 22 en Afrique</w:t>
            </w:r>
          </w:p>
        </w:tc>
        <w:tc>
          <w:tcPr>
            <w:tcW w:w="1968" w:type="dxa"/>
          </w:tcPr>
          <w:p w:rsidR="00C20AB5" w:rsidRDefault="00C20AB5">
            <w:pPr>
              <w:tabs>
                <w:tab w:val="clear" w:pos="567"/>
              </w:tabs>
              <w:snapToGrid/>
              <w:rPr>
                <w:sz w:val="20"/>
                <w:szCs w:val="20"/>
                <w:lang w:val="fr-FR"/>
              </w:rPr>
            </w:pPr>
            <w:r>
              <w:rPr>
                <w:sz w:val="20"/>
                <w:szCs w:val="20"/>
                <w:lang w:val="fr-FR"/>
              </w:rPr>
              <w:lastRenderedPageBreak/>
              <w:t xml:space="preserve">(i) </w:t>
            </w:r>
            <w:r w:rsidRPr="00C20AB5">
              <w:rPr>
                <w:sz w:val="20"/>
                <w:szCs w:val="20"/>
                <w:lang w:val="fr-FR"/>
              </w:rPr>
              <w:t>63 dont 7 en Afrique et 8 PEID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4470D3" w:rsidRDefault="004470D3">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 xml:space="preserve">(ii) 13 dont 5 en Afrique et 1 </w:t>
            </w:r>
            <w:r>
              <w:rPr>
                <w:sz w:val="20"/>
                <w:szCs w:val="20"/>
                <w:lang w:val="fr-FR"/>
              </w:rPr>
              <w:t>PIED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(iii) 20</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59449E" w:rsidRPr="0059449E" w:rsidRDefault="00C20AB5">
            <w:pPr>
              <w:tabs>
                <w:tab w:val="clear" w:pos="567"/>
              </w:tabs>
              <w:snapToGrid/>
              <w:rPr>
                <w:sz w:val="20"/>
                <w:szCs w:val="20"/>
                <w:lang w:val="fr-FR"/>
              </w:rPr>
            </w:pPr>
            <w:r w:rsidRPr="00C20AB5">
              <w:rPr>
                <w:sz w:val="20"/>
                <w:szCs w:val="20"/>
                <w:lang w:val="fr-FR"/>
              </w:rPr>
              <w:t>(iv) 92 dont 22 en Afrique</w:t>
            </w:r>
          </w:p>
        </w:tc>
        <w:tc>
          <w:tcPr>
            <w:tcW w:w="1573" w:type="dxa"/>
          </w:tcPr>
          <w:p w:rsidR="00C20AB5" w:rsidRDefault="00C20AB5">
            <w:pPr>
              <w:tabs>
                <w:tab w:val="clear" w:pos="567"/>
              </w:tabs>
              <w:snapToGrid/>
              <w:rPr>
                <w:sz w:val="20"/>
                <w:szCs w:val="20"/>
                <w:lang w:val="fr-FR"/>
              </w:rPr>
            </w:pPr>
            <w:r w:rsidRPr="00C20AB5">
              <w:rPr>
                <w:sz w:val="20"/>
                <w:szCs w:val="20"/>
                <w:lang w:val="fr-FR"/>
              </w:rPr>
              <w:lastRenderedPageBreak/>
              <w:t xml:space="preserve">(i) 64 dont 8 en Afrique et 9 </w:t>
            </w:r>
            <w:r>
              <w:rPr>
                <w:sz w:val="20"/>
                <w:szCs w:val="20"/>
                <w:lang w:val="fr-FR"/>
              </w:rPr>
              <w:t xml:space="preserve">PEID </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4470D3" w:rsidRDefault="004470D3">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 13 dont 5 en Afrique et 1</w:t>
            </w:r>
            <w:r w:rsidR="004470D3">
              <w:rPr>
                <w:sz w:val="20"/>
                <w:szCs w:val="20"/>
                <w:lang w:val="fr-FR"/>
              </w:rPr>
              <w:t> </w:t>
            </w:r>
            <w:r>
              <w:rPr>
                <w:sz w:val="20"/>
                <w:szCs w:val="20"/>
                <w:lang w:val="fr-FR"/>
              </w:rPr>
              <w:t>PIED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(iii) 20</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59449E" w:rsidRPr="0059449E" w:rsidRDefault="00C20AB5">
            <w:pPr>
              <w:tabs>
                <w:tab w:val="clear" w:pos="567"/>
              </w:tabs>
              <w:snapToGrid/>
              <w:rPr>
                <w:sz w:val="20"/>
                <w:szCs w:val="20"/>
                <w:lang w:val="fr-FR"/>
              </w:rPr>
            </w:pPr>
            <w:r w:rsidRPr="00C20AB5">
              <w:rPr>
                <w:sz w:val="20"/>
                <w:szCs w:val="20"/>
                <w:lang w:val="fr-FR"/>
              </w:rPr>
              <w:t>(iv) 100 dont 25 en Afrique</w:t>
            </w:r>
          </w:p>
        </w:tc>
      </w:tr>
      <w:tr w:rsidR="00501B48" w:rsidRPr="001F0928" w:rsidTr="0059449E">
        <w:tc>
          <w:tcPr>
            <w:tcW w:w="2064" w:type="dxa"/>
          </w:tcPr>
          <w:p w:rsidR="0059449E" w:rsidRPr="0059449E" w:rsidRDefault="0059449E" w:rsidP="0059449E">
            <w:pPr>
              <w:pStyle w:val="ListParagraph"/>
              <w:numPr>
                <w:ilvl w:val="0"/>
                <w:numId w:val="28"/>
              </w:numPr>
              <w:tabs>
                <w:tab w:val="clear" w:pos="567"/>
              </w:tabs>
              <w:snapToGrid/>
              <w:spacing w:line="240" w:lineRule="auto"/>
              <w:ind w:left="312" w:hanging="312"/>
              <w:contextualSpacing w:val="0"/>
              <w:jc w:val="left"/>
              <w:rPr>
                <w:sz w:val="20"/>
                <w:szCs w:val="20"/>
                <w:lang w:val="fr-FR"/>
              </w:rPr>
            </w:pPr>
            <w:r w:rsidRPr="0059449E">
              <w:rPr>
                <w:sz w:val="20"/>
                <w:szCs w:val="20"/>
                <w:lang w:val="fr-FR"/>
              </w:rPr>
              <w:lastRenderedPageBreak/>
              <w:t>Nombre d’États membres soutenus qui ont mis en place des systèmes d’alerte rapide et des mécanismes de préparation pour atténuer les risques de tsunami et autres aléas liés à l’océan, de façon à renforcer la résilience</w:t>
            </w:r>
          </w:p>
        </w:tc>
        <w:tc>
          <w:tcPr>
            <w:tcW w:w="1922" w:type="dxa"/>
          </w:tcPr>
          <w:p w:rsidR="00C20AB5" w:rsidRDefault="00C20AB5" w:rsidP="00C20AB5">
            <w:pPr>
              <w:tabs>
                <w:tab w:val="clear" w:pos="567"/>
              </w:tabs>
              <w:snapToGrid/>
              <w:spacing w:after="120"/>
              <w:rPr>
                <w:sz w:val="20"/>
                <w:szCs w:val="20"/>
                <w:lang w:val="fr-FR"/>
              </w:rPr>
            </w:pPr>
            <w:r>
              <w:rPr>
                <w:sz w:val="20"/>
                <w:szCs w:val="20"/>
                <w:lang w:val="fr-FR"/>
              </w:rPr>
              <w:t>(i) 72 dont 14 PEID et</w:t>
            </w:r>
            <w:r w:rsidRPr="00C20AB5">
              <w:rPr>
                <w:sz w:val="20"/>
                <w:szCs w:val="20"/>
                <w:lang w:val="fr-FR"/>
              </w:rPr>
              <w:t xml:space="preserve"> 6 en Afrique, disposent de centres nationaux d’alerte aux tsunamis</w:t>
            </w:r>
          </w:p>
          <w:p w:rsidR="00C20AB5" w:rsidRDefault="00C20AB5" w:rsidP="00C20AB5">
            <w:pPr>
              <w:tabs>
                <w:tab w:val="clear" w:pos="567"/>
              </w:tabs>
              <w:snapToGrid/>
              <w:spacing w:after="120"/>
              <w:rPr>
                <w:sz w:val="20"/>
                <w:szCs w:val="20"/>
                <w:lang w:val="fr-FR"/>
              </w:rPr>
            </w:pPr>
            <w:r w:rsidRPr="00C20AB5">
              <w:rPr>
                <w:sz w:val="20"/>
                <w:szCs w:val="20"/>
                <w:lang w:val="fr-FR"/>
              </w:rPr>
              <w:t>(ii) 5 tous des PEID, ont renforcé le degré de préparation des populations</w:t>
            </w:r>
          </w:p>
          <w:p w:rsidR="00C20AB5" w:rsidRDefault="00C20AB5" w:rsidP="00C20AB5">
            <w:pPr>
              <w:tabs>
                <w:tab w:val="clear" w:pos="567"/>
              </w:tabs>
              <w:snapToGrid/>
              <w:spacing w:after="120"/>
              <w:rPr>
                <w:sz w:val="20"/>
                <w:szCs w:val="20"/>
                <w:lang w:val="fr-FR"/>
              </w:rPr>
            </w:pPr>
            <w:r w:rsidRPr="00C20AB5">
              <w:rPr>
                <w:sz w:val="20"/>
                <w:szCs w:val="20"/>
                <w:lang w:val="fr-FR"/>
              </w:rPr>
              <w:t>(iii) 3 dont 1 PEID, ont développé des capacités d’évaluation des risques de tsunami et autres risques côtiers</w:t>
            </w:r>
          </w:p>
          <w:p w:rsidR="00C20AB5" w:rsidRDefault="00C20AB5" w:rsidP="00C20AB5">
            <w:pPr>
              <w:tabs>
                <w:tab w:val="clear" w:pos="567"/>
              </w:tabs>
              <w:snapToGrid/>
              <w:spacing w:after="120"/>
              <w:rPr>
                <w:sz w:val="20"/>
                <w:szCs w:val="20"/>
                <w:lang w:val="fr-FR"/>
              </w:rPr>
            </w:pPr>
            <w:r w:rsidRPr="00C20AB5">
              <w:rPr>
                <w:sz w:val="20"/>
                <w:szCs w:val="20"/>
                <w:lang w:val="fr-FR"/>
              </w:rPr>
              <w:t>(iv) 9 participent activement au système opérationnel de prév</w:t>
            </w:r>
            <w:r>
              <w:rPr>
                <w:sz w:val="20"/>
                <w:szCs w:val="20"/>
                <w:lang w:val="fr-FR"/>
              </w:rPr>
              <w:t xml:space="preserve">ision océanique (0 en Afrique, </w:t>
            </w:r>
            <w:r w:rsidRPr="00C20AB5">
              <w:rPr>
                <w:sz w:val="20"/>
                <w:szCs w:val="20"/>
                <w:lang w:val="fr-FR"/>
              </w:rPr>
              <w:t>0 PEID)</w:t>
            </w:r>
          </w:p>
          <w:p w:rsidR="0059449E" w:rsidRPr="0059449E" w:rsidRDefault="00C20AB5" w:rsidP="00C20AB5">
            <w:pPr>
              <w:tabs>
                <w:tab w:val="clear" w:pos="567"/>
              </w:tabs>
              <w:snapToGrid/>
              <w:spacing w:after="120"/>
              <w:rPr>
                <w:sz w:val="20"/>
                <w:szCs w:val="20"/>
                <w:lang w:val="fr-FR"/>
              </w:rPr>
            </w:pPr>
            <w:r w:rsidRPr="00C20AB5">
              <w:rPr>
                <w:sz w:val="20"/>
                <w:szCs w:val="20"/>
                <w:lang w:val="fr-FR"/>
              </w:rPr>
              <w:t>(v) 45 ont développé des capacités de recherche et de gestion en matière d’algues nuisibles</w:t>
            </w:r>
          </w:p>
        </w:tc>
        <w:tc>
          <w:tcPr>
            <w:tcW w:w="2101" w:type="dxa"/>
          </w:tcPr>
          <w:p w:rsidR="00C20AB5" w:rsidRDefault="00C20AB5">
            <w:pPr>
              <w:tabs>
                <w:tab w:val="clear" w:pos="567"/>
              </w:tabs>
              <w:snapToGrid/>
              <w:rPr>
                <w:sz w:val="20"/>
                <w:szCs w:val="20"/>
                <w:lang w:val="fr-FR"/>
              </w:rPr>
            </w:pPr>
            <w:r w:rsidRPr="00C20AB5">
              <w:rPr>
                <w:sz w:val="20"/>
                <w:szCs w:val="20"/>
                <w:lang w:val="fr-FR"/>
              </w:rPr>
              <w:t>(i) 75 dont 15 PEID et 6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 xml:space="preserve">(ii) 9 dont 5 </w:t>
            </w:r>
            <w:r>
              <w:rPr>
                <w:sz w:val="20"/>
                <w:szCs w:val="20"/>
                <w:lang w:val="fr-FR"/>
              </w:rPr>
              <w:t>PIED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 xml:space="preserve">(iii) 5 dont 1 </w:t>
            </w:r>
            <w:r>
              <w:rPr>
                <w:sz w:val="20"/>
                <w:szCs w:val="20"/>
                <w:lang w:val="fr-FR"/>
              </w:rPr>
              <w:t>PIED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 xml:space="preserve">(iv) 13 dont 2 en Afrique et 2 </w:t>
            </w:r>
            <w:r>
              <w:rPr>
                <w:sz w:val="20"/>
                <w:szCs w:val="20"/>
                <w:lang w:val="fr-FR"/>
              </w:rPr>
              <w:t>PIED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59449E" w:rsidRPr="0059449E" w:rsidRDefault="00C20AB5">
            <w:pPr>
              <w:tabs>
                <w:tab w:val="clear" w:pos="567"/>
              </w:tabs>
              <w:snapToGrid/>
              <w:rPr>
                <w:sz w:val="20"/>
                <w:szCs w:val="20"/>
                <w:lang w:val="fr-FR"/>
              </w:rPr>
            </w:pPr>
            <w:r w:rsidRPr="00C20AB5">
              <w:rPr>
                <w:sz w:val="20"/>
                <w:szCs w:val="20"/>
                <w:lang w:val="fr-FR"/>
              </w:rPr>
              <w:t>(v) 45 dont 6 en Afrique et 5 PEID</w:t>
            </w:r>
          </w:p>
        </w:tc>
        <w:tc>
          <w:tcPr>
            <w:tcW w:w="1968" w:type="dxa"/>
          </w:tcPr>
          <w:p w:rsidR="00C20AB5" w:rsidRDefault="00C20AB5">
            <w:pPr>
              <w:tabs>
                <w:tab w:val="clear" w:pos="567"/>
              </w:tabs>
              <w:snapToGrid/>
              <w:rPr>
                <w:sz w:val="20"/>
                <w:szCs w:val="20"/>
                <w:lang w:val="fr-FR"/>
              </w:rPr>
            </w:pPr>
            <w:r w:rsidRPr="00C20AB5">
              <w:rPr>
                <w:sz w:val="20"/>
                <w:szCs w:val="20"/>
                <w:lang w:val="fr-FR"/>
              </w:rPr>
              <w:t>(i) 76 dont 15</w:t>
            </w:r>
            <w:r w:rsidR="004470D3">
              <w:rPr>
                <w:sz w:val="20"/>
                <w:szCs w:val="20"/>
                <w:lang w:val="fr-FR"/>
              </w:rPr>
              <w:t> </w:t>
            </w:r>
            <w:r w:rsidRPr="00C20AB5">
              <w:rPr>
                <w:sz w:val="20"/>
                <w:szCs w:val="20"/>
                <w:lang w:val="fr-FR"/>
              </w:rPr>
              <w:t>PEID et 6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 9 dont 5 PEID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 xml:space="preserve">(iii) 6 dont 1 </w:t>
            </w:r>
            <w:r>
              <w:rPr>
                <w:sz w:val="20"/>
                <w:szCs w:val="20"/>
                <w:lang w:val="fr-FR"/>
              </w:rPr>
              <w:t>PEID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 xml:space="preserve">(iv) 13 dont 2 en Afrique et 2 </w:t>
            </w:r>
            <w:r>
              <w:rPr>
                <w:sz w:val="20"/>
                <w:szCs w:val="20"/>
                <w:lang w:val="fr-FR"/>
              </w:rPr>
              <w:t>PEID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59449E" w:rsidRPr="0059449E" w:rsidRDefault="00C20AB5">
            <w:pPr>
              <w:tabs>
                <w:tab w:val="clear" w:pos="567"/>
              </w:tabs>
              <w:snapToGrid/>
              <w:rPr>
                <w:sz w:val="20"/>
                <w:szCs w:val="20"/>
                <w:lang w:val="fr-FR"/>
              </w:rPr>
            </w:pPr>
            <w:r w:rsidRPr="00C20AB5">
              <w:rPr>
                <w:sz w:val="20"/>
                <w:szCs w:val="20"/>
                <w:lang w:val="fr-FR"/>
              </w:rPr>
              <w:t>(v)</w:t>
            </w:r>
            <w:r>
              <w:rPr>
                <w:sz w:val="20"/>
                <w:szCs w:val="20"/>
                <w:lang w:val="fr-FR"/>
              </w:rPr>
              <w:t xml:space="preserve"> 46 dont 6 en Afrique et 5 PEID</w:t>
            </w:r>
          </w:p>
        </w:tc>
        <w:tc>
          <w:tcPr>
            <w:tcW w:w="1573" w:type="dxa"/>
          </w:tcPr>
          <w:p w:rsidR="00C20AB5" w:rsidRDefault="00C20AB5">
            <w:pPr>
              <w:tabs>
                <w:tab w:val="clear" w:pos="567"/>
              </w:tabs>
              <w:snapToGrid/>
              <w:rPr>
                <w:sz w:val="20"/>
                <w:szCs w:val="20"/>
                <w:lang w:val="fr-FR"/>
              </w:rPr>
            </w:pPr>
            <w:r w:rsidRPr="00C20AB5">
              <w:rPr>
                <w:sz w:val="20"/>
                <w:szCs w:val="20"/>
                <w:lang w:val="fr-FR"/>
              </w:rPr>
              <w:t>(i) 78 dont 16</w:t>
            </w:r>
            <w:r w:rsidR="004470D3">
              <w:rPr>
                <w:sz w:val="20"/>
                <w:szCs w:val="20"/>
                <w:lang w:val="fr-FR"/>
              </w:rPr>
              <w:t> </w:t>
            </w:r>
            <w:r w:rsidRPr="00C20AB5">
              <w:rPr>
                <w:sz w:val="20"/>
                <w:szCs w:val="20"/>
                <w:lang w:val="fr-FR"/>
              </w:rPr>
              <w:t>PEID et 6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 10 dont 6</w:t>
            </w:r>
            <w:r w:rsidR="004470D3">
              <w:rPr>
                <w:sz w:val="20"/>
                <w:szCs w:val="20"/>
                <w:lang w:val="fr-FR"/>
              </w:rPr>
              <w:t> </w:t>
            </w:r>
            <w:r>
              <w:rPr>
                <w:sz w:val="20"/>
                <w:szCs w:val="20"/>
                <w:lang w:val="fr-FR"/>
              </w:rPr>
              <w:t>PIED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(iii) 7 dont 2</w:t>
            </w:r>
            <w:r w:rsidR="004470D3">
              <w:rPr>
                <w:sz w:val="20"/>
                <w:szCs w:val="20"/>
                <w:lang w:val="fr-FR"/>
              </w:rPr>
              <w:t> </w:t>
            </w:r>
            <w:r>
              <w:rPr>
                <w:sz w:val="20"/>
                <w:szCs w:val="20"/>
                <w:lang w:val="fr-FR"/>
              </w:rPr>
              <w:t>PIED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(iv) 14 dont 2 en Afrique et 2</w:t>
            </w:r>
            <w:r w:rsidR="00C96A8C">
              <w:rPr>
                <w:sz w:val="20"/>
                <w:szCs w:val="20"/>
                <w:lang w:val="fr-FR"/>
              </w:rPr>
              <w:t> </w:t>
            </w:r>
            <w:r>
              <w:rPr>
                <w:sz w:val="20"/>
                <w:szCs w:val="20"/>
                <w:lang w:val="fr-FR"/>
              </w:rPr>
              <w:t>PIED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59449E" w:rsidRPr="0059449E" w:rsidRDefault="00C20AB5">
            <w:pPr>
              <w:tabs>
                <w:tab w:val="clear" w:pos="567"/>
              </w:tabs>
              <w:snapToGrid/>
              <w:rPr>
                <w:sz w:val="20"/>
                <w:szCs w:val="20"/>
                <w:lang w:val="fr-FR"/>
              </w:rPr>
            </w:pPr>
            <w:r w:rsidRPr="00C20AB5">
              <w:rPr>
                <w:sz w:val="20"/>
                <w:szCs w:val="20"/>
                <w:lang w:val="fr-FR"/>
              </w:rPr>
              <w:t>(v) 47 dont 6 en Afriqu</w:t>
            </w:r>
            <w:r w:rsidR="00C96A8C">
              <w:rPr>
                <w:sz w:val="20"/>
                <w:szCs w:val="20"/>
                <w:lang w:val="fr-FR"/>
              </w:rPr>
              <w:t>e et 5 </w:t>
            </w:r>
            <w:r w:rsidRPr="00C20AB5">
              <w:rPr>
                <w:sz w:val="20"/>
                <w:szCs w:val="20"/>
                <w:lang w:val="fr-FR"/>
              </w:rPr>
              <w:t>PEID</w:t>
            </w:r>
          </w:p>
        </w:tc>
      </w:tr>
      <w:tr w:rsidR="00501B48" w:rsidRPr="001F0928" w:rsidTr="0059449E">
        <w:tc>
          <w:tcPr>
            <w:tcW w:w="2064" w:type="dxa"/>
          </w:tcPr>
          <w:p w:rsidR="0059449E" w:rsidRPr="0059449E" w:rsidRDefault="0059449E" w:rsidP="0059449E">
            <w:pPr>
              <w:pStyle w:val="ListParagraph"/>
              <w:numPr>
                <w:ilvl w:val="0"/>
                <w:numId w:val="28"/>
              </w:numPr>
              <w:tabs>
                <w:tab w:val="clear" w:pos="567"/>
              </w:tabs>
              <w:snapToGrid/>
              <w:spacing w:line="240" w:lineRule="auto"/>
              <w:ind w:left="312" w:hanging="312"/>
              <w:contextualSpacing w:val="0"/>
              <w:jc w:val="left"/>
              <w:rPr>
                <w:sz w:val="20"/>
                <w:szCs w:val="20"/>
                <w:lang w:val="fr-FR"/>
              </w:rPr>
            </w:pPr>
            <w:r w:rsidRPr="0059449E">
              <w:rPr>
                <w:sz w:val="20"/>
                <w:szCs w:val="20"/>
                <w:lang w:val="fr-FR"/>
              </w:rPr>
              <w:t xml:space="preserve">Nombre d’États membres soutenus qui disposent de </w:t>
            </w:r>
            <w:r w:rsidRPr="0059449E">
              <w:rPr>
                <w:sz w:val="20"/>
                <w:szCs w:val="20"/>
                <w:lang w:val="fr-FR"/>
              </w:rPr>
              <w:lastRenderedPageBreak/>
              <w:t>mécanismes d’interface science­politiques dans le domaine des océans propres à soutenir la bonne santé des écosystèmes océaniques, conformément au Programme 2030</w:t>
            </w:r>
          </w:p>
        </w:tc>
        <w:tc>
          <w:tcPr>
            <w:tcW w:w="1922" w:type="dxa"/>
          </w:tcPr>
          <w:p w:rsidR="00C20AB5" w:rsidRDefault="00C20AB5" w:rsidP="00C20AB5">
            <w:pPr>
              <w:tabs>
                <w:tab w:val="clear" w:pos="567"/>
              </w:tabs>
              <w:snapToGrid/>
              <w:spacing w:after="120"/>
              <w:rPr>
                <w:sz w:val="20"/>
                <w:szCs w:val="20"/>
                <w:lang w:val="fr-FR"/>
              </w:rPr>
            </w:pPr>
            <w:r w:rsidRPr="00C20AB5">
              <w:rPr>
                <w:sz w:val="20"/>
                <w:szCs w:val="20"/>
                <w:lang w:val="fr-FR"/>
              </w:rPr>
              <w:lastRenderedPageBreak/>
              <w:t xml:space="preserve">(i) 8 contribuent aux ensembles de données bathymétriques et </w:t>
            </w:r>
            <w:r w:rsidRPr="00C20AB5">
              <w:rPr>
                <w:sz w:val="20"/>
                <w:szCs w:val="20"/>
                <w:lang w:val="fr-FR"/>
              </w:rPr>
              <w:lastRenderedPageBreak/>
              <w:t>les utilisent dans le cadre du projet GEBCO</w:t>
            </w:r>
          </w:p>
          <w:p w:rsidR="00C20AB5" w:rsidRDefault="00C20AB5" w:rsidP="00C20AB5">
            <w:pPr>
              <w:tabs>
                <w:tab w:val="clear" w:pos="567"/>
              </w:tabs>
              <w:snapToGrid/>
              <w:spacing w:after="120"/>
              <w:rPr>
                <w:sz w:val="20"/>
                <w:szCs w:val="20"/>
                <w:lang w:val="fr-FR"/>
              </w:rPr>
            </w:pPr>
            <w:r>
              <w:rPr>
                <w:sz w:val="20"/>
                <w:szCs w:val="20"/>
                <w:lang w:val="fr-FR"/>
              </w:rPr>
              <w:t xml:space="preserve">(ii) 25 dont 5 PEID et </w:t>
            </w:r>
            <w:r w:rsidRPr="00C20AB5">
              <w:rPr>
                <w:sz w:val="20"/>
                <w:szCs w:val="20"/>
                <w:lang w:val="fr-FR"/>
              </w:rPr>
              <w:t>5 en Afrique, ont désigné des experts auprès du Pool d’experts de l’Évaluation mondiale des océans ainsi que pour les évaluations de la Plate­forme IPBES et du GIEC</w:t>
            </w:r>
          </w:p>
          <w:p w:rsidR="00C20AB5" w:rsidRDefault="00C20AB5" w:rsidP="00C20AB5">
            <w:pPr>
              <w:tabs>
                <w:tab w:val="clear" w:pos="567"/>
              </w:tabs>
              <w:snapToGrid/>
              <w:spacing w:after="120"/>
              <w:rPr>
                <w:sz w:val="20"/>
                <w:szCs w:val="20"/>
                <w:lang w:val="fr-FR"/>
              </w:rPr>
            </w:pPr>
            <w:r w:rsidRPr="00C20AB5">
              <w:rPr>
                <w:sz w:val="20"/>
                <w:szCs w:val="20"/>
                <w:lang w:val="fr-FR"/>
              </w:rPr>
              <w:t>(iii) Nombre d’États membres contribuant aux ensembles de données nationales sur l’ODD relatif aux océans par le biais de l’IODE – indicateur de référence inexistant</w:t>
            </w:r>
          </w:p>
          <w:p w:rsidR="00C20AB5" w:rsidRDefault="00C20AB5" w:rsidP="00C20AB5">
            <w:pPr>
              <w:tabs>
                <w:tab w:val="clear" w:pos="567"/>
              </w:tabs>
              <w:snapToGrid/>
              <w:spacing w:after="120"/>
              <w:rPr>
                <w:sz w:val="20"/>
                <w:szCs w:val="20"/>
                <w:lang w:val="fr-FR"/>
              </w:rPr>
            </w:pPr>
            <w:r w:rsidRPr="00C20AB5">
              <w:rPr>
                <w:sz w:val="20"/>
                <w:szCs w:val="20"/>
                <w:lang w:val="fr-FR"/>
              </w:rPr>
              <w:t>(iv) 25 participent à des programmes scientifiques et de développement des capacités sur l’évaluation et la gestion des nutriments</w:t>
            </w:r>
          </w:p>
          <w:p w:rsidR="0059449E" w:rsidRPr="0059449E" w:rsidRDefault="00C20AB5" w:rsidP="00C20AB5">
            <w:pPr>
              <w:tabs>
                <w:tab w:val="clear" w:pos="567"/>
              </w:tabs>
              <w:snapToGrid/>
              <w:spacing w:after="120"/>
              <w:rPr>
                <w:sz w:val="20"/>
                <w:szCs w:val="20"/>
                <w:lang w:val="fr-FR"/>
              </w:rPr>
            </w:pPr>
            <w:r w:rsidRPr="00C20AB5">
              <w:rPr>
                <w:sz w:val="20"/>
                <w:szCs w:val="20"/>
                <w:lang w:val="fr-FR"/>
              </w:rPr>
              <w:t>(v) 5 en Afrique appliquent des directives étayées par la science en ce qui concerne l’atténuation des risques côtiers/l’adaptation au changement climatique</w:t>
            </w:r>
          </w:p>
        </w:tc>
        <w:tc>
          <w:tcPr>
            <w:tcW w:w="2101" w:type="dxa"/>
          </w:tcPr>
          <w:p w:rsidR="00C20AB5" w:rsidRDefault="00C20AB5">
            <w:pPr>
              <w:tabs>
                <w:tab w:val="clear" w:pos="567"/>
              </w:tabs>
              <w:snapToGrid/>
              <w:rPr>
                <w:sz w:val="20"/>
                <w:szCs w:val="20"/>
                <w:lang w:val="fr-FR"/>
              </w:rPr>
            </w:pPr>
            <w:r w:rsidRPr="00C20AB5">
              <w:rPr>
                <w:sz w:val="20"/>
                <w:szCs w:val="20"/>
                <w:lang w:val="fr-FR"/>
              </w:rPr>
              <w:lastRenderedPageBreak/>
              <w:t>(i) 12</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 25 dont 5 PEID et 5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(iii) 45 dont 6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pPr>
              <w:tabs>
                <w:tab w:val="clear" w:pos="567"/>
              </w:tabs>
              <w:snapToGrid/>
              <w:rPr>
                <w:sz w:val="20"/>
                <w:szCs w:val="20"/>
                <w:lang w:val="fr-FR"/>
              </w:rPr>
            </w:pPr>
          </w:p>
          <w:p w:rsidR="00C96A8C" w:rsidRDefault="00C96A8C">
            <w:pPr>
              <w:tabs>
                <w:tab w:val="clear" w:pos="567"/>
              </w:tabs>
              <w:snapToGrid/>
              <w:rPr>
                <w:sz w:val="20"/>
                <w:szCs w:val="20"/>
                <w:lang w:val="fr-FR"/>
              </w:rPr>
            </w:pPr>
          </w:p>
          <w:p w:rsidR="00C96A8C" w:rsidRDefault="00C96A8C">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(iv) 35 dont 5 PEID et 7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pPr>
              <w:tabs>
                <w:tab w:val="clear" w:pos="567"/>
              </w:tabs>
              <w:snapToGrid/>
              <w:rPr>
                <w:sz w:val="20"/>
                <w:szCs w:val="20"/>
                <w:lang w:val="fr-FR"/>
              </w:rPr>
            </w:pPr>
          </w:p>
          <w:p w:rsidR="00C20AB5" w:rsidRDefault="00C20AB5" w:rsidP="00C96A8C">
            <w:pPr>
              <w:tabs>
                <w:tab w:val="clear" w:pos="567"/>
              </w:tabs>
              <w:snapToGrid/>
              <w:rPr>
                <w:sz w:val="20"/>
                <w:szCs w:val="20"/>
                <w:lang w:val="fr-FR"/>
              </w:rPr>
            </w:pPr>
          </w:p>
          <w:p w:rsidR="0059449E" w:rsidRPr="0059449E" w:rsidRDefault="00C20AB5">
            <w:pPr>
              <w:tabs>
                <w:tab w:val="clear" w:pos="567"/>
              </w:tabs>
              <w:snapToGrid/>
              <w:rPr>
                <w:sz w:val="20"/>
                <w:szCs w:val="20"/>
                <w:lang w:val="fr-FR"/>
              </w:rPr>
            </w:pPr>
            <w:r w:rsidRPr="00C20AB5">
              <w:rPr>
                <w:sz w:val="20"/>
                <w:szCs w:val="20"/>
                <w:lang w:val="fr-FR"/>
              </w:rPr>
              <w:t>(v) 9 dont 5 en Afrique et 1 PEID</w:t>
            </w:r>
          </w:p>
        </w:tc>
        <w:tc>
          <w:tcPr>
            <w:tcW w:w="1968" w:type="dxa"/>
          </w:tcPr>
          <w:p w:rsidR="00C20AB5" w:rsidRDefault="00C20AB5">
            <w:pPr>
              <w:tabs>
                <w:tab w:val="clear" w:pos="567"/>
              </w:tabs>
              <w:snapToGrid/>
              <w:rPr>
                <w:sz w:val="20"/>
                <w:szCs w:val="20"/>
                <w:lang w:val="fr-FR"/>
              </w:rPr>
            </w:pPr>
            <w:r w:rsidRPr="00C20AB5">
              <w:rPr>
                <w:sz w:val="20"/>
                <w:szCs w:val="20"/>
                <w:lang w:val="fr-FR"/>
              </w:rPr>
              <w:lastRenderedPageBreak/>
              <w:t>(i) 13</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 26 dont 5 PEID et 5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(iii) 47 dont 6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(iv) 35 dont 5 PEID et 7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pPr>
              <w:tabs>
                <w:tab w:val="clear" w:pos="567"/>
              </w:tabs>
              <w:snapToGrid/>
              <w:rPr>
                <w:sz w:val="20"/>
                <w:szCs w:val="20"/>
                <w:lang w:val="fr-FR"/>
              </w:rPr>
            </w:pPr>
          </w:p>
          <w:p w:rsidR="00C20AB5" w:rsidRDefault="00C20AB5" w:rsidP="00C96A8C">
            <w:pPr>
              <w:tabs>
                <w:tab w:val="clear" w:pos="567"/>
              </w:tabs>
              <w:snapToGrid/>
              <w:rPr>
                <w:sz w:val="20"/>
                <w:szCs w:val="20"/>
                <w:lang w:val="fr-FR"/>
              </w:rPr>
            </w:pPr>
          </w:p>
          <w:p w:rsidR="0059449E" w:rsidRPr="0059449E" w:rsidRDefault="00C20AB5">
            <w:pPr>
              <w:tabs>
                <w:tab w:val="clear" w:pos="567"/>
              </w:tabs>
              <w:snapToGrid/>
              <w:rPr>
                <w:sz w:val="20"/>
                <w:szCs w:val="20"/>
                <w:lang w:val="fr-FR"/>
              </w:rPr>
            </w:pPr>
            <w:r w:rsidRPr="00C20AB5">
              <w:rPr>
                <w:sz w:val="20"/>
                <w:szCs w:val="20"/>
                <w:lang w:val="fr-FR"/>
              </w:rPr>
              <w:t>(v) 10 dont 5 en Afrique et 1 PEID</w:t>
            </w:r>
          </w:p>
        </w:tc>
        <w:tc>
          <w:tcPr>
            <w:tcW w:w="1573" w:type="dxa"/>
          </w:tcPr>
          <w:p w:rsidR="00C20AB5" w:rsidRDefault="00C20AB5">
            <w:pPr>
              <w:tabs>
                <w:tab w:val="clear" w:pos="567"/>
              </w:tabs>
              <w:snapToGrid/>
              <w:rPr>
                <w:sz w:val="20"/>
                <w:szCs w:val="20"/>
                <w:lang w:val="fr-FR"/>
              </w:rPr>
            </w:pPr>
            <w:r w:rsidRPr="00C20AB5">
              <w:rPr>
                <w:sz w:val="20"/>
                <w:szCs w:val="20"/>
                <w:lang w:val="fr-FR"/>
              </w:rPr>
              <w:lastRenderedPageBreak/>
              <w:t>(i) 14</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 27 dont 5 PEID et 5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(iii) 48 dont 7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pPr>
              <w:tabs>
                <w:tab w:val="clear" w:pos="567"/>
              </w:tabs>
              <w:snapToGrid/>
              <w:rPr>
                <w:sz w:val="20"/>
                <w:szCs w:val="20"/>
                <w:lang w:val="fr-FR"/>
              </w:rPr>
            </w:pPr>
          </w:p>
          <w:p w:rsidR="00C20AB5" w:rsidRDefault="00C20AB5">
            <w:pPr>
              <w:tabs>
                <w:tab w:val="clear" w:pos="567"/>
              </w:tabs>
              <w:snapToGrid/>
              <w:rPr>
                <w:sz w:val="20"/>
                <w:szCs w:val="20"/>
                <w:lang w:val="fr-FR"/>
              </w:rPr>
            </w:pPr>
            <w:r w:rsidRPr="00C20AB5">
              <w:rPr>
                <w:sz w:val="20"/>
                <w:szCs w:val="20"/>
                <w:lang w:val="fr-FR"/>
              </w:rPr>
              <w:t>(iv) 35 dont 5 PEID et 7 en Afrique</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pPr>
              <w:tabs>
                <w:tab w:val="clear" w:pos="567"/>
              </w:tabs>
              <w:snapToGrid/>
              <w:rPr>
                <w:sz w:val="20"/>
                <w:szCs w:val="20"/>
                <w:lang w:val="fr-FR"/>
              </w:rPr>
            </w:pPr>
          </w:p>
          <w:p w:rsidR="00C20AB5" w:rsidRDefault="00C20AB5" w:rsidP="00C96A8C">
            <w:pPr>
              <w:tabs>
                <w:tab w:val="clear" w:pos="567"/>
              </w:tabs>
              <w:snapToGrid/>
              <w:rPr>
                <w:sz w:val="20"/>
                <w:szCs w:val="20"/>
                <w:lang w:val="fr-FR"/>
              </w:rPr>
            </w:pPr>
          </w:p>
          <w:p w:rsidR="0059449E" w:rsidRPr="0059449E" w:rsidRDefault="00C20AB5" w:rsidP="00C96A8C">
            <w:pPr>
              <w:tabs>
                <w:tab w:val="clear" w:pos="567"/>
              </w:tabs>
              <w:snapToGrid/>
              <w:spacing w:after="120"/>
              <w:rPr>
                <w:sz w:val="20"/>
                <w:szCs w:val="20"/>
                <w:lang w:val="fr-FR"/>
              </w:rPr>
            </w:pPr>
            <w:r w:rsidRPr="00C20AB5">
              <w:rPr>
                <w:sz w:val="20"/>
                <w:szCs w:val="20"/>
                <w:lang w:val="fr-FR"/>
              </w:rPr>
              <w:t>(v) 11 dont 5 en Afrique et 2 PEID</w:t>
            </w:r>
          </w:p>
        </w:tc>
      </w:tr>
      <w:tr w:rsidR="00501B48" w:rsidRPr="0059449E" w:rsidTr="0059449E">
        <w:tc>
          <w:tcPr>
            <w:tcW w:w="2064" w:type="dxa"/>
          </w:tcPr>
          <w:p w:rsidR="0059449E" w:rsidRPr="0059449E" w:rsidRDefault="0059449E" w:rsidP="0059449E">
            <w:pPr>
              <w:pStyle w:val="ListParagraph"/>
              <w:numPr>
                <w:ilvl w:val="0"/>
                <w:numId w:val="28"/>
              </w:numPr>
              <w:tabs>
                <w:tab w:val="clear" w:pos="567"/>
              </w:tabs>
              <w:snapToGrid/>
              <w:spacing w:line="240" w:lineRule="auto"/>
              <w:ind w:left="312" w:hanging="312"/>
              <w:contextualSpacing w:val="0"/>
              <w:jc w:val="left"/>
              <w:rPr>
                <w:sz w:val="20"/>
                <w:szCs w:val="20"/>
                <w:lang w:val="fr-FR"/>
              </w:rPr>
            </w:pPr>
            <w:r w:rsidRPr="0059449E">
              <w:rPr>
                <w:sz w:val="20"/>
                <w:szCs w:val="20"/>
                <w:lang w:val="fr-FR"/>
              </w:rPr>
              <w:lastRenderedPageBreak/>
              <w:t>Nombre d’États membres soutenus qui appliquent une gestion des écosystèmes fondée sur la science et mesurent les progrès accomplis en faveur de la réalisation de l’ODD 14</w:t>
            </w:r>
          </w:p>
        </w:tc>
        <w:tc>
          <w:tcPr>
            <w:tcW w:w="1922" w:type="dxa"/>
          </w:tcPr>
          <w:p w:rsidR="00C20AB5" w:rsidRDefault="00C20AB5" w:rsidP="00C20AB5">
            <w:pPr>
              <w:tabs>
                <w:tab w:val="clear" w:pos="567"/>
              </w:tabs>
              <w:snapToGrid/>
              <w:spacing w:after="120"/>
              <w:rPr>
                <w:sz w:val="20"/>
                <w:szCs w:val="20"/>
                <w:lang w:val="fr-FR"/>
              </w:rPr>
            </w:pPr>
            <w:r w:rsidRPr="00C20AB5">
              <w:rPr>
                <w:sz w:val="20"/>
                <w:szCs w:val="20"/>
                <w:lang w:val="fr-FR"/>
              </w:rPr>
              <w:t>(i) 74 dont 16 en Afrique et 8 PEID, contribuent à la mise en œuvre des plans de travail des organes directeurs ou organes régionaux subsidiaires</w:t>
            </w:r>
          </w:p>
          <w:p w:rsidR="00C20AB5" w:rsidRDefault="00C20AB5" w:rsidP="00C20AB5">
            <w:pPr>
              <w:tabs>
                <w:tab w:val="clear" w:pos="567"/>
              </w:tabs>
              <w:snapToGrid/>
              <w:spacing w:after="120"/>
              <w:rPr>
                <w:sz w:val="20"/>
                <w:szCs w:val="20"/>
                <w:lang w:val="fr-FR"/>
              </w:rPr>
            </w:pPr>
            <w:r w:rsidRPr="00C20AB5">
              <w:rPr>
                <w:sz w:val="20"/>
                <w:szCs w:val="20"/>
                <w:lang w:val="fr-FR"/>
              </w:rPr>
              <w:t xml:space="preserve">(ii) 40 dont 5 en Afrique et 3 PEID, élaborent des plans </w:t>
            </w:r>
            <w:r w:rsidRPr="00C20AB5">
              <w:rPr>
                <w:sz w:val="20"/>
                <w:szCs w:val="20"/>
                <w:lang w:val="fr-FR"/>
              </w:rPr>
              <w:lastRenderedPageBreak/>
              <w:t>d’aménagement de l’espace marin et des programmes en faveur d’une économie océanique durable</w:t>
            </w:r>
          </w:p>
          <w:p w:rsidR="0059449E" w:rsidRPr="0059449E" w:rsidRDefault="00C20AB5" w:rsidP="00C20AB5">
            <w:pPr>
              <w:tabs>
                <w:tab w:val="clear" w:pos="567"/>
              </w:tabs>
              <w:snapToGrid/>
              <w:spacing w:after="120"/>
              <w:rPr>
                <w:sz w:val="20"/>
                <w:szCs w:val="20"/>
                <w:lang w:val="fr-FR"/>
              </w:rPr>
            </w:pPr>
            <w:r w:rsidRPr="00C20AB5">
              <w:rPr>
                <w:sz w:val="20"/>
                <w:szCs w:val="20"/>
                <w:lang w:val="fr-FR"/>
              </w:rPr>
              <w:t>(iii) 10 dont 3 PEID, participent à la mise en œuvre d’activités et de programmes de sensibilisation interinstitutions</w:t>
            </w:r>
          </w:p>
        </w:tc>
        <w:tc>
          <w:tcPr>
            <w:tcW w:w="2101" w:type="dxa"/>
          </w:tcPr>
          <w:p w:rsidR="00C20AB5" w:rsidRDefault="00C20AB5">
            <w:pPr>
              <w:tabs>
                <w:tab w:val="clear" w:pos="567"/>
              </w:tabs>
              <w:snapToGrid/>
              <w:rPr>
                <w:sz w:val="20"/>
                <w:szCs w:val="20"/>
                <w:lang w:val="fr-FR"/>
              </w:rPr>
            </w:pPr>
            <w:r w:rsidRPr="00C20AB5">
              <w:rPr>
                <w:sz w:val="20"/>
                <w:szCs w:val="20"/>
                <w:lang w:val="fr-FR"/>
              </w:rPr>
              <w:lastRenderedPageBreak/>
              <w:t>(i) 88 dont 13 en Afrique et 10 PEID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rsidP="00C96A8C">
            <w:pPr>
              <w:tabs>
                <w:tab w:val="clear" w:pos="567"/>
              </w:tabs>
              <w:snapToGrid/>
              <w:spacing w:after="120"/>
              <w:rPr>
                <w:sz w:val="20"/>
                <w:szCs w:val="20"/>
                <w:lang w:val="fr-FR"/>
              </w:rPr>
            </w:pPr>
          </w:p>
          <w:p w:rsidR="00C20AB5" w:rsidRDefault="00C20AB5">
            <w:pPr>
              <w:tabs>
                <w:tab w:val="clear" w:pos="567"/>
              </w:tabs>
              <w:snapToGrid/>
              <w:rPr>
                <w:sz w:val="20"/>
                <w:szCs w:val="20"/>
                <w:lang w:val="fr-FR"/>
              </w:rPr>
            </w:pPr>
            <w:r w:rsidRPr="00C20AB5">
              <w:rPr>
                <w:sz w:val="20"/>
                <w:szCs w:val="20"/>
                <w:lang w:val="fr-FR"/>
              </w:rPr>
              <w:t xml:space="preserve">(ii) 45 dont 6 en Afrique et 5 </w:t>
            </w:r>
            <w:r>
              <w:rPr>
                <w:sz w:val="20"/>
                <w:szCs w:val="20"/>
                <w:lang w:val="fr-FR"/>
              </w:rPr>
              <w:t>PEID</w:t>
            </w: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20AB5" w:rsidRDefault="00C20AB5">
            <w:pPr>
              <w:tabs>
                <w:tab w:val="clear" w:pos="567"/>
              </w:tabs>
              <w:snapToGrid/>
              <w:rPr>
                <w:sz w:val="20"/>
                <w:szCs w:val="20"/>
                <w:lang w:val="fr-FR"/>
              </w:rPr>
            </w:pPr>
          </w:p>
          <w:p w:rsidR="00C96A8C" w:rsidRDefault="00C96A8C" w:rsidP="00C96A8C">
            <w:pPr>
              <w:tabs>
                <w:tab w:val="clear" w:pos="567"/>
              </w:tabs>
              <w:snapToGrid/>
              <w:spacing w:after="120"/>
              <w:rPr>
                <w:sz w:val="20"/>
                <w:szCs w:val="20"/>
                <w:lang w:val="fr-FR"/>
              </w:rPr>
            </w:pPr>
          </w:p>
          <w:p w:rsidR="0059449E" w:rsidRPr="0059449E" w:rsidRDefault="00C20AB5">
            <w:pPr>
              <w:tabs>
                <w:tab w:val="clear" w:pos="567"/>
              </w:tabs>
              <w:snapToGrid/>
              <w:rPr>
                <w:sz w:val="20"/>
                <w:szCs w:val="20"/>
                <w:lang w:val="fr-FR"/>
              </w:rPr>
            </w:pPr>
            <w:r w:rsidRPr="00C20AB5">
              <w:rPr>
                <w:sz w:val="20"/>
                <w:szCs w:val="20"/>
                <w:lang w:val="fr-FR"/>
              </w:rPr>
              <w:t>(iii) 13 dont 4 PEID</w:t>
            </w:r>
          </w:p>
        </w:tc>
        <w:tc>
          <w:tcPr>
            <w:tcW w:w="1968" w:type="dxa"/>
          </w:tcPr>
          <w:p w:rsidR="00501B48" w:rsidRDefault="00C20AB5">
            <w:pPr>
              <w:tabs>
                <w:tab w:val="clear" w:pos="567"/>
              </w:tabs>
              <w:snapToGrid/>
              <w:rPr>
                <w:sz w:val="20"/>
                <w:szCs w:val="20"/>
                <w:lang w:val="fr-FR"/>
              </w:rPr>
            </w:pPr>
            <w:r w:rsidRPr="00C20AB5">
              <w:rPr>
                <w:sz w:val="20"/>
                <w:szCs w:val="20"/>
                <w:lang w:val="fr-FR"/>
              </w:rPr>
              <w:lastRenderedPageBreak/>
              <w:t>(i) 90 dont 13 en Afrique et 10 PEID</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rsidP="00C96A8C">
            <w:pPr>
              <w:tabs>
                <w:tab w:val="clear" w:pos="567"/>
              </w:tabs>
              <w:snapToGrid/>
              <w:spacing w:after="120"/>
              <w:rPr>
                <w:sz w:val="20"/>
                <w:szCs w:val="20"/>
                <w:lang w:val="fr-FR"/>
              </w:rPr>
            </w:pPr>
          </w:p>
          <w:p w:rsidR="00501B48" w:rsidRDefault="00C20AB5">
            <w:pPr>
              <w:tabs>
                <w:tab w:val="clear" w:pos="567"/>
              </w:tabs>
              <w:snapToGrid/>
              <w:rPr>
                <w:sz w:val="20"/>
                <w:szCs w:val="20"/>
                <w:lang w:val="fr-FR"/>
              </w:rPr>
            </w:pPr>
            <w:r w:rsidRPr="00C20AB5">
              <w:rPr>
                <w:sz w:val="20"/>
                <w:szCs w:val="20"/>
                <w:lang w:val="fr-FR"/>
              </w:rPr>
              <w:t xml:space="preserve">(ii) 46 dont 6 en Afrique et 5 </w:t>
            </w:r>
            <w:r w:rsidR="00501B48">
              <w:rPr>
                <w:sz w:val="20"/>
                <w:szCs w:val="20"/>
                <w:lang w:val="fr-FR"/>
              </w:rPr>
              <w:t>PEID</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C96A8C" w:rsidRDefault="00C96A8C" w:rsidP="00C96A8C">
            <w:pPr>
              <w:tabs>
                <w:tab w:val="clear" w:pos="567"/>
              </w:tabs>
              <w:snapToGrid/>
              <w:spacing w:after="120"/>
              <w:rPr>
                <w:sz w:val="20"/>
                <w:szCs w:val="20"/>
                <w:lang w:val="fr-FR"/>
              </w:rPr>
            </w:pPr>
          </w:p>
          <w:p w:rsidR="0059449E" w:rsidRPr="0059449E" w:rsidRDefault="00501B48">
            <w:pPr>
              <w:tabs>
                <w:tab w:val="clear" w:pos="567"/>
              </w:tabs>
              <w:snapToGrid/>
              <w:rPr>
                <w:sz w:val="20"/>
                <w:szCs w:val="20"/>
                <w:lang w:val="fr-FR"/>
              </w:rPr>
            </w:pPr>
            <w:r>
              <w:rPr>
                <w:sz w:val="20"/>
                <w:szCs w:val="20"/>
                <w:lang w:val="fr-FR"/>
              </w:rPr>
              <w:t>(iii) 15 dont 4 PEID</w:t>
            </w:r>
          </w:p>
        </w:tc>
        <w:tc>
          <w:tcPr>
            <w:tcW w:w="1573" w:type="dxa"/>
          </w:tcPr>
          <w:p w:rsidR="00501B48" w:rsidRDefault="00C20AB5">
            <w:pPr>
              <w:tabs>
                <w:tab w:val="clear" w:pos="567"/>
              </w:tabs>
              <w:snapToGrid/>
              <w:rPr>
                <w:sz w:val="20"/>
                <w:szCs w:val="20"/>
                <w:lang w:val="fr-FR"/>
              </w:rPr>
            </w:pPr>
            <w:r>
              <w:rPr>
                <w:sz w:val="20"/>
                <w:szCs w:val="20"/>
                <w:lang w:val="fr-FR"/>
              </w:rPr>
              <w:lastRenderedPageBreak/>
              <w:t>(</w:t>
            </w:r>
            <w:r w:rsidRPr="00C20AB5">
              <w:rPr>
                <w:sz w:val="20"/>
                <w:szCs w:val="20"/>
                <w:lang w:val="fr-FR"/>
              </w:rPr>
              <w:t>i) 92 dont 13 en Afrique et 10 PEID</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rsidP="00C96A8C">
            <w:pPr>
              <w:tabs>
                <w:tab w:val="clear" w:pos="567"/>
              </w:tabs>
              <w:snapToGrid/>
              <w:spacing w:after="120"/>
              <w:rPr>
                <w:sz w:val="20"/>
                <w:szCs w:val="20"/>
                <w:lang w:val="fr-FR"/>
              </w:rPr>
            </w:pPr>
          </w:p>
          <w:p w:rsidR="00501B48" w:rsidRDefault="00C20AB5">
            <w:pPr>
              <w:tabs>
                <w:tab w:val="clear" w:pos="567"/>
              </w:tabs>
              <w:snapToGrid/>
              <w:rPr>
                <w:sz w:val="20"/>
                <w:szCs w:val="20"/>
                <w:lang w:val="fr-FR"/>
              </w:rPr>
            </w:pPr>
            <w:r w:rsidRPr="00C20AB5">
              <w:rPr>
                <w:sz w:val="20"/>
                <w:szCs w:val="20"/>
                <w:lang w:val="fr-FR"/>
              </w:rPr>
              <w:t xml:space="preserve">(ii) 47 dont 6 en Afrique et 5 </w:t>
            </w:r>
            <w:r w:rsidR="00501B48">
              <w:rPr>
                <w:sz w:val="20"/>
                <w:szCs w:val="20"/>
                <w:lang w:val="fr-FR"/>
              </w:rPr>
              <w:t>PEID</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C96A8C" w:rsidRDefault="00C96A8C" w:rsidP="00C96A8C">
            <w:pPr>
              <w:tabs>
                <w:tab w:val="clear" w:pos="567"/>
              </w:tabs>
              <w:snapToGrid/>
              <w:spacing w:after="120"/>
              <w:rPr>
                <w:sz w:val="20"/>
                <w:szCs w:val="20"/>
                <w:lang w:val="fr-FR"/>
              </w:rPr>
            </w:pPr>
          </w:p>
          <w:p w:rsidR="0059449E" w:rsidRPr="0059449E" w:rsidRDefault="00C20AB5" w:rsidP="00C96A8C">
            <w:pPr>
              <w:tabs>
                <w:tab w:val="clear" w:pos="567"/>
              </w:tabs>
              <w:snapToGrid/>
              <w:spacing w:after="120"/>
              <w:rPr>
                <w:sz w:val="20"/>
                <w:szCs w:val="20"/>
                <w:lang w:val="fr-FR"/>
              </w:rPr>
            </w:pPr>
            <w:r w:rsidRPr="00C20AB5">
              <w:rPr>
                <w:sz w:val="20"/>
                <w:szCs w:val="20"/>
                <w:lang w:val="fr-FR"/>
              </w:rPr>
              <w:t>(iii) 17 dont 5 PEID</w:t>
            </w:r>
          </w:p>
        </w:tc>
      </w:tr>
      <w:tr w:rsidR="00501B48" w:rsidRPr="001F0928" w:rsidTr="0059449E">
        <w:tc>
          <w:tcPr>
            <w:tcW w:w="2064" w:type="dxa"/>
          </w:tcPr>
          <w:p w:rsidR="0059449E" w:rsidRPr="0059449E" w:rsidRDefault="0059449E" w:rsidP="0059449E">
            <w:pPr>
              <w:pStyle w:val="ListParagraph"/>
              <w:numPr>
                <w:ilvl w:val="0"/>
                <w:numId w:val="28"/>
              </w:numPr>
              <w:tabs>
                <w:tab w:val="clear" w:pos="567"/>
              </w:tabs>
              <w:snapToGrid/>
              <w:spacing w:line="240" w:lineRule="auto"/>
              <w:ind w:left="312" w:hanging="312"/>
              <w:contextualSpacing w:val="0"/>
              <w:jc w:val="left"/>
              <w:rPr>
                <w:sz w:val="20"/>
                <w:szCs w:val="20"/>
                <w:lang w:val="fr-FR"/>
              </w:rPr>
            </w:pPr>
            <w:r w:rsidRPr="0059449E">
              <w:rPr>
                <w:sz w:val="20"/>
                <w:szCs w:val="20"/>
                <w:lang w:val="fr-FR"/>
              </w:rPr>
              <w:lastRenderedPageBreak/>
              <w:t>Nombre d’États membres soutenus qui ont développé des capacités institutionnelles et les mettent à profit pour atteindre les objectifs de haut niveau de la COI</w:t>
            </w:r>
          </w:p>
        </w:tc>
        <w:tc>
          <w:tcPr>
            <w:tcW w:w="1922" w:type="dxa"/>
          </w:tcPr>
          <w:p w:rsidR="00501B48" w:rsidRDefault="00501B48" w:rsidP="00501B48">
            <w:pPr>
              <w:tabs>
                <w:tab w:val="clear" w:pos="567"/>
              </w:tabs>
              <w:snapToGrid/>
              <w:spacing w:after="120"/>
              <w:rPr>
                <w:sz w:val="20"/>
                <w:szCs w:val="20"/>
                <w:lang w:val="fr-FR"/>
              </w:rPr>
            </w:pPr>
            <w:r w:rsidRPr="00501B48">
              <w:rPr>
                <w:sz w:val="20"/>
                <w:szCs w:val="20"/>
                <w:lang w:val="fr-FR"/>
              </w:rPr>
              <w:t>(i) Nombre d’États membres contribuant à l’évaluation des besoins régionaux et à l’application de techniques marines – indicateur de référence inexistant</w:t>
            </w:r>
          </w:p>
          <w:p w:rsidR="00501B48" w:rsidRDefault="00501B48" w:rsidP="00501B48">
            <w:pPr>
              <w:tabs>
                <w:tab w:val="clear" w:pos="567"/>
              </w:tabs>
              <w:snapToGrid/>
              <w:spacing w:after="120"/>
              <w:rPr>
                <w:sz w:val="20"/>
                <w:szCs w:val="20"/>
                <w:lang w:val="fr-FR"/>
              </w:rPr>
            </w:pPr>
            <w:r w:rsidRPr="00501B48">
              <w:rPr>
                <w:sz w:val="20"/>
                <w:szCs w:val="20"/>
                <w:lang w:val="fr-FR"/>
              </w:rPr>
              <w:t xml:space="preserve">(ii) 34 dont 6 en Afrique et 2 PEID, contribuent au premier Rapport mondial sur les sciences océaniques </w:t>
            </w:r>
          </w:p>
          <w:p w:rsidR="00C96A8C" w:rsidRDefault="00C96A8C" w:rsidP="00C96A8C">
            <w:pPr>
              <w:tabs>
                <w:tab w:val="clear" w:pos="567"/>
              </w:tabs>
              <w:snapToGrid/>
              <w:rPr>
                <w:sz w:val="20"/>
                <w:szCs w:val="20"/>
                <w:lang w:val="fr-FR"/>
              </w:rPr>
            </w:pPr>
          </w:p>
          <w:p w:rsidR="0059449E" w:rsidRDefault="00501B48" w:rsidP="00C96A8C">
            <w:pPr>
              <w:tabs>
                <w:tab w:val="clear" w:pos="567"/>
              </w:tabs>
              <w:snapToGrid/>
              <w:spacing w:after="200"/>
              <w:rPr>
                <w:sz w:val="20"/>
                <w:szCs w:val="20"/>
                <w:lang w:val="fr-FR"/>
              </w:rPr>
            </w:pPr>
            <w:r w:rsidRPr="00501B48">
              <w:rPr>
                <w:sz w:val="20"/>
                <w:szCs w:val="20"/>
                <w:lang w:val="fr-FR"/>
              </w:rPr>
              <w:t>(iii) (a) Nombre d’États membres mettant en œuvre des plans de travail en matière de développement des capacités par le biais de IOCAFRICA, IOCARIBE, WESTPAC et IOCINDIO – sans objet car aucun plan de développement des capacités n’a été adopté</w:t>
            </w:r>
          </w:p>
          <w:p w:rsidR="00501B48" w:rsidRPr="00501B48" w:rsidRDefault="00501B48" w:rsidP="00501B48">
            <w:pPr>
              <w:tabs>
                <w:tab w:val="clear" w:pos="567"/>
              </w:tabs>
              <w:snapToGrid/>
              <w:spacing w:after="120"/>
              <w:rPr>
                <w:sz w:val="20"/>
                <w:szCs w:val="20"/>
                <w:lang w:val="fr-FR"/>
              </w:rPr>
            </w:pPr>
            <w:r w:rsidRPr="00501B48">
              <w:rPr>
                <w:sz w:val="20"/>
                <w:szCs w:val="20"/>
                <w:lang w:val="fr-FR"/>
              </w:rPr>
              <w:t xml:space="preserve">b) 80 professionnels, dont 20 originaires d’Afrique et 4 de PEID, formés à des thématiques prioritaires désignées par le </w:t>
            </w:r>
            <w:r w:rsidRPr="00501B48">
              <w:rPr>
                <w:sz w:val="20"/>
                <w:szCs w:val="20"/>
                <w:lang w:val="fr-FR"/>
              </w:rPr>
              <w:lastRenderedPageBreak/>
              <w:t>biais des sous</w:t>
            </w:r>
            <w:r w:rsidRPr="00501B48">
              <w:rPr>
                <w:sz w:val="20"/>
                <w:szCs w:val="20"/>
                <w:lang w:val="fr-FR"/>
              </w:rPr>
              <w:softHyphen/>
              <w:t>commissions regionals</w:t>
            </w:r>
          </w:p>
          <w:p w:rsidR="00501B48" w:rsidRPr="0059449E" w:rsidRDefault="00501B48" w:rsidP="00501B48">
            <w:pPr>
              <w:tabs>
                <w:tab w:val="clear" w:pos="567"/>
              </w:tabs>
              <w:snapToGrid/>
              <w:spacing w:after="120"/>
              <w:rPr>
                <w:sz w:val="20"/>
                <w:szCs w:val="20"/>
                <w:lang w:val="fr-FR"/>
              </w:rPr>
            </w:pPr>
            <w:r w:rsidRPr="00501B48">
              <w:rPr>
                <w:sz w:val="20"/>
                <w:szCs w:val="20"/>
                <w:lang w:val="fr-FR"/>
              </w:rPr>
              <w:t>(iv) 80 professionnels, dont 20 originaires d’Afrique et aucun des PEID, formés à des thématiques prioritaires désignées dans le cadre d’évaluations régionales</w:t>
            </w:r>
          </w:p>
        </w:tc>
        <w:tc>
          <w:tcPr>
            <w:tcW w:w="2101" w:type="dxa"/>
          </w:tcPr>
          <w:p w:rsidR="00501B48" w:rsidRDefault="00501B48">
            <w:pPr>
              <w:tabs>
                <w:tab w:val="clear" w:pos="567"/>
              </w:tabs>
              <w:snapToGrid/>
              <w:rPr>
                <w:sz w:val="20"/>
                <w:szCs w:val="20"/>
                <w:lang w:val="fr-FR"/>
              </w:rPr>
            </w:pPr>
            <w:r w:rsidRPr="00501B48">
              <w:rPr>
                <w:sz w:val="20"/>
                <w:szCs w:val="20"/>
                <w:lang w:val="fr-FR"/>
              </w:rPr>
              <w:lastRenderedPageBreak/>
              <w:t>(i) 10 dont 1 en Afrique et 1 PEID</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r w:rsidRPr="00501B48">
              <w:rPr>
                <w:sz w:val="20"/>
                <w:szCs w:val="20"/>
                <w:lang w:val="fr-FR"/>
              </w:rPr>
              <w:t>(ii) 60 dont 8 en Afrique et 8 PEID, avec des données ventilées par sexe pour 45 États membres</w:t>
            </w:r>
          </w:p>
          <w:p w:rsidR="00501B48" w:rsidRDefault="00501B48">
            <w:pPr>
              <w:tabs>
                <w:tab w:val="clear" w:pos="567"/>
              </w:tabs>
              <w:snapToGrid/>
              <w:rPr>
                <w:sz w:val="20"/>
                <w:szCs w:val="20"/>
                <w:lang w:val="fr-FR"/>
              </w:rPr>
            </w:pPr>
          </w:p>
          <w:p w:rsidR="00C96A8C" w:rsidRDefault="00C96A8C">
            <w:pPr>
              <w:tabs>
                <w:tab w:val="clear" w:pos="567"/>
              </w:tabs>
              <w:snapToGrid/>
              <w:rPr>
                <w:sz w:val="20"/>
                <w:szCs w:val="20"/>
                <w:lang w:val="fr-FR"/>
              </w:rPr>
            </w:pPr>
          </w:p>
          <w:p w:rsidR="0059449E" w:rsidRDefault="00501B48">
            <w:pPr>
              <w:tabs>
                <w:tab w:val="clear" w:pos="567"/>
              </w:tabs>
              <w:snapToGrid/>
              <w:rPr>
                <w:sz w:val="20"/>
                <w:szCs w:val="20"/>
                <w:lang w:val="fr-FR"/>
              </w:rPr>
            </w:pPr>
            <w:r>
              <w:rPr>
                <w:sz w:val="20"/>
                <w:szCs w:val="20"/>
                <w:lang w:val="fr-FR"/>
              </w:rPr>
              <w:t xml:space="preserve">(iii) </w:t>
            </w:r>
            <w:r w:rsidRPr="00501B48">
              <w:rPr>
                <w:sz w:val="20"/>
                <w:szCs w:val="20"/>
                <w:lang w:val="fr-FR"/>
              </w:rPr>
              <w:t>(a) plans de mise en œuvre de développement des capacités adoptés et mise en œuvre entamée, avec un capital d’amorçage minimal ou dépendant de ressources extrabudgétaires</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C96A8C" w:rsidRDefault="00C96A8C">
            <w:pPr>
              <w:tabs>
                <w:tab w:val="clear" w:pos="567"/>
              </w:tabs>
              <w:snapToGrid/>
              <w:rPr>
                <w:sz w:val="20"/>
                <w:szCs w:val="20"/>
                <w:lang w:val="fr-FR"/>
              </w:rPr>
            </w:pPr>
          </w:p>
          <w:p w:rsidR="00C96A8C" w:rsidRDefault="00C96A8C">
            <w:pPr>
              <w:tabs>
                <w:tab w:val="clear" w:pos="567"/>
              </w:tabs>
              <w:snapToGrid/>
              <w:rPr>
                <w:sz w:val="20"/>
                <w:szCs w:val="20"/>
                <w:lang w:val="fr-FR"/>
              </w:rPr>
            </w:pPr>
          </w:p>
          <w:p w:rsidR="00501B48" w:rsidRDefault="00501B48">
            <w:pPr>
              <w:tabs>
                <w:tab w:val="clear" w:pos="567"/>
              </w:tabs>
              <w:snapToGrid/>
              <w:rPr>
                <w:sz w:val="20"/>
                <w:szCs w:val="20"/>
                <w:lang w:val="fr-FR"/>
              </w:rPr>
            </w:pPr>
            <w:r w:rsidRPr="00501B48">
              <w:rPr>
                <w:sz w:val="20"/>
                <w:szCs w:val="20"/>
                <w:lang w:val="fr-FR"/>
              </w:rPr>
              <w:t xml:space="preserve">(b) 120 professionnels, dont 20 originaires d’Afrique et 5 des </w:t>
            </w:r>
            <w:r>
              <w:rPr>
                <w:sz w:val="20"/>
                <w:szCs w:val="20"/>
                <w:lang w:val="fr-FR"/>
              </w:rPr>
              <w:t>PEID</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rsidP="00C96A8C">
            <w:pPr>
              <w:tabs>
                <w:tab w:val="clear" w:pos="567"/>
              </w:tabs>
              <w:snapToGrid/>
              <w:spacing w:after="120"/>
              <w:rPr>
                <w:sz w:val="20"/>
                <w:szCs w:val="20"/>
                <w:lang w:val="fr-FR"/>
              </w:rPr>
            </w:pPr>
          </w:p>
          <w:p w:rsidR="00501B48" w:rsidRPr="0059449E" w:rsidRDefault="00501B48">
            <w:pPr>
              <w:tabs>
                <w:tab w:val="clear" w:pos="567"/>
              </w:tabs>
              <w:snapToGrid/>
              <w:rPr>
                <w:sz w:val="20"/>
                <w:szCs w:val="20"/>
                <w:lang w:val="fr-FR"/>
              </w:rPr>
            </w:pPr>
            <w:r w:rsidRPr="00501B48">
              <w:rPr>
                <w:sz w:val="20"/>
                <w:szCs w:val="20"/>
                <w:lang w:val="fr-FR"/>
              </w:rPr>
              <w:t>(iv) 100 professionnels, dont 30 originaires d’Afrique et aucun des PEID, avec un objectif de 40 % de femmes (5 centres de formation régionaux créés)</w:t>
            </w:r>
          </w:p>
        </w:tc>
        <w:tc>
          <w:tcPr>
            <w:tcW w:w="1968" w:type="dxa"/>
          </w:tcPr>
          <w:p w:rsidR="00501B48" w:rsidRDefault="00501B48">
            <w:pPr>
              <w:tabs>
                <w:tab w:val="clear" w:pos="567"/>
              </w:tabs>
              <w:snapToGrid/>
              <w:rPr>
                <w:sz w:val="20"/>
                <w:szCs w:val="20"/>
                <w:lang w:val="fr-FR"/>
              </w:rPr>
            </w:pPr>
            <w:r w:rsidRPr="00501B48">
              <w:rPr>
                <w:sz w:val="20"/>
                <w:szCs w:val="20"/>
                <w:lang w:val="fr-FR"/>
              </w:rPr>
              <w:lastRenderedPageBreak/>
              <w:t>(i) 10 dont 1 en Afrique et 1 PEID</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r w:rsidRPr="00501B48">
              <w:rPr>
                <w:sz w:val="20"/>
                <w:szCs w:val="20"/>
                <w:lang w:val="fr-FR"/>
              </w:rPr>
              <w:t>(ii) 61 dont 8 en Afrique et 8 PEID, avec des données ventilées par sexe pour 45 États membres</w:t>
            </w:r>
          </w:p>
          <w:p w:rsidR="00501B48" w:rsidRDefault="00501B48">
            <w:pPr>
              <w:tabs>
                <w:tab w:val="clear" w:pos="567"/>
              </w:tabs>
              <w:snapToGrid/>
              <w:rPr>
                <w:sz w:val="20"/>
                <w:szCs w:val="20"/>
                <w:lang w:val="fr-FR"/>
              </w:rPr>
            </w:pPr>
          </w:p>
          <w:p w:rsidR="00C96A8C" w:rsidRDefault="00C96A8C">
            <w:pPr>
              <w:tabs>
                <w:tab w:val="clear" w:pos="567"/>
              </w:tabs>
              <w:snapToGrid/>
              <w:rPr>
                <w:sz w:val="20"/>
                <w:szCs w:val="20"/>
                <w:lang w:val="fr-FR"/>
              </w:rPr>
            </w:pPr>
          </w:p>
          <w:p w:rsidR="0059449E" w:rsidRDefault="00501B48">
            <w:pPr>
              <w:tabs>
                <w:tab w:val="clear" w:pos="567"/>
              </w:tabs>
              <w:snapToGrid/>
              <w:rPr>
                <w:sz w:val="20"/>
                <w:szCs w:val="20"/>
                <w:lang w:val="fr-FR"/>
              </w:rPr>
            </w:pPr>
            <w:r w:rsidRPr="00501B48">
              <w:rPr>
                <w:sz w:val="20"/>
                <w:szCs w:val="20"/>
                <w:lang w:val="fr-FR"/>
              </w:rPr>
              <w:t>(iii) (a) plans de mise en œuvre de développement des capacités adoptés et mise en œuvre entamée, avec un capital d’amorçage minimal ou dépendant de ressources extrabudgétaires</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C96A8C" w:rsidRDefault="00C96A8C">
            <w:pPr>
              <w:tabs>
                <w:tab w:val="clear" w:pos="567"/>
              </w:tabs>
              <w:snapToGrid/>
              <w:rPr>
                <w:sz w:val="20"/>
                <w:szCs w:val="20"/>
                <w:lang w:val="fr-FR"/>
              </w:rPr>
            </w:pPr>
          </w:p>
          <w:p w:rsidR="00501B48" w:rsidRDefault="00501B48">
            <w:pPr>
              <w:tabs>
                <w:tab w:val="clear" w:pos="567"/>
              </w:tabs>
              <w:snapToGrid/>
              <w:rPr>
                <w:sz w:val="20"/>
                <w:szCs w:val="20"/>
                <w:lang w:val="fr-FR"/>
              </w:rPr>
            </w:pPr>
            <w:r>
              <w:rPr>
                <w:sz w:val="20"/>
                <w:szCs w:val="20"/>
                <w:lang w:val="fr-FR"/>
              </w:rPr>
              <w:t>(b) 130 profession</w:t>
            </w:r>
            <w:r w:rsidRPr="00501B48">
              <w:rPr>
                <w:sz w:val="20"/>
                <w:szCs w:val="20"/>
                <w:lang w:val="fr-FR"/>
              </w:rPr>
              <w:t xml:space="preserve">nels, dont 25 originaires d’Afrique et 6 des </w:t>
            </w:r>
            <w:r>
              <w:rPr>
                <w:sz w:val="20"/>
                <w:szCs w:val="20"/>
                <w:lang w:val="fr-FR"/>
              </w:rPr>
              <w:t>PEID</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rsidP="00C96A8C">
            <w:pPr>
              <w:tabs>
                <w:tab w:val="clear" w:pos="567"/>
              </w:tabs>
              <w:snapToGrid/>
              <w:spacing w:after="120"/>
              <w:rPr>
                <w:sz w:val="20"/>
                <w:szCs w:val="20"/>
                <w:lang w:val="fr-FR"/>
              </w:rPr>
            </w:pPr>
          </w:p>
          <w:p w:rsidR="00501B48" w:rsidRPr="0059449E" w:rsidRDefault="00501B48" w:rsidP="00C96A8C">
            <w:pPr>
              <w:tabs>
                <w:tab w:val="clear" w:pos="567"/>
              </w:tabs>
              <w:snapToGrid/>
              <w:rPr>
                <w:sz w:val="20"/>
                <w:szCs w:val="20"/>
                <w:lang w:val="fr-FR"/>
              </w:rPr>
            </w:pPr>
            <w:r>
              <w:rPr>
                <w:sz w:val="20"/>
                <w:szCs w:val="20"/>
                <w:lang w:val="fr-FR"/>
              </w:rPr>
              <w:t>(iv) 120 profession</w:t>
            </w:r>
            <w:r w:rsidRPr="00501B48">
              <w:rPr>
                <w:sz w:val="20"/>
                <w:szCs w:val="20"/>
                <w:lang w:val="fr-FR"/>
              </w:rPr>
              <w:t>nels, dont 35 originaires d’Afrique et 1 des PEID, avec un objectif de 40 % de femmes (5</w:t>
            </w:r>
            <w:r w:rsidR="00C96A8C">
              <w:rPr>
                <w:sz w:val="20"/>
                <w:szCs w:val="20"/>
                <w:lang w:val="fr-FR"/>
              </w:rPr>
              <w:t> </w:t>
            </w:r>
            <w:r w:rsidRPr="00501B48">
              <w:rPr>
                <w:sz w:val="20"/>
                <w:szCs w:val="20"/>
                <w:lang w:val="fr-FR"/>
              </w:rPr>
              <w:t>centres de formation régionaux créés)</w:t>
            </w:r>
          </w:p>
        </w:tc>
        <w:tc>
          <w:tcPr>
            <w:tcW w:w="1573" w:type="dxa"/>
          </w:tcPr>
          <w:p w:rsidR="00501B48" w:rsidRDefault="00501B48">
            <w:pPr>
              <w:tabs>
                <w:tab w:val="clear" w:pos="567"/>
              </w:tabs>
              <w:snapToGrid/>
              <w:rPr>
                <w:sz w:val="20"/>
                <w:szCs w:val="20"/>
                <w:lang w:val="fr-FR"/>
              </w:rPr>
            </w:pPr>
            <w:r w:rsidRPr="00501B48">
              <w:rPr>
                <w:sz w:val="20"/>
                <w:szCs w:val="20"/>
                <w:lang w:val="fr-FR"/>
              </w:rPr>
              <w:lastRenderedPageBreak/>
              <w:t>(i) 10, dont 1 en Afrique et 1 PEID</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r w:rsidRPr="00501B48">
              <w:rPr>
                <w:sz w:val="20"/>
                <w:szCs w:val="20"/>
                <w:lang w:val="fr-FR"/>
              </w:rPr>
              <w:t>(ii) 62 dont 8 en Afrique et 8 PEID, avec des données ventilées par sexe pour 45 États membres</w:t>
            </w:r>
          </w:p>
          <w:p w:rsidR="00C96A8C" w:rsidRDefault="00C96A8C">
            <w:pPr>
              <w:tabs>
                <w:tab w:val="clear" w:pos="567"/>
              </w:tabs>
              <w:snapToGrid/>
              <w:rPr>
                <w:sz w:val="20"/>
                <w:szCs w:val="20"/>
                <w:lang w:val="fr-FR"/>
              </w:rPr>
            </w:pPr>
          </w:p>
          <w:p w:rsidR="0059449E" w:rsidRDefault="00501B48">
            <w:pPr>
              <w:tabs>
                <w:tab w:val="clear" w:pos="567"/>
              </w:tabs>
              <w:snapToGrid/>
              <w:rPr>
                <w:sz w:val="20"/>
                <w:szCs w:val="20"/>
                <w:lang w:val="fr-FR"/>
              </w:rPr>
            </w:pPr>
            <w:r w:rsidRPr="00501B48">
              <w:rPr>
                <w:sz w:val="20"/>
                <w:szCs w:val="20"/>
                <w:lang w:val="fr-FR"/>
              </w:rPr>
              <w:t>(iii) (a) plans de mise en œuvre de développement des capacités adoptés et mise en œuvre entamée, avec un capital d’amorçage minimal ou dépendant de ressources extrabudgétaires</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C96A8C" w:rsidRDefault="00C96A8C">
            <w:pPr>
              <w:tabs>
                <w:tab w:val="clear" w:pos="567"/>
              </w:tabs>
              <w:snapToGrid/>
              <w:rPr>
                <w:sz w:val="20"/>
                <w:szCs w:val="20"/>
                <w:lang w:val="fr-FR"/>
              </w:rPr>
            </w:pPr>
          </w:p>
          <w:p w:rsidR="00501B48" w:rsidRDefault="00501B48">
            <w:pPr>
              <w:tabs>
                <w:tab w:val="clear" w:pos="567"/>
              </w:tabs>
              <w:snapToGrid/>
              <w:rPr>
                <w:sz w:val="20"/>
                <w:szCs w:val="20"/>
                <w:lang w:val="fr-FR"/>
              </w:rPr>
            </w:pPr>
            <w:r>
              <w:rPr>
                <w:sz w:val="20"/>
                <w:szCs w:val="20"/>
                <w:lang w:val="fr-FR"/>
              </w:rPr>
              <w:t>(b) 150 profession</w:t>
            </w:r>
            <w:r w:rsidRPr="00501B48">
              <w:rPr>
                <w:sz w:val="20"/>
                <w:szCs w:val="20"/>
                <w:lang w:val="fr-FR"/>
              </w:rPr>
              <w:t xml:space="preserve">nels, dont 30 originaires d’Afrique et 7 des </w:t>
            </w:r>
            <w:r>
              <w:rPr>
                <w:sz w:val="20"/>
                <w:szCs w:val="20"/>
                <w:lang w:val="fr-FR"/>
              </w:rPr>
              <w:t>PIED</w:t>
            </w: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pPr>
              <w:tabs>
                <w:tab w:val="clear" w:pos="567"/>
              </w:tabs>
              <w:snapToGrid/>
              <w:rPr>
                <w:sz w:val="20"/>
                <w:szCs w:val="20"/>
                <w:lang w:val="fr-FR"/>
              </w:rPr>
            </w:pPr>
          </w:p>
          <w:p w:rsidR="00501B48" w:rsidRDefault="00501B48" w:rsidP="00C96A8C">
            <w:pPr>
              <w:tabs>
                <w:tab w:val="clear" w:pos="567"/>
              </w:tabs>
              <w:snapToGrid/>
              <w:spacing w:after="120"/>
              <w:rPr>
                <w:sz w:val="20"/>
                <w:szCs w:val="20"/>
                <w:lang w:val="fr-FR"/>
              </w:rPr>
            </w:pPr>
          </w:p>
          <w:p w:rsidR="00501B48" w:rsidRPr="0059449E" w:rsidRDefault="00501B48" w:rsidP="00C96A8C">
            <w:pPr>
              <w:tabs>
                <w:tab w:val="clear" w:pos="567"/>
              </w:tabs>
              <w:snapToGrid/>
              <w:rPr>
                <w:sz w:val="20"/>
                <w:szCs w:val="20"/>
                <w:lang w:val="fr-FR"/>
              </w:rPr>
            </w:pPr>
            <w:r>
              <w:rPr>
                <w:sz w:val="20"/>
                <w:szCs w:val="20"/>
                <w:lang w:val="fr-FR"/>
              </w:rPr>
              <w:t>(iv) 150 profession</w:t>
            </w:r>
            <w:r w:rsidRPr="00501B48">
              <w:rPr>
                <w:sz w:val="20"/>
                <w:szCs w:val="20"/>
                <w:lang w:val="fr-FR"/>
              </w:rPr>
              <w:t>nels, dont 40 originaires d’Afrique et 3 des PEID, avec un objectif de 40 % de femmes (5</w:t>
            </w:r>
            <w:r w:rsidR="00C96A8C">
              <w:rPr>
                <w:sz w:val="20"/>
                <w:szCs w:val="20"/>
                <w:lang w:val="fr-FR"/>
              </w:rPr>
              <w:t> </w:t>
            </w:r>
            <w:r w:rsidRPr="00501B48">
              <w:rPr>
                <w:sz w:val="20"/>
                <w:szCs w:val="20"/>
                <w:lang w:val="fr-FR"/>
              </w:rPr>
              <w:t>centres de formation régionaux créés)</w:t>
            </w:r>
          </w:p>
        </w:tc>
      </w:tr>
    </w:tbl>
    <w:p w:rsidR="00AA2B88" w:rsidRDefault="00AA2B88">
      <w:pPr>
        <w:tabs>
          <w:tab w:val="clear" w:pos="567"/>
        </w:tabs>
        <w:snapToGrid/>
        <w:rPr>
          <w:rFonts w:eastAsia="Times New Roman"/>
          <w:lang w:val="fr-FR" w:eastAsia="en-US"/>
        </w:rPr>
      </w:pPr>
      <w:r>
        <w:rPr>
          <w:lang w:val="fr-FR"/>
        </w:rPr>
        <w:lastRenderedPageBreak/>
        <w:br w:type="page"/>
      </w:r>
    </w:p>
    <w:p w:rsidR="00AA2B88" w:rsidRPr="00AA2B88" w:rsidRDefault="00AA2B88" w:rsidP="004A3D0E">
      <w:pPr>
        <w:pStyle w:val="Header"/>
        <w:spacing w:after="240"/>
        <w:jc w:val="center"/>
        <w:rPr>
          <w:b/>
          <w:lang w:val="fr-FR"/>
        </w:rPr>
      </w:pPr>
      <w:r w:rsidRPr="00AA2B88">
        <w:rPr>
          <w:b/>
          <w:lang w:val="fr-FR"/>
        </w:rPr>
        <w:lastRenderedPageBreak/>
        <w:t>APPENDICE</w:t>
      </w:r>
    </w:p>
    <w:p w:rsidR="00AA2B88" w:rsidRPr="00AA2B88" w:rsidRDefault="00AA2B88" w:rsidP="00AA2B88">
      <w:pPr>
        <w:pStyle w:val="Header"/>
        <w:spacing w:after="240"/>
        <w:jc w:val="center"/>
        <w:rPr>
          <w:b/>
          <w:lang w:val="fr-FR"/>
        </w:rPr>
      </w:pPr>
      <w:r w:rsidRPr="00AA2B88">
        <w:rPr>
          <w:b/>
          <w:lang w:val="fr-FR"/>
        </w:rPr>
        <w:t>CRÉDITS BUDGÉTAIRES POUR 2020-2021 AU TITRE DU COMPTE SPÉCIAL DE LA COI</w:t>
      </w:r>
    </w:p>
    <w:tbl>
      <w:tblPr>
        <w:tblW w:w="10080" w:type="dxa"/>
        <w:tblCellMar>
          <w:left w:w="70" w:type="dxa"/>
          <w:right w:w="70" w:type="dxa"/>
        </w:tblCellMar>
        <w:tblLook w:val="04A0" w:firstRow="1" w:lastRow="0" w:firstColumn="1" w:lastColumn="0" w:noHBand="0" w:noVBand="1"/>
      </w:tblPr>
      <w:tblGrid>
        <w:gridCol w:w="6820"/>
        <w:gridCol w:w="1720"/>
        <w:gridCol w:w="1540"/>
      </w:tblGrid>
      <w:tr w:rsidR="00AA2B88" w:rsidRPr="00AC19A0" w:rsidTr="004A3D0E">
        <w:trPr>
          <w:trHeight w:val="240"/>
          <w:tblHeader/>
        </w:trPr>
        <w:tc>
          <w:tcPr>
            <w:tcW w:w="68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Fonction/titre de l’activité</w:t>
            </w:r>
          </w:p>
        </w:tc>
        <w:tc>
          <w:tcPr>
            <w:tcW w:w="1720" w:type="dxa"/>
            <w:tcBorders>
              <w:top w:val="single" w:sz="8" w:space="0" w:color="auto"/>
              <w:left w:val="nil"/>
              <w:bottom w:val="single" w:sz="4" w:space="0" w:color="auto"/>
              <w:right w:val="single" w:sz="4" w:space="0" w:color="auto"/>
            </w:tcBorders>
            <w:shd w:val="clear" w:color="auto" w:fill="auto"/>
            <w:noWrap/>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Code budgétaire</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rsidR="00AA2B88" w:rsidRPr="00AC19A0" w:rsidRDefault="00AA2B88" w:rsidP="00AA2B8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Montant ($ É.-U.)</w:t>
            </w:r>
          </w:p>
        </w:tc>
      </w:tr>
      <w:tr w:rsidR="00AA2B88" w:rsidRPr="001F0928" w:rsidTr="00D00D08">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rsidR="00AA2B88" w:rsidRPr="00AC19A0" w:rsidRDefault="00B85845" w:rsidP="00AA2B88">
            <w:pPr>
              <w:tabs>
                <w:tab w:val="clear" w:pos="567"/>
              </w:tabs>
              <w:snapToGrid/>
              <w:jc w:val="center"/>
              <w:rPr>
                <w:rFonts w:cs="Arial"/>
                <w:b/>
                <w:bCs/>
                <w:snapToGrid/>
                <w:sz w:val="16"/>
                <w:szCs w:val="16"/>
                <w:lang w:val="fr-FR" w:eastAsia="fr-FR"/>
              </w:rPr>
            </w:pPr>
            <w:r>
              <w:rPr>
                <w:rFonts w:cs="Arial"/>
                <w:b/>
                <w:bCs/>
                <w:snapToGrid/>
                <w:sz w:val="16"/>
                <w:szCs w:val="16"/>
                <w:lang w:val="fr-FR" w:eastAsia="fr-FR"/>
              </w:rPr>
              <w:t>Fonction A de la COI :</w:t>
            </w:r>
            <w:r w:rsidR="00AA2B88" w:rsidRPr="00AC19A0">
              <w:rPr>
                <w:rFonts w:cs="Arial"/>
                <w:b/>
                <w:bCs/>
                <w:snapToGrid/>
                <w:sz w:val="16"/>
                <w:szCs w:val="16"/>
                <w:lang w:val="fr-FR" w:eastAsia="fr-FR"/>
              </w:rPr>
              <w:t xml:space="preserve"> Favoriser la recherche pour renforcer la connaissance des processus océaniques </w:t>
            </w:r>
            <w:r w:rsidR="004A3D0E">
              <w:rPr>
                <w:rFonts w:cs="Arial"/>
                <w:b/>
                <w:bCs/>
                <w:snapToGrid/>
                <w:sz w:val="16"/>
                <w:szCs w:val="16"/>
                <w:lang w:val="fr-FR" w:eastAsia="fr-FR"/>
              </w:rPr>
              <w:br/>
            </w:r>
            <w:r w:rsidR="00AA2B88" w:rsidRPr="00AC19A0">
              <w:rPr>
                <w:rFonts w:cs="Arial"/>
                <w:b/>
                <w:bCs/>
                <w:snapToGrid/>
                <w:sz w:val="16"/>
                <w:szCs w:val="16"/>
                <w:lang w:val="fr-FR" w:eastAsia="fr-FR"/>
              </w:rPr>
              <w:t>et côtiers ainsi que des effets de l’activité humaine sur ces processus</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191ORS2040</w:t>
            </w:r>
          </w:p>
        </w:tc>
        <w:tc>
          <w:tcPr>
            <w:tcW w:w="1540" w:type="dxa"/>
            <w:tcBorders>
              <w:top w:val="nil"/>
              <w:left w:val="nil"/>
              <w:bottom w:val="single" w:sz="4" w:space="0" w:color="auto"/>
              <w:right w:val="single" w:sz="8" w:space="0" w:color="auto"/>
            </w:tcBorders>
            <w:shd w:val="clear" w:color="000000" w:fill="FDE9D9"/>
            <w:vAlign w:val="center"/>
            <w:hideMark/>
          </w:tcPr>
          <w:p w:rsidR="00AA2B88" w:rsidRPr="00AC19A0" w:rsidRDefault="004A3D0E" w:rsidP="00D00D08">
            <w:pPr>
              <w:tabs>
                <w:tab w:val="clear" w:pos="567"/>
              </w:tabs>
              <w:snapToGrid/>
              <w:jc w:val="right"/>
              <w:rPr>
                <w:rFonts w:cs="Arial"/>
                <w:b/>
                <w:bCs/>
                <w:snapToGrid/>
                <w:sz w:val="16"/>
                <w:szCs w:val="16"/>
                <w:lang w:val="fr-FR" w:eastAsia="fr-FR"/>
              </w:rPr>
            </w:pPr>
            <w:r>
              <w:rPr>
                <w:rFonts w:cs="Arial"/>
                <w:b/>
                <w:bCs/>
                <w:snapToGrid/>
                <w:sz w:val="16"/>
                <w:szCs w:val="16"/>
                <w:lang w:val="fr-FR" w:eastAsia="fr-FR"/>
              </w:rPr>
              <w:t>500 </w:t>
            </w:r>
            <w:r w:rsidR="00AA2B88" w:rsidRPr="00AC19A0">
              <w:rPr>
                <w:rFonts w:cs="Arial"/>
                <w:b/>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AA2B88" w:rsidRPr="00AC19A0" w:rsidRDefault="00AC19A0" w:rsidP="00D00D08">
            <w:pPr>
              <w:tabs>
                <w:tab w:val="clear" w:pos="567"/>
              </w:tabs>
              <w:snapToGrid/>
              <w:rPr>
                <w:rFonts w:cs="Arial"/>
                <w:bCs/>
                <w:snapToGrid/>
                <w:sz w:val="16"/>
                <w:szCs w:val="16"/>
                <w:lang w:val="fr-FR" w:eastAsia="fr-FR"/>
              </w:rPr>
            </w:pPr>
            <w:r>
              <w:rPr>
                <w:rFonts w:cs="Arial"/>
                <w:bCs/>
                <w:snapToGrid/>
                <w:sz w:val="16"/>
                <w:szCs w:val="16"/>
                <w:lang w:val="fr-FR" w:eastAsia="fr-FR"/>
              </w:rPr>
              <w:t>PMRC</w:t>
            </w:r>
          </w:p>
        </w:tc>
        <w:tc>
          <w:tcPr>
            <w:tcW w:w="1720" w:type="dxa"/>
            <w:tcBorders>
              <w:top w:val="nil"/>
              <w:left w:val="nil"/>
              <w:bottom w:val="single" w:sz="4" w:space="0" w:color="auto"/>
              <w:right w:val="single" w:sz="4" w:space="0" w:color="auto"/>
            </w:tcBorders>
            <w:shd w:val="clear" w:color="auto" w:fill="auto"/>
            <w:noWrap/>
            <w:vAlign w:val="center"/>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191ORS2040.1</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AA2B88" w:rsidRPr="00AC19A0" w:rsidRDefault="00AC19A0" w:rsidP="00D00D08">
            <w:pPr>
              <w:tabs>
                <w:tab w:val="clear" w:pos="567"/>
              </w:tabs>
              <w:snapToGrid/>
              <w:rPr>
                <w:rFonts w:cs="Arial"/>
                <w:bCs/>
                <w:snapToGrid/>
                <w:sz w:val="16"/>
                <w:szCs w:val="16"/>
                <w:lang w:val="fr-FR" w:eastAsia="fr-FR"/>
              </w:rPr>
            </w:pPr>
            <w:r>
              <w:rPr>
                <w:rFonts w:cs="Arial"/>
                <w:bCs/>
                <w:snapToGrid/>
                <w:sz w:val="16"/>
                <w:szCs w:val="16"/>
                <w:lang w:val="fr-FR" w:eastAsia="fr-FR"/>
              </w:rPr>
              <w:t>Carbone océanique et acidification</w:t>
            </w:r>
          </w:p>
        </w:tc>
        <w:tc>
          <w:tcPr>
            <w:tcW w:w="1720" w:type="dxa"/>
            <w:tcBorders>
              <w:top w:val="nil"/>
              <w:left w:val="nil"/>
              <w:bottom w:val="single" w:sz="4" w:space="0" w:color="auto"/>
              <w:right w:val="single" w:sz="4" w:space="0" w:color="auto"/>
            </w:tcBorders>
            <w:shd w:val="clear" w:color="auto" w:fill="auto"/>
            <w:noWrap/>
            <w:vAlign w:val="center"/>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191ORS2040.2</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250 </w:t>
            </w:r>
            <w:r w:rsidR="00AA2B88" w:rsidRPr="00AC19A0">
              <w:rPr>
                <w:rFonts w:cs="Arial"/>
                <w:bCs/>
                <w:snapToGrid/>
                <w:sz w:val="16"/>
                <w:szCs w:val="16"/>
                <w:lang w:val="fr-FR" w:eastAsia="fr-FR"/>
              </w:rPr>
              <w:t>000</w:t>
            </w:r>
          </w:p>
        </w:tc>
      </w:tr>
      <w:tr w:rsidR="00AA2B88" w:rsidRPr="00AC19A0" w:rsidTr="00D00D08">
        <w:trPr>
          <w:trHeight w:val="255"/>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AA2B88" w:rsidRPr="00AC19A0" w:rsidRDefault="00AC19A0" w:rsidP="00D00D08">
            <w:pPr>
              <w:tabs>
                <w:tab w:val="clear" w:pos="567"/>
              </w:tabs>
              <w:snapToGrid/>
              <w:rPr>
                <w:rFonts w:cs="Arial"/>
                <w:bCs/>
                <w:snapToGrid/>
                <w:sz w:val="16"/>
                <w:szCs w:val="16"/>
                <w:lang w:val="fr-FR" w:eastAsia="fr-FR"/>
              </w:rPr>
            </w:pPr>
            <w:r w:rsidRPr="00AC19A0">
              <w:rPr>
                <w:rFonts w:cs="Arial"/>
                <w:bCs/>
                <w:snapToGrid/>
                <w:sz w:val="16"/>
                <w:szCs w:val="16"/>
                <w:lang w:val="fr-FR" w:eastAsia="fr-FR"/>
              </w:rPr>
              <w:t>Impact du changement climatique sur les écosystèmes océaniques et côtiers</w:t>
            </w:r>
          </w:p>
        </w:tc>
        <w:tc>
          <w:tcPr>
            <w:tcW w:w="1720" w:type="dxa"/>
            <w:tcBorders>
              <w:top w:val="nil"/>
              <w:left w:val="nil"/>
              <w:bottom w:val="single" w:sz="4" w:space="0" w:color="auto"/>
              <w:right w:val="single" w:sz="4" w:space="0" w:color="auto"/>
            </w:tcBorders>
            <w:shd w:val="clear" w:color="auto" w:fill="auto"/>
            <w:noWrap/>
            <w:vAlign w:val="center"/>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191ORS2040.3</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150 </w:t>
            </w:r>
            <w:r w:rsidR="00AA2B88" w:rsidRPr="00AC19A0">
              <w:rPr>
                <w:rFonts w:cs="Arial"/>
                <w:bCs/>
                <w:snapToGrid/>
                <w:sz w:val="16"/>
                <w:szCs w:val="16"/>
                <w:lang w:val="fr-FR" w:eastAsia="fr-FR"/>
              </w:rPr>
              <w:t>000</w:t>
            </w:r>
          </w:p>
        </w:tc>
      </w:tr>
      <w:tr w:rsidR="00AA2B88" w:rsidRPr="001F0928" w:rsidTr="00D00D08">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rsidR="00AA2B88" w:rsidRPr="00AC19A0" w:rsidRDefault="00AC19A0" w:rsidP="00D00D08">
            <w:pPr>
              <w:tabs>
                <w:tab w:val="clear" w:pos="567"/>
              </w:tabs>
              <w:snapToGrid/>
              <w:jc w:val="center"/>
              <w:rPr>
                <w:rFonts w:cs="Arial"/>
                <w:b/>
                <w:bCs/>
                <w:snapToGrid/>
                <w:sz w:val="16"/>
                <w:szCs w:val="16"/>
                <w:lang w:val="fr-FR" w:eastAsia="fr-FR"/>
              </w:rPr>
            </w:pPr>
            <w:r>
              <w:rPr>
                <w:rFonts w:cs="Arial"/>
                <w:b/>
                <w:bCs/>
                <w:snapToGrid/>
                <w:sz w:val="16"/>
                <w:szCs w:val="16"/>
                <w:lang w:val="fr-FR" w:eastAsia="fr-FR"/>
              </w:rPr>
              <w:t>Fonction B de la COI :</w:t>
            </w:r>
            <w:r w:rsidRPr="00AC19A0">
              <w:rPr>
                <w:rFonts w:cs="Arial"/>
                <w:b/>
                <w:bCs/>
                <w:snapToGrid/>
                <w:sz w:val="16"/>
                <w:szCs w:val="16"/>
                <w:lang w:val="fr-FR" w:eastAsia="fr-FR"/>
              </w:rPr>
              <w:t xml:space="preserve"> Entretenir, renforcer et intégrer les systèmes mondiaux d'observation, de données </w:t>
            </w:r>
            <w:r w:rsidR="004A3D0E">
              <w:rPr>
                <w:rFonts w:cs="Arial"/>
                <w:b/>
                <w:bCs/>
                <w:snapToGrid/>
                <w:sz w:val="16"/>
                <w:szCs w:val="16"/>
                <w:lang w:val="fr-FR" w:eastAsia="fr-FR"/>
              </w:rPr>
              <w:br/>
            </w:r>
            <w:r w:rsidRPr="00AC19A0">
              <w:rPr>
                <w:rFonts w:cs="Arial"/>
                <w:b/>
                <w:bCs/>
                <w:snapToGrid/>
                <w:sz w:val="16"/>
                <w:szCs w:val="16"/>
                <w:lang w:val="fr-FR" w:eastAsia="fr-FR"/>
              </w:rPr>
              <w:t>et d'informations relatifs à l'océan</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191OSD2040</w:t>
            </w:r>
          </w:p>
        </w:tc>
        <w:tc>
          <w:tcPr>
            <w:tcW w:w="1540" w:type="dxa"/>
            <w:tcBorders>
              <w:top w:val="nil"/>
              <w:left w:val="nil"/>
              <w:bottom w:val="single" w:sz="4" w:space="0" w:color="auto"/>
              <w:right w:val="single" w:sz="8" w:space="0" w:color="auto"/>
            </w:tcBorders>
            <w:shd w:val="clear" w:color="000000" w:fill="FDE9D9"/>
            <w:vAlign w:val="center"/>
            <w:hideMark/>
          </w:tcPr>
          <w:p w:rsidR="00AA2B88" w:rsidRPr="00AC19A0" w:rsidRDefault="004A3D0E" w:rsidP="00D00D08">
            <w:pPr>
              <w:tabs>
                <w:tab w:val="clear" w:pos="567"/>
              </w:tabs>
              <w:snapToGrid/>
              <w:jc w:val="right"/>
              <w:rPr>
                <w:rFonts w:cs="Arial"/>
                <w:b/>
                <w:bCs/>
                <w:snapToGrid/>
                <w:sz w:val="16"/>
                <w:szCs w:val="16"/>
                <w:lang w:val="fr-FR" w:eastAsia="fr-FR"/>
              </w:rPr>
            </w:pPr>
            <w:r>
              <w:rPr>
                <w:rFonts w:cs="Arial"/>
                <w:b/>
                <w:bCs/>
                <w:snapToGrid/>
                <w:sz w:val="16"/>
                <w:szCs w:val="16"/>
                <w:lang w:val="fr-FR" w:eastAsia="fr-FR"/>
              </w:rPr>
              <w:t>1 500 </w:t>
            </w:r>
            <w:r w:rsidR="00AA2B88" w:rsidRPr="00AC19A0">
              <w:rPr>
                <w:rFonts w:cs="Arial"/>
                <w:b/>
                <w:bCs/>
                <w:snapToGrid/>
                <w:sz w:val="16"/>
                <w:szCs w:val="16"/>
                <w:lang w:val="fr-FR" w:eastAsia="fr-FR"/>
              </w:rPr>
              <w:t>000</w:t>
            </w:r>
          </w:p>
        </w:tc>
      </w:tr>
      <w:tr w:rsidR="00AA2B88" w:rsidRPr="00AC19A0" w:rsidTr="00D00D08">
        <w:trPr>
          <w:trHeight w:val="255"/>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AC19A0" w:rsidP="00AC19A0">
            <w:pPr>
              <w:tabs>
                <w:tab w:val="clear" w:pos="567"/>
              </w:tabs>
              <w:snapToGrid/>
              <w:rPr>
                <w:rFonts w:cs="Arial"/>
                <w:bCs/>
                <w:snapToGrid/>
                <w:sz w:val="16"/>
                <w:szCs w:val="16"/>
                <w:lang w:val="fr-FR" w:eastAsia="fr-FR"/>
              </w:rPr>
            </w:pPr>
            <w:r>
              <w:rPr>
                <w:rFonts w:cs="Arial"/>
                <w:bCs/>
                <w:snapToGrid/>
                <w:sz w:val="16"/>
                <w:szCs w:val="16"/>
                <w:lang w:val="fr-FR" w:eastAsia="fr-FR"/>
              </w:rPr>
              <w:t xml:space="preserve">Plan de travail du </w:t>
            </w:r>
            <w:r w:rsidR="00AA2B88" w:rsidRPr="00AC19A0">
              <w:rPr>
                <w:rFonts w:cs="Arial"/>
                <w:bCs/>
                <w:snapToGrid/>
                <w:sz w:val="16"/>
                <w:szCs w:val="16"/>
                <w:lang w:val="fr-FR" w:eastAsia="fr-FR"/>
              </w:rPr>
              <w:t xml:space="preserve">GOOS </w:t>
            </w:r>
          </w:p>
        </w:tc>
        <w:tc>
          <w:tcPr>
            <w:tcW w:w="1720" w:type="dxa"/>
            <w:tcBorders>
              <w:top w:val="nil"/>
              <w:left w:val="nil"/>
              <w:bottom w:val="single" w:sz="4" w:space="0" w:color="auto"/>
              <w:right w:val="single" w:sz="4" w:space="0" w:color="auto"/>
            </w:tcBorders>
            <w:shd w:val="clear" w:color="auto" w:fill="auto"/>
            <w:noWrap/>
            <w:vAlign w:val="center"/>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191OSD2040.1</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550 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AC19A0" w:rsidP="00D00D08">
            <w:pPr>
              <w:tabs>
                <w:tab w:val="clear" w:pos="567"/>
              </w:tabs>
              <w:snapToGrid/>
              <w:rPr>
                <w:rFonts w:cs="Arial"/>
                <w:bCs/>
                <w:snapToGrid/>
                <w:sz w:val="16"/>
                <w:szCs w:val="16"/>
                <w:lang w:val="fr-FR" w:eastAsia="fr-FR"/>
              </w:rPr>
            </w:pPr>
            <w:r>
              <w:rPr>
                <w:rFonts w:cs="Arial"/>
                <w:bCs/>
                <w:snapToGrid/>
                <w:sz w:val="16"/>
                <w:szCs w:val="16"/>
                <w:lang w:val="fr-FR" w:eastAsia="fr-FR"/>
              </w:rPr>
              <w:t>Bureau de programme de Perth</w:t>
            </w:r>
          </w:p>
        </w:tc>
        <w:tc>
          <w:tcPr>
            <w:tcW w:w="1720" w:type="dxa"/>
            <w:tcBorders>
              <w:top w:val="nil"/>
              <w:left w:val="nil"/>
              <w:bottom w:val="single" w:sz="4" w:space="0" w:color="auto"/>
              <w:right w:val="single" w:sz="4" w:space="0" w:color="auto"/>
            </w:tcBorders>
            <w:shd w:val="clear" w:color="auto" w:fill="auto"/>
            <w:noWrap/>
            <w:vAlign w:val="center"/>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191OSD2040.2</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400 </w:t>
            </w:r>
            <w:r w:rsidR="00AA2B88" w:rsidRPr="00AC19A0">
              <w:rPr>
                <w:rFonts w:cs="Arial"/>
                <w:bCs/>
                <w:snapToGrid/>
                <w:sz w:val="16"/>
                <w:szCs w:val="16"/>
                <w:lang w:val="fr-FR" w:eastAsia="fr-FR"/>
              </w:rPr>
              <w:t>000</w:t>
            </w:r>
          </w:p>
        </w:tc>
      </w:tr>
      <w:tr w:rsidR="00AA2B88" w:rsidRPr="00AC19A0" w:rsidTr="00D00D08">
        <w:trPr>
          <w:trHeight w:val="255"/>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AC19A0" w:rsidP="00AC19A0">
            <w:pPr>
              <w:tabs>
                <w:tab w:val="clear" w:pos="567"/>
              </w:tabs>
              <w:snapToGrid/>
              <w:rPr>
                <w:rFonts w:cs="Arial"/>
                <w:bCs/>
                <w:snapToGrid/>
                <w:sz w:val="16"/>
                <w:szCs w:val="16"/>
                <w:lang w:val="fr-FR" w:eastAsia="fr-FR"/>
              </w:rPr>
            </w:pPr>
            <w:r>
              <w:rPr>
                <w:rFonts w:cs="Arial"/>
                <w:bCs/>
                <w:snapToGrid/>
                <w:sz w:val="16"/>
                <w:szCs w:val="16"/>
                <w:lang w:val="fr-FR" w:eastAsia="fr-FR"/>
              </w:rPr>
              <w:t>EIOI</w:t>
            </w:r>
            <w:r w:rsidR="00AA2B88" w:rsidRPr="00AC19A0">
              <w:rPr>
                <w:rFonts w:cs="Arial"/>
                <w:bCs/>
                <w:snapToGrid/>
                <w:sz w:val="16"/>
                <w:szCs w:val="16"/>
                <w:lang w:val="fr-FR" w:eastAsia="fr-FR"/>
              </w:rPr>
              <w:t>-2 (</w:t>
            </w:r>
            <w:r>
              <w:rPr>
                <w:rFonts w:cs="Arial"/>
                <w:bCs/>
                <w:snapToGrid/>
                <w:sz w:val="16"/>
                <w:szCs w:val="16"/>
                <w:lang w:val="fr-FR" w:eastAsia="fr-FR"/>
              </w:rPr>
              <w:t>développement des capacités en matière d’observations continues</w:t>
            </w:r>
            <w:r w:rsidR="00AA2B88" w:rsidRPr="00AC19A0">
              <w:rPr>
                <w:rFonts w:cs="Arial"/>
                <w:bCs/>
                <w:snapToGrid/>
                <w:sz w:val="16"/>
                <w:szCs w:val="16"/>
                <w:lang w:val="fr-FR" w:eastAsia="fr-FR"/>
              </w:rPr>
              <w:t>)</w:t>
            </w:r>
          </w:p>
        </w:tc>
        <w:tc>
          <w:tcPr>
            <w:tcW w:w="1720" w:type="dxa"/>
            <w:tcBorders>
              <w:top w:val="nil"/>
              <w:left w:val="nil"/>
              <w:bottom w:val="single" w:sz="4" w:space="0" w:color="auto"/>
              <w:right w:val="single" w:sz="4" w:space="0" w:color="auto"/>
            </w:tcBorders>
            <w:shd w:val="clear" w:color="auto" w:fill="auto"/>
            <w:noWrap/>
            <w:vAlign w:val="center"/>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191OSD2040.3</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250 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AC19A0" w:rsidP="00AC19A0">
            <w:pPr>
              <w:tabs>
                <w:tab w:val="clear" w:pos="567"/>
              </w:tabs>
              <w:snapToGrid/>
              <w:rPr>
                <w:rFonts w:cs="Arial"/>
                <w:bCs/>
                <w:snapToGrid/>
                <w:sz w:val="16"/>
                <w:szCs w:val="16"/>
                <w:lang w:val="fr-FR" w:eastAsia="fr-FR"/>
              </w:rPr>
            </w:pPr>
            <w:r>
              <w:rPr>
                <w:rFonts w:cs="Arial"/>
                <w:bCs/>
                <w:snapToGrid/>
                <w:sz w:val="16"/>
                <w:szCs w:val="16"/>
                <w:lang w:val="fr-FR" w:eastAsia="fr-FR"/>
              </w:rPr>
              <w:t xml:space="preserve">Observations de la </w:t>
            </w:r>
            <w:r w:rsidR="00AA2B88" w:rsidRPr="00AC19A0">
              <w:rPr>
                <w:rFonts w:cs="Arial"/>
                <w:bCs/>
                <w:snapToGrid/>
                <w:sz w:val="16"/>
                <w:szCs w:val="16"/>
                <w:lang w:val="fr-FR" w:eastAsia="fr-FR"/>
              </w:rPr>
              <w:t xml:space="preserve">JCOMM </w:t>
            </w:r>
          </w:p>
        </w:tc>
        <w:tc>
          <w:tcPr>
            <w:tcW w:w="1720" w:type="dxa"/>
            <w:tcBorders>
              <w:top w:val="nil"/>
              <w:left w:val="nil"/>
              <w:bottom w:val="single" w:sz="4" w:space="0" w:color="auto"/>
              <w:right w:val="single" w:sz="4" w:space="0" w:color="auto"/>
            </w:tcBorders>
            <w:shd w:val="clear" w:color="auto" w:fill="auto"/>
            <w:noWrap/>
            <w:vAlign w:val="center"/>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191OSD2040.4</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200 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AC19A0" w:rsidP="00AC19A0">
            <w:pPr>
              <w:tabs>
                <w:tab w:val="clear" w:pos="567"/>
              </w:tabs>
              <w:snapToGrid/>
              <w:rPr>
                <w:rFonts w:cs="Arial"/>
                <w:bCs/>
                <w:snapToGrid/>
                <w:sz w:val="16"/>
                <w:szCs w:val="16"/>
                <w:lang w:val="fr-FR" w:eastAsia="fr-FR"/>
              </w:rPr>
            </w:pPr>
            <w:r>
              <w:rPr>
                <w:rFonts w:cs="Arial"/>
                <w:bCs/>
                <w:snapToGrid/>
                <w:sz w:val="16"/>
                <w:szCs w:val="16"/>
                <w:lang w:val="fr-FR" w:eastAsia="fr-FR"/>
              </w:rPr>
              <w:t>Systèmes centraux IODE/</w:t>
            </w:r>
            <w:r w:rsidR="00AA2B88" w:rsidRPr="00AC19A0">
              <w:rPr>
                <w:rFonts w:cs="Arial"/>
                <w:bCs/>
                <w:snapToGrid/>
                <w:sz w:val="16"/>
                <w:szCs w:val="16"/>
                <w:lang w:val="fr-FR" w:eastAsia="fr-FR"/>
              </w:rPr>
              <w:t xml:space="preserve">OBIS </w:t>
            </w:r>
          </w:p>
        </w:tc>
        <w:tc>
          <w:tcPr>
            <w:tcW w:w="1720" w:type="dxa"/>
            <w:tcBorders>
              <w:top w:val="nil"/>
              <w:left w:val="nil"/>
              <w:bottom w:val="single" w:sz="4" w:space="0" w:color="auto"/>
              <w:right w:val="single" w:sz="4" w:space="0" w:color="auto"/>
            </w:tcBorders>
            <w:shd w:val="clear" w:color="auto" w:fill="auto"/>
            <w:noWrap/>
            <w:vAlign w:val="center"/>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191OSD2040.5</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000000" w:fill="E4DFEC"/>
            <w:vAlign w:val="center"/>
            <w:hideMark/>
          </w:tcPr>
          <w:p w:rsidR="00AA2B88" w:rsidRPr="00AC19A0" w:rsidRDefault="00AA2B88" w:rsidP="00D00D08">
            <w:pPr>
              <w:tabs>
                <w:tab w:val="clear" w:pos="567"/>
              </w:tabs>
              <w:snapToGrid/>
              <w:rPr>
                <w:rFonts w:cs="Arial"/>
                <w:b/>
                <w:bCs/>
                <w:snapToGrid/>
                <w:sz w:val="16"/>
                <w:szCs w:val="16"/>
                <w:lang w:val="fr-FR" w:eastAsia="fr-FR"/>
              </w:rPr>
            </w:pPr>
            <w:r w:rsidRPr="00AC19A0">
              <w:rPr>
                <w:rFonts w:cs="Arial"/>
                <w:b/>
                <w:bCs/>
                <w:snapToGrid/>
                <w:sz w:val="16"/>
                <w:szCs w:val="16"/>
                <w:lang w:val="fr-FR" w:eastAsia="fr-FR"/>
              </w:rPr>
              <w:t>JCOMMOPS</w:t>
            </w:r>
          </w:p>
        </w:tc>
        <w:tc>
          <w:tcPr>
            <w:tcW w:w="1720" w:type="dxa"/>
            <w:tcBorders>
              <w:top w:val="nil"/>
              <w:left w:val="nil"/>
              <w:bottom w:val="single" w:sz="4" w:space="0" w:color="auto"/>
              <w:right w:val="single" w:sz="4" w:space="0" w:color="auto"/>
            </w:tcBorders>
            <w:shd w:val="clear" w:color="000000" w:fill="E4DFEC"/>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193JCS2040</w:t>
            </w:r>
          </w:p>
        </w:tc>
        <w:tc>
          <w:tcPr>
            <w:tcW w:w="1540" w:type="dxa"/>
            <w:tcBorders>
              <w:top w:val="nil"/>
              <w:left w:val="nil"/>
              <w:bottom w:val="single" w:sz="4" w:space="0" w:color="auto"/>
              <w:right w:val="single" w:sz="8" w:space="0" w:color="auto"/>
            </w:tcBorders>
            <w:shd w:val="clear" w:color="000000" w:fill="E4DFEC"/>
            <w:vAlign w:val="center"/>
            <w:hideMark/>
          </w:tcPr>
          <w:p w:rsidR="00AA2B88" w:rsidRPr="00AC19A0" w:rsidRDefault="004A3D0E" w:rsidP="00D00D08">
            <w:pPr>
              <w:tabs>
                <w:tab w:val="clear" w:pos="567"/>
              </w:tabs>
              <w:snapToGrid/>
              <w:jc w:val="right"/>
              <w:rPr>
                <w:rFonts w:cs="Arial"/>
                <w:b/>
                <w:bCs/>
                <w:snapToGrid/>
                <w:sz w:val="16"/>
                <w:szCs w:val="16"/>
                <w:lang w:val="fr-FR" w:eastAsia="fr-FR"/>
              </w:rPr>
            </w:pPr>
            <w:r>
              <w:rPr>
                <w:rFonts w:cs="Arial"/>
                <w:b/>
                <w:bCs/>
                <w:snapToGrid/>
                <w:sz w:val="16"/>
                <w:szCs w:val="16"/>
                <w:lang w:val="fr-FR" w:eastAsia="fr-FR"/>
              </w:rPr>
              <w:t>450 </w:t>
            </w:r>
            <w:r w:rsidR="00AA2B88" w:rsidRPr="00AC19A0">
              <w:rPr>
                <w:rFonts w:cs="Arial"/>
                <w:b/>
                <w:bCs/>
                <w:snapToGrid/>
                <w:sz w:val="16"/>
                <w:szCs w:val="16"/>
                <w:lang w:val="fr-FR" w:eastAsia="fr-FR"/>
              </w:rPr>
              <w:t>000</w:t>
            </w:r>
          </w:p>
        </w:tc>
      </w:tr>
      <w:tr w:rsidR="00AA2B88" w:rsidRPr="001F0928" w:rsidTr="00D00D08">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rsidR="00AA2B88" w:rsidRPr="00AC19A0" w:rsidRDefault="00657D3C" w:rsidP="00D00D08">
            <w:pPr>
              <w:tabs>
                <w:tab w:val="clear" w:pos="567"/>
              </w:tabs>
              <w:snapToGrid/>
              <w:jc w:val="center"/>
              <w:rPr>
                <w:rFonts w:cs="Arial"/>
                <w:b/>
                <w:bCs/>
                <w:snapToGrid/>
                <w:sz w:val="16"/>
                <w:szCs w:val="16"/>
                <w:lang w:val="fr-FR" w:eastAsia="fr-FR"/>
              </w:rPr>
            </w:pPr>
            <w:r>
              <w:rPr>
                <w:rFonts w:cs="Arial"/>
                <w:b/>
                <w:bCs/>
                <w:snapToGrid/>
                <w:sz w:val="16"/>
                <w:szCs w:val="16"/>
                <w:lang w:val="fr-FR" w:eastAsia="fr-FR"/>
              </w:rPr>
              <w:t>Fonction C de la COI :</w:t>
            </w:r>
            <w:r w:rsidR="00AC19A0" w:rsidRPr="00AC19A0">
              <w:rPr>
                <w:rFonts w:cs="Arial"/>
                <w:b/>
                <w:bCs/>
                <w:snapToGrid/>
                <w:sz w:val="16"/>
                <w:szCs w:val="16"/>
                <w:lang w:val="fr-FR" w:eastAsia="fr-FR"/>
              </w:rPr>
              <w:t xml:space="preserve"> Développer les systèmes d’alerte rapide, les services et les mécanismes de préparation </w:t>
            </w:r>
            <w:r w:rsidR="004A3D0E">
              <w:rPr>
                <w:rFonts w:cs="Arial"/>
                <w:b/>
                <w:bCs/>
                <w:snapToGrid/>
                <w:sz w:val="16"/>
                <w:szCs w:val="16"/>
                <w:lang w:val="fr-FR" w:eastAsia="fr-FR"/>
              </w:rPr>
              <w:br/>
            </w:r>
            <w:r w:rsidR="00AC19A0" w:rsidRPr="00AC19A0">
              <w:rPr>
                <w:rFonts w:cs="Arial"/>
                <w:b/>
                <w:bCs/>
                <w:snapToGrid/>
                <w:sz w:val="16"/>
                <w:szCs w:val="16"/>
                <w:lang w:val="fr-FR" w:eastAsia="fr-FR"/>
              </w:rPr>
              <w:t>pour atténuer les risques de tsunamis et autres aléas naturels liés aux océans</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000000" w:fill="E4DFEC"/>
            <w:vAlign w:val="center"/>
            <w:hideMark/>
          </w:tcPr>
          <w:p w:rsidR="00AA2B88" w:rsidRPr="00AC19A0" w:rsidRDefault="00657D3C" w:rsidP="00657D3C">
            <w:pPr>
              <w:tabs>
                <w:tab w:val="clear" w:pos="567"/>
              </w:tabs>
              <w:snapToGrid/>
              <w:rPr>
                <w:rFonts w:cs="Arial"/>
                <w:b/>
                <w:bCs/>
                <w:snapToGrid/>
                <w:sz w:val="16"/>
                <w:szCs w:val="16"/>
                <w:lang w:val="fr-FR" w:eastAsia="fr-FR"/>
              </w:rPr>
            </w:pPr>
            <w:r w:rsidRPr="00AC19A0">
              <w:rPr>
                <w:rFonts w:cs="Arial"/>
                <w:b/>
                <w:bCs/>
                <w:snapToGrid/>
                <w:sz w:val="16"/>
                <w:szCs w:val="16"/>
                <w:lang w:val="fr-FR" w:eastAsia="fr-FR"/>
              </w:rPr>
              <w:t>Secrétariat</w:t>
            </w:r>
            <w:r>
              <w:rPr>
                <w:rFonts w:cs="Arial"/>
                <w:b/>
                <w:bCs/>
                <w:snapToGrid/>
                <w:sz w:val="16"/>
                <w:szCs w:val="16"/>
                <w:lang w:val="fr-FR" w:eastAsia="fr-FR"/>
              </w:rPr>
              <w:t xml:space="preserve"> du</w:t>
            </w:r>
            <w:r w:rsidRPr="00AC19A0">
              <w:rPr>
                <w:rFonts w:cs="Arial"/>
                <w:b/>
                <w:bCs/>
                <w:snapToGrid/>
                <w:sz w:val="16"/>
                <w:szCs w:val="16"/>
                <w:lang w:val="fr-FR" w:eastAsia="fr-FR"/>
              </w:rPr>
              <w:t xml:space="preserve"> </w:t>
            </w:r>
            <w:r>
              <w:rPr>
                <w:rFonts w:cs="Arial"/>
                <w:b/>
                <w:bCs/>
                <w:snapToGrid/>
                <w:sz w:val="16"/>
                <w:szCs w:val="16"/>
                <w:lang w:val="fr-FR" w:eastAsia="fr-FR"/>
              </w:rPr>
              <w:t>GIC</w:t>
            </w:r>
            <w:r w:rsidR="00AA2B88" w:rsidRPr="00AC19A0">
              <w:rPr>
                <w:rFonts w:cs="Arial"/>
                <w:b/>
                <w:bCs/>
                <w:snapToGrid/>
                <w:sz w:val="16"/>
                <w:szCs w:val="16"/>
                <w:lang w:val="fr-FR" w:eastAsia="fr-FR"/>
              </w:rPr>
              <w:t xml:space="preserve">/IOTWMS </w:t>
            </w:r>
          </w:p>
        </w:tc>
        <w:tc>
          <w:tcPr>
            <w:tcW w:w="1720" w:type="dxa"/>
            <w:tcBorders>
              <w:top w:val="nil"/>
              <w:left w:val="nil"/>
              <w:bottom w:val="single" w:sz="4" w:space="0" w:color="auto"/>
              <w:right w:val="single" w:sz="4" w:space="0" w:color="auto"/>
            </w:tcBorders>
            <w:shd w:val="clear" w:color="000000" w:fill="E4DFEC"/>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193EWS2040</w:t>
            </w:r>
          </w:p>
        </w:tc>
        <w:tc>
          <w:tcPr>
            <w:tcW w:w="1540" w:type="dxa"/>
            <w:tcBorders>
              <w:top w:val="nil"/>
              <w:left w:val="nil"/>
              <w:bottom w:val="single" w:sz="4" w:space="0" w:color="auto"/>
              <w:right w:val="single" w:sz="8" w:space="0" w:color="auto"/>
            </w:tcBorders>
            <w:shd w:val="clear" w:color="000000" w:fill="E4DFEC"/>
            <w:vAlign w:val="center"/>
            <w:hideMark/>
          </w:tcPr>
          <w:p w:rsidR="00AA2B88" w:rsidRPr="00AC19A0" w:rsidRDefault="004A3D0E" w:rsidP="00D00D08">
            <w:pPr>
              <w:tabs>
                <w:tab w:val="clear" w:pos="567"/>
              </w:tabs>
              <w:snapToGrid/>
              <w:jc w:val="right"/>
              <w:rPr>
                <w:rFonts w:cs="Arial"/>
                <w:b/>
                <w:bCs/>
                <w:snapToGrid/>
                <w:sz w:val="16"/>
                <w:szCs w:val="16"/>
                <w:lang w:val="fr-FR" w:eastAsia="fr-FR"/>
              </w:rPr>
            </w:pPr>
            <w:r>
              <w:rPr>
                <w:rFonts w:cs="Arial"/>
                <w:b/>
                <w:bCs/>
                <w:snapToGrid/>
                <w:sz w:val="16"/>
                <w:szCs w:val="16"/>
                <w:lang w:val="fr-FR" w:eastAsia="fr-FR"/>
              </w:rPr>
              <w:t>850 </w:t>
            </w:r>
            <w:r w:rsidR="00AA2B88" w:rsidRPr="00AC19A0">
              <w:rPr>
                <w:rFonts w:cs="Arial"/>
                <w:b/>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191EWS2040</w:t>
            </w:r>
          </w:p>
        </w:tc>
        <w:tc>
          <w:tcPr>
            <w:tcW w:w="1540" w:type="dxa"/>
            <w:tcBorders>
              <w:top w:val="nil"/>
              <w:left w:val="nil"/>
              <w:bottom w:val="single" w:sz="4" w:space="0" w:color="auto"/>
              <w:right w:val="single" w:sz="8" w:space="0" w:color="auto"/>
            </w:tcBorders>
            <w:shd w:val="clear" w:color="000000" w:fill="FDE9D9"/>
            <w:vAlign w:val="center"/>
            <w:hideMark/>
          </w:tcPr>
          <w:p w:rsidR="00AA2B88" w:rsidRPr="00AC19A0" w:rsidRDefault="004A3D0E" w:rsidP="00D00D08">
            <w:pPr>
              <w:tabs>
                <w:tab w:val="clear" w:pos="567"/>
              </w:tabs>
              <w:snapToGrid/>
              <w:jc w:val="right"/>
              <w:rPr>
                <w:rFonts w:cs="Arial"/>
                <w:b/>
                <w:bCs/>
                <w:snapToGrid/>
                <w:sz w:val="16"/>
                <w:szCs w:val="16"/>
                <w:lang w:val="fr-FR" w:eastAsia="fr-FR"/>
              </w:rPr>
            </w:pPr>
            <w:r>
              <w:rPr>
                <w:rFonts w:cs="Arial"/>
                <w:b/>
                <w:bCs/>
                <w:snapToGrid/>
                <w:sz w:val="16"/>
                <w:szCs w:val="16"/>
                <w:lang w:val="fr-FR" w:eastAsia="fr-FR"/>
              </w:rPr>
              <w:t>1 250 </w:t>
            </w:r>
            <w:r w:rsidR="00AA2B88" w:rsidRPr="00AC19A0">
              <w:rPr>
                <w:rFonts w:cs="Arial"/>
                <w:b/>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657D3C" w:rsidP="00D00D08">
            <w:pPr>
              <w:tabs>
                <w:tab w:val="clear" w:pos="567"/>
              </w:tabs>
              <w:snapToGrid/>
              <w:rPr>
                <w:rFonts w:cs="Arial"/>
                <w:bCs/>
                <w:snapToGrid/>
                <w:sz w:val="16"/>
                <w:szCs w:val="16"/>
                <w:lang w:val="fr-FR" w:eastAsia="fr-FR"/>
              </w:rPr>
            </w:pPr>
            <w:r w:rsidRPr="00657D3C">
              <w:rPr>
                <w:rFonts w:cs="Arial"/>
                <w:bCs/>
                <w:snapToGrid/>
                <w:sz w:val="16"/>
                <w:szCs w:val="16"/>
                <w:lang w:val="fr-FR" w:eastAsia="fr-FR"/>
              </w:rPr>
              <w:t>GIC/NEAMTWS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191EWS2040.1</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657D3C" w:rsidP="00D00D08">
            <w:pPr>
              <w:tabs>
                <w:tab w:val="clear" w:pos="567"/>
              </w:tabs>
              <w:snapToGrid/>
              <w:rPr>
                <w:rFonts w:cs="Arial"/>
                <w:bCs/>
                <w:snapToGrid/>
                <w:sz w:val="16"/>
                <w:szCs w:val="16"/>
                <w:lang w:val="fr-FR" w:eastAsia="fr-FR"/>
              </w:rPr>
            </w:pPr>
            <w:r w:rsidRPr="00657D3C">
              <w:rPr>
                <w:rFonts w:cs="Arial"/>
                <w:bCs/>
                <w:snapToGrid/>
                <w:sz w:val="16"/>
                <w:szCs w:val="16"/>
                <w:lang w:val="fr-FR" w:eastAsia="fr-FR"/>
              </w:rPr>
              <w:t>GIC/PTWS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191EWS2040.2</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657D3C" w:rsidP="00D00D08">
            <w:pPr>
              <w:tabs>
                <w:tab w:val="clear" w:pos="567"/>
              </w:tabs>
              <w:snapToGrid/>
              <w:rPr>
                <w:rFonts w:cs="Arial"/>
                <w:bCs/>
                <w:snapToGrid/>
                <w:sz w:val="16"/>
                <w:szCs w:val="16"/>
                <w:lang w:val="fr-FR" w:eastAsia="fr-FR"/>
              </w:rPr>
            </w:pPr>
            <w:r w:rsidRPr="00657D3C">
              <w:rPr>
                <w:rFonts w:cs="Arial"/>
                <w:bCs/>
                <w:snapToGrid/>
                <w:sz w:val="16"/>
                <w:szCs w:val="16"/>
                <w:lang w:val="fr-FR" w:eastAsia="fr-FR"/>
              </w:rPr>
              <w:t>GIC/CARIBE-EWS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191EWS2040.3</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250 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AA2B88" w:rsidP="00657D3C">
            <w:pPr>
              <w:tabs>
                <w:tab w:val="clear" w:pos="567"/>
              </w:tabs>
              <w:snapToGrid/>
              <w:rPr>
                <w:rFonts w:cs="Arial"/>
                <w:bCs/>
                <w:snapToGrid/>
                <w:sz w:val="16"/>
                <w:szCs w:val="16"/>
                <w:lang w:val="fr-FR" w:eastAsia="fr-FR"/>
              </w:rPr>
            </w:pPr>
            <w:r w:rsidRPr="00AC19A0">
              <w:rPr>
                <w:rFonts w:cs="Arial"/>
                <w:bCs/>
                <w:snapToGrid/>
                <w:sz w:val="16"/>
                <w:szCs w:val="16"/>
                <w:lang w:val="fr-FR" w:eastAsia="fr-FR"/>
              </w:rPr>
              <w:t xml:space="preserve">TOWS </w:t>
            </w:r>
            <w:r w:rsidR="00657D3C" w:rsidRPr="00657D3C">
              <w:rPr>
                <w:rFonts w:cs="Arial"/>
                <w:bCs/>
                <w:snapToGrid/>
                <w:sz w:val="16"/>
                <w:szCs w:val="16"/>
                <w:lang w:val="fr-FR" w:eastAsia="fr-FR"/>
              </w:rPr>
              <w:t>et coordination interrégionale</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191EWS2040.4</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rPr>
                <w:rFonts w:cs="Arial"/>
                <w:bCs/>
                <w:snapToGrid/>
                <w:sz w:val="16"/>
                <w:szCs w:val="16"/>
                <w:lang w:val="fr-FR" w:eastAsia="fr-FR"/>
              </w:rPr>
            </w:pPr>
            <w:r w:rsidRPr="00AC19A0">
              <w:rPr>
                <w:rFonts w:cs="Arial"/>
                <w:bCs/>
                <w:snapToGrid/>
                <w:sz w:val="16"/>
                <w:szCs w:val="16"/>
                <w:lang w:val="fr-FR" w:eastAsia="fr-FR"/>
              </w:rPr>
              <w:t>JTIC</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191EWS2040.5</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rPr>
                <w:rFonts w:cs="Arial"/>
                <w:bCs/>
                <w:snapToGrid/>
                <w:sz w:val="16"/>
                <w:szCs w:val="16"/>
                <w:lang w:val="fr-FR" w:eastAsia="fr-FR"/>
              </w:rPr>
            </w:pPr>
            <w:r w:rsidRPr="00AC19A0">
              <w:rPr>
                <w:rFonts w:cs="Arial"/>
                <w:bCs/>
                <w:snapToGrid/>
                <w:sz w:val="16"/>
                <w:szCs w:val="16"/>
                <w:lang w:val="fr-FR" w:eastAsia="fr-FR"/>
              </w:rPr>
              <w:t>GLOSS - tsunami</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191EWS2040.6</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250 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nil"/>
              <w:right w:val="nil"/>
            </w:tcBorders>
            <w:shd w:val="clear" w:color="auto" w:fill="auto"/>
            <w:noWrap/>
            <w:vAlign w:val="bottom"/>
            <w:hideMark/>
          </w:tcPr>
          <w:p w:rsidR="00AA2B88" w:rsidRPr="00AC19A0" w:rsidRDefault="00657D3C" w:rsidP="00657D3C">
            <w:pPr>
              <w:tabs>
                <w:tab w:val="clear" w:pos="567"/>
              </w:tabs>
              <w:snapToGrid/>
              <w:rPr>
                <w:rFonts w:cs="Arial"/>
                <w:bCs/>
                <w:snapToGrid/>
                <w:sz w:val="16"/>
                <w:szCs w:val="16"/>
                <w:lang w:val="fr-FR" w:eastAsia="fr-FR"/>
              </w:rPr>
            </w:pPr>
            <w:r>
              <w:rPr>
                <w:rFonts w:cs="Arial"/>
                <w:bCs/>
                <w:snapToGrid/>
                <w:sz w:val="16"/>
                <w:szCs w:val="16"/>
                <w:lang w:val="fr-FR" w:eastAsia="fr-FR"/>
              </w:rPr>
              <w:t xml:space="preserve">Services de la </w:t>
            </w:r>
            <w:r w:rsidR="00AA2B88" w:rsidRPr="00AC19A0">
              <w:rPr>
                <w:rFonts w:cs="Arial"/>
                <w:bCs/>
                <w:snapToGrid/>
                <w:sz w:val="16"/>
                <w:szCs w:val="16"/>
                <w:lang w:val="fr-FR" w:eastAsia="fr-FR"/>
              </w:rPr>
              <w:t xml:space="preserve">JCOMM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191EWS2040.7</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200 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2B88" w:rsidRPr="00AC19A0" w:rsidRDefault="00657D3C" w:rsidP="00657D3C">
            <w:pPr>
              <w:tabs>
                <w:tab w:val="clear" w:pos="567"/>
              </w:tabs>
              <w:snapToGrid/>
              <w:rPr>
                <w:rFonts w:cs="Arial"/>
                <w:bCs/>
                <w:snapToGrid/>
                <w:sz w:val="16"/>
                <w:szCs w:val="16"/>
                <w:lang w:val="fr-FR" w:eastAsia="fr-FR"/>
              </w:rPr>
            </w:pPr>
            <w:r>
              <w:rPr>
                <w:rFonts w:cs="Arial"/>
                <w:bCs/>
                <w:snapToGrid/>
                <w:sz w:val="16"/>
                <w:szCs w:val="16"/>
                <w:lang w:val="fr-FR" w:eastAsia="fr-FR"/>
              </w:rPr>
              <w:t xml:space="preserve">Recherche et suivi sur les </w:t>
            </w:r>
            <w:r w:rsidR="00AA2B88" w:rsidRPr="00AC19A0">
              <w:rPr>
                <w:rFonts w:cs="Arial"/>
                <w:bCs/>
                <w:snapToGrid/>
                <w:sz w:val="16"/>
                <w:szCs w:val="16"/>
                <w:lang w:val="fr-FR" w:eastAsia="fr-FR"/>
              </w:rPr>
              <w:t xml:space="preserve">HAB </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191EWS2040.8</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1F0928" w:rsidTr="00D00D08">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rsidR="00AA2B88" w:rsidRPr="00AC19A0" w:rsidRDefault="00657D3C" w:rsidP="00D00D08">
            <w:pPr>
              <w:tabs>
                <w:tab w:val="clear" w:pos="567"/>
              </w:tabs>
              <w:snapToGrid/>
              <w:jc w:val="center"/>
              <w:rPr>
                <w:rFonts w:cs="Arial"/>
                <w:b/>
                <w:bCs/>
                <w:snapToGrid/>
                <w:sz w:val="16"/>
                <w:szCs w:val="16"/>
                <w:lang w:val="fr-FR" w:eastAsia="fr-FR"/>
              </w:rPr>
            </w:pPr>
            <w:r>
              <w:rPr>
                <w:rFonts w:cs="Arial"/>
                <w:b/>
                <w:bCs/>
                <w:snapToGrid/>
                <w:sz w:val="16"/>
                <w:szCs w:val="16"/>
                <w:lang w:val="fr-FR" w:eastAsia="fr-FR"/>
              </w:rPr>
              <w:t>Fonction D de la COI :</w:t>
            </w:r>
            <w:r w:rsidRPr="00657D3C">
              <w:rPr>
                <w:rFonts w:cs="Arial"/>
                <w:b/>
                <w:bCs/>
                <w:snapToGrid/>
                <w:sz w:val="16"/>
                <w:szCs w:val="16"/>
                <w:lang w:val="fr-FR" w:eastAsia="fr-FR"/>
              </w:rPr>
              <w:t xml:space="preserve"> Soutenir l’évaluation et l’information pour améliorer l’interface </w:t>
            </w:r>
            <w:r w:rsidR="004A3D0E">
              <w:rPr>
                <w:rFonts w:cs="Arial"/>
                <w:b/>
                <w:bCs/>
                <w:snapToGrid/>
                <w:sz w:val="16"/>
                <w:szCs w:val="16"/>
                <w:lang w:val="fr-FR" w:eastAsia="fr-FR"/>
              </w:rPr>
              <w:br/>
            </w:r>
            <w:r w:rsidRPr="00657D3C">
              <w:rPr>
                <w:rFonts w:cs="Arial"/>
                <w:b/>
                <w:bCs/>
                <w:snapToGrid/>
                <w:sz w:val="16"/>
                <w:szCs w:val="16"/>
                <w:lang w:val="fr-FR" w:eastAsia="fr-FR"/>
              </w:rPr>
              <w:t>entre science et politiques</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191AIP2040</w:t>
            </w:r>
          </w:p>
        </w:tc>
        <w:tc>
          <w:tcPr>
            <w:tcW w:w="1540" w:type="dxa"/>
            <w:tcBorders>
              <w:top w:val="nil"/>
              <w:left w:val="nil"/>
              <w:bottom w:val="single" w:sz="4" w:space="0" w:color="auto"/>
              <w:right w:val="single" w:sz="8" w:space="0" w:color="auto"/>
            </w:tcBorders>
            <w:shd w:val="clear" w:color="000000" w:fill="FDE9D9"/>
            <w:vAlign w:val="center"/>
            <w:hideMark/>
          </w:tcPr>
          <w:p w:rsidR="00AA2B88" w:rsidRPr="00AC19A0" w:rsidRDefault="004A3D0E" w:rsidP="00D00D08">
            <w:pPr>
              <w:tabs>
                <w:tab w:val="clear" w:pos="567"/>
              </w:tabs>
              <w:snapToGrid/>
              <w:jc w:val="right"/>
              <w:rPr>
                <w:rFonts w:cs="Arial"/>
                <w:b/>
                <w:bCs/>
                <w:snapToGrid/>
                <w:sz w:val="16"/>
                <w:szCs w:val="16"/>
                <w:lang w:val="fr-FR" w:eastAsia="fr-FR"/>
              </w:rPr>
            </w:pPr>
            <w:r>
              <w:rPr>
                <w:rFonts w:cs="Arial"/>
                <w:b/>
                <w:bCs/>
                <w:snapToGrid/>
                <w:sz w:val="16"/>
                <w:szCs w:val="16"/>
                <w:lang w:val="fr-FR" w:eastAsia="fr-FR"/>
              </w:rPr>
              <w:t>550 </w:t>
            </w:r>
            <w:r w:rsidR="00AA2B88" w:rsidRPr="00AC19A0">
              <w:rPr>
                <w:rFonts w:cs="Arial"/>
                <w:b/>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657D3C" w:rsidP="00D00D08">
            <w:pPr>
              <w:tabs>
                <w:tab w:val="clear" w:pos="567"/>
              </w:tabs>
              <w:snapToGrid/>
              <w:rPr>
                <w:rFonts w:cs="Arial"/>
                <w:bCs/>
                <w:snapToGrid/>
                <w:sz w:val="16"/>
                <w:szCs w:val="16"/>
                <w:lang w:val="fr-FR" w:eastAsia="fr-FR"/>
              </w:rPr>
            </w:pPr>
            <w:r w:rsidRPr="00657D3C">
              <w:rPr>
                <w:rFonts w:cs="Arial"/>
                <w:bCs/>
                <w:snapToGrid/>
                <w:sz w:val="16"/>
                <w:szCs w:val="16"/>
                <w:lang w:val="fr-FR" w:eastAsia="fr-FR"/>
              </w:rPr>
              <w:t>Suivi des ODD et Évaluation mondiale des océans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191AIP2040.1</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AA2B88" w:rsidP="00D00D08">
            <w:pPr>
              <w:tabs>
                <w:tab w:val="clear" w:pos="567"/>
              </w:tabs>
              <w:snapToGrid/>
              <w:rPr>
                <w:rFonts w:cs="Arial"/>
                <w:bCs/>
                <w:snapToGrid/>
                <w:sz w:val="16"/>
                <w:szCs w:val="16"/>
                <w:lang w:val="fr-FR" w:eastAsia="fr-FR"/>
              </w:rPr>
            </w:pPr>
            <w:r w:rsidRPr="00AC19A0">
              <w:rPr>
                <w:rFonts w:cs="Arial"/>
                <w:bCs/>
                <w:snapToGrid/>
                <w:sz w:val="16"/>
                <w:szCs w:val="16"/>
                <w:lang w:val="fr-FR" w:eastAsia="fr-FR"/>
              </w:rPr>
              <w:t>GEBCO</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191AIP2040.2</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657D3C" w:rsidP="00D00D08">
            <w:pPr>
              <w:tabs>
                <w:tab w:val="clear" w:pos="567"/>
              </w:tabs>
              <w:snapToGrid/>
              <w:rPr>
                <w:rFonts w:cs="Arial"/>
                <w:bCs/>
                <w:snapToGrid/>
                <w:sz w:val="16"/>
                <w:szCs w:val="16"/>
                <w:lang w:val="fr-FR" w:eastAsia="fr-FR"/>
              </w:rPr>
            </w:pPr>
            <w:r w:rsidRPr="00657D3C">
              <w:rPr>
                <w:rFonts w:cs="Arial"/>
                <w:bCs/>
                <w:snapToGrid/>
                <w:sz w:val="16"/>
                <w:szCs w:val="16"/>
                <w:lang w:val="fr-FR" w:eastAsia="fr-FR"/>
              </w:rPr>
              <w:t>La science au service de la réduction de l'enrichissement en nutriments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191AIP2040.3</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657D3C" w:rsidP="00657D3C">
            <w:pPr>
              <w:tabs>
                <w:tab w:val="clear" w:pos="567"/>
              </w:tabs>
              <w:snapToGrid/>
              <w:rPr>
                <w:rFonts w:cs="Arial"/>
                <w:bCs/>
                <w:snapToGrid/>
                <w:sz w:val="16"/>
                <w:szCs w:val="16"/>
                <w:lang w:val="fr-FR" w:eastAsia="fr-FR"/>
              </w:rPr>
            </w:pPr>
            <w:r>
              <w:rPr>
                <w:rFonts w:cs="Arial"/>
                <w:bCs/>
                <w:snapToGrid/>
                <w:sz w:val="16"/>
                <w:szCs w:val="16"/>
                <w:lang w:val="fr-FR" w:eastAsia="fr-FR"/>
              </w:rPr>
              <w:t>Produits et services IODE/</w:t>
            </w:r>
            <w:r w:rsidR="00AA2B88" w:rsidRPr="00AC19A0">
              <w:rPr>
                <w:rFonts w:cs="Arial"/>
                <w:bCs/>
                <w:snapToGrid/>
                <w:sz w:val="16"/>
                <w:szCs w:val="16"/>
                <w:lang w:val="fr-FR" w:eastAsia="fr-FR"/>
              </w:rPr>
              <w:t xml:space="preserve">OBIS </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191AIP2040.4</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657D3C" w:rsidP="00D00D08">
            <w:pPr>
              <w:tabs>
                <w:tab w:val="clear" w:pos="567"/>
              </w:tabs>
              <w:snapToGrid/>
              <w:rPr>
                <w:rFonts w:cs="Arial"/>
                <w:bCs/>
                <w:snapToGrid/>
                <w:sz w:val="16"/>
                <w:szCs w:val="16"/>
                <w:lang w:val="fr-FR" w:eastAsia="fr-FR"/>
              </w:rPr>
            </w:pPr>
            <w:r w:rsidRPr="00657D3C">
              <w:rPr>
                <w:rFonts w:cs="Arial"/>
                <w:bCs/>
                <w:snapToGrid/>
                <w:sz w:val="16"/>
                <w:szCs w:val="16"/>
                <w:lang w:val="fr-FR" w:eastAsia="fr-FR"/>
              </w:rPr>
              <w:t>Adaptation au changement climatique dans les zones côtières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191AIP2040.5</w:t>
            </w:r>
          </w:p>
        </w:tc>
        <w:tc>
          <w:tcPr>
            <w:tcW w:w="1540" w:type="dxa"/>
            <w:tcBorders>
              <w:top w:val="nil"/>
              <w:left w:val="nil"/>
              <w:bottom w:val="single" w:sz="4" w:space="0" w:color="auto"/>
              <w:right w:val="single" w:sz="8" w:space="0" w:color="auto"/>
            </w:tcBorders>
            <w:shd w:val="clear" w:color="auto" w:fill="auto"/>
            <w:noWrap/>
            <w:vAlign w:val="center"/>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150 </w:t>
            </w:r>
            <w:r w:rsidR="00AA2B88" w:rsidRPr="00AC19A0">
              <w:rPr>
                <w:rFonts w:cs="Arial"/>
                <w:bCs/>
                <w:snapToGrid/>
                <w:sz w:val="16"/>
                <w:szCs w:val="16"/>
                <w:lang w:val="fr-FR" w:eastAsia="fr-FR"/>
              </w:rPr>
              <w:t>000</w:t>
            </w:r>
          </w:p>
        </w:tc>
      </w:tr>
      <w:tr w:rsidR="00AA2B88" w:rsidRPr="001F0928" w:rsidTr="00D00D08">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rsidR="00AA2B88" w:rsidRPr="00AC19A0" w:rsidRDefault="00657D3C" w:rsidP="004A3D0E">
            <w:pPr>
              <w:tabs>
                <w:tab w:val="clear" w:pos="567"/>
              </w:tabs>
              <w:snapToGrid/>
              <w:jc w:val="center"/>
              <w:rPr>
                <w:rFonts w:cs="Arial"/>
                <w:b/>
                <w:bCs/>
                <w:snapToGrid/>
                <w:sz w:val="16"/>
                <w:szCs w:val="16"/>
                <w:lang w:val="fr-FR" w:eastAsia="fr-FR"/>
              </w:rPr>
            </w:pPr>
            <w:r w:rsidRPr="00657D3C">
              <w:rPr>
                <w:rFonts w:cs="Arial"/>
                <w:b/>
                <w:bCs/>
                <w:snapToGrid/>
                <w:sz w:val="16"/>
                <w:szCs w:val="16"/>
                <w:lang w:val="fr-FR" w:eastAsia="fr-FR"/>
              </w:rPr>
              <w:t xml:space="preserve">Fonction E de la COI : Renforcer la gouvernance des océans grâce à une base de connaissances partagée </w:t>
            </w:r>
            <w:r w:rsidR="004A3D0E">
              <w:rPr>
                <w:rFonts w:cs="Arial"/>
                <w:b/>
                <w:bCs/>
                <w:snapToGrid/>
                <w:sz w:val="16"/>
                <w:szCs w:val="16"/>
                <w:lang w:val="fr-FR" w:eastAsia="fr-FR"/>
              </w:rPr>
              <w:br/>
            </w:r>
            <w:r w:rsidRPr="00657D3C">
              <w:rPr>
                <w:rFonts w:cs="Arial"/>
                <w:b/>
                <w:bCs/>
                <w:snapToGrid/>
                <w:sz w:val="16"/>
                <w:szCs w:val="16"/>
                <w:lang w:val="fr-FR" w:eastAsia="fr-FR"/>
              </w:rPr>
              <w:t xml:space="preserve">et à l’amélioration de la coopération régionale </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191RCG2040</w:t>
            </w:r>
          </w:p>
        </w:tc>
        <w:tc>
          <w:tcPr>
            <w:tcW w:w="1540" w:type="dxa"/>
            <w:tcBorders>
              <w:top w:val="nil"/>
              <w:left w:val="nil"/>
              <w:bottom w:val="single" w:sz="4" w:space="0" w:color="auto"/>
              <w:right w:val="single" w:sz="8" w:space="0" w:color="auto"/>
            </w:tcBorders>
            <w:shd w:val="clear" w:color="000000" w:fill="FDE9D9"/>
            <w:vAlign w:val="center"/>
            <w:hideMark/>
          </w:tcPr>
          <w:p w:rsidR="00AA2B88" w:rsidRPr="00AC19A0" w:rsidRDefault="004A3D0E" w:rsidP="00D00D08">
            <w:pPr>
              <w:tabs>
                <w:tab w:val="clear" w:pos="567"/>
              </w:tabs>
              <w:snapToGrid/>
              <w:jc w:val="right"/>
              <w:rPr>
                <w:rFonts w:cs="Arial"/>
                <w:b/>
                <w:bCs/>
                <w:snapToGrid/>
                <w:sz w:val="16"/>
                <w:szCs w:val="16"/>
                <w:lang w:val="fr-FR" w:eastAsia="fr-FR"/>
              </w:rPr>
            </w:pPr>
            <w:r>
              <w:rPr>
                <w:rFonts w:cs="Arial"/>
                <w:b/>
                <w:bCs/>
                <w:snapToGrid/>
                <w:sz w:val="16"/>
                <w:szCs w:val="16"/>
                <w:lang w:val="fr-FR" w:eastAsia="fr-FR"/>
              </w:rPr>
              <w:t>1 300 </w:t>
            </w:r>
            <w:r w:rsidR="00AA2B88" w:rsidRPr="00AC19A0">
              <w:rPr>
                <w:rFonts w:cs="Arial"/>
                <w:b/>
                <w:bCs/>
                <w:snapToGrid/>
                <w:sz w:val="16"/>
                <w:szCs w:val="16"/>
                <w:lang w:val="fr-FR" w:eastAsia="fr-FR"/>
              </w:rPr>
              <w:t>000</w:t>
            </w:r>
          </w:p>
        </w:tc>
      </w:tr>
      <w:tr w:rsidR="00AA2B88" w:rsidRPr="00AC19A0" w:rsidTr="00D00D08">
        <w:trPr>
          <w:trHeight w:val="255"/>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657D3C" w:rsidP="00D00D08">
            <w:pPr>
              <w:tabs>
                <w:tab w:val="clear" w:pos="567"/>
              </w:tabs>
              <w:snapToGrid/>
              <w:rPr>
                <w:rFonts w:cs="Arial"/>
                <w:bCs/>
                <w:snapToGrid/>
                <w:sz w:val="16"/>
                <w:szCs w:val="16"/>
                <w:lang w:val="fr-FR" w:eastAsia="fr-FR"/>
              </w:rPr>
            </w:pPr>
            <w:r w:rsidRPr="00657D3C">
              <w:rPr>
                <w:rFonts w:cs="Arial"/>
                <w:bCs/>
                <w:snapToGrid/>
                <w:sz w:val="16"/>
                <w:szCs w:val="16"/>
                <w:lang w:val="fr-FR" w:eastAsia="fr-FR"/>
              </w:rPr>
              <w:t>Gouvernance de la COI (représentation et coordination intersessions)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191RCG2040.1</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AA2B88" w:rsidP="00657D3C">
            <w:pPr>
              <w:tabs>
                <w:tab w:val="clear" w:pos="567"/>
              </w:tabs>
              <w:snapToGrid/>
              <w:rPr>
                <w:rFonts w:cs="Arial"/>
                <w:bCs/>
                <w:snapToGrid/>
                <w:sz w:val="16"/>
                <w:szCs w:val="16"/>
                <w:lang w:val="fr-FR" w:eastAsia="fr-FR"/>
              </w:rPr>
            </w:pPr>
            <w:r w:rsidRPr="00AC19A0">
              <w:rPr>
                <w:rFonts w:cs="Arial"/>
                <w:bCs/>
                <w:snapToGrid/>
                <w:sz w:val="16"/>
                <w:szCs w:val="16"/>
                <w:lang w:val="fr-FR" w:eastAsia="fr-FR"/>
              </w:rPr>
              <w:t xml:space="preserve">IOCARIBE </w:t>
            </w:r>
            <w:r w:rsidR="00657D3C" w:rsidRPr="00657D3C">
              <w:rPr>
                <w:rFonts w:cs="Arial"/>
                <w:bCs/>
                <w:snapToGrid/>
                <w:sz w:val="16"/>
                <w:szCs w:val="16"/>
                <w:lang w:val="fr-FR" w:eastAsia="fr-FR"/>
              </w:rPr>
              <w:t>(soutien du bureau et coordination intersessions)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191RCG2040.2</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AA2B88" w:rsidP="00D00D08">
            <w:pPr>
              <w:tabs>
                <w:tab w:val="clear" w:pos="567"/>
              </w:tabs>
              <w:snapToGrid/>
              <w:rPr>
                <w:rFonts w:cs="Arial"/>
                <w:bCs/>
                <w:snapToGrid/>
                <w:sz w:val="16"/>
                <w:szCs w:val="16"/>
                <w:lang w:val="fr-FR" w:eastAsia="fr-FR"/>
              </w:rPr>
            </w:pPr>
            <w:r w:rsidRPr="00AC19A0">
              <w:rPr>
                <w:rFonts w:cs="Arial"/>
                <w:bCs/>
                <w:snapToGrid/>
                <w:sz w:val="16"/>
                <w:szCs w:val="16"/>
                <w:lang w:val="fr-FR" w:eastAsia="fr-FR"/>
              </w:rPr>
              <w:t xml:space="preserve">IOCAFRICA </w:t>
            </w:r>
            <w:r w:rsidR="00657D3C" w:rsidRPr="00657D3C">
              <w:rPr>
                <w:rFonts w:cs="Arial"/>
                <w:bCs/>
                <w:snapToGrid/>
                <w:sz w:val="16"/>
                <w:szCs w:val="16"/>
                <w:lang w:val="fr-FR" w:eastAsia="fr-FR"/>
              </w:rPr>
              <w:t>(soutien du bureau et coordination intersessions)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191RCG2040.3</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AA2B88" w:rsidP="00D00D08">
            <w:pPr>
              <w:tabs>
                <w:tab w:val="clear" w:pos="567"/>
              </w:tabs>
              <w:snapToGrid/>
              <w:rPr>
                <w:rFonts w:cs="Arial"/>
                <w:bCs/>
                <w:snapToGrid/>
                <w:sz w:val="16"/>
                <w:szCs w:val="16"/>
                <w:lang w:val="fr-FR" w:eastAsia="fr-FR"/>
              </w:rPr>
            </w:pPr>
            <w:r w:rsidRPr="00AC19A0">
              <w:rPr>
                <w:rFonts w:cs="Arial"/>
                <w:bCs/>
                <w:snapToGrid/>
                <w:sz w:val="16"/>
                <w:szCs w:val="16"/>
                <w:lang w:val="fr-FR" w:eastAsia="fr-FR"/>
              </w:rPr>
              <w:t xml:space="preserve">WESTPAC </w:t>
            </w:r>
            <w:r w:rsidR="00657D3C" w:rsidRPr="00657D3C">
              <w:rPr>
                <w:rFonts w:cs="Arial"/>
                <w:bCs/>
                <w:snapToGrid/>
                <w:sz w:val="16"/>
                <w:szCs w:val="16"/>
                <w:lang w:val="fr-FR" w:eastAsia="fr-FR"/>
              </w:rPr>
              <w:t>(soutien du bureau et coordination intersessions)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191RCG2040.4</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250 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AA2B88" w:rsidP="00D00D08">
            <w:pPr>
              <w:tabs>
                <w:tab w:val="clear" w:pos="567"/>
              </w:tabs>
              <w:snapToGrid/>
              <w:rPr>
                <w:rFonts w:cs="Arial"/>
                <w:bCs/>
                <w:snapToGrid/>
                <w:sz w:val="16"/>
                <w:szCs w:val="16"/>
                <w:lang w:val="fr-FR" w:eastAsia="fr-FR"/>
              </w:rPr>
            </w:pPr>
            <w:r w:rsidRPr="00AC19A0">
              <w:rPr>
                <w:rFonts w:cs="Arial"/>
                <w:bCs/>
                <w:snapToGrid/>
                <w:sz w:val="16"/>
                <w:szCs w:val="16"/>
                <w:lang w:val="fr-FR" w:eastAsia="fr-FR"/>
              </w:rPr>
              <w:t xml:space="preserve">IOCINDIO </w:t>
            </w:r>
            <w:r w:rsidR="00657D3C" w:rsidRPr="00657D3C">
              <w:rPr>
                <w:rFonts w:cs="Arial"/>
                <w:bCs/>
                <w:snapToGrid/>
                <w:sz w:val="16"/>
                <w:szCs w:val="16"/>
                <w:lang w:val="fr-FR" w:eastAsia="fr-FR"/>
              </w:rPr>
              <w:t>(coordination intersessions)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191RCG2040.5</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657D3C" w:rsidP="00D00D08">
            <w:pPr>
              <w:tabs>
                <w:tab w:val="clear" w:pos="567"/>
              </w:tabs>
              <w:snapToGrid/>
              <w:rPr>
                <w:rFonts w:cs="Arial"/>
                <w:bCs/>
                <w:snapToGrid/>
                <w:sz w:val="16"/>
                <w:szCs w:val="16"/>
                <w:lang w:val="fr-FR" w:eastAsia="fr-FR"/>
              </w:rPr>
            </w:pPr>
            <w:r w:rsidRPr="00657D3C">
              <w:rPr>
                <w:rFonts w:cs="Arial"/>
                <w:bCs/>
                <w:snapToGrid/>
                <w:sz w:val="16"/>
                <w:szCs w:val="16"/>
                <w:lang w:val="fr-FR" w:eastAsia="fr-FR"/>
              </w:rPr>
              <w:t>Partenariats, gouvernance mondiale, élaboration des politiques et actions extérieures avec le système des Nations Unies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191RCG2040.6</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400 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vAlign w:val="bottom"/>
            <w:hideMark/>
          </w:tcPr>
          <w:p w:rsidR="00AA2B88" w:rsidRPr="00AC19A0" w:rsidRDefault="00AA2B88" w:rsidP="00657D3C">
            <w:pPr>
              <w:tabs>
                <w:tab w:val="clear" w:pos="567"/>
              </w:tabs>
              <w:snapToGrid/>
              <w:rPr>
                <w:rFonts w:cs="Arial"/>
                <w:bCs/>
                <w:snapToGrid/>
                <w:sz w:val="16"/>
                <w:szCs w:val="16"/>
                <w:lang w:val="fr-FR" w:eastAsia="fr-FR"/>
              </w:rPr>
            </w:pPr>
            <w:r w:rsidRPr="00AC19A0">
              <w:rPr>
                <w:rFonts w:cs="Arial"/>
                <w:bCs/>
                <w:snapToGrid/>
                <w:sz w:val="16"/>
                <w:szCs w:val="16"/>
                <w:lang w:val="fr-FR" w:eastAsia="fr-FR"/>
              </w:rPr>
              <w:t xml:space="preserve">ICAM </w:t>
            </w:r>
            <w:r w:rsidR="00657D3C">
              <w:rPr>
                <w:rFonts w:cs="Arial"/>
                <w:bCs/>
                <w:snapToGrid/>
                <w:sz w:val="16"/>
                <w:szCs w:val="16"/>
                <w:lang w:val="fr-FR" w:eastAsia="fr-FR"/>
              </w:rPr>
              <w:t>et aménagement de l’espace marin</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191RCG2040.7</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250 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4" w:space="0" w:color="auto"/>
              <w:bottom w:val="single" w:sz="4" w:space="0" w:color="auto"/>
              <w:right w:val="single" w:sz="4" w:space="0" w:color="auto"/>
            </w:tcBorders>
            <w:shd w:val="clear" w:color="000000" w:fill="CCC0DA"/>
            <w:vAlign w:val="bottom"/>
            <w:hideMark/>
          </w:tcPr>
          <w:p w:rsidR="00AA2B88" w:rsidRPr="00AC19A0" w:rsidRDefault="001C7BFF" w:rsidP="00D00D08">
            <w:pPr>
              <w:tabs>
                <w:tab w:val="clear" w:pos="567"/>
              </w:tabs>
              <w:snapToGrid/>
              <w:rPr>
                <w:rFonts w:cs="Arial"/>
                <w:b/>
                <w:bCs/>
                <w:snapToGrid/>
                <w:sz w:val="16"/>
                <w:szCs w:val="16"/>
                <w:lang w:val="fr-FR" w:eastAsia="fr-FR"/>
              </w:rPr>
            </w:pPr>
            <w:r w:rsidRPr="001C7BFF">
              <w:rPr>
                <w:rFonts w:cs="Arial"/>
                <w:b/>
                <w:bCs/>
                <w:snapToGrid/>
                <w:sz w:val="16"/>
                <w:szCs w:val="16"/>
                <w:lang w:val="fr-FR" w:eastAsia="fr-FR"/>
              </w:rPr>
              <w:t>Décennie des Nations Uni</w:t>
            </w:r>
            <w:r w:rsidR="00B85845">
              <w:rPr>
                <w:rFonts w:cs="Arial"/>
                <w:b/>
                <w:bCs/>
                <w:snapToGrid/>
                <w:sz w:val="16"/>
                <w:szCs w:val="16"/>
                <w:lang w:val="fr-FR" w:eastAsia="fr-FR"/>
              </w:rPr>
              <w:t>es pour les sciences océaniques</w:t>
            </w:r>
            <w:r w:rsidRPr="001C7BFF">
              <w:rPr>
                <w:rFonts w:cs="Arial"/>
                <w:b/>
                <w:bCs/>
                <w:snapToGrid/>
                <w:sz w:val="16"/>
                <w:szCs w:val="16"/>
                <w:lang w:val="fr-FR" w:eastAsia="fr-FR"/>
              </w:rPr>
              <w:t xml:space="preserve"> au service du développement durable</w:t>
            </w:r>
          </w:p>
        </w:tc>
        <w:tc>
          <w:tcPr>
            <w:tcW w:w="1720" w:type="dxa"/>
            <w:tcBorders>
              <w:top w:val="nil"/>
              <w:left w:val="nil"/>
              <w:bottom w:val="single" w:sz="4" w:space="0" w:color="auto"/>
              <w:right w:val="single" w:sz="4" w:space="0" w:color="auto"/>
            </w:tcBorders>
            <w:shd w:val="clear" w:color="000000" w:fill="CCC0DA"/>
            <w:noWrap/>
            <w:vAlign w:val="bottom"/>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193UND2040</w:t>
            </w:r>
          </w:p>
        </w:tc>
        <w:tc>
          <w:tcPr>
            <w:tcW w:w="1540" w:type="dxa"/>
            <w:tcBorders>
              <w:top w:val="nil"/>
              <w:left w:val="nil"/>
              <w:bottom w:val="single" w:sz="4" w:space="0" w:color="auto"/>
              <w:right w:val="single" w:sz="4" w:space="0" w:color="auto"/>
            </w:tcBorders>
            <w:shd w:val="clear" w:color="000000" w:fill="CCC0DA"/>
            <w:noWrap/>
            <w:vAlign w:val="bottom"/>
            <w:hideMark/>
          </w:tcPr>
          <w:p w:rsidR="00AA2B88" w:rsidRPr="00AC19A0" w:rsidRDefault="00AA2B88" w:rsidP="004A3D0E">
            <w:pPr>
              <w:tabs>
                <w:tab w:val="clear" w:pos="567"/>
              </w:tabs>
              <w:snapToGrid/>
              <w:jc w:val="right"/>
              <w:rPr>
                <w:rFonts w:cs="Arial"/>
                <w:b/>
                <w:bCs/>
                <w:snapToGrid/>
                <w:sz w:val="16"/>
                <w:szCs w:val="16"/>
                <w:lang w:val="fr-FR" w:eastAsia="fr-FR"/>
              </w:rPr>
            </w:pPr>
            <w:r w:rsidRPr="00AC19A0">
              <w:rPr>
                <w:rFonts w:cs="Arial"/>
                <w:b/>
                <w:bCs/>
                <w:snapToGrid/>
                <w:sz w:val="16"/>
                <w:szCs w:val="16"/>
                <w:lang w:val="fr-FR" w:eastAsia="fr-FR"/>
              </w:rPr>
              <w:t>500</w:t>
            </w:r>
            <w:r w:rsidR="004A3D0E">
              <w:rPr>
                <w:rFonts w:cs="Arial"/>
                <w:b/>
                <w:bCs/>
                <w:snapToGrid/>
                <w:sz w:val="16"/>
                <w:szCs w:val="16"/>
                <w:lang w:val="fr-FR" w:eastAsia="fr-FR"/>
              </w:rPr>
              <w:t> </w:t>
            </w:r>
            <w:r w:rsidRPr="00AC19A0">
              <w:rPr>
                <w:rFonts w:cs="Arial"/>
                <w:b/>
                <w:bCs/>
                <w:snapToGrid/>
                <w:sz w:val="16"/>
                <w:szCs w:val="16"/>
                <w:lang w:val="fr-FR" w:eastAsia="fr-FR"/>
              </w:rPr>
              <w:t>000</w:t>
            </w:r>
          </w:p>
        </w:tc>
      </w:tr>
      <w:tr w:rsidR="00AA2B88" w:rsidRPr="001F0928" w:rsidTr="00D00D08">
        <w:trPr>
          <w:trHeight w:val="240"/>
        </w:trPr>
        <w:tc>
          <w:tcPr>
            <w:tcW w:w="10080" w:type="dxa"/>
            <w:gridSpan w:val="3"/>
            <w:tcBorders>
              <w:top w:val="single" w:sz="4" w:space="0" w:color="auto"/>
              <w:left w:val="single" w:sz="8" w:space="0" w:color="auto"/>
              <w:bottom w:val="single" w:sz="4" w:space="0" w:color="auto"/>
              <w:right w:val="single" w:sz="8" w:space="0" w:color="000000"/>
            </w:tcBorders>
            <w:shd w:val="clear" w:color="000000" w:fill="FCD5B4"/>
            <w:vAlign w:val="center"/>
            <w:hideMark/>
          </w:tcPr>
          <w:p w:rsidR="00AA2B88" w:rsidRPr="00AC19A0" w:rsidRDefault="001C7BFF" w:rsidP="00D00D08">
            <w:pPr>
              <w:tabs>
                <w:tab w:val="clear" w:pos="567"/>
              </w:tabs>
              <w:snapToGrid/>
              <w:jc w:val="center"/>
              <w:rPr>
                <w:rFonts w:cs="Arial"/>
                <w:b/>
                <w:bCs/>
                <w:snapToGrid/>
                <w:sz w:val="16"/>
                <w:szCs w:val="16"/>
                <w:lang w:val="fr-FR" w:eastAsia="fr-FR"/>
              </w:rPr>
            </w:pPr>
            <w:r>
              <w:rPr>
                <w:rFonts w:cs="Arial"/>
                <w:b/>
                <w:bCs/>
                <w:snapToGrid/>
                <w:sz w:val="16"/>
                <w:szCs w:val="16"/>
                <w:lang w:val="fr-FR" w:eastAsia="fr-FR"/>
              </w:rPr>
              <w:t>Fonction F de la COI :</w:t>
            </w:r>
            <w:r w:rsidRPr="001C7BFF">
              <w:rPr>
                <w:rFonts w:cs="Arial"/>
                <w:b/>
                <w:bCs/>
                <w:snapToGrid/>
                <w:sz w:val="16"/>
                <w:szCs w:val="16"/>
                <w:lang w:val="fr-FR" w:eastAsia="fr-FR"/>
              </w:rPr>
              <w:t xml:space="preserve"> Développer les capacités institutionnelles dans toutes les fonctions susmentionnées, </w:t>
            </w:r>
            <w:r w:rsidR="004A3D0E">
              <w:rPr>
                <w:rFonts w:cs="Arial"/>
                <w:b/>
                <w:bCs/>
                <w:snapToGrid/>
                <w:sz w:val="16"/>
                <w:szCs w:val="16"/>
                <w:lang w:val="fr-FR" w:eastAsia="fr-FR"/>
              </w:rPr>
              <w:br/>
            </w:r>
            <w:r w:rsidRPr="001C7BFF">
              <w:rPr>
                <w:rFonts w:cs="Arial"/>
                <w:b/>
                <w:bCs/>
                <w:snapToGrid/>
                <w:sz w:val="16"/>
                <w:szCs w:val="16"/>
                <w:lang w:val="fr-FR" w:eastAsia="fr-FR"/>
              </w:rPr>
              <w:t>en tant que fonction transversale</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 </w:t>
            </w:r>
          </w:p>
        </w:tc>
        <w:tc>
          <w:tcPr>
            <w:tcW w:w="1720" w:type="dxa"/>
            <w:tcBorders>
              <w:top w:val="nil"/>
              <w:left w:val="nil"/>
              <w:bottom w:val="single" w:sz="4" w:space="0" w:color="auto"/>
              <w:right w:val="single" w:sz="4" w:space="0" w:color="auto"/>
            </w:tcBorders>
            <w:shd w:val="clear" w:color="000000" w:fill="FDE9D9"/>
            <w:vAlign w:val="center"/>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191ICD2040</w:t>
            </w:r>
          </w:p>
        </w:tc>
        <w:tc>
          <w:tcPr>
            <w:tcW w:w="1540" w:type="dxa"/>
            <w:tcBorders>
              <w:top w:val="nil"/>
              <w:left w:val="nil"/>
              <w:bottom w:val="single" w:sz="4" w:space="0" w:color="auto"/>
              <w:right w:val="single" w:sz="8" w:space="0" w:color="auto"/>
            </w:tcBorders>
            <w:shd w:val="clear" w:color="000000" w:fill="FDE9D9"/>
            <w:vAlign w:val="center"/>
            <w:hideMark/>
          </w:tcPr>
          <w:p w:rsidR="00AA2B88" w:rsidRPr="00AC19A0" w:rsidRDefault="004A3D0E" w:rsidP="004A3D0E">
            <w:pPr>
              <w:tabs>
                <w:tab w:val="clear" w:pos="567"/>
              </w:tabs>
              <w:snapToGrid/>
              <w:jc w:val="right"/>
              <w:rPr>
                <w:rFonts w:cs="Arial"/>
                <w:b/>
                <w:bCs/>
                <w:snapToGrid/>
                <w:sz w:val="16"/>
                <w:szCs w:val="16"/>
                <w:lang w:val="fr-FR" w:eastAsia="fr-FR"/>
              </w:rPr>
            </w:pPr>
            <w:r>
              <w:rPr>
                <w:rFonts w:cs="Arial"/>
                <w:b/>
                <w:bCs/>
                <w:snapToGrid/>
                <w:sz w:val="16"/>
                <w:szCs w:val="16"/>
                <w:lang w:val="fr-FR" w:eastAsia="fr-FR"/>
              </w:rPr>
              <w:t>1 </w:t>
            </w:r>
            <w:r w:rsidR="00AA2B88" w:rsidRPr="00AC19A0">
              <w:rPr>
                <w:rFonts w:cs="Arial"/>
                <w:b/>
                <w:bCs/>
                <w:snapToGrid/>
                <w:sz w:val="16"/>
                <w:szCs w:val="16"/>
                <w:lang w:val="fr-FR" w:eastAsia="fr-FR"/>
              </w:rPr>
              <w:t>065</w:t>
            </w:r>
            <w:r>
              <w:rPr>
                <w:rFonts w:cs="Arial"/>
                <w:b/>
                <w:bCs/>
                <w:snapToGrid/>
                <w:sz w:val="16"/>
                <w:szCs w:val="16"/>
                <w:lang w:val="fr-FR" w:eastAsia="fr-FR"/>
              </w:rPr>
              <w:t> </w:t>
            </w:r>
            <w:r w:rsidR="00AA2B88" w:rsidRPr="00AC19A0">
              <w:rPr>
                <w:rFonts w:cs="Arial"/>
                <w:b/>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1C7BFF" w:rsidP="00D00D08">
            <w:pPr>
              <w:tabs>
                <w:tab w:val="clear" w:pos="567"/>
              </w:tabs>
              <w:snapToGrid/>
              <w:rPr>
                <w:rFonts w:cs="Arial"/>
                <w:bCs/>
                <w:snapToGrid/>
                <w:sz w:val="16"/>
                <w:szCs w:val="16"/>
                <w:lang w:val="fr-FR" w:eastAsia="fr-FR"/>
              </w:rPr>
            </w:pPr>
            <w:r w:rsidRPr="001C7BFF">
              <w:rPr>
                <w:rFonts w:cs="Arial"/>
                <w:bCs/>
                <w:snapToGrid/>
                <w:sz w:val="16"/>
                <w:szCs w:val="16"/>
                <w:lang w:val="fr-FR" w:eastAsia="fr-FR"/>
              </w:rPr>
              <w:t>Développement des capacités, transfert des techniques marines et Rapport mondial sur les sciences océaniques</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191ICD2040.1</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400 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1C7BFF" w:rsidP="00D00D08">
            <w:pPr>
              <w:tabs>
                <w:tab w:val="clear" w:pos="567"/>
              </w:tabs>
              <w:snapToGrid/>
              <w:rPr>
                <w:rFonts w:cs="Arial"/>
                <w:bCs/>
                <w:snapToGrid/>
                <w:sz w:val="16"/>
                <w:szCs w:val="16"/>
                <w:lang w:val="fr-FR" w:eastAsia="fr-FR"/>
              </w:rPr>
            </w:pPr>
            <w:r w:rsidRPr="001C7BFF">
              <w:rPr>
                <w:rFonts w:cs="Arial"/>
                <w:bCs/>
                <w:snapToGrid/>
                <w:sz w:val="16"/>
                <w:szCs w:val="16"/>
                <w:lang w:val="fr-FR" w:eastAsia="fr-FR"/>
              </w:rPr>
              <w:t>Plans de travail pour le développement des capacités de l’IOCAFRICA</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191ICD2040.2</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1C7BFF" w:rsidP="00D00D08">
            <w:pPr>
              <w:tabs>
                <w:tab w:val="clear" w:pos="567"/>
              </w:tabs>
              <w:snapToGrid/>
              <w:rPr>
                <w:rFonts w:cs="Arial"/>
                <w:bCs/>
                <w:snapToGrid/>
                <w:sz w:val="16"/>
                <w:szCs w:val="16"/>
                <w:lang w:val="fr-FR" w:eastAsia="fr-FR"/>
              </w:rPr>
            </w:pPr>
            <w:r w:rsidRPr="001C7BFF">
              <w:rPr>
                <w:rFonts w:cs="Arial"/>
                <w:bCs/>
                <w:snapToGrid/>
                <w:sz w:val="16"/>
                <w:szCs w:val="16"/>
                <w:lang w:val="fr-FR" w:eastAsia="fr-FR"/>
              </w:rPr>
              <w:t>Plans de travail pour le développement des capacités de l’IOCARIBE</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191ICD2040.3</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1C7BFF" w:rsidP="00D00D08">
            <w:pPr>
              <w:tabs>
                <w:tab w:val="clear" w:pos="567"/>
              </w:tabs>
              <w:snapToGrid/>
              <w:rPr>
                <w:rFonts w:cs="Arial"/>
                <w:bCs/>
                <w:snapToGrid/>
                <w:sz w:val="16"/>
                <w:szCs w:val="16"/>
                <w:lang w:val="fr-FR" w:eastAsia="fr-FR"/>
              </w:rPr>
            </w:pPr>
            <w:r w:rsidRPr="001C7BFF">
              <w:rPr>
                <w:rFonts w:cs="Arial"/>
                <w:bCs/>
                <w:snapToGrid/>
                <w:sz w:val="16"/>
                <w:szCs w:val="16"/>
                <w:lang w:val="fr-FR" w:eastAsia="fr-FR"/>
              </w:rPr>
              <w:lastRenderedPageBreak/>
              <w:t>Plans de travail pour le développement des capacités de la WESTPAC</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191ICD2040.4</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250 </w:t>
            </w:r>
            <w:r w:rsidR="00AA2B88" w:rsidRPr="00AC19A0">
              <w:rPr>
                <w:rFonts w:cs="Arial"/>
                <w:bCs/>
                <w:snapToGrid/>
                <w:sz w:val="16"/>
                <w:szCs w:val="16"/>
                <w:lang w:val="fr-FR" w:eastAsia="fr-FR"/>
              </w:rPr>
              <w:t>000</w:t>
            </w:r>
          </w:p>
        </w:tc>
      </w:tr>
      <w:tr w:rsidR="00AA2B88" w:rsidRPr="00AC19A0" w:rsidTr="00D00D08">
        <w:trPr>
          <w:trHeight w:val="24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1C7BFF" w:rsidP="001C7BFF">
            <w:pPr>
              <w:tabs>
                <w:tab w:val="clear" w:pos="567"/>
              </w:tabs>
              <w:snapToGrid/>
              <w:rPr>
                <w:rFonts w:cs="Arial"/>
                <w:bCs/>
                <w:snapToGrid/>
                <w:sz w:val="16"/>
                <w:szCs w:val="16"/>
                <w:lang w:val="fr-FR" w:eastAsia="fr-FR"/>
              </w:rPr>
            </w:pPr>
            <w:r w:rsidRPr="001C7BFF">
              <w:rPr>
                <w:rFonts w:cs="Arial"/>
                <w:bCs/>
                <w:snapToGrid/>
                <w:sz w:val="16"/>
                <w:szCs w:val="16"/>
                <w:lang w:val="fr-FR" w:eastAsia="fr-FR"/>
              </w:rPr>
              <w:t xml:space="preserve">Plans de travail pour le développement des capacités de </w:t>
            </w:r>
            <w:r>
              <w:rPr>
                <w:rFonts w:cs="Arial"/>
                <w:bCs/>
                <w:snapToGrid/>
                <w:sz w:val="16"/>
                <w:szCs w:val="16"/>
                <w:lang w:val="fr-FR" w:eastAsia="fr-FR"/>
              </w:rPr>
              <w:t>l’</w:t>
            </w:r>
            <w:r w:rsidR="00AA2B88" w:rsidRPr="00AC19A0">
              <w:rPr>
                <w:rFonts w:cs="Arial"/>
                <w:bCs/>
                <w:snapToGrid/>
                <w:sz w:val="16"/>
                <w:szCs w:val="16"/>
                <w:lang w:val="fr-FR" w:eastAsia="fr-FR"/>
              </w:rPr>
              <w:t xml:space="preserve">IOCINDIO </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191ICD2040.5</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65 </w:t>
            </w:r>
            <w:r w:rsidR="00AA2B88" w:rsidRPr="00AC19A0">
              <w:rPr>
                <w:rFonts w:cs="Arial"/>
                <w:bCs/>
                <w:snapToGrid/>
                <w:sz w:val="16"/>
                <w:szCs w:val="16"/>
                <w:lang w:val="fr-FR" w:eastAsia="fr-FR"/>
              </w:rPr>
              <w:t>000</w:t>
            </w:r>
          </w:p>
        </w:tc>
      </w:tr>
      <w:tr w:rsidR="00AA2B88" w:rsidRPr="00AC19A0" w:rsidTr="00D00D08">
        <w:trPr>
          <w:trHeight w:val="255"/>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AA2B88" w:rsidRPr="00AC19A0" w:rsidRDefault="001C7BFF" w:rsidP="001C7BFF">
            <w:pPr>
              <w:tabs>
                <w:tab w:val="clear" w:pos="567"/>
              </w:tabs>
              <w:snapToGrid/>
              <w:rPr>
                <w:rFonts w:cs="Arial"/>
                <w:bCs/>
                <w:snapToGrid/>
                <w:sz w:val="16"/>
                <w:szCs w:val="16"/>
                <w:lang w:val="fr-FR" w:eastAsia="fr-FR"/>
              </w:rPr>
            </w:pPr>
            <w:r>
              <w:rPr>
                <w:rFonts w:cs="Arial"/>
                <w:bCs/>
                <w:snapToGrid/>
                <w:sz w:val="16"/>
                <w:szCs w:val="16"/>
                <w:lang w:val="fr-FR" w:eastAsia="fr-FR"/>
              </w:rPr>
              <w:t>Formation et éducation IODE/</w:t>
            </w:r>
            <w:r w:rsidR="00AA2B88" w:rsidRPr="00AC19A0">
              <w:rPr>
                <w:rFonts w:cs="Arial"/>
                <w:bCs/>
                <w:snapToGrid/>
                <w:sz w:val="16"/>
                <w:szCs w:val="16"/>
                <w:lang w:val="fr-FR" w:eastAsia="fr-FR"/>
              </w:rPr>
              <w:t xml:space="preserve">OBIS </w:t>
            </w:r>
          </w:p>
        </w:tc>
        <w:tc>
          <w:tcPr>
            <w:tcW w:w="1720" w:type="dxa"/>
            <w:tcBorders>
              <w:top w:val="nil"/>
              <w:left w:val="nil"/>
              <w:bottom w:val="single" w:sz="4"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Cs/>
                <w:snapToGrid/>
                <w:sz w:val="16"/>
                <w:szCs w:val="16"/>
                <w:lang w:val="fr-FR" w:eastAsia="fr-FR"/>
              </w:rPr>
            </w:pPr>
            <w:r w:rsidRPr="00AC19A0">
              <w:rPr>
                <w:rFonts w:cs="Arial"/>
                <w:bCs/>
                <w:snapToGrid/>
                <w:sz w:val="16"/>
                <w:szCs w:val="16"/>
                <w:lang w:val="fr-FR" w:eastAsia="fr-FR"/>
              </w:rPr>
              <w:t>191ICD2040.5</w:t>
            </w:r>
          </w:p>
        </w:tc>
        <w:tc>
          <w:tcPr>
            <w:tcW w:w="1540" w:type="dxa"/>
            <w:tcBorders>
              <w:top w:val="nil"/>
              <w:left w:val="nil"/>
              <w:bottom w:val="single" w:sz="4" w:space="0" w:color="auto"/>
              <w:right w:val="single" w:sz="8" w:space="0" w:color="auto"/>
            </w:tcBorders>
            <w:shd w:val="clear" w:color="auto" w:fill="auto"/>
            <w:noWrap/>
            <w:vAlign w:val="bottom"/>
            <w:hideMark/>
          </w:tcPr>
          <w:p w:rsidR="00AA2B88" w:rsidRPr="00AC19A0" w:rsidRDefault="004A3D0E" w:rsidP="00D00D08">
            <w:pPr>
              <w:tabs>
                <w:tab w:val="clear" w:pos="567"/>
              </w:tabs>
              <w:snapToGrid/>
              <w:jc w:val="right"/>
              <w:rPr>
                <w:rFonts w:cs="Arial"/>
                <w:bCs/>
                <w:snapToGrid/>
                <w:sz w:val="16"/>
                <w:szCs w:val="16"/>
                <w:lang w:val="fr-FR" w:eastAsia="fr-FR"/>
              </w:rPr>
            </w:pPr>
            <w:r>
              <w:rPr>
                <w:rFonts w:cs="Arial"/>
                <w:bCs/>
                <w:snapToGrid/>
                <w:sz w:val="16"/>
                <w:szCs w:val="16"/>
                <w:lang w:val="fr-FR" w:eastAsia="fr-FR"/>
              </w:rPr>
              <w:t>100 </w:t>
            </w:r>
            <w:r w:rsidR="00AA2B88" w:rsidRPr="00AC19A0">
              <w:rPr>
                <w:rFonts w:cs="Arial"/>
                <w:bCs/>
                <w:snapToGrid/>
                <w:sz w:val="16"/>
                <w:szCs w:val="16"/>
                <w:lang w:val="fr-FR" w:eastAsia="fr-FR"/>
              </w:rPr>
              <w:t>000</w:t>
            </w:r>
          </w:p>
        </w:tc>
      </w:tr>
      <w:tr w:rsidR="00AA2B88" w:rsidRPr="00AC19A0" w:rsidTr="00D00D08">
        <w:trPr>
          <w:trHeight w:val="255"/>
        </w:trPr>
        <w:tc>
          <w:tcPr>
            <w:tcW w:w="6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A2B88" w:rsidRPr="00AC19A0" w:rsidRDefault="00AA2B88" w:rsidP="00D00D08">
            <w:pPr>
              <w:tabs>
                <w:tab w:val="clear" w:pos="567"/>
              </w:tabs>
              <w:snapToGrid/>
              <w:rPr>
                <w:rFonts w:cs="Arial"/>
                <w:b/>
                <w:bCs/>
                <w:snapToGrid/>
                <w:sz w:val="16"/>
                <w:szCs w:val="16"/>
                <w:lang w:val="fr-FR" w:eastAsia="fr-FR"/>
              </w:rPr>
            </w:pPr>
            <w:r w:rsidRPr="00AC19A0">
              <w:rPr>
                <w:rFonts w:cs="Arial"/>
                <w:b/>
                <w:bCs/>
                <w:snapToGrid/>
                <w:sz w:val="16"/>
                <w:szCs w:val="16"/>
                <w:lang w:val="fr-FR" w:eastAsia="fr-FR"/>
              </w:rPr>
              <w:t>TOTAL</w:t>
            </w:r>
          </w:p>
        </w:tc>
        <w:tc>
          <w:tcPr>
            <w:tcW w:w="1720" w:type="dxa"/>
            <w:tcBorders>
              <w:top w:val="single" w:sz="8" w:space="0" w:color="auto"/>
              <w:left w:val="nil"/>
              <w:bottom w:val="single" w:sz="8" w:space="0" w:color="auto"/>
              <w:right w:val="single" w:sz="4" w:space="0" w:color="auto"/>
            </w:tcBorders>
            <w:shd w:val="clear" w:color="auto" w:fill="auto"/>
            <w:noWrap/>
            <w:vAlign w:val="bottom"/>
            <w:hideMark/>
          </w:tcPr>
          <w:p w:rsidR="00AA2B88" w:rsidRPr="00AC19A0" w:rsidRDefault="00AA2B88" w:rsidP="00D00D08">
            <w:pPr>
              <w:tabs>
                <w:tab w:val="clear" w:pos="567"/>
              </w:tabs>
              <w:snapToGrid/>
              <w:jc w:val="center"/>
              <w:rPr>
                <w:rFonts w:cs="Arial"/>
                <w:b/>
                <w:bCs/>
                <w:snapToGrid/>
                <w:sz w:val="16"/>
                <w:szCs w:val="16"/>
                <w:lang w:val="fr-FR" w:eastAsia="fr-FR"/>
              </w:rPr>
            </w:pPr>
            <w:r w:rsidRPr="00AC19A0">
              <w:rPr>
                <w:rFonts w:cs="Arial"/>
                <w:b/>
                <w:bCs/>
                <w:snapToGrid/>
                <w:sz w:val="16"/>
                <w:szCs w:val="16"/>
                <w:lang w:val="fr-FR" w:eastAsia="fr-FR"/>
              </w:rPr>
              <w:t> </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AA2B88" w:rsidRPr="00AC19A0" w:rsidRDefault="001F0928" w:rsidP="00D00D08">
            <w:pPr>
              <w:tabs>
                <w:tab w:val="clear" w:pos="567"/>
              </w:tabs>
              <w:snapToGrid/>
              <w:jc w:val="right"/>
              <w:rPr>
                <w:rFonts w:cs="Arial"/>
                <w:b/>
                <w:bCs/>
                <w:snapToGrid/>
                <w:sz w:val="16"/>
                <w:szCs w:val="16"/>
                <w:lang w:val="fr-FR" w:eastAsia="fr-FR"/>
              </w:rPr>
            </w:pPr>
            <w:r>
              <w:rPr>
                <w:rFonts w:cs="Arial"/>
                <w:b/>
                <w:bCs/>
                <w:snapToGrid/>
                <w:sz w:val="16"/>
                <w:szCs w:val="16"/>
                <w:lang w:val="fr-FR" w:eastAsia="fr-FR"/>
              </w:rPr>
              <w:t>7</w:t>
            </w:r>
            <w:bookmarkStart w:id="0" w:name="_GoBack"/>
            <w:bookmarkEnd w:id="0"/>
            <w:r>
              <w:rPr>
                <w:rFonts w:cs="Arial"/>
                <w:b/>
                <w:bCs/>
                <w:snapToGrid/>
                <w:sz w:val="16"/>
                <w:szCs w:val="16"/>
                <w:lang w:val="fr-FR" w:eastAsia="fr-FR"/>
              </w:rPr>
              <w:t> 965</w:t>
            </w:r>
            <w:r w:rsidR="004A3D0E">
              <w:rPr>
                <w:rFonts w:cs="Arial"/>
                <w:b/>
                <w:bCs/>
                <w:snapToGrid/>
                <w:sz w:val="16"/>
                <w:szCs w:val="16"/>
                <w:lang w:val="fr-FR" w:eastAsia="fr-FR"/>
              </w:rPr>
              <w:t> </w:t>
            </w:r>
            <w:r w:rsidR="00AA2B88" w:rsidRPr="00AC19A0">
              <w:rPr>
                <w:rFonts w:cs="Arial"/>
                <w:b/>
                <w:bCs/>
                <w:snapToGrid/>
                <w:sz w:val="16"/>
                <w:szCs w:val="16"/>
                <w:lang w:val="fr-FR" w:eastAsia="fr-FR"/>
              </w:rPr>
              <w:t>000</w:t>
            </w:r>
          </w:p>
        </w:tc>
      </w:tr>
    </w:tbl>
    <w:p w:rsidR="00AA2B88" w:rsidRDefault="00AA2B88" w:rsidP="001C7BFF">
      <w:pPr>
        <w:pStyle w:val="Header"/>
        <w:spacing w:after="240"/>
        <w:jc w:val="both"/>
        <w:rPr>
          <w:lang w:val="fr-FR"/>
        </w:rPr>
      </w:pPr>
    </w:p>
    <w:p w:rsidR="001C7BFF" w:rsidRPr="00AD1FC0" w:rsidRDefault="001C7BFF" w:rsidP="001C7BFF">
      <w:pPr>
        <w:pStyle w:val="Header"/>
        <w:spacing w:after="240"/>
        <w:jc w:val="both"/>
        <w:rPr>
          <w:lang w:val="fr-FR"/>
        </w:rPr>
      </w:pPr>
      <w:r>
        <w:rPr>
          <w:lang w:val="fr-FR"/>
        </w:rPr>
        <w:t xml:space="preserve">Les crédits proposés dans le tableau ci-dessus sont </w:t>
      </w:r>
      <w:r w:rsidR="00B85845">
        <w:rPr>
          <w:lang w:val="fr-FR"/>
        </w:rPr>
        <w:t>dans une large mesure</w:t>
      </w:r>
      <w:r>
        <w:rPr>
          <w:lang w:val="fr-FR"/>
        </w:rPr>
        <w:t xml:space="preserve"> similaires aux crédits approuvés pour l’exercice biennal 2018-2019 en cours </w:t>
      </w:r>
      <w:r w:rsidR="00B85845">
        <w:rPr>
          <w:lang w:val="fr-FR"/>
        </w:rPr>
        <w:t xml:space="preserve">qui figurent </w:t>
      </w:r>
      <w:r w:rsidR="004A3D0E">
        <w:rPr>
          <w:lang w:val="fr-FR"/>
        </w:rPr>
        <w:t>dans l’a</w:t>
      </w:r>
      <w:r>
        <w:rPr>
          <w:lang w:val="fr-FR"/>
        </w:rPr>
        <w:t>ppendice du document</w:t>
      </w:r>
      <w:r w:rsidR="00E61693">
        <w:rPr>
          <w:lang w:val="fr-FR"/>
        </w:rPr>
        <w:t xml:space="preserve"> </w:t>
      </w:r>
      <w:hyperlink r:id="rId14" w:history="1">
        <w:r w:rsidR="00E61693" w:rsidRPr="00B85845">
          <w:rPr>
            <w:rStyle w:val="Hyperlink"/>
            <w:lang w:val="fr-FR"/>
          </w:rPr>
          <w:t>IOC-XXIX/2 Annexe 5 Rev.2</w:t>
        </w:r>
      </w:hyperlink>
      <w:r w:rsidR="00E61693">
        <w:rPr>
          <w:lang w:val="fr-FR"/>
        </w:rPr>
        <w:t>, à l’exception du compte distinct qu’il est proposé de créer au titre de la Décennie des Nations Unies pour les sciences océaniques au service du d</w:t>
      </w:r>
      <w:r w:rsidR="00B85845">
        <w:rPr>
          <w:lang w:val="fr-FR"/>
        </w:rPr>
        <w:t>éveloppement durable</w:t>
      </w:r>
      <w:r w:rsidR="00E61693">
        <w:rPr>
          <w:lang w:val="fr-FR"/>
        </w:rPr>
        <w:t xml:space="preserve"> </w:t>
      </w:r>
      <w:r w:rsidR="00B85845">
        <w:rPr>
          <w:lang w:val="fr-FR"/>
        </w:rPr>
        <w:t xml:space="preserve">pour une plus grande </w:t>
      </w:r>
      <w:r w:rsidR="00E61693">
        <w:rPr>
          <w:lang w:val="fr-FR"/>
        </w:rPr>
        <w:t>efficacité opérationnelle.</w:t>
      </w:r>
    </w:p>
    <w:sectPr w:rsidR="001C7BFF" w:rsidRPr="00AD1FC0" w:rsidSect="004908B1">
      <w:headerReference w:type="even" r:id="rId15"/>
      <w:headerReference w:type="default" r:id="rId16"/>
      <w:headerReference w:type="first" r:id="rId17"/>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D3" w:rsidRDefault="004470D3">
      <w:r>
        <w:separator/>
      </w:r>
    </w:p>
  </w:endnote>
  <w:endnote w:type="continuationSeparator" w:id="0">
    <w:p w:rsidR="004470D3" w:rsidRDefault="0044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D3" w:rsidRDefault="004470D3">
      <w:r>
        <w:separator/>
      </w:r>
    </w:p>
  </w:footnote>
  <w:footnote w:type="continuationSeparator" w:id="0">
    <w:p w:rsidR="004470D3" w:rsidRDefault="004470D3">
      <w:r>
        <w:continuationSeparator/>
      </w:r>
    </w:p>
  </w:footnote>
  <w:footnote w:id="1">
    <w:p w:rsidR="004470D3" w:rsidRPr="001F064C" w:rsidRDefault="004470D3" w:rsidP="004A3D0E">
      <w:pPr>
        <w:pStyle w:val="FootnoteText"/>
        <w:jc w:val="both"/>
        <w:rPr>
          <w:lang w:val="fr-FR"/>
        </w:rPr>
      </w:pPr>
      <w:r w:rsidRPr="001F064C">
        <w:rPr>
          <w:rStyle w:val="FootnoteReference"/>
          <w:lang w:val="fr-FR"/>
        </w:rPr>
        <w:footnoteRef/>
      </w:r>
      <w:r w:rsidRPr="001F064C">
        <w:rPr>
          <w:lang w:val="fr-FR"/>
        </w:rPr>
        <w:t xml:space="preserve"> </w:t>
      </w:r>
      <w:r>
        <w:rPr>
          <w:lang w:val="fr-FR"/>
        </w:rPr>
        <w:tab/>
      </w:r>
      <w:r w:rsidRPr="001F064C">
        <w:rPr>
          <w:lang w:val="fr-FR"/>
        </w:rPr>
        <w:t xml:space="preserve">Les </w:t>
      </w:r>
      <w:r>
        <w:rPr>
          <w:lang w:val="fr-FR"/>
        </w:rPr>
        <w:t>cré</w:t>
      </w:r>
      <w:r w:rsidRPr="001F064C">
        <w:rPr>
          <w:lang w:val="fr-FR"/>
        </w:rPr>
        <w:t xml:space="preserve">dits qu’il est </w:t>
      </w:r>
      <w:r>
        <w:rPr>
          <w:lang w:val="fr-FR"/>
        </w:rPr>
        <w:t>proposé</w:t>
      </w:r>
      <w:r w:rsidRPr="001F064C">
        <w:rPr>
          <w:lang w:val="fr-FR"/>
        </w:rPr>
        <w:t xml:space="preserve"> d’inscrire au budget ordinaire</w:t>
      </w:r>
      <w:r>
        <w:rPr>
          <w:lang w:val="fr-FR"/>
        </w:rPr>
        <w:t xml:space="preserve"> pour tous les secteurs de programme, y compris la COI, sont les mêmes dans les scénarios de 518 M$ et de 523,6 M$.</w:t>
      </w:r>
    </w:p>
  </w:footnote>
  <w:footnote w:id="2">
    <w:p w:rsidR="004470D3" w:rsidRPr="00815B01" w:rsidRDefault="004470D3" w:rsidP="004A3D0E">
      <w:pPr>
        <w:pStyle w:val="FootnoteText"/>
        <w:jc w:val="both"/>
        <w:rPr>
          <w:lang w:val="fr-FR"/>
        </w:rPr>
      </w:pPr>
      <w:r>
        <w:rPr>
          <w:rStyle w:val="FootnoteReference"/>
        </w:rPr>
        <w:footnoteRef/>
      </w:r>
      <w:r w:rsidRPr="003A4BAD">
        <w:rPr>
          <w:lang w:val="fr-FR"/>
        </w:rPr>
        <w:t xml:space="preserve"> </w:t>
      </w:r>
      <w:r w:rsidRPr="003A4BAD">
        <w:rPr>
          <w:lang w:val="fr-FR"/>
        </w:rPr>
        <w:tab/>
      </w:r>
      <w:r w:rsidRPr="00815B01">
        <w:rPr>
          <w:lang w:val="fr-FR"/>
        </w:rPr>
        <w:t>Indicateurs de performance</w:t>
      </w:r>
      <w:r>
        <w:rPr>
          <w:lang w:val="fr-FR"/>
        </w:rPr>
        <w:t xml:space="preserve">, données initiales et cibles pour 2019 approuvés dans la </w:t>
      </w:r>
      <w:hyperlink r:id="rId1" w:history="1">
        <w:r w:rsidRPr="008578D0">
          <w:rPr>
            <w:rStyle w:val="Hyperlink"/>
            <w:lang w:val="fr-FR"/>
          </w:rPr>
          <w:t>résolution XXIX-2</w:t>
        </w:r>
      </w:hyperlink>
      <w:r>
        <w:rPr>
          <w:lang w:val="fr-FR"/>
        </w:rPr>
        <w:t>, document de référence IOC-XXIX/2 Annexe 5 Rev.2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D3" w:rsidRDefault="004470D3">
    <w:pPr>
      <w:pStyle w:val="Header"/>
      <w:rPr>
        <w:rStyle w:val="PageNumber"/>
        <w:sz w:val="20"/>
        <w:szCs w:val="20"/>
      </w:rPr>
    </w:pPr>
    <w:r w:rsidRPr="00A311D2">
      <w:rPr>
        <w:sz w:val="20"/>
        <w:szCs w:val="20"/>
      </w:rPr>
      <w:t>I</w:t>
    </w:r>
    <w:r w:rsidR="00A311D2" w:rsidRPr="00A311D2">
      <w:rPr>
        <w:sz w:val="20"/>
        <w:szCs w:val="20"/>
      </w:rPr>
      <w:t>OC-XXX/2 Annexe 9</w:t>
    </w:r>
    <w:r w:rsidR="00A311D2" w:rsidRPr="00A311D2">
      <w:rPr>
        <w:sz w:val="20"/>
        <w:szCs w:val="20"/>
      </w:rPr>
      <w:br/>
    </w:r>
    <w:r w:rsidRPr="00A311D2">
      <w:rPr>
        <w:sz w:val="20"/>
        <w:szCs w:val="20"/>
      </w:rPr>
      <w:t xml:space="preserve">page </w:t>
    </w:r>
    <w:r w:rsidRPr="00A311D2">
      <w:rPr>
        <w:rStyle w:val="PageNumber"/>
        <w:sz w:val="20"/>
        <w:szCs w:val="20"/>
      </w:rPr>
      <w:fldChar w:fldCharType="begin"/>
    </w:r>
    <w:r w:rsidRPr="00A311D2">
      <w:rPr>
        <w:rStyle w:val="PageNumber"/>
        <w:sz w:val="20"/>
        <w:szCs w:val="20"/>
      </w:rPr>
      <w:instrText xml:space="preserve"> PAGE </w:instrText>
    </w:r>
    <w:r w:rsidRPr="00A311D2">
      <w:rPr>
        <w:rStyle w:val="PageNumber"/>
        <w:sz w:val="20"/>
        <w:szCs w:val="20"/>
      </w:rPr>
      <w:fldChar w:fldCharType="separate"/>
    </w:r>
    <w:r w:rsidR="001F0928">
      <w:rPr>
        <w:rStyle w:val="PageNumber"/>
        <w:noProof/>
        <w:sz w:val="20"/>
        <w:szCs w:val="20"/>
      </w:rPr>
      <w:t>10</w:t>
    </w:r>
    <w:r w:rsidRPr="00A311D2">
      <w:rPr>
        <w:rStyle w:val="PageNumber"/>
        <w:sz w:val="20"/>
        <w:szCs w:val="20"/>
      </w:rPr>
      <w:fldChar w:fldCharType="end"/>
    </w:r>
  </w:p>
  <w:p w:rsidR="00A311D2" w:rsidRPr="00A311D2" w:rsidRDefault="00A311D2">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D2" w:rsidRPr="00A311D2" w:rsidRDefault="004470D3" w:rsidP="004908B1">
    <w:pPr>
      <w:pStyle w:val="Header"/>
      <w:jc w:val="right"/>
      <w:rPr>
        <w:sz w:val="20"/>
        <w:szCs w:val="20"/>
      </w:rPr>
    </w:pPr>
    <w:r w:rsidRPr="00A311D2">
      <w:rPr>
        <w:sz w:val="20"/>
        <w:szCs w:val="20"/>
      </w:rPr>
      <w:t>I</w:t>
    </w:r>
    <w:r w:rsidR="00A311D2" w:rsidRPr="00A311D2">
      <w:rPr>
        <w:sz w:val="20"/>
        <w:szCs w:val="20"/>
      </w:rPr>
      <w:t xml:space="preserve">OC-XXX/2 Annexe 9 </w:t>
    </w:r>
  </w:p>
  <w:p w:rsidR="004470D3" w:rsidRDefault="004470D3" w:rsidP="00A311D2">
    <w:pPr>
      <w:pStyle w:val="Header"/>
      <w:ind w:firstLine="7769"/>
      <w:rPr>
        <w:rStyle w:val="PageNumber"/>
        <w:sz w:val="20"/>
        <w:szCs w:val="20"/>
      </w:rPr>
    </w:pPr>
    <w:r w:rsidRPr="00A311D2">
      <w:rPr>
        <w:sz w:val="20"/>
        <w:szCs w:val="20"/>
      </w:rPr>
      <w:t xml:space="preserve">page </w:t>
    </w:r>
    <w:r w:rsidRPr="00A311D2">
      <w:rPr>
        <w:rStyle w:val="PageNumber"/>
        <w:sz w:val="20"/>
        <w:szCs w:val="20"/>
      </w:rPr>
      <w:fldChar w:fldCharType="begin"/>
    </w:r>
    <w:r w:rsidRPr="00A311D2">
      <w:rPr>
        <w:rStyle w:val="PageNumber"/>
        <w:sz w:val="20"/>
        <w:szCs w:val="20"/>
      </w:rPr>
      <w:instrText xml:space="preserve"> PAGE </w:instrText>
    </w:r>
    <w:r w:rsidRPr="00A311D2">
      <w:rPr>
        <w:rStyle w:val="PageNumber"/>
        <w:sz w:val="20"/>
        <w:szCs w:val="20"/>
      </w:rPr>
      <w:fldChar w:fldCharType="separate"/>
    </w:r>
    <w:r w:rsidR="001F0928">
      <w:rPr>
        <w:rStyle w:val="PageNumber"/>
        <w:noProof/>
        <w:sz w:val="20"/>
        <w:szCs w:val="20"/>
      </w:rPr>
      <w:t>9</w:t>
    </w:r>
    <w:r w:rsidRPr="00A311D2">
      <w:rPr>
        <w:rStyle w:val="PageNumber"/>
        <w:sz w:val="20"/>
        <w:szCs w:val="20"/>
      </w:rPr>
      <w:fldChar w:fldCharType="end"/>
    </w:r>
  </w:p>
  <w:p w:rsidR="00A311D2" w:rsidRPr="00A311D2" w:rsidRDefault="00A311D2" w:rsidP="00A311D2">
    <w:pPr>
      <w:pStyle w:val="Header"/>
      <w:ind w:firstLine="7769"/>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440" w:type="dxa"/>
      <w:tblInd w:w="-44" w:type="dxa"/>
      <w:tblCellMar>
        <w:left w:w="0" w:type="dxa"/>
        <w:right w:w="0" w:type="dxa"/>
      </w:tblCellMar>
      <w:tblLook w:val="0000" w:firstRow="0" w:lastRow="0" w:firstColumn="0" w:lastColumn="0" w:noHBand="0" w:noVBand="0"/>
    </w:tblPr>
    <w:tblGrid>
      <w:gridCol w:w="3562"/>
      <w:gridCol w:w="5121"/>
      <w:gridCol w:w="1757"/>
    </w:tblGrid>
    <w:tr w:rsidR="004470D3" w:rsidTr="003657C1">
      <w:trPr>
        <w:cantSplit/>
        <w:trHeight w:val="567"/>
      </w:trPr>
      <w:tc>
        <w:tcPr>
          <w:tcW w:w="3562" w:type="dxa"/>
          <w:tcBorders>
            <w:bottom w:val="nil"/>
          </w:tcBorders>
        </w:tcPr>
        <w:p w:rsidR="004470D3" w:rsidRDefault="004470D3" w:rsidP="00616336">
          <w:pPr>
            <w:pStyle w:val="Header"/>
            <w:rPr>
              <w:rFonts w:cs="Arial"/>
              <w:b/>
              <w:bCs/>
              <w:sz w:val="48"/>
              <w:szCs w:val="48"/>
            </w:rPr>
          </w:pPr>
          <w:r>
            <w:rPr>
              <w:b/>
              <w:bCs/>
              <w:sz w:val="32"/>
              <w:szCs w:val="32"/>
              <w:lang w:val="en-US"/>
            </w:rPr>
            <w:t xml:space="preserve">IOC-XXX/2 Annexe </w:t>
          </w:r>
          <w:r w:rsidR="00A311D2">
            <w:rPr>
              <w:b/>
              <w:bCs/>
              <w:sz w:val="32"/>
              <w:szCs w:val="32"/>
              <w:lang w:val="en-US"/>
            </w:rPr>
            <w:t>9</w:t>
          </w:r>
        </w:p>
      </w:tc>
      <w:tc>
        <w:tcPr>
          <w:tcW w:w="5121" w:type="dxa"/>
          <w:tcBorders>
            <w:bottom w:val="nil"/>
          </w:tcBorders>
          <w:vAlign w:val="bottom"/>
        </w:tcPr>
        <w:p w:rsidR="004470D3" w:rsidRDefault="004470D3" w:rsidP="00B951F1">
          <w:pPr>
            <w:pStyle w:val="Header"/>
            <w:rPr>
              <w:rFonts w:cs="Arial"/>
              <w:b/>
              <w:bCs/>
              <w:sz w:val="40"/>
              <w:szCs w:val="40"/>
            </w:rPr>
          </w:pPr>
        </w:p>
      </w:tc>
      <w:tc>
        <w:tcPr>
          <w:tcW w:w="1757" w:type="dxa"/>
          <w:tcBorders>
            <w:bottom w:val="nil"/>
          </w:tcBorders>
        </w:tcPr>
        <w:p w:rsidR="004470D3" w:rsidRDefault="001F0928" w:rsidP="00B951F1">
          <w:pPr>
            <w:pStyle w:val="Header"/>
            <w:ind w:left="681"/>
          </w:pPr>
          <w:r>
            <w:rPr>
              <w:noProof/>
              <w:snapToGrid/>
              <w:sz w:val="20"/>
              <w:lang w:val="en-US"/>
            </w:rPr>
            <w:object w:dxaOrig="1440" w:dyaOrig="1440">
              <v:group id="_x0000_s2061" style="position:absolute;left:0;text-align:left;margin-left:-3.6pt;margin-top:-11.25pt;width:147.4pt;height:145.45pt;z-index:251658240;mso-position-horizontal-relative:text;mso-position-vertical-relative:text" coordorigin="312,626" coordsize="2948,2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312;top:626;width:1603;height:2909">
                  <v:imagedata r:id="rId1" o:title=""/>
                </v:shape>
                <v:shape id="_x0000_s2063" type="#_x0000_t75" style="position:absolute;left:2180;top:667;width:1080;height:1054">
                  <v:imagedata r:id="rId2" o:title="IOC-noir ss txt -100mm"/>
                </v:shape>
              </v:group>
              <o:OLEObject Type="Embed" ProgID="MSPhotoEd.3" ShapeID="_x0000_s2062" DrawAspect="Content" ObjectID="_1620805993" r:id="rId3"/>
            </w:object>
          </w:r>
          <w:r w:rsidR="004470D3">
            <w:rPr>
              <w:noProof/>
              <w:snapToGrid/>
              <w:sz w:val="20"/>
              <w:lang w:val="en-US"/>
            </w:rPr>
            <mc:AlternateContent>
              <mc:Choice Requires="wps">
                <w:drawing>
                  <wp:anchor distT="0" distB="0" distL="114300" distR="114300" simplePos="0" relativeHeight="251657216" behindDoc="0" locked="0" layoutInCell="1" allowOverlap="1">
                    <wp:simplePos x="0" y="0"/>
                    <wp:positionH relativeFrom="column">
                      <wp:posOffset>-358140</wp:posOffset>
                    </wp:positionH>
                    <wp:positionV relativeFrom="paragraph">
                      <wp:posOffset>70485</wp:posOffset>
                    </wp:positionV>
                    <wp:extent cx="0" cy="0"/>
                    <wp:effectExtent l="13970" t="10795" r="5080" b="82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A6A5"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5.55pt" to="-28.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Tp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"/>
                </w:pict>
              </mc:Fallback>
            </mc:AlternateContent>
          </w:r>
        </w:p>
      </w:tc>
    </w:tr>
  </w:tbl>
  <w:p w:rsidR="004470D3" w:rsidRDefault="004470D3" w:rsidP="00B95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8B8"/>
    <w:multiLevelType w:val="singleLevel"/>
    <w:tmpl w:val="C7E4F886"/>
    <w:lvl w:ilvl="0">
      <w:numFmt w:val="bullet"/>
      <w:lvlText w:val="-"/>
      <w:lvlJc w:val="left"/>
      <w:pPr>
        <w:tabs>
          <w:tab w:val="num" w:pos="1069"/>
        </w:tabs>
        <w:ind w:left="1069" w:hanging="360"/>
      </w:pPr>
      <w:rPr>
        <w:rFonts w:hint="default"/>
      </w:rPr>
    </w:lvl>
  </w:abstractNum>
  <w:abstractNum w:abstractNumId="1" w15:restartNumberingAfterBreak="0">
    <w:nsid w:val="239B1C5D"/>
    <w:multiLevelType w:val="hybridMultilevel"/>
    <w:tmpl w:val="C65E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96E2C"/>
    <w:multiLevelType w:val="hybridMultilevel"/>
    <w:tmpl w:val="1844493C"/>
    <w:lvl w:ilvl="0" w:tplc="76FC0AF8">
      <w:start w:val="31"/>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33D70D57"/>
    <w:multiLevelType w:val="hybridMultilevel"/>
    <w:tmpl w:val="E5823CEC"/>
    <w:lvl w:ilvl="0" w:tplc="971808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C39A6"/>
    <w:multiLevelType w:val="hybridMultilevel"/>
    <w:tmpl w:val="A3522C1E"/>
    <w:lvl w:ilvl="0" w:tplc="1526945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3E1B4F33"/>
    <w:multiLevelType w:val="hybridMultilevel"/>
    <w:tmpl w:val="31B2F4A0"/>
    <w:lvl w:ilvl="0" w:tplc="79787F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04C64"/>
    <w:multiLevelType w:val="hybridMultilevel"/>
    <w:tmpl w:val="B67EAA9C"/>
    <w:lvl w:ilvl="0" w:tplc="FFFFFFFF">
      <w:start w:val="1"/>
      <w:numFmt w:val="decimal"/>
      <w:pStyle w:val="COI"/>
      <w:lvlText w:val="%1"/>
      <w:lvlJc w:val="left"/>
      <w:pPr>
        <w:tabs>
          <w:tab w:val="num" w:pos="0"/>
        </w:tabs>
        <w:ind w:left="0" w:hanging="709"/>
      </w:pPr>
      <w:rPr>
        <w:rFonts w:hint="default"/>
        <w:b w:val="0"/>
        <w:i/>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EAB4522"/>
    <w:multiLevelType w:val="hybridMultilevel"/>
    <w:tmpl w:val="CCE27E32"/>
    <w:lvl w:ilvl="0" w:tplc="FFFFFFFF">
      <w:start w:val="1"/>
      <w:numFmt w:val="lowerRoman"/>
      <w:lvlText w:val="(%1)"/>
      <w:lvlJc w:val="left"/>
      <w:pPr>
        <w:tabs>
          <w:tab w:val="num" w:pos="1287"/>
        </w:tabs>
        <w:ind w:left="1134" w:hanging="567"/>
      </w:pPr>
      <w:rPr>
        <w:rFonts w:hint="default"/>
      </w:rPr>
    </w:lvl>
    <w:lvl w:ilvl="1" w:tplc="FFFFFFFF">
      <w:start w:val="1"/>
      <w:numFmt w:val="lowerRoman"/>
      <w:lvlText w:val="(%2)"/>
      <w:lvlJc w:val="left"/>
      <w:pPr>
        <w:tabs>
          <w:tab w:val="num" w:pos="2367"/>
        </w:tabs>
        <w:ind w:left="2214" w:hanging="567"/>
      </w:pPr>
      <w:rPr>
        <w:rFonts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9" w15:restartNumberingAfterBreak="0">
    <w:nsid w:val="58CA138D"/>
    <w:multiLevelType w:val="hybridMultilevel"/>
    <w:tmpl w:val="95DC87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257DAF"/>
    <w:multiLevelType w:val="hybridMultilevel"/>
    <w:tmpl w:val="F6FCBD32"/>
    <w:lvl w:ilvl="0" w:tplc="040C000F">
      <w:start w:val="1"/>
      <w:numFmt w:val="decimal"/>
      <w:lvlText w:val="%1."/>
      <w:lvlJc w:val="left"/>
      <w:pPr>
        <w:ind w:left="24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F051EC7"/>
    <w:multiLevelType w:val="hybridMultilevel"/>
    <w:tmpl w:val="D04EE4B4"/>
    <w:lvl w:ilvl="0" w:tplc="486CEBE6">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9"/>
  </w:num>
  <w:num w:numId="23">
    <w:abstractNumId w:val="11"/>
  </w:num>
  <w:num w:numId="24">
    <w:abstractNumId w:val="5"/>
  </w:num>
  <w:num w:numId="25">
    <w:abstractNumId w:val="10"/>
  </w:num>
  <w:num w:numId="26">
    <w:abstractNumId w:val="4"/>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63"/>
    <w:rsid w:val="0000487B"/>
    <w:rsid w:val="000268BC"/>
    <w:rsid w:val="00032481"/>
    <w:rsid w:val="00055BBA"/>
    <w:rsid w:val="000703C3"/>
    <w:rsid w:val="0007687A"/>
    <w:rsid w:val="00097941"/>
    <w:rsid w:val="00097A1E"/>
    <w:rsid w:val="000B5513"/>
    <w:rsid w:val="000C4CE4"/>
    <w:rsid w:val="000D157D"/>
    <w:rsid w:val="000D1B28"/>
    <w:rsid w:val="00117168"/>
    <w:rsid w:val="0013410C"/>
    <w:rsid w:val="00146BFC"/>
    <w:rsid w:val="00157077"/>
    <w:rsid w:val="0016529C"/>
    <w:rsid w:val="0017240C"/>
    <w:rsid w:val="00177E7A"/>
    <w:rsid w:val="00194D38"/>
    <w:rsid w:val="00196A8B"/>
    <w:rsid w:val="00196BBD"/>
    <w:rsid w:val="001A75CA"/>
    <w:rsid w:val="001C7BFF"/>
    <w:rsid w:val="001E0BEB"/>
    <w:rsid w:val="001E25BD"/>
    <w:rsid w:val="001F01E9"/>
    <w:rsid w:val="001F064C"/>
    <w:rsid w:val="001F0928"/>
    <w:rsid w:val="00226E45"/>
    <w:rsid w:val="00230FEA"/>
    <w:rsid w:val="00234BC6"/>
    <w:rsid w:val="00254E4F"/>
    <w:rsid w:val="00263D8C"/>
    <w:rsid w:val="002641FC"/>
    <w:rsid w:val="00283749"/>
    <w:rsid w:val="00286BA6"/>
    <w:rsid w:val="002A3F3E"/>
    <w:rsid w:val="002A459A"/>
    <w:rsid w:val="002B5E3F"/>
    <w:rsid w:val="002D0B3A"/>
    <w:rsid w:val="002D553D"/>
    <w:rsid w:val="00313C03"/>
    <w:rsid w:val="00314DAE"/>
    <w:rsid w:val="00332725"/>
    <w:rsid w:val="003419AF"/>
    <w:rsid w:val="00356FE1"/>
    <w:rsid w:val="00362C30"/>
    <w:rsid w:val="003657C1"/>
    <w:rsid w:val="0036751F"/>
    <w:rsid w:val="003754D7"/>
    <w:rsid w:val="0038194B"/>
    <w:rsid w:val="003A4BAD"/>
    <w:rsid w:val="003A7492"/>
    <w:rsid w:val="003A7D95"/>
    <w:rsid w:val="003D242B"/>
    <w:rsid w:val="004104B8"/>
    <w:rsid w:val="00420FAD"/>
    <w:rsid w:val="00422A51"/>
    <w:rsid w:val="00424080"/>
    <w:rsid w:val="00424C82"/>
    <w:rsid w:val="00427275"/>
    <w:rsid w:val="004278E7"/>
    <w:rsid w:val="00441BA4"/>
    <w:rsid w:val="004470D3"/>
    <w:rsid w:val="00462A47"/>
    <w:rsid w:val="004678F7"/>
    <w:rsid w:val="0047294A"/>
    <w:rsid w:val="004866A5"/>
    <w:rsid w:val="004908B1"/>
    <w:rsid w:val="00493401"/>
    <w:rsid w:val="004A3D0E"/>
    <w:rsid w:val="004C0395"/>
    <w:rsid w:val="004E613A"/>
    <w:rsid w:val="004F1B4B"/>
    <w:rsid w:val="00501B48"/>
    <w:rsid w:val="00506E7A"/>
    <w:rsid w:val="0051386C"/>
    <w:rsid w:val="0052458C"/>
    <w:rsid w:val="00524D79"/>
    <w:rsid w:val="0053023E"/>
    <w:rsid w:val="00533F67"/>
    <w:rsid w:val="0055717B"/>
    <w:rsid w:val="00590744"/>
    <w:rsid w:val="00590DC8"/>
    <w:rsid w:val="0059449E"/>
    <w:rsid w:val="005B3AF0"/>
    <w:rsid w:val="005C0000"/>
    <w:rsid w:val="005D67FE"/>
    <w:rsid w:val="005E2339"/>
    <w:rsid w:val="00616336"/>
    <w:rsid w:val="00617424"/>
    <w:rsid w:val="00622874"/>
    <w:rsid w:val="00627E77"/>
    <w:rsid w:val="0065202D"/>
    <w:rsid w:val="00652DB4"/>
    <w:rsid w:val="00657A9A"/>
    <w:rsid w:val="00657D3C"/>
    <w:rsid w:val="00677AAE"/>
    <w:rsid w:val="006803BF"/>
    <w:rsid w:val="006945E8"/>
    <w:rsid w:val="006C3C55"/>
    <w:rsid w:val="006C69AE"/>
    <w:rsid w:val="006D2149"/>
    <w:rsid w:val="006E4415"/>
    <w:rsid w:val="006F3204"/>
    <w:rsid w:val="006F4ADE"/>
    <w:rsid w:val="007011F5"/>
    <w:rsid w:val="00717355"/>
    <w:rsid w:val="00720A81"/>
    <w:rsid w:val="0073237F"/>
    <w:rsid w:val="00733AD6"/>
    <w:rsid w:val="00737264"/>
    <w:rsid w:val="00744555"/>
    <w:rsid w:val="00766C42"/>
    <w:rsid w:val="007671C8"/>
    <w:rsid w:val="00791151"/>
    <w:rsid w:val="007B5200"/>
    <w:rsid w:val="007C0225"/>
    <w:rsid w:val="007C3273"/>
    <w:rsid w:val="007C590E"/>
    <w:rsid w:val="007D6280"/>
    <w:rsid w:val="007E6D90"/>
    <w:rsid w:val="007F0278"/>
    <w:rsid w:val="007F4CA6"/>
    <w:rsid w:val="007F748B"/>
    <w:rsid w:val="00800C12"/>
    <w:rsid w:val="008017E0"/>
    <w:rsid w:val="00810F44"/>
    <w:rsid w:val="00812839"/>
    <w:rsid w:val="00815B01"/>
    <w:rsid w:val="0082696E"/>
    <w:rsid w:val="00832BE8"/>
    <w:rsid w:val="008578D0"/>
    <w:rsid w:val="00864434"/>
    <w:rsid w:val="00873114"/>
    <w:rsid w:val="00884BF5"/>
    <w:rsid w:val="008863AE"/>
    <w:rsid w:val="008961DA"/>
    <w:rsid w:val="008A4247"/>
    <w:rsid w:val="008B0558"/>
    <w:rsid w:val="008B201C"/>
    <w:rsid w:val="008C7F2D"/>
    <w:rsid w:val="008D0952"/>
    <w:rsid w:val="008D5F08"/>
    <w:rsid w:val="008E1181"/>
    <w:rsid w:val="008E34D4"/>
    <w:rsid w:val="0091561F"/>
    <w:rsid w:val="00916E78"/>
    <w:rsid w:val="00930841"/>
    <w:rsid w:val="00936A49"/>
    <w:rsid w:val="00936AD0"/>
    <w:rsid w:val="009408FB"/>
    <w:rsid w:val="0095735D"/>
    <w:rsid w:val="0097476A"/>
    <w:rsid w:val="009869BA"/>
    <w:rsid w:val="009870E1"/>
    <w:rsid w:val="00987CD7"/>
    <w:rsid w:val="00994581"/>
    <w:rsid w:val="009A3FBF"/>
    <w:rsid w:val="009A6B68"/>
    <w:rsid w:val="009B0623"/>
    <w:rsid w:val="009B6448"/>
    <w:rsid w:val="009C0068"/>
    <w:rsid w:val="009C0456"/>
    <w:rsid w:val="009D656D"/>
    <w:rsid w:val="009E5DD1"/>
    <w:rsid w:val="009F71A5"/>
    <w:rsid w:val="00A2353A"/>
    <w:rsid w:val="00A245F8"/>
    <w:rsid w:val="00A311D2"/>
    <w:rsid w:val="00A320FF"/>
    <w:rsid w:val="00A33A9E"/>
    <w:rsid w:val="00A40B9F"/>
    <w:rsid w:val="00A4207A"/>
    <w:rsid w:val="00A526E1"/>
    <w:rsid w:val="00A65BBC"/>
    <w:rsid w:val="00A774DC"/>
    <w:rsid w:val="00A838EE"/>
    <w:rsid w:val="00A907C4"/>
    <w:rsid w:val="00A93609"/>
    <w:rsid w:val="00A93D47"/>
    <w:rsid w:val="00AA2B88"/>
    <w:rsid w:val="00AC19A0"/>
    <w:rsid w:val="00AD18BF"/>
    <w:rsid w:val="00AD1FC0"/>
    <w:rsid w:val="00AD4960"/>
    <w:rsid w:val="00AD5A3D"/>
    <w:rsid w:val="00B243E9"/>
    <w:rsid w:val="00B3716E"/>
    <w:rsid w:val="00B77CEC"/>
    <w:rsid w:val="00B85845"/>
    <w:rsid w:val="00B927C9"/>
    <w:rsid w:val="00B951F1"/>
    <w:rsid w:val="00BB7AEB"/>
    <w:rsid w:val="00BD04DE"/>
    <w:rsid w:val="00BD7003"/>
    <w:rsid w:val="00BD70BE"/>
    <w:rsid w:val="00BE0094"/>
    <w:rsid w:val="00BF1FC1"/>
    <w:rsid w:val="00BF21D0"/>
    <w:rsid w:val="00C07846"/>
    <w:rsid w:val="00C20AB5"/>
    <w:rsid w:val="00C21554"/>
    <w:rsid w:val="00C2291D"/>
    <w:rsid w:val="00C24391"/>
    <w:rsid w:val="00C32DF5"/>
    <w:rsid w:val="00C36417"/>
    <w:rsid w:val="00C4700C"/>
    <w:rsid w:val="00C53095"/>
    <w:rsid w:val="00C56FCA"/>
    <w:rsid w:val="00C60141"/>
    <w:rsid w:val="00C909B8"/>
    <w:rsid w:val="00C96A8C"/>
    <w:rsid w:val="00CB08F7"/>
    <w:rsid w:val="00CC2594"/>
    <w:rsid w:val="00CC6D6E"/>
    <w:rsid w:val="00CD6857"/>
    <w:rsid w:val="00CE67A6"/>
    <w:rsid w:val="00CF05C0"/>
    <w:rsid w:val="00D00D08"/>
    <w:rsid w:val="00D04B56"/>
    <w:rsid w:val="00D15C82"/>
    <w:rsid w:val="00D2352F"/>
    <w:rsid w:val="00D3387D"/>
    <w:rsid w:val="00D4358E"/>
    <w:rsid w:val="00D57CE8"/>
    <w:rsid w:val="00D612E5"/>
    <w:rsid w:val="00D6741A"/>
    <w:rsid w:val="00DA7724"/>
    <w:rsid w:val="00DB5C4E"/>
    <w:rsid w:val="00DC16C4"/>
    <w:rsid w:val="00DC605A"/>
    <w:rsid w:val="00DE4463"/>
    <w:rsid w:val="00E26BF0"/>
    <w:rsid w:val="00E27436"/>
    <w:rsid w:val="00E36E60"/>
    <w:rsid w:val="00E55E79"/>
    <w:rsid w:val="00E569B1"/>
    <w:rsid w:val="00E61693"/>
    <w:rsid w:val="00E867F6"/>
    <w:rsid w:val="00EC6D38"/>
    <w:rsid w:val="00EE0AA9"/>
    <w:rsid w:val="00EE2B7A"/>
    <w:rsid w:val="00EE621B"/>
    <w:rsid w:val="00EF6525"/>
    <w:rsid w:val="00F139DA"/>
    <w:rsid w:val="00F26BF6"/>
    <w:rsid w:val="00F30E76"/>
    <w:rsid w:val="00F32467"/>
    <w:rsid w:val="00F373F0"/>
    <w:rsid w:val="00F51E68"/>
    <w:rsid w:val="00F6694A"/>
    <w:rsid w:val="00F74CDB"/>
    <w:rsid w:val="00F76A1D"/>
    <w:rsid w:val="00F80909"/>
    <w:rsid w:val="00F87F22"/>
    <w:rsid w:val="00FA2E7A"/>
    <w:rsid w:val="00FB1A0B"/>
    <w:rsid w:val="00FB1C70"/>
    <w:rsid w:val="00FB7C47"/>
    <w:rsid w:val="00FC7654"/>
    <w:rsid w:val="00FD23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047865C1"/>
  <w15:chartTrackingRefBased/>
  <w15:docId w15:val="{1E869B7E-DF77-41F1-9D72-122B17AE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rFonts w:ascii="Arial" w:hAnsi="Arial"/>
      <w:snapToGrid w:val="0"/>
      <w:sz w:val="22"/>
      <w:szCs w:val="24"/>
      <w:lang w:val="en-GB" w:eastAsia="zh-CN"/>
    </w:rPr>
  </w:style>
  <w:style w:type="paragraph" w:styleId="Heading1">
    <w:name w:val="heading 1"/>
    <w:basedOn w:val="Normal"/>
    <w:next w:val="Marge"/>
    <w:link w:val="Heading1Char"/>
    <w:uiPriority w:val="9"/>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rsid w:val="00720A81"/>
    <w:pPr>
      <w:keepNext/>
      <w:keepLines/>
      <w:spacing w:after="240"/>
      <w:ind w:left="567" w:hanging="567"/>
      <w:outlineLvl w:val="1"/>
    </w:pPr>
    <w:rPr>
      <w:rFonts w:eastAsia="Times New Roman"/>
      <w:b/>
      <w:bCs/>
      <w:caps/>
      <w:lang w:val="fr-FR"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rPr>
  </w:style>
  <w:style w:type="paragraph" w:styleId="Heading8">
    <w:name w:val="heading 8"/>
    <w:basedOn w:val="Normal"/>
    <w:next w:val="Normal"/>
    <w:qFormat/>
    <w:pPr>
      <w:keepNext/>
      <w:ind w:left="150" w:hanging="150"/>
      <w:outlineLvl w:val="7"/>
    </w:pPr>
    <w:rPr>
      <w:rFonts w:cs="Arial"/>
      <w:b/>
      <w:bCs/>
      <w:color w:val="0000FF"/>
      <w:sz w:val="14"/>
      <w:szCs w:val="1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qFormat/>
    <w:pPr>
      <w:ind w:firstLine="0"/>
    </w:pPr>
    <w:rPr>
      <w:rFonts w:cs="Arial"/>
      <w:szCs w:val="22"/>
      <w:lang w:val="fr-FR"/>
    </w:r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NormalWeb">
    <w:name w:val="Normal (Web)"/>
    <w:basedOn w:val="Normal"/>
    <w:pPr>
      <w:tabs>
        <w:tab w:val="clear" w:pos="567"/>
      </w:tabs>
      <w:snapToGrid/>
      <w:spacing w:before="100" w:beforeAutospacing="1" w:after="100" w:afterAutospacing="1"/>
    </w:pPr>
    <w:rPr>
      <w:rFonts w:ascii="Arial Unicode MS" w:eastAsia="Arial Unicode MS" w:hAnsi="Arial Unicode MS" w:cs="Arial Unicode MS"/>
      <w:snapToGrid/>
      <w:lang w:eastAsia="fr-FR"/>
    </w:rPr>
  </w:style>
  <w:style w:type="character" w:styleId="Hyperlink">
    <w:name w:val="Hyperlink"/>
    <w:rPr>
      <w:color w:val="0000FF"/>
      <w:u w:val="single"/>
    </w:rPr>
  </w:style>
  <w:style w:type="paragraph" w:styleId="BodyText2">
    <w:name w:val="Body Text 2"/>
    <w:basedOn w:val="Normal"/>
    <w:rPr>
      <w:rFonts w:cs="Arial"/>
      <w:color w:val="0000FF"/>
      <w:sz w:val="14"/>
      <w:szCs w:val="14"/>
    </w:rPr>
  </w:style>
  <w:style w:type="paragraph" w:styleId="BalloonText">
    <w:name w:val="Balloon Text"/>
    <w:basedOn w:val="Normal"/>
    <w:semiHidden/>
    <w:rPr>
      <w:rFonts w:ascii="Tahoma" w:hAnsi="Tahoma" w:cs="Tahoma"/>
      <w:sz w:val="16"/>
      <w:szCs w:val="16"/>
    </w:rPr>
  </w:style>
  <w:style w:type="paragraph" w:customStyle="1" w:styleId="COI">
    <w:name w:val="COI"/>
    <w:basedOn w:val="Marge"/>
    <w:pPr>
      <w:numPr>
        <w:numId w:val="3"/>
      </w:numPr>
      <w:tabs>
        <w:tab w:val="clear" w:pos="567"/>
        <w:tab w:val="left" w:pos="709"/>
      </w:tabs>
    </w:pPr>
    <w:rPr>
      <w:rFonts w:ascii="Times New Roman" w:hAnsi="Times New Roman" w:cs="Times New Roman"/>
      <w:sz w:val="24"/>
      <w:szCs w:val="24"/>
    </w:rPr>
  </w:style>
  <w:style w:type="paragraph" w:customStyle="1" w:styleId="-tiret-">
    <w:name w:val="-tiret-"/>
    <w:basedOn w:val="alina"/>
    <w:pPr>
      <w:tabs>
        <w:tab w:val="clear" w:pos="567"/>
      </w:tabs>
      <w:ind w:left="993" w:hanging="284"/>
    </w:pPr>
    <w:rPr>
      <w:rFonts w:ascii="Times New Roman" w:hAnsi="Times New Roman"/>
      <w:sz w:val="24"/>
    </w:rPr>
  </w:style>
  <w:style w:type="character" w:styleId="FollowedHyperlink">
    <w:name w:val="FollowedHyperlink"/>
    <w:rPr>
      <w:color w:val="800080"/>
      <w:u w:val="single"/>
    </w:rPr>
  </w:style>
  <w:style w:type="paragraph" w:customStyle="1" w:styleId="d">
    <w:name w:val="(d)"/>
    <w:basedOn w:val="Normal"/>
    <w:pPr>
      <w:tabs>
        <w:tab w:val="clear" w:pos="567"/>
      </w:tabs>
      <w:spacing w:after="240"/>
      <w:ind w:left="2576" w:hanging="875"/>
      <w:jc w:val="both"/>
    </w:pPr>
    <w:rPr>
      <w:rFonts w:cs="Arial"/>
      <w:szCs w:val="22"/>
      <w:lang w:val="fr-FR"/>
    </w:rPr>
  </w:style>
  <w:style w:type="paragraph" w:styleId="BodyTextIndent">
    <w:name w:val="Body Text Indent"/>
    <w:basedOn w:val="Normal"/>
    <w:link w:val="BodyTextIndentChar"/>
    <w:rsid w:val="00DC605A"/>
    <w:pPr>
      <w:spacing w:after="120"/>
      <w:ind w:left="283"/>
    </w:pPr>
  </w:style>
  <w:style w:type="character" w:customStyle="1" w:styleId="BodyTextIndentChar">
    <w:name w:val="Body Text Indent Char"/>
    <w:link w:val="BodyTextIndent"/>
    <w:rsid w:val="00DC605A"/>
    <w:rPr>
      <w:rFonts w:ascii="Arial" w:hAnsi="Arial"/>
      <w:snapToGrid w:val="0"/>
      <w:sz w:val="22"/>
      <w:szCs w:val="24"/>
      <w:lang w:val="en-GB"/>
    </w:rPr>
  </w:style>
  <w:style w:type="table" w:styleId="TableGrid">
    <w:name w:val="Table Grid"/>
    <w:basedOn w:val="TableNormal"/>
    <w:rsid w:val="00F8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har">
    <w:name w:val="Marge Char"/>
    <w:link w:val="Marge"/>
    <w:rsid w:val="00EE2B7A"/>
    <w:rPr>
      <w:rFonts w:ascii="Arial" w:eastAsia="Times New Roman" w:hAnsi="Arial" w:cs="Arial"/>
      <w:snapToGrid w:val="0"/>
      <w:sz w:val="22"/>
      <w:szCs w:val="22"/>
      <w:lang w:eastAsia="en-US"/>
    </w:rPr>
  </w:style>
  <w:style w:type="character" w:customStyle="1" w:styleId="Heading1Char">
    <w:name w:val="Heading 1 Char"/>
    <w:link w:val="Heading1"/>
    <w:uiPriority w:val="9"/>
    <w:rsid w:val="00EE2B7A"/>
    <w:rPr>
      <w:rFonts w:ascii="Arial" w:eastAsia="Times New Roman" w:hAnsi="Arial"/>
      <w:b/>
      <w:bCs/>
      <w:snapToGrid w:val="0"/>
      <w:kern w:val="28"/>
      <w:sz w:val="22"/>
      <w:szCs w:val="24"/>
      <w:lang w:val="en-GB" w:eastAsia="en-US"/>
    </w:rPr>
  </w:style>
  <w:style w:type="character" w:customStyle="1" w:styleId="HeaderChar">
    <w:name w:val="Header Char"/>
    <w:link w:val="Header"/>
    <w:uiPriority w:val="99"/>
    <w:rsid w:val="00441BA4"/>
    <w:rPr>
      <w:rFonts w:ascii="Arial" w:eastAsia="Times New Roman" w:hAnsi="Arial"/>
      <w:snapToGrid w:val="0"/>
      <w:sz w:val="22"/>
      <w:szCs w:val="24"/>
      <w:lang w:val="en-GB" w:eastAsia="en-US"/>
    </w:rPr>
  </w:style>
  <w:style w:type="character" w:styleId="CommentReference">
    <w:name w:val="annotation reference"/>
    <w:uiPriority w:val="99"/>
    <w:rsid w:val="000D1B28"/>
    <w:rPr>
      <w:sz w:val="16"/>
      <w:szCs w:val="16"/>
    </w:rPr>
  </w:style>
  <w:style w:type="paragraph" w:styleId="CommentText">
    <w:name w:val="annotation text"/>
    <w:basedOn w:val="Normal"/>
    <w:link w:val="CommentTextChar"/>
    <w:uiPriority w:val="99"/>
    <w:rsid w:val="000D1B28"/>
    <w:pPr>
      <w:widowControl w:val="0"/>
      <w:adjustRightInd w:val="0"/>
      <w:spacing w:line="360" w:lineRule="atLeast"/>
      <w:jc w:val="both"/>
      <w:textAlignment w:val="baseline"/>
    </w:pPr>
    <w:rPr>
      <w:rFonts w:eastAsia="Times New Roman"/>
      <w:sz w:val="20"/>
      <w:szCs w:val="20"/>
      <w:lang w:val="x-none" w:eastAsia="en-US"/>
    </w:rPr>
  </w:style>
  <w:style w:type="character" w:customStyle="1" w:styleId="CommentTextChar">
    <w:name w:val="Comment Text Char"/>
    <w:basedOn w:val="DefaultParagraphFont"/>
    <w:link w:val="CommentText"/>
    <w:uiPriority w:val="99"/>
    <w:rsid w:val="000D1B28"/>
    <w:rPr>
      <w:rFonts w:ascii="Arial" w:eastAsia="Times New Roman" w:hAnsi="Arial"/>
      <w:snapToGrid w:val="0"/>
      <w:lang w:val="x-none" w:eastAsia="en-US"/>
    </w:rPr>
  </w:style>
  <w:style w:type="paragraph" w:styleId="CommentSubject">
    <w:name w:val="annotation subject"/>
    <w:basedOn w:val="CommentText"/>
    <w:next w:val="CommentText"/>
    <w:link w:val="CommentSubjectChar"/>
    <w:rsid w:val="00F6694A"/>
    <w:pPr>
      <w:widowControl/>
      <w:adjustRightInd/>
      <w:spacing w:line="240" w:lineRule="auto"/>
      <w:jc w:val="left"/>
      <w:textAlignment w:val="auto"/>
    </w:pPr>
    <w:rPr>
      <w:rFonts w:eastAsia="SimSun"/>
      <w:b/>
      <w:bCs/>
      <w:lang w:val="en-GB" w:eastAsia="zh-CN"/>
    </w:rPr>
  </w:style>
  <w:style w:type="character" w:customStyle="1" w:styleId="CommentSubjectChar">
    <w:name w:val="Comment Subject Char"/>
    <w:basedOn w:val="CommentTextChar"/>
    <w:link w:val="CommentSubject"/>
    <w:rsid w:val="00F6694A"/>
    <w:rPr>
      <w:rFonts w:ascii="Arial" w:eastAsia="Times New Roman" w:hAnsi="Arial"/>
      <w:b/>
      <w:bCs/>
      <w:snapToGrid w:val="0"/>
      <w:lang w:val="en-GB" w:eastAsia="zh-CN"/>
    </w:rPr>
  </w:style>
  <w:style w:type="paragraph" w:styleId="Revision">
    <w:name w:val="Revision"/>
    <w:hidden/>
    <w:uiPriority w:val="99"/>
    <w:semiHidden/>
    <w:rsid w:val="00F6694A"/>
    <w:rPr>
      <w:rFonts w:ascii="Arial" w:hAnsi="Arial"/>
      <w:snapToGrid w:val="0"/>
      <w:sz w:val="22"/>
      <w:szCs w:val="24"/>
      <w:lang w:val="en-GB" w:eastAsia="zh-CN"/>
    </w:rPr>
  </w:style>
  <w:style w:type="paragraph" w:styleId="ListParagraph">
    <w:name w:val="List Paragraph"/>
    <w:basedOn w:val="Normal"/>
    <w:uiPriority w:val="34"/>
    <w:qFormat/>
    <w:rsid w:val="00C60141"/>
    <w:pPr>
      <w:widowControl w:val="0"/>
      <w:adjustRightInd w:val="0"/>
      <w:spacing w:line="360" w:lineRule="atLeast"/>
      <w:ind w:left="720"/>
      <w:contextualSpacing/>
      <w:jc w:val="both"/>
      <w:textAlignment w:val="baseline"/>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61619">
      <w:bodyDiv w:val="1"/>
      <w:marLeft w:val="0"/>
      <w:marRight w:val="0"/>
      <w:marTop w:val="0"/>
      <w:marBottom w:val="0"/>
      <w:divBdr>
        <w:top w:val="none" w:sz="0" w:space="0" w:color="auto"/>
        <w:left w:val="none" w:sz="0" w:space="0" w:color="auto"/>
        <w:bottom w:val="none" w:sz="0" w:space="0" w:color="auto"/>
        <w:right w:val="none" w:sz="0" w:space="0" w:color="auto"/>
      </w:divBdr>
      <w:divsChild>
        <w:div w:id="1810171104">
          <w:marLeft w:val="0"/>
          <w:marRight w:val="0"/>
          <w:marTop w:val="15"/>
          <w:marBottom w:val="0"/>
          <w:divBdr>
            <w:top w:val="none" w:sz="0" w:space="0" w:color="auto"/>
            <w:left w:val="none" w:sz="0" w:space="0" w:color="auto"/>
            <w:bottom w:val="none" w:sz="0" w:space="0" w:color="auto"/>
            <w:right w:val="none" w:sz="0" w:space="0" w:color="auto"/>
          </w:divBdr>
          <w:divsChild>
            <w:div w:id="8171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67155_fre"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c-unesco.org/index.php?option=com_oe&amp;task=viewDocumentRecord&amp;docID=195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221456_f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esdoc.unesco.org/ark:/48223/pf0000220031_f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oc-unesco.org/index.php?option=com_oe&amp;task=viewDocumentRecord&amp;docID=13094" TargetMode="External"/><Relationship Id="rId14" Type="http://schemas.openxmlformats.org/officeDocument/2006/relationships/hyperlink" Target="http://www.ioc-unesco.org/index.php?option=com_oe&amp;task=viewDocumentRecord&amp;docID=195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oc-unesco.org/index.php?option=com_oe&amp;task=viewDocumentRecord&amp;docID=19662"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_sayegh-herbelin\Local%20Settings\Temporary%20Internet%20Files\OLK3\IOC%20headed%20paper.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_masseau\Downloads\1905825_fichier%20sourc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Sheet1!$D$19</c:f>
              <c:strCache>
                <c:ptCount val="1"/>
                <c:pt idx="0">
                  <c:v>Budget ordinaire</c:v>
                </c:pt>
              </c:strCache>
            </c:strRef>
          </c:tx>
          <c:spPr>
            <a:solidFill>
              <a:srgbClr val="002060"/>
            </a:solidFill>
            <a:ln>
              <a:noFill/>
            </a:ln>
            <a:effectLst/>
          </c:spPr>
          <c:invertIfNegative val="0"/>
          <c:cat>
            <c:multiLvlStrRef>
              <c:f>Sheet1!$E$17:$H$18</c:f>
              <c:multiLvlStrCache>
                <c:ptCount val="4"/>
                <c:lvl>
                  <c:pt idx="0">
                    <c:v>518 M$</c:v>
                  </c:pt>
                  <c:pt idx="1">
                    <c:v>507 M$</c:v>
                  </c:pt>
                  <c:pt idx="2">
                    <c:v>518/523,6 M$</c:v>
                  </c:pt>
                  <c:pt idx="3">
                    <c:v>534,6 M$</c:v>
                  </c:pt>
                </c:lvl>
                <c:lvl>
                  <c:pt idx="0">
                    <c:v>39 C/5</c:v>
                  </c:pt>
                  <c:pt idx="1">
                    <c:v>Projet de 40 C/5</c:v>
                  </c:pt>
                </c:lvl>
              </c:multiLvlStrCache>
            </c:multiLvlStrRef>
          </c:cat>
          <c:val>
            <c:numRef>
              <c:f>Sheet1!$E$19:$H$19</c:f>
              <c:numCache>
                <c:formatCode>#,##0</c:formatCode>
                <c:ptCount val="4"/>
                <c:pt idx="0">
                  <c:v>10681300</c:v>
                </c:pt>
                <c:pt idx="1">
                  <c:v>10276100</c:v>
                </c:pt>
                <c:pt idx="2">
                  <c:v>10776100</c:v>
                </c:pt>
                <c:pt idx="3">
                  <c:v>11075500</c:v>
                </c:pt>
              </c:numCache>
            </c:numRef>
          </c:val>
          <c:extLst>
            <c:ext xmlns:c16="http://schemas.microsoft.com/office/drawing/2014/chart" uri="{C3380CC4-5D6E-409C-BE32-E72D297353CC}">
              <c16:uniqueId val="{00000000-62D3-46D1-8FBC-F1B14586ACF1}"/>
            </c:ext>
          </c:extLst>
        </c:ser>
        <c:ser>
          <c:idx val="1"/>
          <c:order val="1"/>
          <c:tx>
            <c:strRef>
              <c:f>Sheet1!$D$20</c:f>
              <c:strCache>
                <c:ptCount val="1"/>
                <c:pt idx="0">
                  <c:v>Fonds extrabudg. reçus</c:v>
                </c:pt>
              </c:strCache>
            </c:strRef>
          </c:tx>
          <c:spPr>
            <a:solidFill>
              <a:schemeClr val="accent1">
                <a:lumMod val="60000"/>
                <a:lumOff val="40000"/>
              </a:schemeClr>
            </a:solidFill>
            <a:ln>
              <a:noFill/>
            </a:ln>
            <a:effectLst/>
          </c:spPr>
          <c:invertIfNegative val="0"/>
          <c:cat>
            <c:multiLvlStrRef>
              <c:f>Sheet1!$E$17:$H$18</c:f>
              <c:multiLvlStrCache>
                <c:ptCount val="4"/>
                <c:lvl>
                  <c:pt idx="0">
                    <c:v>518 M$</c:v>
                  </c:pt>
                  <c:pt idx="1">
                    <c:v>507 M$</c:v>
                  </c:pt>
                  <c:pt idx="2">
                    <c:v>518/523,6 M$</c:v>
                  </c:pt>
                  <c:pt idx="3">
                    <c:v>534,6 M$</c:v>
                  </c:pt>
                </c:lvl>
                <c:lvl>
                  <c:pt idx="0">
                    <c:v>39 C/5</c:v>
                  </c:pt>
                  <c:pt idx="1">
                    <c:v>Projet de 40 C/5</c:v>
                  </c:pt>
                </c:lvl>
              </c:multiLvlStrCache>
            </c:multiLvlStrRef>
          </c:cat>
          <c:val>
            <c:numRef>
              <c:f>Sheet1!$E$20:$H$20</c:f>
              <c:numCache>
                <c:formatCode>#,##0</c:formatCode>
                <c:ptCount val="4"/>
                <c:pt idx="0">
                  <c:v>4800000</c:v>
                </c:pt>
                <c:pt idx="1">
                  <c:v>2600000</c:v>
                </c:pt>
                <c:pt idx="2">
                  <c:v>2600000</c:v>
                </c:pt>
                <c:pt idx="3">
                  <c:v>2600000</c:v>
                </c:pt>
              </c:numCache>
            </c:numRef>
          </c:val>
          <c:extLst>
            <c:ext xmlns:c16="http://schemas.microsoft.com/office/drawing/2014/chart" uri="{C3380CC4-5D6E-409C-BE32-E72D297353CC}">
              <c16:uniqueId val="{00000001-62D3-46D1-8FBC-F1B14586ACF1}"/>
            </c:ext>
          </c:extLst>
        </c:ser>
        <c:ser>
          <c:idx val="2"/>
          <c:order val="2"/>
          <c:tx>
            <c:strRef>
              <c:f>Sheet1!$D$21</c:f>
              <c:strCache>
                <c:ptCount val="1"/>
                <c:pt idx="0">
                  <c:v>Écart de financement</c:v>
                </c:pt>
              </c:strCache>
            </c:strRef>
          </c:tx>
          <c:spPr>
            <a:solidFill>
              <a:schemeClr val="accent2">
                <a:lumMod val="75000"/>
              </a:schemeClr>
            </a:solidFill>
            <a:ln>
              <a:noFill/>
            </a:ln>
            <a:effectLst/>
          </c:spPr>
          <c:invertIfNegative val="0"/>
          <c:cat>
            <c:multiLvlStrRef>
              <c:f>Sheet1!$E$17:$H$18</c:f>
              <c:multiLvlStrCache>
                <c:ptCount val="4"/>
                <c:lvl>
                  <c:pt idx="0">
                    <c:v>518 M$</c:v>
                  </c:pt>
                  <c:pt idx="1">
                    <c:v>507 M$</c:v>
                  </c:pt>
                  <c:pt idx="2">
                    <c:v>518/523,6 M$</c:v>
                  </c:pt>
                  <c:pt idx="3">
                    <c:v>534,6 M$</c:v>
                  </c:pt>
                </c:lvl>
                <c:lvl>
                  <c:pt idx="0">
                    <c:v>39 C/5</c:v>
                  </c:pt>
                  <c:pt idx="1">
                    <c:v>Projet de 40 C/5</c:v>
                  </c:pt>
                </c:lvl>
              </c:multiLvlStrCache>
            </c:multiLvlStrRef>
          </c:cat>
          <c:val>
            <c:numRef>
              <c:f>Sheet1!$E$21:$H$21</c:f>
              <c:numCache>
                <c:formatCode>#,##0</c:formatCode>
                <c:ptCount val="4"/>
                <c:pt idx="0">
                  <c:v>12776400</c:v>
                </c:pt>
                <c:pt idx="1">
                  <c:v>13160200</c:v>
                </c:pt>
                <c:pt idx="2">
                  <c:v>13160200</c:v>
                </c:pt>
                <c:pt idx="3">
                  <c:v>13160200</c:v>
                </c:pt>
              </c:numCache>
            </c:numRef>
          </c:val>
          <c:extLst>
            <c:ext xmlns:c16="http://schemas.microsoft.com/office/drawing/2014/chart" uri="{C3380CC4-5D6E-409C-BE32-E72D297353CC}">
              <c16:uniqueId val="{00000002-62D3-46D1-8FBC-F1B14586ACF1}"/>
            </c:ext>
          </c:extLst>
        </c:ser>
        <c:dLbls>
          <c:showLegendKey val="0"/>
          <c:showVal val="0"/>
          <c:showCatName val="0"/>
          <c:showSerName val="0"/>
          <c:showPercent val="0"/>
          <c:showBubbleSize val="0"/>
        </c:dLbls>
        <c:gapWidth val="150"/>
        <c:overlap val="100"/>
        <c:axId val="441528448"/>
        <c:axId val="441527464"/>
      </c:barChart>
      <c:catAx>
        <c:axId val="44152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527464"/>
        <c:crosses val="autoZero"/>
        <c:auto val="1"/>
        <c:lblAlgn val="ctr"/>
        <c:lblOffset val="100"/>
        <c:noMultiLvlLbl val="0"/>
      </c:catAx>
      <c:valAx>
        <c:axId val="441527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528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66E5-293F-4EDB-902C-3EE1ABF8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IOC headed paper.dot</Template>
  <TotalTime>0</TotalTime>
  <Pages>13</Pages>
  <Words>5361</Words>
  <Characters>26987</Characters>
  <Application>Microsoft Office Word</Application>
  <DocSecurity>0</DocSecurity>
  <Lines>224</Lines>
  <Paragraphs>64</Paragraphs>
  <ScaleCrop>false</ScaleCrop>
  <HeadingPairs>
    <vt:vector size="2" baseType="variant">
      <vt:variant>
        <vt:lpstr>Titre</vt:lpstr>
      </vt:variant>
      <vt:variant>
        <vt:i4>1</vt:i4>
      </vt:variant>
    </vt:vector>
  </HeadingPairs>
  <TitlesOfParts>
    <vt:vector size="1" baseType="lpstr">
      <vt:lpstr>Projet de programme et de budget pour 2020-2021 (Projet de 40C/5)</vt:lpstr>
    </vt:vector>
  </TitlesOfParts>
  <Company>Unesco</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programme et de budget pour 2020-2021 (Projet de 40C/5)</dc:title>
  <dc:subject>IOC-XXX/2 Annexe 13</dc:subject>
  <dc:creator>mo_sayegh-herbelin</dc:creator>
  <cp:keywords>668.17F</cp:keywords>
  <dc:description/>
  <cp:lastModifiedBy>Pastor Reyes, Ingrid</cp:lastModifiedBy>
  <cp:revision>3</cp:revision>
  <cp:lastPrinted>2013-04-02T10:42:00Z</cp:lastPrinted>
  <dcterms:created xsi:type="dcterms:W3CDTF">2019-04-19T13:56:00Z</dcterms:created>
  <dcterms:modified xsi:type="dcterms:W3CDTF">2019-05-31T09:07:00Z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201905825</vt:lpwstr>
  </property>
</Properties>
</file>