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A46A" w14:textId="77777777" w:rsidR="001F45B1" w:rsidRPr="004F1244" w:rsidRDefault="00BD1C6C" w:rsidP="00160452">
      <w:pPr>
        <w:pStyle w:val="Heading1"/>
        <w:spacing w:before="0" w:after="240" w:line="240" w:lineRule="auto"/>
        <w:rPr>
          <w:b/>
          <w:i/>
          <w:iCs/>
          <w:color w:val="000000" w:themeColor="text1"/>
          <w:sz w:val="22"/>
          <w:szCs w:val="22"/>
          <w:lang w:val="ru-RU"/>
        </w:rPr>
      </w:pPr>
      <w:bookmarkStart w:id="0" w:name="_Toc41383786"/>
      <w:bookmarkStart w:id="1" w:name="_Toc35262940"/>
      <w:r w:rsidRPr="00B77B10">
        <w:rPr>
          <w:b/>
          <w:bCs/>
          <w:i/>
          <w:iCs/>
          <w:color w:val="000000" w:themeColor="text1"/>
          <w:sz w:val="22"/>
          <w:szCs w:val="22"/>
          <w:lang w:val="ru-RU"/>
        </w:rPr>
        <w:t>Десятилетие Организации Объединенных Наций, посвященное науке об океане в интересах устойчивого развития (2021–2030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0D467B" w:rsidRPr="00B77B10" w14:paraId="257E18B6" w14:textId="77777777" w:rsidTr="004F1244">
        <w:trPr>
          <w:jc w:val="center"/>
        </w:trPr>
        <w:tc>
          <w:tcPr>
            <w:tcW w:w="8217" w:type="dxa"/>
            <w:tcMar>
              <w:top w:w="170" w:type="dxa"/>
              <w:left w:w="170" w:type="dxa"/>
              <w:bottom w:w="170" w:type="dxa"/>
              <w:right w:w="170" w:type="dxa"/>
            </w:tcMar>
          </w:tcPr>
          <w:p w14:paraId="25B1639B" w14:textId="77777777" w:rsidR="000D467B" w:rsidRDefault="000D467B" w:rsidP="00A15578">
            <w:pPr>
              <w:pStyle w:val="Marge"/>
              <w:tabs>
                <w:tab w:val="left" w:pos="2807"/>
              </w:tabs>
              <w:spacing w:after="0"/>
              <w:jc w:val="center"/>
              <w:rPr>
                <w:rFonts w:cs="Arial"/>
                <w:szCs w:val="22"/>
              </w:rPr>
            </w:pPr>
            <w:proofErr w:type="spellStart"/>
            <w:r>
              <w:rPr>
                <w:rFonts w:cs="Arial"/>
                <w:szCs w:val="22"/>
                <w:u w:val="single"/>
              </w:rPr>
              <w:t>Резюме</w:t>
            </w:r>
            <w:proofErr w:type="spellEnd"/>
          </w:p>
          <w:tbl>
            <w:tblPr>
              <w:tblW w:w="8056" w:type="dxa"/>
              <w:tblBorders>
                <w:top w:val="nil"/>
                <w:left w:val="nil"/>
                <w:bottom w:val="nil"/>
                <w:right w:val="nil"/>
              </w:tblBorders>
              <w:tblLayout w:type="fixed"/>
              <w:tblLook w:val="0000" w:firstRow="0" w:lastRow="0" w:firstColumn="0" w:lastColumn="0" w:noHBand="0" w:noVBand="0"/>
            </w:tblPr>
            <w:tblGrid>
              <w:gridCol w:w="8056"/>
            </w:tblGrid>
            <w:tr w:rsidR="000D467B" w:rsidRPr="00E46F17" w14:paraId="3A75A5A7" w14:textId="77777777" w:rsidTr="003F14F5">
              <w:trPr>
                <w:trHeight w:val="208"/>
              </w:trPr>
              <w:tc>
                <w:tcPr>
                  <w:tcW w:w="8056" w:type="dxa"/>
                </w:tcPr>
                <w:p w14:paraId="2146F6C5" w14:textId="2F0B6EB3" w:rsidR="000D467B" w:rsidRPr="00E46F17" w:rsidRDefault="00B77B10" w:rsidP="00B77B10">
                  <w:pPr>
                    <w:pStyle w:val="Default"/>
                    <w:tabs>
                      <w:tab w:val="left" w:pos="5013"/>
                    </w:tabs>
                    <w:jc w:val="both"/>
                    <w:rPr>
                      <w:sz w:val="20"/>
                      <w:szCs w:val="20"/>
                    </w:rPr>
                  </w:pPr>
                  <w:r>
                    <w:rPr>
                      <w:sz w:val="20"/>
                      <w:szCs w:val="20"/>
                    </w:rPr>
                    <w:tab/>
                  </w:r>
                </w:p>
              </w:tc>
            </w:tr>
          </w:tbl>
          <w:p w14:paraId="4E60D973" w14:textId="77777777" w:rsidR="000D467B" w:rsidRPr="004F1244" w:rsidRDefault="000D467B" w:rsidP="003F14F5">
            <w:pPr>
              <w:pStyle w:val="Marge"/>
              <w:spacing w:after="120"/>
              <w:rPr>
                <w:rFonts w:cs="Arial"/>
                <w:iCs/>
                <w:lang w:val="ru-RU"/>
              </w:rPr>
            </w:pPr>
            <w:r w:rsidRPr="00B77B10">
              <w:rPr>
                <w:rFonts w:cs="Arial"/>
                <w:szCs w:val="22"/>
                <w:lang w:val="ru-RU"/>
              </w:rPr>
              <w:t xml:space="preserve">В настоящем документе представлен пересмотренный круг ведения </w:t>
            </w:r>
            <w:r w:rsidRPr="00B77B10">
              <w:rPr>
                <w:rFonts w:cs="Arial"/>
                <w:lang w:val="ru-RU"/>
              </w:rPr>
              <w:t xml:space="preserve">Группы планирования деятельности (ГПД), </w:t>
            </w:r>
            <w:r w:rsidRPr="00B77B10">
              <w:rPr>
                <w:rFonts w:cs="Arial"/>
                <w:szCs w:val="22"/>
                <w:lang w:val="ru-RU"/>
              </w:rPr>
              <w:t>связанной с Десятилетием Организации Объединенных Наций, посвященным науке об океане в интересах устойчивого развития</w:t>
            </w:r>
            <w:r w:rsidRPr="00B77B10">
              <w:rPr>
                <w:rFonts w:cs="Arial"/>
                <w:lang w:val="ru-RU"/>
              </w:rPr>
              <w:t xml:space="preserve">. Группа была создана в 2018 г. во исполнение </w:t>
            </w:r>
            <w:bookmarkStart w:id="2" w:name="_Hlk57565950"/>
            <w:r w:rsidR="00F87452">
              <w:rPr>
                <w:rFonts w:cs="Arial"/>
                <w:szCs w:val="22"/>
              </w:rPr>
              <w:fldChar w:fldCharType="begin"/>
            </w:r>
            <w:r w:rsidRPr="00B77B10">
              <w:rPr>
                <w:rFonts w:cs="Arial"/>
                <w:szCs w:val="22"/>
                <w:lang w:val="ru-RU"/>
              </w:rPr>
              <w:instrText xml:space="preserve"> </w:instrText>
            </w:r>
            <w:r>
              <w:rPr>
                <w:rFonts w:cs="Arial"/>
                <w:szCs w:val="22"/>
              </w:rPr>
              <w:instrText>HYPERLINK</w:instrText>
            </w:r>
            <w:r w:rsidRPr="00B77B10">
              <w:rPr>
                <w:rFonts w:cs="Arial"/>
                <w:szCs w:val="22"/>
                <w:lang w:val="ru-RU"/>
              </w:rPr>
              <w:instrText xml:space="preserve"> "</w:instrText>
            </w:r>
            <w:r>
              <w:rPr>
                <w:rFonts w:cs="Arial"/>
                <w:szCs w:val="22"/>
              </w:rPr>
              <w:instrText>http</w:instrText>
            </w:r>
            <w:r w:rsidRPr="00B77B10">
              <w:rPr>
                <w:rFonts w:cs="Arial"/>
                <w:szCs w:val="22"/>
                <w:lang w:val="ru-RU"/>
              </w:rPr>
              <w:instrText>://</w:instrText>
            </w:r>
            <w:r>
              <w:rPr>
                <w:rFonts w:cs="Arial"/>
                <w:szCs w:val="22"/>
              </w:rPr>
              <w:instrText>legacy</w:instrText>
            </w:r>
            <w:r w:rsidRPr="00B77B10">
              <w:rPr>
                <w:rFonts w:cs="Arial"/>
                <w:szCs w:val="22"/>
                <w:lang w:val="ru-RU"/>
              </w:rPr>
              <w:instrText>.</w:instrText>
            </w:r>
            <w:r>
              <w:rPr>
                <w:rFonts w:cs="Arial"/>
                <w:szCs w:val="22"/>
              </w:rPr>
              <w:instrText>ioc</w:instrText>
            </w:r>
            <w:r w:rsidRPr="00B77B10">
              <w:rPr>
                <w:rFonts w:cs="Arial"/>
                <w:szCs w:val="22"/>
                <w:lang w:val="ru-RU"/>
              </w:rPr>
              <w:instrText>-</w:instrText>
            </w:r>
            <w:r>
              <w:rPr>
                <w:rFonts w:cs="Arial"/>
                <w:szCs w:val="22"/>
              </w:rPr>
              <w:instrText>unesco</w:instrText>
            </w:r>
            <w:r w:rsidRPr="00B77B10">
              <w:rPr>
                <w:rFonts w:cs="Arial"/>
                <w:szCs w:val="22"/>
                <w:lang w:val="ru-RU"/>
              </w:rPr>
              <w:instrText>.</w:instrText>
            </w:r>
            <w:r>
              <w:rPr>
                <w:rFonts w:cs="Arial"/>
                <w:szCs w:val="22"/>
              </w:rPr>
              <w:instrText>org</w:instrText>
            </w:r>
            <w:r w:rsidRPr="00B77B10">
              <w:rPr>
                <w:rFonts w:cs="Arial"/>
                <w:szCs w:val="22"/>
                <w:lang w:val="ru-RU"/>
              </w:rPr>
              <w:instrText>/</w:instrText>
            </w:r>
            <w:r>
              <w:rPr>
                <w:rFonts w:cs="Arial"/>
                <w:szCs w:val="22"/>
              </w:rPr>
              <w:instrText>index</w:instrText>
            </w:r>
            <w:r w:rsidRPr="00B77B10">
              <w:rPr>
                <w:rFonts w:cs="Arial"/>
                <w:szCs w:val="22"/>
                <w:lang w:val="ru-RU"/>
              </w:rPr>
              <w:instrText>.</w:instrText>
            </w:r>
            <w:r>
              <w:rPr>
                <w:rFonts w:cs="Arial"/>
                <w:szCs w:val="22"/>
              </w:rPr>
              <w:instrText>php</w:instrText>
            </w:r>
            <w:r w:rsidRPr="00B77B10">
              <w:rPr>
                <w:rFonts w:cs="Arial"/>
                <w:szCs w:val="22"/>
                <w:lang w:val="ru-RU"/>
              </w:rPr>
              <w:instrText>?</w:instrText>
            </w:r>
            <w:r>
              <w:rPr>
                <w:rFonts w:cs="Arial"/>
                <w:szCs w:val="22"/>
              </w:rPr>
              <w:instrText>option</w:instrText>
            </w:r>
            <w:r w:rsidRPr="00B77B10">
              <w:rPr>
                <w:rFonts w:cs="Arial"/>
                <w:szCs w:val="22"/>
                <w:lang w:val="ru-RU"/>
              </w:rPr>
              <w:instrText>=</w:instrText>
            </w:r>
            <w:r>
              <w:rPr>
                <w:rFonts w:cs="Arial"/>
                <w:szCs w:val="22"/>
              </w:rPr>
              <w:instrText>com</w:instrText>
            </w:r>
            <w:r w:rsidRPr="00B77B10">
              <w:rPr>
                <w:rFonts w:cs="Arial"/>
                <w:szCs w:val="22"/>
                <w:lang w:val="ru-RU"/>
              </w:rPr>
              <w:instrText>_</w:instrText>
            </w:r>
            <w:r>
              <w:rPr>
                <w:rFonts w:cs="Arial"/>
                <w:szCs w:val="22"/>
              </w:rPr>
              <w:instrText>oe</w:instrText>
            </w:r>
            <w:r w:rsidRPr="00B77B10">
              <w:rPr>
                <w:rFonts w:cs="Arial"/>
                <w:szCs w:val="22"/>
                <w:lang w:val="ru-RU"/>
              </w:rPr>
              <w:instrText>&amp;</w:instrText>
            </w:r>
            <w:r>
              <w:rPr>
                <w:rFonts w:cs="Arial"/>
                <w:szCs w:val="22"/>
              </w:rPr>
              <w:instrText>task</w:instrText>
            </w:r>
            <w:r w:rsidRPr="00B77B10">
              <w:rPr>
                <w:rFonts w:cs="Arial"/>
                <w:szCs w:val="22"/>
                <w:lang w:val="ru-RU"/>
              </w:rPr>
              <w:instrText>=</w:instrText>
            </w:r>
            <w:r>
              <w:rPr>
                <w:rFonts w:cs="Arial"/>
                <w:szCs w:val="22"/>
              </w:rPr>
              <w:instrText>viewDocumentRecord</w:instrText>
            </w:r>
            <w:r w:rsidRPr="00B77B10">
              <w:rPr>
                <w:rFonts w:cs="Arial"/>
                <w:szCs w:val="22"/>
                <w:lang w:val="ru-RU"/>
              </w:rPr>
              <w:instrText>&amp;</w:instrText>
            </w:r>
            <w:r>
              <w:rPr>
                <w:rFonts w:cs="Arial"/>
                <w:szCs w:val="22"/>
              </w:rPr>
              <w:instrText>docID</w:instrText>
            </w:r>
            <w:r w:rsidRPr="00B77B10">
              <w:rPr>
                <w:rFonts w:cs="Arial"/>
                <w:szCs w:val="22"/>
                <w:lang w:val="ru-RU"/>
              </w:rPr>
              <w:instrText xml:space="preserve">=22214" </w:instrText>
            </w:r>
            <w:r w:rsidR="00F87452">
              <w:rPr>
                <w:rFonts w:cs="Arial"/>
                <w:szCs w:val="22"/>
              </w:rPr>
              <w:fldChar w:fldCharType="separate"/>
            </w:r>
            <w:r w:rsidRPr="00B77B10">
              <w:rPr>
                <w:rStyle w:val="Hyperlink"/>
                <w:rFonts w:cs="Arial"/>
                <w:szCs w:val="22"/>
                <w:lang w:val="ru-RU"/>
              </w:rPr>
              <w:t xml:space="preserve">резолюции </w:t>
            </w:r>
            <w:r>
              <w:rPr>
                <w:rStyle w:val="Hyperlink"/>
                <w:rFonts w:cs="Arial"/>
                <w:szCs w:val="22"/>
              </w:rPr>
              <w:t>EC</w:t>
            </w:r>
            <w:r w:rsidRPr="00B77B10">
              <w:rPr>
                <w:rStyle w:val="Hyperlink"/>
                <w:rFonts w:cs="Arial"/>
                <w:szCs w:val="22"/>
                <w:lang w:val="ru-RU"/>
              </w:rPr>
              <w:t>-</w:t>
            </w:r>
            <w:r>
              <w:rPr>
                <w:rStyle w:val="Hyperlink"/>
                <w:rFonts w:cs="Arial"/>
                <w:szCs w:val="22"/>
              </w:rPr>
              <w:t>LI</w:t>
            </w:r>
            <w:r w:rsidRPr="00B77B10">
              <w:rPr>
                <w:rStyle w:val="Hyperlink"/>
                <w:rFonts w:cs="Arial"/>
                <w:szCs w:val="22"/>
                <w:lang w:val="ru-RU"/>
              </w:rPr>
              <w:t>.1</w:t>
            </w:r>
            <w:bookmarkEnd w:id="2"/>
            <w:r w:rsidR="00F87452">
              <w:rPr>
                <w:rFonts w:cs="Arial"/>
                <w:szCs w:val="22"/>
              </w:rPr>
              <w:fldChar w:fldCharType="end"/>
            </w:r>
            <w:r w:rsidRPr="00B77B10">
              <w:rPr>
                <w:rFonts w:cs="Arial"/>
                <w:szCs w:val="22"/>
                <w:lang w:val="ru-RU"/>
              </w:rPr>
              <w:t xml:space="preserve">. </w:t>
            </w:r>
            <w:r w:rsidRPr="00B77B10">
              <w:rPr>
                <w:rFonts w:cs="Arial"/>
                <w:lang w:val="ru-RU"/>
              </w:rPr>
              <w:t>Пересмотр круга ведения связан с расширением деятельности группы и призван обеспечить: (</w:t>
            </w:r>
            <w:r>
              <w:rPr>
                <w:rFonts w:cs="Arial"/>
              </w:rPr>
              <w:t>i</w:t>
            </w:r>
            <w:r w:rsidRPr="00B77B10">
              <w:rPr>
                <w:rFonts w:cs="Arial"/>
                <w:lang w:val="ru-RU"/>
              </w:rPr>
              <w:t>) оказание группой экспертной поддержки Десятилетию путем временного осуществления полномочий Консультативного совета по вопросам проведения Десятилетия; (</w:t>
            </w:r>
            <w:r>
              <w:rPr>
                <w:rFonts w:cs="Arial"/>
              </w:rPr>
              <w:t>ii</w:t>
            </w:r>
            <w:r w:rsidRPr="00B77B10">
              <w:rPr>
                <w:rFonts w:cs="Arial"/>
                <w:lang w:val="ru-RU"/>
              </w:rPr>
              <w:t>) консультирование Секретариата МОК и руководящих органов с самого начала Десятилетия 1 января 2021 года. Расширенный круг ведения ГПД будет действовать до момента официального создания и наделения полномочиями Консультативного совета по вопросам проведения Десятилетия, предусмотренного в Плане проведения Десятилетия. Создание Консультативного совета запланировано в 2021 году. Круг ведения Консультативного совета по вопросам проведения Десятилетия будет представлен на 31-й сессии Ассамблеи МОК.</w:t>
            </w:r>
          </w:p>
          <w:p w14:paraId="7482EC30" w14:textId="77777777" w:rsidR="000D467B" w:rsidRPr="004F1244" w:rsidRDefault="000D467B" w:rsidP="003F14F5">
            <w:pPr>
              <w:pStyle w:val="Marge"/>
              <w:spacing w:after="120"/>
              <w:rPr>
                <w:rFonts w:cs="Arial"/>
                <w:szCs w:val="22"/>
                <w:lang w:val="ru-RU"/>
              </w:rPr>
            </w:pPr>
            <w:r w:rsidRPr="00B77B10">
              <w:rPr>
                <w:rFonts w:cs="Arial"/>
                <w:szCs w:val="22"/>
                <w:u w:val="single"/>
                <w:lang w:val="ru-RU"/>
              </w:rPr>
              <w:t>Финансовые затраты</w:t>
            </w:r>
            <w:r w:rsidRPr="00B77B10">
              <w:rPr>
                <w:rFonts w:cs="Arial"/>
                <w:szCs w:val="22"/>
                <w:lang w:val="ru-RU"/>
              </w:rPr>
              <w:t xml:space="preserve"> предполагается покрыть за счет привлечения внебюджетных средств (пункт 4).</w:t>
            </w:r>
          </w:p>
          <w:p w14:paraId="5DABDE5A" w14:textId="77777777" w:rsidR="000D467B" w:rsidRPr="004F1244" w:rsidRDefault="000D467B">
            <w:pPr>
              <w:pStyle w:val="Marge"/>
              <w:spacing w:after="120"/>
              <w:rPr>
                <w:rFonts w:cs="Arial"/>
                <w:szCs w:val="22"/>
                <w:lang w:val="ru-RU"/>
              </w:rPr>
            </w:pPr>
            <w:r w:rsidRPr="00B77B10">
              <w:rPr>
                <w:szCs w:val="22"/>
                <w:u w:val="single"/>
                <w:lang w:val="ru-RU"/>
              </w:rPr>
              <w:t>Предлагаемое решение</w:t>
            </w:r>
            <w:r w:rsidRPr="00B77B10">
              <w:rPr>
                <w:szCs w:val="22"/>
                <w:lang w:val="ru-RU"/>
              </w:rPr>
              <w:t xml:space="preserve">: </w:t>
            </w:r>
            <w:r w:rsidRPr="00B77B10">
              <w:rPr>
                <w:lang w:val="ru-RU"/>
              </w:rPr>
              <w:t xml:space="preserve">Исполнительному совету предлагается утвердить предложенный круг ведения, временно наделяющий Группу планирования деятельности, связанной с Десятилетием, полномочиями Консультативного совета по проведению Десятилетия. Во втором пересмотренном предварительном документе о принятых и предлагаемых мерах (документ </w:t>
            </w:r>
            <w:r>
              <w:t>IOC</w:t>
            </w:r>
            <w:r w:rsidRPr="00B77B10">
              <w:rPr>
                <w:lang w:val="ru-RU"/>
              </w:rPr>
              <w:t>/</w:t>
            </w:r>
            <w:r>
              <w:t>EC</w:t>
            </w:r>
            <w:r w:rsidRPr="00B77B10">
              <w:rPr>
                <w:lang w:val="ru-RU"/>
              </w:rPr>
              <w:t>-53/</w:t>
            </w:r>
            <w:r>
              <w:t>AP Rev</w:t>
            </w:r>
            <w:r w:rsidRPr="00B77B10">
              <w:rPr>
                <w:lang w:val="ru-RU"/>
              </w:rPr>
              <w:t>.2</w:t>
            </w:r>
            <w:r>
              <w:t>Add</w:t>
            </w:r>
            <w:r w:rsidRPr="00B77B10">
              <w:rPr>
                <w:lang w:val="ru-RU"/>
              </w:rPr>
              <w:t xml:space="preserve">) предложенный проект резолюции представлен под номером </w:t>
            </w:r>
            <w:r>
              <w:t>EC</w:t>
            </w:r>
            <w:r w:rsidRPr="00B77B10">
              <w:rPr>
                <w:lang w:val="ru-RU"/>
              </w:rPr>
              <w:t>-53/</w:t>
            </w:r>
            <w:proofErr w:type="gramStart"/>
            <w:r>
              <w:t>DR</w:t>
            </w:r>
            <w:r w:rsidRPr="00B77B10">
              <w:rPr>
                <w:lang w:val="ru-RU"/>
              </w:rPr>
              <w:t>.[</w:t>
            </w:r>
            <w:proofErr w:type="gramEnd"/>
            <w:r w:rsidRPr="00B77B10">
              <w:rPr>
                <w:lang w:val="ru-RU"/>
              </w:rPr>
              <w:t>4.1].</w:t>
            </w:r>
          </w:p>
        </w:tc>
      </w:tr>
    </w:tbl>
    <w:p w14:paraId="7186B4D0" w14:textId="77777777" w:rsidR="006365B2" w:rsidRPr="00CD2CE3" w:rsidRDefault="009610E6" w:rsidP="00CD2CE3">
      <w:pPr>
        <w:spacing w:before="0" w:line="240" w:lineRule="auto"/>
        <w:rPr>
          <w:b/>
          <w:bCs/>
          <w:sz w:val="22"/>
          <w:szCs w:val="22"/>
        </w:rPr>
      </w:pPr>
      <w:proofErr w:type="spellStart"/>
      <w:r>
        <w:rPr>
          <w:b/>
          <w:bCs/>
          <w:sz w:val="22"/>
          <w:szCs w:val="22"/>
        </w:rPr>
        <w:lastRenderedPageBreak/>
        <w:t>Введение</w:t>
      </w:r>
      <w:proofErr w:type="spellEnd"/>
      <w:r>
        <w:rPr>
          <w:b/>
          <w:bCs/>
          <w:sz w:val="22"/>
          <w:szCs w:val="22"/>
        </w:rPr>
        <w:t xml:space="preserve"> </w:t>
      </w:r>
    </w:p>
    <w:p w14:paraId="57D38054" w14:textId="77777777" w:rsidR="006365B2" w:rsidRPr="004F1244" w:rsidRDefault="006365B2" w:rsidP="00CD2CE3">
      <w:pPr>
        <w:pStyle w:val="ListParagraph"/>
        <w:numPr>
          <w:ilvl w:val="0"/>
          <w:numId w:val="12"/>
        </w:numPr>
        <w:spacing w:before="0" w:line="240" w:lineRule="auto"/>
        <w:ind w:left="0" w:firstLine="0"/>
        <w:contextualSpacing w:val="0"/>
        <w:rPr>
          <w:b/>
          <w:bCs/>
          <w:sz w:val="22"/>
          <w:szCs w:val="22"/>
          <w:lang w:val="ru-RU"/>
        </w:rPr>
      </w:pPr>
      <w:r w:rsidRPr="00B77B10">
        <w:rPr>
          <w:sz w:val="22"/>
          <w:szCs w:val="22"/>
          <w:lang w:val="ru-RU"/>
        </w:rPr>
        <w:t xml:space="preserve">В 2018 году резолюцией </w:t>
      </w:r>
      <w:r>
        <w:rPr>
          <w:sz w:val="22"/>
          <w:szCs w:val="22"/>
        </w:rPr>
        <w:t>EC</w:t>
      </w:r>
      <w:r w:rsidRPr="00B77B10">
        <w:rPr>
          <w:sz w:val="22"/>
          <w:szCs w:val="22"/>
          <w:lang w:val="ru-RU"/>
        </w:rPr>
        <w:t>-</w:t>
      </w:r>
      <w:r>
        <w:rPr>
          <w:sz w:val="22"/>
          <w:szCs w:val="22"/>
        </w:rPr>
        <w:t>LI</w:t>
      </w:r>
      <w:r w:rsidRPr="00B77B10">
        <w:rPr>
          <w:sz w:val="22"/>
          <w:szCs w:val="22"/>
          <w:lang w:val="ru-RU"/>
        </w:rPr>
        <w:t xml:space="preserve">.1 Исполнительный совет утвердил круг ведения </w:t>
      </w:r>
      <w:bookmarkStart w:id="3" w:name="_Hlk57565570"/>
      <w:r w:rsidRPr="00B77B10">
        <w:rPr>
          <w:sz w:val="22"/>
          <w:szCs w:val="22"/>
          <w:lang w:val="ru-RU"/>
        </w:rPr>
        <w:t>Группы планирования деятельности (ГПД), связанной с Десятилетием,</w:t>
      </w:r>
      <w:bookmarkEnd w:id="3"/>
      <w:r w:rsidRPr="00B77B10">
        <w:rPr>
          <w:sz w:val="22"/>
          <w:szCs w:val="22"/>
          <w:lang w:val="ru-RU"/>
        </w:rPr>
        <w:t xml:space="preserve"> как экспертного консультативного органа на уровне руководящих органов МОК для оказания помощи в подготовке Плана проведения Десятилетия Организации Объединенных Наций, посвященного науке об океане в интересах устойчивого развития (2021–2031 гг.). Актуальный круг ведения ГПД представлен в документе </w:t>
      </w:r>
      <w:hyperlink r:id="rId8" w:history="1">
        <w:r>
          <w:rPr>
            <w:rStyle w:val="Hyperlink"/>
            <w:sz w:val="22"/>
            <w:szCs w:val="22"/>
          </w:rPr>
          <w:t>IOC</w:t>
        </w:r>
        <w:r w:rsidRPr="00B77B10">
          <w:rPr>
            <w:rStyle w:val="Hyperlink"/>
            <w:sz w:val="22"/>
            <w:szCs w:val="22"/>
            <w:lang w:val="ru-RU"/>
          </w:rPr>
          <w:t>/</w:t>
        </w:r>
        <w:r>
          <w:rPr>
            <w:rStyle w:val="Hyperlink"/>
            <w:sz w:val="22"/>
            <w:szCs w:val="22"/>
          </w:rPr>
          <w:t>EC</w:t>
        </w:r>
        <w:r w:rsidRPr="00B77B10">
          <w:rPr>
            <w:rStyle w:val="Hyperlink"/>
            <w:sz w:val="22"/>
            <w:szCs w:val="22"/>
            <w:lang w:val="ru-RU"/>
          </w:rPr>
          <w:t>-</w:t>
        </w:r>
        <w:r>
          <w:rPr>
            <w:rStyle w:val="Hyperlink"/>
            <w:sz w:val="22"/>
            <w:szCs w:val="22"/>
          </w:rPr>
          <w:t>LI</w:t>
        </w:r>
        <w:r w:rsidRPr="00B77B10">
          <w:rPr>
            <w:rStyle w:val="Hyperlink"/>
            <w:sz w:val="22"/>
            <w:szCs w:val="22"/>
            <w:lang w:val="ru-RU"/>
          </w:rPr>
          <w:t xml:space="preserve">/2 </w:t>
        </w:r>
        <w:r>
          <w:rPr>
            <w:rStyle w:val="Hyperlink"/>
            <w:sz w:val="22"/>
            <w:szCs w:val="22"/>
          </w:rPr>
          <w:t>Annex</w:t>
        </w:r>
        <w:r w:rsidRPr="00B77B10">
          <w:rPr>
            <w:rStyle w:val="Hyperlink"/>
            <w:sz w:val="22"/>
            <w:szCs w:val="22"/>
            <w:lang w:val="ru-RU"/>
          </w:rPr>
          <w:t xml:space="preserve"> 4</w:t>
        </w:r>
      </w:hyperlink>
      <w:r w:rsidRPr="00B77B10">
        <w:rPr>
          <w:sz w:val="22"/>
          <w:szCs w:val="22"/>
          <w:lang w:val="ru-RU"/>
        </w:rPr>
        <w:t xml:space="preserve"> (Приложение 1). На протяжении всего подготовительного этапа (2018–2020 гг.) поддержка Группы планирования деятельности, связанной с Десятилетием, имела первостепенную важность для консультирования по вопросам подготовки Плана проведения Десятилетия, привлечения заинтересованных сторон, разработки первого </w:t>
      </w:r>
      <w:hyperlink r:id="rId9" w:history="1">
        <w:r w:rsidRPr="00B77B10">
          <w:rPr>
            <w:rStyle w:val="Hyperlink"/>
            <w:sz w:val="22"/>
            <w:szCs w:val="22"/>
            <w:lang w:val="ru-RU"/>
          </w:rPr>
          <w:t>Запроса предложений</w:t>
        </w:r>
      </w:hyperlink>
      <w:r w:rsidRPr="00B77B10">
        <w:rPr>
          <w:sz w:val="22"/>
          <w:szCs w:val="22"/>
          <w:lang w:val="ru-RU"/>
        </w:rPr>
        <w:t xml:space="preserve"> и поддержки разработки политики информационного обеспечения Десятилетия. </w:t>
      </w:r>
    </w:p>
    <w:p w14:paraId="67EEFE97" w14:textId="77777777" w:rsidR="00AE5234" w:rsidRPr="004F1244" w:rsidRDefault="006365B2" w:rsidP="00CD2CE3">
      <w:pPr>
        <w:pStyle w:val="ListParagraph"/>
        <w:numPr>
          <w:ilvl w:val="0"/>
          <w:numId w:val="12"/>
        </w:numPr>
        <w:spacing w:before="0" w:line="240" w:lineRule="auto"/>
        <w:ind w:left="0" w:firstLine="0"/>
        <w:contextualSpacing w:val="0"/>
        <w:rPr>
          <w:b/>
          <w:bCs/>
          <w:sz w:val="22"/>
          <w:szCs w:val="22"/>
          <w:lang w:val="ru-RU"/>
        </w:rPr>
      </w:pPr>
      <w:r w:rsidRPr="00B77B10">
        <w:rPr>
          <w:sz w:val="22"/>
          <w:szCs w:val="22"/>
          <w:lang w:val="ru-RU"/>
        </w:rPr>
        <w:t xml:space="preserve">План проведения Десятилетия предполагает, что в 2021 г. будет создан Консультативный совет по вопросам проведения Десятилетия. Консультативный совет по вопросам проведения Десятилетия (далее — Совет) будет представлять собой стратегический консультативный орган на уровне руководящих органов МОК, но не будет наделен полномочиями принятия стратегических решений. Совет будет обеспечивать стратегическое консультирование по вопросам проведения Десятилетия, например, комментируя структуру мониторинга и оценки Десятилетия или стратегии управления данными. Он будет давать рекомендации по утверждению программ и Центров сотрудничества в рамках Десятилетия и предоставлять комментарии по </w:t>
      </w:r>
      <w:r w:rsidRPr="00B77B10">
        <w:rPr>
          <w:color w:val="000000" w:themeColor="text1"/>
          <w:sz w:val="22"/>
          <w:szCs w:val="22"/>
          <w:lang w:val="ru-RU"/>
        </w:rPr>
        <w:t>совокупной эффективности мероприятий в рамках Десятилетия с использованием процесса рассмотрения, описанного в разделе 3.3 Плана проведения Десятилетия</w:t>
      </w:r>
      <w:r w:rsidRPr="00B77B10">
        <w:rPr>
          <w:sz w:val="22"/>
          <w:szCs w:val="22"/>
          <w:lang w:val="ru-RU"/>
        </w:rPr>
        <w:t xml:space="preserve">. Члены Совета также будут участвовать в оценке потребности мероприятий в рамках Десятилетия в ресурсах и будут способствовать распространению информации о Десятилетии, в том числе среди потенциальных источников ресурсного обеспечения. Круг ведения Консультативного совета по вопросам проведения Десятилетия будет представлен на 31-й сессии Ассамблеи МОК. Ожидается, что Совет будет сформирован в сентябре-октябре и проведет свое первое совещание до конца 2021 года. </w:t>
      </w:r>
    </w:p>
    <w:p w14:paraId="56A9CC28" w14:textId="77777777" w:rsidR="0003728D" w:rsidRPr="004F1244" w:rsidRDefault="00A10F9E" w:rsidP="00CD2CE3">
      <w:pPr>
        <w:pStyle w:val="ListParagraph"/>
        <w:numPr>
          <w:ilvl w:val="0"/>
          <w:numId w:val="12"/>
        </w:numPr>
        <w:spacing w:before="0" w:line="240" w:lineRule="auto"/>
        <w:ind w:left="0" w:firstLine="0"/>
        <w:contextualSpacing w:val="0"/>
        <w:rPr>
          <w:iCs/>
          <w:sz w:val="22"/>
          <w:szCs w:val="22"/>
          <w:lang w:val="ru-RU"/>
        </w:rPr>
      </w:pPr>
      <w:r w:rsidRPr="00B77B10">
        <w:rPr>
          <w:sz w:val="22"/>
          <w:szCs w:val="22"/>
          <w:lang w:val="ru-RU"/>
        </w:rPr>
        <w:t xml:space="preserve">Секретариату МОК для осуществления его координирующей роли с самого начала Десятилетия потребуются научные и технические рекомендации консультативного органа, в частности, в том, что касается рассмотрения программных предложений, полученных в ходе первого Запроса предложений, проведенного в октябре 2020 года. До тех пор пока Ассамблея МОК на своей 31-й сессии в июне 2021 года не объявит об официальном создании Консультативного совета по проведению Десятилетия и его члены не будут назначены в сентябре–октябре 2021 года, предлагается временно наделить Группу планирования деятельности, связанной с Десятилетием, созданную в 2018 году для руководства разработкой Плана проведения Десятилетия, полномочиями Консультативного совета по проведению </w:t>
      </w:r>
      <w:proofErr w:type="spellStart"/>
      <w:r>
        <w:rPr>
          <w:sz w:val="22"/>
          <w:szCs w:val="22"/>
        </w:rPr>
        <w:t>Десятилетия</w:t>
      </w:r>
      <w:proofErr w:type="spellEnd"/>
      <w:r>
        <w:rPr>
          <w:sz w:val="22"/>
          <w:szCs w:val="22"/>
        </w:rPr>
        <w:t xml:space="preserve">. </w:t>
      </w:r>
      <w:r w:rsidRPr="00B77B10">
        <w:rPr>
          <w:sz w:val="22"/>
          <w:szCs w:val="22"/>
          <w:lang w:val="ru-RU"/>
        </w:rPr>
        <w:t xml:space="preserve">Члены ГПД </w:t>
      </w:r>
      <w:r>
        <w:rPr>
          <w:rStyle w:val="FootnoteReference"/>
          <w:sz w:val="22"/>
          <w:szCs w:val="22"/>
        </w:rPr>
        <w:footnoteReference w:id="1"/>
      </w:r>
      <w:r w:rsidRPr="00B77B10">
        <w:rPr>
          <w:sz w:val="22"/>
          <w:szCs w:val="22"/>
          <w:lang w:val="ru-RU"/>
        </w:rPr>
        <w:t xml:space="preserve"> подтвердили свою готовность осуществлять полномочия Совета и оказывать помощь в проведении Десятилетия в течение 2021 года. Для закрепления этой новой функции был пересмотрен круг ведения ГПД. Пересмотренный круг ведения представлен в данном документе для рассмотрения и утверждения Исполнительным советом МОК. Пересмотренный круг ведения, который будет принят, заменит текущий круг ведения, представленный в Приложении 1 к документу </w:t>
      </w:r>
      <w:r>
        <w:rPr>
          <w:sz w:val="22"/>
          <w:szCs w:val="22"/>
        </w:rPr>
        <w:t>IOC</w:t>
      </w:r>
      <w:r w:rsidRPr="00B77B10">
        <w:rPr>
          <w:sz w:val="22"/>
          <w:szCs w:val="22"/>
          <w:lang w:val="ru-RU"/>
        </w:rPr>
        <w:t>/</w:t>
      </w:r>
      <w:r>
        <w:rPr>
          <w:sz w:val="22"/>
          <w:szCs w:val="22"/>
        </w:rPr>
        <w:t>EC</w:t>
      </w:r>
      <w:r w:rsidRPr="00B77B10">
        <w:rPr>
          <w:sz w:val="22"/>
          <w:szCs w:val="22"/>
          <w:lang w:val="ru-RU"/>
        </w:rPr>
        <w:t>-</w:t>
      </w:r>
      <w:r>
        <w:rPr>
          <w:sz w:val="22"/>
          <w:szCs w:val="22"/>
        </w:rPr>
        <w:t>LI</w:t>
      </w:r>
      <w:r w:rsidRPr="00B77B10">
        <w:rPr>
          <w:sz w:val="22"/>
          <w:szCs w:val="22"/>
          <w:lang w:val="ru-RU"/>
        </w:rPr>
        <w:t>/2</w:t>
      </w:r>
      <w:r>
        <w:rPr>
          <w:sz w:val="22"/>
          <w:szCs w:val="22"/>
        </w:rPr>
        <w:t> Annex </w:t>
      </w:r>
      <w:r w:rsidRPr="00B77B10">
        <w:rPr>
          <w:sz w:val="22"/>
          <w:szCs w:val="22"/>
          <w:lang w:val="ru-RU"/>
        </w:rPr>
        <w:t>4.</w:t>
      </w:r>
    </w:p>
    <w:p w14:paraId="4B0A0A8C" w14:textId="77777777" w:rsidR="0003728D" w:rsidRPr="00CD2CE3" w:rsidRDefault="00982938" w:rsidP="00CD2CE3">
      <w:pPr>
        <w:spacing w:before="0" w:line="240" w:lineRule="auto"/>
        <w:rPr>
          <w:b/>
          <w:bCs/>
          <w:sz w:val="22"/>
          <w:szCs w:val="22"/>
        </w:rPr>
      </w:pPr>
      <w:proofErr w:type="spellStart"/>
      <w:r>
        <w:rPr>
          <w:b/>
          <w:bCs/>
          <w:sz w:val="22"/>
          <w:szCs w:val="22"/>
        </w:rPr>
        <w:t>Финансовые</w:t>
      </w:r>
      <w:proofErr w:type="spellEnd"/>
      <w:r>
        <w:rPr>
          <w:b/>
          <w:bCs/>
          <w:sz w:val="22"/>
          <w:szCs w:val="22"/>
        </w:rPr>
        <w:t xml:space="preserve"> и </w:t>
      </w:r>
      <w:proofErr w:type="spellStart"/>
      <w:r>
        <w:rPr>
          <w:b/>
          <w:bCs/>
          <w:sz w:val="22"/>
          <w:szCs w:val="22"/>
        </w:rPr>
        <w:t>административные</w:t>
      </w:r>
      <w:proofErr w:type="spellEnd"/>
      <w:r>
        <w:rPr>
          <w:b/>
          <w:bCs/>
          <w:sz w:val="22"/>
          <w:szCs w:val="22"/>
        </w:rPr>
        <w:t xml:space="preserve"> </w:t>
      </w:r>
      <w:proofErr w:type="spellStart"/>
      <w:r>
        <w:rPr>
          <w:b/>
          <w:bCs/>
          <w:sz w:val="22"/>
          <w:szCs w:val="22"/>
        </w:rPr>
        <w:t>последствия</w:t>
      </w:r>
      <w:proofErr w:type="spellEnd"/>
    </w:p>
    <w:p w14:paraId="5B438BE7" w14:textId="77777777" w:rsidR="0003728D" w:rsidRPr="004F1244" w:rsidRDefault="0003728D" w:rsidP="00CD2CE3">
      <w:pPr>
        <w:pStyle w:val="ListParagraph"/>
        <w:numPr>
          <w:ilvl w:val="0"/>
          <w:numId w:val="12"/>
        </w:numPr>
        <w:spacing w:before="0" w:line="240" w:lineRule="auto"/>
        <w:ind w:left="0" w:firstLine="0"/>
        <w:contextualSpacing w:val="0"/>
        <w:rPr>
          <w:color w:val="000000"/>
          <w:sz w:val="22"/>
          <w:szCs w:val="22"/>
          <w:lang w:val="ru-RU"/>
        </w:rPr>
      </w:pPr>
      <w:r w:rsidRPr="00B77B10">
        <w:rPr>
          <w:sz w:val="22"/>
          <w:szCs w:val="22"/>
          <w:lang w:val="ru-RU"/>
        </w:rPr>
        <w:t xml:space="preserve">Пока ГПД будет продолжать работать в основном с использованием средств дистанционной коммуникации (проведение телеконференций, виртуальных совещаний). Проведение совещания в очной форме ожидается, только если и когда это позволит </w:t>
      </w:r>
      <w:r w:rsidRPr="00B77B10">
        <w:rPr>
          <w:sz w:val="22"/>
          <w:szCs w:val="22"/>
          <w:lang w:val="ru-RU"/>
        </w:rPr>
        <w:lastRenderedPageBreak/>
        <w:t>санитарная обстановка. В этом случае расходы на проведение совещания в очной форме, оцениваемые в 30 000 долларов США, будут покрыты за счет уже предоставленных внебюджетных ресурсов.</w:t>
      </w:r>
    </w:p>
    <w:p w14:paraId="495AFE1A" w14:textId="77777777" w:rsidR="000D467B" w:rsidRPr="00CD2CE3" w:rsidRDefault="00982938" w:rsidP="00CD2CE3">
      <w:pPr>
        <w:spacing w:before="0" w:line="240" w:lineRule="auto"/>
        <w:rPr>
          <w:b/>
          <w:bCs/>
          <w:sz w:val="22"/>
          <w:szCs w:val="22"/>
        </w:rPr>
      </w:pPr>
      <w:proofErr w:type="spellStart"/>
      <w:r>
        <w:rPr>
          <w:b/>
          <w:bCs/>
          <w:sz w:val="22"/>
          <w:szCs w:val="22"/>
        </w:rPr>
        <w:t>Предлагаемое</w:t>
      </w:r>
      <w:proofErr w:type="spellEnd"/>
      <w:r>
        <w:rPr>
          <w:b/>
          <w:bCs/>
          <w:sz w:val="22"/>
          <w:szCs w:val="22"/>
        </w:rPr>
        <w:t xml:space="preserve"> </w:t>
      </w:r>
      <w:proofErr w:type="spellStart"/>
      <w:r>
        <w:rPr>
          <w:b/>
          <w:bCs/>
          <w:sz w:val="22"/>
          <w:szCs w:val="22"/>
        </w:rPr>
        <w:t>решение</w:t>
      </w:r>
      <w:proofErr w:type="spellEnd"/>
    </w:p>
    <w:p w14:paraId="42D2F57A" w14:textId="77777777" w:rsidR="000D467B" w:rsidRPr="004F1244" w:rsidRDefault="000D467B" w:rsidP="00CD2CE3">
      <w:pPr>
        <w:pStyle w:val="ListParagraph"/>
        <w:numPr>
          <w:ilvl w:val="0"/>
          <w:numId w:val="12"/>
        </w:numPr>
        <w:spacing w:before="0" w:line="240" w:lineRule="auto"/>
        <w:ind w:left="0" w:firstLine="0"/>
        <w:contextualSpacing w:val="0"/>
        <w:rPr>
          <w:b/>
          <w:sz w:val="22"/>
          <w:szCs w:val="22"/>
          <w:lang w:val="ru-RU"/>
        </w:rPr>
      </w:pPr>
      <w:r w:rsidRPr="00B77B10">
        <w:rPr>
          <w:sz w:val="22"/>
          <w:szCs w:val="22"/>
          <w:lang w:val="ru-RU"/>
        </w:rPr>
        <w:t xml:space="preserve">В свете вышеизложенного Исполнительному совету МОК предлагается рассмотреть содержащийся в добавлении к документу о принятых и предлагаемых мерах (документ </w:t>
      </w:r>
      <w:r>
        <w:rPr>
          <w:sz w:val="22"/>
          <w:szCs w:val="22"/>
        </w:rPr>
        <w:t>IOC</w:t>
      </w:r>
      <w:r w:rsidRPr="00B77B10">
        <w:rPr>
          <w:sz w:val="22"/>
          <w:szCs w:val="22"/>
          <w:lang w:val="ru-RU"/>
        </w:rPr>
        <w:t>/</w:t>
      </w:r>
      <w:r>
        <w:rPr>
          <w:sz w:val="22"/>
          <w:szCs w:val="22"/>
        </w:rPr>
        <w:t>EC</w:t>
      </w:r>
      <w:r w:rsidRPr="00B77B10">
        <w:rPr>
          <w:sz w:val="22"/>
          <w:szCs w:val="22"/>
          <w:lang w:val="ru-RU"/>
        </w:rPr>
        <w:t>-53/</w:t>
      </w:r>
      <w:r>
        <w:rPr>
          <w:sz w:val="22"/>
          <w:szCs w:val="22"/>
        </w:rPr>
        <w:t>AP Rev</w:t>
      </w:r>
      <w:r w:rsidRPr="00B77B10">
        <w:rPr>
          <w:sz w:val="22"/>
          <w:szCs w:val="22"/>
          <w:lang w:val="ru-RU"/>
        </w:rPr>
        <w:t>.2</w:t>
      </w:r>
      <w:r>
        <w:rPr>
          <w:sz w:val="22"/>
          <w:szCs w:val="22"/>
        </w:rPr>
        <w:t>Add</w:t>
      </w:r>
      <w:r w:rsidRPr="00B77B10">
        <w:rPr>
          <w:sz w:val="22"/>
          <w:szCs w:val="22"/>
          <w:lang w:val="ru-RU"/>
        </w:rPr>
        <w:t xml:space="preserve">) проект резолюции </w:t>
      </w:r>
      <w:r>
        <w:rPr>
          <w:sz w:val="22"/>
          <w:szCs w:val="22"/>
        </w:rPr>
        <w:t>EC</w:t>
      </w:r>
      <w:r w:rsidRPr="00B77B10">
        <w:rPr>
          <w:sz w:val="22"/>
          <w:szCs w:val="22"/>
          <w:lang w:val="ru-RU"/>
        </w:rPr>
        <w:t>-53</w:t>
      </w:r>
      <w:r w:rsidRPr="00B77B10">
        <w:rPr>
          <w:b/>
          <w:bCs/>
          <w:sz w:val="22"/>
          <w:szCs w:val="22"/>
          <w:lang w:val="ru-RU"/>
        </w:rPr>
        <w:t>/</w:t>
      </w:r>
      <w:proofErr w:type="gramStart"/>
      <w:r>
        <w:rPr>
          <w:sz w:val="22"/>
          <w:szCs w:val="22"/>
        </w:rPr>
        <w:t>DR</w:t>
      </w:r>
      <w:r w:rsidRPr="00B77B10">
        <w:rPr>
          <w:sz w:val="22"/>
          <w:szCs w:val="22"/>
          <w:lang w:val="ru-RU"/>
        </w:rPr>
        <w:t>.[</w:t>
      </w:r>
      <w:proofErr w:type="gramEnd"/>
      <w:r w:rsidRPr="00B77B10">
        <w:rPr>
          <w:sz w:val="22"/>
          <w:szCs w:val="22"/>
          <w:lang w:val="ru-RU"/>
        </w:rPr>
        <w:t xml:space="preserve">4.1].  </w:t>
      </w:r>
    </w:p>
    <w:p w14:paraId="32200E7B" w14:textId="77777777" w:rsidR="00CD2CE3" w:rsidRPr="004F1244" w:rsidRDefault="00CD2CE3">
      <w:pPr>
        <w:spacing w:before="0" w:after="160" w:line="259" w:lineRule="auto"/>
        <w:jc w:val="left"/>
        <w:rPr>
          <w:sz w:val="22"/>
          <w:szCs w:val="22"/>
          <w:lang w:val="ru-RU"/>
        </w:rPr>
      </w:pPr>
      <w:r w:rsidRPr="00B77B10">
        <w:rPr>
          <w:sz w:val="22"/>
          <w:szCs w:val="22"/>
          <w:lang w:val="ru-RU"/>
        </w:rPr>
        <w:br w:type="page"/>
      </w:r>
    </w:p>
    <w:p w14:paraId="12D85143" w14:textId="77777777" w:rsidR="00C05E2D" w:rsidRPr="004F1244" w:rsidRDefault="00CD2CE3" w:rsidP="00CD2CE3">
      <w:pPr>
        <w:pStyle w:val="Style2"/>
        <w:tabs>
          <w:tab w:val="clear" w:pos="1400"/>
          <w:tab w:val="left" w:pos="709"/>
        </w:tabs>
        <w:ind w:left="0"/>
        <w:jc w:val="center"/>
        <w:rPr>
          <w:rFonts w:cs="Arial"/>
          <w:b/>
          <w:bCs/>
          <w:color w:val="000000"/>
          <w:lang w:val="ru-RU"/>
        </w:rPr>
      </w:pPr>
      <w:r w:rsidRPr="00B77B10">
        <w:rPr>
          <w:iCs w:val="0"/>
          <w:lang w:val="ru-RU"/>
        </w:rPr>
        <w:lastRenderedPageBreak/>
        <w:t>ПРИЛОЖЕНИЕ 1</w:t>
      </w:r>
      <w:r w:rsidRPr="00B77B10">
        <w:rPr>
          <w:iCs w:val="0"/>
          <w:lang w:val="ru-RU"/>
        </w:rPr>
        <w:br/>
      </w:r>
      <w:r w:rsidRPr="00B77B10">
        <w:rPr>
          <w:iCs w:val="0"/>
          <w:lang w:val="ru-RU"/>
        </w:rPr>
        <w:br/>
      </w:r>
      <w:r w:rsidRPr="00B77B10">
        <w:rPr>
          <w:b/>
          <w:bCs/>
          <w:iCs w:val="0"/>
          <w:lang w:val="ru-RU"/>
        </w:rPr>
        <w:t>Пересмотренный круг ведения Группы планирования деятельности (ГПД), связанной с Десятилетием ООН,</w:t>
      </w:r>
      <w:r w:rsidRPr="00B77B10">
        <w:rPr>
          <w:iCs w:val="0"/>
          <w:lang w:val="ru-RU"/>
        </w:rPr>
        <w:br/>
      </w:r>
      <w:r w:rsidRPr="00B77B10">
        <w:rPr>
          <w:b/>
          <w:bCs/>
          <w:iCs w:val="0"/>
          <w:lang w:val="ru-RU"/>
        </w:rPr>
        <w:t xml:space="preserve"> посвященным науке об океане в интересах устойчивого развития (2021–2030 гг.), </w:t>
      </w:r>
      <w:r w:rsidRPr="00B77B10">
        <w:rPr>
          <w:iCs w:val="0"/>
          <w:lang w:val="ru-RU"/>
        </w:rPr>
        <w:br/>
      </w:r>
      <w:r w:rsidRPr="00B77B10">
        <w:rPr>
          <w:b/>
          <w:bCs/>
          <w:iCs w:val="0"/>
          <w:lang w:val="ru-RU"/>
        </w:rPr>
        <w:t>временно исполняющей обязанности Консультативного совета по вопросам проведения Десятилетия (в 2021 году)</w:t>
      </w:r>
    </w:p>
    <w:p w14:paraId="0FB2433F" w14:textId="77777777" w:rsidR="00C05E2D" w:rsidRPr="004F1244" w:rsidRDefault="00C05E2D" w:rsidP="00CD2CE3">
      <w:pPr>
        <w:pStyle w:val="Heading3"/>
        <w:spacing w:before="0" w:after="240" w:line="240" w:lineRule="auto"/>
        <w:rPr>
          <w:rFonts w:ascii="Arial" w:hAnsi="Arial" w:cs="Arial"/>
          <w:bCs/>
          <w:color w:val="000000" w:themeColor="text1"/>
          <w:sz w:val="22"/>
          <w:szCs w:val="22"/>
          <w:u w:val="single"/>
          <w:lang w:val="ru-RU"/>
        </w:rPr>
      </w:pPr>
      <w:r w:rsidRPr="00B77B10">
        <w:rPr>
          <w:rFonts w:ascii="Arial" w:hAnsi="Arial" w:cs="Arial"/>
          <w:color w:val="000000" w:themeColor="text1"/>
          <w:sz w:val="22"/>
          <w:szCs w:val="22"/>
          <w:u w:val="single"/>
          <w:lang w:val="ru-RU"/>
        </w:rPr>
        <w:t>Цели</w:t>
      </w:r>
    </w:p>
    <w:p w14:paraId="44CA7B70" w14:textId="77777777" w:rsidR="00C05E2D" w:rsidRPr="004F1244" w:rsidRDefault="00C05E2D" w:rsidP="00CD2CE3">
      <w:pPr>
        <w:tabs>
          <w:tab w:val="left" w:pos="2940"/>
        </w:tabs>
        <w:spacing w:before="0" w:line="240" w:lineRule="auto"/>
        <w:rPr>
          <w:sz w:val="22"/>
          <w:szCs w:val="22"/>
          <w:lang w:val="ru-RU"/>
        </w:rPr>
      </w:pPr>
      <w:r w:rsidRPr="00B77B10">
        <w:rPr>
          <w:sz w:val="22"/>
          <w:szCs w:val="22"/>
          <w:lang w:val="ru-RU"/>
        </w:rPr>
        <w:t xml:space="preserve">Основная цель учреждения ГПД состоит в выполнении роли консультативного экспертного органа на уровне руководящих органов МОК и временном осуществлении полномочий Консультативного совета по вопросам проведения Десятилетия для оказания содействия в запуске Десятилетия в соответствии с Планом проведения Десятилетия до момента официального создания Консультативного совета по вопросам проведения Десятилетия в 2021 году. </w:t>
      </w:r>
    </w:p>
    <w:p w14:paraId="26EE5054" w14:textId="77777777" w:rsidR="00C05E2D" w:rsidRPr="00CD2CE3" w:rsidRDefault="00C05E2D" w:rsidP="00CD2CE3">
      <w:pPr>
        <w:pStyle w:val="ListParagraph"/>
        <w:numPr>
          <w:ilvl w:val="0"/>
          <w:numId w:val="5"/>
        </w:numPr>
        <w:spacing w:before="0" w:line="240" w:lineRule="auto"/>
        <w:ind w:left="709" w:hanging="709"/>
        <w:contextualSpacing w:val="0"/>
        <w:rPr>
          <w:b/>
          <w:sz w:val="22"/>
          <w:szCs w:val="22"/>
        </w:rPr>
      </w:pPr>
      <w:proofErr w:type="spellStart"/>
      <w:r>
        <w:rPr>
          <w:b/>
          <w:bCs/>
          <w:sz w:val="22"/>
          <w:szCs w:val="22"/>
        </w:rPr>
        <w:t>Функции</w:t>
      </w:r>
      <w:proofErr w:type="spellEnd"/>
      <w:r>
        <w:rPr>
          <w:b/>
          <w:bCs/>
          <w:sz w:val="22"/>
          <w:szCs w:val="22"/>
        </w:rPr>
        <w:t xml:space="preserve"> </w:t>
      </w:r>
      <w:proofErr w:type="spellStart"/>
      <w:r>
        <w:rPr>
          <w:b/>
          <w:bCs/>
          <w:sz w:val="22"/>
          <w:szCs w:val="22"/>
        </w:rPr>
        <w:t>Группы</w:t>
      </w:r>
      <w:proofErr w:type="spellEnd"/>
      <w:r>
        <w:rPr>
          <w:b/>
          <w:bCs/>
          <w:sz w:val="22"/>
          <w:szCs w:val="22"/>
        </w:rPr>
        <w:t xml:space="preserve"> </w:t>
      </w:r>
      <w:proofErr w:type="spellStart"/>
      <w:r>
        <w:rPr>
          <w:b/>
          <w:bCs/>
          <w:sz w:val="22"/>
          <w:szCs w:val="22"/>
        </w:rPr>
        <w:t>планирования</w:t>
      </w:r>
      <w:proofErr w:type="spellEnd"/>
      <w:r>
        <w:rPr>
          <w:b/>
          <w:bCs/>
          <w:sz w:val="22"/>
          <w:szCs w:val="22"/>
        </w:rPr>
        <w:t xml:space="preserve"> </w:t>
      </w:r>
      <w:proofErr w:type="spellStart"/>
      <w:r>
        <w:rPr>
          <w:b/>
          <w:bCs/>
          <w:sz w:val="22"/>
          <w:szCs w:val="22"/>
        </w:rPr>
        <w:t>деятельности</w:t>
      </w:r>
      <w:proofErr w:type="spellEnd"/>
    </w:p>
    <w:p w14:paraId="1F8C7BC9" w14:textId="77777777" w:rsidR="00C05E2D" w:rsidRPr="004F1244" w:rsidRDefault="00C05E2D" w:rsidP="00CD2CE3">
      <w:pPr>
        <w:pStyle w:val="ListParagraph"/>
        <w:tabs>
          <w:tab w:val="left" w:pos="2940"/>
        </w:tabs>
        <w:spacing w:before="0" w:line="240" w:lineRule="auto"/>
        <w:ind w:left="-5"/>
        <w:contextualSpacing w:val="0"/>
        <w:rPr>
          <w:sz w:val="22"/>
          <w:szCs w:val="22"/>
          <w:lang w:val="ru-RU"/>
        </w:rPr>
      </w:pPr>
      <w:proofErr w:type="gramStart"/>
      <w:r w:rsidRPr="00B77B10">
        <w:rPr>
          <w:sz w:val="22"/>
          <w:szCs w:val="22"/>
          <w:lang w:val="ru-RU"/>
        </w:rPr>
        <w:t>Достижение ГПД</w:t>
      </w:r>
      <w:proofErr w:type="gramEnd"/>
      <w:r w:rsidRPr="00B77B10">
        <w:rPr>
          <w:sz w:val="22"/>
          <w:szCs w:val="22"/>
          <w:lang w:val="ru-RU"/>
        </w:rPr>
        <w:t xml:space="preserve"> поставленных перед ней целей будет обеспечиваться путем выполнения следующих функций: </w:t>
      </w:r>
    </w:p>
    <w:p w14:paraId="6B759C9E" w14:textId="77777777" w:rsidR="0003229D" w:rsidRPr="004F1244" w:rsidRDefault="00070F4E"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ru-RU"/>
        </w:rPr>
      </w:pPr>
      <w:r w:rsidRPr="00B77B10">
        <w:rPr>
          <w:rFonts w:ascii="Arial" w:hAnsi="Arial" w:cs="Arial"/>
          <w:sz w:val="22"/>
          <w:szCs w:val="22"/>
          <w:lang w:val="ru-RU"/>
        </w:rPr>
        <w:t>представление материалов для разработки стратегической документации, связанной со структурными и сквозными практическими элементами Плана проведения Десятилетия (например, структура мониторинга и оценки, стратегия повышения грамотности в связанных с океаном вопросах, данные, используемые в рамках Десятилетия, стратегия управления информацией и знаниями);</w:t>
      </w:r>
    </w:p>
    <w:p w14:paraId="1A0647FF" w14:textId="77777777" w:rsidR="0003229D" w:rsidRPr="004F1244" w:rsidRDefault="0003229D"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ru-RU"/>
        </w:rPr>
      </w:pPr>
      <w:r w:rsidRPr="00B77B10">
        <w:rPr>
          <w:rFonts w:ascii="Arial" w:hAnsi="Arial" w:cs="Arial"/>
          <w:sz w:val="22"/>
          <w:szCs w:val="22"/>
          <w:lang w:val="ru-RU"/>
        </w:rPr>
        <w:t>представление рекомендаций по стратегиям мобилизации ресурсов в поддержку проведения Десятилетия;</w:t>
      </w:r>
    </w:p>
    <w:p w14:paraId="7E04B901" w14:textId="77777777" w:rsidR="0003229D" w:rsidRPr="004F1244"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ru-RU"/>
        </w:rPr>
      </w:pPr>
      <w:r w:rsidRPr="00B77B10">
        <w:rPr>
          <w:rFonts w:ascii="Arial" w:hAnsi="Arial" w:cs="Arial"/>
          <w:sz w:val="22"/>
          <w:szCs w:val="22"/>
          <w:lang w:val="ru-RU"/>
        </w:rPr>
        <w:t>организация соответствующих Запросов предложений в рамках Десятилетия в течение 2021 года;</w:t>
      </w:r>
    </w:p>
    <w:p w14:paraId="163A647C" w14:textId="77777777" w:rsidR="0003229D" w:rsidRPr="004F1244" w:rsidRDefault="0003229D"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ru-RU"/>
        </w:rPr>
      </w:pPr>
      <w:r w:rsidRPr="00B77B10">
        <w:rPr>
          <w:rFonts w:ascii="Arial" w:hAnsi="Arial" w:cs="Arial"/>
          <w:sz w:val="22"/>
          <w:szCs w:val="22"/>
          <w:lang w:val="ru-RU"/>
        </w:rPr>
        <w:t>взаимодействие и консультации с заинтересованными сообществами в отношении их вклада в достижение целей Десятилетия с уделением первоочередного внимания начинающим карьеру специалистам по исследованию океана, социально неблагополучным группам населения и регионам, а также вопросам взаимосвязи науки и политики на основе итогов подготовительного этапа;</w:t>
      </w:r>
    </w:p>
    <w:p w14:paraId="592DAC1B" w14:textId="77777777" w:rsidR="0003229D" w:rsidRPr="004F1244"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ru-RU"/>
        </w:rPr>
      </w:pPr>
      <w:r w:rsidRPr="00B77B10">
        <w:rPr>
          <w:rFonts w:ascii="Arial" w:hAnsi="Arial" w:cs="Arial"/>
          <w:sz w:val="22"/>
          <w:szCs w:val="22"/>
          <w:lang w:val="ru-RU"/>
        </w:rPr>
        <w:t xml:space="preserve">рассмотрение и формулирование рекомендаций по утверждению программ в рамках Десятилетия;  </w:t>
      </w:r>
    </w:p>
    <w:p w14:paraId="48307774" w14:textId="77777777" w:rsidR="0003229D" w:rsidRPr="004F1244"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ru-RU"/>
        </w:rPr>
      </w:pPr>
      <w:r w:rsidRPr="00B77B10">
        <w:rPr>
          <w:rFonts w:ascii="Arial" w:hAnsi="Arial" w:cs="Arial"/>
          <w:sz w:val="22"/>
          <w:szCs w:val="22"/>
          <w:lang w:val="ru-RU"/>
        </w:rPr>
        <w:t xml:space="preserve">рассмотрение и формулирование рекомендаций в отношении утверждения Центров сотрудничества в рамках Десятилетия, созданных в рамках Десятилетия. </w:t>
      </w:r>
    </w:p>
    <w:p w14:paraId="06636959" w14:textId="77777777" w:rsidR="0003229D" w:rsidRPr="004F1244"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ru-RU"/>
        </w:rPr>
      </w:pPr>
      <w:r w:rsidRPr="00B77B10">
        <w:rPr>
          <w:rFonts w:ascii="Arial" w:hAnsi="Arial" w:cs="Arial"/>
          <w:sz w:val="22"/>
          <w:szCs w:val="22"/>
          <w:lang w:val="ru-RU"/>
        </w:rPr>
        <w:t>содействие распространению информации о Десятилетии, поощрение интереса на высоком уровне и привлечение к проведению Десятилетия, включая помощь в организации ключевых для запуска Десятилетия мероприятий;</w:t>
      </w:r>
    </w:p>
    <w:p w14:paraId="2ECD2465" w14:textId="41346BC8" w:rsidR="0003229D" w:rsidRPr="004F1244" w:rsidRDefault="000F05EF"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ru-RU"/>
        </w:rPr>
      </w:pPr>
      <w:r w:rsidRPr="00B77B10">
        <w:rPr>
          <w:rFonts w:ascii="Arial" w:hAnsi="Arial" w:cs="Arial"/>
          <w:sz w:val="22"/>
          <w:szCs w:val="22"/>
          <w:lang w:val="ru-RU"/>
        </w:rPr>
        <w:t>предоставление информации</w:t>
      </w:r>
      <w:r w:rsidRPr="0027332B">
        <w:rPr>
          <w:rFonts w:ascii="Arial" w:hAnsi="Arial" w:cs="Arial"/>
          <w:sz w:val="22"/>
          <w:szCs w:val="22"/>
          <w:lang w:val="ru-RU"/>
        </w:rPr>
        <w:t xml:space="preserve"> </w:t>
      </w:r>
      <w:r>
        <w:rPr>
          <w:rFonts w:ascii="Arial" w:hAnsi="Arial" w:cs="Arial"/>
          <w:sz w:val="22"/>
          <w:szCs w:val="22"/>
          <w:lang w:val="ru-RU"/>
        </w:rPr>
        <w:t xml:space="preserve">Исполнительному секретарю МОК в целях содействия </w:t>
      </w:r>
      <w:r w:rsidR="00E94700" w:rsidRPr="00B77B10">
        <w:rPr>
          <w:rFonts w:ascii="Arial" w:hAnsi="Arial" w:cs="Arial"/>
          <w:sz w:val="22"/>
          <w:szCs w:val="22"/>
          <w:lang w:val="ru-RU"/>
        </w:rPr>
        <w:t>представлени</w:t>
      </w:r>
      <w:r w:rsidRPr="00B77B10">
        <w:rPr>
          <w:rFonts w:ascii="Arial" w:hAnsi="Arial" w:cs="Arial"/>
          <w:sz w:val="22"/>
          <w:szCs w:val="22"/>
          <w:lang w:val="ru-RU"/>
        </w:rPr>
        <w:t>я им</w:t>
      </w:r>
      <w:r w:rsidR="00E94700" w:rsidRPr="00B77B10">
        <w:rPr>
          <w:rFonts w:ascii="Arial" w:hAnsi="Arial" w:cs="Arial"/>
          <w:sz w:val="22"/>
          <w:szCs w:val="22"/>
          <w:lang w:val="ru-RU"/>
        </w:rPr>
        <w:t xml:space="preserve"> докладов руководящим органам МОК, а также помощь в </w:t>
      </w:r>
      <w:r w:rsidR="00E94700" w:rsidRPr="00B77B10">
        <w:rPr>
          <w:rFonts w:ascii="Arial" w:hAnsi="Arial" w:cs="Arial"/>
          <w:sz w:val="22"/>
          <w:szCs w:val="22"/>
          <w:lang w:val="ru-RU"/>
        </w:rPr>
        <w:lastRenderedPageBreak/>
        <w:t xml:space="preserve">предоставлении информации, необходимой </w:t>
      </w:r>
      <w:r w:rsidRPr="00B77B10">
        <w:rPr>
          <w:rFonts w:ascii="Arial" w:hAnsi="Arial" w:cs="Arial"/>
          <w:sz w:val="22"/>
          <w:szCs w:val="22"/>
          <w:lang w:val="ru-RU"/>
        </w:rPr>
        <w:t>Г</w:t>
      </w:r>
      <w:r w:rsidR="00E94700" w:rsidRPr="00B77B10">
        <w:rPr>
          <w:rFonts w:ascii="Arial" w:hAnsi="Arial" w:cs="Arial"/>
          <w:sz w:val="22"/>
          <w:szCs w:val="22"/>
          <w:lang w:val="ru-RU"/>
        </w:rPr>
        <w:t xml:space="preserve">енеральному </w:t>
      </w:r>
      <w:r w:rsidRPr="00B77B10">
        <w:rPr>
          <w:rFonts w:ascii="Arial" w:hAnsi="Arial" w:cs="Arial"/>
          <w:sz w:val="22"/>
          <w:szCs w:val="22"/>
          <w:lang w:val="ru-RU"/>
        </w:rPr>
        <w:t xml:space="preserve">секретарю </w:t>
      </w:r>
      <w:r>
        <w:rPr>
          <w:rFonts w:ascii="Arial" w:hAnsi="Arial" w:cs="Arial"/>
          <w:sz w:val="22"/>
          <w:szCs w:val="22"/>
        </w:rPr>
        <w:t>ООН</w:t>
      </w:r>
      <w:r w:rsidR="00E94700">
        <w:rPr>
          <w:rFonts w:ascii="Arial" w:hAnsi="Arial" w:cs="Arial"/>
          <w:sz w:val="22"/>
          <w:szCs w:val="22"/>
        </w:rPr>
        <w:t xml:space="preserve"> </w:t>
      </w:r>
      <w:proofErr w:type="spellStart"/>
      <w:r w:rsidR="00E94700">
        <w:rPr>
          <w:rFonts w:ascii="Arial" w:hAnsi="Arial" w:cs="Arial"/>
          <w:sz w:val="22"/>
          <w:szCs w:val="22"/>
        </w:rPr>
        <w:t>для</w:t>
      </w:r>
      <w:proofErr w:type="spellEnd"/>
      <w:r w:rsidR="00E94700">
        <w:rPr>
          <w:rFonts w:ascii="Arial" w:hAnsi="Arial" w:cs="Arial"/>
          <w:sz w:val="22"/>
          <w:szCs w:val="22"/>
        </w:rPr>
        <w:t xml:space="preserve"> </w:t>
      </w:r>
      <w:proofErr w:type="spellStart"/>
      <w:r>
        <w:rPr>
          <w:rFonts w:ascii="Arial" w:hAnsi="Arial" w:cs="Arial"/>
          <w:sz w:val="22"/>
          <w:szCs w:val="22"/>
        </w:rPr>
        <w:t>доклада</w:t>
      </w:r>
      <w:proofErr w:type="spellEnd"/>
      <w:r>
        <w:rPr>
          <w:rFonts w:ascii="Arial" w:hAnsi="Arial" w:cs="Arial"/>
          <w:sz w:val="22"/>
          <w:szCs w:val="22"/>
        </w:rPr>
        <w:t xml:space="preserve"> </w:t>
      </w:r>
      <w:r w:rsidR="00E94700">
        <w:rPr>
          <w:rFonts w:ascii="Arial" w:hAnsi="Arial" w:cs="Arial"/>
          <w:sz w:val="22"/>
          <w:szCs w:val="22"/>
        </w:rPr>
        <w:t xml:space="preserve">о </w:t>
      </w:r>
      <w:proofErr w:type="spellStart"/>
      <w:r w:rsidR="00E94700">
        <w:rPr>
          <w:rFonts w:ascii="Arial" w:hAnsi="Arial" w:cs="Arial"/>
          <w:sz w:val="22"/>
          <w:szCs w:val="22"/>
        </w:rPr>
        <w:t>ходе</w:t>
      </w:r>
      <w:proofErr w:type="spellEnd"/>
      <w:r w:rsidR="00E94700">
        <w:rPr>
          <w:rFonts w:ascii="Arial" w:hAnsi="Arial" w:cs="Arial"/>
          <w:sz w:val="22"/>
          <w:szCs w:val="22"/>
        </w:rPr>
        <w:t xml:space="preserve"> </w:t>
      </w:r>
      <w:proofErr w:type="spellStart"/>
      <w:r w:rsidR="00E94700">
        <w:rPr>
          <w:rFonts w:ascii="Arial" w:hAnsi="Arial" w:cs="Arial"/>
          <w:sz w:val="22"/>
          <w:szCs w:val="22"/>
        </w:rPr>
        <w:t>работы</w:t>
      </w:r>
      <w:proofErr w:type="spellEnd"/>
      <w:r w:rsidR="00E94700">
        <w:rPr>
          <w:rFonts w:ascii="Arial" w:hAnsi="Arial" w:cs="Arial"/>
          <w:sz w:val="22"/>
          <w:szCs w:val="22"/>
        </w:rPr>
        <w:t xml:space="preserve"> </w:t>
      </w:r>
      <w:proofErr w:type="spellStart"/>
      <w:r w:rsidR="00E94700">
        <w:rPr>
          <w:rFonts w:ascii="Arial" w:hAnsi="Arial" w:cs="Arial"/>
          <w:sz w:val="22"/>
          <w:szCs w:val="22"/>
        </w:rPr>
        <w:t>Генеральной</w:t>
      </w:r>
      <w:proofErr w:type="spellEnd"/>
      <w:r w:rsidR="00E94700">
        <w:rPr>
          <w:rFonts w:ascii="Arial" w:hAnsi="Arial" w:cs="Arial"/>
          <w:sz w:val="22"/>
          <w:szCs w:val="22"/>
        </w:rPr>
        <w:t xml:space="preserve"> </w:t>
      </w:r>
      <w:proofErr w:type="spellStart"/>
      <w:r w:rsidR="00E94700">
        <w:rPr>
          <w:rFonts w:ascii="Arial" w:hAnsi="Arial" w:cs="Arial"/>
          <w:sz w:val="22"/>
          <w:szCs w:val="22"/>
        </w:rPr>
        <w:t>Ассамблее</w:t>
      </w:r>
      <w:proofErr w:type="spellEnd"/>
      <w:r w:rsidR="00E94700">
        <w:rPr>
          <w:rFonts w:ascii="Arial" w:hAnsi="Arial" w:cs="Arial"/>
          <w:sz w:val="22"/>
          <w:szCs w:val="22"/>
        </w:rPr>
        <w:t xml:space="preserve"> ООН</w:t>
      </w:r>
      <w:r w:rsidR="008F025B">
        <w:rPr>
          <w:rStyle w:val="FootnoteReference"/>
          <w:rFonts w:ascii="Arial" w:hAnsi="Arial" w:cs="Arial"/>
          <w:sz w:val="22"/>
          <w:szCs w:val="22"/>
        </w:rPr>
        <w:footnoteReference w:id="2"/>
      </w:r>
      <w:r w:rsidR="00E94700">
        <w:rPr>
          <w:rFonts w:ascii="Arial" w:hAnsi="Arial" w:cs="Arial"/>
          <w:sz w:val="22"/>
          <w:szCs w:val="22"/>
        </w:rPr>
        <w:t>.</w:t>
      </w:r>
    </w:p>
    <w:p w14:paraId="0EF9FEDA" w14:textId="77777777" w:rsidR="0003229D" w:rsidRPr="004F1244" w:rsidRDefault="00542C00" w:rsidP="00CD2CE3">
      <w:pPr>
        <w:pStyle w:val="NormalWeb"/>
        <w:numPr>
          <w:ilvl w:val="0"/>
          <w:numId w:val="10"/>
        </w:numPr>
        <w:tabs>
          <w:tab w:val="left" w:pos="709"/>
        </w:tabs>
        <w:spacing w:before="0" w:beforeAutospacing="0" w:after="240" w:afterAutospacing="0"/>
        <w:ind w:left="709" w:hanging="709"/>
        <w:jc w:val="both"/>
        <w:rPr>
          <w:rFonts w:ascii="Arial" w:hAnsi="Arial" w:cs="Arial"/>
          <w:color w:val="000000" w:themeColor="text1"/>
          <w:sz w:val="22"/>
          <w:szCs w:val="22"/>
          <w:lang w:val="ru-RU"/>
        </w:rPr>
      </w:pPr>
      <w:r w:rsidRPr="00B77B10">
        <w:rPr>
          <w:rFonts w:ascii="Arial" w:hAnsi="Arial" w:cs="Arial"/>
          <w:sz w:val="22"/>
          <w:szCs w:val="22"/>
          <w:lang w:val="ru-RU"/>
        </w:rPr>
        <w:t>обеспечение обмена информацией, в том числе, касающейся общих и приоритетных задач и ожидаемых результатов Десятилетия, между всеми заинтересованными сторонами и обеспечение обратной связи при необходимости</w:t>
      </w:r>
      <w:r w:rsidRPr="00B77B10">
        <w:rPr>
          <w:rFonts w:ascii="Arial" w:hAnsi="Arial" w:cs="Arial"/>
          <w:color w:val="000000" w:themeColor="text1"/>
          <w:sz w:val="22"/>
          <w:szCs w:val="22"/>
          <w:lang w:val="ru-RU"/>
        </w:rPr>
        <w:t>.</w:t>
      </w:r>
    </w:p>
    <w:p w14:paraId="27B2A19A" w14:textId="77777777" w:rsidR="00C05E2D" w:rsidRPr="00CD2CE3" w:rsidRDefault="00070F4E" w:rsidP="00CD2CE3">
      <w:pPr>
        <w:pStyle w:val="ListParagraph"/>
        <w:numPr>
          <w:ilvl w:val="0"/>
          <w:numId w:val="5"/>
        </w:numPr>
        <w:spacing w:before="0" w:line="240" w:lineRule="auto"/>
        <w:ind w:left="709" w:hanging="709"/>
        <w:contextualSpacing w:val="0"/>
        <w:jc w:val="left"/>
        <w:rPr>
          <w:b/>
          <w:bCs/>
          <w:sz w:val="22"/>
          <w:szCs w:val="22"/>
        </w:rPr>
      </w:pPr>
      <w:proofErr w:type="spellStart"/>
      <w:r>
        <w:rPr>
          <w:b/>
          <w:bCs/>
          <w:sz w:val="22"/>
          <w:szCs w:val="22"/>
        </w:rPr>
        <w:t>Состав</w:t>
      </w:r>
      <w:proofErr w:type="spellEnd"/>
      <w:r>
        <w:rPr>
          <w:b/>
          <w:bCs/>
          <w:sz w:val="22"/>
          <w:szCs w:val="22"/>
        </w:rPr>
        <w:t xml:space="preserve"> </w:t>
      </w:r>
      <w:proofErr w:type="spellStart"/>
      <w:r>
        <w:rPr>
          <w:b/>
          <w:bCs/>
          <w:sz w:val="22"/>
          <w:szCs w:val="22"/>
        </w:rPr>
        <w:t>Группы</w:t>
      </w:r>
      <w:proofErr w:type="spellEnd"/>
      <w:r>
        <w:rPr>
          <w:b/>
          <w:bCs/>
          <w:sz w:val="22"/>
          <w:szCs w:val="22"/>
        </w:rPr>
        <w:t xml:space="preserve"> </w:t>
      </w:r>
      <w:proofErr w:type="spellStart"/>
      <w:r>
        <w:rPr>
          <w:b/>
          <w:bCs/>
          <w:sz w:val="22"/>
          <w:szCs w:val="22"/>
        </w:rPr>
        <w:t>планирования</w:t>
      </w:r>
      <w:proofErr w:type="spellEnd"/>
      <w:r>
        <w:rPr>
          <w:b/>
          <w:bCs/>
          <w:sz w:val="22"/>
          <w:szCs w:val="22"/>
        </w:rPr>
        <w:t xml:space="preserve"> </w:t>
      </w:r>
      <w:proofErr w:type="spellStart"/>
      <w:r>
        <w:rPr>
          <w:b/>
          <w:bCs/>
          <w:sz w:val="22"/>
          <w:szCs w:val="22"/>
        </w:rPr>
        <w:t>деятельности</w:t>
      </w:r>
      <w:proofErr w:type="spellEnd"/>
    </w:p>
    <w:p w14:paraId="0AEE5176" w14:textId="77777777" w:rsidR="00542C00" w:rsidRPr="004F1244" w:rsidRDefault="00542C00" w:rsidP="00CD2CE3">
      <w:pPr>
        <w:tabs>
          <w:tab w:val="left" w:pos="2940"/>
        </w:tabs>
        <w:spacing w:before="0" w:line="240" w:lineRule="auto"/>
        <w:rPr>
          <w:sz w:val="22"/>
          <w:szCs w:val="22"/>
          <w:lang w:val="ru-RU"/>
        </w:rPr>
      </w:pPr>
      <w:r w:rsidRPr="00B77B10">
        <w:rPr>
          <w:sz w:val="22"/>
          <w:szCs w:val="22"/>
          <w:lang w:val="ru-RU"/>
        </w:rPr>
        <w:t xml:space="preserve">Состав ГПД останется таким же, каким был при создании группы в 2018 г. во исполнение резолюции </w:t>
      </w:r>
      <w:r>
        <w:rPr>
          <w:sz w:val="22"/>
          <w:szCs w:val="22"/>
        </w:rPr>
        <w:t>EC</w:t>
      </w:r>
      <w:r w:rsidRPr="00B77B10">
        <w:rPr>
          <w:sz w:val="22"/>
          <w:szCs w:val="22"/>
          <w:lang w:val="ru-RU"/>
        </w:rPr>
        <w:t>-</w:t>
      </w:r>
      <w:r>
        <w:rPr>
          <w:sz w:val="22"/>
          <w:szCs w:val="22"/>
        </w:rPr>
        <w:t>LI</w:t>
      </w:r>
      <w:r w:rsidRPr="00B77B10">
        <w:rPr>
          <w:sz w:val="22"/>
          <w:szCs w:val="22"/>
          <w:lang w:val="ru-RU"/>
        </w:rPr>
        <w:t>.1.</w:t>
      </w:r>
    </w:p>
    <w:p w14:paraId="73B7DE67" w14:textId="77777777" w:rsidR="00E16387" w:rsidRPr="004F1244" w:rsidRDefault="00C05E2D" w:rsidP="00CD2CE3">
      <w:pPr>
        <w:pStyle w:val="ListParagraph"/>
        <w:tabs>
          <w:tab w:val="left" w:pos="2940"/>
        </w:tabs>
        <w:spacing w:before="0" w:line="240" w:lineRule="auto"/>
        <w:ind w:left="-5"/>
        <w:contextualSpacing w:val="0"/>
        <w:rPr>
          <w:sz w:val="22"/>
          <w:szCs w:val="22"/>
          <w:lang w:val="ru-RU"/>
        </w:rPr>
      </w:pPr>
      <w:r w:rsidRPr="00B77B10">
        <w:rPr>
          <w:color w:val="000000" w:themeColor="text1"/>
          <w:sz w:val="22"/>
          <w:szCs w:val="22"/>
          <w:lang w:val="ru-RU"/>
        </w:rPr>
        <w:t>Координирует работу ГПД Исполнительный секретарь. При необходимости ГПД может назначить лиц, ответственных за выполнение конкретных задач.</w:t>
      </w:r>
    </w:p>
    <w:p w14:paraId="6FDBFAA5" w14:textId="77777777" w:rsidR="00352EB5" w:rsidRPr="004F1244" w:rsidRDefault="00E16387" w:rsidP="00A26427">
      <w:pPr>
        <w:tabs>
          <w:tab w:val="left" w:pos="2940"/>
        </w:tabs>
        <w:spacing w:before="0" w:line="240" w:lineRule="auto"/>
        <w:rPr>
          <w:sz w:val="22"/>
          <w:szCs w:val="22"/>
          <w:lang w:val="ru-RU"/>
        </w:rPr>
      </w:pPr>
      <w:r w:rsidRPr="00B77B10">
        <w:rPr>
          <w:sz w:val="22"/>
          <w:szCs w:val="22"/>
          <w:lang w:val="ru-RU"/>
        </w:rPr>
        <w:t xml:space="preserve">По согласованию с ГПД Исполнительный секретарь может на разовой основе предложить другим экспертам, представляющим конкретную, не охваченную в рамках группы область знаний, участвовать в обсуждении соответствующего пункта повестки дня конкретного совещания ГПД или поручить им выполнение конкретной задачи. Все члены ГПД выступают </w:t>
      </w:r>
      <w:r w:rsidRPr="00B77B10">
        <w:rPr>
          <w:b/>
          <w:bCs/>
          <w:sz w:val="22"/>
          <w:szCs w:val="22"/>
          <w:lang w:val="ru-RU"/>
        </w:rPr>
        <w:t>в личном качестве</w:t>
      </w:r>
      <w:r w:rsidRPr="00B77B10">
        <w:rPr>
          <w:sz w:val="22"/>
          <w:szCs w:val="22"/>
          <w:lang w:val="ru-RU"/>
        </w:rPr>
        <w:t xml:space="preserve"> и не представляют свои организации. Члены ГПД должны иметь возможность посвящать достаточное количество времени работе в ГПД и несут ответственность за получение от своих работодателей разрешения на участие в этом процессе.</w:t>
      </w:r>
    </w:p>
    <w:p w14:paraId="652B7510" w14:textId="77777777" w:rsidR="00C05E2D" w:rsidRPr="00CD2CE3" w:rsidRDefault="00C05E2D" w:rsidP="00A26427">
      <w:pPr>
        <w:pStyle w:val="ListParagraph"/>
        <w:numPr>
          <w:ilvl w:val="0"/>
          <w:numId w:val="5"/>
        </w:numPr>
        <w:tabs>
          <w:tab w:val="left" w:pos="2940"/>
        </w:tabs>
        <w:spacing w:before="0" w:line="240" w:lineRule="auto"/>
        <w:contextualSpacing w:val="0"/>
        <w:rPr>
          <w:b/>
          <w:sz w:val="22"/>
          <w:szCs w:val="22"/>
        </w:rPr>
      </w:pPr>
      <w:proofErr w:type="spellStart"/>
      <w:r>
        <w:rPr>
          <w:b/>
          <w:bCs/>
          <w:sz w:val="22"/>
          <w:szCs w:val="22"/>
        </w:rPr>
        <w:t>Срок</w:t>
      </w:r>
      <w:proofErr w:type="spellEnd"/>
      <w:r>
        <w:rPr>
          <w:b/>
          <w:bCs/>
          <w:sz w:val="22"/>
          <w:szCs w:val="22"/>
        </w:rPr>
        <w:t xml:space="preserve"> </w:t>
      </w:r>
      <w:proofErr w:type="spellStart"/>
      <w:r>
        <w:rPr>
          <w:b/>
          <w:bCs/>
          <w:sz w:val="22"/>
          <w:szCs w:val="22"/>
        </w:rPr>
        <w:t>полномочий</w:t>
      </w:r>
      <w:proofErr w:type="spellEnd"/>
    </w:p>
    <w:p w14:paraId="4F36E105" w14:textId="77777777" w:rsidR="00352EB5" w:rsidRPr="004F1244" w:rsidRDefault="00E23783" w:rsidP="00DF6CE0">
      <w:pPr>
        <w:pStyle w:val="ListParagraph"/>
        <w:tabs>
          <w:tab w:val="left" w:pos="2940"/>
        </w:tabs>
        <w:spacing w:before="0" w:line="240" w:lineRule="auto"/>
        <w:ind w:left="-5"/>
        <w:contextualSpacing w:val="0"/>
        <w:rPr>
          <w:sz w:val="22"/>
          <w:szCs w:val="22"/>
          <w:lang w:val="ru-RU"/>
        </w:rPr>
      </w:pPr>
      <w:r w:rsidRPr="00B77B10">
        <w:rPr>
          <w:sz w:val="22"/>
          <w:szCs w:val="22"/>
          <w:lang w:val="ru-RU"/>
        </w:rPr>
        <w:t xml:space="preserve">Все члены ГПД выполняют свои обязанности до момента формирования Консультативного совета по вопросам Десятилетия. В случае сложения полномочий, бездействия или других </w:t>
      </w:r>
      <w:r w:rsidRPr="00B77B10">
        <w:rPr>
          <w:color w:val="000000" w:themeColor="text1"/>
          <w:sz w:val="22"/>
          <w:szCs w:val="22"/>
          <w:lang w:val="ru-RU"/>
        </w:rPr>
        <w:t>причин</w:t>
      </w:r>
      <w:r w:rsidRPr="00B77B10">
        <w:rPr>
          <w:sz w:val="22"/>
          <w:szCs w:val="22"/>
          <w:lang w:val="ru-RU"/>
        </w:rPr>
        <w:t xml:space="preserve">, сказывающихся на эффективности работы ГПД, для рассмотрения вопроса о возможной замене или укреплении ее состава будет задействована процедура, использовавшаяся в ходе отбора ее членов. Полномочия членов прекращаются сразу после официального формирования Консультативного совета по вопросам проведения Десятилетия. </w:t>
      </w:r>
    </w:p>
    <w:p w14:paraId="0763607A" w14:textId="77777777" w:rsidR="00C05E2D" w:rsidRPr="00CD2CE3" w:rsidRDefault="000D467B" w:rsidP="00CD2CE3">
      <w:pPr>
        <w:pStyle w:val="ListParagraph"/>
        <w:numPr>
          <w:ilvl w:val="0"/>
          <w:numId w:val="5"/>
        </w:numPr>
        <w:spacing w:before="0" w:line="240" w:lineRule="auto"/>
        <w:ind w:left="709" w:hanging="709"/>
        <w:contextualSpacing w:val="0"/>
        <w:jc w:val="left"/>
        <w:rPr>
          <w:b/>
          <w:sz w:val="22"/>
          <w:szCs w:val="22"/>
        </w:rPr>
      </w:pPr>
      <w:proofErr w:type="spellStart"/>
      <w:r>
        <w:rPr>
          <w:b/>
          <w:bCs/>
          <w:sz w:val="22"/>
          <w:szCs w:val="22"/>
        </w:rPr>
        <w:t>Совещания</w:t>
      </w:r>
      <w:proofErr w:type="spellEnd"/>
    </w:p>
    <w:p w14:paraId="0A78CBC4" w14:textId="77777777" w:rsidR="00C05E2D" w:rsidRPr="004F1244" w:rsidRDefault="00C05E2D" w:rsidP="00CD2CE3">
      <w:pPr>
        <w:pStyle w:val="ListParagraph"/>
        <w:tabs>
          <w:tab w:val="left" w:pos="2940"/>
        </w:tabs>
        <w:spacing w:before="0" w:line="240" w:lineRule="auto"/>
        <w:ind w:left="-5"/>
        <w:contextualSpacing w:val="0"/>
        <w:rPr>
          <w:sz w:val="22"/>
          <w:szCs w:val="22"/>
          <w:lang w:val="ru-RU"/>
        </w:rPr>
      </w:pPr>
      <w:r w:rsidRPr="00B77B10">
        <w:rPr>
          <w:sz w:val="22"/>
          <w:szCs w:val="22"/>
          <w:lang w:val="ru-RU"/>
        </w:rPr>
        <w:t>В 2021 году ГПД будет проводить совещания в виртуальном формате. Возможно проведение совещания в очной форме, если сложившаяся ситуация позволит это сделать. Председательские функции в ходе совещаний ГПД осуществляет Исполнительный секретарь, а в его отсутствие – назначенный им представитель.</w:t>
      </w:r>
    </w:p>
    <w:p w14:paraId="572DCE75" w14:textId="77777777" w:rsidR="00C05E2D" w:rsidRPr="004F1244" w:rsidRDefault="00C05E2D" w:rsidP="00CD2CE3">
      <w:pPr>
        <w:tabs>
          <w:tab w:val="left" w:pos="2940"/>
        </w:tabs>
        <w:spacing w:before="0" w:line="240" w:lineRule="auto"/>
        <w:rPr>
          <w:sz w:val="22"/>
          <w:szCs w:val="22"/>
          <w:lang w:val="ru-RU"/>
        </w:rPr>
      </w:pPr>
      <w:r w:rsidRPr="00B77B10">
        <w:rPr>
          <w:sz w:val="22"/>
          <w:szCs w:val="22"/>
          <w:lang w:val="ru-RU"/>
        </w:rPr>
        <w:t xml:space="preserve">ГПД может принять решение об учреждении отдельных подгрупп, которым поручено выполнение конкретных технических задач. Периодичность проведения совещаний таких технических рабочих групп определяется их членами. </w:t>
      </w:r>
    </w:p>
    <w:p w14:paraId="13563772" w14:textId="77777777" w:rsidR="00C05E2D" w:rsidRPr="00CD2CE3" w:rsidRDefault="00C05E2D" w:rsidP="00CD2CE3">
      <w:pPr>
        <w:pStyle w:val="ListParagraph"/>
        <w:numPr>
          <w:ilvl w:val="0"/>
          <w:numId w:val="5"/>
        </w:numPr>
        <w:spacing w:before="0" w:line="240" w:lineRule="auto"/>
        <w:ind w:left="709" w:hanging="709"/>
        <w:contextualSpacing w:val="0"/>
        <w:jc w:val="left"/>
        <w:rPr>
          <w:b/>
          <w:sz w:val="22"/>
          <w:szCs w:val="22"/>
        </w:rPr>
      </w:pPr>
      <w:proofErr w:type="spellStart"/>
      <w:r>
        <w:rPr>
          <w:b/>
          <w:bCs/>
          <w:sz w:val="22"/>
          <w:szCs w:val="22"/>
        </w:rPr>
        <w:t>Процедура</w:t>
      </w:r>
      <w:proofErr w:type="spellEnd"/>
      <w:r>
        <w:rPr>
          <w:b/>
          <w:bCs/>
          <w:sz w:val="22"/>
          <w:szCs w:val="22"/>
        </w:rPr>
        <w:t xml:space="preserve"> </w:t>
      </w:r>
      <w:proofErr w:type="spellStart"/>
      <w:r>
        <w:rPr>
          <w:b/>
          <w:bCs/>
          <w:sz w:val="22"/>
          <w:szCs w:val="22"/>
        </w:rPr>
        <w:t>принятия</w:t>
      </w:r>
      <w:proofErr w:type="spellEnd"/>
      <w:r>
        <w:rPr>
          <w:b/>
          <w:bCs/>
          <w:sz w:val="22"/>
          <w:szCs w:val="22"/>
        </w:rPr>
        <w:t xml:space="preserve"> </w:t>
      </w:r>
      <w:proofErr w:type="spellStart"/>
      <w:r>
        <w:rPr>
          <w:b/>
          <w:bCs/>
          <w:sz w:val="22"/>
          <w:szCs w:val="22"/>
        </w:rPr>
        <w:t>решений</w:t>
      </w:r>
      <w:proofErr w:type="spellEnd"/>
    </w:p>
    <w:p w14:paraId="6D99DB31" w14:textId="77777777" w:rsidR="00C05E2D" w:rsidRPr="004F1244" w:rsidRDefault="00C05E2D" w:rsidP="00CD2CE3">
      <w:pPr>
        <w:pStyle w:val="ListParagraph"/>
        <w:tabs>
          <w:tab w:val="left" w:pos="2940"/>
        </w:tabs>
        <w:spacing w:before="0" w:line="240" w:lineRule="auto"/>
        <w:ind w:left="-5"/>
        <w:contextualSpacing w:val="0"/>
        <w:rPr>
          <w:sz w:val="22"/>
          <w:szCs w:val="22"/>
          <w:lang w:val="ru-RU"/>
        </w:rPr>
      </w:pPr>
      <w:r w:rsidRPr="00B77B10">
        <w:rPr>
          <w:sz w:val="22"/>
          <w:szCs w:val="22"/>
          <w:lang w:val="ru-RU"/>
        </w:rPr>
        <w:t xml:space="preserve">При формулировании рекомендаций и заключений для руководящих органов МОК ГПД будет стремиться к консенсусным решениям по всем обсуждаемым вопросам. Руководящие органы МОК на своих очередных сессиях будут информироваться обо всех случаях, когда консенсуса достичь не удалось. </w:t>
      </w:r>
    </w:p>
    <w:p w14:paraId="427ACB48" w14:textId="77777777" w:rsidR="00C05E2D" w:rsidRPr="00CD2CE3" w:rsidRDefault="00C05E2D" w:rsidP="00CD2CE3">
      <w:pPr>
        <w:pStyle w:val="ListParagraph"/>
        <w:numPr>
          <w:ilvl w:val="0"/>
          <w:numId w:val="5"/>
        </w:numPr>
        <w:spacing w:before="0" w:line="240" w:lineRule="auto"/>
        <w:ind w:left="709" w:hanging="709"/>
        <w:contextualSpacing w:val="0"/>
        <w:jc w:val="left"/>
        <w:rPr>
          <w:b/>
          <w:sz w:val="22"/>
          <w:szCs w:val="22"/>
        </w:rPr>
      </w:pPr>
      <w:proofErr w:type="spellStart"/>
      <w:r>
        <w:rPr>
          <w:b/>
          <w:bCs/>
          <w:sz w:val="22"/>
          <w:szCs w:val="22"/>
        </w:rPr>
        <w:t>Секретариат</w:t>
      </w:r>
      <w:proofErr w:type="spellEnd"/>
    </w:p>
    <w:p w14:paraId="7BD552F5" w14:textId="77777777" w:rsidR="00C05E2D" w:rsidRPr="004F1244" w:rsidRDefault="00C05E2D" w:rsidP="00CD2CE3">
      <w:pPr>
        <w:pStyle w:val="ListParagraph"/>
        <w:tabs>
          <w:tab w:val="left" w:pos="2940"/>
        </w:tabs>
        <w:spacing w:before="0" w:line="240" w:lineRule="auto"/>
        <w:ind w:left="-5"/>
        <w:contextualSpacing w:val="0"/>
        <w:rPr>
          <w:sz w:val="22"/>
          <w:szCs w:val="22"/>
          <w:lang w:val="ru-RU"/>
        </w:rPr>
      </w:pPr>
      <w:r w:rsidRPr="00B77B10">
        <w:rPr>
          <w:sz w:val="22"/>
          <w:szCs w:val="22"/>
          <w:lang w:val="ru-RU"/>
        </w:rPr>
        <w:lastRenderedPageBreak/>
        <w:t>По просьбе ГПД Секретариат МОК будет оказывать ей административную, техническую и редакционную поддержку.</w:t>
      </w:r>
    </w:p>
    <w:p w14:paraId="42DA057D" w14:textId="77777777" w:rsidR="00C05E2D" w:rsidRPr="00CD2CE3" w:rsidRDefault="00C05E2D" w:rsidP="00CD2CE3">
      <w:pPr>
        <w:pStyle w:val="ListParagraph"/>
        <w:numPr>
          <w:ilvl w:val="0"/>
          <w:numId w:val="5"/>
        </w:numPr>
        <w:spacing w:before="0" w:line="240" w:lineRule="auto"/>
        <w:ind w:left="709" w:hanging="709"/>
        <w:contextualSpacing w:val="0"/>
        <w:jc w:val="left"/>
        <w:rPr>
          <w:b/>
          <w:sz w:val="22"/>
          <w:szCs w:val="22"/>
        </w:rPr>
      </w:pPr>
      <w:proofErr w:type="spellStart"/>
      <w:r>
        <w:rPr>
          <w:b/>
          <w:bCs/>
          <w:sz w:val="22"/>
          <w:szCs w:val="22"/>
        </w:rPr>
        <w:t>Обзор</w:t>
      </w:r>
      <w:proofErr w:type="spellEnd"/>
      <w:r>
        <w:rPr>
          <w:b/>
          <w:bCs/>
          <w:sz w:val="22"/>
          <w:szCs w:val="22"/>
        </w:rPr>
        <w:t xml:space="preserve"> и </w:t>
      </w:r>
      <w:proofErr w:type="spellStart"/>
      <w:r>
        <w:rPr>
          <w:b/>
          <w:bCs/>
          <w:sz w:val="22"/>
          <w:szCs w:val="22"/>
        </w:rPr>
        <w:t>отчетность</w:t>
      </w:r>
      <w:proofErr w:type="spellEnd"/>
      <w:r>
        <w:rPr>
          <w:b/>
          <w:bCs/>
          <w:sz w:val="22"/>
          <w:szCs w:val="22"/>
        </w:rPr>
        <w:t xml:space="preserve"> </w:t>
      </w:r>
    </w:p>
    <w:p w14:paraId="41115730" w14:textId="77777777" w:rsidR="00C05E2D" w:rsidRPr="004F1244" w:rsidRDefault="00C05E2D" w:rsidP="00CD2CE3">
      <w:pPr>
        <w:pStyle w:val="ListParagraph"/>
        <w:tabs>
          <w:tab w:val="left" w:pos="2940"/>
        </w:tabs>
        <w:spacing w:before="0" w:line="240" w:lineRule="auto"/>
        <w:ind w:left="-5"/>
        <w:contextualSpacing w:val="0"/>
        <w:rPr>
          <w:sz w:val="22"/>
          <w:szCs w:val="22"/>
          <w:lang w:val="ru-RU"/>
        </w:rPr>
      </w:pPr>
      <w:r w:rsidRPr="00B77B10">
        <w:rPr>
          <w:sz w:val="22"/>
          <w:szCs w:val="22"/>
          <w:lang w:val="ru-RU"/>
        </w:rPr>
        <w:t xml:space="preserve">Результаты работы совещаний будут сверяться с основными запланированными мероприятиями и сроками. Краткие отчеты о проведенных ГПД совещаниях будут размещаться на </w:t>
      </w:r>
      <w:hyperlink r:id="rId10" w:history="1">
        <w:r w:rsidRPr="00B77B10">
          <w:rPr>
            <w:rStyle w:val="Hyperlink"/>
            <w:sz w:val="22"/>
            <w:szCs w:val="22"/>
            <w:lang w:val="ru-RU"/>
          </w:rPr>
          <w:t>веб-сайте Десятилетия</w:t>
        </w:r>
      </w:hyperlink>
      <w:r w:rsidRPr="00B77B10">
        <w:rPr>
          <w:sz w:val="22"/>
          <w:szCs w:val="22"/>
          <w:lang w:val="ru-RU"/>
        </w:rPr>
        <w:t>. ГПД представит доклад о своей деятельности на 31-й сессии Ассамблеи МОК.</w:t>
      </w:r>
    </w:p>
    <w:bookmarkEnd w:id="0"/>
    <w:bookmarkEnd w:id="1"/>
    <w:p w14:paraId="514AB0EA" w14:textId="77777777" w:rsidR="00330273" w:rsidRPr="004F1244" w:rsidRDefault="00330273" w:rsidP="00CD2CE3">
      <w:pPr>
        <w:spacing w:before="0" w:line="240" w:lineRule="auto"/>
        <w:rPr>
          <w:sz w:val="22"/>
          <w:szCs w:val="22"/>
          <w:lang w:val="ru-RU"/>
        </w:rPr>
      </w:pPr>
    </w:p>
    <w:sectPr w:rsidR="00330273" w:rsidRPr="004F1244" w:rsidSect="00A15578">
      <w:headerReference w:type="even" r:id="rId11"/>
      <w:headerReference w:type="default" r:id="rId12"/>
      <w:headerReference w:type="first" r:id="rId13"/>
      <w:pgSz w:w="11906" w:h="16838"/>
      <w:pgMar w:top="1134" w:right="1141" w:bottom="1418" w:left="11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F2587" w14:textId="77777777" w:rsidR="00FD44F7" w:rsidRDefault="00FD44F7" w:rsidP="00160452">
      <w:pPr>
        <w:spacing w:before="0" w:after="0" w:line="240" w:lineRule="auto"/>
      </w:pPr>
      <w:r>
        <w:separator/>
      </w:r>
    </w:p>
  </w:endnote>
  <w:endnote w:type="continuationSeparator" w:id="0">
    <w:p w14:paraId="21D80F34" w14:textId="77777777" w:rsidR="00FD44F7" w:rsidRDefault="00FD44F7" w:rsidP="001604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F11A" w14:textId="77777777" w:rsidR="00FD44F7" w:rsidRDefault="00FD44F7" w:rsidP="00160452">
      <w:pPr>
        <w:spacing w:before="0" w:after="0" w:line="240" w:lineRule="auto"/>
      </w:pPr>
      <w:r>
        <w:separator/>
      </w:r>
    </w:p>
  </w:footnote>
  <w:footnote w:type="continuationSeparator" w:id="0">
    <w:p w14:paraId="73636FC7" w14:textId="77777777" w:rsidR="00FD44F7" w:rsidRDefault="00FD44F7" w:rsidP="00160452">
      <w:pPr>
        <w:spacing w:before="0" w:after="0" w:line="240" w:lineRule="auto"/>
      </w:pPr>
      <w:r>
        <w:continuationSeparator/>
      </w:r>
    </w:p>
  </w:footnote>
  <w:footnote w:id="1">
    <w:p w14:paraId="0F56C889" w14:textId="77777777" w:rsidR="00BD1C6C" w:rsidRPr="004F1244" w:rsidRDefault="00BD1C6C">
      <w:pPr>
        <w:pStyle w:val="FootnoteText"/>
        <w:rPr>
          <w:lang w:val="ru-RU"/>
        </w:rPr>
      </w:pPr>
      <w:r>
        <w:rPr>
          <w:rStyle w:val="FootnoteReference"/>
        </w:rPr>
        <w:footnoteRef/>
      </w:r>
      <w:r w:rsidRPr="00B77B10">
        <w:rPr>
          <w:lang w:val="ru-RU"/>
        </w:rPr>
        <w:t xml:space="preserve">  См. </w:t>
      </w:r>
      <w:hyperlink r:id="rId1" w:history="1">
        <w:r>
          <w:rPr>
            <w:rStyle w:val="Hyperlink"/>
          </w:rPr>
          <w:t>https</w:t>
        </w:r>
        <w:r w:rsidRPr="00B77B10">
          <w:rPr>
            <w:rStyle w:val="Hyperlink"/>
            <w:lang w:val="ru-RU"/>
          </w:rPr>
          <w:t>://</w:t>
        </w:r>
        <w:r>
          <w:rPr>
            <w:rStyle w:val="Hyperlink"/>
          </w:rPr>
          <w:t>www</w:t>
        </w:r>
        <w:r w:rsidRPr="00B77B10">
          <w:rPr>
            <w:rStyle w:val="Hyperlink"/>
            <w:lang w:val="ru-RU"/>
          </w:rPr>
          <w:t>.</w:t>
        </w:r>
        <w:r>
          <w:rPr>
            <w:rStyle w:val="Hyperlink"/>
          </w:rPr>
          <w:t>oceandecade</w:t>
        </w:r>
        <w:r w:rsidRPr="00B77B10">
          <w:rPr>
            <w:rStyle w:val="Hyperlink"/>
            <w:lang w:val="ru-RU"/>
          </w:rPr>
          <w:t>.</w:t>
        </w:r>
        <w:r>
          <w:rPr>
            <w:rStyle w:val="Hyperlink"/>
          </w:rPr>
          <w:t>org</w:t>
        </w:r>
        <w:r w:rsidRPr="00B77B10">
          <w:rPr>
            <w:rStyle w:val="Hyperlink"/>
            <w:lang w:val="ru-RU"/>
          </w:rPr>
          <w:t>/</w:t>
        </w:r>
        <w:r>
          <w:rPr>
            <w:rStyle w:val="Hyperlink"/>
          </w:rPr>
          <w:t>about</w:t>
        </w:r>
        <w:r w:rsidRPr="00B77B10">
          <w:rPr>
            <w:rStyle w:val="Hyperlink"/>
            <w:lang w:val="ru-RU"/>
          </w:rPr>
          <w:t>?</w:t>
        </w:r>
        <w:r>
          <w:rPr>
            <w:rStyle w:val="Hyperlink"/>
          </w:rPr>
          <w:t>tab</w:t>
        </w:r>
        <w:r w:rsidRPr="00B77B10">
          <w:rPr>
            <w:rStyle w:val="Hyperlink"/>
            <w:lang w:val="ru-RU"/>
          </w:rPr>
          <w:t>=</w:t>
        </w:r>
        <w:r>
          <w:rPr>
            <w:rStyle w:val="Hyperlink"/>
          </w:rPr>
          <w:t>our</w:t>
        </w:r>
        <w:r w:rsidRPr="00B77B10">
          <w:rPr>
            <w:rStyle w:val="Hyperlink"/>
            <w:lang w:val="ru-RU"/>
          </w:rPr>
          <w:t>-</w:t>
        </w:r>
        <w:r>
          <w:rPr>
            <w:rStyle w:val="Hyperlink"/>
          </w:rPr>
          <w:t>governance</w:t>
        </w:r>
      </w:hyperlink>
      <w:r w:rsidRPr="00B77B10">
        <w:rPr>
          <w:lang w:val="ru-RU"/>
        </w:rPr>
        <w:t xml:space="preserve"> </w:t>
      </w:r>
    </w:p>
  </w:footnote>
  <w:footnote w:id="2">
    <w:p w14:paraId="1317ADFA" w14:textId="4BABF6B8" w:rsidR="008F025B" w:rsidRPr="008F025B" w:rsidRDefault="008F025B">
      <w:pPr>
        <w:pStyle w:val="FootnoteText"/>
        <w:rPr>
          <w:lang w:val="es-ES"/>
        </w:rPr>
      </w:pPr>
      <w:r>
        <w:rPr>
          <w:rStyle w:val="FootnoteReference"/>
        </w:rPr>
        <w:footnoteRef/>
      </w:r>
      <w:r>
        <w:t xml:space="preserve"> </w:t>
      </w:r>
      <w:r w:rsidRPr="008F025B">
        <w:t xml:space="preserve">В </w:t>
      </w:r>
      <w:proofErr w:type="spellStart"/>
      <w:r w:rsidRPr="008F025B">
        <w:t>этот</w:t>
      </w:r>
      <w:proofErr w:type="spellEnd"/>
      <w:r w:rsidRPr="008F025B">
        <w:t xml:space="preserve"> </w:t>
      </w:r>
      <w:proofErr w:type="spellStart"/>
      <w:r w:rsidRPr="008F025B">
        <w:t>подпункт</w:t>
      </w:r>
      <w:proofErr w:type="spellEnd"/>
      <w:r w:rsidRPr="008F025B">
        <w:t xml:space="preserve"> </w:t>
      </w:r>
      <w:proofErr w:type="spellStart"/>
      <w:r w:rsidRPr="008F025B">
        <w:t>были</w:t>
      </w:r>
      <w:proofErr w:type="spellEnd"/>
      <w:r w:rsidRPr="008F025B">
        <w:t xml:space="preserve"> </w:t>
      </w:r>
      <w:proofErr w:type="spellStart"/>
      <w:r w:rsidRPr="008F025B">
        <w:t>внесены</w:t>
      </w:r>
      <w:proofErr w:type="spellEnd"/>
      <w:r w:rsidRPr="008F025B">
        <w:t xml:space="preserve"> </w:t>
      </w:r>
      <w:proofErr w:type="spellStart"/>
      <w:r w:rsidRPr="008F025B">
        <w:t>изменения</w:t>
      </w:r>
      <w:proofErr w:type="spellEnd"/>
      <w:r w:rsidRPr="008F025B">
        <w:t xml:space="preserve"> </w:t>
      </w:r>
      <w:proofErr w:type="spellStart"/>
      <w:r w:rsidRPr="008F025B">
        <w:t>на</w:t>
      </w:r>
      <w:proofErr w:type="spellEnd"/>
      <w:r w:rsidRPr="008F025B">
        <w:t xml:space="preserve"> 53-й </w:t>
      </w:r>
      <w:proofErr w:type="spellStart"/>
      <w:r w:rsidRPr="008F025B">
        <w:t>сессии</w:t>
      </w:r>
      <w:proofErr w:type="spellEnd"/>
      <w:r w:rsidRPr="008F025B">
        <w:t xml:space="preserve"> </w:t>
      </w:r>
      <w:proofErr w:type="spellStart"/>
      <w:r w:rsidRPr="008F025B">
        <w:t>Исполнительного</w:t>
      </w:r>
      <w:proofErr w:type="spellEnd"/>
      <w:r w:rsidRPr="008F025B">
        <w:t xml:space="preserve"> </w:t>
      </w:r>
      <w:proofErr w:type="spellStart"/>
      <w:r w:rsidRPr="008F025B">
        <w:t>совета</w:t>
      </w:r>
      <w:proofErr w:type="spellEnd"/>
      <w:r w:rsidRPr="008F025B">
        <w:t xml:space="preserve"> МОК</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D017" w14:textId="36CCD142" w:rsidR="00CD2CE3" w:rsidRDefault="00CD2CE3" w:rsidP="00CD2CE3">
    <w:pPr>
      <w:pStyle w:val="Header"/>
    </w:pPr>
    <w:r>
      <w:t>IOC/EC-53/4.1</w:t>
    </w:r>
    <w:proofErr w:type="gramStart"/>
    <w:r>
      <w:t>Doc(</w:t>
    </w:r>
    <w:proofErr w:type="gramEnd"/>
    <w:r>
      <w:t>3)</w:t>
    </w:r>
    <w:r w:rsidR="00B77B10">
      <w:t xml:space="preserve"> </w:t>
    </w:r>
    <w:r w:rsidR="003A4668">
      <w:t>Rev.</w:t>
    </w:r>
  </w:p>
  <w:p w14:paraId="0066EEC8" w14:textId="77777777" w:rsidR="00CD2CE3" w:rsidRDefault="00CD2CE3" w:rsidP="00CD2CE3">
    <w:pPr>
      <w:pStyle w:val="Header"/>
    </w:pPr>
    <w:proofErr w:type="spellStart"/>
    <w:r>
      <w:t>стр</w:t>
    </w:r>
    <w:proofErr w:type="spellEnd"/>
    <w:r>
      <w:t xml:space="preserve">. </w:t>
    </w:r>
    <w:r w:rsidR="00F87452">
      <w:fldChar w:fldCharType="begin"/>
    </w:r>
    <w:r>
      <w:instrText xml:space="preserve"> PAGE   \* MERGEFORMAT </w:instrText>
    </w:r>
    <w:r w:rsidR="00F87452">
      <w:fldChar w:fldCharType="separate"/>
    </w:r>
    <w:r w:rsidR="003A4668">
      <w:rPr>
        <w:noProof/>
      </w:rPr>
      <w:t>6</w:t>
    </w:r>
    <w:r w:rsidR="00F87452">
      <w:rPr>
        <w:noProof/>
      </w:rPr>
      <w:fldChar w:fldCharType="end"/>
    </w:r>
  </w:p>
  <w:p w14:paraId="07E31BC4" w14:textId="77777777" w:rsidR="00CD2CE3" w:rsidRDefault="00CD2CE3" w:rsidP="00CD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593E" w14:textId="6A8496E2" w:rsidR="00CD2CE3" w:rsidRDefault="00CD2CE3" w:rsidP="003A4668">
    <w:pPr>
      <w:pStyle w:val="Header"/>
      <w:ind w:firstLine="7230"/>
    </w:pPr>
    <w:r>
      <w:t>IOC/EC-53/4.1</w:t>
    </w:r>
    <w:proofErr w:type="gramStart"/>
    <w:r>
      <w:t>Doc(</w:t>
    </w:r>
    <w:proofErr w:type="gramEnd"/>
    <w:r>
      <w:t>3)</w:t>
    </w:r>
    <w:r w:rsidR="00B77B10">
      <w:t xml:space="preserve"> </w:t>
    </w:r>
    <w:r w:rsidR="003A4668">
      <w:t>Rev.</w:t>
    </w:r>
  </w:p>
  <w:p w14:paraId="141E603A" w14:textId="77777777" w:rsidR="00CD2CE3" w:rsidRDefault="00CD2CE3" w:rsidP="003A4668">
    <w:pPr>
      <w:pStyle w:val="Header"/>
      <w:ind w:firstLine="7230"/>
    </w:pPr>
    <w:proofErr w:type="spellStart"/>
    <w:r>
      <w:t>стр</w:t>
    </w:r>
    <w:proofErr w:type="spellEnd"/>
    <w:r>
      <w:t xml:space="preserve">. </w:t>
    </w:r>
    <w:r w:rsidR="00F87452">
      <w:fldChar w:fldCharType="begin"/>
    </w:r>
    <w:r>
      <w:instrText xml:space="preserve"> PAGE   \* MERGEFORMAT </w:instrText>
    </w:r>
    <w:r w:rsidR="00F87452">
      <w:fldChar w:fldCharType="separate"/>
    </w:r>
    <w:r w:rsidR="003A4668">
      <w:rPr>
        <w:noProof/>
      </w:rPr>
      <w:t>5</w:t>
    </w:r>
    <w:r w:rsidR="00F87452">
      <w:rPr>
        <w:noProof/>
      </w:rPr>
      <w:fldChar w:fldCharType="end"/>
    </w:r>
  </w:p>
  <w:p w14:paraId="6C5E51CE" w14:textId="77777777" w:rsidR="00CD2CE3" w:rsidRDefault="00CD2CE3" w:rsidP="00377DE1">
    <w:pPr>
      <w:pStyle w:val="Header"/>
      <w:ind w:firstLine="75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F185" w14:textId="31557741" w:rsidR="00CD2CE3" w:rsidRPr="004F1244" w:rsidRDefault="00CD2CE3" w:rsidP="00B77B10">
    <w:pPr>
      <w:widowControl w:val="0"/>
      <w:tabs>
        <w:tab w:val="left" w:pos="567"/>
        <w:tab w:val="left" w:pos="5245"/>
      </w:tabs>
      <w:adjustRightInd w:val="0"/>
      <w:snapToGrid w:val="0"/>
      <w:spacing w:before="0" w:after="0" w:line="240" w:lineRule="auto"/>
      <w:textAlignment w:val="baseline"/>
      <w:rPr>
        <w:rFonts w:eastAsia="Times New Roman"/>
        <w:b/>
        <w:snapToGrid w:val="0"/>
        <w:sz w:val="22"/>
        <w:szCs w:val="22"/>
        <w:lang w:val="ru-RU"/>
      </w:rPr>
    </w:pPr>
    <w:r w:rsidRPr="00B77B10">
      <w:rPr>
        <w:rFonts w:eastAsia="Times New Roman"/>
        <w:snapToGrid w:val="0"/>
        <w:sz w:val="22"/>
        <w:szCs w:val="22"/>
        <w:lang w:val="ru-RU"/>
      </w:rPr>
      <w:t>Рассылается по списку</w:t>
    </w:r>
    <w:r w:rsidRPr="00B77B10">
      <w:rPr>
        <w:rFonts w:eastAsia="Times New Roman"/>
        <w:snapToGrid w:val="0"/>
        <w:sz w:val="22"/>
        <w:szCs w:val="22"/>
        <w:lang w:val="ru-RU"/>
      </w:rPr>
      <w:tab/>
    </w:r>
    <w:r>
      <w:rPr>
        <w:rFonts w:eastAsia="Times New Roman"/>
        <w:b/>
        <w:bCs/>
        <w:snapToGrid w:val="0"/>
        <w:sz w:val="36"/>
        <w:szCs w:val="36"/>
      </w:rPr>
      <w:t>IOC</w:t>
    </w:r>
    <w:r w:rsidRPr="00B77B10">
      <w:rPr>
        <w:rFonts w:eastAsia="Times New Roman"/>
        <w:b/>
        <w:bCs/>
        <w:snapToGrid w:val="0"/>
        <w:sz w:val="36"/>
        <w:szCs w:val="36"/>
        <w:lang w:val="ru-RU"/>
      </w:rPr>
      <w:t>/</w:t>
    </w:r>
    <w:r>
      <w:rPr>
        <w:rFonts w:eastAsia="Times New Roman"/>
        <w:b/>
        <w:bCs/>
        <w:snapToGrid w:val="0"/>
        <w:sz w:val="36"/>
        <w:szCs w:val="36"/>
      </w:rPr>
      <w:t>EC</w:t>
    </w:r>
    <w:r w:rsidRPr="00B77B10">
      <w:rPr>
        <w:rFonts w:eastAsia="Times New Roman"/>
        <w:b/>
        <w:bCs/>
        <w:snapToGrid w:val="0"/>
        <w:sz w:val="36"/>
        <w:szCs w:val="36"/>
        <w:lang w:val="ru-RU"/>
      </w:rPr>
      <w:t>-53/4.1</w:t>
    </w:r>
    <w:proofErr w:type="gramStart"/>
    <w:r>
      <w:rPr>
        <w:rFonts w:eastAsia="Times New Roman"/>
        <w:b/>
        <w:bCs/>
        <w:snapToGrid w:val="0"/>
        <w:sz w:val="36"/>
        <w:szCs w:val="36"/>
      </w:rPr>
      <w:t>Doc</w:t>
    </w:r>
    <w:r w:rsidRPr="00B77B10">
      <w:rPr>
        <w:rFonts w:eastAsia="Times New Roman"/>
        <w:b/>
        <w:bCs/>
        <w:snapToGrid w:val="0"/>
        <w:sz w:val="36"/>
        <w:szCs w:val="36"/>
        <w:lang w:val="ru-RU"/>
      </w:rPr>
      <w:t>(</w:t>
    </w:r>
    <w:proofErr w:type="gramEnd"/>
    <w:r w:rsidRPr="00B77B10">
      <w:rPr>
        <w:rFonts w:eastAsia="Times New Roman"/>
        <w:b/>
        <w:bCs/>
        <w:snapToGrid w:val="0"/>
        <w:sz w:val="36"/>
        <w:szCs w:val="36"/>
        <w:lang w:val="ru-RU"/>
      </w:rPr>
      <w:t>3)</w:t>
    </w:r>
    <w:r w:rsidR="00B77B10" w:rsidRPr="00B77B10">
      <w:rPr>
        <w:rFonts w:eastAsia="Times New Roman"/>
        <w:b/>
        <w:bCs/>
        <w:snapToGrid w:val="0"/>
        <w:sz w:val="36"/>
        <w:szCs w:val="36"/>
        <w:lang w:val="ru-RU"/>
      </w:rPr>
      <w:t xml:space="preserve"> </w:t>
    </w:r>
    <w:r w:rsidR="003A4668">
      <w:rPr>
        <w:rFonts w:eastAsia="Times New Roman"/>
        <w:b/>
        <w:bCs/>
        <w:snapToGrid w:val="0"/>
        <w:sz w:val="36"/>
        <w:szCs w:val="36"/>
      </w:rPr>
      <w:t>Rev</w:t>
    </w:r>
    <w:r w:rsidR="00B77B10" w:rsidRPr="00B77B10">
      <w:rPr>
        <w:rFonts w:eastAsia="Times New Roman"/>
        <w:b/>
        <w:bCs/>
        <w:snapToGrid w:val="0"/>
        <w:sz w:val="36"/>
        <w:szCs w:val="36"/>
        <w:lang w:val="ru-RU"/>
      </w:rPr>
      <w:t>.</w:t>
    </w:r>
  </w:p>
  <w:p w14:paraId="70BC462B" w14:textId="73761C1A" w:rsidR="00CD2CE3" w:rsidRPr="004F1244" w:rsidRDefault="00CD2CE3" w:rsidP="00B77B10">
    <w:pPr>
      <w:widowControl w:val="0"/>
      <w:tabs>
        <w:tab w:val="left" w:pos="5245"/>
      </w:tabs>
      <w:adjustRightInd w:val="0"/>
      <w:snapToGrid w:val="0"/>
      <w:spacing w:before="0" w:after="0" w:line="240" w:lineRule="auto"/>
      <w:jc w:val="left"/>
      <w:textAlignment w:val="baseline"/>
      <w:rPr>
        <w:rFonts w:eastAsia="Times New Roman"/>
        <w:snapToGrid w:val="0"/>
        <w:sz w:val="22"/>
        <w:szCs w:val="22"/>
        <w:lang w:val="ru-RU"/>
      </w:rPr>
    </w:pPr>
    <w:r w:rsidRPr="00B77B10">
      <w:rPr>
        <w:rFonts w:eastAsia="Times New Roman"/>
        <w:snapToGrid w:val="0"/>
        <w:sz w:val="22"/>
        <w:szCs w:val="22"/>
        <w:lang w:val="ru-RU"/>
      </w:rPr>
      <w:tab/>
      <w:t xml:space="preserve">Париж, </w:t>
    </w:r>
    <w:r w:rsidR="008F025B">
      <w:rPr>
        <w:rFonts w:eastAsia="Times New Roman"/>
        <w:snapToGrid w:val="0"/>
        <w:sz w:val="22"/>
        <w:szCs w:val="22"/>
        <w:lang w:val="es-ES"/>
      </w:rPr>
      <w:t>9</w:t>
    </w:r>
    <w:r w:rsidRPr="00B77B10">
      <w:rPr>
        <w:rFonts w:eastAsia="Times New Roman"/>
        <w:snapToGrid w:val="0"/>
        <w:sz w:val="22"/>
        <w:szCs w:val="22"/>
        <w:lang w:val="ru-RU"/>
      </w:rPr>
      <w:t xml:space="preserve"> </w:t>
    </w:r>
    <w:r w:rsidR="008F025B" w:rsidRPr="008F025B">
      <w:rPr>
        <w:rFonts w:eastAsia="Times New Roman"/>
        <w:snapToGrid w:val="0"/>
        <w:sz w:val="22"/>
        <w:szCs w:val="22"/>
        <w:lang w:val="ru-RU"/>
      </w:rPr>
      <w:t>февраля 2021 г</w:t>
    </w:r>
    <w:r w:rsidRPr="00B77B10">
      <w:rPr>
        <w:rFonts w:eastAsia="Times New Roman"/>
        <w:snapToGrid w:val="0"/>
        <w:sz w:val="22"/>
        <w:szCs w:val="22"/>
        <w:lang w:val="ru-RU"/>
      </w:rPr>
      <w:t>.</w:t>
    </w:r>
  </w:p>
  <w:p w14:paraId="01DCCB13" w14:textId="77777777" w:rsidR="00CD2CE3" w:rsidRPr="004F1244" w:rsidRDefault="00CD2CE3" w:rsidP="00B77B10">
    <w:pPr>
      <w:widowControl w:val="0"/>
      <w:tabs>
        <w:tab w:val="left" w:pos="5245"/>
      </w:tabs>
      <w:adjustRightInd w:val="0"/>
      <w:snapToGrid w:val="0"/>
      <w:spacing w:before="0" w:after="0" w:line="240" w:lineRule="auto"/>
      <w:jc w:val="left"/>
      <w:textAlignment w:val="baseline"/>
      <w:rPr>
        <w:rFonts w:eastAsia="Times New Roman"/>
        <w:snapToGrid w:val="0"/>
        <w:sz w:val="22"/>
        <w:szCs w:val="22"/>
        <w:lang w:val="ru-RU"/>
      </w:rPr>
    </w:pPr>
    <w:r w:rsidRPr="00B77B10">
      <w:rPr>
        <w:rFonts w:eastAsia="Times New Roman"/>
        <w:snapToGrid w:val="0"/>
        <w:sz w:val="22"/>
        <w:szCs w:val="22"/>
        <w:lang w:val="ru-RU"/>
      </w:rPr>
      <w:tab/>
      <w:t xml:space="preserve">Язык оригинала: Английский </w:t>
    </w:r>
  </w:p>
  <w:p w14:paraId="0E67374D" w14:textId="77777777" w:rsidR="00CD2CE3" w:rsidRPr="004F1244" w:rsidRDefault="00CD2CE3" w:rsidP="00B77B10">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103"/>
        <w:tab w:val="left" w:pos="5245"/>
        <w:tab w:val="left" w:pos="5760"/>
        <w:tab w:val="left" w:pos="6096"/>
        <w:tab w:val="left" w:pos="6480"/>
        <w:tab w:val="left" w:pos="6660"/>
        <w:tab w:val="left" w:pos="7020"/>
      </w:tabs>
      <w:adjustRightInd w:val="0"/>
      <w:snapToGrid w:val="0"/>
      <w:spacing w:before="0" w:after="0" w:line="240" w:lineRule="auto"/>
      <w:textAlignment w:val="baseline"/>
      <w:rPr>
        <w:rFonts w:eastAsia="Times New Roman"/>
        <w:b/>
        <w:snapToGrid w:val="0"/>
        <w:sz w:val="22"/>
        <w:szCs w:val="22"/>
        <w:lang w:val="ru-RU"/>
      </w:rPr>
    </w:pPr>
  </w:p>
  <w:p w14:paraId="28C13C93" w14:textId="77777777" w:rsidR="00CD2CE3" w:rsidRPr="004F1244" w:rsidRDefault="00CD2CE3"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textAlignment w:val="baseline"/>
      <w:rPr>
        <w:rFonts w:eastAsia="Times New Roman"/>
        <w:b/>
        <w:snapToGrid w:val="0"/>
        <w:sz w:val="22"/>
        <w:szCs w:val="22"/>
        <w:lang w:val="ru-RU"/>
      </w:rPr>
    </w:pPr>
  </w:p>
  <w:p w14:paraId="183D9558" w14:textId="77777777" w:rsidR="00CD2CE3" w:rsidRPr="004F1244" w:rsidRDefault="00CD2CE3" w:rsidP="00CD2CE3">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before="0" w:after="0" w:line="240" w:lineRule="auto"/>
      <w:ind w:left="2772" w:right="-428"/>
      <w:jc w:val="left"/>
      <w:textAlignment w:val="baseline"/>
      <w:rPr>
        <w:rFonts w:eastAsia="Times New Roman"/>
        <w:b/>
        <w:snapToGrid w:val="0"/>
        <w:sz w:val="24"/>
        <w:szCs w:val="24"/>
        <w:lang w:val="ru-RU"/>
      </w:rPr>
    </w:pPr>
    <w:r>
      <w:rPr>
        <w:rFonts w:eastAsia="Times New Roman"/>
        <w:noProof/>
        <w:sz w:val="22"/>
        <w:szCs w:val="24"/>
        <w:lang w:val="en-US" w:eastAsia="en-US"/>
      </w:rPr>
      <w:drawing>
        <wp:anchor distT="0" distB="0" distL="114300" distR="114300" simplePos="0" relativeHeight="251661312" behindDoc="1" locked="0" layoutInCell="1" allowOverlap="1" wp14:anchorId="23C1DC3E" wp14:editId="5F2AFDC8">
          <wp:simplePos x="0" y="0"/>
          <wp:positionH relativeFrom="column">
            <wp:posOffset>-142240</wp:posOffset>
          </wp:positionH>
          <wp:positionV relativeFrom="paragraph">
            <wp:posOffset>1270</wp:posOffset>
          </wp:positionV>
          <wp:extent cx="1714500" cy="881380"/>
          <wp:effectExtent l="0" t="0" r="0" b="0"/>
          <wp:wrapSquare wrapText="bothSides"/>
          <wp:docPr id="47"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anchor>
      </w:drawing>
    </w:r>
    <w:r w:rsidRPr="00B77B10">
      <w:rPr>
        <w:rFonts w:eastAsia="Times New Roman"/>
        <w:b/>
        <w:bCs/>
        <w:snapToGrid w:val="0"/>
        <w:sz w:val="24"/>
        <w:szCs w:val="24"/>
        <w:lang w:val="ru-RU"/>
      </w:rPr>
      <w:t>МЕЖПРАВИТЕЛЬСТВЕННАЯ ОКЕАНОГРАФИЧЕСКАЯ КОМИССИЯ</w:t>
    </w:r>
  </w:p>
  <w:p w14:paraId="0D96FE74" w14:textId="77777777" w:rsidR="00CD2CE3" w:rsidRPr="004F1244" w:rsidRDefault="00CD2CE3" w:rsidP="00CD2CE3">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snapToGrid w:val="0"/>
        <w:sz w:val="24"/>
        <w:szCs w:val="24"/>
        <w:lang w:val="ru-RU"/>
      </w:rPr>
    </w:pPr>
    <w:r w:rsidRPr="00B77B10">
      <w:rPr>
        <w:rFonts w:eastAsia="Times New Roman"/>
        <w:snapToGrid w:val="0"/>
        <w:sz w:val="24"/>
        <w:szCs w:val="24"/>
        <w:lang w:val="ru-RU"/>
      </w:rPr>
      <w:t>(ЮНЕСКО)</w:t>
    </w:r>
  </w:p>
  <w:p w14:paraId="74AC656E" w14:textId="77777777" w:rsidR="00CD2CE3" w:rsidRPr="004F1244" w:rsidRDefault="00CD2CE3"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2"/>
        <w:szCs w:val="22"/>
        <w:lang w:val="ru-RU"/>
      </w:rPr>
    </w:pPr>
  </w:p>
  <w:p w14:paraId="14BC1D22" w14:textId="77777777" w:rsidR="00CD2CE3" w:rsidRPr="004F1244" w:rsidRDefault="00CD2CE3" w:rsidP="00CD2CE3">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4"/>
        <w:szCs w:val="24"/>
        <w:lang w:val="ru-RU"/>
      </w:rPr>
    </w:pPr>
  </w:p>
  <w:p w14:paraId="0FB651AF" w14:textId="77777777" w:rsidR="00CD2CE3" w:rsidRPr="004F1244" w:rsidRDefault="00CD2CE3" w:rsidP="00CD2CE3">
    <w:pPr>
      <w:widowControl w:val="0"/>
      <w:tabs>
        <w:tab w:val="left" w:pos="-1440"/>
        <w:tab w:val="left" w:pos="-720"/>
        <w:tab w:val="left" w:pos="567"/>
        <w:tab w:val="left" w:pos="720"/>
        <w:tab w:val="left" w:pos="1420"/>
        <w:tab w:val="left" w:pos="2160"/>
        <w:tab w:val="left" w:pos="3600"/>
        <w:tab w:val="left" w:pos="4320"/>
        <w:tab w:val="center" w:pos="4677"/>
        <w:tab w:val="left" w:pos="5040"/>
        <w:tab w:val="left" w:pos="5523"/>
        <w:tab w:val="left" w:pos="6480"/>
      </w:tabs>
      <w:adjustRightInd w:val="0"/>
      <w:snapToGrid w:val="0"/>
      <w:spacing w:before="0" w:after="0" w:line="240" w:lineRule="auto"/>
      <w:ind w:left="2772"/>
      <w:textAlignment w:val="baseline"/>
      <w:rPr>
        <w:rFonts w:eastAsia="Times New Roman"/>
        <w:b/>
        <w:snapToGrid w:val="0"/>
        <w:sz w:val="22"/>
        <w:szCs w:val="24"/>
        <w:lang w:val="ru-RU"/>
      </w:rPr>
    </w:pPr>
    <w:r w:rsidRPr="00B77B10">
      <w:rPr>
        <w:rFonts w:eastAsia="Times New Roman"/>
        <w:b/>
        <w:bCs/>
        <w:snapToGrid w:val="0"/>
        <w:sz w:val="22"/>
        <w:szCs w:val="24"/>
        <w:lang w:val="ru-RU"/>
      </w:rPr>
      <w:t>Пятьдесят третья сессия Исполнительного совета</w:t>
    </w:r>
  </w:p>
  <w:p w14:paraId="6068601E" w14:textId="77777777" w:rsidR="00CD2CE3" w:rsidRPr="004F1244" w:rsidRDefault="00CD2CE3" w:rsidP="00CD2CE3">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color w:val="FF0000"/>
        <w:sz w:val="22"/>
        <w:szCs w:val="22"/>
        <w:lang w:val="ru-RU"/>
      </w:rPr>
    </w:pPr>
    <w:r w:rsidRPr="00B77B10">
      <w:rPr>
        <w:rFonts w:eastAsia="Times New Roman"/>
        <w:snapToGrid w:val="0"/>
        <w:sz w:val="22"/>
        <w:szCs w:val="24"/>
        <w:lang w:val="ru-RU"/>
      </w:rPr>
      <w:t>ЮНЕСКО, Париж, 3–9 февраля 2021 г.</w:t>
    </w:r>
    <w:r w:rsidRPr="00B77B10">
      <w:rPr>
        <w:lang w:val="ru-RU"/>
      </w:rPr>
      <w:t xml:space="preserve"> </w:t>
    </w:r>
    <w:r w:rsidRPr="00B77B10">
      <w:rPr>
        <w:rFonts w:eastAsia="Times New Roman"/>
        <w:snapToGrid w:val="0"/>
        <w:color w:val="000000" w:themeColor="text1"/>
        <w:sz w:val="22"/>
        <w:szCs w:val="24"/>
        <w:lang w:val="ru-RU"/>
      </w:rPr>
      <w:t>[виртуальная сессия]</w:t>
    </w:r>
  </w:p>
  <w:p w14:paraId="1F3C4BEC" w14:textId="77777777" w:rsidR="00CD2CE3" w:rsidRPr="004F1244" w:rsidRDefault="00CD2CE3" w:rsidP="00CD2CE3">
    <w:pPr>
      <w:widowControl w:val="0"/>
      <w:tabs>
        <w:tab w:val="left" w:pos="-1440"/>
        <w:tab w:val="left" w:pos="-720"/>
        <w:tab w:val="left" w:pos="567"/>
        <w:tab w:val="left" w:pos="720"/>
        <w:tab w:val="left" w:pos="1440"/>
        <w:tab w:val="left" w:pos="216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Cs/>
        <w:snapToGrid w:val="0"/>
        <w:sz w:val="22"/>
        <w:szCs w:val="22"/>
        <w:lang w:val="ru-RU"/>
      </w:rPr>
    </w:pPr>
  </w:p>
  <w:p w14:paraId="67395B39" w14:textId="77777777" w:rsidR="00CD2CE3" w:rsidRPr="004F1244" w:rsidRDefault="00CD2CE3" w:rsidP="00CD2CE3">
    <w:pPr>
      <w:widowControl w:val="0"/>
      <w:tabs>
        <w:tab w:val="left" w:pos="567"/>
      </w:tabs>
      <w:adjustRightInd w:val="0"/>
      <w:snapToGrid w:val="0"/>
      <w:spacing w:before="0" w:after="0" w:line="240" w:lineRule="auto"/>
      <w:jc w:val="center"/>
      <w:textAlignment w:val="baseline"/>
      <w:rPr>
        <w:rFonts w:eastAsia="Times New Roman"/>
        <w:snapToGrid w:val="0"/>
        <w:sz w:val="22"/>
        <w:szCs w:val="22"/>
        <w:lang w:val="ru-RU"/>
      </w:rPr>
    </w:pPr>
  </w:p>
  <w:p w14:paraId="1E6D8648" w14:textId="77777777" w:rsidR="00CD2CE3" w:rsidRPr="004F1244"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lang w:val="ru-RU"/>
      </w:rPr>
    </w:pPr>
  </w:p>
  <w:p w14:paraId="6AC53333" w14:textId="77777777" w:rsidR="00CD2CE3" w:rsidRPr="004F1244" w:rsidRDefault="00CD2CE3" w:rsidP="00CD2CE3">
    <w:pPr>
      <w:keepNext/>
      <w:widowControl w:val="0"/>
      <w:tabs>
        <w:tab w:val="left" w:pos="567"/>
        <w:tab w:val="right" w:pos="9540"/>
      </w:tabs>
      <w:adjustRightInd w:val="0"/>
      <w:snapToGrid w:val="0"/>
      <w:spacing w:before="0" w:after="0" w:line="240" w:lineRule="auto"/>
      <w:textAlignment w:val="baseline"/>
      <w:outlineLvl w:val="6"/>
      <w:rPr>
        <w:rFonts w:eastAsia="Times New Roman"/>
        <w:snapToGrid w:val="0"/>
        <w:sz w:val="24"/>
        <w:szCs w:val="24"/>
        <w:lang w:val="ru-RU"/>
      </w:rPr>
    </w:pPr>
    <w:r w:rsidRPr="00B77B10">
      <w:rPr>
        <w:rFonts w:eastAsia="Times New Roman"/>
        <w:snapToGrid w:val="0"/>
        <w:sz w:val="24"/>
        <w:szCs w:val="24"/>
        <w:u w:val="single"/>
        <w:lang w:val="ru-RU"/>
      </w:rPr>
      <w:t xml:space="preserve">Пункт </w:t>
    </w:r>
    <w:r w:rsidRPr="00B77B10">
      <w:rPr>
        <w:rFonts w:eastAsia="Times New Roman"/>
        <w:b/>
        <w:bCs/>
        <w:snapToGrid w:val="0"/>
        <w:sz w:val="24"/>
        <w:szCs w:val="24"/>
        <w:u w:val="single"/>
        <w:lang w:val="ru-RU"/>
      </w:rPr>
      <w:t>4.1</w:t>
    </w:r>
    <w:r w:rsidRPr="00B77B10">
      <w:rPr>
        <w:rFonts w:eastAsia="Times New Roman"/>
        <w:snapToGrid w:val="0"/>
        <w:sz w:val="24"/>
        <w:szCs w:val="24"/>
        <w:u w:val="single"/>
        <w:lang w:val="ru-RU"/>
      </w:rPr>
      <w:t xml:space="preserve"> четвертой пересмотренной предварительной повестки дня</w:t>
    </w:r>
  </w:p>
  <w:p w14:paraId="2A4A0A77" w14:textId="77777777" w:rsidR="00CD2CE3" w:rsidRPr="004F1244" w:rsidRDefault="00CD2CE3" w:rsidP="00CD2CE3">
    <w:pPr>
      <w:widowControl w:val="0"/>
      <w:tabs>
        <w:tab w:val="left" w:pos="567"/>
      </w:tabs>
      <w:adjustRightInd w:val="0"/>
      <w:snapToGrid w:val="0"/>
      <w:spacing w:before="0" w:after="0" w:line="240" w:lineRule="auto"/>
      <w:textAlignment w:val="baseline"/>
      <w:rPr>
        <w:rFonts w:eastAsia="Times New Roman"/>
        <w:snapToGrid w:val="0"/>
        <w:sz w:val="22"/>
        <w:szCs w:val="22"/>
        <w:lang w:val="ru-RU"/>
      </w:rPr>
    </w:pPr>
  </w:p>
  <w:p w14:paraId="75803019" w14:textId="77777777" w:rsidR="00CD2CE3" w:rsidRPr="004F1244" w:rsidRDefault="00CD2CE3" w:rsidP="00CD2CE3">
    <w:pPr>
      <w:widowControl w:val="0"/>
      <w:tabs>
        <w:tab w:val="left" w:pos="567"/>
      </w:tabs>
      <w:adjustRightInd w:val="0"/>
      <w:snapToGrid w:val="0"/>
      <w:spacing w:before="0" w:after="0" w:line="240" w:lineRule="auto"/>
      <w:textAlignment w:val="baseline"/>
      <w:rPr>
        <w:rFonts w:eastAsia="Times New Roman"/>
        <w:snapToGrid w:val="0"/>
        <w:sz w:val="22"/>
        <w:szCs w:val="22"/>
        <w:lang w:val="ru-RU"/>
      </w:rPr>
    </w:pPr>
  </w:p>
  <w:p w14:paraId="51C22A1D" w14:textId="77777777" w:rsidR="00CD2CE3" w:rsidRPr="004F1244" w:rsidRDefault="00CD2CE3" w:rsidP="00CD2CE3">
    <w:pPr>
      <w:widowControl w:val="0"/>
      <w:tabs>
        <w:tab w:val="left" w:pos="567"/>
        <w:tab w:val="center" w:pos="4153"/>
        <w:tab w:val="right" w:pos="8306"/>
      </w:tabs>
      <w:adjustRightInd w:val="0"/>
      <w:snapToGrid w:val="0"/>
      <w:spacing w:before="0" w:after="0" w:line="240" w:lineRule="auto"/>
      <w:jc w:val="center"/>
      <w:textAlignment w:val="baseline"/>
      <w:rPr>
        <w:rFonts w:eastAsia="Times New Roman"/>
        <w:b/>
        <w:bCs/>
        <w:caps/>
        <w:snapToGrid w:val="0"/>
        <w:sz w:val="24"/>
        <w:szCs w:val="24"/>
        <w:lang w:val="ru-RU"/>
      </w:rPr>
    </w:pPr>
    <w:r w:rsidRPr="00B77B10">
      <w:rPr>
        <w:rFonts w:eastAsia="Times New Roman"/>
        <w:b/>
        <w:bCs/>
        <w:caps/>
        <w:snapToGrid w:val="0"/>
        <w:sz w:val="24"/>
        <w:szCs w:val="24"/>
        <w:lang w:val="ru-RU"/>
      </w:rPr>
      <w:t>ПЕРЕСМОТРЕННЫЙ КРУГ ВЕДЕНИЯ ГРУППЫ ПЛАНИРОВАНИЯ ДЕЯТЕЛЬНОСТИ (ГПД), СВЯЗАННОЙ С ДЕСЯТИЛЕТИЕМ, ВРЕМЕННО ИСПОЛНЯЮЩЕЙ ОБЯЗАННОСТИ КОНСУЛЬТАТИВНОГО СОВЕТА ПО ВОПРОСАМ ПРОВЕДЕНИЯ ДЕСЯТИЛЕТИЯ (В 2021 ГОДУ)</w:t>
    </w:r>
  </w:p>
  <w:p w14:paraId="20D67E44" w14:textId="77777777" w:rsidR="00CD2CE3" w:rsidRPr="004F1244" w:rsidRDefault="00CD2CE3">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4DE8"/>
    <w:multiLevelType w:val="hybridMultilevel"/>
    <w:tmpl w:val="BCCEBE46"/>
    <w:lvl w:ilvl="0" w:tplc="C4429308">
      <w:start w:val="1"/>
      <w:numFmt w:val="lowerRoman"/>
      <w:lvlText w:val="(%1)"/>
      <w:lvlJc w:val="left"/>
      <w:pPr>
        <w:ind w:left="1077" w:hanging="360"/>
      </w:pPr>
      <w:rPr>
        <w:rFonts w:hint="default"/>
        <w:sz w:val="20"/>
      </w:rPr>
    </w:lvl>
    <w:lvl w:ilvl="1" w:tplc="040C0019">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 w15:restartNumberingAfterBreak="0">
    <w:nsid w:val="069C457A"/>
    <w:multiLevelType w:val="hybridMultilevel"/>
    <w:tmpl w:val="162AD0F6"/>
    <w:lvl w:ilvl="0" w:tplc="050008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54CA7"/>
    <w:multiLevelType w:val="hybridMultilevel"/>
    <w:tmpl w:val="BCCEBE46"/>
    <w:lvl w:ilvl="0" w:tplc="C4429308">
      <w:start w:val="1"/>
      <w:numFmt w:val="lowerRoman"/>
      <w:lvlText w:val="(%1)"/>
      <w:lvlJc w:val="left"/>
      <w:pPr>
        <w:ind w:left="1077" w:hanging="360"/>
      </w:pPr>
      <w:rPr>
        <w:rFonts w:hint="default"/>
        <w:sz w:val="2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15:restartNumberingAfterBreak="0">
    <w:nsid w:val="25530962"/>
    <w:multiLevelType w:val="hybridMultilevel"/>
    <w:tmpl w:val="13A2AEC2"/>
    <w:lvl w:ilvl="0" w:tplc="043CE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91349"/>
    <w:multiLevelType w:val="hybridMultilevel"/>
    <w:tmpl w:val="924AA22A"/>
    <w:lvl w:ilvl="0" w:tplc="AB601C76">
      <w:start w:val="1"/>
      <w:numFmt w:val="decimal"/>
      <w:lvlText w:val="%1."/>
      <w:lvlJc w:val="left"/>
      <w:pPr>
        <w:ind w:left="360" w:hanging="360"/>
      </w:pPr>
      <w:rPr>
        <w:rFonts w:ascii="Arial" w:hAnsi="Arial" w:cs="Arial" w:hint="default"/>
        <w:i/>
        <w:sz w:val="22"/>
        <w:szCs w:val="22"/>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C996ED2"/>
    <w:multiLevelType w:val="hybridMultilevel"/>
    <w:tmpl w:val="BCCEBE46"/>
    <w:lvl w:ilvl="0" w:tplc="C4429308">
      <w:start w:val="1"/>
      <w:numFmt w:val="lowerRoman"/>
      <w:lvlText w:val="(%1)"/>
      <w:lvlJc w:val="left"/>
      <w:pPr>
        <w:ind w:left="1077" w:hanging="360"/>
      </w:pPr>
      <w:rPr>
        <w:rFonts w:hint="default"/>
        <w:sz w:val="2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BD4C38"/>
    <w:multiLevelType w:val="hybridMultilevel"/>
    <w:tmpl w:val="14DEE692"/>
    <w:lvl w:ilvl="0" w:tplc="34FC3254">
      <w:start w:val="1"/>
      <w:numFmt w:val="decimal"/>
      <w:lvlText w:val="%1."/>
      <w:lvlJc w:val="left"/>
      <w:pPr>
        <w:ind w:left="-6" w:hanging="420"/>
      </w:pPr>
      <w:rPr>
        <w:rFonts w:hint="default"/>
        <w:sz w:val="20"/>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8" w15:restartNumberingAfterBreak="0">
    <w:nsid w:val="54C55882"/>
    <w:multiLevelType w:val="hybridMultilevel"/>
    <w:tmpl w:val="8326A9B8"/>
    <w:lvl w:ilvl="0" w:tplc="E8941B68">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5435B8"/>
    <w:multiLevelType w:val="hybridMultilevel"/>
    <w:tmpl w:val="2150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DC1684"/>
    <w:multiLevelType w:val="hybridMultilevel"/>
    <w:tmpl w:val="FE140E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FD62EC9"/>
    <w:multiLevelType w:val="hybridMultilevel"/>
    <w:tmpl w:val="201E9D26"/>
    <w:lvl w:ilvl="0" w:tplc="25E63FE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0"/>
  </w:num>
  <w:num w:numId="6">
    <w:abstractNumId w:val="9"/>
  </w:num>
  <w:num w:numId="7">
    <w:abstractNumId w:val="11"/>
  </w:num>
  <w:num w:numId="8">
    <w:abstractNumId w:val="7"/>
  </w:num>
  <w:num w:numId="9">
    <w:abstractNumId w:val="8"/>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hyphenationZone w:val="425"/>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52"/>
    <w:rsid w:val="00000D05"/>
    <w:rsid w:val="00024340"/>
    <w:rsid w:val="0003229D"/>
    <w:rsid w:val="0003728D"/>
    <w:rsid w:val="00050F2F"/>
    <w:rsid w:val="000675C8"/>
    <w:rsid w:val="00070F4E"/>
    <w:rsid w:val="000D290F"/>
    <w:rsid w:val="000D467B"/>
    <w:rsid w:val="000E0415"/>
    <w:rsid w:val="000F05EF"/>
    <w:rsid w:val="001403C1"/>
    <w:rsid w:val="00154648"/>
    <w:rsid w:val="00160452"/>
    <w:rsid w:val="001E06FF"/>
    <w:rsid w:val="001F0A3B"/>
    <w:rsid w:val="001F45B1"/>
    <w:rsid w:val="00201C15"/>
    <w:rsid w:val="0020262B"/>
    <w:rsid w:val="00216009"/>
    <w:rsid w:val="00247217"/>
    <w:rsid w:val="0025448D"/>
    <w:rsid w:val="0027332B"/>
    <w:rsid w:val="003129FD"/>
    <w:rsid w:val="00330273"/>
    <w:rsid w:val="00340C44"/>
    <w:rsid w:val="00352EB5"/>
    <w:rsid w:val="00377DE1"/>
    <w:rsid w:val="003A4668"/>
    <w:rsid w:val="003A6562"/>
    <w:rsid w:val="00422452"/>
    <w:rsid w:val="00446D4B"/>
    <w:rsid w:val="00453182"/>
    <w:rsid w:val="004E0E2F"/>
    <w:rsid w:val="004F1244"/>
    <w:rsid w:val="005063CF"/>
    <w:rsid w:val="0054010E"/>
    <w:rsid w:val="00542C00"/>
    <w:rsid w:val="00593152"/>
    <w:rsid w:val="006055B7"/>
    <w:rsid w:val="00610727"/>
    <w:rsid w:val="00623EC1"/>
    <w:rsid w:val="006365B2"/>
    <w:rsid w:val="006E3FE2"/>
    <w:rsid w:val="007D27D2"/>
    <w:rsid w:val="008438BF"/>
    <w:rsid w:val="00851247"/>
    <w:rsid w:val="008B2226"/>
    <w:rsid w:val="008C1BCA"/>
    <w:rsid w:val="008F025B"/>
    <w:rsid w:val="00912CCF"/>
    <w:rsid w:val="00931C8E"/>
    <w:rsid w:val="009610E6"/>
    <w:rsid w:val="00982938"/>
    <w:rsid w:val="009A56BF"/>
    <w:rsid w:val="009B4A09"/>
    <w:rsid w:val="00A10F9E"/>
    <w:rsid w:val="00A15578"/>
    <w:rsid w:val="00A26427"/>
    <w:rsid w:val="00A9552E"/>
    <w:rsid w:val="00AE5234"/>
    <w:rsid w:val="00B00D20"/>
    <w:rsid w:val="00B269D4"/>
    <w:rsid w:val="00B55F7D"/>
    <w:rsid w:val="00B616E7"/>
    <w:rsid w:val="00B77B10"/>
    <w:rsid w:val="00BB383C"/>
    <w:rsid w:val="00BC2EE4"/>
    <w:rsid w:val="00BD1C6C"/>
    <w:rsid w:val="00BE6531"/>
    <w:rsid w:val="00C05E2D"/>
    <w:rsid w:val="00C47193"/>
    <w:rsid w:val="00C6476B"/>
    <w:rsid w:val="00C812F6"/>
    <w:rsid w:val="00CD2CE3"/>
    <w:rsid w:val="00D341BB"/>
    <w:rsid w:val="00DF6CE0"/>
    <w:rsid w:val="00E16387"/>
    <w:rsid w:val="00E23783"/>
    <w:rsid w:val="00E94700"/>
    <w:rsid w:val="00F01CDF"/>
    <w:rsid w:val="00F14EE4"/>
    <w:rsid w:val="00F16A3B"/>
    <w:rsid w:val="00F87452"/>
    <w:rsid w:val="00FD44F7"/>
    <w:rsid w:val="00FE627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0E5A05D"/>
  <w15:docId w15:val="{694FD311-1136-4469-924D-4DB93271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0452"/>
    <w:pPr>
      <w:spacing w:before="240" w:after="240" w:line="276" w:lineRule="auto"/>
      <w:jc w:val="both"/>
    </w:pPr>
    <w:rPr>
      <w:rFonts w:ascii="Arial" w:eastAsia="Arial" w:hAnsi="Arial" w:cs="Arial"/>
      <w:sz w:val="20"/>
      <w:szCs w:val="20"/>
      <w:lang w:val="en-GB" w:eastAsia="fr-FR"/>
    </w:rPr>
  </w:style>
  <w:style w:type="paragraph" w:styleId="Heading1">
    <w:name w:val="heading 1"/>
    <w:basedOn w:val="Normal"/>
    <w:next w:val="Normal"/>
    <w:link w:val="Heading1Char"/>
    <w:rsid w:val="00160452"/>
    <w:pPr>
      <w:keepNext/>
      <w:keepLines/>
      <w:spacing w:before="400" w:after="120"/>
      <w:jc w:val="center"/>
      <w:outlineLvl w:val="0"/>
    </w:pPr>
    <w:rPr>
      <w:color w:val="5B9BD5" w:themeColor="accent1"/>
      <w:sz w:val="40"/>
      <w:szCs w:val="40"/>
    </w:rPr>
  </w:style>
  <w:style w:type="paragraph" w:styleId="Heading3">
    <w:name w:val="heading 3"/>
    <w:basedOn w:val="Normal"/>
    <w:next w:val="Normal"/>
    <w:link w:val="Heading3Char"/>
    <w:uiPriority w:val="9"/>
    <w:unhideWhenUsed/>
    <w:qFormat/>
    <w:rsid w:val="00C05E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CD2C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452"/>
    <w:rPr>
      <w:rFonts w:ascii="Arial" w:eastAsia="Arial" w:hAnsi="Arial" w:cs="Arial"/>
      <w:color w:val="5B9BD5" w:themeColor="accent1"/>
      <w:sz w:val="40"/>
      <w:szCs w:val="40"/>
      <w:lang w:val="en-GB" w:eastAsia="fr-FR"/>
    </w:rPr>
  </w:style>
  <w:style w:type="paragraph" w:styleId="FootnoteText">
    <w:name w:val="footnote text"/>
    <w:basedOn w:val="Normal"/>
    <w:link w:val="FootnoteTextChar"/>
    <w:uiPriority w:val="99"/>
    <w:semiHidden/>
    <w:unhideWhenUsed/>
    <w:rsid w:val="00160452"/>
    <w:pPr>
      <w:spacing w:before="0" w:after="0" w:line="240" w:lineRule="auto"/>
    </w:pPr>
  </w:style>
  <w:style w:type="character" w:customStyle="1" w:styleId="FootnoteTextChar">
    <w:name w:val="Footnote Text Char"/>
    <w:basedOn w:val="DefaultParagraphFont"/>
    <w:link w:val="FootnoteText"/>
    <w:uiPriority w:val="99"/>
    <w:semiHidden/>
    <w:rsid w:val="00160452"/>
    <w:rPr>
      <w:rFonts w:ascii="Arial" w:eastAsia="Arial" w:hAnsi="Arial" w:cs="Arial"/>
      <w:sz w:val="20"/>
      <w:szCs w:val="20"/>
      <w:lang w:val="en-GB" w:eastAsia="fr-FR"/>
    </w:rPr>
  </w:style>
  <w:style w:type="character" w:styleId="FootnoteReference">
    <w:name w:val="footnote reference"/>
    <w:basedOn w:val="DefaultParagraphFont"/>
    <w:uiPriority w:val="99"/>
    <w:semiHidden/>
    <w:unhideWhenUsed/>
    <w:rsid w:val="00160452"/>
    <w:rPr>
      <w:vertAlign w:val="superscript"/>
    </w:rPr>
  </w:style>
  <w:style w:type="paragraph" w:styleId="NormalWeb">
    <w:name w:val="Normal (Web)"/>
    <w:basedOn w:val="Normal"/>
    <w:uiPriority w:val="99"/>
    <w:unhideWhenUsed/>
    <w:rsid w:val="00160452"/>
    <w:pPr>
      <w:spacing w:before="100" w:beforeAutospacing="1" w:after="100" w:afterAutospacing="1" w:line="240" w:lineRule="auto"/>
      <w:jc w:val="left"/>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1F45B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5B1"/>
    <w:rPr>
      <w:rFonts w:ascii="Times New Roman" w:eastAsia="Arial" w:hAnsi="Times New Roman" w:cs="Times New Roman"/>
      <w:sz w:val="18"/>
      <w:szCs w:val="18"/>
      <w:lang w:val="en-GB" w:eastAsia="fr-FR"/>
    </w:rPr>
  </w:style>
  <w:style w:type="paragraph" w:customStyle="1" w:styleId="Style2">
    <w:name w:val="Style2"/>
    <w:basedOn w:val="Normal"/>
    <w:link w:val="Style2Car"/>
    <w:qFormat/>
    <w:rsid w:val="001F45B1"/>
    <w:pPr>
      <w:shd w:val="clear" w:color="auto" w:fill="FFFFFF"/>
      <w:tabs>
        <w:tab w:val="num" w:pos="1400"/>
      </w:tabs>
      <w:spacing w:before="0" w:line="240" w:lineRule="auto"/>
      <w:ind w:left="720"/>
    </w:pPr>
    <w:rPr>
      <w:rFonts w:eastAsia="Times New Roman" w:cs="Times New Roman"/>
      <w:iCs/>
      <w:snapToGrid w:val="0"/>
      <w:sz w:val="22"/>
      <w:szCs w:val="22"/>
      <w:lang w:eastAsia="en-US"/>
    </w:rPr>
  </w:style>
  <w:style w:type="character" w:customStyle="1" w:styleId="Style2Car">
    <w:name w:val="Style2 Car"/>
    <w:basedOn w:val="DefaultParagraphFont"/>
    <w:link w:val="Style2"/>
    <w:rsid w:val="001F45B1"/>
    <w:rPr>
      <w:rFonts w:ascii="Arial" w:eastAsia="Times New Roman" w:hAnsi="Arial" w:cs="Times New Roman"/>
      <w:iCs/>
      <w:snapToGrid w:val="0"/>
      <w:shd w:val="clear" w:color="auto" w:fill="FFFFFF"/>
      <w:lang w:val="en-GB"/>
    </w:rPr>
  </w:style>
  <w:style w:type="paragraph" w:styleId="ListParagraph">
    <w:name w:val="List Paragraph"/>
    <w:basedOn w:val="Normal"/>
    <w:uiPriority w:val="34"/>
    <w:qFormat/>
    <w:rsid w:val="006365B2"/>
    <w:pPr>
      <w:ind w:left="720"/>
      <w:contextualSpacing/>
    </w:pPr>
  </w:style>
  <w:style w:type="character" w:customStyle="1" w:styleId="Heading3Char">
    <w:name w:val="Heading 3 Char"/>
    <w:basedOn w:val="DefaultParagraphFont"/>
    <w:link w:val="Heading3"/>
    <w:uiPriority w:val="9"/>
    <w:rsid w:val="00C05E2D"/>
    <w:rPr>
      <w:rFonts w:asciiTheme="majorHAnsi" w:eastAsiaTheme="majorEastAsia" w:hAnsiTheme="majorHAnsi" w:cstheme="majorBidi"/>
      <w:color w:val="1F4D78" w:themeColor="accent1" w:themeShade="7F"/>
      <w:sz w:val="24"/>
      <w:szCs w:val="24"/>
      <w:lang w:val="en-GB" w:eastAsia="fr-FR"/>
    </w:rPr>
  </w:style>
  <w:style w:type="paragraph" w:customStyle="1" w:styleId="Default">
    <w:name w:val="Default"/>
    <w:rsid w:val="00C05E2D"/>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OI">
    <w:name w:val="COI"/>
    <w:basedOn w:val="Normal"/>
    <w:link w:val="COIChar"/>
    <w:autoRedefine/>
    <w:rsid w:val="000D467B"/>
    <w:pPr>
      <w:numPr>
        <w:numId w:val="11"/>
      </w:numPr>
      <w:tabs>
        <w:tab w:val="clear" w:pos="567"/>
        <w:tab w:val="left" w:pos="709"/>
      </w:tabs>
      <w:snapToGrid w:val="0"/>
      <w:spacing w:before="0" w:line="240" w:lineRule="auto"/>
    </w:pPr>
    <w:rPr>
      <w:rFonts w:eastAsia="Arial Unicode MS" w:cs="Times New Roman"/>
      <w:snapToGrid w:val="0"/>
      <w:sz w:val="22"/>
      <w:szCs w:val="22"/>
      <w:lang w:eastAsia="en-US"/>
    </w:rPr>
  </w:style>
  <w:style w:type="character" w:customStyle="1" w:styleId="COIChar">
    <w:name w:val="COI Char"/>
    <w:link w:val="COI"/>
    <w:rsid w:val="000D467B"/>
    <w:rPr>
      <w:rFonts w:ascii="Arial" w:eastAsia="Arial Unicode MS" w:hAnsi="Arial" w:cs="Times New Roman"/>
      <w:snapToGrid w:val="0"/>
      <w:lang w:val="en-GB"/>
    </w:rPr>
  </w:style>
  <w:style w:type="paragraph" w:customStyle="1" w:styleId="Marge">
    <w:name w:val="Marge"/>
    <w:basedOn w:val="Normal"/>
    <w:link w:val="MargeChar"/>
    <w:rsid w:val="000D467B"/>
    <w:pPr>
      <w:tabs>
        <w:tab w:val="left" w:pos="567"/>
      </w:tabs>
      <w:snapToGrid w:val="0"/>
      <w:spacing w:before="0" w:line="240" w:lineRule="auto"/>
    </w:pPr>
    <w:rPr>
      <w:rFonts w:eastAsia="Times New Roman" w:cs="Times New Roman"/>
      <w:snapToGrid w:val="0"/>
      <w:sz w:val="22"/>
      <w:szCs w:val="24"/>
      <w:lang w:eastAsia="en-US"/>
    </w:rPr>
  </w:style>
  <w:style w:type="character" w:customStyle="1" w:styleId="MargeChar">
    <w:name w:val="Marge Char"/>
    <w:basedOn w:val="DefaultParagraphFont"/>
    <w:link w:val="Marge"/>
    <w:rsid w:val="000D467B"/>
    <w:rPr>
      <w:rFonts w:ascii="Arial" w:eastAsia="Times New Roman" w:hAnsi="Arial" w:cs="Times New Roman"/>
      <w:snapToGrid w:val="0"/>
      <w:szCs w:val="24"/>
      <w:lang w:val="en-GB"/>
    </w:rPr>
  </w:style>
  <w:style w:type="character" w:styleId="Hyperlink">
    <w:name w:val="Hyperlink"/>
    <w:basedOn w:val="DefaultParagraphFont"/>
    <w:uiPriority w:val="99"/>
    <w:rsid w:val="000D467B"/>
    <w:rPr>
      <w:color w:val="0563C1" w:themeColor="hyperlink"/>
      <w:u w:val="single"/>
    </w:rPr>
  </w:style>
  <w:style w:type="character" w:styleId="CommentReference">
    <w:name w:val="annotation reference"/>
    <w:basedOn w:val="DefaultParagraphFont"/>
    <w:uiPriority w:val="99"/>
    <w:semiHidden/>
    <w:unhideWhenUsed/>
    <w:rsid w:val="00C47193"/>
    <w:rPr>
      <w:sz w:val="16"/>
      <w:szCs w:val="16"/>
    </w:rPr>
  </w:style>
  <w:style w:type="paragraph" w:styleId="CommentText">
    <w:name w:val="annotation text"/>
    <w:basedOn w:val="Normal"/>
    <w:link w:val="CommentTextChar"/>
    <w:uiPriority w:val="99"/>
    <w:semiHidden/>
    <w:unhideWhenUsed/>
    <w:rsid w:val="00C47193"/>
    <w:pPr>
      <w:spacing w:line="240" w:lineRule="auto"/>
    </w:pPr>
  </w:style>
  <w:style w:type="character" w:customStyle="1" w:styleId="CommentTextChar">
    <w:name w:val="Comment Text Char"/>
    <w:basedOn w:val="DefaultParagraphFont"/>
    <w:link w:val="CommentText"/>
    <w:uiPriority w:val="99"/>
    <w:semiHidden/>
    <w:rsid w:val="00C47193"/>
    <w:rPr>
      <w:rFonts w:ascii="Arial" w:eastAsia="Arial" w:hAnsi="Arial" w:cs="Arial"/>
      <w:sz w:val="20"/>
      <w:szCs w:val="20"/>
      <w:lang w:val="en-GB" w:eastAsia="fr-FR"/>
    </w:rPr>
  </w:style>
  <w:style w:type="paragraph" w:styleId="CommentSubject">
    <w:name w:val="annotation subject"/>
    <w:basedOn w:val="CommentText"/>
    <w:next w:val="CommentText"/>
    <w:link w:val="CommentSubjectChar"/>
    <w:uiPriority w:val="99"/>
    <w:semiHidden/>
    <w:unhideWhenUsed/>
    <w:rsid w:val="00C47193"/>
    <w:rPr>
      <w:b/>
      <w:bCs/>
    </w:rPr>
  </w:style>
  <w:style w:type="character" w:customStyle="1" w:styleId="CommentSubjectChar">
    <w:name w:val="Comment Subject Char"/>
    <w:basedOn w:val="CommentTextChar"/>
    <w:link w:val="CommentSubject"/>
    <w:uiPriority w:val="99"/>
    <w:semiHidden/>
    <w:rsid w:val="00C47193"/>
    <w:rPr>
      <w:rFonts w:ascii="Arial" w:eastAsia="Arial" w:hAnsi="Arial" w:cs="Arial"/>
      <w:b/>
      <w:bCs/>
      <w:sz w:val="20"/>
      <w:szCs w:val="20"/>
      <w:lang w:val="en-GB" w:eastAsia="fr-FR"/>
    </w:rPr>
  </w:style>
  <w:style w:type="paragraph" w:styleId="Header">
    <w:name w:val="header"/>
    <w:basedOn w:val="Normal"/>
    <w:link w:val="HeaderChar"/>
    <w:uiPriority w:val="99"/>
    <w:unhideWhenUsed/>
    <w:rsid w:val="00CD2CE3"/>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CD2CE3"/>
    <w:rPr>
      <w:rFonts w:ascii="Arial" w:eastAsia="Arial" w:hAnsi="Arial" w:cs="Arial"/>
      <w:sz w:val="20"/>
      <w:szCs w:val="20"/>
      <w:lang w:val="en-GB" w:eastAsia="fr-FR"/>
    </w:rPr>
  </w:style>
  <w:style w:type="paragraph" w:styleId="Footer">
    <w:name w:val="footer"/>
    <w:basedOn w:val="Normal"/>
    <w:link w:val="FooterChar"/>
    <w:uiPriority w:val="99"/>
    <w:unhideWhenUsed/>
    <w:rsid w:val="00CD2CE3"/>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CD2CE3"/>
    <w:rPr>
      <w:rFonts w:ascii="Arial" w:eastAsia="Arial" w:hAnsi="Arial" w:cs="Arial"/>
      <w:sz w:val="20"/>
      <w:szCs w:val="20"/>
      <w:lang w:val="en-GB" w:eastAsia="fr-FR"/>
    </w:rPr>
  </w:style>
  <w:style w:type="character" w:customStyle="1" w:styleId="Heading7Char">
    <w:name w:val="Heading 7 Char"/>
    <w:basedOn w:val="DefaultParagraphFont"/>
    <w:link w:val="Heading7"/>
    <w:uiPriority w:val="9"/>
    <w:semiHidden/>
    <w:rsid w:val="00CD2CE3"/>
    <w:rPr>
      <w:rFonts w:asciiTheme="majorHAnsi" w:eastAsiaTheme="majorEastAsia" w:hAnsiTheme="majorHAnsi" w:cstheme="majorBidi"/>
      <w:i/>
      <w:iCs/>
      <w:color w:val="1F4D78" w:themeColor="accent1" w:themeShade="7F"/>
      <w:sz w:val="20"/>
      <w:szCs w:val="20"/>
      <w:lang w:val="en-GB" w:eastAsia="fr-FR"/>
    </w:rPr>
  </w:style>
  <w:style w:type="character" w:customStyle="1" w:styleId="UnresolvedMention1">
    <w:name w:val="Unresolved Mention1"/>
    <w:basedOn w:val="DefaultParagraphFont"/>
    <w:uiPriority w:val="99"/>
    <w:semiHidden/>
    <w:unhideWhenUsed/>
    <w:rsid w:val="001E06FF"/>
    <w:rPr>
      <w:color w:val="605E5C"/>
      <w:shd w:val="clear" w:color="auto" w:fill="E1DFDD"/>
    </w:rPr>
  </w:style>
  <w:style w:type="paragraph" w:styleId="Revision">
    <w:name w:val="Revision"/>
    <w:hidden/>
    <w:uiPriority w:val="99"/>
    <w:semiHidden/>
    <w:rsid w:val="00A26427"/>
    <w:pPr>
      <w:spacing w:after="0" w:line="240" w:lineRule="auto"/>
    </w:pPr>
    <w:rPr>
      <w:rFonts w:ascii="Arial" w:eastAsia="Arial" w:hAnsi="Arial" w:cs="Arial"/>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44605">
      <w:bodyDiv w:val="1"/>
      <w:marLeft w:val="0"/>
      <w:marRight w:val="0"/>
      <w:marTop w:val="0"/>
      <w:marBottom w:val="0"/>
      <w:divBdr>
        <w:top w:val="none" w:sz="0" w:space="0" w:color="auto"/>
        <w:left w:val="none" w:sz="0" w:space="0" w:color="auto"/>
        <w:bottom w:val="none" w:sz="0" w:space="0" w:color="auto"/>
        <w:right w:val="none" w:sz="0" w:space="0" w:color="auto"/>
      </w:divBdr>
      <w:divsChild>
        <w:div w:id="1496459731">
          <w:marLeft w:val="0"/>
          <w:marRight w:val="0"/>
          <w:marTop w:val="0"/>
          <w:marBottom w:val="0"/>
          <w:divBdr>
            <w:top w:val="none" w:sz="0" w:space="0" w:color="auto"/>
            <w:left w:val="none" w:sz="0" w:space="0" w:color="auto"/>
            <w:bottom w:val="none" w:sz="0" w:space="0" w:color="auto"/>
            <w:right w:val="none" w:sz="0" w:space="0" w:color="auto"/>
          </w:divBdr>
          <w:divsChild>
            <w:div w:id="795222918">
              <w:marLeft w:val="0"/>
              <w:marRight w:val="0"/>
              <w:marTop w:val="0"/>
              <w:marBottom w:val="0"/>
              <w:divBdr>
                <w:top w:val="none" w:sz="0" w:space="0" w:color="auto"/>
                <w:left w:val="none" w:sz="0" w:space="0" w:color="auto"/>
                <w:bottom w:val="none" w:sz="0" w:space="0" w:color="auto"/>
                <w:right w:val="none" w:sz="0" w:space="0" w:color="auto"/>
              </w:divBdr>
              <w:divsChild>
                <w:div w:id="6160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2556">
      <w:bodyDiv w:val="1"/>
      <w:marLeft w:val="0"/>
      <w:marRight w:val="0"/>
      <w:marTop w:val="0"/>
      <w:marBottom w:val="0"/>
      <w:divBdr>
        <w:top w:val="none" w:sz="0" w:space="0" w:color="auto"/>
        <w:left w:val="none" w:sz="0" w:space="0" w:color="auto"/>
        <w:bottom w:val="none" w:sz="0" w:space="0" w:color="auto"/>
        <w:right w:val="none" w:sz="0" w:space="0" w:color="auto"/>
      </w:divBdr>
      <w:divsChild>
        <w:div w:id="1744137292">
          <w:marLeft w:val="0"/>
          <w:marRight w:val="0"/>
          <w:marTop w:val="0"/>
          <w:marBottom w:val="0"/>
          <w:divBdr>
            <w:top w:val="none" w:sz="0" w:space="0" w:color="auto"/>
            <w:left w:val="none" w:sz="0" w:space="0" w:color="auto"/>
            <w:bottom w:val="none" w:sz="0" w:space="0" w:color="auto"/>
            <w:right w:val="none" w:sz="0" w:space="0" w:color="auto"/>
          </w:divBdr>
          <w:divsChild>
            <w:div w:id="1248227482">
              <w:marLeft w:val="0"/>
              <w:marRight w:val="0"/>
              <w:marTop w:val="0"/>
              <w:marBottom w:val="0"/>
              <w:divBdr>
                <w:top w:val="none" w:sz="0" w:space="0" w:color="auto"/>
                <w:left w:val="none" w:sz="0" w:space="0" w:color="auto"/>
                <w:bottom w:val="none" w:sz="0" w:space="0" w:color="auto"/>
                <w:right w:val="none" w:sz="0" w:space="0" w:color="auto"/>
              </w:divBdr>
              <w:divsChild>
                <w:div w:id="19727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466">
      <w:bodyDiv w:val="1"/>
      <w:marLeft w:val="0"/>
      <w:marRight w:val="0"/>
      <w:marTop w:val="0"/>
      <w:marBottom w:val="0"/>
      <w:divBdr>
        <w:top w:val="none" w:sz="0" w:space="0" w:color="auto"/>
        <w:left w:val="none" w:sz="0" w:space="0" w:color="auto"/>
        <w:bottom w:val="none" w:sz="0" w:space="0" w:color="auto"/>
        <w:right w:val="none" w:sz="0" w:space="0" w:color="auto"/>
      </w:divBdr>
      <w:divsChild>
        <w:div w:id="536937064">
          <w:marLeft w:val="0"/>
          <w:marRight w:val="0"/>
          <w:marTop w:val="0"/>
          <w:marBottom w:val="0"/>
          <w:divBdr>
            <w:top w:val="none" w:sz="0" w:space="0" w:color="auto"/>
            <w:left w:val="none" w:sz="0" w:space="0" w:color="auto"/>
            <w:bottom w:val="none" w:sz="0" w:space="0" w:color="auto"/>
            <w:right w:val="none" w:sz="0" w:space="0" w:color="auto"/>
          </w:divBdr>
          <w:divsChild>
            <w:div w:id="1930917623">
              <w:marLeft w:val="0"/>
              <w:marRight w:val="0"/>
              <w:marTop w:val="0"/>
              <w:marBottom w:val="0"/>
              <w:divBdr>
                <w:top w:val="none" w:sz="0" w:space="0" w:color="auto"/>
                <w:left w:val="none" w:sz="0" w:space="0" w:color="auto"/>
                <w:bottom w:val="none" w:sz="0" w:space="0" w:color="auto"/>
                <w:right w:val="none" w:sz="0" w:space="0" w:color="auto"/>
              </w:divBdr>
              <w:divsChild>
                <w:div w:id="966396681">
                  <w:marLeft w:val="0"/>
                  <w:marRight w:val="0"/>
                  <w:marTop w:val="0"/>
                  <w:marBottom w:val="0"/>
                  <w:divBdr>
                    <w:top w:val="none" w:sz="0" w:space="0" w:color="auto"/>
                    <w:left w:val="none" w:sz="0" w:space="0" w:color="auto"/>
                    <w:bottom w:val="none" w:sz="0" w:space="0" w:color="auto"/>
                    <w:right w:val="none" w:sz="0" w:space="0" w:color="auto"/>
                  </w:divBdr>
                </w:div>
              </w:divsChild>
            </w:div>
            <w:div w:id="68429452">
              <w:marLeft w:val="0"/>
              <w:marRight w:val="0"/>
              <w:marTop w:val="0"/>
              <w:marBottom w:val="0"/>
              <w:divBdr>
                <w:top w:val="none" w:sz="0" w:space="0" w:color="auto"/>
                <w:left w:val="none" w:sz="0" w:space="0" w:color="auto"/>
                <w:bottom w:val="none" w:sz="0" w:space="0" w:color="auto"/>
                <w:right w:val="none" w:sz="0" w:space="0" w:color="auto"/>
              </w:divBdr>
              <w:divsChild>
                <w:div w:id="5198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5126.locale=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ceandecade.org/" TargetMode="External"/><Relationship Id="rId4" Type="http://schemas.openxmlformats.org/officeDocument/2006/relationships/settings" Target="settings.xml"/><Relationship Id="rId9" Type="http://schemas.openxmlformats.org/officeDocument/2006/relationships/hyperlink" Target="https://www.oceandecade.org/news/75/Call-for-Decade-Actions-No-01202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ceandecade.org/about?tab=our-govern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FDB21-6AD2-4202-BBF1-BB393407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Clausen, Alison</dc:creator>
  <cp:lastModifiedBy>Pastor Reyes, Ingrid</cp:lastModifiedBy>
  <cp:revision>4</cp:revision>
  <dcterms:created xsi:type="dcterms:W3CDTF">2021-03-23T08:40:00Z</dcterms:created>
  <dcterms:modified xsi:type="dcterms:W3CDTF">2021-03-23T11:36:00Z</dcterms:modified>
</cp:coreProperties>
</file>