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6CF1D" w14:textId="77777777" w:rsidR="002F2C67" w:rsidRDefault="002F2C67">
      <w:pPr>
        <w:spacing w:after="160" w:line="259" w:lineRule="auto"/>
        <w:rPr>
          <w:rFonts w:ascii="Arial" w:hAnsi="Arial" w:cs="Arial"/>
          <w:b/>
          <w:bCs/>
          <w:color w:val="000000" w:themeColor="text1"/>
          <w:sz w:val="11"/>
          <w:szCs w:val="11"/>
        </w:rPr>
      </w:pPr>
      <w:r>
        <w:rPr>
          <w:rFonts w:ascii="Arial" w:hAnsi="Arial" w:cs="Arial"/>
          <w:b/>
          <w:bCs/>
          <w:color w:val="000000" w:themeColor="text1"/>
          <w:sz w:val="11"/>
          <w:szCs w:val="11"/>
        </w:rPr>
        <w:br w:type="page"/>
      </w:r>
    </w:p>
    <w:p w14:paraId="7EF072BC" w14:textId="375468C9" w:rsidR="002F2C67" w:rsidRDefault="002F2C67" w:rsidP="002F2C67">
      <w:pPr>
        <w:spacing w:after="160" w:line="259" w:lineRule="auto"/>
        <w:jc w:val="center"/>
        <w:rPr>
          <w:rFonts w:ascii="Arial" w:hAnsi="Arial" w:cs="Arial"/>
          <w:b/>
          <w:bCs/>
          <w:color w:val="000000" w:themeColor="text1"/>
          <w:sz w:val="11"/>
          <w:szCs w:val="11"/>
        </w:rPr>
      </w:pPr>
      <w:r>
        <w:rPr>
          <w:noProof/>
        </w:rPr>
        <w:lastRenderedPageBreak/>
        <w:drawing>
          <wp:inline distT="0" distB="0" distL="0" distR="0" wp14:anchorId="3C44AA61" wp14:editId="31493065">
            <wp:extent cx="2712720" cy="8534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2720" cy="853440"/>
                    </a:xfrm>
                    <a:prstGeom prst="rect">
                      <a:avLst/>
                    </a:prstGeom>
                    <a:noFill/>
                  </pic:spPr>
                </pic:pic>
              </a:graphicData>
            </a:graphic>
          </wp:inline>
        </w:drawing>
      </w:r>
    </w:p>
    <w:p w14:paraId="71C711E8" w14:textId="61E38DE2" w:rsidR="001B582E" w:rsidRPr="003B06D5" w:rsidRDefault="001B582E" w:rsidP="001B582E">
      <w:pPr>
        <w:jc w:val="center"/>
        <w:rPr>
          <w:rFonts w:ascii="Arial" w:hAnsi="Arial" w:cs="Arial"/>
          <w:b/>
          <w:bCs/>
          <w:color w:val="000000" w:themeColor="text1"/>
          <w:sz w:val="11"/>
          <w:szCs w:val="11"/>
        </w:rPr>
      </w:pPr>
    </w:p>
    <w:p w14:paraId="5A115859" w14:textId="77777777" w:rsidR="000C39A2" w:rsidRDefault="000C39A2" w:rsidP="0048557B">
      <w:pPr>
        <w:rPr>
          <w:rFonts w:ascii="Arial" w:hAnsi="Arial" w:cs="Arial"/>
          <w:b/>
          <w:bCs/>
          <w:color w:val="000000" w:themeColor="text1"/>
        </w:rPr>
      </w:pPr>
    </w:p>
    <w:p w14:paraId="653610BD" w14:textId="3CCCB228" w:rsidR="002F2C67" w:rsidRDefault="002F2C67" w:rsidP="0048557B">
      <w:pPr>
        <w:jc w:val="center"/>
        <w:rPr>
          <w:rFonts w:ascii="Arial" w:hAnsi="Arial" w:cs="Arial"/>
          <w:b/>
          <w:bCs/>
          <w:color w:val="000000" w:themeColor="text1"/>
        </w:rPr>
      </w:pPr>
    </w:p>
    <w:p w14:paraId="66773D39" w14:textId="79058E6E" w:rsidR="0048557B" w:rsidRPr="002F2C67" w:rsidRDefault="0048557B" w:rsidP="002F2C67">
      <w:pPr>
        <w:snapToGrid w:val="0"/>
        <w:spacing w:after="240"/>
        <w:jc w:val="center"/>
        <w:rPr>
          <w:rFonts w:ascii="Arial" w:hAnsi="Arial" w:cs="Arial"/>
          <w:b/>
          <w:bCs/>
          <w:color w:val="000000" w:themeColor="text1"/>
          <w:sz w:val="22"/>
          <w:szCs w:val="22"/>
        </w:rPr>
      </w:pPr>
      <w:r w:rsidRPr="002F2C67">
        <w:rPr>
          <w:rFonts w:ascii="Arial" w:hAnsi="Arial" w:cs="Arial"/>
          <w:b/>
          <w:bCs/>
          <w:color w:val="000000" w:themeColor="text1"/>
          <w:sz w:val="22"/>
          <w:szCs w:val="22"/>
        </w:rPr>
        <w:t>Table of Contents</w:t>
      </w:r>
    </w:p>
    <w:p w14:paraId="0774AD52" w14:textId="77777777" w:rsidR="0048557B" w:rsidRPr="002F2C67" w:rsidRDefault="0048557B" w:rsidP="002F2C67">
      <w:pPr>
        <w:snapToGrid w:val="0"/>
        <w:spacing w:after="240"/>
        <w:rPr>
          <w:rFonts w:ascii="Arial" w:hAnsi="Arial" w:cs="Arial"/>
          <w:b/>
          <w:bCs/>
          <w:color w:val="000000" w:themeColor="text1"/>
          <w:sz w:val="22"/>
          <w:szCs w:val="22"/>
        </w:rPr>
      </w:pPr>
    </w:p>
    <w:p w14:paraId="2229CEB3" w14:textId="1A6875A2" w:rsidR="00F95460" w:rsidRPr="002F2C67" w:rsidRDefault="0048557B" w:rsidP="002F2C67">
      <w:pPr>
        <w:pStyle w:val="TOC1"/>
        <w:tabs>
          <w:tab w:val="left" w:pos="709"/>
          <w:tab w:val="right" w:leader="dot" w:pos="9350"/>
        </w:tabs>
        <w:snapToGrid w:val="0"/>
        <w:spacing w:after="240"/>
        <w:ind w:left="709" w:hanging="709"/>
        <w:rPr>
          <w:rFonts w:ascii="Arial" w:eastAsiaTheme="minorEastAsia" w:hAnsi="Arial" w:cs="Arial"/>
          <w:noProof/>
          <w:sz w:val="22"/>
          <w:szCs w:val="22"/>
          <w:lang w:val="fr-FR" w:eastAsia="fr-FR"/>
        </w:rPr>
      </w:pPr>
      <w:r w:rsidRPr="002F2C67">
        <w:rPr>
          <w:rFonts w:ascii="Arial" w:hAnsi="Arial" w:cs="Arial"/>
          <w:b/>
          <w:bCs/>
          <w:color w:val="000000" w:themeColor="text1"/>
          <w:sz w:val="22"/>
          <w:szCs w:val="22"/>
        </w:rPr>
        <w:fldChar w:fldCharType="begin"/>
      </w:r>
      <w:r w:rsidRPr="002F2C67">
        <w:rPr>
          <w:rFonts w:ascii="Arial" w:hAnsi="Arial" w:cs="Arial"/>
          <w:b/>
          <w:bCs/>
          <w:color w:val="000000" w:themeColor="text1"/>
          <w:sz w:val="22"/>
          <w:szCs w:val="22"/>
        </w:rPr>
        <w:instrText xml:space="preserve"> TOC \o "1-2" \h \z \u </w:instrText>
      </w:r>
      <w:r w:rsidRPr="002F2C67">
        <w:rPr>
          <w:rFonts w:ascii="Arial" w:hAnsi="Arial" w:cs="Arial"/>
          <w:b/>
          <w:bCs/>
          <w:color w:val="000000" w:themeColor="text1"/>
          <w:sz w:val="22"/>
          <w:szCs w:val="22"/>
        </w:rPr>
        <w:fldChar w:fldCharType="separate"/>
      </w:r>
      <w:hyperlink w:anchor="_Toc73968032" w:history="1">
        <w:r w:rsidR="00F95460" w:rsidRPr="002F2C67">
          <w:rPr>
            <w:rStyle w:val="Hyperlink"/>
            <w:rFonts w:ascii="Arial" w:hAnsi="Arial" w:cs="Arial"/>
            <w:b/>
            <w:noProof/>
            <w:sz w:val="22"/>
            <w:szCs w:val="22"/>
          </w:rPr>
          <w:t>1.</w:t>
        </w:r>
        <w:r w:rsidR="00F95460" w:rsidRPr="002F2C67">
          <w:rPr>
            <w:rFonts w:ascii="Arial" w:eastAsiaTheme="minorEastAsia" w:hAnsi="Arial" w:cs="Arial"/>
            <w:noProof/>
            <w:sz w:val="22"/>
            <w:szCs w:val="22"/>
            <w:lang w:val="fr-FR" w:eastAsia="fr-FR"/>
          </w:rPr>
          <w:tab/>
        </w:r>
        <w:r w:rsidR="00F95460" w:rsidRPr="002F2C67">
          <w:rPr>
            <w:rStyle w:val="Hyperlink"/>
            <w:rFonts w:ascii="Arial" w:hAnsi="Arial" w:cs="Arial"/>
            <w:b/>
            <w:noProof/>
            <w:sz w:val="22"/>
            <w:szCs w:val="22"/>
          </w:rPr>
          <w:t>Introduction to the Framework</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_Toc73968032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sidR="00574021">
          <w:rPr>
            <w:rFonts w:ascii="Arial" w:hAnsi="Arial" w:cs="Arial"/>
            <w:noProof/>
            <w:webHidden/>
            <w:sz w:val="22"/>
            <w:szCs w:val="22"/>
          </w:rPr>
          <w:t>3</w:t>
        </w:r>
        <w:r w:rsidR="00F95460" w:rsidRPr="002F2C67">
          <w:rPr>
            <w:rFonts w:ascii="Arial" w:hAnsi="Arial" w:cs="Arial"/>
            <w:noProof/>
            <w:webHidden/>
            <w:sz w:val="22"/>
            <w:szCs w:val="22"/>
          </w:rPr>
          <w:fldChar w:fldCharType="end"/>
        </w:r>
      </w:hyperlink>
    </w:p>
    <w:p w14:paraId="38EB6D70" w14:textId="495828D9"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33" w:history="1">
        <w:r w:rsidR="00F95460" w:rsidRPr="002F2C67">
          <w:rPr>
            <w:rStyle w:val="Hyperlink"/>
            <w:rFonts w:ascii="Arial" w:hAnsi="Arial" w:cs="Arial"/>
            <w:noProof/>
            <w:sz w:val="22"/>
            <w:szCs w:val="22"/>
          </w:rPr>
          <w:t>Background and Objectives of the Framework</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_Toc73968033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3</w:t>
        </w:r>
        <w:r w:rsidR="00F95460" w:rsidRPr="002F2C67">
          <w:rPr>
            <w:rFonts w:ascii="Arial" w:hAnsi="Arial" w:cs="Arial"/>
            <w:noProof/>
            <w:webHidden/>
            <w:sz w:val="22"/>
            <w:szCs w:val="22"/>
          </w:rPr>
          <w:fldChar w:fldCharType="end"/>
        </w:r>
      </w:hyperlink>
    </w:p>
    <w:p w14:paraId="3AD2354F" w14:textId="392A339B"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34" w:history="1">
        <w:r w:rsidR="00F95460" w:rsidRPr="002F2C67">
          <w:rPr>
            <w:rStyle w:val="Hyperlink"/>
            <w:rFonts w:ascii="Arial" w:hAnsi="Arial" w:cs="Arial"/>
            <w:noProof/>
            <w:sz w:val="22"/>
            <w:szCs w:val="22"/>
          </w:rPr>
          <w:t>Current Funding for Ocean Science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_Toc73968034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4</w:t>
        </w:r>
        <w:r w:rsidR="00F95460" w:rsidRPr="002F2C67">
          <w:rPr>
            <w:rFonts w:ascii="Arial" w:hAnsi="Arial" w:cs="Arial"/>
            <w:noProof/>
            <w:webHidden/>
            <w:sz w:val="22"/>
            <w:szCs w:val="22"/>
          </w:rPr>
          <w:fldChar w:fldCharType="end"/>
        </w:r>
      </w:hyperlink>
    </w:p>
    <w:p w14:paraId="2D53E673" w14:textId="69DA87DF"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35" w:history="1">
        <w:r w:rsidR="00F95460" w:rsidRPr="002F2C67">
          <w:rPr>
            <w:rStyle w:val="Hyperlink"/>
            <w:rFonts w:ascii="Arial" w:hAnsi="Arial" w:cs="Arial"/>
            <w:noProof/>
            <w:sz w:val="22"/>
            <w:szCs w:val="22"/>
          </w:rPr>
          <w:t>Types of Funding Needs for the Ocean Decade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_Toc73968035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5</w:t>
        </w:r>
        <w:r w:rsidR="00F95460" w:rsidRPr="002F2C67">
          <w:rPr>
            <w:rFonts w:ascii="Arial" w:hAnsi="Arial" w:cs="Arial"/>
            <w:noProof/>
            <w:webHidden/>
            <w:sz w:val="22"/>
            <w:szCs w:val="22"/>
          </w:rPr>
          <w:fldChar w:fldCharType="end"/>
        </w:r>
      </w:hyperlink>
    </w:p>
    <w:p w14:paraId="06BC9FF3" w14:textId="055BA3F9"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36" w:history="1">
        <w:r w:rsidR="00F95460" w:rsidRPr="002F2C67">
          <w:rPr>
            <w:rStyle w:val="Hyperlink"/>
            <w:rFonts w:ascii="Arial" w:hAnsi="Arial" w:cs="Arial"/>
            <w:noProof/>
            <w:sz w:val="22"/>
            <w:szCs w:val="22"/>
          </w:rPr>
          <w:t>Financing Mechanisms for the Ocean Decade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_Toc73968036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5</w:t>
        </w:r>
        <w:r w:rsidR="00F95460" w:rsidRPr="002F2C67">
          <w:rPr>
            <w:rFonts w:ascii="Arial" w:hAnsi="Arial" w:cs="Arial"/>
            <w:noProof/>
            <w:webHidden/>
            <w:sz w:val="22"/>
            <w:szCs w:val="22"/>
          </w:rPr>
          <w:fldChar w:fldCharType="end"/>
        </w:r>
      </w:hyperlink>
    </w:p>
    <w:p w14:paraId="0D50DC69" w14:textId="62B8AD41" w:rsidR="00F95460" w:rsidRPr="002F2C67" w:rsidRDefault="00574021" w:rsidP="002F2C67">
      <w:pPr>
        <w:pStyle w:val="TOC1"/>
        <w:tabs>
          <w:tab w:val="left" w:pos="660"/>
          <w:tab w:val="right" w:leader="dot" w:pos="9350"/>
        </w:tabs>
        <w:snapToGrid w:val="0"/>
        <w:spacing w:after="240"/>
        <w:rPr>
          <w:rFonts w:ascii="Arial" w:eastAsiaTheme="minorEastAsia" w:hAnsi="Arial" w:cs="Arial"/>
          <w:noProof/>
          <w:sz w:val="22"/>
          <w:szCs w:val="22"/>
          <w:lang w:val="fr-FR" w:eastAsia="fr-FR"/>
        </w:rPr>
      </w:pPr>
      <w:hyperlink w:anchor="_Toc73968037" w:history="1">
        <w:r w:rsidR="00F95460" w:rsidRPr="002F2C67">
          <w:rPr>
            <w:rStyle w:val="Hyperlink"/>
            <w:rFonts w:ascii="Arial" w:hAnsi="Arial" w:cs="Arial"/>
            <w:b/>
            <w:noProof/>
            <w:sz w:val="22"/>
            <w:szCs w:val="22"/>
          </w:rPr>
          <w:t xml:space="preserve">2. </w:t>
        </w:r>
        <w:r w:rsidR="00F95460" w:rsidRPr="002F2C67">
          <w:rPr>
            <w:rFonts w:ascii="Arial" w:eastAsiaTheme="minorEastAsia" w:hAnsi="Arial" w:cs="Arial"/>
            <w:noProof/>
            <w:sz w:val="22"/>
            <w:szCs w:val="22"/>
            <w:lang w:val="fr-FR" w:eastAsia="fr-FR"/>
          </w:rPr>
          <w:tab/>
        </w:r>
        <w:r w:rsidR="00F95460" w:rsidRPr="002F2C67">
          <w:rPr>
            <w:rStyle w:val="Hyperlink"/>
            <w:rFonts w:ascii="Arial" w:hAnsi="Arial" w:cs="Arial"/>
            <w:b/>
            <w:noProof/>
            <w:sz w:val="22"/>
            <w:szCs w:val="22"/>
          </w:rPr>
          <w:t xml:space="preserve">Overarching Objectives of the Resource Mobilization Efforts </w:t>
        </w:r>
        <w:r w:rsidR="002F2C67">
          <w:rPr>
            <w:rStyle w:val="Hyperlink"/>
            <w:rFonts w:ascii="Arial" w:hAnsi="Arial" w:cs="Arial"/>
            <w:b/>
            <w:noProof/>
            <w:sz w:val="22"/>
            <w:szCs w:val="22"/>
          </w:rPr>
          <w:br/>
        </w:r>
        <w:r w:rsidR="002F2C67">
          <w:rPr>
            <w:rStyle w:val="Hyperlink"/>
            <w:rFonts w:ascii="Arial" w:hAnsi="Arial" w:cs="Arial"/>
            <w:b/>
            <w:noProof/>
            <w:sz w:val="22"/>
            <w:szCs w:val="22"/>
          </w:rPr>
          <w:tab/>
        </w:r>
        <w:r w:rsidR="00F95460" w:rsidRPr="002F2C67">
          <w:rPr>
            <w:rStyle w:val="Hyperlink"/>
            <w:rFonts w:ascii="Arial" w:hAnsi="Arial" w:cs="Arial"/>
            <w:b/>
            <w:noProof/>
            <w:sz w:val="22"/>
            <w:szCs w:val="22"/>
          </w:rPr>
          <w:t>for the Ocean Decade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_Toc73968037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8</w:t>
        </w:r>
        <w:r w:rsidR="00F95460" w:rsidRPr="002F2C67">
          <w:rPr>
            <w:rFonts w:ascii="Arial" w:hAnsi="Arial" w:cs="Arial"/>
            <w:noProof/>
            <w:webHidden/>
            <w:sz w:val="22"/>
            <w:szCs w:val="22"/>
          </w:rPr>
          <w:fldChar w:fldCharType="end"/>
        </w:r>
      </w:hyperlink>
    </w:p>
    <w:p w14:paraId="72246549" w14:textId="3A4DA5A0"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38" w:history="1">
        <w:r w:rsidR="00F95460" w:rsidRPr="002F2C67">
          <w:rPr>
            <w:rStyle w:val="Hyperlink"/>
            <w:rFonts w:ascii="Arial" w:hAnsi="Arial" w:cs="Arial"/>
            <w:noProof/>
            <w:sz w:val="22"/>
            <w:szCs w:val="22"/>
          </w:rPr>
          <w:t>Stimulate a Massive Scale Up in Financing for Ocean Science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_Toc73968038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8</w:t>
        </w:r>
        <w:r w:rsidR="00F95460" w:rsidRPr="002F2C67">
          <w:rPr>
            <w:rFonts w:ascii="Arial" w:hAnsi="Arial" w:cs="Arial"/>
            <w:noProof/>
            <w:webHidden/>
            <w:sz w:val="22"/>
            <w:szCs w:val="22"/>
          </w:rPr>
          <w:fldChar w:fldCharType="end"/>
        </w:r>
      </w:hyperlink>
    </w:p>
    <w:p w14:paraId="794E83BF" w14:textId="20C0AB07"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39" w:history="1">
        <w:r w:rsidR="00F95460" w:rsidRPr="002F2C67">
          <w:rPr>
            <w:rStyle w:val="Hyperlink"/>
            <w:rFonts w:ascii="Arial" w:hAnsi="Arial" w:cs="Arial"/>
            <w:noProof/>
            <w:sz w:val="22"/>
            <w:szCs w:val="22"/>
          </w:rPr>
          <w:t>Establish a Fully Funded Ocean Decade Coordination Unit</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_Toc73968039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8</w:t>
        </w:r>
        <w:r w:rsidR="00F95460" w:rsidRPr="002F2C67">
          <w:rPr>
            <w:rFonts w:ascii="Arial" w:hAnsi="Arial" w:cs="Arial"/>
            <w:noProof/>
            <w:webHidden/>
            <w:sz w:val="22"/>
            <w:szCs w:val="22"/>
          </w:rPr>
          <w:fldChar w:fldCharType="end"/>
        </w:r>
      </w:hyperlink>
    </w:p>
    <w:p w14:paraId="54213BAF" w14:textId="095897B5"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0" w:history="1">
        <w:r w:rsidR="00F95460" w:rsidRPr="002F2C67">
          <w:rPr>
            <w:rStyle w:val="Hyperlink"/>
            <w:rFonts w:ascii="Arial" w:hAnsi="Arial" w:cs="Arial"/>
            <w:noProof/>
            <w:sz w:val="22"/>
            <w:szCs w:val="22"/>
          </w:rPr>
          <w:t>Risks and Opportunities for Resource Mobilisation within the Ocean Decade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_Toc73968040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8</w:t>
        </w:r>
        <w:r w:rsidR="00F95460" w:rsidRPr="002F2C67">
          <w:rPr>
            <w:rFonts w:ascii="Arial" w:hAnsi="Arial" w:cs="Arial"/>
            <w:noProof/>
            <w:webHidden/>
            <w:sz w:val="22"/>
            <w:szCs w:val="22"/>
          </w:rPr>
          <w:fldChar w:fldCharType="end"/>
        </w:r>
      </w:hyperlink>
    </w:p>
    <w:p w14:paraId="19FB87D0" w14:textId="4BC8BDFF" w:rsidR="00F95460" w:rsidRPr="002F2C67" w:rsidRDefault="00574021" w:rsidP="002F2C67">
      <w:pPr>
        <w:pStyle w:val="TOC1"/>
        <w:tabs>
          <w:tab w:val="left" w:pos="660"/>
          <w:tab w:val="right" w:leader="dot" w:pos="9350"/>
        </w:tabs>
        <w:snapToGrid w:val="0"/>
        <w:spacing w:after="240"/>
        <w:rPr>
          <w:rFonts w:ascii="Arial" w:eastAsiaTheme="minorEastAsia" w:hAnsi="Arial" w:cs="Arial"/>
          <w:noProof/>
          <w:sz w:val="22"/>
          <w:szCs w:val="22"/>
          <w:lang w:val="fr-FR" w:eastAsia="fr-FR"/>
        </w:rPr>
      </w:pPr>
      <w:hyperlink w:anchor="_Toc73968041" w:history="1">
        <w:r w:rsidR="00F95460" w:rsidRPr="002F2C67">
          <w:rPr>
            <w:rStyle w:val="Hyperlink"/>
            <w:rFonts w:ascii="Arial" w:hAnsi="Arial" w:cs="Arial"/>
            <w:b/>
            <w:noProof/>
            <w:sz w:val="22"/>
            <w:szCs w:val="22"/>
          </w:rPr>
          <w:t xml:space="preserve">3. </w:t>
        </w:r>
        <w:r w:rsidR="00F95460" w:rsidRPr="002F2C67">
          <w:rPr>
            <w:rFonts w:ascii="Arial" w:eastAsiaTheme="minorEastAsia" w:hAnsi="Arial" w:cs="Arial"/>
            <w:noProof/>
            <w:sz w:val="22"/>
            <w:szCs w:val="22"/>
            <w:lang w:val="fr-FR" w:eastAsia="fr-FR"/>
          </w:rPr>
          <w:tab/>
        </w:r>
        <w:r w:rsidR="00F95460" w:rsidRPr="002F2C67">
          <w:rPr>
            <w:rStyle w:val="Hyperlink"/>
            <w:rFonts w:ascii="Arial" w:hAnsi="Arial" w:cs="Arial"/>
            <w:b/>
            <w:noProof/>
            <w:sz w:val="22"/>
            <w:szCs w:val="22"/>
          </w:rPr>
          <w:t>Operationalising Resource Mobilization within the Ocean Decade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_Toc73968041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10</w:t>
        </w:r>
        <w:r w:rsidR="00F95460" w:rsidRPr="002F2C67">
          <w:rPr>
            <w:rFonts w:ascii="Arial" w:hAnsi="Arial" w:cs="Arial"/>
            <w:noProof/>
            <w:webHidden/>
            <w:sz w:val="22"/>
            <w:szCs w:val="22"/>
          </w:rPr>
          <w:fldChar w:fldCharType="end"/>
        </w:r>
      </w:hyperlink>
    </w:p>
    <w:p w14:paraId="6195E4DE" w14:textId="4AFFEEA9"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2" w:history="1">
        <w:r w:rsidR="00F95460" w:rsidRPr="002F2C67">
          <w:rPr>
            <w:rStyle w:val="Hyperlink"/>
            <w:rFonts w:ascii="Arial" w:hAnsi="Arial" w:cs="Arial"/>
            <w:noProof/>
            <w:sz w:val="22"/>
            <w:szCs w:val="22"/>
          </w:rPr>
          <w:t>Scale the Ocean Decade Alliance</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_Toc73968042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10</w:t>
        </w:r>
        <w:r w:rsidR="00F95460" w:rsidRPr="002F2C67">
          <w:rPr>
            <w:rFonts w:ascii="Arial" w:hAnsi="Arial" w:cs="Arial"/>
            <w:noProof/>
            <w:webHidden/>
            <w:sz w:val="22"/>
            <w:szCs w:val="22"/>
          </w:rPr>
          <w:fldChar w:fldCharType="end"/>
        </w:r>
      </w:hyperlink>
    </w:p>
    <w:p w14:paraId="4E79FC3A" w14:textId="0B0D7DAE"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3" w:history="1">
        <w:r w:rsidR="00F95460" w:rsidRPr="002F2C67">
          <w:rPr>
            <w:rStyle w:val="Hyperlink"/>
            <w:rFonts w:ascii="Arial" w:hAnsi="Arial" w:cs="Arial"/>
            <w:noProof/>
            <w:sz w:val="22"/>
            <w:szCs w:val="22"/>
          </w:rPr>
          <w:t>Establish Relationships with Key Financing Mechanisms</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_Toc73968043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11</w:t>
        </w:r>
        <w:r w:rsidR="00F95460" w:rsidRPr="002F2C67">
          <w:rPr>
            <w:rFonts w:ascii="Arial" w:hAnsi="Arial" w:cs="Arial"/>
            <w:noProof/>
            <w:webHidden/>
            <w:sz w:val="22"/>
            <w:szCs w:val="22"/>
          </w:rPr>
          <w:fldChar w:fldCharType="end"/>
        </w:r>
      </w:hyperlink>
    </w:p>
    <w:p w14:paraId="38CE2645" w14:textId="1DAF9990"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4" w:history="1">
        <w:r w:rsidR="00F95460" w:rsidRPr="002F2C67">
          <w:rPr>
            <w:rStyle w:val="Hyperlink"/>
            <w:rFonts w:ascii="Arial" w:hAnsi="Arial" w:cs="Arial"/>
            <w:noProof/>
            <w:sz w:val="22"/>
            <w:szCs w:val="22"/>
          </w:rPr>
          <w:t>Deepen collaborations with individual UN Agencies</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_Toc73968044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11</w:t>
        </w:r>
        <w:r w:rsidR="00F95460" w:rsidRPr="002F2C67">
          <w:rPr>
            <w:rFonts w:ascii="Arial" w:hAnsi="Arial" w:cs="Arial"/>
            <w:noProof/>
            <w:webHidden/>
            <w:sz w:val="22"/>
            <w:szCs w:val="22"/>
          </w:rPr>
          <w:fldChar w:fldCharType="end"/>
        </w:r>
      </w:hyperlink>
    </w:p>
    <w:p w14:paraId="579EFFCE" w14:textId="293BE931"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5" w:history="1">
        <w:r w:rsidR="00F95460" w:rsidRPr="002F2C67">
          <w:rPr>
            <w:rStyle w:val="Hyperlink"/>
            <w:rFonts w:ascii="Arial" w:hAnsi="Arial" w:cs="Arial"/>
            <w:noProof/>
            <w:sz w:val="22"/>
            <w:szCs w:val="22"/>
          </w:rPr>
          <w:t>Build a Global Network of Foundations and Companies</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_Toc73968045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12</w:t>
        </w:r>
        <w:r w:rsidR="00F95460" w:rsidRPr="002F2C67">
          <w:rPr>
            <w:rFonts w:ascii="Arial" w:hAnsi="Arial" w:cs="Arial"/>
            <w:noProof/>
            <w:webHidden/>
            <w:sz w:val="22"/>
            <w:szCs w:val="22"/>
          </w:rPr>
          <w:fldChar w:fldCharType="end"/>
        </w:r>
      </w:hyperlink>
    </w:p>
    <w:p w14:paraId="09C85A68" w14:textId="5FFBC3D7"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6" w:history="1">
        <w:r w:rsidR="00F95460" w:rsidRPr="002F2C67">
          <w:rPr>
            <w:rStyle w:val="Hyperlink"/>
            <w:rFonts w:ascii="Arial" w:hAnsi="Arial" w:cs="Arial"/>
            <w:noProof/>
            <w:sz w:val="22"/>
            <w:szCs w:val="22"/>
          </w:rPr>
          <w:t>Bring the Ocean Decade to Key Stakeholders</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_Toc73968046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13</w:t>
        </w:r>
        <w:r w:rsidR="00F95460" w:rsidRPr="002F2C67">
          <w:rPr>
            <w:rFonts w:ascii="Arial" w:hAnsi="Arial" w:cs="Arial"/>
            <w:noProof/>
            <w:webHidden/>
            <w:sz w:val="22"/>
            <w:szCs w:val="22"/>
          </w:rPr>
          <w:fldChar w:fldCharType="end"/>
        </w:r>
      </w:hyperlink>
    </w:p>
    <w:p w14:paraId="6640EFB7" w14:textId="64155972"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7" w:history="1">
        <w:r w:rsidR="00F95460" w:rsidRPr="002F2C67">
          <w:rPr>
            <w:rStyle w:val="Hyperlink"/>
            <w:rFonts w:ascii="Arial" w:hAnsi="Arial" w:cs="Arial"/>
            <w:noProof/>
            <w:sz w:val="22"/>
            <w:szCs w:val="22"/>
          </w:rPr>
          <w:t>Organize an Annual Resource Mobilisation Meeting</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_Toc73968047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13</w:t>
        </w:r>
        <w:r w:rsidR="00F95460" w:rsidRPr="002F2C67">
          <w:rPr>
            <w:rFonts w:ascii="Arial" w:hAnsi="Arial" w:cs="Arial"/>
            <w:noProof/>
            <w:webHidden/>
            <w:sz w:val="22"/>
            <w:szCs w:val="22"/>
          </w:rPr>
          <w:fldChar w:fldCharType="end"/>
        </w:r>
      </w:hyperlink>
    </w:p>
    <w:p w14:paraId="64393890" w14:textId="2812DED1"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8" w:history="1">
        <w:r w:rsidR="00F95460" w:rsidRPr="002F2C67">
          <w:rPr>
            <w:rStyle w:val="Hyperlink"/>
            <w:rFonts w:ascii="Arial" w:hAnsi="Arial" w:cs="Arial"/>
            <w:noProof/>
            <w:sz w:val="22"/>
            <w:szCs w:val="22"/>
          </w:rPr>
          <w:t>Responsibilities for Resource Mobilisation</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_Toc73968048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13</w:t>
        </w:r>
        <w:r w:rsidR="00F95460" w:rsidRPr="002F2C67">
          <w:rPr>
            <w:rFonts w:ascii="Arial" w:hAnsi="Arial" w:cs="Arial"/>
            <w:noProof/>
            <w:webHidden/>
            <w:sz w:val="22"/>
            <w:szCs w:val="22"/>
          </w:rPr>
          <w:fldChar w:fldCharType="end"/>
        </w:r>
      </w:hyperlink>
    </w:p>
    <w:p w14:paraId="023BDA89" w14:textId="0D8DB20E" w:rsidR="00F95460" w:rsidRPr="002F2C67" w:rsidRDefault="00574021" w:rsidP="002F2C67">
      <w:pPr>
        <w:pStyle w:val="TOC2"/>
        <w:tabs>
          <w:tab w:val="right" w:leader="dot" w:pos="9350"/>
        </w:tabs>
        <w:snapToGrid w:val="0"/>
        <w:spacing w:after="240"/>
        <w:ind w:left="709"/>
        <w:rPr>
          <w:rFonts w:ascii="Arial" w:eastAsiaTheme="minorEastAsia" w:hAnsi="Arial" w:cs="Arial"/>
          <w:noProof/>
          <w:sz w:val="22"/>
          <w:szCs w:val="22"/>
          <w:lang w:val="fr-FR" w:eastAsia="fr-FR"/>
        </w:rPr>
      </w:pPr>
      <w:hyperlink w:anchor="_Toc73968049" w:history="1">
        <w:r w:rsidR="00F95460" w:rsidRPr="002F2C67">
          <w:rPr>
            <w:rStyle w:val="Hyperlink"/>
            <w:rFonts w:ascii="Arial" w:hAnsi="Arial" w:cs="Arial"/>
            <w:noProof/>
            <w:sz w:val="22"/>
            <w:szCs w:val="22"/>
          </w:rPr>
          <w:t>Reporting on Resource Mobilisation Efforts</w:t>
        </w:r>
        <w:r w:rsidR="00F95460" w:rsidRPr="002F2C67">
          <w:rPr>
            <w:rFonts w:ascii="Arial" w:hAnsi="Arial" w:cs="Arial"/>
            <w:noProof/>
            <w:webHidden/>
            <w:sz w:val="22"/>
            <w:szCs w:val="22"/>
          </w:rPr>
          <w:tab/>
        </w:r>
        <w:r w:rsidR="00F95460" w:rsidRPr="002F2C67">
          <w:rPr>
            <w:rFonts w:ascii="Arial" w:hAnsi="Arial" w:cs="Arial"/>
            <w:noProof/>
            <w:webHidden/>
            <w:sz w:val="22"/>
            <w:szCs w:val="22"/>
          </w:rPr>
          <w:fldChar w:fldCharType="begin"/>
        </w:r>
        <w:r w:rsidR="00F95460" w:rsidRPr="002F2C67">
          <w:rPr>
            <w:rFonts w:ascii="Arial" w:hAnsi="Arial" w:cs="Arial"/>
            <w:noProof/>
            <w:webHidden/>
            <w:sz w:val="22"/>
            <w:szCs w:val="22"/>
          </w:rPr>
          <w:instrText xml:space="preserve"> PAGEREF _Toc73968049 \h </w:instrText>
        </w:r>
        <w:r w:rsidR="00F95460" w:rsidRPr="002F2C67">
          <w:rPr>
            <w:rFonts w:ascii="Arial" w:hAnsi="Arial" w:cs="Arial"/>
            <w:noProof/>
            <w:webHidden/>
            <w:sz w:val="22"/>
            <w:szCs w:val="22"/>
          </w:rPr>
        </w:r>
        <w:r w:rsidR="00F95460" w:rsidRPr="002F2C67">
          <w:rPr>
            <w:rFonts w:ascii="Arial" w:hAnsi="Arial" w:cs="Arial"/>
            <w:noProof/>
            <w:webHidden/>
            <w:sz w:val="22"/>
            <w:szCs w:val="22"/>
          </w:rPr>
          <w:fldChar w:fldCharType="separate"/>
        </w:r>
        <w:r>
          <w:rPr>
            <w:rFonts w:ascii="Arial" w:hAnsi="Arial" w:cs="Arial"/>
            <w:noProof/>
            <w:webHidden/>
            <w:sz w:val="22"/>
            <w:szCs w:val="22"/>
          </w:rPr>
          <w:t>14</w:t>
        </w:r>
        <w:r w:rsidR="00F95460" w:rsidRPr="002F2C67">
          <w:rPr>
            <w:rFonts w:ascii="Arial" w:hAnsi="Arial" w:cs="Arial"/>
            <w:noProof/>
            <w:webHidden/>
            <w:sz w:val="22"/>
            <w:szCs w:val="22"/>
          </w:rPr>
          <w:fldChar w:fldCharType="end"/>
        </w:r>
      </w:hyperlink>
    </w:p>
    <w:p w14:paraId="4D3B74AA" w14:textId="77777777" w:rsidR="0048557B" w:rsidRPr="003B06D5" w:rsidRDefault="0048557B" w:rsidP="002F2C67">
      <w:pPr>
        <w:snapToGrid w:val="0"/>
        <w:spacing w:after="240"/>
        <w:rPr>
          <w:rFonts w:ascii="Arial" w:hAnsi="Arial" w:cs="Arial"/>
          <w:b/>
          <w:bCs/>
          <w:color w:val="000000" w:themeColor="text1"/>
        </w:rPr>
      </w:pPr>
      <w:r w:rsidRPr="002F2C67">
        <w:rPr>
          <w:rFonts w:ascii="Arial" w:hAnsi="Arial" w:cs="Arial"/>
          <w:b/>
          <w:bCs/>
          <w:color w:val="000000" w:themeColor="text1"/>
          <w:sz w:val="22"/>
          <w:szCs w:val="22"/>
        </w:rPr>
        <w:fldChar w:fldCharType="end"/>
      </w:r>
    </w:p>
    <w:p w14:paraId="3B60E085" w14:textId="77777777" w:rsidR="00D84F0C" w:rsidRPr="002F2C67" w:rsidRDefault="0048557B" w:rsidP="002F2C67">
      <w:pPr>
        <w:pStyle w:val="Heading1"/>
        <w:numPr>
          <w:ilvl w:val="0"/>
          <w:numId w:val="20"/>
        </w:numPr>
        <w:snapToGrid w:val="0"/>
        <w:spacing w:before="0" w:after="240" w:line="240" w:lineRule="auto"/>
        <w:ind w:left="709" w:hanging="709"/>
        <w:rPr>
          <w:rFonts w:asciiTheme="minorBidi" w:hAnsiTheme="minorBidi" w:cstheme="minorBidi"/>
          <w:b/>
          <w:sz w:val="22"/>
          <w:szCs w:val="22"/>
        </w:rPr>
      </w:pPr>
      <w:bookmarkStart w:id="0" w:name="_Toc73968032"/>
      <w:r w:rsidRPr="002F2C67">
        <w:rPr>
          <w:rFonts w:asciiTheme="minorBidi" w:hAnsiTheme="minorBidi" w:cstheme="minorBidi"/>
          <w:b/>
          <w:sz w:val="22"/>
          <w:szCs w:val="22"/>
        </w:rPr>
        <w:lastRenderedPageBreak/>
        <w:t>Introduction to the Framework</w:t>
      </w:r>
      <w:bookmarkEnd w:id="0"/>
    </w:p>
    <w:p w14:paraId="0E921248" w14:textId="77777777" w:rsidR="0048557B" w:rsidRPr="002F2C67" w:rsidRDefault="0048557B" w:rsidP="002F2C67">
      <w:pPr>
        <w:pStyle w:val="Heading2"/>
        <w:snapToGrid w:val="0"/>
        <w:spacing w:before="0" w:after="240"/>
        <w:rPr>
          <w:rFonts w:asciiTheme="minorBidi" w:hAnsiTheme="minorBidi" w:cstheme="minorBidi"/>
          <w:sz w:val="22"/>
          <w:szCs w:val="22"/>
        </w:rPr>
      </w:pPr>
      <w:bookmarkStart w:id="1" w:name="_Toc73968033"/>
      <w:r w:rsidRPr="002F2C67">
        <w:rPr>
          <w:rFonts w:asciiTheme="minorBidi" w:hAnsiTheme="minorBidi" w:cstheme="minorBidi"/>
          <w:sz w:val="22"/>
          <w:szCs w:val="22"/>
        </w:rPr>
        <w:t>Background and Objectives of the Framework</w:t>
      </w:r>
      <w:bookmarkEnd w:id="1"/>
    </w:p>
    <w:p w14:paraId="14D3FDF8" w14:textId="77777777" w:rsidR="00D844D2" w:rsidRPr="002F2C67" w:rsidRDefault="004638F7"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w:t>
      </w:r>
      <w:r w:rsidR="00D84F0C" w:rsidRPr="002F2C67">
        <w:rPr>
          <w:rFonts w:asciiTheme="minorBidi" w:hAnsiTheme="minorBidi" w:cstheme="minorBidi"/>
          <w:color w:val="000000" w:themeColor="text1"/>
          <w:szCs w:val="22"/>
        </w:rPr>
        <w:t xml:space="preserve">UN Decade of Ocean Science for Sustainable Development (Ocean Decade) </w:t>
      </w:r>
      <w:r w:rsidRPr="002F2C67">
        <w:rPr>
          <w:rFonts w:asciiTheme="minorBidi" w:hAnsiTheme="minorBidi" w:cstheme="minorBidi"/>
          <w:color w:val="000000" w:themeColor="text1"/>
          <w:szCs w:val="22"/>
        </w:rPr>
        <w:t xml:space="preserve">creates a powerful opportunity to </w:t>
      </w:r>
      <w:r w:rsidR="00547876" w:rsidRPr="002F2C67">
        <w:rPr>
          <w:rFonts w:asciiTheme="minorBidi" w:hAnsiTheme="minorBidi" w:cstheme="minorBidi"/>
          <w:color w:val="000000" w:themeColor="text1"/>
          <w:szCs w:val="22"/>
        </w:rPr>
        <w:t>galvanize</w:t>
      </w:r>
      <w:r w:rsidRPr="002F2C67">
        <w:rPr>
          <w:rFonts w:asciiTheme="minorBidi" w:hAnsiTheme="minorBidi" w:cstheme="minorBidi"/>
          <w:color w:val="000000" w:themeColor="text1"/>
          <w:szCs w:val="22"/>
        </w:rPr>
        <w:t xml:space="preserve"> </w:t>
      </w:r>
      <w:r w:rsidR="0085020A" w:rsidRPr="002F2C67">
        <w:rPr>
          <w:rFonts w:asciiTheme="minorBidi" w:hAnsiTheme="minorBidi" w:cstheme="minorBidi"/>
          <w:color w:val="000000" w:themeColor="text1"/>
          <w:szCs w:val="22"/>
        </w:rPr>
        <w:t xml:space="preserve">stakeholders </w:t>
      </w:r>
      <w:r w:rsidR="00EF2B3D" w:rsidRPr="002F2C67">
        <w:rPr>
          <w:rFonts w:asciiTheme="minorBidi" w:hAnsiTheme="minorBidi" w:cstheme="minorBidi"/>
          <w:color w:val="000000" w:themeColor="text1"/>
          <w:szCs w:val="22"/>
        </w:rPr>
        <w:t>behind delivering the “science</w:t>
      </w:r>
      <w:r w:rsidR="003B06D5" w:rsidRPr="002F2C67">
        <w:rPr>
          <w:rFonts w:asciiTheme="minorBidi" w:hAnsiTheme="minorBidi" w:cstheme="minorBidi"/>
          <w:color w:val="000000" w:themeColor="text1"/>
          <w:szCs w:val="22"/>
        </w:rPr>
        <w:t xml:space="preserve"> we need for the ocean we want”. I</w:t>
      </w:r>
      <w:r w:rsidR="0042714A" w:rsidRPr="002F2C67">
        <w:rPr>
          <w:rFonts w:asciiTheme="minorBidi" w:hAnsiTheme="minorBidi" w:cstheme="minorBidi"/>
          <w:color w:val="000000" w:themeColor="text1"/>
          <w:szCs w:val="22"/>
        </w:rPr>
        <w:t xml:space="preserve">t envisages nothing less than a revolution in ocean science that will trigger a step change in humanity’s relationship with the ocean. </w:t>
      </w:r>
      <w:r w:rsidR="000535AB" w:rsidRPr="002F2C67">
        <w:rPr>
          <w:rFonts w:asciiTheme="minorBidi" w:hAnsiTheme="minorBidi" w:cstheme="minorBidi"/>
          <w:color w:val="000000" w:themeColor="text1"/>
          <w:szCs w:val="22"/>
        </w:rPr>
        <w:t xml:space="preserve">After a three year, highly inclusive preparation process involving thousands of stakeholders worldwide, the Intergovernmental Oceanographic Commission of UNESCO (IOC) developed an Implementation Plan to guide the ambitious </w:t>
      </w:r>
      <w:r w:rsidR="009F63AA" w:rsidRPr="002F2C67">
        <w:rPr>
          <w:rFonts w:asciiTheme="minorBidi" w:hAnsiTheme="minorBidi" w:cstheme="minorBidi"/>
          <w:color w:val="000000" w:themeColor="text1"/>
          <w:szCs w:val="22"/>
        </w:rPr>
        <w:t xml:space="preserve">efforts throughout the </w:t>
      </w:r>
      <w:r w:rsidR="004313BD" w:rsidRPr="002F2C67">
        <w:rPr>
          <w:rFonts w:asciiTheme="minorBidi" w:hAnsiTheme="minorBidi" w:cstheme="minorBidi"/>
          <w:color w:val="000000" w:themeColor="text1"/>
          <w:szCs w:val="22"/>
        </w:rPr>
        <w:t>Ocean Decade</w:t>
      </w:r>
      <w:r w:rsidR="000535AB" w:rsidRPr="002F2C67">
        <w:rPr>
          <w:rFonts w:asciiTheme="minorBidi" w:hAnsiTheme="minorBidi" w:cstheme="minorBidi"/>
          <w:color w:val="000000" w:themeColor="text1"/>
          <w:szCs w:val="22"/>
        </w:rPr>
        <w:t xml:space="preserve">. </w:t>
      </w:r>
      <w:r w:rsidR="00974F64" w:rsidRPr="002F2C67">
        <w:rPr>
          <w:rFonts w:asciiTheme="minorBidi" w:hAnsiTheme="minorBidi" w:cstheme="minorBidi"/>
          <w:color w:val="000000" w:themeColor="text1"/>
          <w:szCs w:val="22"/>
        </w:rPr>
        <w:t>Th</w:t>
      </w:r>
      <w:r w:rsidR="000535AB" w:rsidRPr="002F2C67">
        <w:rPr>
          <w:rFonts w:asciiTheme="minorBidi" w:hAnsiTheme="minorBidi" w:cstheme="minorBidi"/>
          <w:color w:val="000000" w:themeColor="text1"/>
          <w:szCs w:val="22"/>
        </w:rPr>
        <w:t xml:space="preserve">e </w:t>
      </w:r>
      <w:r w:rsidR="00974F64" w:rsidRPr="002F2C67">
        <w:rPr>
          <w:rFonts w:asciiTheme="minorBidi" w:hAnsiTheme="minorBidi" w:cstheme="minorBidi"/>
          <w:color w:val="000000" w:themeColor="text1"/>
          <w:szCs w:val="22"/>
        </w:rPr>
        <w:t xml:space="preserve">Implementation Plan </w:t>
      </w:r>
      <w:r w:rsidR="003B06D5" w:rsidRPr="002F2C67">
        <w:rPr>
          <w:rFonts w:asciiTheme="minorBidi" w:hAnsiTheme="minorBidi" w:cstheme="minorBidi"/>
          <w:color w:val="000000" w:themeColor="text1"/>
          <w:szCs w:val="22"/>
        </w:rPr>
        <w:t>presented to the 75</w:t>
      </w:r>
      <w:r w:rsidR="003B06D5" w:rsidRPr="002F2C67">
        <w:rPr>
          <w:rFonts w:asciiTheme="minorBidi" w:hAnsiTheme="minorBidi" w:cstheme="minorBidi"/>
          <w:color w:val="000000" w:themeColor="text1"/>
          <w:szCs w:val="22"/>
          <w:vertAlign w:val="superscript"/>
        </w:rPr>
        <w:t>th</w:t>
      </w:r>
      <w:r w:rsidR="003B06D5" w:rsidRPr="002F2C67">
        <w:rPr>
          <w:rFonts w:asciiTheme="minorBidi" w:hAnsiTheme="minorBidi" w:cstheme="minorBidi"/>
          <w:color w:val="000000" w:themeColor="text1"/>
          <w:szCs w:val="22"/>
        </w:rPr>
        <w:t xml:space="preserve"> Session of the</w:t>
      </w:r>
      <w:r w:rsidR="00974F64" w:rsidRPr="002F2C67">
        <w:rPr>
          <w:rFonts w:asciiTheme="minorBidi" w:hAnsiTheme="minorBidi" w:cstheme="minorBidi"/>
          <w:color w:val="000000" w:themeColor="text1"/>
          <w:szCs w:val="22"/>
        </w:rPr>
        <w:t xml:space="preserve"> UN General Assembly on December 31, 2020</w:t>
      </w:r>
      <w:r w:rsidR="000535AB" w:rsidRPr="002F2C67">
        <w:rPr>
          <w:rFonts w:asciiTheme="minorBidi" w:hAnsiTheme="minorBidi" w:cstheme="minorBidi"/>
          <w:color w:val="000000" w:themeColor="text1"/>
          <w:szCs w:val="22"/>
        </w:rPr>
        <w:t xml:space="preserve"> and went into effect on January 1, 2021</w:t>
      </w:r>
      <w:r w:rsidR="00974F64" w:rsidRPr="002F2C67">
        <w:rPr>
          <w:rFonts w:asciiTheme="minorBidi" w:hAnsiTheme="minorBidi" w:cstheme="minorBidi"/>
          <w:color w:val="000000" w:themeColor="text1"/>
          <w:szCs w:val="22"/>
        </w:rPr>
        <w:t xml:space="preserve">. </w:t>
      </w:r>
    </w:p>
    <w:p w14:paraId="23C2D435" w14:textId="77777777" w:rsidR="000535AB" w:rsidRPr="002F2C67" w:rsidRDefault="000535AB"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As </w:t>
      </w:r>
      <w:r w:rsidR="00492C87" w:rsidRPr="002F2C67">
        <w:rPr>
          <w:rFonts w:asciiTheme="minorBidi" w:hAnsiTheme="minorBidi" w:cstheme="minorBidi"/>
          <w:color w:val="000000" w:themeColor="text1"/>
          <w:szCs w:val="22"/>
        </w:rPr>
        <w:t>outlined</w:t>
      </w:r>
      <w:r w:rsidRPr="002F2C67">
        <w:rPr>
          <w:rFonts w:asciiTheme="minorBidi" w:hAnsiTheme="minorBidi" w:cstheme="minorBidi"/>
          <w:color w:val="000000" w:themeColor="text1"/>
          <w:szCs w:val="22"/>
        </w:rPr>
        <w:t xml:space="preserve"> in the Implementation Plan, </w:t>
      </w:r>
      <w:r w:rsidR="003B22E8" w:rsidRPr="002F2C67">
        <w:rPr>
          <w:rFonts w:asciiTheme="minorBidi" w:hAnsiTheme="minorBidi" w:cstheme="minorBidi"/>
          <w:color w:val="000000" w:themeColor="text1"/>
          <w:szCs w:val="22"/>
        </w:rPr>
        <w:t xml:space="preserve">a </w:t>
      </w:r>
      <w:r w:rsidR="00547876" w:rsidRPr="002F2C67">
        <w:rPr>
          <w:rFonts w:asciiTheme="minorBidi" w:hAnsiTheme="minorBidi" w:cstheme="minorBidi"/>
          <w:color w:val="000000" w:themeColor="text1"/>
          <w:szCs w:val="22"/>
        </w:rPr>
        <w:t>significant increase in resources mobilized</w:t>
      </w:r>
      <w:r w:rsidRPr="002F2C67">
        <w:rPr>
          <w:rFonts w:asciiTheme="minorBidi" w:hAnsiTheme="minorBidi" w:cstheme="minorBidi"/>
          <w:color w:val="000000" w:themeColor="text1"/>
          <w:szCs w:val="22"/>
        </w:rPr>
        <w:t xml:space="preserve"> is required</w:t>
      </w:r>
      <w:r w:rsidR="00547876" w:rsidRPr="002F2C67">
        <w:rPr>
          <w:rFonts w:asciiTheme="minorBidi" w:hAnsiTheme="minorBidi" w:cstheme="minorBidi"/>
          <w:color w:val="000000" w:themeColor="text1"/>
          <w:szCs w:val="22"/>
        </w:rPr>
        <w:t xml:space="preserve"> </w:t>
      </w:r>
      <w:r w:rsidR="00492C87" w:rsidRPr="002F2C67">
        <w:rPr>
          <w:rFonts w:asciiTheme="minorBidi" w:hAnsiTheme="minorBidi" w:cstheme="minorBidi"/>
          <w:color w:val="000000" w:themeColor="text1"/>
          <w:szCs w:val="22"/>
        </w:rPr>
        <w:t xml:space="preserve">for the Ocean Decade to be successful </w:t>
      </w:r>
      <w:r w:rsidR="00EF2B3D" w:rsidRPr="002F2C67">
        <w:rPr>
          <w:rFonts w:asciiTheme="minorBidi" w:hAnsiTheme="minorBidi" w:cstheme="minorBidi"/>
          <w:color w:val="000000" w:themeColor="text1"/>
          <w:szCs w:val="22"/>
        </w:rPr>
        <w:t xml:space="preserve">relative to current levels of spending for ocean science research. </w:t>
      </w:r>
      <w:r w:rsidR="001B096D" w:rsidRPr="002F2C67">
        <w:rPr>
          <w:rFonts w:asciiTheme="minorBidi" w:hAnsiTheme="minorBidi" w:cstheme="minorBidi"/>
          <w:color w:val="000000" w:themeColor="text1"/>
          <w:szCs w:val="22"/>
        </w:rPr>
        <w:t>T</w:t>
      </w:r>
      <w:r w:rsidR="00FE0DC1" w:rsidRPr="002F2C67">
        <w:rPr>
          <w:rFonts w:asciiTheme="minorBidi" w:hAnsiTheme="minorBidi" w:cstheme="minorBidi"/>
          <w:color w:val="000000" w:themeColor="text1"/>
          <w:szCs w:val="22"/>
        </w:rPr>
        <w:t xml:space="preserve">he resource base for the Ocean Decade will </w:t>
      </w:r>
      <w:r w:rsidR="009F63AA" w:rsidRPr="002F2C67">
        <w:rPr>
          <w:rFonts w:asciiTheme="minorBidi" w:hAnsiTheme="minorBidi" w:cstheme="minorBidi"/>
          <w:color w:val="000000" w:themeColor="text1"/>
          <w:szCs w:val="22"/>
        </w:rPr>
        <w:t>need to span across the full spectrum of actors</w:t>
      </w:r>
      <w:r w:rsidR="00FE0DC1" w:rsidRPr="002F2C67">
        <w:rPr>
          <w:rFonts w:asciiTheme="minorBidi" w:hAnsiTheme="minorBidi" w:cstheme="minorBidi"/>
          <w:color w:val="000000" w:themeColor="text1"/>
          <w:szCs w:val="22"/>
        </w:rPr>
        <w:t xml:space="preserve">. </w:t>
      </w:r>
      <w:r w:rsidR="00EF2B3D" w:rsidRPr="002F2C67">
        <w:rPr>
          <w:rFonts w:asciiTheme="minorBidi" w:hAnsiTheme="minorBidi" w:cstheme="minorBidi"/>
          <w:color w:val="000000" w:themeColor="text1"/>
          <w:szCs w:val="22"/>
        </w:rPr>
        <w:t xml:space="preserve">The document </w:t>
      </w:r>
      <w:r w:rsidR="00974F64" w:rsidRPr="002F2C67">
        <w:rPr>
          <w:rFonts w:asciiTheme="minorBidi" w:hAnsiTheme="minorBidi" w:cstheme="minorBidi"/>
          <w:color w:val="000000" w:themeColor="text1"/>
          <w:szCs w:val="22"/>
        </w:rPr>
        <w:t xml:space="preserve">builds on the Implementation Plan in order to </w:t>
      </w:r>
      <w:r w:rsidR="00EF2B3D" w:rsidRPr="002F2C67">
        <w:rPr>
          <w:rFonts w:asciiTheme="minorBidi" w:hAnsiTheme="minorBidi" w:cstheme="minorBidi"/>
          <w:color w:val="000000" w:themeColor="text1"/>
          <w:szCs w:val="22"/>
        </w:rPr>
        <w:t xml:space="preserve">provide </w:t>
      </w:r>
      <w:r w:rsidR="00974F64" w:rsidRPr="002F2C67">
        <w:rPr>
          <w:rFonts w:asciiTheme="minorBidi" w:hAnsiTheme="minorBidi" w:cstheme="minorBidi"/>
          <w:color w:val="000000" w:themeColor="text1"/>
          <w:szCs w:val="22"/>
        </w:rPr>
        <w:t xml:space="preserve">a more comprehensive </w:t>
      </w:r>
      <w:r w:rsidR="00EF2B3D" w:rsidRPr="002F2C67">
        <w:rPr>
          <w:rFonts w:asciiTheme="minorBidi" w:hAnsiTheme="minorBidi" w:cstheme="minorBidi"/>
          <w:color w:val="000000" w:themeColor="text1"/>
          <w:szCs w:val="22"/>
        </w:rPr>
        <w:t>overview of the key objectives and approaches</w:t>
      </w:r>
      <w:r w:rsidR="00547876" w:rsidRPr="002F2C67">
        <w:rPr>
          <w:rFonts w:asciiTheme="minorBidi" w:hAnsiTheme="minorBidi" w:cstheme="minorBidi"/>
          <w:color w:val="000000" w:themeColor="text1"/>
          <w:szCs w:val="22"/>
        </w:rPr>
        <w:t xml:space="preserve"> to engaging national governments, UN Agencies,</w:t>
      </w:r>
      <w:r w:rsidR="001B096D" w:rsidRPr="002F2C67">
        <w:rPr>
          <w:rFonts w:asciiTheme="minorBidi" w:hAnsiTheme="minorBidi" w:cstheme="minorBidi"/>
          <w:color w:val="000000" w:themeColor="text1"/>
          <w:szCs w:val="22"/>
        </w:rPr>
        <w:t xml:space="preserve"> institutional financial institutions including</w:t>
      </w:r>
      <w:r w:rsidR="00547876" w:rsidRPr="002F2C67">
        <w:rPr>
          <w:rFonts w:asciiTheme="minorBidi" w:hAnsiTheme="minorBidi" w:cstheme="minorBidi"/>
          <w:color w:val="000000" w:themeColor="text1"/>
          <w:szCs w:val="22"/>
        </w:rPr>
        <w:t xml:space="preserve"> </w:t>
      </w:r>
      <w:r w:rsidR="001B096D" w:rsidRPr="002F2C67">
        <w:rPr>
          <w:rFonts w:asciiTheme="minorBidi" w:hAnsiTheme="minorBidi" w:cstheme="minorBidi"/>
          <w:color w:val="000000" w:themeColor="text1"/>
          <w:szCs w:val="22"/>
        </w:rPr>
        <w:t>climate financing mechanisms and</w:t>
      </w:r>
      <w:r w:rsidR="00643F9E" w:rsidRPr="002F2C67">
        <w:rPr>
          <w:rFonts w:asciiTheme="minorBidi" w:hAnsiTheme="minorBidi" w:cstheme="minorBidi"/>
          <w:color w:val="000000" w:themeColor="text1"/>
          <w:szCs w:val="22"/>
        </w:rPr>
        <w:t xml:space="preserve"> </w:t>
      </w:r>
      <w:r w:rsidR="00FE0DC1" w:rsidRPr="002F2C67">
        <w:rPr>
          <w:rFonts w:asciiTheme="minorBidi" w:hAnsiTheme="minorBidi" w:cstheme="minorBidi"/>
          <w:color w:val="000000" w:themeColor="text1"/>
          <w:szCs w:val="22"/>
        </w:rPr>
        <w:t xml:space="preserve">multilateral development banks, philanthropic foundations and the private sector. </w:t>
      </w:r>
    </w:p>
    <w:p w14:paraId="0453C92D" w14:textId="77777777" w:rsidR="008C47A2" w:rsidRPr="002F2C67" w:rsidRDefault="00946995" w:rsidP="0080488A">
      <w:pPr>
        <w:pStyle w:val="Marge"/>
        <w:rPr>
          <w:rFonts w:asciiTheme="minorBidi" w:hAnsiTheme="minorBidi" w:cstheme="minorBidi"/>
          <w:szCs w:val="22"/>
        </w:rPr>
      </w:pPr>
      <w:r w:rsidRPr="002F2C67">
        <w:rPr>
          <w:rFonts w:asciiTheme="minorBidi" w:hAnsiTheme="minorBidi" w:cstheme="minorBidi"/>
          <w:szCs w:val="22"/>
        </w:rPr>
        <w:t>Currently,</w:t>
      </w:r>
      <w:r w:rsidRPr="002F2C67">
        <w:rPr>
          <w:rFonts w:asciiTheme="minorBidi" w:hAnsiTheme="minorBidi" w:cstheme="minorBidi"/>
          <w:spacing w:val="1"/>
          <w:szCs w:val="22"/>
        </w:rPr>
        <w:t xml:space="preserve"> </w:t>
      </w:r>
      <w:r w:rsidR="00974F64" w:rsidRPr="002F2C67">
        <w:rPr>
          <w:rFonts w:asciiTheme="minorBidi" w:hAnsiTheme="minorBidi" w:cstheme="minorBidi"/>
          <w:szCs w:val="22"/>
        </w:rPr>
        <w:t>funding</w:t>
      </w:r>
      <w:r w:rsidRPr="002F2C67">
        <w:rPr>
          <w:rFonts w:asciiTheme="minorBidi" w:hAnsiTheme="minorBidi" w:cstheme="minorBidi"/>
          <w:spacing w:val="1"/>
          <w:szCs w:val="22"/>
        </w:rPr>
        <w:t xml:space="preserve"> </w:t>
      </w:r>
      <w:r w:rsidRPr="002F2C67">
        <w:rPr>
          <w:rFonts w:asciiTheme="minorBidi" w:hAnsiTheme="minorBidi" w:cstheme="minorBidi"/>
          <w:szCs w:val="22"/>
        </w:rPr>
        <w:t>for</w:t>
      </w:r>
      <w:r w:rsidRPr="002F2C67">
        <w:rPr>
          <w:rFonts w:asciiTheme="minorBidi" w:hAnsiTheme="minorBidi" w:cstheme="minorBidi"/>
          <w:spacing w:val="1"/>
          <w:szCs w:val="22"/>
        </w:rPr>
        <w:t xml:space="preserve"> </w:t>
      </w:r>
      <w:r w:rsidRPr="002F2C67">
        <w:rPr>
          <w:rFonts w:asciiTheme="minorBidi" w:hAnsiTheme="minorBidi" w:cstheme="minorBidi"/>
          <w:szCs w:val="22"/>
        </w:rPr>
        <w:t>ocean</w:t>
      </w:r>
      <w:r w:rsidRPr="002F2C67">
        <w:rPr>
          <w:rFonts w:asciiTheme="minorBidi" w:hAnsiTheme="minorBidi" w:cstheme="minorBidi"/>
          <w:spacing w:val="1"/>
          <w:szCs w:val="22"/>
        </w:rPr>
        <w:t xml:space="preserve"> </w:t>
      </w:r>
      <w:r w:rsidRPr="002F2C67">
        <w:rPr>
          <w:rFonts w:asciiTheme="minorBidi" w:hAnsiTheme="minorBidi" w:cstheme="minorBidi"/>
          <w:szCs w:val="22"/>
        </w:rPr>
        <w:t>science</w:t>
      </w:r>
      <w:r w:rsidRPr="002F2C67">
        <w:rPr>
          <w:rFonts w:asciiTheme="minorBidi" w:hAnsiTheme="minorBidi" w:cstheme="minorBidi"/>
          <w:spacing w:val="1"/>
          <w:szCs w:val="22"/>
        </w:rPr>
        <w:t xml:space="preserve"> </w:t>
      </w:r>
      <w:r w:rsidRPr="002F2C67">
        <w:rPr>
          <w:rFonts w:asciiTheme="minorBidi" w:hAnsiTheme="minorBidi" w:cstheme="minorBidi"/>
          <w:szCs w:val="22"/>
        </w:rPr>
        <w:t>come</w:t>
      </w:r>
      <w:r w:rsidR="009F63AA" w:rsidRPr="002F2C67">
        <w:rPr>
          <w:rFonts w:asciiTheme="minorBidi" w:hAnsiTheme="minorBidi" w:cstheme="minorBidi"/>
          <w:szCs w:val="22"/>
        </w:rPr>
        <w:t>s</w:t>
      </w:r>
      <w:r w:rsidRPr="002F2C67">
        <w:rPr>
          <w:rFonts w:asciiTheme="minorBidi" w:hAnsiTheme="minorBidi" w:cstheme="minorBidi"/>
          <w:spacing w:val="1"/>
          <w:szCs w:val="22"/>
        </w:rPr>
        <w:t xml:space="preserve"> </w:t>
      </w:r>
      <w:r w:rsidRPr="002F2C67">
        <w:rPr>
          <w:rFonts w:asciiTheme="minorBidi" w:hAnsiTheme="minorBidi" w:cstheme="minorBidi"/>
          <w:szCs w:val="22"/>
        </w:rPr>
        <w:t>from</w:t>
      </w:r>
      <w:r w:rsidRPr="002F2C67">
        <w:rPr>
          <w:rFonts w:asciiTheme="minorBidi" w:hAnsiTheme="minorBidi" w:cstheme="minorBidi"/>
          <w:spacing w:val="1"/>
          <w:szCs w:val="22"/>
        </w:rPr>
        <w:t xml:space="preserve"> </w:t>
      </w:r>
      <w:r w:rsidRPr="002F2C67">
        <w:rPr>
          <w:rFonts w:asciiTheme="minorBidi" w:hAnsiTheme="minorBidi" w:cstheme="minorBidi"/>
          <w:szCs w:val="22"/>
        </w:rPr>
        <w:t>several</w:t>
      </w:r>
      <w:r w:rsidR="009F63AA" w:rsidRPr="002F2C67">
        <w:rPr>
          <w:rFonts w:asciiTheme="minorBidi" w:hAnsiTheme="minorBidi" w:cstheme="minorBidi"/>
          <w:spacing w:val="1"/>
          <w:szCs w:val="22"/>
        </w:rPr>
        <w:t xml:space="preserve"> </w:t>
      </w:r>
      <w:r w:rsidRPr="002F2C67">
        <w:rPr>
          <w:rFonts w:asciiTheme="minorBidi" w:hAnsiTheme="minorBidi" w:cstheme="minorBidi"/>
          <w:szCs w:val="22"/>
        </w:rPr>
        <w:t>sources</w:t>
      </w:r>
      <w:r w:rsidR="009F63AA" w:rsidRPr="002F2C67">
        <w:rPr>
          <w:rFonts w:asciiTheme="minorBidi" w:hAnsiTheme="minorBidi" w:cstheme="minorBidi"/>
          <w:szCs w:val="22"/>
        </w:rPr>
        <w:t xml:space="preserve"> with n</w:t>
      </w:r>
      <w:r w:rsidRPr="002F2C67">
        <w:rPr>
          <w:rFonts w:asciiTheme="minorBidi" w:hAnsiTheme="minorBidi" w:cstheme="minorBidi"/>
          <w:szCs w:val="22"/>
        </w:rPr>
        <w:t>ational</w:t>
      </w:r>
      <w:r w:rsidRPr="002F2C67">
        <w:rPr>
          <w:rFonts w:asciiTheme="minorBidi" w:hAnsiTheme="minorBidi" w:cstheme="minorBidi"/>
          <w:spacing w:val="1"/>
          <w:szCs w:val="22"/>
        </w:rPr>
        <w:t xml:space="preserve"> </w:t>
      </w:r>
      <w:r w:rsidRPr="002F2C67">
        <w:rPr>
          <w:rFonts w:asciiTheme="minorBidi" w:hAnsiTheme="minorBidi" w:cstheme="minorBidi"/>
          <w:szCs w:val="22"/>
        </w:rPr>
        <w:t xml:space="preserve">governments </w:t>
      </w:r>
      <w:r w:rsidR="009F63AA" w:rsidRPr="002F2C67">
        <w:rPr>
          <w:rFonts w:asciiTheme="minorBidi" w:hAnsiTheme="minorBidi" w:cstheme="minorBidi"/>
          <w:szCs w:val="22"/>
        </w:rPr>
        <w:t xml:space="preserve">serving as the </w:t>
      </w:r>
      <w:r w:rsidRPr="002F2C67">
        <w:rPr>
          <w:rFonts w:asciiTheme="minorBidi" w:hAnsiTheme="minorBidi" w:cstheme="minorBidi"/>
          <w:szCs w:val="22"/>
        </w:rPr>
        <w:t>key sources of financing for ocean science</w:t>
      </w:r>
      <w:r w:rsidR="009F63AA" w:rsidRPr="002F2C67">
        <w:rPr>
          <w:rFonts w:asciiTheme="minorBidi" w:hAnsiTheme="minorBidi" w:cstheme="minorBidi"/>
          <w:szCs w:val="22"/>
        </w:rPr>
        <w:t xml:space="preserve">. </w:t>
      </w:r>
      <w:r w:rsidRPr="002F2C67">
        <w:rPr>
          <w:rFonts w:asciiTheme="minorBidi" w:hAnsiTheme="minorBidi" w:cstheme="minorBidi"/>
          <w:szCs w:val="22"/>
        </w:rPr>
        <w:t xml:space="preserve"> </w:t>
      </w:r>
      <w:r w:rsidR="009F63AA" w:rsidRPr="002F2C67">
        <w:rPr>
          <w:rFonts w:asciiTheme="minorBidi" w:hAnsiTheme="minorBidi" w:cstheme="minorBidi"/>
          <w:szCs w:val="22"/>
        </w:rPr>
        <w:t>H</w:t>
      </w:r>
      <w:r w:rsidRPr="002F2C67">
        <w:rPr>
          <w:rFonts w:asciiTheme="minorBidi" w:hAnsiTheme="minorBidi" w:cstheme="minorBidi"/>
          <w:szCs w:val="22"/>
        </w:rPr>
        <w:t xml:space="preserve">owever, </w:t>
      </w:r>
      <w:r w:rsidR="009F63AA" w:rsidRPr="002F2C67">
        <w:rPr>
          <w:rFonts w:asciiTheme="minorBidi" w:hAnsiTheme="minorBidi" w:cstheme="minorBidi"/>
          <w:szCs w:val="22"/>
        </w:rPr>
        <w:t xml:space="preserve">based on research conducted for the 2020 Global Ocean Science Report, </w:t>
      </w:r>
      <w:r w:rsidRPr="002F2C67">
        <w:rPr>
          <w:rFonts w:asciiTheme="minorBidi" w:hAnsiTheme="minorBidi" w:cstheme="minorBidi"/>
          <w:szCs w:val="22"/>
        </w:rPr>
        <w:t>on average only 1</w:t>
      </w:r>
      <w:r w:rsidR="00040D35" w:rsidRPr="002F2C67">
        <w:rPr>
          <w:rFonts w:asciiTheme="minorBidi" w:hAnsiTheme="minorBidi" w:cstheme="minorBidi"/>
          <w:szCs w:val="22"/>
        </w:rPr>
        <w:t>.7</w:t>
      </w:r>
      <w:r w:rsidRPr="002F2C67">
        <w:rPr>
          <w:rFonts w:asciiTheme="minorBidi" w:hAnsiTheme="minorBidi" w:cstheme="minorBidi"/>
          <w:szCs w:val="22"/>
        </w:rPr>
        <w:t>% of</w:t>
      </w:r>
      <w:r w:rsidRPr="002F2C67">
        <w:rPr>
          <w:rFonts w:asciiTheme="minorBidi" w:hAnsiTheme="minorBidi" w:cstheme="minorBidi"/>
          <w:spacing w:val="1"/>
          <w:szCs w:val="22"/>
        </w:rPr>
        <w:t xml:space="preserve"> </w:t>
      </w:r>
      <w:r w:rsidRPr="002F2C67">
        <w:rPr>
          <w:rFonts w:asciiTheme="minorBidi" w:hAnsiTheme="minorBidi" w:cstheme="minorBidi"/>
          <w:szCs w:val="22"/>
        </w:rPr>
        <w:t>national research budgets support ocean science</w:t>
      </w:r>
      <w:r w:rsidR="001B582E" w:rsidRPr="002F2C67">
        <w:rPr>
          <w:rStyle w:val="FootnoteReference"/>
          <w:rFonts w:asciiTheme="minorBidi" w:hAnsiTheme="minorBidi" w:cstheme="minorBidi"/>
          <w:szCs w:val="22"/>
        </w:rPr>
        <w:footnoteReference w:id="1"/>
      </w:r>
      <w:r w:rsidRPr="002F2C67">
        <w:rPr>
          <w:rFonts w:asciiTheme="minorBidi" w:hAnsiTheme="minorBidi" w:cstheme="minorBidi"/>
          <w:szCs w:val="22"/>
        </w:rPr>
        <w:t>.</w:t>
      </w:r>
      <w:r w:rsidRPr="002F2C67">
        <w:rPr>
          <w:rFonts w:asciiTheme="minorBidi" w:hAnsiTheme="minorBidi" w:cstheme="minorBidi"/>
          <w:spacing w:val="1"/>
          <w:szCs w:val="22"/>
        </w:rPr>
        <w:t xml:space="preserve"> </w:t>
      </w:r>
      <w:r w:rsidR="009F63AA" w:rsidRPr="002F2C67">
        <w:rPr>
          <w:rFonts w:asciiTheme="minorBidi" w:hAnsiTheme="minorBidi" w:cstheme="minorBidi"/>
          <w:spacing w:val="1"/>
          <w:szCs w:val="22"/>
        </w:rPr>
        <w:t xml:space="preserve">Foundations, both </w:t>
      </w:r>
      <w:r w:rsidR="009F63AA" w:rsidRPr="002F2C67">
        <w:rPr>
          <w:rFonts w:asciiTheme="minorBidi" w:hAnsiTheme="minorBidi" w:cstheme="minorBidi"/>
          <w:szCs w:val="22"/>
        </w:rPr>
        <w:t xml:space="preserve">private </w:t>
      </w:r>
      <w:r w:rsidRPr="002F2C67">
        <w:rPr>
          <w:rFonts w:asciiTheme="minorBidi" w:hAnsiTheme="minorBidi" w:cstheme="minorBidi"/>
          <w:szCs w:val="22"/>
        </w:rPr>
        <w:t>and corporate</w:t>
      </w:r>
      <w:r w:rsidR="009F63AA" w:rsidRPr="002F2C67">
        <w:rPr>
          <w:rFonts w:asciiTheme="minorBidi" w:hAnsiTheme="minorBidi" w:cstheme="minorBidi"/>
          <w:szCs w:val="22"/>
        </w:rPr>
        <w:t>,</w:t>
      </w:r>
      <w:r w:rsidRPr="002F2C67">
        <w:rPr>
          <w:rFonts w:asciiTheme="minorBidi" w:hAnsiTheme="minorBidi" w:cstheme="minorBidi"/>
          <w:szCs w:val="22"/>
        </w:rPr>
        <w:t xml:space="preserve"> </w:t>
      </w:r>
      <w:r w:rsidR="00CD52EB" w:rsidRPr="002F2C67">
        <w:rPr>
          <w:rFonts w:asciiTheme="minorBidi" w:hAnsiTheme="minorBidi" w:cstheme="minorBidi"/>
          <w:szCs w:val="22"/>
        </w:rPr>
        <w:t>are also</w:t>
      </w:r>
      <w:r w:rsidRPr="002F2C67">
        <w:rPr>
          <w:rFonts w:asciiTheme="minorBidi" w:hAnsiTheme="minorBidi" w:cstheme="minorBidi"/>
          <w:szCs w:val="22"/>
        </w:rPr>
        <w:t xml:space="preserve"> important </w:t>
      </w:r>
      <w:r w:rsidRPr="002F2C67">
        <w:rPr>
          <w:rFonts w:asciiTheme="minorBidi" w:hAnsiTheme="minorBidi" w:cstheme="minorBidi"/>
          <w:color w:val="000000" w:themeColor="text1"/>
          <w:szCs w:val="22"/>
        </w:rPr>
        <w:t>sources</w:t>
      </w:r>
      <w:r w:rsidRPr="002F2C67">
        <w:rPr>
          <w:rFonts w:asciiTheme="minorBidi" w:hAnsiTheme="minorBidi" w:cstheme="minorBidi"/>
          <w:szCs w:val="22"/>
        </w:rPr>
        <w:t xml:space="preserve"> of financing for ocean science and can </w:t>
      </w:r>
      <w:r w:rsidR="0085020A" w:rsidRPr="002F2C67">
        <w:rPr>
          <w:rFonts w:asciiTheme="minorBidi" w:hAnsiTheme="minorBidi" w:cstheme="minorBidi"/>
          <w:szCs w:val="22"/>
        </w:rPr>
        <w:t xml:space="preserve">also </w:t>
      </w:r>
      <w:r w:rsidRPr="002F2C67">
        <w:rPr>
          <w:rFonts w:asciiTheme="minorBidi" w:hAnsiTheme="minorBidi" w:cstheme="minorBidi"/>
          <w:szCs w:val="22"/>
        </w:rPr>
        <w:t>play complementary roles in</w:t>
      </w:r>
      <w:r w:rsidRPr="002F2C67">
        <w:rPr>
          <w:rFonts w:asciiTheme="minorBidi" w:hAnsiTheme="minorBidi" w:cstheme="minorBidi"/>
          <w:spacing w:val="1"/>
          <w:szCs w:val="22"/>
        </w:rPr>
        <w:t xml:space="preserve"> </w:t>
      </w:r>
      <w:r w:rsidR="0085020A" w:rsidRPr="002F2C67">
        <w:rPr>
          <w:rFonts w:asciiTheme="minorBidi" w:hAnsiTheme="minorBidi" w:cstheme="minorBidi"/>
          <w:spacing w:val="1"/>
          <w:szCs w:val="22"/>
        </w:rPr>
        <w:t xml:space="preserve">peer-to-peer fundraising, </w:t>
      </w:r>
      <w:r w:rsidRPr="002F2C67">
        <w:rPr>
          <w:rFonts w:asciiTheme="minorBidi" w:hAnsiTheme="minorBidi" w:cstheme="minorBidi"/>
          <w:szCs w:val="22"/>
        </w:rPr>
        <w:t>awareness</w:t>
      </w:r>
      <w:r w:rsidR="0085020A" w:rsidRPr="002F2C67">
        <w:rPr>
          <w:rFonts w:asciiTheme="minorBidi" w:hAnsiTheme="minorBidi" w:cstheme="minorBidi"/>
          <w:szCs w:val="22"/>
        </w:rPr>
        <w:t>-</w:t>
      </w:r>
      <w:r w:rsidRPr="002F2C67">
        <w:rPr>
          <w:rFonts w:asciiTheme="minorBidi" w:hAnsiTheme="minorBidi" w:cstheme="minorBidi"/>
          <w:szCs w:val="22"/>
        </w:rPr>
        <w:t xml:space="preserve">raising, </w:t>
      </w:r>
      <w:r w:rsidR="0085020A" w:rsidRPr="002F2C67">
        <w:rPr>
          <w:rFonts w:asciiTheme="minorBidi" w:hAnsiTheme="minorBidi" w:cstheme="minorBidi"/>
          <w:szCs w:val="22"/>
        </w:rPr>
        <w:t xml:space="preserve">advocacy, and </w:t>
      </w:r>
      <w:r w:rsidRPr="002F2C67">
        <w:rPr>
          <w:rFonts w:asciiTheme="minorBidi" w:hAnsiTheme="minorBidi" w:cstheme="minorBidi"/>
          <w:szCs w:val="22"/>
        </w:rPr>
        <w:t>education. Finally, business and industry are key players particularly in terms</w:t>
      </w:r>
      <w:r w:rsidR="00E85A3C" w:rsidRPr="002F2C67">
        <w:rPr>
          <w:rFonts w:asciiTheme="minorBidi" w:hAnsiTheme="minorBidi" w:cstheme="minorBidi"/>
          <w:szCs w:val="22"/>
        </w:rPr>
        <w:t xml:space="preserve"> </w:t>
      </w:r>
      <w:r w:rsidRPr="002F2C67">
        <w:rPr>
          <w:rFonts w:asciiTheme="minorBidi" w:hAnsiTheme="minorBidi" w:cstheme="minorBidi"/>
          <w:szCs w:val="22"/>
        </w:rPr>
        <w:t>of</w:t>
      </w:r>
      <w:r w:rsidRPr="002F2C67">
        <w:rPr>
          <w:rFonts w:asciiTheme="minorBidi" w:hAnsiTheme="minorBidi" w:cstheme="minorBidi"/>
          <w:spacing w:val="3"/>
          <w:szCs w:val="22"/>
        </w:rPr>
        <w:t xml:space="preserve"> </w:t>
      </w:r>
      <w:r w:rsidRPr="002F2C67">
        <w:rPr>
          <w:rFonts w:asciiTheme="minorBidi" w:hAnsiTheme="minorBidi" w:cstheme="minorBidi"/>
          <w:szCs w:val="22"/>
        </w:rPr>
        <w:t>in-kind</w:t>
      </w:r>
      <w:r w:rsidRPr="002F2C67">
        <w:rPr>
          <w:rFonts w:asciiTheme="minorBidi" w:hAnsiTheme="minorBidi" w:cstheme="minorBidi"/>
          <w:spacing w:val="-2"/>
          <w:szCs w:val="22"/>
        </w:rPr>
        <w:t xml:space="preserve"> </w:t>
      </w:r>
      <w:r w:rsidRPr="002F2C67">
        <w:rPr>
          <w:rFonts w:asciiTheme="minorBidi" w:hAnsiTheme="minorBidi" w:cstheme="minorBidi"/>
          <w:szCs w:val="22"/>
        </w:rPr>
        <w:t>resource</w:t>
      </w:r>
      <w:r w:rsidRPr="002F2C67">
        <w:rPr>
          <w:rFonts w:asciiTheme="minorBidi" w:hAnsiTheme="minorBidi" w:cstheme="minorBidi"/>
          <w:spacing w:val="-1"/>
          <w:szCs w:val="22"/>
        </w:rPr>
        <w:t xml:space="preserve"> </w:t>
      </w:r>
      <w:r w:rsidRPr="002F2C67">
        <w:rPr>
          <w:rFonts w:asciiTheme="minorBidi" w:hAnsiTheme="minorBidi" w:cstheme="minorBidi"/>
          <w:szCs w:val="22"/>
        </w:rPr>
        <w:t>provision</w:t>
      </w:r>
      <w:r w:rsidRPr="002F2C67">
        <w:rPr>
          <w:rFonts w:asciiTheme="minorBidi" w:hAnsiTheme="minorBidi" w:cstheme="minorBidi"/>
          <w:spacing w:val="2"/>
          <w:szCs w:val="22"/>
        </w:rPr>
        <w:t xml:space="preserve"> </w:t>
      </w:r>
      <w:r w:rsidRPr="002F2C67">
        <w:rPr>
          <w:rFonts w:asciiTheme="minorBidi" w:hAnsiTheme="minorBidi" w:cstheme="minorBidi"/>
          <w:szCs w:val="22"/>
        </w:rPr>
        <w:t>or</w:t>
      </w:r>
      <w:r w:rsidRPr="002F2C67">
        <w:rPr>
          <w:rFonts w:asciiTheme="minorBidi" w:hAnsiTheme="minorBidi" w:cstheme="minorBidi"/>
          <w:spacing w:val="1"/>
          <w:szCs w:val="22"/>
        </w:rPr>
        <w:t xml:space="preserve"> </w:t>
      </w:r>
      <w:r w:rsidRPr="002F2C67">
        <w:rPr>
          <w:rFonts w:asciiTheme="minorBidi" w:hAnsiTheme="minorBidi" w:cstheme="minorBidi"/>
          <w:szCs w:val="22"/>
        </w:rPr>
        <w:t>investment</w:t>
      </w:r>
      <w:r w:rsidRPr="002F2C67">
        <w:rPr>
          <w:rFonts w:asciiTheme="minorBidi" w:hAnsiTheme="minorBidi" w:cstheme="minorBidi"/>
          <w:spacing w:val="-2"/>
          <w:szCs w:val="22"/>
        </w:rPr>
        <w:t xml:space="preserve"> </w:t>
      </w:r>
      <w:r w:rsidRPr="002F2C67">
        <w:rPr>
          <w:rFonts w:asciiTheme="minorBidi" w:hAnsiTheme="minorBidi" w:cstheme="minorBidi"/>
          <w:szCs w:val="22"/>
        </w:rPr>
        <w:t>in research</w:t>
      </w:r>
      <w:r w:rsidRPr="002F2C67">
        <w:rPr>
          <w:rFonts w:asciiTheme="minorBidi" w:hAnsiTheme="minorBidi" w:cstheme="minorBidi"/>
          <w:spacing w:val="-1"/>
          <w:szCs w:val="22"/>
        </w:rPr>
        <w:t xml:space="preserve"> </w:t>
      </w:r>
      <w:r w:rsidRPr="002F2C67">
        <w:rPr>
          <w:rFonts w:asciiTheme="minorBidi" w:hAnsiTheme="minorBidi" w:cstheme="minorBidi"/>
          <w:szCs w:val="22"/>
        </w:rPr>
        <w:t>and</w:t>
      </w:r>
      <w:r w:rsidRPr="002F2C67">
        <w:rPr>
          <w:rFonts w:asciiTheme="minorBidi" w:hAnsiTheme="minorBidi" w:cstheme="minorBidi"/>
          <w:spacing w:val="-2"/>
          <w:szCs w:val="22"/>
        </w:rPr>
        <w:t xml:space="preserve"> </w:t>
      </w:r>
      <w:r w:rsidRPr="002F2C67">
        <w:rPr>
          <w:rFonts w:asciiTheme="minorBidi" w:hAnsiTheme="minorBidi" w:cstheme="minorBidi"/>
          <w:szCs w:val="22"/>
        </w:rPr>
        <w:t>innovation.</w:t>
      </w:r>
    </w:p>
    <w:p w14:paraId="1D59879C" w14:textId="77777777" w:rsidR="008C47A2" w:rsidRPr="002F2C67" w:rsidRDefault="00946995" w:rsidP="0080488A">
      <w:pPr>
        <w:pStyle w:val="Marge"/>
        <w:rPr>
          <w:rFonts w:asciiTheme="minorBidi" w:hAnsiTheme="minorBidi" w:cstheme="minorBidi"/>
          <w:szCs w:val="22"/>
        </w:rPr>
      </w:pPr>
      <w:r w:rsidRPr="002F2C67">
        <w:rPr>
          <w:rFonts w:asciiTheme="minorBidi" w:hAnsiTheme="minorBidi" w:cstheme="minorBidi"/>
          <w:color w:val="000000" w:themeColor="text1"/>
          <w:szCs w:val="22"/>
        </w:rPr>
        <w:t xml:space="preserve">If the ambitions of the </w:t>
      </w:r>
      <w:r w:rsidR="0085020A" w:rsidRPr="002F2C67">
        <w:rPr>
          <w:rFonts w:asciiTheme="minorBidi" w:hAnsiTheme="minorBidi" w:cstheme="minorBidi"/>
          <w:color w:val="000000" w:themeColor="text1"/>
          <w:szCs w:val="22"/>
        </w:rPr>
        <w:t xml:space="preserve">Ocean </w:t>
      </w:r>
      <w:r w:rsidRPr="002F2C67">
        <w:rPr>
          <w:rFonts w:asciiTheme="minorBidi" w:hAnsiTheme="minorBidi" w:cstheme="minorBidi"/>
          <w:color w:val="000000" w:themeColor="text1"/>
          <w:szCs w:val="22"/>
        </w:rPr>
        <w:t>Decade are to be realised, funding for ocean science from existing partners will need to increase significantly. In addition, new sources of funding or support will need</w:t>
      </w:r>
      <w:r w:rsidR="00E85A3C"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t</w:t>
      </w:r>
      <w:r w:rsidR="00E85A3C" w:rsidRPr="002F2C67">
        <w:rPr>
          <w:rFonts w:asciiTheme="minorBidi" w:hAnsiTheme="minorBidi" w:cstheme="minorBidi"/>
          <w:color w:val="000000" w:themeColor="text1"/>
          <w:szCs w:val="22"/>
        </w:rPr>
        <w:t xml:space="preserve">o </w:t>
      </w:r>
      <w:r w:rsidRPr="002F2C67">
        <w:rPr>
          <w:rFonts w:asciiTheme="minorBidi" w:hAnsiTheme="minorBidi" w:cstheme="minorBidi"/>
          <w:color w:val="000000" w:themeColor="text1"/>
          <w:szCs w:val="22"/>
        </w:rPr>
        <w:t xml:space="preserve">be nurtured including emerging financing models such as blue bonds or ocean business </w:t>
      </w:r>
      <w:proofErr w:type="gramStart"/>
      <w:r w:rsidRPr="002F2C67">
        <w:rPr>
          <w:rFonts w:asciiTheme="minorBidi" w:hAnsiTheme="minorBidi" w:cstheme="minorBidi"/>
          <w:color w:val="000000" w:themeColor="text1"/>
          <w:szCs w:val="22"/>
        </w:rPr>
        <w:t>impact</w:t>
      </w:r>
      <w:r w:rsidR="0085020A"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 xml:space="preserve"> investments</w:t>
      </w:r>
      <w:proofErr w:type="gramEnd"/>
      <w:r w:rsidRPr="002F2C67">
        <w:rPr>
          <w:rFonts w:asciiTheme="minorBidi" w:hAnsiTheme="minorBidi" w:cstheme="minorBidi"/>
          <w:color w:val="000000" w:themeColor="text1"/>
          <w:szCs w:val="22"/>
        </w:rPr>
        <w:t>, public-private partnerships,</w:t>
      </w:r>
      <w:r w:rsidR="001B096D" w:rsidRPr="002F2C67">
        <w:rPr>
          <w:rFonts w:asciiTheme="minorBidi" w:hAnsiTheme="minorBidi" w:cstheme="minorBidi"/>
          <w:color w:val="000000" w:themeColor="text1"/>
          <w:szCs w:val="22"/>
        </w:rPr>
        <w:t xml:space="preserve"> international financial institutions including</w:t>
      </w:r>
      <w:r w:rsidRPr="002F2C67">
        <w:rPr>
          <w:rFonts w:asciiTheme="minorBidi" w:hAnsiTheme="minorBidi" w:cstheme="minorBidi"/>
          <w:color w:val="000000" w:themeColor="text1"/>
          <w:szCs w:val="22"/>
        </w:rPr>
        <w:t xml:space="preserve"> multilateral or bilateral development banks, and innovative in-kind contributions. There will also need to be increased engagement with funding and resource providers who may not directly support ocean science but who support initiatives or</w:t>
      </w:r>
      <w:r w:rsidR="00E85A3C" w:rsidRPr="002F2C67">
        <w:rPr>
          <w:rFonts w:asciiTheme="minorBidi" w:hAnsiTheme="minorBidi" w:cstheme="minorBidi"/>
          <w:szCs w:val="22"/>
        </w:rPr>
        <w:t xml:space="preserve"> </w:t>
      </w:r>
      <w:r w:rsidRPr="002F2C67">
        <w:rPr>
          <w:rFonts w:asciiTheme="minorBidi" w:hAnsiTheme="minorBidi" w:cstheme="minorBidi"/>
          <w:szCs w:val="22"/>
        </w:rPr>
        <w:t>activities</w:t>
      </w:r>
      <w:r w:rsidRPr="002F2C67">
        <w:rPr>
          <w:rFonts w:asciiTheme="minorBidi" w:hAnsiTheme="minorBidi" w:cstheme="minorBidi"/>
          <w:spacing w:val="1"/>
          <w:szCs w:val="22"/>
        </w:rPr>
        <w:t xml:space="preserve"> </w:t>
      </w:r>
      <w:r w:rsidRPr="002F2C67">
        <w:rPr>
          <w:rFonts w:asciiTheme="minorBidi" w:hAnsiTheme="minorBidi" w:cstheme="minorBidi"/>
          <w:szCs w:val="22"/>
        </w:rPr>
        <w:t>inextricably</w:t>
      </w:r>
      <w:r w:rsidRPr="002F2C67">
        <w:rPr>
          <w:rFonts w:asciiTheme="minorBidi" w:hAnsiTheme="minorBidi" w:cstheme="minorBidi"/>
          <w:spacing w:val="1"/>
          <w:szCs w:val="22"/>
        </w:rPr>
        <w:t xml:space="preserve"> </w:t>
      </w:r>
      <w:r w:rsidRPr="002F2C67">
        <w:rPr>
          <w:rFonts w:asciiTheme="minorBidi" w:hAnsiTheme="minorBidi" w:cstheme="minorBidi"/>
          <w:szCs w:val="22"/>
        </w:rPr>
        <w:t>linked</w:t>
      </w:r>
      <w:r w:rsidRPr="002F2C67">
        <w:rPr>
          <w:rFonts w:asciiTheme="minorBidi" w:hAnsiTheme="minorBidi" w:cstheme="minorBidi"/>
          <w:spacing w:val="1"/>
          <w:szCs w:val="22"/>
        </w:rPr>
        <w:t xml:space="preserve"> </w:t>
      </w:r>
      <w:r w:rsidRPr="002F2C67">
        <w:rPr>
          <w:rFonts w:asciiTheme="minorBidi" w:hAnsiTheme="minorBidi" w:cstheme="minorBidi"/>
          <w:szCs w:val="22"/>
        </w:rPr>
        <w:t>to,</w:t>
      </w:r>
      <w:r w:rsidRPr="002F2C67">
        <w:rPr>
          <w:rFonts w:asciiTheme="minorBidi" w:hAnsiTheme="minorBidi" w:cstheme="minorBidi"/>
          <w:spacing w:val="1"/>
          <w:szCs w:val="22"/>
        </w:rPr>
        <w:t xml:space="preserve"> </w:t>
      </w:r>
      <w:r w:rsidRPr="002F2C67">
        <w:rPr>
          <w:rFonts w:asciiTheme="minorBidi" w:hAnsiTheme="minorBidi" w:cstheme="minorBidi"/>
          <w:szCs w:val="22"/>
        </w:rPr>
        <w:t>or</w:t>
      </w:r>
      <w:r w:rsidRPr="002F2C67">
        <w:rPr>
          <w:rFonts w:asciiTheme="minorBidi" w:hAnsiTheme="minorBidi" w:cstheme="minorBidi"/>
          <w:spacing w:val="1"/>
          <w:szCs w:val="22"/>
        </w:rPr>
        <w:t xml:space="preserve"> </w:t>
      </w:r>
      <w:r w:rsidRPr="002F2C67">
        <w:rPr>
          <w:rFonts w:asciiTheme="minorBidi" w:hAnsiTheme="minorBidi" w:cstheme="minorBidi"/>
          <w:szCs w:val="22"/>
        </w:rPr>
        <w:t>reliant</w:t>
      </w:r>
      <w:r w:rsidRPr="002F2C67">
        <w:rPr>
          <w:rFonts w:asciiTheme="minorBidi" w:hAnsiTheme="minorBidi" w:cstheme="minorBidi"/>
          <w:spacing w:val="1"/>
          <w:szCs w:val="22"/>
        </w:rPr>
        <w:t xml:space="preserve"> </w:t>
      </w:r>
      <w:r w:rsidRPr="002F2C67">
        <w:rPr>
          <w:rFonts w:asciiTheme="minorBidi" w:hAnsiTheme="minorBidi" w:cstheme="minorBidi"/>
          <w:szCs w:val="22"/>
        </w:rPr>
        <w:t>upon,</w:t>
      </w:r>
      <w:r w:rsidRPr="002F2C67">
        <w:rPr>
          <w:rFonts w:asciiTheme="minorBidi" w:hAnsiTheme="minorBidi" w:cstheme="minorBidi"/>
          <w:spacing w:val="1"/>
          <w:szCs w:val="22"/>
        </w:rPr>
        <w:t xml:space="preserve"> </w:t>
      </w:r>
      <w:r w:rsidRPr="002F2C67">
        <w:rPr>
          <w:rFonts w:asciiTheme="minorBidi" w:hAnsiTheme="minorBidi" w:cstheme="minorBidi"/>
          <w:szCs w:val="22"/>
        </w:rPr>
        <w:t>ocean</w:t>
      </w:r>
      <w:r w:rsidRPr="002F2C67">
        <w:rPr>
          <w:rFonts w:asciiTheme="minorBidi" w:hAnsiTheme="minorBidi" w:cstheme="minorBidi"/>
          <w:spacing w:val="1"/>
          <w:szCs w:val="22"/>
        </w:rPr>
        <w:t xml:space="preserve"> </w:t>
      </w:r>
      <w:r w:rsidRPr="002F2C67">
        <w:rPr>
          <w:rFonts w:asciiTheme="minorBidi" w:hAnsiTheme="minorBidi" w:cstheme="minorBidi"/>
          <w:szCs w:val="22"/>
        </w:rPr>
        <w:t>science.</w:t>
      </w:r>
      <w:r w:rsidRPr="002F2C67">
        <w:rPr>
          <w:rFonts w:asciiTheme="minorBidi" w:hAnsiTheme="minorBidi" w:cstheme="minorBidi"/>
          <w:spacing w:val="1"/>
          <w:szCs w:val="22"/>
        </w:rPr>
        <w:t xml:space="preserve"> </w:t>
      </w:r>
      <w:r w:rsidRPr="002F2C67">
        <w:rPr>
          <w:rFonts w:asciiTheme="minorBidi" w:hAnsiTheme="minorBidi" w:cstheme="minorBidi"/>
          <w:szCs w:val="22"/>
        </w:rPr>
        <w:t>This</w:t>
      </w:r>
      <w:r w:rsidRPr="002F2C67">
        <w:rPr>
          <w:rFonts w:asciiTheme="minorBidi" w:hAnsiTheme="minorBidi" w:cstheme="minorBidi"/>
          <w:spacing w:val="1"/>
          <w:szCs w:val="22"/>
        </w:rPr>
        <w:t xml:space="preserve"> </w:t>
      </w:r>
      <w:r w:rsidRPr="002F2C67">
        <w:rPr>
          <w:rFonts w:asciiTheme="minorBidi" w:hAnsiTheme="minorBidi" w:cstheme="minorBidi"/>
          <w:szCs w:val="22"/>
        </w:rPr>
        <w:t>includes</w:t>
      </w:r>
      <w:r w:rsidRPr="002F2C67">
        <w:rPr>
          <w:rFonts w:asciiTheme="minorBidi" w:hAnsiTheme="minorBidi" w:cstheme="minorBidi"/>
          <w:spacing w:val="1"/>
          <w:szCs w:val="22"/>
        </w:rPr>
        <w:t xml:space="preserve"> </w:t>
      </w:r>
      <w:r w:rsidRPr="002F2C67">
        <w:rPr>
          <w:rFonts w:asciiTheme="minorBidi" w:hAnsiTheme="minorBidi" w:cstheme="minorBidi"/>
          <w:szCs w:val="22"/>
        </w:rPr>
        <w:t>funders</w:t>
      </w:r>
      <w:r w:rsidRPr="002F2C67">
        <w:rPr>
          <w:rFonts w:asciiTheme="minorBidi" w:hAnsiTheme="minorBidi" w:cstheme="minorBidi"/>
          <w:spacing w:val="1"/>
          <w:szCs w:val="22"/>
        </w:rPr>
        <w:t xml:space="preserve"> </w:t>
      </w:r>
      <w:r w:rsidRPr="002F2C67">
        <w:rPr>
          <w:rFonts w:asciiTheme="minorBidi" w:hAnsiTheme="minorBidi" w:cstheme="minorBidi"/>
          <w:szCs w:val="22"/>
        </w:rPr>
        <w:t>who</w:t>
      </w:r>
      <w:r w:rsidRPr="002F2C67">
        <w:rPr>
          <w:rFonts w:asciiTheme="minorBidi" w:hAnsiTheme="minorBidi" w:cstheme="minorBidi"/>
          <w:spacing w:val="1"/>
          <w:szCs w:val="22"/>
        </w:rPr>
        <w:t xml:space="preserve"> </w:t>
      </w:r>
      <w:r w:rsidRPr="002F2C67">
        <w:rPr>
          <w:rFonts w:asciiTheme="minorBidi" w:hAnsiTheme="minorBidi" w:cstheme="minorBidi"/>
          <w:szCs w:val="22"/>
        </w:rPr>
        <w:t>traditionally</w:t>
      </w:r>
      <w:r w:rsidRPr="002F2C67">
        <w:rPr>
          <w:rFonts w:asciiTheme="minorBidi" w:hAnsiTheme="minorBidi" w:cstheme="minorBidi"/>
          <w:spacing w:val="-12"/>
          <w:szCs w:val="22"/>
        </w:rPr>
        <w:t xml:space="preserve"> </w:t>
      </w:r>
      <w:r w:rsidRPr="002F2C67">
        <w:rPr>
          <w:rFonts w:asciiTheme="minorBidi" w:hAnsiTheme="minorBidi" w:cstheme="minorBidi"/>
          <w:szCs w:val="22"/>
        </w:rPr>
        <w:t>focus</w:t>
      </w:r>
      <w:r w:rsidRPr="002F2C67">
        <w:rPr>
          <w:rFonts w:asciiTheme="minorBidi" w:hAnsiTheme="minorBidi" w:cstheme="minorBidi"/>
          <w:spacing w:val="-10"/>
          <w:szCs w:val="22"/>
        </w:rPr>
        <w:t xml:space="preserve"> </w:t>
      </w:r>
      <w:r w:rsidRPr="002F2C67">
        <w:rPr>
          <w:rFonts w:asciiTheme="minorBidi" w:hAnsiTheme="minorBidi" w:cstheme="minorBidi"/>
          <w:szCs w:val="22"/>
        </w:rPr>
        <w:t>on</w:t>
      </w:r>
      <w:r w:rsidR="001B096D" w:rsidRPr="002F2C67">
        <w:rPr>
          <w:rFonts w:asciiTheme="minorBidi" w:hAnsiTheme="minorBidi" w:cstheme="minorBidi"/>
          <w:szCs w:val="22"/>
        </w:rPr>
        <w:t xml:space="preserve"> other facets of sustainable development,</w:t>
      </w:r>
      <w:r w:rsidRPr="002F2C67">
        <w:rPr>
          <w:rFonts w:asciiTheme="minorBidi" w:hAnsiTheme="minorBidi" w:cstheme="minorBidi"/>
          <w:spacing w:val="-11"/>
          <w:szCs w:val="22"/>
        </w:rPr>
        <w:t xml:space="preserve"> </w:t>
      </w:r>
      <w:r w:rsidRPr="002F2C67">
        <w:rPr>
          <w:rFonts w:asciiTheme="minorBidi" w:hAnsiTheme="minorBidi" w:cstheme="minorBidi"/>
          <w:szCs w:val="22"/>
        </w:rPr>
        <w:t>social</w:t>
      </w:r>
      <w:r w:rsidRPr="002F2C67">
        <w:rPr>
          <w:rFonts w:asciiTheme="minorBidi" w:hAnsiTheme="minorBidi" w:cstheme="minorBidi"/>
          <w:spacing w:val="-9"/>
          <w:szCs w:val="22"/>
        </w:rPr>
        <w:t xml:space="preserve"> </w:t>
      </w:r>
      <w:r w:rsidRPr="002F2C67">
        <w:rPr>
          <w:rFonts w:asciiTheme="minorBidi" w:hAnsiTheme="minorBidi" w:cstheme="minorBidi"/>
          <w:szCs w:val="22"/>
        </w:rPr>
        <w:t>sciences,</w:t>
      </w:r>
      <w:r w:rsidRPr="002F2C67">
        <w:rPr>
          <w:rFonts w:asciiTheme="minorBidi" w:hAnsiTheme="minorBidi" w:cstheme="minorBidi"/>
          <w:spacing w:val="-8"/>
          <w:szCs w:val="22"/>
        </w:rPr>
        <w:t xml:space="preserve"> </w:t>
      </w:r>
      <w:r w:rsidRPr="002F2C67">
        <w:rPr>
          <w:rFonts w:asciiTheme="minorBidi" w:hAnsiTheme="minorBidi" w:cstheme="minorBidi"/>
          <w:szCs w:val="22"/>
        </w:rPr>
        <w:t>or</w:t>
      </w:r>
      <w:r w:rsidRPr="002F2C67">
        <w:rPr>
          <w:rFonts w:asciiTheme="minorBidi" w:hAnsiTheme="minorBidi" w:cstheme="minorBidi"/>
          <w:spacing w:val="-9"/>
          <w:szCs w:val="22"/>
        </w:rPr>
        <w:t xml:space="preserve"> </w:t>
      </w:r>
      <w:r w:rsidRPr="002F2C67">
        <w:rPr>
          <w:rFonts w:asciiTheme="minorBidi" w:hAnsiTheme="minorBidi" w:cstheme="minorBidi"/>
          <w:szCs w:val="22"/>
        </w:rPr>
        <w:t>who</w:t>
      </w:r>
      <w:r w:rsidRPr="002F2C67">
        <w:rPr>
          <w:rFonts w:asciiTheme="minorBidi" w:hAnsiTheme="minorBidi" w:cstheme="minorBidi"/>
          <w:spacing w:val="-8"/>
          <w:szCs w:val="22"/>
        </w:rPr>
        <w:t xml:space="preserve"> </w:t>
      </w:r>
      <w:r w:rsidRPr="002F2C67">
        <w:rPr>
          <w:rFonts w:asciiTheme="minorBidi" w:hAnsiTheme="minorBidi" w:cstheme="minorBidi"/>
          <w:szCs w:val="22"/>
        </w:rPr>
        <w:t>are</w:t>
      </w:r>
      <w:r w:rsidRPr="002F2C67">
        <w:rPr>
          <w:rFonts w:asciiTheme="minorBidi" w:hAnsiTheme="minorBidi" w:cstheme="minorBidi"/>
          <w:spacing w:val="-10"/>
          <w:szCs w:val="22"/>
        </w:rPr>
        <w:t xml:space="preserve"> </w:t>
      </w:r>
      <w:r w:rsidRPr="002F2C67">
        <w:rPr>
          <w:rFonts w:asciiTheme="minorBidi" w:hAnsiTheme="minorBidi" w:cstheme="minorBidi"/>
          <w:szCs w:val="22"/>
        </w:rPr>
        <w:t>more</w:t>
      </w:r>
      <w:r w:rsidRPr="002F2C67">
        <w:rPr>
          <w:rFonts w:asciiTheme="minorBidi" w:hAnsiTheme="minorBidi" w:cstheme="minorBidi"/>
          <w:spacing w:val="-10"/>
          <w:szCs w:val="22"/>
        </w:rPr>
        <w:t xml:space="preserve"> </w:t>
      </w:r>
      <w:r w:rsidRPr="002F2C67">
        <w:rPr>
          <w:rFonts w:asciiTheme="minorBidi" w:hAnsiTheme="minorBidi" w:cstheme="minorBidi"/>
          <w:szCs w:val="22"/>
        </w:rPr>
        <w:t>strongly</w:t>
      </w:r>
      <w:r w:rsidRPr="002F2C67">
        <w:rPr>
          <w:rFonts w:asciiTheme="minorBidi" w:hAnsiTheme="minorBidi" w:cstheme="minorBidi"/>
          <w:spacing w:val="-10"/>
          <w:szCs w:val="22"/>
        </w:rPr>
        <w:t xml:space="preserve"> </w:t>
      </w:r>
      <w:r w:rsidRPr="002F2C67">
        <w:rPr>
          <w:rFonts w:asciiTheme="minorBidi" w:hAnsiTheme="minorBidi" w:cstheme="minorBidi"/>
          <w:szCs w:val="22"/>
        </w:rPr>
        <w:t>focused</w:t>
      </w:r>
      <w:r w:rsidRPr="002F2C67">
        <w:rPr>
          <w:rFonts w:asciiTheme="minorBidi" w:hAnsiTheme="minorBidi" w:cstheme="minorBidi"/>
          <w:spacing w:val="-11"/>
          <w:szCs w:val="22"/>
        </w:rPr>
        <w:t xml:space="preserve"> </w:t>
      </w:r>
      <w:r w:rsidRPr="002F2C67">
        <w:rPr>
          <w:rFonts w:asciiTheme="minorBidi" w:hAnsiTheme="minorBidi" w:cstheme="minorBidi"/>
          <w:szCs w:val="22"/>
        </w:rPr>
        <w:t>on</w:t>
      </w:r>
      <w:r w:rsidRPr="002F2C67">
        <w:rPr>
          <w:rFonts w:asciiTheme="minorBidi" w:hAnsiTheme="minorBidi" w:cstheme="minorBidi"/>
          <w:spacing w:val="-10"/>
          <w:szCs w:val="22"/>
        </w:rPr>
        <w:t xml:space="preserve"> </w:t>
      </w:r>
      <w:r w:rsidRPr="002F2C67">
        <w:rPr>
          <w:rFonts w:asciiTheme="minorBidi" w:hAnsiTheme="minorBidi" w:cstheme="minorBidi"/>
          <w:szCs w:val="22"/>
        </w:rPr>
        <w:t>supporting</w:t>
      </w:r>
      <w:r w:rsidRPr="002F2C67">
        <w:rPr>
          <w:rFonts w:asciiTheme="minorBidi" w:hAnsiTheme="minorBidi" w:cstheme="minorBidi"/>
          <w:spacing w:val="-7"/>
          <w:szCs w:val="22"/>
        </w:rPr>
        <w:t xml:space="preserve"> </w:t>
      </w:r>
      <w:r w:rsidRPr="002F2C67">
        <w:rPr>
          <w:rFonts w:asciiTheme="minorBidi" w:hAnsiTheme="minorBidi" w:cstheme="minorBidi"/>
          <w:szCs w:val="22"/>
        </w:rPr>
        <w:t>users</w:t>
      </w:r>
      <w:r w:rsidRPr="002F2C67">
        <w:rPr>
          <w:rFonts w:asciiTheme="minorBidi" w:hAnsiTheme="minorBidi" w:cstheme="minorBidi"/>
          <w:spacing w:val="-9"/>
          <w:szCs w:val="22"/>
        </w:rPr>
        <w:t xml:space="preserve"> </w:t>
      </w:r>
      <w:r w:rsidRPr="002F2C67">
        <w:rPr>
          <w:rFonts w:asciiTheme="minorBidi" w:hAnsiTheme="minorBidi" w:cstheme="minorBidi"/>
          <w:szCs w:val="22"/>
        </w:rPr>
        <w:t>in</w:t>
      </w:r>
      <w:r w:rsidRPr="002F2C67">
        <w:rPr>
          <w:rFonts w:asciiTheme="minorBidi" w:hAnsiTheme="minorBidi" w:cstheme="minorBidi"/>
          <w:spacing w:val="-10"/>
          <w:szCs w:val="22"/>
        </w:rPr>
        <w:t xml:space="preserve"> </w:t>
      </w:r>
      <w:r w:rsidR="0085020A" w:rsidRPr="002F2C67">
        <w:rPr>
          <w:rFonts w:asciiTheme="minorBidi" w:hAnsiTheme="minorBidi" w:cstheme="minorBidi"/>
          <w:szCs w:val="22"/>
        </w:rPr>
        <w:t xml:space="preserve">the ocean </w:t>
      </w:r>
      <w:r w:rsidRPr="002F2C67">
        <w:rPr>
          <w:rFonts w:asciiTheme="minorBidi" w:hAnsiTheme="minorBidi" w:cstheme="minorBidi"/>
          <w:szCs w:val="22"/>
        </w:rPr>
        <w:t>science</w:t>
      </w:r>
      <w:r w:rsidRPr="002F2C67">
        <w:rPr>
          <w:rFonts w:asciiTheme="minorBidi" w:hAnsiTheme="minorBidi" w:cstheme="minorBidi"/>
          <w:spacing w:val="-6"/>
          <w:szCs w:val="22"/>
        </w:rPr>
        <w:t xml:space="preserve"> </w:t>
      </w:r>
      <w:r w:rsidRPr="002F2C67">
        <w:rPr>
          <w:rFonts w:asciiTheme="minorBidi" w:hAnsiTheme="minorBidi" w:cstheme="minorBidi"/>
          <w:szCs w:val="22"/>
        </w:rPr>
        <w:t>value-chain.</w:t>
      </w:r>
      <w:r w:rsidRPr="002F2C67">
        <w:rPr>
          <w:rFonts w:asciiTheme="minorBidi" w:hAnsiTheme="minorBidi" w:cstheme="minorBidi"/>
          <w:spacing w:val="-4"/>
          <w:szCs w:val="22"/>
        </w:rPr>
        <w:t xml:space="preserve"> </w:t>
      </w:r>
      <w:r w:rsidRPr="002F2C67">
        <w:rPr>
          <w:rFonts w:asciiTheme="minorBidi" w:hAnsiTheme="minorBidi" w:cstheme="minorBidi"/>
          <w:szCs w:val="22"/>
        </w:rPr>
        <w:t>Successful</w:t>
      </w:r>
      <w:r w:rsidRPr="002F2C67">
        <w:rPr>
          <w:rFonts w:asciiTheme="minorBidi" w:hAnsiTheme="minorBidi" w:cstheme="minorBidi"/>
          <w:spacing w:val="-5"/>
          <w:szCs w:val="22"/>
        </w:rPr>
        <w:t xml:space="preserve"> </w:t>
      </w:r>
      <w:r w:rsidRPr="002F2C67">
        <w:rPr>
          <w:rFonts w:asciiTheme="minorBidi" w:hAnsiTheme="minorBidi" w:cstheme="minorBidi"/>
          <w:szCs w:val="22"/>
        </w:rPr>
        <w:t>engagement</w:t>
      </w:r>
      <w:r w:rsidRPr="002F2C67">
        <w:rPr>
          <w:rFonts w:asciiTheme="minorBidi" w:hAnsiTheme="minorBidi" w:cstheme="minorBidi"/>
          <w:spacing w:val="-3"/>
          <w:szCs w:val="22"/>
        </w:rPr>
        <w:t xml:space="preserve"> </w:t>
      </w:r>
      <w:r w:rsidRPr="002F2C67">
        <w:rPr>
          <w:rFonts w:asciiTheme="minorBidi" w:hAnsiTheme="minorBidi" w:cstheme="minorBidi"/>
          <w:szCs w:val="22"/>
        </w:rPr>
        <w:t>of</w:t>
      </w:r>
      <w:r w:rsidRPr="002F2C67">
        <w:rPr>
          <w:rFonts w:asciiTheme="minorBidi" w:hAnsiTheme="minorBidi" w:cstheme="minorBidi"/>
          <w:spacing w:val="-6"/>
          <w:szCs w:val="22"/>
        </w:rPr>
        <w:t xml:space="preserve"> </w:t>
      </w:r>
      <w:r w:rsidRPr="002F2C67">
        <w:rPr>
          <w:rFonts w:asciiTheme="minorBidi" w:hAnsiTheme="minorBidi" w:cstheme="minorBidi"/>
          <w:szCs w:val="22"/>
        </w:rPr>
        <w:t>this</w:t>
      </w:r>
      <w:r w:rsidRPr="002F2C67">
        <w:rPr>
          <w:rFonts w:asciiTheme="minorBidi" w:hAnsiTheme="minorBidi" w:cstheme="minorBidi"/>
          <w:spacing w:val="-6"/>
          <w:szCs w:val="22"/>
        </w:rPr>
        <w:t xml:space="preserve"> </w:t>
      </w:r>
      <w:r w:rsidRPr="002F2C67">
        <w:rPr>
          <w:rFonts w:asciiTheme="minorBidi" w:hAnsiTheme="minorBidi" w:cstheme="minorBidi"/>
          <w:szCs w:val="22"/>
        </w:rPr>
        <w:t>latter</w:t>
      </w:r>
      <w:r w:rsidRPr="002F2C67">
        <w:rPr>
          <w:rFonts w:asciiTheme="minorBidi" w:hAnsiTheme="minorBidi" w:cstheme="minorBidi"/>
          <w:spacing w:val="-8"/>
          <w:szCs w:val="22"/>
        </w:rPr>
        <w:t xml:space="preserve"> </w:t>
      </w:r>
      <w:r w:rsidRPr="002F2C67">
        <w:rPr>
          <w:rFonts w:asciiTheme="minorBidi" w:hAnsiTheme="minorBidi" w:cstheme="minorBidi"/>
          <w:szCs w:val="22"/>
        </w:rPr>
        <w:t>group</w:t>
      </w:r>
      <w:r w:rsidRPr="002F2C67">
        <w:rPr>
          <w:rFonts w:asciiTheme="minorBidi" w:hAnsiTheme="minorBidi" w:cstheme="minorBidi"/>
          <w:spacing w:val="-7"/>
          <w:szCs w:val="22"/>
        </w:rPr>
        <w:t xml:space="preserve"> </w:t>
      </w:r>
      <w:r w:rsidRPr="002F2C67">
        <w:rPr>
          <w:rFonts w:asciiTheme="minorBidi" w:hAnsiTheme="minorBidi" w:cstheme="minorBidi"/>
          <w:szCs w:val="22"/>
        </w:rPr>
        <w:t>will</w:t>
      </w:r>
      <w:r w:rsidRPr="002F2C67">
        <w:rPr>
          <w:rFonts w:asciiTheme="minorBidi" w:hAnsiTheme="minorBidi" w:cstheme="minorBidi"/>
          <w:spacing w:val="-2"/>
          <w:szCs w:val="22"/>
        </w:rPr>
        <w:t xml:space="preserve"> </w:t>
      </w:r>
      <w:r w:rsidRPr="002F2C67">
        <w:rPr>
          <w:rFonts w:asciiTheme="minorBidi" w:hAnsiTheme="minorBidi" w:cstheme="minorBidi"/>
          <w:szCs w:val="22"/>
        </w:rPr>
        <w:t>require</w:t>
      </w:r>
      <w:r w:rsidRPr="002F2C67">
        <w:rPr>
          <w:rFonts w:asciiTheme="minorBidi" w:hAnsiTheme="minorBidi" w:cstheme="minorBidi"/>
          <w:spacing w:val="-5"/>
          <w:szCs w:val="22"/>
        </w:rPr>
        <w:t xml:space="preserve"> </w:t>
      </w:r>
      <w:r w:rsidRPr="002F2C67">
        <w:rPr>
          <w:rFonts w:asciiTheme="minorBidi" w:hAnsiTheme="minorBidi" w:cstheme="minorBidi"/>
          <w:szCs w:val="22"/>
        </w:rPr>
        <w:t>exchange</w:t>
      </w:r>
      <w:r w:rsidRPr="002F2C67">
        <w:rPr>
          <w:rFonts w:asciiTheme="minorBidi" w:hAnsiTheme="minorBidi" w:cstheme="minorBidi"/>
          <w:spacing w:val="-6"/>
          <w:szCs w:val="22"/>
        </w:rPr>
        <w:t xml:space="preserve"> </w:t>
      </w:r>
      <w:r w:rsidR="0085020A" w:rsidRPr="002F2C67">
        <w:rPr>
          <w:rFonts w:asciiTheme="minorBidi" w:hAnsiTheme="minorBidi" w:cstheme="minorBidi"/>
          <w:szCs w:val="22"/>
        </w:rPr>
        <w:t xml:space="preserve">and </w:t>
      </w:r>
      <w:r w:rsidR="001B096D" w:rsidRPr="002F2C67">
        <w:rPr>
          <w:rFonts w:asciiTheme="minorBidi" w:hAnsiTheme="minorBidi" w:cstheme="minorBidi"/>
          <w:szCs w:val="22"/>
        </w:rPr>
        <w:t xml:space="preserve">clear messaging and </w:t>
      </w:r>
      <w:r w:rsidR="0085020A" w:rsidRPr="002F2C67">
        <w:rPr>
          <w:rFonts w:asciiTheme="minorBidi" w:hAnsiTheme="minorBidi" w:cstheme="minorBidi"/>
          <w:szCs w:val="22"/>
        </w:rPr>
        <w:t>dialogue</w:t>
      </w:r>
      <w:r w:rsidRPr="002F2C67">
        <w:rPr>
          <w:rFonts w:asciiTheme="minorBidi" w:hAnsiTheme="minorBidi" w:cstheme="minorBidi"/>
          <w:spacing w:val="-6"/>
          <w:szCs w:val="22"/>
        </w:rPr>
        <w:t xml:space="preserve"> </w:t>
      </w:r>
      <w:r w:rsidRPr="002F2C67">
        <w:rPr>
          <w:rFonts w:asciiTheme="minorBidi" w:hAnsiTheme="minorBidi" w:cstheme="minorBidi"/>
          <w:szCs w:val="22"/>
        </w:rPr>
        <w:t>on</w:t>
      </w:r>
      <w:r w:rsidRPr="002F2C67">
        <w:rPr>
          <w:rFonts w:asciiTheme="minorBidi" w:hAnsiTheme="minorBidi" w:cstheme="minorBidi"/>
          <w:spacing w:val="-7"/>
          <w:szCs w:val="22"/>
        </w:rPr>
        <w:t xml:space="preserve"> </w:t>
      </w:r>
      <w:r w:rsidRPr="002F2C67">
        <w:rPr>
          <w:rFonts w:asciiTheme="minorBidi" w:hAnsiTheme="minorBidi" w:cstheme="minorBidi"/>
          <w:szCs w:val="22"/>
        </w:rPr>
        <w:t>the</w:t>
      </w:r>
      <w:r w:rsidRPr="002F2C67">
        <w:rPr>
          <w:rFonts w:asciiTheme="minorBidi" w:hAnsiTheme="minorBidi" w:cstheme="minorBidi"/>
          <w:spacing w:val="-8"/>
          <w:szCs w:val="22"/>
        </w:rPr>
        <w:t xml:space="preserve"> </w:t>
      </w:r>
      <w:r w:rsidRPr="002F2C67">
        <w:rPr>
          <w:rFonts w:asciiTheme="minorBidi" w:hAnsiTheme="minorBidi" w:cstheme="minorBidi"/>
          <w:szCs w:val="22"/>
        </w:rPr>
        <w:t>foundational</w:t>
      </w:r>
      <w:r w:rsidRPr="002F2C67">
        <w:rPr>
          <w:rFonts w:asciiTheme="minorBidi" w:hAnsiTheme="minorBidi" w:cstheme="minorBidi"/>
          <w:spacing w:val="-6"/>
          <w:szCs w:val="22"/>
        </w:rPr>
        <w:t xml:space="preserve"> </w:t>
      </w:r>
      <w:r w:rsidRPr="002F2C67">
        <w:rPr>
          <w:rFonts w:asciiTheme="minorBidi" w:hAnsiTheme="minorBidi" w:cstheme="minorBidi"/>
          <w:szCs w:val="22"/>
        </w:rPr>
        <w:t>role</w:t>
      </w:r>
      <w:r w:rsidRPr="002F2C67">
        <w:rPr>
          <w:rFonts w:asciiTheme="minorBidi" w:hAnsiTheme="minorBidi" w:cstheme="minorBidi"/>
          <w:spacing w:val="-7"/>
          <w:szCs w:val="22"/>
        </w:rPr>
        <w:t xml:space="preserve"> </w:t>
      </w:r>
      <w:r w:rsidRPr="002F2C67">
        <w:rPr>
          <w:rFonts w:asciiTheme="minorBidi" w:hAnsiTheme="minorBidi" w:cstheme="minorBidi"/>
          <w:szCs w:val="22"/>
        </w:rPr>
        <w:t>that</w:t>
      </w:r>
      <w:r w:rsidRPr="002F2C67">
        <w:rPr>
          <w:rFonts w:asciiTheme="minorBidi" w:hAnsiTheme="minorBidi" w:cstheme="minorBidi"/>
          <w:spacing w:val="-4"/>
          <w:szCs w:val="22"/>
        </w:rPr>
        <w:t xml:space="preserve"> </w:t>
      </w:r>
      <w:r w:rsidRPr="002F2C67">
        <w:rPr>
          <w:rFonts w:asciiTheme="minorBidi" w:hAnsiTheme="minorBidi" w:cstheme="minorBidi"/>
          <w:szCs w:val="22"/>
        </w:rPr>
        <w:t>ocean</w:t>
      </w:r>
      <w:r w:rsidRPr="002F2C67">
        <w:rPr>
          <w:rFonts w:asciiTheme="minorBidi" w:hAnsiTheme="minorBidi" w:cstheme="minorBidi"/>
          <w:spacing w:val="-7"/>
          <w:szCs w:val="22"/>
        </w:rPr>
        <w:t xml:space="preserve"> </w:t>
      </w:r>
      <w:r w:rsidRPr="002F2C67">
        <w:rPr>
          <w:rFonts w:asciiTheme="minorBidi" w:hAnsiTheme="minorBidi" w:cstheme="minorBidi"/>
          <w:szCs w:val="22"/>
        </w:rPr>
        <w:t>science</w:t>
      </w:r>
      <w:r w:rsidRPr="002F2C67">
        <w:rPr>
          <w:rFonts w:asciiTheme="minorBidi" w:hAnsiTheme="minorBidi" w:cstheme="minorBidi"/>
          <w:spacing w:val="-8"/>
          <w:szCs w:val="22"/>
        </w:rPr>
        <w:t xml:space="preserve"> </w:t>
      </w:r>
      <w:r w:rsidR="004313BD" w:rsidRPr="002F2C67">
        <w:rPr>
          <w:rFonts w:asciiTheme="minorBidi" w:hAnsiTheme="minorBidi" w:cstheme="minorBidi"/>
          <w:szCs w:val="22"/>
        </w:rPr>
        <w:t xml:space="preserve">plays in </w:t>
      </w:r>
      <w:r w:rsidRPr="002F2C67">
        <w:rPr>
          <w:rFonts w:asciiTheme="minorBidi" w:hAnsiTheme="minorBidi" w:cstheme="minorBidi"/>
          <w:szCs w:val="22"/>
        </w:rPr>
        <w:t>many</w:t>
      </w:r>
      <w:r w:rsidRPr="002F2C67">
        <w:rPr>
          <w:rFonts w:asciiTheme="minorBidi" w:hAnsiTheme="minorBidi" w:cstheme="minorBidi"/>
          <w:spacing w:val="-2"/>
          <w:szCs w:val="22"/>
        </w:rPr>
        <w:t xml:space="preserve"> </w:t>
      </w:r>
      <w:r w:rsidRPr="002F2C67">
        <w:rPr>
          <w:rFonts w:asciiTheme="minorBidi" w:hAnsiTheme="minorBidi" w:cstheme="minorBidi"/>
          <w:szCs w:val="22"/>
        </w:rPr>
        <w:t>other</w:t>
      </w:r>
      <w:r w:rsidRPr="002F2C67">
        <w:rPr>
          <w:rFonts w:asciiTheme="minorBidi" w:hAnsiTheme="minorBidi" w:cstheme="minorBidi"/>
          <w:spacing w:val="1"/>
          <w:szCs w:val="22"/>
        </w:rPr>
        <w:t xml:space="preserve"> </w:t>
      </w:r>
      <w:r w:rsidRPr="002F2C67">
        <w:rPr>
          <w:rFonts w:asciiTheme="minorBidi" w:hAnsiTheme="minorBidi" w:cstheme="minorBidi"/>
          <w:szCs w:val="22"/>
        </w:rPr>
        <w:t>sectors</w:t>
      </w:r>
      <w:r w:rsidRPr="002F2C67">
        <w:rPr>
          <w:rFonts w:asciiTheme="minorBidi" w:hAnsiTheme="minorBidi" w:cstheme="minorBidi"/>
          <w:spacing w:val="1"/>
          <w:szCs w:val="22"/>
        </w:rPr>
        <w:t xml:space="preserve"> </w:t>
      </w:r>
      <w:r w:rsidRPr="002F2C67">
        <w:rPr>
          <w:rFonts w:asciiTheme="minorBidi" w:hAnsiTheme="minorBidi" w:cstheme="minorBidi"/>
          <w:szCs w:val="22"/>
        </w:rPr>
        <w:t>and domains</w:t>
      </w:r>
      <w:r w:rsidRPr="002F2C67">
        <w:rPr>
          <w:rFonts w:asciiTheme="minorBidi" w:hAnsiTheme="minorBidi" w:cstheme="minorBidi"/>
          <w:spacing w:val="-2"/>
          <w:szCs w:val="22"/>
        </w:rPr>
        <w:t xml:space="preserve"> </w:t>
      </w:r>
      <w:r w:rsidRPr="002F2C67">
        <w:rPr>
          <w:rFonts w:asciiTheme="minorBidi" w:hAnsiTheme="minorBidi" w:cstheme="minorBidi"/>
          <w:szCs w:val="22"/>
        </w:rPr>
        <w:t>of</w:t>
      </w:r>
      <w:r w:rsidRPr="002F2C67">
        <w:rPr>
          <w:rFonts w:asciiTheme="minorBidi" w:hAnsiTheme="minorBidi" w:cstheme="minorBidi"/>
          <w:spacing w:val="1"/>
          <w:szCs w:val="22"/>
        </w:rPr>
        <w:t xml:space="preserve"> </w:t>
      </w:r>
      <w:r w:rsidRPr="002F2C67">
        <w:rPr>
          <w:rFonts w:asciiTheme="minorBidi" w:hAnsiTheme="minorBidi" w:cstheme="minorBidi"/>
          <w:szCs w:val="22"/>
        </w:rPr>
        <w:t>activity.</w:t>
      </w:r>
    </w:p>
    <w:p w14:paraId="0EB4315C" w14:textId="77777777" w:rsidR="008C47A2" w:rsidRPr="002F2C67" w:rsidRDefault="00946995" w:rsidP="0080488A">
      <w:pPr>
        <w:pStyle w:val="Marge"/>
        <w:rPr>
          <w:rFonts w:asciiTheme="minorBidi" w:hAnsiTheme="minorBidi" w:cstheme="minorBidi"/>
          <w:szCs w:val="22"/>
        </w:rPr>
      </w:pPr>
      <w:r w:rsidRPr="002F2C67">
        <w:rPr>
          <w:rFonts w:asciiTheme="minorBidi" w:hAnsiTheme="minorBidi" w:cstheme="minorBidi"/>
          <w:szCs w:val="22"/>
        </w:rPr>
        <w:t xml:space="preserve">The </w:t>
      </w:r>
      <w:r w:rsidR="0085020A" w:rsidRPr="002F2C67">
        <w:rPr>
          <w:rFonts w:asciiTheme="minorBidi" w:hAnsiTheme="minorBidi" w:cstheme="minorBidi"/>
          <w:color w:val="000000" w:themeColor="text1"/>
          <w:szCs w:val="22"/>
        </w:rPr>
        <w:t>Ocean</w:t>
      </w:r>
      <w:r w:rsidR="0085020A" w:rsidRPr="002F2C67">
        <w:rPr>
          <w:rFonts w:asciiTheme="minorBidi" w:hAnsiTheme="minorBidi" w:cstheme="minorBidi"/>
          <w:szCs w:val="22"/>
        </w:rPr>
        <w:t xml:space="preserve"> </w:t>
      </w:r>
      <w:r w:rsidRPr="002F2C67">
        <w:rPr>
          <w:rFonts w:asciiTheme="minorBidi" w:hAnsiTheme="minorBidi" w:cstheme="minorBidi"/>
          <w:szCs w:val="22"/>
        </w:rPr>
        <w:t xml:space="preserve">Decade </w:t>
      </w:r>
      <w:r w:rsidR="0094514E" w:rsidRPr="002F2C67">
        <w:rPr>
          <w:rFonts w:asciiTheme="minorBidi" w:hAnsiTheme="minorBidi" w:cstheme="minorBidi"/>
          <w:szCs w:val="22"/>
        </w:rPr>
        <w:t>is designed to create an enabling environment that leads to an increase in partnerships</w:t>
      </w:r>
      <w:r w:rsidR="00C03937" w:rsidRPr="002F2C67">
        <w:rPr>
          <w:rFonts w:asciiTheme="minorBidi" w:hAnsiTheme="minorBidi" w:cstheme="minorBidi"/>
          <w:szCs w:val="22"/>
        </w:rPr>
        <w:t xml:space="preserve">, </w:t>
      </w:r>
      <w:r w:rsidR="0094514E" w:rsidRPr="002F2C67">
        <w:rPr>
          <w:rFonts w:asciiTheme="minorBidi" w:hAnsiTheme="minorBidi" w:cstheme="minorBidi"/>
          <w:szCs w:val="22"/>
        </w:rPr>
        <w:t xml:space="preserve">collaborations </w:t>
      </w:r>
      <w:r w:rsidR="00C03937" w:rsidRPr="002F2C67">
        <w:rPr>
          <w:rFonts w:asciiTheme="minorBidi" w:hAnsiTheme="minorBidi" w:cstheme="minorBidi"/>
          <w:szCs w:val="22"/>
        </w:rPr>
        <w:t xml:space="preserve">and funding for ambitious ocean science that supports the achievement of the seven </w:t>
      </w:r>
      <w:r w:rsidR="001B096D" w:rsidRPr="002F2C67">
        <w:rPr>
          <w:rFonts w:asciiTheme="minorBidi" w:hAnsiTheme="minorBidi" w:cstheme="minorBidi"/>
          <w:szCs w:val="22"/>
        </w:rPr>
        <w:t>Decade</w:t>
      </w:r>
      <w:r w:rsidR="00C03937" w:rsidRPr="002F2C67">
        <w:rPr>
          <w:rFonts w:asciiTheme="minorBidi" w:hAnsiTheme="minorBidi" w:cstheme="minorBidi"/>
          <w:szCs w:val="22"/>
        </w:rPr>
        <w:t xml:space="preserve"> Outcomes and the ten Decade Challenges. </w:t>
      </w:r>
      <w:r w:rsidR="0094514E" w:rsidRPr="002F2C67">
        <w:rPr>
          <w:rFonts w:asciiTheme="minorBidi" w:hAnsiTheme="minorBidi" w:cstheme="minorBidi"/>
          <w:szCs w:val="22"/>
        </w:rPr>
        <w:t xml:space="preserve">It is important to note that the Ocean Decade </w:t>
      </w:r>
      <w:r w:rsidRPr="002F2C67">
        <w:rPr>
          <w:rFonts w:asciiTheme="minorBidi" w:hAnsiTheme="minorBidi" w:cstheme="minorBidi"/>
          <w:szCs w:val="22"/>
        </w:rPr>
        <w:t xml:space="preserve">itself is not a funding mechanism </w:t>
      </w:r>
      <w:r w:rsidR="0094514E" w:rsidRPr="002F2C67">
        <w:rPr>
          <w:rFonts w:asciiTheme="minorBidi" w:hAnsiTheme="minorBidi" w:cstheme="minorBidi"/>
          <w:szCs w:val="22"/>
        </w:rPr>
        <w:t xml:space="preserve">nor is it </w:t>
      </w:r>
      <w:r w:rsidR="001B582E" w:rsidRPr="002F2C67">
        <w:rPr>
          <w:rFonts w:asciiTheme="minorBidi" w:hAnsiTheme="minorBidi" w:cstheme="minorBidi"/>
          <w:szCs w:val="22"/>
        </w:rPr>
        <w:t>s</w:t>
      </w:r>
      <w:r w:rsidRPr="002F2C67">
        <w:rPr>
          <w:rFonts w:asciiTheme="minorBidi" w:hAnsiTheme="minorBidi" w:cstheme="minorBidi"/>
          <w:szCs w:val="22"/>
        </w:rPr>
        <w:t>tructured to</w:t>
      </w:r>
      <w:r w:rsidRPr="002F2C67">
        <w:rPr>
          <w:rFonts w:asciiTheme="minorBidi" w:hAnsiTheme="minorBidi" w:cstheme="minorBidi"/>
          <w:spacing w:val="1"/>
          <w:szCs w:val="22"/>
        </w:rPr>
        <w:t xml:space="preserve"> </w:t>
      </w:r>
      <w:r w:rsidRPr="002F2C67">
        <w:rPr>
          <w:rFonts w:asciiTheme="minorBidi" w:hAnsiTheme="minorBidi" w:cstheme="minorBidi"/>
          <w:szCs w:val="22"/>
        </w:rPr>
        <w:t>collect</w:t>
      </w:r>
      <w:r w:rsidRPr="002F2C67">
        <w:rPr>
          <w:rFonts w:asciiTheme="minorBidi" w:hAnsiTheme="minorBidi" w:cstheme="minorBidi"/>
          <w:spacing w:val="1"/>
          <w:szCs w:val="22"/>
        </w:rPr>
        <w:t xml:space="preserve"> </w:t>
      </w:r>
      <w:r w:rsidRPr="002F2C67">
        <w:rPr>
          <w:rFonts w:asciiTheme="minorBidi" w:hAnsiTheme="minorBidi" w:cstheme="minorBidi"/>
          <w:szCs w:val="22"/>
        </w:rPr>
        <w:lastRenderedPageBreak/>
        <w:t>contributions</w:t>
      </w:r>
      <w:r w:rsidRPr="002F2C67">
        <w:rPr>
          <w:rFonts w:asciiTheme="minorBidi" w:hAnsiTheme="minorBidi" w:cstheme="minorBidi"/>
          <w:spacing w:val="1"/>
          <w:szCs w:val="22"/>
        </w:rPr>
        <w:t xml:space="preserve"> </w:t>
      </w:r>
      <w:r w:rsidRPr="002F2C67">
        <w:rPr>
          <w:rFonts w:asciiTheme="minorBidi" w:hAnsiTheme="minorBidi" w:cstheme="minorBidi"/>
          <w:szCs w:val="22"/>
        </w:rPr>
        <w:t>from</w:t>
      </w:r>
      <w:r w:rsidRPr="002F2C67">
        <w:rPr>
          <w:rFonts w:asciiTheme="minorBidi" w:hAnsiTheme="minorBidi" w:cstheme="minorBidi"/>
          <w:spacing w:val="1"/>
          <w:szCs w:val="22"/>
        </w:rPr>
        <w:t xml:space="preserve"> </w:t>
      </w:r>
      <w:r w:rsidRPr="002F2C67">
        <w:rPr>
          <w:rFonts w:asciiTheme="minorBidi" w:hAnsiTheme="minorBidi" w:cstheme="minorBidi"/>
          <w:szCs w:val="22"/>
        </w:rPr>
        <w:t>partners</w:t>
      </w:r>
      <w:r w:rsidRPr="002F2C67">
        <w:rPr>
          <w:rFonts w:asciiTheme="minorBidi" w:hAnsiTheme="minorBidi" w:cstheme="minorBidi"/>
          <w:spacing w:val="1"/>
          <w:szCs w:val="22"/>
        </w:rPr>
        <w:t xml:space="preserve"> </w:t>
      </w:r>
      <w:r w:rsidRPr="002F2C67">
        <w:rPr>
          <w:rFonts w:asciiTheme="minorBidi" w:hAnsiTheme="minorBidi" w:cstheme="minorBidi"/>
          <w:szCs w:val="22"/>
        </w:rPr>
        <w:t>that</w:t>
      </w:r>
      <w:r w:rsidRPr="002F2C67">
        <w:rPr>
          <w:rFonts w:asciiTheme="minorBidi" w:hAnsiTheme="minorBidi" w:cstheme="minorBidi"/>
          <w:spacing w:val="1"/>
          <w:szCs w:val="22"/>
        </w:rPr>
        <w:t xml:space="preserve"> </w:t>
      </w:r>
      <w:r w:rsidRPr="002F2C67">
        <w:rPr>
          <w:rFonts w:asciiTheme="minorBidi" w:hAnsiTheme="minorBidi" w:cstheme="minorBidi"/>
          <w:szCs w:val="22"/>
        </w:rPr>
        <w:t>would</w:t>
      </w:r>
      <w:r w:rsidRPr="002F2C67">
        <w:rPr>
          <w:rFonts w:asciiTheme="minorBidi" w:hAnsiTheme="minorBidi" w:cstheme="minorBidi"/>
          <w:spacing w:val="1"/>
          <w:szCs w:val="22"/>
        </w:rPr>
        <w:t xml:space="preserve"> </w:t>
      </w:r>
      <w:r w:rsidRPr="002F2C67">
        <w:rPr>
          <w:rFonts w:asciiTheme="minorBidi" w:hAnsiTheme="minorBidi" w:cstheme="minorBidi"/>
          <w:szCs w:val="22"/>
        </w:rPr>
        <w:t>be</w:t>
      </w:r>
      <w:r w:rsidRPr="002F2C67">
        <w:rPr>
          <w:rFonts w:asciiTheme="minorBidi" w:hAnsiTheme="minorBidi" w:cstheme="minorBidi"/>
          <w:spacing w:val="1"/>
          <w:szCs w:val="22"/>
        </w:rPr>
        <w:t xml:space="preserve"> </w:t>
      </w:r>
      <w:r w:rsidRPr="002F2C67">
        <w:rPr>
          <w:rFonts w:asciiTheme="minorBidi" w:hAnsiTheme="minorBidi" w:cstheme="minorBidi"/>
          <w:szCs w:val="22"/>
        </w:rPr>
        <w:t>amassed</w:t>
      </w:r>
      <w:r w:rsidRPr="002F2C67">
        <w:rPr>
          <w:rFonts w:asciiTheme="minorBidi" w:hAnsiTheme="minorBidi" w:cstheme="minorBidi"/>
          <w:spacing w:val="1"/>
          <w:szCs w:val="22"/>
        </w:rPr>
        <w:t xml:space="preserve"> </w:t>
      </w:r>
      <w:r w:rsidRPr="002F2C67">
        <w:rPr>
          <w:rFonts w:asciiTheme="minorBidi" w:hAnsiTheme="minorBidi" w:cstheme="minorBidi"/>
          <w:szCs w:val="22"/>
        </w:rPr>
        <w:t>in</w:t>
      </w:r>
      <w:r w:rsidRPr="002F2C67">
        <w:rPr>
          <w:rFonts w:asciiTheme="minorBidi" w:hAnsiTheme="minorBidi" w:cstheme="minorBidi"/>
          <w:spacing w:val="1"/>
          <w:szCs w:val="22"/>
        </w:rPr>
        <w:t xml:space="preserve"> </w:t>
      </w:r>
      <w:r w:rsidRPr="002F2C67">
        <w:rPr>
          <w:rFonts w:asciiTheme="minorBidi" w:hAnsiTheme="minorBidi" w:cstheme="minorBidi"/>
          <w:szCs w:val="22"/>
        </w:rPr>
        <w:t>a</w:t>
      </w:r>
      <w:r w:rsidRPr="002F2C67">
        <w:rPr>
          <w:rFonts w:asciiTheme="minorBidi" w:hAnsiTheme="minorBidi" w:cstheme="minorBidi"/>
          <w:spacing w:val="1"/>
          <w:szCs w:val="22"/>
        </w:rPr>
        <w:t xml:space="preserve"> </w:t>
      </w:r>
      <w:r w:rsidRPr="002F2C67">
        <w:rPr>
          <w:rFonts w:asciiTheme="minorBidi" w:hAnsiTheme="minorBidi" w:cstheme="minorBidi"/>
          <w:szCs w:val="22"/>
        </w:rPr>
        <w:t>common</w:t>
      </w:r>
      <w:r w:rsidRPr="002F2C67">
        <w:rPr>
          <w:rFonts w:asciiTheme="minorBidi" w:hAnsiTheme="minorBidi" w:cstheme="minorBidi"/>
          <w:spacing w:val="1"/>
          <w:szCs w:val="22"/>
        </w:rPr>
        <w:t xml:space="preserve"> </w:t>
      </w:r>
      <w:r w:rsidRPr="002F2C67">
        <w:rPr>
          <w:rFonts w:asciiTheme="minorBidi" w:hAnsiTheme="minorBidi" w:cstheme="minorBidi"/>
          <w:szCs w:val="22"/>
        </w:rPr>
        <w:t>pool</w:t>
      </w:r>
      <w:r w:rsidRPr="002F2C67">
        <w:rPr>
          <w:rFonts w:asciiTheme="minorBidi" w:hAnsiTheme="minorBidi" w:cstheme="minorBidi"/>
          <w:spacing w:val="1"/>
          <w:szCs w:val="22"/>
        </w:rPr>
        <w:t xml:space="preserve"> </w:t>
      </w:r>
      <w:r w:rsidRPr="002F2C67">
        <w:rPr>
          <w:rFonts w:asciiTheme="minorBidi" w:hAnsiTheme="minorBidi" w:cstheme="minorBidi"/>
          <w:szCs w:val="22"/>
        </w:rPr>
        <w:t>of</w:t>
      </w:r>
      <w:r w:rsidRPr="002F2C67">
        <w:rPr>
          <w:rFonts w:asciiTheme="minorBidi" w:hAnsiTheme="minorBidi" w:cstheme="minorBidi"/>
          <w:spacing w:val="1"/>
          <w:szCs w:val="22"/>
        </w:rPr>
        <w:t xml:space="preserve"> </w:t>
      </w:r>
      <w:r w:rsidRPr="002F2C67">
        <w:rPr>
          <w:rFonts w:asciiTheme="minorBidi" w:hAnsiTheme="minorBidi" w:cstheme="minorBidi"/>
          <w:szCs w:val="22"/>
        </w:rPr>
        <w:t>financial</w:t>
      </w:r>
      <w:r w:rsidRPr="002F2C67">
        <w:rPr>
          <w:rFonts w:asciiTheme="minorBidi" w:hAnsiTheme="minorBidi" w:cstheme="minorBidi"/>
          <w:spacing w:val="1"/>
          <w:szCs w:val="22"/>
        </w:rPr>
        <w:t xml:space="preserve"> </w:t>
      </w:r>
      <w:r w:rsidRPr="002F2C67">
        <w:rPr>
          <w:rFonts w:asciiTheme="minorBidi" w:hAnsiTheme="minorBidi" w:cstheme="minorBidi"/>
          <w:szCs w:val="22"/>
        </w:rPr>
        <w:t xml:space="preserve">resources. </w:t>
      </w:r>
      <w:r w:rsidR="001B096D" w:rsidRPr="002F2C67">
        <w:rPr>
          <w:rFonts w:asciiTheme="minorBidi" w:hAnsiTheme="minorBidi" w:cstheme="minorBidi"/>
          <w:szCs w:val="22"/>
        </w:rPr>
        <w:t>T</w:t>
      </w:r>
      <w:r w:rsidRPr="002F2C67">
        <w:rPr>
          <w:rFonts w:asciiTheme="minorBidi" w:hAnsiTheme="minorBidi" w:cstheme="minorBidi"/>
          <w:szCs w:val="22"/>
        </w:rPr>
        <w:t xml:space="preserve">he </w:t>
      </w:r>
      <w:r w:rsidR="001B096D" w:rsidRPr="002F2C67">
        <w:rPr>
          <w:rFonts w:asciiTheme="minorBidi" w:hAnsiTheme="minorBidi" w:cstheme="minorBidi"/>
          <w:szCs w:val="22"/>
        </w:rPr>
        <w:t xml:space="preserve">strategic </w:t>
      </w:r>
      <w:r w:rsidRPr="002F2C67">
        <w:rPr>
          <w:rFonts w:asciiTheme="minorBidi" w:hAnsiTheme="minorBidi" w:cstheme="minorBidi"/>
          <w:szCs w:val="22"/>
        </w:rPr>
        <w:t xml:space="preserve">approach of the </w:t>
      </w:r>
      <w:r w:rsidR="0085020A" w:rsidRPr="002F2C67">
        <w:rPr>
          <w:rFonts w:asciiTheme="minorBidi" w:hAnsiTheme="minorBidi" w:cstheme="minorBidi"/>
          <w:szCs w:val="22"/>
        </w:rPr>
        <w:t xml:space="preserve">Ocean </w:t>
      </w:r>
      <w:r w:rsidRPr="002F2C67">
        <w:rPr>
          <w:rFonts w:asciiTheme="minorBidi" w:hAnsiTheme="minorBidi" w:cstheme="minorBidi"/>
          <w:szCs w:val="22"/>
        </w:rPr>
        <w:t xml:space="preserve">Decade </w:t>
      </w:r>
      <w:r w:rsidR="001B096D" w:rsidRPr="002F2C67">
        <w:rPr>
          <w:rFonts w:asciiTheme="minorBidi" w:hAnsiTheme="minorBidi" w:cstheme="minorBidi"/>
          <w:szCs w:val="22"/>
        </w:rPr>
        <w:t xml:space="preserve">to resource mobilisation </w:t>
      </w:r>
      <w:r w:rsidRPr="002F2C67">
        <w:rPr>
          <w:rFonts w:asciiTheme="minorBidi" w:hAnsiTheme="minorBidi" w:cstheme="minorBidi"/>
          <w:szCs w:val="22"/>
        </w:rPr>
        <w:t xml:space="preserve">will be to </w:t>
      </w:r>
      <w:r w:rsidR="004313BD" w:rsidRPr="002F2C67">
        <w:rPr>
          <w:rFonts w:asciiTheme="minorBidi" w:hAnsiTheme="minorBidi" w:cstheme="minorBidi"/>
          <w:szCs w:val="22"/>
        </w:rPr>
        <w:t xml:space="preserve">increase and intensify </w:t>
      </w:r>
      <w:r w:rsidRPr="002F2C67">
        <w:rPr>
          <w:rFonts w:asciiTheme="minorBidi" w:hAnsiTheme="minorBidi" w:cstheme="minorBidi"/>
          <w:szCs w:val="22"/>
        </w:rPr>
        <w:t>engagement efforts to</w:t>
      </w:r>
      <w:r w:rsidRPr="002F2C67">
        <w:rPr>
          <w:rFonts w:asciiTheme="minorBidi" w:hAnsiTheme="minorBidi" w:cstheme="minorBidi"/>
          <w:spacing w:val="1"/>
          <w:szCs w:val="22"/>
        </w:rPr>
        <w:t xml:space="preserve"> </w:t>
      </w:r>
      <w:r w:rsidRPr="002F2C67">
        <w:rPr>
          <w:rFonts w:asciiTheme="minorBidi" w:hAnsiTheme="minorBidi" w:cstheme="minorBidi"/>
          <w:szCs w:val="22"/>
        </w:rPr>
        <w:t>encourage</w:t>
      </w:r>
      <w:r w:rsidRPr="002F2C67">
        <w:rPr>
          <w:rFonts w:asciiTheme="minorBidi" w:hAnsiTheme="minorBidi" w:cstheme="minorBidi"/>
          <w:spacing w:val="-1"/>
          <w:szCs w:val="22"/>
        </w:rPr>
        <w:t xml:space="preserve"> </w:t>
      </w:r>
      <w:r w:rsidRPr="002F2C67">
        <w:rPr>
          <w:rFonts w:asciiTheme="minorBidi" w:hAnsiTheme="minorBidi" w:cstheme="minorBidi"/>
          <w:szCs w:val="22"/>
        </w:rPr>
        <w:t>partners</w:t>
      </w:r>
      <w:r w:rsidRPr="002F2C67">
        <w:rPr>
          <w:rFonts w:asciiTheme="minorBidi" w:hAnsiTheme="minorBidi" w:cstheme="minorBidi"/>
          <w:spacing w:val="-4"/>
          <w:szCs w:val="22"/>
        </w:rPr>
        <w:t xml:space="preserve"> </w:t>
      </w:r>
      <w:r w:rsidRPr="002F2C67">
        <w:rPr>
          <w:rFonts w:asciiTheme="minorBidi" w:hAnsiTheme="minorBidi" w:cstheme="minorBidi"/>
          <w:szCs w:val="22"/>
        </w:rPr>
        <w:t>to</w:t>
      </w:r>
      <w:r w:rsidRPr="002F2C67">
        <w:rPr>
          <w:rFonts w:asciiTheme="minorBidi" w:hAnsiTheme="minorBidi" w:cstheme="minorBidi"/>
          <w:spacing w:val="-2"/>
          <w:szCs w:val="22"/>
        </w:rPr>
        <w:t xml:space="preserve"> </w:t>
      </w:r>
      <w:r w:rsidRPr="002F2C67">
        <w:rPr>
          <w:rFonts w:asciiTheme="minorBidi" w:hAnsiTheme="minorBidi" w:cstheme="minorBidi"/>
          <w:szCs w:val="22"/>
        </w:rPr>
        <w:t xml:space="preserve">align their funding and support strategies with identified </w:t>
      </w:r>
      <w:r w:rsidR="0085020A" w:rsidRPr="002F2C67">
        <w:rPr>
          <w:rFonts w:asciiTheme="minorBidi" w:hAnsiTheme="minorBidi" w:cstheme="minorBidi"/>
          <w:szCs w:val="22"/>
        </w:rPr>
        <w:t xml:space="preserve">Ocean </w:t>
      </w:r>
      <w:r w:rsidRPr="002F2C67">
        <w:rPr>
          <w:rFonts w:asciiTheme="minorBidi" w:hAnsiTheme="minorBidi" w:cstheme="minorBidi"/>
          <w:szCs w:val="22"/>
        </w:rPr>
        <w:t>Decade priorities</w:t>
      </w:r>
      <w:r w:rsidR="00C815A1" w:rsidRPr="002F2C67">
        <w:rPr>
          <w:rFonts w:asciiTheme="minorBidi" w:hAnsiTheme="minorBidi" w:cstheme="minorBidi"/>
          <w:szCs w:val="22"/>
        </w:rPr>
        <w:t>.</w:t>
      </w:r>
    </w:p>
    <w:p w14:paraId="31D6470D" w14:textId="77777777" w:rsidR="008C47A2" w:rsidRPr="002F2C67" w:rsidRDefault="00946995" w:rsidP="0080488A">
      <w:pPr>
        <w:pStyle w:val="Marge"/>
        <w:rPr>
          <w:rFonts w:asciiTheme="minorBidi" w:hAnsiTheme="minorBidi" w:cstheme="minorBidi"/>
          <w:szCs w:val="22"/>
        </w:rPr>
      </w:pPr>
      <w:r w:rsidRPr="002F2C67">
        <w:rPr>
          <w:rFonts w:asciiTheme="minorBidi" w:hAnsiTheme="minorBidi" w:cstheme="minorBidi"/>
          <w:szCs w:val="22"/>
        </w:rPr>
        <w:t xml:space="preserve">To mobilise resources at a level that meets its ambition, the </w:t>
      </w:r>
      <w:r w:rsidR="0085020A" w:rsidRPr="002F2C67">
        <w:rPr>
          <w:rFonts w:asciiTheme="minorBidi" w:hAnsiTheme="minorBidi" w:cstheme="minorBidi"/>
          <w:szCs w:val="22"/>
        </w:rPr>
        <w:t xml:space="preserve">Ocean </w:t>
      </w:r>
      <w:r w:rsidRPr="002F2C67">
        <w:rPr>
          <w:rFonts w:asciiTheme="minorBidi" w:hAnsiTheme="minorBidi" w:cstheme="minorBidi"/>
          <w:szCs w:val="22"/>
        </w:rPr>
        <w:t>Decade needs to present a</w:t>
      </w:r>
      <w:r w:rsidRPr="002F2C67">
        <w:rPr>
          <w:rFonts w:asciiTheme="minorBidi" w:hAnsiTheme="minorBidi" w:cstheme="minorBidi"/>
          <w:spacing w:val="1"/>
          <w:szCs w:val="22"/>
        </w:rPr>
        <w:t xml:space="preserve"> </w:t>
      </w:r>
      <w:r w:rsidRPr="002F2C67">
        <w:rPr>
          <w:rFonts w:asciiTheme="minorBidi" w:hAnsiTheme="minorBidi" w:cstheme="minorBidi"/>
          <w:szCs w:val="22"/>
        </w:rPr>
        <w:t>clear</w:t>
      </w:r>
      <w:r w:rsidRPr="002F2C67">
        <w:rPr>
          <w:rFonts w:asciiTheme="minorBidi" w:hAnsiTheme="minorBidi" w:cstheme="minorBidi"/>
          <w:spacing w:val="1"/>
          <w:szCs w:val="22"/>
        </w:rPr>
        <w:t xml:space="preserve"> </w:t>
      </w:r>
      <w:r w:rsidRPr="002F2C67">
        <w:rPr>
          <w:rFonts w:asciiTheme="minorBidi" w:hAnsiTheme="minorBidi" w:cstheme="minorBidi"/>
          <w:szCs w:val="22"/>
        </w:rPr>
        <w:t xml:space="preserve">and robust value proposition to attract funding and resource partners and generate excitement to become part of the ocean science revolution throughout the </w:t>
      </w:r>
      <w:r w:rsidR="0085020A" w:rsidRPr="002F2C67">
        <w:rPr>
          <w:rFonts w:asciiTheme="minorBidi" w:hAnsiTheme="minorBidi" w:cstheme="minorBidi"/>
          <w:szCs w:val="22"/>
        </w:rPr>
        <w:t xml:space="preserve">Ocean </w:t>
      </w:r>
      <w:r w:rsidRPr="002F2C67">
        <w:rPr>
          <w:rFonts w:asciiTheme="minorBidi" w:hAnsiTheme="minorBidi" w:cstheme="minorBidi"/>
          <w:szCs w:val="22"/>
        </w:rPr>
        <w:t xml:space="preserve">Decade and beyond. The value proposition for funding and resource providers is that they will be part of a global, </w:t>
      </w:r>
      <w:r w:rsidR="0085020A" w:rsidRPr="002F2C67">
        <w:rPr>
          <w:rFonts w:asciiTheme="minorBidi" w:hAnsiTheme="minorBidi" w:cstheme="minorBidi"/>
          <w:szCs w:val="22"/>
        </w:rPr>
        <w:t>highly</w:t>
      </w:r>
      <w:r w:rsidR="00F50251" w:rsidRPr="002F2C67">
        <w:rPr>
          <w:rFonts w:asciiTheme="minorBidi" w:hAnsiTheme="minorBidi" w:cstheme="minorBidi"/>
          <w:szCs w:val="22"/>
        </w:rPr>
        <w:t xml:space="preserve"> </w:t>
      </w:r>
      <w:r w:rsidR="0085020A" w:rsidRPr="002F2C67">
        <w:rPr>
          <w:rFonts w:asciiTheme="minorBidi" w:hAnsiTheme="minorBidi" w:cstheme="minorBidi"/>
          <w:szCs w:val="22"/>
        </w:rPr>
        <w:t>visible</w:t>
      </w:r>
      <w:r w:rsidRPr="002F2C67">
        <w:rPr>
          <w:rFonts w:asciiTheme="minorBidi" w:hAnsiTheme="minorBidi" w:cstheme="minorBidi"/>
          <w:szCs w:val="22"/>
        </w:rPr>
        <w:t xml:space="preserve"> and long-term collective effort </w:t>
      </w:r>
      <w:r w:rsidR="00C03937" w:rsidRPr="002F2C67">
        <w:rPr>
          <w:rFonts w:asciiTheme="minorBidi" w:hAnsiTheme="minorBidi" w:cstheme="minorBidi"/>
          <w:szCs w:val="22"/>
        </w:rPr>
        <w:t xml:space="preserve">that helps deliver progress toward achieving the </w:t>
      </w:r>
      <w:r w:rsidR="001B096D" w:rsidRPr="002F2C67">
        <w:rPr>
          <w:rFonts w:asciiTheme="minorBidi" w:hAnsiTheme="minorBidi" w:cstheme="minorBidi"/>
          <w:szCs w:val="22"/>
        </w:rPr>
        <w:t xml:space="preserve">full range of </w:t>
      </w:r>
      <w:r w:rsidR="00C03937" w:rsidRPr="002F2C67">
        <w:rPr>
          <w:rFonts w:asciiTheme="minorBidi" w:hAnsiTheme="minorBidi" w:cstheme="minorBidi"/>
          <w:szCs w:val="22"/>
        </w:rPr>
        <w:t xml:space="preserve">Sustainable Development Goals while </w:t>
      </w:r>
      <w:r w:rsidRPr="002F2C67">
        <w:rPr>
          <w:rFonts w:asciiTheme="minorBidi" w:hAnsiTheme="minorBidi" w:cstheme="minorBidi"/>
          <w:szCs w:val="22"/>
        </w:rPr>
        <w:t>allow</w:t>
      </w:r>
      <w:r w:rsidR="00C03937" w:rsidRPr="002F2C67">
        <w:rPr>
          <w:rFonts w:asciiTheme="minorBidi" w:hAnsiTheme="minorBidi" w:cstheme="minorBidi"/>
          <w:szCs w:val="22"/>
        </w:rPr>
        <w:t>ing</w:t>
      </w:r>
      <w:r w:rsidRPr="002F2C67">
        <w:rPr>
          <w:rFonts w:asciiTheme="minorBidi" w:hAnsiTheme="minorBidi" w:cstheme="minorBidi"/>
          <w:szCs w:val="22"/>
        </w:rPr>
        <w:t xml:space="preserve"> them to create greater impact than if they </w:t>
      </w:r>
      <w:r w:rsidR="0085020A" w:rsidRPr="002F2C67">
        <w:rPr>
          <w:rFonts w:asciiTheme="minorBidi" w:hAnsiTheme="minorBidi" w:cstheme="minorBidi"/>
          <w:szCs w:val="22"/>
        </w:rPr>
        <w:t xml:space="preserve">were </w:t>
      </w:r>
      <w:r w:rsidRPr="002F2C67">
        <w:rPr>
          <w:rFonts w:asciiTheme="minorBidi" w:hAnsiTheme="minorBidi" w:cstheme="minorBidi"/>
          <w:szCs w:val="22"/>
        </w:rPr>
        <w:t xml:space="preserve">working alone. It will </w:t>
      </w:r>
      <w:r w:rsidR="0085020A" w:rsidRPr="002F2C67">
        <w:rPr>
          <w:rFonts w:asciiTheme="minorBidi" w:hAnsiTheme="minorBidi" w:cstheme="minorBidi"/>
          <w:szCs w:val="22"/>
        </w:rPr>
        <w:t xml:space="preserve">also </w:t>
      </w:r>
      <w:r w:rsidRPr="002F2C67">
        <w:rPr>
          <w:rFonts w:asciiTheme="minorBidi" w:hAnsiTheme="minorBidi" w:cstheme="minorBidi"/>
          <w:szCs w:val="22"/>
        </w:rPr>
        <w:t xml:space="preserve">allow them to collaborate and establish new partnerships both with fellow funders and resource providers, and with new recipients of funding and resources. The </w:t>
      </w:r>
      <w:r w:rsidR="00F50251" w:rsidRPr="002F2C67">
        <w:rPr>
          <w:rFonts w:asciiTheme="minorBidi" w:hAnsiTheme="minorBidi" w:cstheme="minorBidi"/>
          <w:szCs w:val="22"/>
        </w:rPr>
        <w:t xml:space="preserve">Ocean </w:t>
      </w:r>
      <w:r w:rsidRPr="002F2C67">
        <w:rPr>
          <w:rFonts w:asciiTheme="minorBidi" w:hAnsiTheme="minorBidi" w:cstheme="minorBidi"/>
          <w:szCs w:val="22"/>
        </w:rPr>
        <w:t>Decade allows them to join this common effort while maintaining a focus on their own geographical or</w:t>
      </w:r>
      <w:r w:rsidR="001359DC" w:rsidRPr="002F2C67">
        <w:rPr>
          <w:rFonts w:asciiTheme="minorBidi" w:hAnsiTheme="minorBidi" w:cstheme="minorBidi"/>
          <w:szCs w:val="22"/>
        </w:rPr>
        <w:t xml:space="preserve"> thematic priorities and continuing to adopt their own processes and procedures for the identification and administration of their support.</w:t>
      </w:r>
    </w:p>
    <w:p w14:paraId="04709325" w14:textId="77777777" w:rsidR="00141C32" w:rsidRPr="002F2C67" w:rsidRDefault="00715C5A" w:rsidP="0080488A">
      <w:pPr>
        <w:pStyle w:val="Marge"/>
        <w:rPr>
          <w:rFonts w:asciiTheme="minorBidi" w:hAnsiTheme="minorBidi" w:cstheme="minorBidi"/>
          <w:szCs w:val="22"/>
        </w:rPr>
      </w:pPr>
      <w:r w:rsidRPr="002F2C67">
        <w:rPr>
          <w:rFonts w:asciiTheme="minorBidi" w:hAnsiTheme="minorBidi" w:cstheme="minorBidi"/>
          <w:color w:val="000000" w:themeColor="text1"/>
          <w:szCs w:val="22"/>
        </w:rPr>
        <w:t>A</w:t>
      </w:r>
      <w:r w:rsidR="001359DC" w:rsidRPr="002F2C67">
        <w:rPr>
          <w:rFonts w:asciiTheme="minorBidi" w:hAnsiTheme="minorBidi" w:cstheme="minorBidi"/>
          <w:color w:val="000000" w:themeColor="text1"/>
          <w:szCs w:val="22"/>
        </w:rPr>
        <w:t>ll ongoing Resource Mobilization efforts for the Ocean Decade are intended to align with UNESCO’s Resource Mobilization Strategy</w:t>
      </w:r>
      <w:r w:rsidR="001B582E" w:rsidRPr="002F2C67">
        <w:rPr>
          <w:rFonts w:asciiTheme="minorBidi" w:hAnsiTheme="minorBidi" w:cstheme="minorBidi"/>
          <w:color w:val="000000" w:themeColor="text1"/>
          <w:szCs w:val="22"/>
        </w:rPr>
        <w:t xml:space="preserve">. </w:t>
      </w:r>
      <w:r w:rsidR="000829F7" w:rsidRPr="002F2C67">
        <w:rPr>
          <w:rFonts w:asciiTheme="minorBidi" w:hAnsiTheme="minorBidi" w:cstheme="minorBidi"/>
          <w:color w:val="000000" w:themeColor="text1"/>
          <w:szCs w:val="22"/>
        </w:rPr>
        <w:t xml:space="preserve">This document has been prepared as a pre-cursor to a detailed Ocean Decade Resource Mobilisation Strategy that will be prepared in the second half of 2021. </w:t>
      </w:r>
    </w:p>
    <w:p w14:paraId="6DC9A89D" w14:textId="77777777" w:rsidR="00547876" w:rsidRPr="002F2C67" w:rsidRDefault="00F948B0" w:rsidP="002F2C67">
      <w:pPr>
        <w:pStyle w:val="Heading2"/>
        <w:snapToGrid w:val="0"/>
        <w:spacing w:before="0" w:after="240"/>
        <w:rPr>
          <w:rFonts w:asciiTheme="minorBidi" w:hAnsiTheme="minorBidi" w:cstheme="minorBidi"/>
          <w:sz w:val="22"/>
          <w:szCs w:val="22"/>
        </w:rPr>
      </w:pPr>
      <w:bookmarkStart w:id="2" w:name="_Toc73968034"/>
      <w:r w:rsidRPr="002F2C67">
        <w:rPr>
          <w:rFonts w:asciiTheme="minorBidi" w:hAnsiTheme="minorBidi" w:cstheme="minorBidi"/>
          <w:sz w:val="22"/>
          <w:szCs w:val="22"/>
        </w:rPr>
        <w:t xml:space="preserve">Current </w:t>
      </w:r>
      <w:r w:rsidR="00547876" w:rsidRPr="002F2C67">
        <w:rPr>
          <w:rFonts w:asciiTheme="minorBidi" w:hAnsiTheme="minorBidi" w:cstheme="minorBidi"/>
          <w:sz w:val="22"/>
          <w:szCs w:val="22"/>
        </w:rPr>
        <w:t>Funding for Ocean Science</w:t>
      </w:r>
      <w:bookmarkEnd w:id="2"/>
    </w:p>
    <w:p w14:paraId="6C567563" w14:textId="77777777" w:rsidR="008C47A2" w:rsidRPr="002F2C67" w:rsidRDefault="00547876"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Currently, national governments are the key sources of financing for ocean science. </w:t>
      </w:r>
      <w:r w:rsidR="004972A0" w:rsidRPr="002F2C67">
        <w:rPr>
          <w:rFonts w:asciiTheme="minorBidi" w:hAnsiTheme="minorBidi" w:cstheme="minorBidi"/>
          <w:color w:val="000000" w:themeColor="text1"/>
          <w:szCs w:val="22"/>
        </w:rPr>
        <w:t xml:space="preserve">The 2020 Global Ocean Science Report </w:t>
      </w:r>
      <w:r w:rsidRPr="002F2C67">
        <w:rPr>
          <w:rFonts w:asciiTheme="minorBidi" w:hAnsiTheme="minorBidi" w:cstheme="minorBidi"/>
          <w:color w:val="000000" w:themeColor="text1"/>
          <w:szCs w:val="22"/>
        </w:rPr>
        <w:t xml:space="preserve">(GOSR2020) </w:t>
      </w:r>
      <w:r w:rsidR="004972A0" w:rsidRPr="002F2C67">
        <w:rPr>
          <w:rFonts w:asciiTheme="minorBidi" w:hAnsiTheme="minorBidi" w:cstheme="minorBidi"/>
          <w:color w:val="000000" w:themeColor="text1"/>
          <w:szCs w:val="22"/>
        </w:rPr>
        <w:t>found that the share of gross domestic expenditure on research and development (GERD) dedicated to ocean science is quite low. On average, around 1.7% of total GERD was attributed to ocean science in 2017, with shares ranging from around 0.03% to 11.8%. Peru (11.8%) is the leading country in this respect, followed by South Africa (5.6%), Ireland (5.3%), Norway (4.4%) and Portugal (3.5%)</w:t>
      </w:r>
      <w:r w:rsidR="001B582E" w:rsidRPr="002F2C67">
        <w:rPr>
          <w:rStyle w:val="FootnoteReference"/>
          <w:rFonts w:asciiTheme="minorBidi" w:hAnsiTheme="minorBidi" w:cstheme="minorBidi"/>
          <w:color w:val="000000" w:themeColor="text1"/>
          <w:szCs w:val="22"/>
        </w:rPr>
        <w:footnoteReference w:id="2"/>
      </w:r>
      <w:r w:rsidR="004972A0" w:rsidRPr="002F2C67">
        <w:rPr>
          <w:rFonts w:asciiTheme="minorBidi" w:hAnsiTheme="minorBidi" w:cstheme="minorBidi"/>
          <w:color w:val="000000" w:themeColor="text1"/>
          <w:szCs w:val="22"/>
        </w:rPr>
        <w:t xml:space="preserve">. </w:t>
      </w:r>
    </w:p>
    <w:p w14:paraId="4BE23599" w14:textId="77777777" w:rsidR="008C47A2" w:rsidRPr="002F2C67" w:rsidRDefault="00A946F0"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availability and allocation of funding for ocean science continues to vary widely between </w:t>
      </w:r>
      <w:r w:rsidR="00B65D16" w:rsidRPr="002F2C67">
        <w:rPr>
          <w:rFonts w:asciiTheme="minorBidi" w:hAnsiTheme="minorBidi" w:cstheme="minorBidi"/>
          <w:color w:val="000000" w:themeColor="text1"/>
          <w:szCs w:val="22"/>
        </w:rPr>
        <w:t>c</w:t>
      </w:r>
      <w:r w:rsidRPr="002F2C67">
        <w:rPr>
          <w:rFonts w:asciiTheme="minorBidi" w:hAnsiTheme="minorBidi" w:cstheme="minorBidi"/>
          <w:color w:val="000000" w:themeColor="text1"/>
          <w:szCs w:val="22"/>
        </w:rPr>
        <w:t>ountries and regions, with much lower budgets in developing countries. Based on the results of the GOSR2020 questionnaire, the U</w:t>
      </w:r>
      <w:r w:rsidR="00547876" w:rsidRPr="002F2C67">
        <w:rPr>
          <w:rFonts w:asciiTheme="minorBidi" w:hAnsiTheme="minorBidi" w:cstheme="minorBidi"/>
          <w:color w:val="000000" w:themeColor="text1"/>
          <w:szCs w:val="22"/>
        </w:rPr>
        <w:t xml:space="preserve">nited States </w:t>
      </w:r>
      <w:r w:rsidRPr="002F2C67">
        <w:rPr>
          <w:rFonts w:asciiTheme="minorBidi" w:hAnsiTheme="minorBidi" w:cstheme="minorBidi"/>
          <w:color w:val="000000" w:themeColor="text1"/>
          <w:szCs w:val="22"/>
        </w:rPr>
        <w:t>report</w:t>
      </w:r>
      <w:r w:rsidR="00547876" w:rsidRPr="002F2C67">
        <w:rPr>
          <w:rFonts w:asciiTheme="minorBidi" w:hAnsiTheme="minorBidi" w:cstheme="minorBidi"/>
          <w:color w:val="000000" w:themeColor="text1"/>
          <w:szCs w:val="22"/>
        </w:rPr>
        <w:t>ed</w:t>
      </w:r>
      <w:r w:rsidRPr="002F2C67">
        <w:rPr>
          <w:rFonts w:asciiTheme="minorBidi" w:hAnsiTheme="minorBidi" w:cstheme="minorBidi"/>
          <w:color w:val="000000" w:themeColor="text1"/>
          <w:szCs w:val="22"/>
        </w:rPr>
        <w:t xml:space="preserve"> the highest budget for ocean and coastal activities, a figure which includes ocean science as well as other ocean and coastal government programs, with more than US$12 billion, followed by Japan (US$600 million) and Australia (US$511 million) in 2017. Six countries allocate budgets of over US$200 million to ocean science: Norway (US$367 million), France (US$333 million), Germany (US$312 million), the UK (US$293 million), the Republic of Korea (US$228 million) and Canada (US$220 million)</w:t>
      </w:r>
      <w:r w:rsidR="001B582E" w:rsidRPr="002F2C67">
        <w:rPr>
          <w:rStyle w:val="FootnoteReference"/>
          <w:rFonts w:asciiTheme="minorBidi" w:hAnsiTheme="minorBidi" w:cstheme="minorBidi"/>
          <w:color w:val="000000" w:themeColor="text1"/>
          <w:szCs w:val="22"/>
        </w:rPr>
        <w:footnoteReference w:id="3"/>
      </w:r>
      <w:r w:rsidRPr="002F2C67">
        <w:rPr>
          <w:rFonts w:asciiTheme="minorBidi" w:hAnsiTheme="minorBidi" w:cstheme="minorBidi"/>
          <w:color w:val="000000" w:themeColor="text1"/>
          <w:szCs w:val="22"/>
        </w:rPr>
        <w:t>.</w:t>
      </w:r>
    </w:p>
    <w:p w14:paraId="402F184E" w14:textId="77777777" w:rsidR="008C47A2" w:rsidRPr="002F2C67" w:rsidRDefault="009D5C1F"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Private and corporate p</w:t>
      </w:r>
      <w:r w:rsidR="00FE0DC1" w:rsidRPr="002F2C67">
        <w:rPr>
          <w:rFonts w:asciiTheme="minorBidi" w:hAnsiTheme="minorBidi" w:cstheme="minorBidi"/>
          <w:color w:val="000000" w:themeColor="text1"/>
          <w:szCs w:val="22"/>
        </w:rPr>
        <w:t>hilanthropy has emerged as a</w:t>
      </w:r>
      <w:r w:rsidR="00DA446D" w:rsidRPr="002F2C67">
        <w:rPr>
          <w:rFonts w:asciiTheme="minorBidi" w:hAnsiTheme="minorBidi" w:cstheme="minorBidi"/>
          <w:color w:val="000000" w:themeColor="text1"/>
          <w:szCs w:val="22"/>
        </w:rPr>
        <w:t xml:space="preserve"> key source for </w:t>
      </w:r>
      <w:r w:rsidR="00FE0DC1" w:rsidRPr="002F2C67">
        <w:rPr>
          <w:rFonts w:asciiTheme="minorBidi" w:hAnsiTheme="minorBidi" w:cstheme="minorBidi"/>
          <w:color w:val="000000" w:themeColor="text1"/>
          <w:szCs w:val="22"/>
        </w:rPr>
        <w:t>funding of ocean</w:t>
      </w:r>
      <w:r w:rsidR="00DA446D" w:rsidRPr="002F2C67">
        <w:rPr>
          <w:rFonts w:asciiTheme="minorBidi" w:hAnsiTheme="minorBidi" w:cstheme="minorBidi"/>
          <w:color w:val="000000" w:themeColor="text1"/>
          <w:szCs w:val="22"/>
        </w:rPr>
        <w:t xml:space="preserve"> </w:t>
      </w:r>
      <w:r w:rsidR="00FE0DC1" w:rsidRPr="002F2C67">
        <w:rPr>
          <w:rFonts w:asciiTheme="minorBidi" w:hAnsiTheme="minorBidi" w:cstheme="minorBidi"/>
          <w:color w:val="000000" w:themeColor="text1"/>
          <w:szCs w:val="22"/>
        </w:rPr>
        <w:t xml:space="preserve">programs, including ocean science. </w:t>
      </w:r>
      <w:r w:rsidRPr="002F2C67">
        <w:rPr>
          <w:rFonts w:asciiTheme="minorBidi" w:hAnsiTheme="minorBidi" w:cstheme="minorBidi"/>
          <w:color w:val="000000" w:themeColor="text1"/>
          <w:szCs w:val="22"/>
        </w:rPr>
        <w:t xml:space="preserve">Based on grant data collected by the Foundation Centre, </w:t>
      </w:r>
      <w:r w:rsidR="00FE0DC1" w:rsidRPr="002F2C67">
        <w:rPr>
          <w:rFonts w:asciiTheme="minorBidi" w:hAnsiTheme="minorBidi" w:cstheme="minorBidi"/>
          <w:color w:val="000000" w:themeColor="text1"/>
          <w:szCs w:val="22"/>
        </w:rPr>
        <w:t>a</w:t>
      </w:r>
      <w:r w:rsidR="00A946F0" w:rsidRPr="002F2C67">
        <w:rPr>
          <w:rFonts w:asciiTheme="minorBidi" w:hAnsiTheme="minorBidi" w:cstheme="minorBidi"/>
          <w:color w:val="000000" w:themeColor="text1"/>
          <w:szCs w:val="22"/>
        </w:rPr>
        <w:t>pproximately US$500.5 million were allocated to ocean-related projects in 2017, out of which US$149.4 million were allocated to more than 1,000 marine science projects. Over the five years from 2013 to 2017, private foundations and donors provided around US$668.2 million to marine science projects through more than 6,000 different grants</w:t>
      </w:r>
      <w:r w:rsidR="001B582E" w:rsidRPr="002F2C67">
        <w:rPr>
          <w:rStyle w:val="FootnoteReference"/>
          <w:rFonts w:asciiTheme="minorBidi" w:hAnsiTheme="minorBidi" w:cstheme="minorBidi"/>
          <w:color w:val="000000" w:themeColor="text1"/>
          <w:szCs w:val="22"/>
        </w:rPr>
        <w:footnoteReference w:id="4"/>
      </w:r>
      <w:r w:rsidR="00A946F0" w:rsidRPr="002F2C67">
        <w:rPr>
          <w:rFonts w:asciiTheme="minorBidi" w:hAnsiTheme="minorBidi" w:cstheme="minorBidi"/>
          <w:color w:val="000000" w:themeColor="text1"/>
          <w:szCs w:val="22"/>
        </w:rPr>
        <w:t>.</w:t>
      </w:r>
    </w:p>
    <w:p w14:paraId="69C44D7D" w14:textId="77777777" w:rsidR="009D5C1F" w:rsidRPr="002F2C67" w:rsidRDefault="0028518B"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lastRenderedPageBreak/>
        <w:t>While t</w:t>
      </w:r>
      <w:r w:rsidR="009D5C1F" w:rsidRPr="002F2C67">
        <w:rPr>
          <w:rFonts w:asciiTheme="minorBidi" w:hAnsiTheme="minorBidi" w:cstheme="minorBidi"/>
          <w:color w:val="000000" w:themeColor="text1"/>
          <w:szCs w:val="22"/>
        </w:rPr>
        <w:t>he private sector is increasingly contributing to funding ocean science programmes, directly and indirectly</w:t>
      </w:r>
      <w:r w:rsidRPr="002F2C67">
        <w:rPr>
          <w:rFonts w:asciiTheme="minorBidi" w:hAnsiTheme="minorBidi" w:cstheme="minorBidi"/>
          <w:color w:val="000000" w:themeColor="text1"/>
          <w:szCs w:val="22"/>
        </w:rPr>
        <w:t xml:space="preserve">, there is no current quantification </w:t>
      </w:r>
      <w:r w:rsidR="0045032F" w:rsidRPr="002F2C67">
        <w:rPr>
          <w:rFonts w:asciiTheme="minorBidi" w:hAnsiTheme="minorBidi" w:cstheme="minorBidi"/>
          <w:color w:val="000000" w:themeColor="text1"/>
          <w:szCs w:val="22"/>
        </w:rPr>
        <w:t xml:space="preserve">of </w:t>
      </w:r>
      <w:r w:rsidRPr="002F2C67">
        <w:rPr>
          <w:rFonts w:asciiTheme="minorBidi" w:hAnsiTheme="minorBidi" w:cstheme="minorBidi"/>
          <w:color w:val="000000" w:themeColor="text1"/>
          <w:szCs w:val="22"/>
        </w:rPr>
        <w:t xml:space="preserve">private sector investments in ocean science through company-led research and development budgets. </w:t>
      </w:r>
    </w:p>
    <w:p w14:paraId="2ADD967E" w14:textId="77777777" w:rsidR="000006BC" w:rsidRPr="002F2C67" w:rsidRDefault="0042714A" w:rsidP="002F2C67">
      <w:pPr>
        <w:pStyle w:val="Heading2"/>
        <w:snapToGrid w:val="0"/>
        <w:spacing w:before="0" w:after="240"/>
        <w:rPr>
          <w:rFonts w:asciiTheme="minorBidi" w:hAnsiTheme="minorBidi" w:cstheme="minorBidi"/>
          <w:sz w:val="22"/>
          <w:szCs w:val="22"/>
        </w:rPr>
      </w:pPr>
      <w:bookmarkStart w:id="3" w:name="_Toc73968035"/>
      <w:r w:rsidRPr="002F2C67">
        <w:rPr>
          <w:rFonts w:asciiTheme="minorBidi" w:hAnsiTheme="minorBidi" w:cstheme="minorBidi"/>
          <w:sz w:val="22"/>
          <w:szCs w:val="22"/>
        </w:rPr>
        <w:t xml:space="preserve">Types of </w:t>
      </w:r>
      <w:r w:rsidR="00D33920" w:rsidRPr="002F2C67">
        <w:rPr>
          <w:rFonts w:asciiTheme="minorBidi" w:hAnsiTheme="minorBidi" w:cstheme="minorBidi"/>
          <w:sz w:val="22"/>
          <w:szCs w:val="22"/>
        </w:rPr>
        <w:t>Funding Needs for the Ocean Decade</w:t>
      </w:r>
      <w:bookmarkEnd w:id="3"/>
      <w:r w:rsidR="00D33920" w:rsidRPr="002F2C67">
        <w:rPr>
          <w:rFonts w:asciiTheme="minorBidi" w:hAnsiTheme="minorBidi" w:cstheme="minorBidi"/>
          <w:sz w:val="22"/>
          <w:szCs w:val="22"/>
        </w:rPr>
        <w:t xml:space="preserve"> </w:t>
      </w:r>
    </w:p>
    <w:p w14:paraId="11E330B3" w14:textId="77777777" w:rsidR="00D33920" w:rsidRPr="002F2C67" w:rsidRDefault="00D933DA"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As outlined in the Implementation Plan, there is a need for b</w:t>
      </w:r>
      <w:r w:rsidR="00F948B0" w:rsidRPr="002F2C67">
        <w:rPr>
          <w:rFonts w:asciiTheme="minorBidi" w:hAnsiTheme="minorBidi" w:cstheme="minorBidi"/>
          <w:color w:val="000000" w:themeColor="text1"/>
          <w:szCs w:val="22"/>
        </w:rPr>
        <w:t xml:space="preserve">oth financial support and in-kind support </w:t>
      </w:r>
      <w:r w:rsidRPr="002F2C67">
        <w:rPr>
          <w:rFonts w:asciiTheme="minorBidi" w:hAnsiTheme="minorBidi" w:cstheme="minorBidi"/>
          <w:color w:val="000000" w:themeColor="text1"/>
          <w:szCs w:val="22"/>
        </w:rPr>
        <w:t xml:space="preserve">throughout the Ocean Decade. A fundamental building block is the </w:t>
      </w:r>
      <w:r w:rsidR="004357D1" w:rsidRPr="002F2C67">
        <w:rPr>
          <w:rFonts w:asciiTheme="minorBidi" w:hAnsiTheme="minorBidi" w:cstheme="minorBidi"/>
          <w:color w:val="000000" w:themeColor="text1"/>
          <w:szCs w:val="22"/>
        </w:rPr>
        <w:t>massive scale up in s</w:t>
      </w:r>
      <w:r w:rsidR="00F948B0" w:rsidRPr="002F2C67">
        <w:rPr>
          <w:rFonts w:asciiTheme="minorBidi" w:hAnsiTheme="minorBidi" w:cstheme="minorBidi"/>
          <w:color w:val="000000" w:themeColor="text1"/>
          <w:szCs w:val="22"/>
        </w:rPr>
        <w:t xml:space="preserve">upport </w:t>
      </w:r>
      <w:r w:rsidRPr="002F2C67">
        <w:rPr>
          <w:rFonts w:asciiTheme="minorBidi" w:hAnsiTheme="minorBidi" w:cstheme="minorBidi"/>
          <w:color w:val="000000" w:themeColor="text1"/>
          <w:szCs w:val="22"/>
        </w:rPr>
        <w:t xml:space="preserve">that is </w:t>
      </w:r>
      <w:r w:rsidR="00C2062E" w:rsidRPr="002F2C67">
        <w:rPr>
          <w:rFonts w:asciiTheme="minorBidi" w:hAnsiTheme="minorBidi" w:cstheme="minorBidi"/>
          <w:color w:val="000000" w:themeColor="text1"/>
          <w:szCs w:val="22"/>
        </w:rPr>
        <w:t>required</w:t>
      </w:r>
      <w:r w:rsidR="00F948B0" w:rsidRPr="002F2C67">
        <w:rPr>
          <w:rFonts w:asciiTheme="minorBidi" w:hAnsiTheme="minorBidi" w:cstheme="minorBidi"/>
          <w:color w:val="000000" w:themeColor="text1"/>
          <w:szCs w:val="22"/>
        </w:rPr>
        <w:t xml:space="preserve"> for the </w:t>
      </w:r>
      <w:r w:rsidR="001B5E62" w:rsidRPr="002F2C67">
        <w:rPr>
          <w:rFonts w:asciiTheme="minorBidi" w:hAnsiTheme="minorBidi" w:cstheme="minorBidi"/>
          <w:color w:val="000000" w:themeColor="text1"/>
          <w:szCs w:val="22"/>
        </w:rPr>
        <w:t xml:space="preserve">development and </w:t>
      </w:r>
      <w:r w:rsidR="00F948B0" w:rsidRPr="002F2C67">
        <w:rPr>
          <w:rFonts w:asciiTheme="minorBidi" w:hAnsiTheme="minorBidi" w:cstheme="minorBidi"/>
          <w:color w:val="000000" w:themeColor="text1"/>
          <w:szCs w:val="22"/>
        </w:rPr>
        <w:t xml:space="preserve">implementation of programmes, </w:t>
      </w:r>
      <w:proofErr w:type="gramStart"/>
      <w:r w:rsidR="00F948B0" w:rsidRPr="002F2C67">
        <w:rPr>
          <w:rFonts w:asciiTheme="minorBidi" w:hAnsiTheme="minorBidi" w:cstheme="minorBidi"/>
          <w:color w:val="000000" w:themeColor="text1"/>
          <w:szCs w:val="22"/>
        </w:rPr>
        <w:t>projects</w:t>
      </w:r>
      <w:proofErr w:type="gramEnd"/>
      <w:r w:rsidR="00F948B0" w:rsidRPr="002F2C67">
        <w:rPr>
          <w:rFonts w:asciiTheme="minorBidi" w:hAnsiTheme="minorBidi" w:cstheme="minorBidi"/>
          <w:color w:val="000000" w:themeColor="text1"/>
          <w:szCs w:val="22"/>
        </w:rPr>
        <w:t xml:space="preserve"> and activities under the </w:t>
      </w:r>
      <w:r w:rsidR="000006BC" w:rsidRPr="002F2C67">
        <w:rPr>
          <w:rFonts w:asciiTheme="minorBidi" w:hAnsiTheme="minorBidi" w:cstheme="minorBidi"/>
          <w:color w:val="000000" w:themeColor="text1"/>
          <w:szCs w:val="22"/>
        </w:rPr>
        <w:t>Ocean D</w:t>
      </w:r>
      <w:r w:rsidR="00F948B0" w:rsidRPr="002F2C67">
        <w:rPr>
          <w:rFonts w:asciiTheme="minorBidi" w:hAnsiTheme="minorBidi" w:cstheme="minorBidi"/>
          <w:color w:val="000000" w:themeColor="text1"/>
          <w:szCs w:val="22"/>
        </w:rPr>
        <w:t>ecade</w:t>
      </w:r>
      <w:r w:rsidR="001B5E62" w:rsidRPr="002F2C67">
        <w:rPr>
          <w:rFonts w:asciiTheme="minorBidi" w:hAnsiTheme="minorBidi" w:cstheme="minorBidi"/>
          <w:color w:val="000000" w:themeColor="text1"/>
          <w:szCs w:val="22"/>
        </w:rPr>
        <w:t xml:space="preserve"> (</w:t>
      </w:r>
      <w:r w:rsidR="000006BC" w:rsidRPr="002F2C67">
        <w:rPr>
          <w:rFonts w:asciiTheme="minorBidi" w:hAnsiTheme="minorBidi" w:cstheme="minorBidi"/>
          <w:color w:val="000000" w:themeColor="text1"/>
          <w:szCs w:val="22"/>
        </w:rPr>
        <w:t>“Action Costs”</w:t>
      </w:r>
      <w:r w:rsidR="001B5E62" w:rsidRPr="002F2C67">
        <w:rPr>
          <w:rFonts w:asciiTheme="minorBidi" w:hAnsiTheme="minorBidi" w:cstheme="minorBidi"/>
          <w:color w:val="000000" w:themeColor="text1"/>
          <w:szCs w:val="22"/>
        </w:rPr>
        <w:t>)</w:t>
      </w:r>
      <w:r w:rsidR="00F948B0" w:rsidRPr="002F2C67">
        <w:rPr>
          <w:rFonts w:asciiTheme="minorBidi" w:hAnsiTheme="minorBidi" w:cstheme="minorBidi"/>
          <w:color w:val="000000" w:themeColor="text1"/>
          <w:szCs w:val="22"/>
        </w:rPr>
        <w:t xml:space="preserve">. The volume of Action </w:t>
      </w:r>
      <w:r w:rsidR="000006BC" w:rsidRPr="002F2C67">
        <w:rPr>
          <w:rFonts w:asciiTheme="minorBidi" w:hAnsiTheme="minorBidi" w:cstheme="minorBidi"/>
          <w:color w:val="000000" w:themeColor="text1"/>
          <w:szCs w:val="22"/>
        </w:rPr>
        <w:t>C</w:t>
      </w:r>
      <w:r w:rsidR="00F948B0" w:rsidRPr="002F2C67">
        <w:rPr>
          <w:rFonts w:asciiTheme="minorBidi" w:hAnsiTheme="minorBidi" w:cstheme="minorBidi"/>
          <w:color w:val="000000" w:themeColor="text1"/>
          <w:szCs w:val="22"/>
        </w:rPr>
        <w:t xml:space="preserve">osts mobilised through the Ocean Decade </w:t>
      </w:r>
      <w:r w:rsidR="001B5E62" w:rsidRPr="002F2C67">
        <w:rPr>
          <w:rFonts w:asciiTheme="minorBidi" w:hAnsiTheme="minorBidi" w:cstheme="minorBidi"/>
          <w:color w:val="000000" w:themeColor="text1"/>
          <w:szCs w:val="22"/>
        </w:rPr>
        <w:t xml:space="preserve">is inextricably linked to the </w:t>
      </w:r>
      <w:r w:rsidR="00F948B0" w:rsidRPr="002F2C67">
        <w:rPr>
          <w:rFonts w:asciiTheme="minorBidi" w:hAnsiTheme="minorBidi" w:cstheme="minorBidi"/>
          <w:color w:val="000000" w:themeColor="text1"/>
          <w:szCs w:val="22"/>
        </w:rPr>
        <w:t xml:space="preserve">scope </w:t>
      </w:r>
      <w:r w:rsidR="000006BC" w:rsidRPr="002F2C67">
        <w:rPr>
          <w:rFonts w:asciiTheme="minorBidi" w:hAnsiTheme="minorBidi" w:cstheme="minorBidi"/>
          <w:color w:val="000000" w:themeColor="text1"/>
          <w:szCs w:val="22"/>
        </w:rPr>
        <w:t xml:space="preserve">  and</w:t>
      </w:r>
      <w:r w:rsidR="00F948B0" w:rsidRPr="002F2C67">
        <w:rPr>
          <w:rFonts w:asciiTheme="minorBidi" w:hAnsiTheme="minorBidi" w:cstheme="minorBidi"/>
          <w:color w:val="000000" w:themeColor="text1"/>
          <w:szCs w:val="22"/>
        </w:rPr>
        <w:t xml:space="preserve"> ambition of the Ocean Decade itself</w:t>
      </w:r>
      <w:r w:rsidR="00D26278" w:rsidRPr="002F2C67">
        <w:rPr>
          <w:rFonts w:asciiTheme="minorBidi" w:hAnsiTheme="minorBidi" w:cstheme="minorBidi"/>
          <w:color w:val="000000" w:themeColor="text1"/>
          <w:szCs w:val="22"/>
        </w:rPr>
        <w:t>. There is no single, global budget estimate for the Action Costs of the Decade; resource needs assessments will be carried out periodically throughout the Decade to quantify Action Cost needs.</w:t>
      </w:r>
    </w:p>
    <w:p w14:paraId="53CFFD19" w14:textId="77777777" w:rsidR="00F948B0" w:rsidRPr="002F2C67" w:rsidRDefault="001B5E62" w:rsidP="0080488A">
      <w:pPr>
        <w:pStyle w:val="Marge"/>
        <w:rPr>
          <w:rFonts w:asciiTheme="minorBidi" w:hAnsiTheme="minorBidi" w:cstheme="minorBidi"/>
          <w:szCs w:val="22"/>
        </w:rPr>
      </w:pPr>
      <w:r w:rsidRPr="002F2C67">
        <w:rPr>
          <w:rFonts w:asciiTheme="minorBidi" w:hAnsiTheme="minorBidi" w:cstheme="minorBidi"/>
          <w:color w:val="000000" w:themeColor="text1"/>
          <w:szCs w:val="22"/>
        </w:rPr>
        <w:t xml:space="preserve">There is also a need for </w:t>
      </w:r>
      <w:r w:rsidR="00D26278" w:rsidRPr="002F2C67">
        <w:rPr>
          <w:rFonts w:asciiTheme="minorBidi" w:hAnsiTheme="minorBidi" w:cstheme="minorBidi"/>
          <w:color w:val="000000" w:themeColor="text1"/>
          <w:szCs w:val="22"/>
        </w:rPr>
        <w:t xml:space="preserve">significant support for </w:t>
      </w:r>
      <w:r w:rsidR="00F948B0" w:rsidRPr="002F2C67">
        <w:rPr>
          <w:rFonts w:asciiTheme="minorBidi" w:hAnsiTheme="minorBidi" w:cstheme="minorBidi"/>
          <w:color w:val="000000" w:themeColor="text1"/>
          <w:szCs w:val="22"/>
        </w:rPr>
        <w:t>operational activities</w:t>
      </w:r>
      <w:r w:rsidR="000006BC"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w:t>
      </w:r>
      <w:r w:rsidR="000006BC" w:rsidRPr="002F2C67">
        <w:rPr>
          <w:rFonts w:asciiTheme="minorBidi" w:hAnsiTheme="minorBidi" w:cstheme="minorBidi"/>
          <w:color w:val="000000" w:themeColor="text1"/>
          <w:szCs w:val="22"/>
        </w:rPr>
        <w:t>“Coordination Costs”</w:t>
      </w:r>
      <w:r w:rsidRPr="002F2C67">
        <w:rPr>
          <w:rFonts w:asciiTheme="minorBidi" w:hAnsiTheme="minorBidi" w:cstheme="minorBidi"/>
          <w:color w:val="000000" w:themeColor="text1"/>
          <w:szCs w:val="22"/>
        </w:rPr>
        <w:t xml:space="preserve">) that include the establishment and </w:t>
      </w:r>
      <w:r w:rsidR="00F948B0" w:rsidRPr="002F2C67">
        <w:rPr>
          <w:rFonts w:asciiTheme="minorBidi" w:hAnsiTheme="minorBidi" w:cstheme="minorBidi"/>
          <w:color w:val="000000" w:themeColor="text1"/>
          <w:szCs w:val="22"/>
        </w:rPr>
        <w:t xml:space="preserve">the </w:t>
      </w:r>
      <w:r w:rsidRPr="002F2C67">
        <w:rPr>
          <w:rFonts w:asciiTheme="minorBidi" w:hAnsiTheme="minorBidi" w:cstheme="minorBidi"/>
          <w:color w:val="000000" w:themeColor="text1"/>
          <w:szCs w:val="22"/>
        </w:rPr>
        <w:t xml:space="preserve">on-going </w:t>
      </w:r>
      <w:r w:rsidR="00F948B0" w:rsidRPr="002F2C67">
        <w:rPr>
          <w:rFonts w:asciiTheme="minorBidi" w:hAnsiTheme="minorBidi" w:cstheme="minorBidi"/>
          <w:color w:val="000000" w:themeColor="text1"/>
          <w:szCs w:val="22"/>
        </w:rPr>
        <w:t>functioning</w:t>
      </w:r>
      <w:r w:rsidR="0042714A" w:rsidRPr="002F2C67">
        <w:rPr>
          <w:rFonts w:asciiTheme="minorBidi" w:hAnsiTheme="minorBidi" w:cstheme="minorBidi"/>
          <w:color w:val="000000" w:themeColor="text1"/>
          <w:szCs w:val="22"/>
        </w:rPr>
        <w:t xml:space="preserve"> of the</w:t>
      </w:r>
      <w:r w:rsidR="00F948B0" w:rsidRPr="002F2C67">
        <w:rPr>
          <w:rFonts w:asciiTheme="minorBidi" w:hAnsiTheme="minorBidi" w:cstheme="minorBidi"/>
          <w:color w:val="000000" w:themeColor="text1"/>
          <w:szCs w:val="22"/>
        </w:rPr>
        <w:t xml:space="preserve"> Decade Coordination Unit</w:t>
      </w:r>
      <w:r w:rsidR="004357D1" w:rsidRPr="002F2C67">
        <w:rPr>
          <w:rFonts w:asciiTheme="minorBidi" w:hAnsiTheme="minorBidi" w:cstheme="minorBidi"/>
          <w:color w:val="000000" w:themeColor="text1"/>
          <w:szCs w:val="22"/>
        </w:rPr>
        <w:t xml:space="preserve"> within the IOC</w:t>
      </w:r>
      <w:r w:rsidRPr="002F2C67">
        <w:rPr>
          <w:rFonts w:asciiTheme="minorBidi" w:hAnsiTheme="minorBidi" w:cstheme="minorBidi"/>
          <w:color w:val="000000" w:themeColor="text1"/>
          <w:szCs w:val="22"/>
        </w:rPr>
        <w:t xml:space="preserve">, including personnel costs, as well as </w:t>
      </w:r>
      <w:r w:rsidR="00F948B0" w:rsidRPr="002F2C67">
        <w:rPr>
          <w:rFonts w:asciiTheme="minorBidi" w:hAnsiTheme="minorBidi" w:cstheme="minorBidi"/>
          <w:color w:val="000000" w:themeColor="text1"/>
          <w:szCs w:val="22"/>
        </w:rPr>
        <w:t xml:space="preserve">costs </w:t>
      </w:r>
      <w:r w:rsidRPr="002F2C67">
        <w:rPr>
          <w:rFonts w:asciiTheme="minorBidi" w:hAnsiTheme="minorBidi" w:cstheme="minorBidi"/>
          <w:color w:val="000000" w:themeColor="text1"/>
          <w:szCs w:val="22"/>
        </w:rPr>
        <w:t xml:space="preserve">associated with </w:t>
      </w:r>
      <w:r w:rsidR="00F948B0" w:rsidRPr="002F2C67">
        <w:rPr>
          <w:rFonts w:asciiTheme="minorBidi" w:hAnsiTheme="minorBidi" w:cstheme="minorBidi"/>
          <w:color w:val="000000" w:themeColor="text1"/>
          <w:szCs w:val="22"/>
        </w:rPr>
        <w:t>regular meetings and review processes, communications activities, and other related operational costs</w:t>
      </w:r>
      <w:r w:rsidR="000006BC"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 xml:space="preserve">An adequately resourced Decade Coordination Unit is </w:t>
      </w:r>
      <w:r w:rsidR="00F948B0" w:rsidRPr="002F2C67">
        <w:rPr>
          <w:rFonts w:asciiTheme="minorBidi" w:hAnsiTheme="minorBidi" w:cstheme="minorBidi"/>
          <w:color w:val="000000" w:themeColor="text1"/>
          <w:szCs w:val="22"/>
        </w:rPr>
        <w:t xml:space="preserve">essential to the success of the Decade. </w:t>
      </w:r>
      <w:r w:rsidR="0070711E" w:rsidRPr="002F2C67">
        <w:rPr>
          <w:rFonts w:asciiTheme="minorBidi" w:hAnsiTheme="minorBidi" w:cstheme="minorBidi"/>
          <w:color w:val="000000" w:themeColor="text1"/>
          <w:szCs w:val="22"/>
        </w:rPr>
        <w:t>The volume of resourcing needed for coordination costs will be skewed to the start-up phase in 2021. In 2022 and beyond, Coordination Costs should be relatively predictable and are estimated to be in the order of US$1.5 – 2 million per year thus allowing for enhanced</w:t>
      </w:r>
      <w:r w:rsidR="00041F40" w:rsidRPr="002F2C67">
        <w:rPr>
          <w:rFonts w:asciiTheme="minorBidi" w:hAnsiTheme="minorBidi" w:cstheme="minorBidi"/>
          <w:color w:val="000000" w:themeColor="text1"/>
          <w:szCs w:val="22"/>
        </w:rPr>
        <w:t xml:space="preserve"> </w:t>
      </w:r>
      <w:r w:rsidR="0070711E" w:rsidRPr="002F2C67">
        <w:rPr>
          <w:rFonts w:asciiTheme="minorBidi" w:hAnsiTheme="minorBidi" w:cstheme="minorBidi"/>
          <w:color w:val="000000" w:themeColor="text1"/>
          <w:szCs w:val="22"/>
        </w:rPr>
        <w:t>resource mobilization planning</w:t>
      </w:r>
      <w:r w:rsidR="001B582E" w:rsidRPr="002F2C67">
        <w:rPr>
          <w:rFonts w:asciiTheme="minorBidi" w:hAnsiTheme="minorBidi" w:cstheme="minorBidi"/>
          <w:color w:val="000000" w:themeColor="text1"/>
          <w:szCs w:val="22"/>
        </w:rPr>
        <w:footnoteReference w:id="5"/>
      </w:r>
      <w:r w:rsidR="0070711E" w:rsidRPr="002F2C67">
        <w:rPr>
          <w:rFonts w:asciiTheme="minorBidi" w:hAnsiTheme="minorBidi" w:cstheme="minorBidi"/>
          <w:color w:val="000000" w:themeColor="text1"/>
          <w:szCs w:val="22"/>
        </w:rPr>
        <w:t xml:space="preserve">. </w:t>
      </w:r>
      <w:r w:rsidR="001B582E" w:rsidRPr="002F2C67">
        <w:rPr>
          <w:rFonts w:asciiTheme="minorBidi" w:hAnsiTheme="minorBidi" w:cstheme="minorBidi"/>
          <w:color w:val="000000" w:themeColor="text1"/>
          <w:szCs w:val="22"/>
        </w:rPr>
        <w:t>R</w:t>
      </w:r>
      <w:r w:rsidR="00C2062E" w:rsidRPr="002F2C67">
        <w:rPr>
          <w:rFonts w:asciiTheme="minorBidi" w:hAnsiTheme="minorBidi" w:cstheme="minorBidi"/>
          <w:color w:val="000000" w:themeColor="text1"/>
          <w:szCs w:val="22"/>
        </w:rPr>
        <w:t xml:space="preserve">esource </w:t>
      </w:r>
      <w:r w:rsidR="00F948B0" w:rsidRPr="002F2C67">
        <w:rPr>
          <w:rFonts w:asciiTheme="minorBidi" w:hAnsiTheme="minorBidi" w:cstheme="minorBidi"/>
          <w:color w:val="000000" w:themeColor="text1"/>
          <w:szCs w:val="22"/>
        </w:rPr>
        <w:t>mobilisation efforts will target partners with a predisposition to provide this type of</w:t>
      </w:r>
      <w:r w:rsidR="00F948B0" w:rsidRPr="002F2C67">
        <w:rPr>
          <w:rFonts w:asciiTheme="minorBidi" w:hAnsiTheme="minorBidi" w:cstheme="minorBidi"/>
          <w:szCs w:val="22"/>
        </w:rPr>
        <w:t xml:space="preserve"> support. </w:t>
      </w:r>
    </w:p>
    <w:p w14:paraId="6D2D7927" w14:textId="77777777" w:rsidR="00D33920" w:rsidRPr="002F2C67" w:rsidRDefault="00D33920" w:rsidP="002F2C67">
      <w:pPr>
        <w:pStyle w:val="Heading2"/>
        <w:snapToGrid w:val="0"/>
        <w:spacing w:before="0" w:after="240"/>
        <w:rPr>
          <w:rFonts w:asciiTheme="minorBidi" w:hAnsiTheme="minorBidi" w:cstheme="minorBidi"/>
          <w:sz w:val="22"/>
          <w:szCs w:val="22"/>
        </w:rPr>
      </w:pPr>
      <w:bookmarkStart w:id="4" w:name="_Toc73968036"/>
      <w:r w:rsidRPr="002F2C67">
        <w:rPr>
          <w:rFonts w:asciiTheme="minorBidi" w:hAnsiTheme="minorBidi" w:cstheme="minorBidi"/>
          <w:sz w:val="22"/>
          <w:szCs w:val="22"/>
        </w:rPr>
        <w:t>Financing Mechanisms for the Ocean Decade</w:t>
      </w:r>
      <w:bookmarkEnd w:id="4"/>
    </w:p>
    <w:p w14:paraId="048DBB8B" w14:textId="77777777" w:rsidR="00DC355B" w:rsidRPr="002F2C67" w:rsidRDefault="0080578C" w:rsidP="0080488A">
      <w:pPr>
        <w:pStyle w:val="Marge"/>
        <w:rPr>
          <w:rFonts w:asciiTheme="minorBidi" w:hAnsiTheme="minorBidi" w:cstheme="minorBidi"/>
          <w:szCs w:val="22"/>
        </w:rPr>
      </w:pPr>
      <w:r w:rsidRPr="002F2C67">
        <w:rPr>
          <w:rFonts w:asciiTheme="minorBidi" w:hAnsiTheme="minorBidi" w:cstheme="minorBidi"/>
          <w:color w:val="000000" w:themeColor="text1"/>
          <w:szCs w:val="22"/>
        </w:rPr>
        <w:t xml:space="preserve">As outlined in Section 3.2 of the Implementation Plan, there are </w:t>
      </w:r>
      <w:r w:rsidR="001B5E62" w:rsidRPr="002F2C67">
        <w:rPr>
          <w:rFonts w:asciiTheme="minorBidi" w:hAnsiTheme="minorBidi" w:cstheme="minorBidi"/>
          <w:color w:val="000000" w:themeColor="text1"/>
          <w:szCs w:val="22"/>
        </w:rPr>
        <w:t>three primary mechanisms</w:t>
      </w:r>
      <w:r w:rsidR="001B5E62" w:rsidRPr="002F2C67">
        <w:rPr>
          <w:rFonts w:asciiTheme="minorBidi" w:hAnsiTheme="minorBidi" w:cstheme="minorBidi"/>
          <w:szCs w:val="22"/>
        </w:rPr>
        <w:t xml:space="preserve"> that donors can utilize to support Action or Coordination Costs</w:t>
      </w:r>
      <w:r w:rsidRPr="002F2C67">
        <w:rPr>
          <w:rFonts w:asciiTheme="minorBidi" w:hAnsiTheme="minorBidi" w:cstheme="minorBidi"/>
          <w:szCs w:val="22"/>
        </w:rPr>
        <w:t xml:space="preserve"> as </w:t>
      </w:r>
      <w:r w:rsidR="001B5E62" w:rsidRPr="002F2C67">
        <w:rPr>
          <w:rFonts w:asciiTheme="minorBidi" w:hAnsiTheme="minorBidi" w:cstheme="minorBidi"/>
          <w:szCs w:val="22"/>
        </w:rPr>
        <w:t xml:space="preserve">described in </w:t>
      </w:r>
      <w:r w:rsidR="0058006E" w:rsidRPr="002F2C67">
        <w:rPr>
          <w:rFonts w:asciiTheme="minorBidi" w:hAnsiTheme="minorBidi" w:cstheme="minorBidi"/>
          <w:szCs w:val="22"/>
        </w:rPr>
        <w:t>Figure 1</w:t>
      </w:r>
      <w:r w:rsidR="001B5E62" w:rsidRPr="002F2C67">
        <w:rPr>
          <w:rFonts w:asciiTheme="minorBidi" w:hAnsiTheme="minorBidi" w:cstheme="minorBidi"/>
          <w:szCs w:val="22"/>
        </w:rPr>
        <w:t xml:space="preserve"> and text below. </w:t>
      </w:r>
      <w:r w:rsidRPr="002F2C67">
        <w:rPr>
          <w:rFonts w:asciiTheme="minorBidi" w:hAnsiTheme="minorBidi" w:cstheme="minorBidi"/>
          <w:szCs w:val="22"/>
        </w:rPr>
        <w:t xml:space="preserve">All donors will be recognized for their financial or in-kind support of the Ocean Decade. </w:t>
      </w:r>
    </w:p>
    <w:p w14:paraId="4C60660A" w14:textId="77777777" w:rsidR="000829F7" w:rsidRPr="002F2C67" w:rsidRDefault="000829F7" w:rsidP="002F2C67">
      <w:pPr>
        <w:pStyle w:val="Marge"/>
        <w:jc w:val="center"/>
        <w:rPr>
          <w:rFonts w:asciiTheme="minorBidi" w:hAnsiTheme="minorBidi" w:cstheme="minorBidi"/>
          <w:szCs w:val="22"/>
        </w:rPr>
      </w:pPr>
    </w:p>
    <w:p w14:paraId="29375D5C" w14:textId="77777777" w:rsidR="00D33920" w:rsidRPr="002F2C67" w:rsidRDefault="00337BA5" w:rsidP="002F2C67">
      <w:pPr>
        <w:pStyle w:val="Marge"/>
        <w:jc w:val="center"/>
        <w:rPr>
          <w:rFonts w:asciiTheme="minorBidi" w:hAnsiTheme="minorBidi" w:cstheme="minorBidi"/>
          <w:szCs w:val="22"/>
        </w:rPr>
      </w:pPr>
      <w:r w:rsidRPr="002F2C67">
        <w:rPr>
          <w:rFonts w:asciiTheme="minorBidi" w:hAnsiTheme="minorBidi" w:cstheme="minorBidi"/>
          <w:noProof/>
          <w:snapToGrid/>
          <w:szCs w:val="22"/>
          <w:lang w:val="fr-FR" w:eastAsia="fr-FR"/>
        </w:rPr>
        <w:lastRenderedPageBreak/>
        <w:drawing>
          <wp:inline distT="0" distB="0" distL="0" distR="0" wp14:anchorId="75D203B6" wp14:editId="14E55574">
            <wp:extent cx="5943600" cy="3734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3_2-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734435"/>
                    </a:xfrm>
                    <a:prstGeom prst="rect">
                      <a:avLst/>
                    </a:prstGeom>
                  </pic:spPr>
                </pic:pic>
              </a:graphicData>
            </a:graphic>
          </wp:inline>
        </w:drawing>
      </w:r>
    </w:p>
    <w:p w14:paraId="4C055016" w14:textId="77777777" w:rsidR="000829F7" w:rsidRPr="002F2C67" w:rsidRDefault="000829F7" w:rsidP="002F2C67">
      <w:pPr>
        <w:pStyle w:val="Marge"/>
        <w:jc w:val="center"/>
        <w:rPr>
          <w:rFonts w:asciiTheme="minorBidi" w:hAnsiTheme="minorBidi" w:cstheme="minorBidi"/>
          <w:szCs w:val="22"/>
          <w:u w:val="single"/>
        </w:rPr>
      </w:pPr>
      <w:r w:rsidRPr="002F2C67">
        <w:rPr>
          <w:rFonts w:asciiTheme="minorBidi" w:hAnsiTheme="minorBidi" w:cstheme="minorBidi"/>
          <w:szCs w:val="22"/>
          <w:u w:val="single"/>
        </w:rPr>
        <w:t>Figure 1: Financing Mechanisms</w:t>
      </w:r>
    </w:p>
    <w:p w14:paraId="02DE48A4" w14:textId="77777777" w:rsidR="001B5E62" w:rsidRPr="002F2C67" w:rsidRDefault="001B5E62" w:rsidP="002F2C67">
      <w:pPr>
        <w:pStyle w:val="Marge"/>
        <w:rPr>
          <w:rFonts w:asciiTheme="minorBidi" w:hAnsiTheme="minorBidi" w:cstheme="minorBidi"/>
          <w:b/>
          <w:bCs/>
          <w:szCs w:val="22"/>
        </w:rPr>
      </w:pPr>
      <w:r w:rsidRPr="002F2C67">
        <w:rPr>
          <w:rFonts w:asciiTheme="minorBidi" w:hAnsiTheme="minorBidi" w:cstheme="minorBidi"/>
          <w:b/>
          <w:bCs/>
          <w:szCs w:val="22"/>
        </w:rPr>
        <w:t>Mechanism 1: Direct Support to the Ocean Decade</w:t>
      </w:r>
    </w:p>
    <w:p w14:paraId="24957D98" w14:textId="77777777" w:rsidR="001B5E62" w:rsidRPr="002F2C67" w:rsidRDefault="001B5E62"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Donors can support the Ocean Decade Action or Coordination Costs directly</w:t>
      </w:r>
      <w:r w:rsidR="00E0577B" w:rsidRPr="002F2C67">
        <w:rPr>
          <w:rFonts w:asciiTheme="minorBidi" w:hAnsiTheme="minorBidi" w:cstheme="minorBidi"/>
          <w:color w:val="000000" w:themeColor="text1"/>
          <w:szCs w:val="22"/>
        </w:rPr>
        <w:t xml:space="preserve"> using</w:t>
      </w:r>
      <w:r w:rsidRPr="002F2C67">
        <w:rPr>
          <w:rFonts w:asciiTheme="minorBidi" w:hAnsiTheme="minorBidi" w:cstheme="minorBidi"/>
          <w:color w:val="000000" w:themeColor="text1"/>
          <w:szCs w:val="22"/>
        </w:rPr>
        <w:t xml:space="preserve"> their existing processes. Much of this support is likely to come in the form of Member State government funding</w:t>
      </w:r>
      <w:r w:rsidR="000829F7" w:rsidRPr="002F2C67">
        <w:rPr>
          <w:rFonts w:asciiTheme="minorBidi" w:hAnsiTheme="minorBidi" w:cstheme="minorBidi"/>
          <w:color w:val="000000" w:themeColor="text1"/>
          <w:szCs w:val="22"/>
        </w:rPr>
        <w:t xml:space="preserve"> including n</w:t>
      </w:r>
      <w:r w:rsidRPr="002F2C67">
        <w:rPr>
          <w:rFonts w:asciiTheme="minorBidi" w:hAnsiTheme="minorBidi" w:cstheme="minorBidi"/>
          <w:color w:val="000000" w:themeColor="text1"/>
          <w:szCs w:val="22"/>
        </w:rPr>
        <w:t>ationally funded research projects or</w:t>
      </w:r>
      <w:r w:rsidR="000829F7"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 xml:space="preserve">nationally determined voluntary contributions such as research cruises, research and sustained measurement networks, technical training, or data systems will also be essential forms of support.    Multilateral or regional funders </w:t>
      </w:r>
      <w:r w:rsidR="00E0577B" w:rsidRPr="002F2C67">
        <w:rPr>
          <w:rFonts w:asciiTheme="minorBidi" w:hAnsiTheme="minorBidi" w:cstheme="minorBidi"/>
          <w:color w:val="000000" w:themeColor="text1"/>
          <w:szCs w:val="22"/>
        </w:rPr>
        <w:t xml:space="preserve">and </w:t>
      </w:r>
      <w:r w:rsidRPr="002F2C67">
        <w:rPr>
          <w:rFonts w:asciiTheme="minorBidi" w:hAnsiTheme="minorBidi" w:cstheme="minorBidi"/>
          <w:color w:val="000000" w:themeColor="text1"/>
          <w:szCs w:val="22"/>
        </w:rPr>
        <w:t xml:space="preserve">philanthropic foundations </w:t>
      </w:r>
      <w:r w:rsidR="000829F7" w:rsidRPr="002F2C67">
        <w:rPr>
          <w:rFonts w:asciiTheme="minorBidi" w:hAnsiTheme="minorBidi" w:cstheme="minorBidi"/>
          <w:color w:val="000000" w:themeColor="text1"/>
          <w:szCs w:val="22"/>
        </w:rPr>
        <w:t>will also be important resource providers for</w:t>
      </w:r>
      <w:r w:rsidRPr="002F2C67">
        <w:rPr>
          <w:rFonts w:asciiTheme="minorBidi" w:hAnsiTheme="minorBidi" w:cstheme="minorBidi"/>
          <w:color w:val="000000" w:themeColor="text1"/>
          <w:szCs w:val="22"/>
        </w:rPr>
        <w:t xml:space="preserve"> Act</w:t>
      </w:r>
      <w:r w:rsidR="000829F7" w:rsidRPr="002F2C67">
        <w:rPr>
          <w:rFonts w:asciiTheme="minorBidi" w:hAnsiTheme="minorBidi" w:cstheme="minorBidi"/>
          <w:color w:val="000000" w:themeColor="text1"/>
          <w:szCs w:val="22"/>
        </w:rPr>
        <w:t>ion Costs. Direct support for Action Costs can either</w:t>
      </w:r>
      <w:r w:rsidR="00E0577B" w:rsidRPr="002F2C67">
        <w:rPr>
          <w:rFonts w:asciiTheme="minorBidi" w:hAnsiTheme="minorBidi" w:cstheme="minorBidi"/>
          <w:color w:val="000000" w:themeColor="text1"/>
          <w:szCs w:val="22"/>
        </w:rPr>
        <w:t xml:space="preserve"> be</w:t>
      </w:r>
      <w:r w:rsidR="000829F7" w:rsidRPr="002F2C67">
        <w:rPr>
          <w:rFonts w:asciiTheme="minorBidi" w:hAnsiTheme="minorBidi" w:cstheme="minorBidi"/>
          <w:color w:val="000000" w:themeColor="text1"/>
          <w:szCs w:val="22"/>
        </w:rPr>
        <w:t xml:space="preserve"> </w:t>
      </w:r>
      <w:r w:rsidR="00E0577B" w:rsidRPr="002F2C67">
        <w:rPr>
          <w:rFonts w:asciiTheme="minorBidi" w:hAnsiTheme="minorBidi" w:cstheme="minorBidi"/>
          <w:color w:val="000000" w:themeColor="text1"/>
          <w:szCs w:val="22"/>
        </w:rPr>
        <w:t>carried out</w:t>
      </w:r>
      <w:r w:rsidR="000829F7" w:rsidRPr="002F2C67">
        <w:rPr>
          <w:rFonts w:asciiTheme="minorBidi" w:hAnsiTheme="minorBidi" w:cstheme="minorBidi"/>
          <w:color w:val="000000" w:themeColor="text1"/>
          <w:szCs w:val="22"/>
        </w:rPr>
        <w:t xml:space="preserve"> independent</w:t>
      </w:r>
      <w:r w:rsidR="00E0577B" w:rsidRPr="002F2C67">
        <w:rPr>
          <w:rFonts w:asciiTheme="minorBidi" w:hAnsiTheme="minorBidi" w:cstheme="minorBidi"/>
          <w:color w:val="000000" w:themeColor="text1"/>
          <w:szCs w:val="22"/>
        </w:rPr>
        <w:t>ly</w:t>
      </w:r>
      <w:r w:rsidR="000829F7" w:rsidRPr="002F2C67">
        <w:rPr>
          <w:rFonts w:asciiTheme="minorBidi" w:hAnsiTheme="minorBidi" w:cstheme="minorBidi"/>
          <w:color w:val="000000" w:themeColor="text1"/>
          <w:szCs w:val="22"/>
        </w:rPr>
        <w:t xml:space="preserve"> of the Ocean Decade</w:t>
      </w:r>
      <w:r w:rsidR="00E0577B" w:rsidRPr="002F2C67">
        <w:rPr>
          <w:rFonts w:asciiTheme="minorBidi" w:hAnsiTheme="minorBidi" w:cstheme="minorBidi"/>
          <w:color w:val="000000" w:themeColor="text1"/>
          <w:szCs w:val="22"/>
        </w:rPr>
        <w:t xml:space="preserve"> i.e. partners use their normal processes to identify and finance initiatives that then apply to become endorsed Decade Actions, or via sponsored, co-branded Calls for Decade Actions i.e. the Decade Coordination Unit and the partner co-create a joint call for initiatives that enables successful applicants to be funded by the resource provider in parallel to being recognised as an endorsed Decade Action.</w:t>
      </w:r>
    </w:p>
    <w:p w14:paraId="15FFE4AC" w14:textId="77777777" w:rsidR="000006BC" w:rsidRPr="002F2C67" w:rsidRDefault="009C295E" w:rsidP="0080488A">
      <w:pPr>
        <w:pStyle w:val="Marge"/>
        <w:rPr>
          <w:rFonts w:asciiTheme="minorBidi" w:hAnsiTheme="minorBidi" w:cstheme="minorBidi"/>
          <w:szCs w:val="22"/>
        </w:rPr>
      </w:pPr>
      <w:r w:rsidRPr="002F2C67">
        <w:rPr>
          <w:rFonts w:asciiTheme="minorBidi" w:hAnsiTheme="minorBidi" w:cstheme="minorBidi"/>
          <w:color w:val="000000" w:themeColor="text1"/>
          <w:szCs w:val="22"/>
        </w:rPr>
        <w:t>The mechanisms for direct support to coordination costs are likely to vary depending on the level of the governance structure</w:t>
      </w:r>
      <w:r w:rsidR="001B5E62" w:rsidRPr="002F2C67">
        <w:rPr>
          <w:rFonts w:asciiTheme="minorBidi" w:hAnsiTheme="minorBidi" w:cstheme="minorBidi"/>
          <w:color w:val="000000" w:themeColor="text1"/>
          <w:szCs w:val="22"/>
        </w:rPr>
        <w:t xml:space="preserve"> as described in </w:t>
      </w:r>
      <w:r w:rsidR="0080578C" w:rsidRPr="002F2C67">
        <w:rPr>
          <w:rFonts w:asciiTheme="minorBidi" w:hAnsiTheme="minorBidi" w:cstheme="minorBidi"/>
          <w:color w:val="000000" w:themeColor="text1"/>
          <w:szCs w:val="22"/>
        </w:rPr>
        <w:t xml:space="preserve">Section 3.1 of </w:t>
      </w:r>
      <w:r w:rsidR="001B5E62" w:rsidRPr="002F2C67">
        <w:rPr>
          <w:rFonts w:asciiTheme="minorBidi" w:hAnsiTheme="minorBidi" w:cstheme="minorBidi"/>
          <w:color w:val="000000" w:themeColor="text1"/>
          <w:szCs w:val="22"/>
        </w:rPr>
        <w:t>the Implementation Report</w:t>
      </w:r>
      <w:r w:rsidRPr="002F2C67">
        <w:rPr>
          <w:rFonts w:asciiTheme="minorBidi" w:hAnsiTheme="minorBidi" w:cstheme="minorBidi"/>
          <w:color w:val="000000" w:themeColor="text1"/>
          <w:szCs w:val="22"/>
        </w:rPr>
        <w:t>. At the level of the Decade Coordination Unit, the predominant form of funding is expected to be through direct financial and in-kind support for operations</w:t>
      </w:r>
      <w:r w:rsidR="00E0577B" w:rsidRPr="002F2C67">
        <w:rPr>
          <w:rFonts w:asciiTheme="minorBidi" w:hAnsiTheme="minorBidi" w:cstheme="minorBidi"/>
          <w:color w:val="000000" w:themeColor="text1"/>
          <w:szCs w:val="22"/>
        </w:rPr>
        <w:t xml:space="preserve"> e.g. </w:t>
      </w:r>
      <w:r w:rsidRPr="002F2C67">
        <w:rPr>
          <w:rFonts w:asciiTheme="minorBidi" w:hAnsiTheme="minorBidi" w:cstheme="minorBidi"/>
          <w:color w:val="000000" w:themeColor="text1"/>
          <w:szCs w:val="22"/>
        </w:rPr>
        <w:t>extra budgetary resources from Member States or external financial partners</w:t>
      </w:r>
      <w:r w:rsidR="00E0577B" w:rsidRPr="002F2C67">
        <w:rPr>
          <w:rFonts w:asciiTheme="minorBidi" w:hAnsiTheme="minorBidi" w:cstheme="minorBidi"/>
          <w:color w:val="000000" w:themeColor="text1"/>
          <w:szCs w:val="22"/>
        </w:rPr>
        <w:t xml:space="preserve">, </w:t>
      </w:r>
      <w:r w:rsidR="000829F7" w:rsidRPr="002F2C67">
        <w:rPr>
          <w:rFonts w:asciiTheme="minorBidi" w:hAnsiTheme="minorBidi" w:cstheme="minorBidi"/>
          <w:color w:val="000000" w:themeColor="text1"/>
          <w:szCs w:val="22"/>
        </w:rPr>
        <w:t xml:space="preserve">secondments or loans of staff to the Decade Coordination Unit, </w:t>
      </w:r>
      <w:r w:rsidRPr="002F2C67">
        <w:rPr>
          <w:rFonts w:asciiTheme="minorBidi" w:hAnsiTheme="minorBidi" w:cstheme="minorBidi"/>
          <w:color w:val="000000" w:themeColor="text1"/>
          <w:szCs w:val="22"/>
        </w:rPr>
        <w:t xml:space="preserve">hosting and organization of an event of the </w:t>
      </w:r>
      <w:r w:rsidR="000006BC" w:rsidRPr="002F2C67">
        <w:rPr>
          <w:rFonts w:asciiTheme="minorBidi" w:hAnsiTheme="minorBidi" w:cstheme="minorBidi"/>
          <w:color w:val="000000" w:themeColor="text1"/>
          <w:szCs w:val="22"/>
        </w:rPr>
        <w:t xml:space="preserve">Ocean </w:t>
      </w:r>
      <w:r w:rsidRPr="002F2C67">
        <w:rPr>
          <w:rFonts w:asciiTheme="minorBidi" w:hAnsiTheme="minorBidi" w:cstheme="minorBidi"/>
          <w:color w:val="000000" w:themeColor="text1"/>
          <w:szCs w:val="22"/>
        </w:rPr>
        <w:t>Decade international and regional conference series, scientific meetings or workshops (e.g. stakeholder conferences or</w:t>
      </w:r>
      <w:r w:rsidRPr="002F2C67">
        <w:rPr>
          <w:rFonts w:asciiTheme="minorBidi" w:hAnsiTheme="minorBidi" w:cstheme="minorBidi"/>
          <w:spacing w:val="1"/>
          <w:szCs w:val="22"/>
        </w:rPr>
        <w:t xml:space="preserve"> </w:t>
      </w:r>
      <w:r w:rsidRPr="002F2C67">
        <w:rPr>
          <w:rFonts w:asciiTheme="minorBidi" w:hAnsiTheme="minorBidi" w:cstheme="minorBidi"/>
          <w:szCs w:val="22"/>
        </w:rPr>
        <w:t>Decade</w:t>
      </w:r>
      <w:r w:rsidRPr="002F2C67">
        <w:rPr>
          <w:rFonts w:asciiTheme="minorBidi" w:hAnsiTheme="minorBidi" w:cstheme="minorBidi"/>
          <w:spacing w:val="1"/>
          <w:szCs w:val="22"/>
        </w:rPr>
        <w:t xml:space="preserve"> </w:t>
      </w:r>
      <w:r w:rsidRPr="002F2C67">
        <w:rPr>
          <w:rFonts w:asciiTheme="minorBidi" w:hAnsiTheme="minorBidi" w:cstheme="minorBidi"/>
          <w:szCs w:val="22"/>
        </w:rPr>
        <w:t>Advisory</w:t>
      </w:r>
      <w:r w:rsidRPr="002F2C67">
        <w:rPr>
          <w:rFonts w:asciiTheme="minorBidi" w:hAnsiTheme="minorBidi" w:cstheme="minorBidi"/>
          <w:spacing w:val="1"/>
          <w:szCs w:val="22"/>
        </w:rPr>
        <w:t xml:space="preserve"> </w:t>
      </w:r>
      <w:r w:rsidRPr="002F2C67">
        <w:rPr>
          <w:rFonts w:asciiTheme="minorBidi" w:hAnsiTheme="minorBidi" w:cstheme="minorBidi"/>
          <w:szCs w:val="22"/>
        </w:rPr>
        <w:t>Board</w:t>
      </w:r>
      <w:r w:rsidRPr="002F2C67">
        <w:rPr>
          <w:rFonts w:asciiTheme="minorBidi" w:hAnsiTheme="minorBidi" w:cstheme="minorBidi"/>
          <w:spacing w:val="1"/>
          <w:szCs w:val="22"/>
        </w:rPr>
        <w:t xml:space="preserve"> </w:t>
      </w:r>
      <w:r w:rsidRPr="002F2C67">
        <w:rPr>
          <w:rFonts w:asciiTheme="minorBidi" w:hAnsiTheme="minorBidi" w:cstheme="minorBidi"/>
          <w:szCs w:val="22"/>
        </w:rPr>
        <w:t>meetings),</w:t>
      </w:r>
      <w:r w:rsidRPr="002F2C67">
        <w:rPr>
          <w:rFonts w:asciiTheme="minorBidi" w:hAnsiTheme="minorBidi" w:cstheme="minorBidi"/>
          <w:spacing w:val="1"/>
          <w:szCs w:val="22"/>
        </w:rPr>
        <w:t xml:space="preserve"> </w:t>
      </w:r>
      <w:r w:rsidRPr="002F2C67">
        <w:rPr>
          <w:rFonts w:asciiTheme="minorBidi" w:hAnsiTheme="minorBidi" w:cstheme="minorBidi"/>
          <w:szCs w:val="22"/>
        </w:rPr>
        <w:t>communications</w:t>
      </w:r>
      <w:r w:rsidRPr="002F2C67">
        <w:rPr>
          <w:rFonts w:asciiTheme="minorBidi" w:hAnsiTheme="minorBidi" w:cstheme="minorBidi"/>
          <w:spacing w:val="1"/>
          <w:szCs w:val="22"/>
        </w:rPr>
        <w:t xml:space="preserve"> </w:t>
      </w:r>
      <w:r w:rsidRPr="002F2C67">
        <w:rPr>
          <w:rFonts w:asciiTheme="minorBidi" w:hAnsiTheme="minorBidi" w:cstheme="minorBidi"/>
          <w:szCs w:val="22"/>
        </w:rPr>
        <w:t>or</w:t>
      </w:r>
      <w:r w:rsidRPr="002F2C67">
        <w:rPr>
          <w:rFonts w:asciiTheme="minorBidi" w:hAnsiTheme="minorBidi" w:cstheme="minorBidi"/>
          <w:spacing w:val="1"/>
          <w:szCs w:val="22"/>
        </w:rPr>
        <w:t xml:space="preserve"> </w:t>
      </w:r>
      <w:r w:rsidRPr="002F2C67">
        <w:rPr>
          <w:rFonts w:asciiTheme="minorBidi" w:hAnsiTheme="minorBidi" w:cstheme="minorBidi"/>
          <w:szCs w:val="22"/>
        </w:rPr>
        <w:t>outreach</w:t>
      </w:r>
      <w:r w:rsidRPr="002F2C67">
        <w:rPr>
          <w:rFonts w:asciiTheme="minorBidi" w:hAnsiTheme="minorBidi" w:cstheme="minorBidi"/>
          <w:spacing w:val="1"/>
          <w:szCs w:val="22"/>
        </w:rPr>
        <w:t xml:space="preserve"> </w:t>
      </w:r>
      <w:r w:rsidRPr="002F2C67">
        <w:rPr>
          <w:rFonts w:asciiTheme="minorBidi" w:hAnsiTheme="minorBidi" w:cstheme="minorBidi"/>
          <w:szCs w:val="22"/>
        </w:rPr>
        <w:t>campaigns,</w:t>
      </w:r>
      <w:r w:rsidRPr="002F2C67">
        <w:rPr>
          <w:rFonts w:asciiTheme="minorBidi" w:hAnsiTheme="minorBidi" w:cstheme="minorBidi"/>
          <w:spacing w:val="1"/>
          <w:szCs w:val="22"/>
        </w:rPr>
        <w:t xml:space="preserve"> </w:t>
      </w:r>
      <w:r w:rsidRPr="002F2C67">
        <w:rPr>
          <w:rFonts w:asciiTheme="minorBidi" w:hAnsiTheme="minorBidi" w:cstheme="minorBidi"/>
          <w:szCs w:val="22"/>
        </w:rPr>
        <w:t>technical</w:t>
      </w:r>
      <w:r w:rsidRPr="002F2C67">
        <w:rPr>
          <w:rFonts w:asciiTheme="minorBidi" w:hAnsiTheme="minorBidi" w:cstheme="minorBidi"/>
          <w:spacing w:val="1"/>
          <w:szCs w:val="22"/>
        </w:rPr>
        <w:t xml:space="preserve"> </w:t>
      </w:r>
      <w:r w:rsidRPr="002F2C67">
        <w:rPr>
          <w:rFonts w:asciiTheme="minorBidi" w:hAnsiTheme="minorBidi" w:cstheme="minorBidi"/>
          <w:szCs w:val="22"/>
        </w:rPr>
        <w:t>assistance or consultancy projects, or support for participation in global events linked to the</w:t>
      </w:r>
      <w:r w:rsidRPr="002F2C67">
        <w:rPr>
          <w:rFonts w:asciiTheme="minorBidi" w:hAnsiTheme="minorBidi" w:cstheme="minorBidi"/>
          <w:spacing w:val="1"/>
          <w:szCs w:val="22"/>
        </w:rPr>
        <w:t xml:space="preserve"> </w:t>
      </w:r>
      <w:r w:rsidR="000006BC" w:rsidRPr="002F2C67">
        <w:rPr>
          <w:rFonts w:asciiTheme="minorBidi" w:hAnsiTheme="minorBidi" w:cstheme="minorBidi"/>
          <w:spacing w:val="1"/>
          <w:szCs w:val="22"/>
        </w:rPr>
        <w:t xml:space="preserve">Ocean </w:t>
      </w:r>
      <w:r w:rsidRPr="002F2C67">
        <w:rPr>
          <w:rFonts w:asciiTheme="minorBidi" w:hAnsiTheme="minorBidi" w:cstheme="minorBidi"/>
          <w:szCs w:val="22"/>
        </w:rPr>
        <w:t>Decade.</w:t>
      </w:r>
    </w:p>
    <w:p w14:paraId="14F46AA9" w14:textId="77777777" w:rsidR="009C295E" w:rsidRPr="002F2C67" w:rsidRDefault="009C295E"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lastRenderedPageBreak/>
        <w:t xml:space="preserve">At the decentralised level, hosting of a Decade Coordination Office or Decade Collaborative Centre by a Member State will be one of the major mechanisms to provide in-kind support. Contributions from Member States may also include extension of existing support mechanisms to cover relevant </w:t>
      </w:r>
      <w:r w:rsidR="000006BC" w:rsidRPr="002F2C67">
        <w:rPr>
          <w:rFonts w:asciiTheme="minorBidi" w:hAnsiTheme="minorBidi" w:cstheme="minorBidi"/>
          <w:color w:val="000000" w:themeColor="text1"/>
          <w:szCs w:val="22"/>
        </w:rPr>
        <w:t xml:space="preserve">Ocean </w:t>
      </w:r>
      <w:r w:rsidRPr="002F2C67">
        <w:rPr>
          <w:rFonts w:asciiTheme="minorBidi" w:hAnsiTheme="minorBidi" w:cstheme="minorBidi"/>
          <w:color w:val="000000" w:themeColor="text1"/>
          <w:szCs w:val="22"/>
        </w:rPr>
        <w:t xml:space="preserve">Decade administration and coordination functions, or </w:t>
      </w:r>
      <w:r w:rsidR="00633083" w:rsidRPr="002F2C67">
        <w:rPr>
          <w:rFonts w:asciiTheme="minorBidi" w:hAnsiTheme="minorBidi" w:cstheme="minorBidi"/>
          <w:color w:val="000000" w:themeColor="text1"/>
          <w:szCs w:val="22"/>
        </w:rPr>
        <w:t>secondment</w:t>
      </w:r>
      <w:r w:rsidRPr="002F2C67">
        <w:rPr>
          <w:rFonts w:asciiTheme="minorBidi" w:hAnsiTheme="minorBidi" w:cstheme="minorBidi"/>
          <w:color w:val="000000" w:themeColor="text1"/>
          <w:szCs w:val="22"/>
        </w:rPr>
        <w:t xml:space="preserve"> of staff to support Decade Coordination Offices or Decade Collaborative Centres.</w:t>
      </w:r>
    </w:p>
    <w:p w14:paraId="7FAC9681" w14:textId="77777777" w:rsidR="0080578C" w:rsidRPr="002F2C67" w:rsidRDefault="0080578C" w:rsidP="002F2C67">
      <w:pPr>
        <w:pStyle w:val="Marge"/>
        <w:rPr>
          <w:rFonts w:asciiTheme="minorBidi" w:hAnsiTheme="minorBidi" w:cstheme="minorBidi"/>
          <w:b/>
          <w:bCs/>
          <w:szCs w:val="22"/>
        </w:rPr>
      </w:pPr>
      <w:r w:rsidRPr="002F2C67">
        <w:rPr>
          <w:rFonts w:asciiTheme="minorBidi" w:hAnsiTheme="minorBidi" w:cstheme="minorBidi"/>
          <w:b/>
          <w:bCs/>
          <w:szCs w:val="22"/>
        </w:rPr>
        <w:t>Mechanism 2: Ocean Decade Alliance</w:t>
      </w:r>
    </w:p>
    <w:p w14:paraId="1B16CD26" w14:textId="77777777" w:rsidR="0042714A" w:rsidRPr="002F2C67" w:rsidRDefault="0042714A"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To stimulate the ambitious global ocean science agenda of the Ocean Decade, the Ocean Decade Alliance (‘the Alliance’) is being established to leverage and multiply financial and in-kind resource commitments towards the Ocean Decade. The Alliance aims to create a network of eminent partners of the Ocean Decade</w:t>
      </w:r>
      <w:r w:rsidR="003E1451" w:rsidRPr="002F2C67">
        <w:rPr>
          <w:rFonts w:asciiTheme="minorBidi" w:hAnsiTheme="minorBidi" w:cstheme="minorBidi"/>
          <w:color w:val="000000" w:themeColor="text1"/>
          <w:szCs w:val="22"/>
        </w:rPr>
        <w:t xml:space="preserve"> from philanthropy, government, </w:t>
      </w:r>
      <w:proofErr w:type="gramStart"/>
      <w:r w:rsidR="003E1451" w:rsidRPr="002F2C67">
        <w:rPr>
          <w:rFonts w:asciiTheme="minorBidi" w:hAnsiTheme="minorBidi" w:cstheme="minorBidi"/>
          <w:color w:val="000000" w:themeColor="text1"/>
          <w:szCs w:val="22"/>
        </w:rPr>
        <w:t>industry</w:t>
      </w:r>
      <w:proofErr w:type="gramEnd"/>
      <w:r w:rsidR="003E1451" w:rsidRPr="002F2C67">
        <w:rPr>
          <w:rFonts w:asciiTheme="minorBidi" w:hAnsiTheme="minorBidi" w:cstheme="minorBidi"/>
          <w:color w:val="000000" w:themeColor="text1"/>
          <w:szCs w:val="22"/>
        </w:rPr>
        <w:t xml:space="preserve"> and United Nations agencies,</w:t>
      </w:r>
      <w:r w:rsidRPr="002F2C67">
        <w:rPr>
          <w:rFonts w:asciiTheme="minorBidi" w:hAnsiTheme="minorBidi" w:cstheme="minorBidi"/>
          <w:color w:val="000000" w:themeColor="text1"/>
          <w:szCs w:val="22"/>
        </w:rPr>
        <w:t xml:space="preserve"> that can lead by example to catalyse support for the Ocean Decade through targeted resource mobilization, networking, and influence. The Alliance is a global platform that will occupy a high profile and unique niche. </w:t>
      </w:r>
    </w:p>
    <w:p w14:paraId="54C8EF10" w14:textId="77777777" w:rsidR="0042714A" w:rsidRPr="002F2C67" w:rsidRDefault="008E7977"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To be eligible for membership of the Alliance, partners will need to demonstrate a significant commitment of financial resources to the Decade, as well as an engagement to engage in advocacy and peer to peer influencing and fundraising. </w:t>
      </w:r>
      <w:r w:rsidR="0042714A" w:rsidRPr="002F2C67">
        <w:rPr>
          <w:rFonts w:asciiTheme="minorBidi" w:hAnsiTheme="minorBidi" w:cstheme="minorBidi"/>
          <w:color w:val="000000" w:themeColor="text1"/>
          <w:szCs w:val="22"/>
        </w:rPr>
        <w:t xml:space="preserve">The Alliance will allow members to be part of a collective, global, UN-led effort to resolve some of the world’s most pressing challenges. Alliance members will have the opportunity to shape the strategic implementation of the Ocean Decade. </w:t>
      </w:r>
      <w:r w:rsidR="00932A2C" w:rsidRPr="002F2C67">
        <w:rPr>
          <w:rFonts w:asciiTheme="minorBidi" w:hAnsiTheme="minorBidi" w:cstheme="minorBidi"/>
          <w:color w:val="000000" w:themeColor="text1"/>
          <w:szCs w:val="22"/>
        </w:rPr>
        <w:t>Alliance members will have new opportunities for formal and informal networking – both amongst other members of the Alliance and with stakeholders seeking resources. This will potentially lead to new collaborations for joint funding or initiatives, as well as opportunities to optimise synergies activities supported by Alliance members.</w:t>
      </w:r>
    </w:p>
    <w:p w14:paraId="3B8824DC" w14:textId="77777777" w:rsidR="00E0577B" w:rsidRPr="002F2C67" w:rsidRDefault="00932A2C"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Alliance members will </w:t>
      </w:r>
      <w:r w:rsidR="0042714A" w:rsidRPr="002F2C67">
        <w:rPr>
          <w:rFonts w:asciiTheme="minorBidi" w:hAnsiTheme="minorBidi" w:cstheme="minorBidi"/>
          <w:color w:val="000000" w:themeColor="text1"/>
          <w:szCs w:val="22"/>
        </w:rPr>
        <w:t xml:space="preserve">be recognised as global leaders supporting ocean science via the Ocean Decade communications tools and through high-level participation in conferences or meetings. </w:t>
      </w:r>
      <w:r w:rsidRPr="002F2C67">
        <w:rPr>
          <w:rFonts w:asciiTheme="minorBidi" w:hAnsiTheme="minorBidi" w:cstheme="minorBidi"/>
          <w:color w:val="000000" w:themeColor="text1"/>
          <w:szCs w:val="22"/>
        </w:rPr>
        <w:t xml:space="preserve">Membership of the Alliance will be by invitation, based on a demonstrated and sustained commitment to the Ocean Decade. </w:t>
      </w:r>
      <w:r w:rsidR="0042714A" w:rsidRPr="002F2C67">
        <w:rPr>
          <w:rFonts w:asciiTheme="minorBidi" w:hAnsiTheme="minorBidi" w:cstheme="minorBidi"/>
          <w:color w:val="000000" w:themeColor="text1"/>
          <w:szCs w:val="22"/>
        </w:rPr>
        <w:t xml:space="preserve">In joining the collective effort of the Alliance, members will not relinquish their own priorities or procedures for providing support. </w:t>
      </w:r>
      <w:r w:rsidR="00E0577B" w:rsidRPr="002F2C67">
        <w:rPr>
          <w:rFonts w:asciiTheme="minorBidi" w:hAnsiTheme="minorBidi" w:cstheme="minorBidi"/>
          <w:color w:val="000000" w:themeColor="text1"/>
          <w:szCs w:val="22"/>
        </w:rPr>
        <w:t xml:space="preserve">Membership of the Alliance will be predominantly at the institutional level, with a small number of Ocean Decade Alliance patrons playing an individual role in the Alliance. Current membership of the Alliance can be found </w:t>
      </w:r>
      <w:hyperlink r:id="rId9" w:history="1">
        <w:r w:rsidR="00E0577B" w:rsidRPr="002F2C67">
          <w:rPr>
            <w:rFonts w:asciiTheme="minorBidi" w:hAnsiTheme="minorBidi" w:cstheme="minorBidi"/>
            <w:color w:val="000000" w:themeColor="text1"/>
            <w:szCs w:val="22"/>
          </w:rPr>
          <w:t>here</w:t>
        </w:r>
      </w:hyperlink>
      <w:r w:rsidR="00E0577B" w:rsidRPr="002F2C67">
        <w:rPr>
          <w:rFonts w:asciiTheme="minorBidi" w:hAnsiTheme="minorBidi" w:cstheme="minorBidi"/>
          <w:color w:val="000000" w:themeColor="text1"/>
          <w:szCs w:val="22"/>
        </w:rPr>
        <w:t xml:space="preserve">. </w:t>
      </w:r>
    </w:p>
    <w:p w14:paraId="70FAE2E9" w14:textId="77777777" w:rsidR="00E0577B" w:rsidRPr="002F2C67" w:rsidRDefault="008E7977"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Alliance is not a funding mechanism but will provide a framework via which members can either earmark Decade Actions that they plan to finance or where they can ‘commit’ resources to a virtual resource pool and then work with the Decade Coordination Unit to identify opportunities for support via the regular resource needs assessment that will be prepared by the Unit. </w:t>
      </w:r>
    </w:p>
    <w:p w14:paraId="63E0006D" w14:textId="77777777" w:rsidR="0080578C" w:rsidRPr="002F2C67" w:rsidRDefault="0080578C" w:rsidP="002F2C67">
      <w:pPr>
        <w:pStyle w:val="Marge"/>
        <w:rPr>
          <w:rFonts w:asciiTheme="minorBidi" w:hAnsiTheme="minorBidi" w:cstheme="minorBidi"/>
          <w:b/>
          <w:bCs/>
          <w:szCs w:val="22"/>
        </w:rPr>
      </w:pPr>
      <w:r w:rsidRPr="002F2C67">
        <w:rPr>
          <w:rFonts w:asciiTheme="minorBidi" w:hAnsiTheme="minorBidi" w:cstheme="minorBidi"/>
          <w:b/>
          <w:bCs/>
          <w:szCs w:val="22"/>
        </w:rPr>
        <w:t>Mechanism 3: Partner-led Financing / Grant-making Facility</w:t>
      </w:r>
    </w:p>
    <w:p w14:paraId="237D3223" w14:textId="77777777" w:rsidR="001372DC" w:rsidRPr="002F2C67" w:rsidRDefault="002F5799"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Partners can also lead financing through their own grant making facility. </w:t>
      </w:r>
      <w:r w:rsidR="009C295E" w:rsidRPr="002F2C67">
        <w:rPr>
          <w:rFonts w:asciiTheme="minorBidi" w:hAnsiTheme="minorBidi" w:cstheme="minorBidi"/>
          <w:color w:val="000000" w:themeColor="text1"/>
          <w:szCs w:val="22"/>
        </w:rPr>
        <w:t xml:space="preserve">Under this mechanism, an independent entity with its own grant making capacity (e.g. a philanthropic foundation, an NGO or a government entity) will express the desire to mobilise resources to support Decade Actions and offers to act as a hub for mobilising financial contributions from other donors. Individual initiatives funded by the facility will follow the endorsement processes set out </w:t>
      </w:r>
      <w:r w:rsidRPr="002F2C67">
        <w:rPr>
          <w:rFonts w:asciiTheme="minorBidi" w:hAnsiTheme="minorBidi" w:cstheme="minorBidi"/>
          <w:color w:val="000000" w:themeColor="text1"/>
          <w:szCs w:val="22"/>
        </w:rPr>
        <w:t>in Section 2.4</w:t>
      </w:r>
      <w:r w:rsidR="00D844D2" w:rsidRPr="002F2C67">
        <w:rPr>
          <w:rFonts w:asciiTheme="minorBidi" w:hAnsiTheme="minorBidi" w:cstheme="minorBidi"/>
          <w:color w:val="000000" w:themeColor="text1"/>
          <w:szCs w:val="22"/>
        </w:rPr>
        <w:t xml:space="preserve"> of the Implementation Plan</w:t>
      </w:r>
      <w:r w:rsidRPr="002F2C67">
        <w:rPr>
          <w:rFonts w:asciiTheme="minorBidi" w:hAnsiTheme="minorBidi" w:cstheme="minorBidi"/>
          <w:color w:val="000000" w:themeColor="text1"/>
          <w:szCs w:val="22"/>
        </w:rPr>
        <w:t xml:space="preserve">. </w:t>
      </w:r>
      <w:r w:rsidR="009C295E" w:rsidRPr="002F2C67">
        <w:rPr>
          <w:rFonts w:asciiTheme="minorBidi" w:hAnsiTheme="minorBidi" w:cstheme="minorBidi"/>
          <w:color w:val="000000" w:themeColor="text1"/>
          <w:szCs w:val="22"/>
        </w:rPr>
        <w:t xml:space="preserve">Such a facility may focus on a specific theme, </w:t>
      </w:r>
      <w:proofErr w:type="gramStart"/>
      <w:r w:rsidR="009C295E" w:rsidRPr="002F2C67">
        <w:rPr>
          <w:rFonts w:asciiTheme="minorBidi" w:hAnsiTheme="minorBidi" w:cstheme="minorBidi"/>
          <w:color w:val="000000" w:themeColor="text1"/>
          <w:szCs w:val="22"/>
        </w:rPr>
        <w:t>geography</w:t>
      </w:r>
      <w:proofErr w:type="gramEnd"/>
      <w:r w:rsidR="009C295E" w:rsidRPr="002F2C67">
        <w:rPr>
          <w:rFonts w:asciiTheme="minorBidi" w:hAnsiTheme="minorBidi" w:cstheme="minorBidi"/>
          <w:color w:val="000000" w:themeColor="text1"/>
          <w:szCs w:val="22"/>
        </w:rPr>
        <w:t xml:space="preserve"> or type of Action (e.g. provision of support to LDC, SIDS or LLDC partners), or may have a broader mandate.</w:t>
      </w:r>
      <w:r w:rsidR="00E62F30" w:rsidRPr="002F2C67">
        <w:rPr>
          <w:rFonts w:asciiTheme="minorBidi" w:hAnsiTheme="minorBidi" w:cstheme="minorBidi"/>
          <w:color w:val="000000" w:themeColor="text1"/>
          <w:szCs w:val="22"/>
        </w:rPr>
        <w:t xml:space="preserve"> Several entities have expressed an interest to develop this type of facility and the ICO Secretariat is currently developing more detailed operational guidance to allow further development of these proposals. </w:t>
      </w:r>
    </w:p>
    <w:p w14:paraId="359B5FE0" w14:textId="2FF8D736" w:rsidR="00380BB7" w:rsidRPr="002F2C67" w:rsidRDefault="005C40D1" w:rsidP="002F2C67">
      <w:pPr>
        <w:pStyle w:val="Heading1"/>
        <w:snapToGrid w:val="0"/>
        <w:spacing w:before="0" w:after="240" w:line="240" w:lineRule="auto"/>
        <w:rPr>
          <w:rFonts w:asciiTheme="minorBidi" w:hAnsiTheme="minorBidi" w:cstheme="minorBidi"/>
          <w:b/>
          <w:sz w:val="22"/>
          <w:szCs w:val="22"/>
        </w:rPr>
      </w:pPr>
      <w:bookmarkStart w:id="5" w:name="_Toc51754532"/>
      <w:bookmarkStart w:id="6" w:name="_Toc73968037"/>
      <w:r w:rsidRPr="002F2C67">
        <w:rPr>
          <w:rFonts w:asciiTheme="minorBidi" w:hAnsiTheme="minorBidi" w:cstheme="minorBidi"/>
          <w:b/>
          <w:sz w:val="22"/>
          <w:szCs w:val="22"/>
        </w:rPr>
        <w:lastRenderedPageBreak/>
        <w:t>2</w:t>
      </w:r>
      <w:r w:rsidR="009D5C1F" w:rsidRPr="002F2C67">
        <w:rPr>
          <w:rFonts w:asciiTheme="minorBidi" w:hAnsiTheme="minorBidi" w:cstheme="minorBidi"/>
          <w:b/>
          <w:sz w:val="22"/>
          <w:szCs w:val="22"/>
        </w:rPr>
        <w:t xml:space="preserve">. </w:t>
      </w:r>
      <w:r w:rsidR="009D5C1F" w:rsidRPr="002F2C67">
        <w:rPr>
          <w:rFonts w:asciiTheme="minorBidi" w:hAnsiTheme="minorBidi" w:cstheme="minorBidi"/>
          <w:b/>
          <w:sz w:val="22"/>
          <w:szCs w:val="22"/>
        </w:rPr>
        <w:tab/>
      </w:r>
      <w:r w:rsidR="004357D1" w:rsidRPr="002F2C67">
        <w:rPr>
          <w:rFonts w:asciiTheme="minorBidi" w:hAnsiTheme="minorBidi" w:cstheme="minorBidi"/>
          <w:b/>
          <w:sz w:val="22"/>
          <w:szCs w:val="22"/>
        </w:rPr>
        <w:t xml:space="preserve">Overarching </w:t>
      </w:r>
      <w:r w:rsidR="00D33920" w:rsidRPr="002F2C67">
        <w:rPr>
          <w:rFonts w:asciiTheme="minorBidi" w:hAnsiTheme="minorBidi" w:cstheme="minorBidi"/>
          <w:b/>
          <w:sz w:val="22"/>
          <w:szCs w:val="22"/>
        </w:rPr>
        <w:t>Objectives</w:t>
      </w:r>
      <w:r w:rsidR="004357D1" w:rsidRPr="002F2C67">
        <w:rPr>
          <w:rFonts w:asciiTheme="minorBidi" w:hAnsiTheme="minorBidi" w:cstheme="minorBidi"/>
          <w:b/>
          <w:sz w:val="22"/>
          <w:szCs w:val="22"/>
        </w:rPr>
        <w:t xml:space="preserve"> of the </w:t>
      </w:r>
      <w:r w:rsidR="001359DC" w:rsidRPr="002F2C67">
        <w:rPr>
          <w:rFonts w:asciiTheme="minorBidi" w:hAnsiTheme="minorBidi" w:cstheme="minorBidi"/>
          <w:b/>
          <w:sz w:val="22"/>
          <w:szCs w:val="22"/>
        </w:rPr>
        <w:t>R</w:t>
      </w:r>
      <w:r w:rsidR="009D5C1F" w:rsidRPr="002F2C67">
        <w:rPr>
          <w:rFonts w:asciiTheme="minorBidi" w:hAnsiTheme="minorBidi" w:cstheme="minorBidi"/>
          <w:b/>
          <w:sz w:val="22"/>
          <w:szCs w:val="22"/>
        </w:rPr>
        <w:t xml:space="preserve">esource </w:t>
      </w:r>
      <w:r w:rsidR="001359DC" w:rsidRPr="002F2C67">
        <w:rPr>
          <w:rFonts w:asciiTheme="minorBidi" w:hAnsiTheme="minorBidi" w:cstheme="minorBidi"/>
          <w:b/>
          <w:sz w:val="22"/>
          <w:szCs w:val="22"/>
        </w:rPr>
        <w:t>M</w:t>
      </w:r>
      <w:r w:rsidR="009D5C1F" w:rsidRPr="002F2C67">
        <w:rPr>
          <w:rFonts w:asciiTheme="minorBidi" w:hAnsiTheme="minorBidi" w:cstheme="minorBidi"/>
          <w:b/>
          <w:sz w:val="22"/>
          <w:szCs w:val="22"/>
        </w:rPr>
        <w:t xml:space="preserve">obilization </w:t>
      </w:r>
      <w:r w:rsidR="004357D1" w:rsidRPr="002F2C67">
        <w:rPr>
          <w:rFonts w:asciiTheme="minorBidi" w:hAnsiTheme="minorBidi" w:cstheme="minorBidi"/>
          <w:b/>
          <w:sz w:val="22"/>
          <w:szCs w:val="22"/>
        </w:rPr>
        <w:t xml:space="preserve">Efforts </w:t>
      </w:r>
      <w:r w:rsidR="009D5C1F" w:rsidRPr="002F2C67">
        <w:rPr>
          <w:rFonts w:asciiTheme="minorBidi" w:hAnsiTheme="minorBidi" w:cstheme="minorBidi"/>
          <w:b/>
          <w:sz w:val="22"/>
          <w:szCs w:val="22"/>
        </w:rPr>
        <w:t xml:space="preserve">for </w:t>
      </w:r>
      <w:bookmarkEnd w:id="5"/>
      <w:r w:rsidR="0028518B" w:rsidRPr="002F2C67">
        <w:rPr>
          <w:rFonts w:asciiTheme="minorBidi" w:hAnsiTheme="minorBidi" w:cstheme="minorBidi"/>
          <w:b/>
          <w:sz w:val="22"/>
          <w:szCs w:val="22"/>
        </w:rPr>
        <w:t>the Ocean Decade</w:t>
      </w:r>
      <w:bookmarkEnd w:id="6"/>
    </w:p>
    <w:p w14:paraId="24B9F017" w14:textId="77777777" w:rsidR="00D73DF3" w:rsidRPr="002F2C67" w:rsidRDefault="008F43CF" w:rsidP="002F2C67">
      <w:pPr>
        <w:pStyle w:val="Heading2"/>
        <w:snapToGrid w:val="0"/>
        <w:spacing w:before="0" w:after="240"/>
        <w:rPr>
          <w:rFonts w:asciiTheme="minorBidi" w:hAnsiTheme="minorBidi" w:cstheme="minorBidi"/>
          <w:sz w:val="22"/>
          <w:szCs w:val="22"/>
        </w:rPr>
      </w:pPr>
      <w:bookmarkStart w:id="7" w:name="_Toc73968038"/>
      <w:bookmarkStart w:id="8" w:name="_Toc51753705"/>
      <w:bookmarkStart w:id="9" w:name="_Toc51754533"/>
      <w:r w:rsidRPr="002F2C67">
        <w:rPr>
          <w:rFonts w:asciiTheme="minorBidi" w:hAnsiTheme="minorBidi" w:cstheme="minorBidi"/>
          <w:sz w:val="22"/>
          <w:szCs w:val="22"/>
        </w:rPr>
        <w:t>Stimulate a Massive Scale Up in Financing for Ocean Science</w:t>
      </w:r>
      <w:bookmarkEnd w:id="7"/>
      <w:r w:rsidRPr="002F2C67">
        <w:rPr>
          <w:rFonts w:asciiTheme="minorBidi" w:hAnsiTheme="minorBidi" w:cstheme="minorBidi"/>
          <w:sz w:val="22"/>
          <w:szCs w:val="22"/>
        </w:rPr>
        <w:t xml:space="preserve"> </w:t>
      </w:r>
    </w:p>
    <w:p w14:paraId="0C3C626C" w14:textId="77777777" w:rsidR="00A93E72" w:rsidRPr="002F2C67" w:rsidRDefault="00D33920"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primary objective of the </w:t>
      </w:r>
      <w:r w:rsidR="00174A76" w:rsidRPr="002F2C67">
        <w:rPr>
          <w:rFonts w:asciiTheme="minorBidi" w:hAnsiTheme="minorBidi" w:cstheme="minorBidi"/>
          <w:color w:val="000000" w:themeColor="text1"/>
          <w:szCs w:val="22"/>
        </w:rPr>
        <w:t xml:space="preserve">Ocean Decade is </w:t>
      </w:r>
      <w:r w:rsidRPr="002F2C67">
        <w:rPr>
          <w:rFonts w:asciiTheme="minorBidi" w:hAnsiTheme="minorBidi" w:cstheme="minorBidi"/>
          <w:color w:val="000000" w:themeColor="text1"/>
          <w:szCs w:val="22"/>
        </w:rPr>
        <w:t xml:space="preserve">to </w:t>
      </w:r>
      <w:r w:rsidR="00174A76" w:rsidRPr="002F2C67">
        <w:rPr>
          <w:rFonts w:asciiTheme="minorBidi" w:hAnsiTheme="minorBidi" w:cstheme="minorBidi"/>
          <w:color w:val="000000" w:themeColor="text1"/>
          <w:szCs w:val="22"/>
        </w:rPr>
        <w:t>s</w:t>
      </w:r>
      <w:r w:rsidR="0082308A" w:rsidRPr="002F2C67">
        <w:rPr>
          <w:rFonts w:asciiTheme="minorBidi" w:hAnsiTheme="minorBidi" w:cstheme="minorBidi"/>
          <w:color w:val="000000" w:themeColor="text1"/>
          <w:szCs w:val="22"/>
        </w:rPr>
        <w:t>timulat</w:t>
      </w:r>
      <w:r w:rsidRPr="002F2C67">
        <w:rPr>
          <w:rFonts w:asciiTheme="minorBidi" w:hAnsiTheme="minorBidi" w:cstheme="minorBidi"/>
          <w:color w:val="000000" w:themeColor="text1"/>
          <w:szCs w:val="22"/>
        </w:rPr>
        <w:t>e</w:t>
      </w:r>
      <w:r w:rsidR="0082308A" w:rsidRPr="002F2C67">
        <w:rPr>
          <w:rFonts w:asciiTheme="minorBidi" w:hAnsiTheme="minorBidi" w:cstheme="minorBidi"/>
          <w:color w:val="000000" w:themeColor="text1"/>
          <w:szCs w:val="22"/>
        </w:rPr>
        <w:t xml:space="preserve"> a</w:t>
      </w:r>
      <w:r w:rsidRPr="002F2C67">
        <w:rPr>
          <w:rFonts w:asciiTheme="minorBidi" w:hAnsiTheme="minorBidi" w:cstheme="minorBidi"/>
          <w:color w:val="000000" w:themeColor="text1"/>
          <w:szCs w:val="22"/>
        </w:rPr>
        <w:t xml:space="preserve">n </w:t>
      </w:r>
      <w:r w:rsidR="0082308A" w:rsidRPr="002F2C67">
        <w:rPr>
          <w:rFonts w:asciiTheme="minorBidi" w:hAnsiTheme="minorBidi" w:cstheme="minorBidi"/>
          <w:color w:val="000000" w:themeColor="text1"/>
          <w:szCs w:val="22"/>
        </w:rPr>
        <w:t>increase in spend</w:t>
      </w:r>
      <w:r w:rsidR="00A93E72" w:rsidRPr="002F2C67">
        <w:rPr>
          <w:rFonts w:asciiTheme="minorBidi" w:hAnsiTheme="minorBidi" w:cstheme="minorBidi"/>
          <w:color w:val="000000" w:themeColor="text1"/>
          <w:szCs w:val="22"/>
        </w:rPr>
        <w:t>ing</w:t>
      </w:r>
      <w:r w:rsidR="0082308A" w:rsidRPr="002F2C67">
        <w:rPr>
          <w:rFonts w:asciiTheme="minorBidi" w:hAnsiTheme="minorBidi" w:cstheme="minorBidi"/>
          <w:color w:val="000000" w:themeColor="text1"/>
          <w:szCs w:val="22"/>
        </w:rPr>
        <w:t xml:space="preserve"> on ocean science</w:t>
      </w:r>
      <w:r w:rsidR="00175297" w:rsidRPr="002F2C67">
        <w:rPr>
          <w:rFonts w:asciiTheme="minorBidi" w:hAnsiTheme="minorBidi" w:cstheme="minorBidi"/>
          <w:color w:val="000000" w:themeColor="text1"/>
          <w:szCs w:val="22"/>
        </w:rPr>
        <w:t xml:space="preserve"> </w:t>
      </w:r>
      <w:r w:rsidR="003E1451" w:rsidRPr="002F2C67">
        <w:rPr>
          <w:rFonts w:asciiTheme="minorBidi" w:hAnsiTheme="minorBidi" w:cstheme="minorBidi"/>
          <w:color w:val="000000" w:themeColor="text1"/>
          <w:szCs w:val="22"/>
        </w:rPr>
        <w:t>at orders of magnitude greater than</w:t>
      </w:r>
      <w:r w:rsidRPr="002F2C67">
        <w:rPr>
          <w:rFonts w:asciiTheme="minorBidi" w:hAnsiTheme="minorBidi" w:cstheme="minorBidi"/>
          <w:color w:val="000000" w:themeColor="text1"/>
          <w:szCs w:val="22"/>
        </w:rPr>
        <w:t xml:space="preserve"> current levels</w:t>
      </w:r>
      <w:r w:rsidR="006942B8" w:rsidRPr="002F2C67">
        <w:rPr>
          <w:rFonts w:asciiTheme="minorBidi" w:hAnsiTheme="minorBidi" w:cstheme="minorBidi"/>
          <w:color w:val="000000" w:themeColor="text1"/>
          <w:szCs w:val="22"/>
        </w:rPr>
        <w:t xml:space="preserve">. Included in this objective is the need for broadening and diversifying the base of funders to move beyond a core group of Member States and philanthropic foundations to include more geographic diversity as well as enhanced support and participation from </w:t>
      </w:r>
      <w:r w:rsidR="003E1451" w:rsidRPr="002F2C67">
        <w:rPr>
          <w:rFonts w:asciiTheme="minorBidi" w:hAnsiTheme="minorBidi" w:cstheme="minorBidi"/>
          <w:color w:val="000000" w:themeColor="text1"/>
          <w:szCs w:val="22"/>
        </w:rPr>
        <w:t xml:space="preserve">international financial institutions including </w:t>
      </w:r>
      <w:r w:rsidR="006942B8" w:rsidRPr="002F2C67">
        <w:rPr>
          <w:rFonts w:asciiTheme="minorBidi" w:hAnsiTheme="minorBidi" w:cstheme="minorBidi"/>
          <w:color w:val="000000" w:themeColor="text1"/>
          <w:szCs w:val="22"/>
        </w:rPr>
        <w:t xml:space="preserve">climate financing mechanisms, multilateral banks, sovereign wealth funds and the private sector. </w:t>
      </w:r>
      <w:r w:rsidR="00175297" w:rsidRPr="002F2C67">
        <w:rPr>
          <w:rFonts w:asciiTheme="minorBidi" w:hAnsiTheme="minorBidi" w:cstheme="minorBidi"/>
          <w:color w:val="000000" w:themeColor="text1"/>
          <w:szCs w:val="22"/>
        </w:rPr>
        <w:t>Although there is no current projection of the total need for ocean science research</w:t>
      </w:r>
      <w:r w:rsidR="003E1451" w:rsidRPr="002F2C67">
        <w:rPr>
          <w:rFonts w:asciiTheme="minorBidi" w:hAnsiTheme="minorBidi" w:cstheme="minorBidi"/>
          <w:color w:val="000000" w:themeColor="text1"/>
          <w:szCs w:val="22"/>
        </w:rPr>
        <w:t xml:space="preserve"> over the Ocean Decade</w:t>
      </w:r>
      <w:r w:rsidR="00175297" w:rsidRPr="002F2C67">
        <w:rPr>
          <w:rFonts w:asciiTheme="minorBidi" w:hAnsiTheme="minorBidi" w:cstheme="minorBidi"/>
          <w:color w:val="000000" w:themeColor="text1"/>
          <w:szCs w:val="22"/>
        </w:rPr>
        <w:t>, the gap in funding between current financing levels and expected need over the next 10 years is likely in the billions of dollars globally.</w:t>
      </w:r>
    </w:p>
    <w:p w14:paraId="03988854" w14:textId="77777777" w:rsidR="00715C5A" w:rsidRPr="002F2C67" w:rsidRDefault="003E1451"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The resource mobilisation strategy for the Ocean Decade will contain quantitative objectives for financing levels over the next ten years from different types of financing partners.</w:t>
      </w:r>
      <w:r w:rsidR="00A93E72"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There</w:t>
      </w:r>
      <w:r w:rsidR="00A93E72" w:rsidRPr="002F2C67">
        <w:rPr>
          <w:rFonts w:asciiTheme="minorBidi" w:hAnsiTheme="minorBidi" w:cstheme="minorBidi"/>
          <w:color w:val="000000" w:themeColor="text1"/>
          <w:szCs w:val="22"/>
        </w:rPr>
        <w:t xml:space="preserve"> will also be</w:t>
      </w:r>
      <w:r w:rsidR="007F730B" w:rsidRPr="002F2C67">
        <w:rPr>
          <w:rFonts w:asciiTheme="minorBidi" w:hAnsiTheme="minorBidi" w:cstheme="minorBidi"/>
          <w:color w:val="000000" w:themeColor="text1"/>
          <w:szCs w:val="22"/>
        </w:rPr>
        <w:t xml:space="preserve"> a need to </w:t>
      </w:r>
      <w:r w:rsidR="0072736C" w:rsidRPr="002F2C67">
        <w:rPr>
          <w:rFonts w:asciiTheme="minorBidi" w:hAnsiTheme="minorBidi" w:cstheme="minorBidi"/>
          <w:color w:val="000000" w:themeColor="text1"/>
          <w:szCs w:val="22"/>
        </w:rPr>
        <w:t>develop</w:t>
      </w:r>
      <w:r w:rsidRPr="002F2C67">
        <w:rPr>
          <w:rFonts w:asciiTheme="minorBidi" w:hAnsiTheme="minorBidi" w:cstheme="minorBidi"/>
          <w:color w:val="000000" w:themeColor="text1"/>
          <w:szCs w:val="22"/>
        </w:rPr>
        <w:t xml:space="preserve"> targets and</w:t>
      </w:r>
      <w:r w:rsidR="0072736C" w:rsidRPr="002F2C67">
        <w:rPr>
          <w:rFonts w:asciiTheme="minorBidi" w:hAnsiTheme="minorBidi" w:cstheme="minorBidi"/>
          <w:color w:val="000000" w:themeColor="text1"/>
          <w:szCs w:val="22"/>
        </w:rPr>
        <w:t xml:space="preserve"> a diagnostic tool that benchmarks and tracks other key performance measures</w:t>
      </w:r>
      <w:r w:rsidR="00251987" w:rsidRPr="002F2C67">
        <w:rPr>
          <w:rFonts w:asciiTheme="minorBidi" w:hAnsiTheme="minorBidi" w:cstheme="minorBidi"/>
          <w:color w:val="000000" w:themeColor="text1"/>
          <w:szCs w:val="22"/>
        </w:rPr>
        <w:t xml:space="preserve"> for </w:t>
      </w:r>
      <w:r w:rsidRPr="002F2C67">
        <w:rPr>
          <w:rFonts w:asciiTheme="minorBidi" w:hAnsiTheme="minorBidi" w:cstheme="minorBidi"/>
          <w:color w:val="000000" w:themeColor="text1"/>
          <w:szCs w:val="22"/>
        </w:rPr>
        <w:t>tracking other relevant indicators including</w:t>
      </w:r>
      <w:r w:rsidR="0072736C" w:rsidRPr="002F2C67">
        <w:rPr>
          <w:rFonts w:asciiTheme="minorBidi" w:hAnsiTheme="minorBidi" w:cstheme="minorBidi"/>
          <w:color w:val="000000" w:themeColor="text1"/>
          <w:szCs w:val="22"/>
        </w:rPr>
        <w:t xml:space="preserve"> the increase in the diversity of</w:t>
      </w:r>
      <w:r w:rsidRPr="002F2C67">
        <w:rPr>
          <w:rFonts w:asciiTheme="minorBidi" w:hAnsiTheme="minorBidi" w:cstheme="minorBidi"/>
          <w:color w:val="000000" w:themeColor="text1"/>
          <w:szCs w:val="22"/>
        </w:rPr>
        <w:t xml:space="preserve"> and geographic reach of donors</w:t>
      </w:r>
      <w:r w:rsidR="00D04259" w:rsidRPr="002F2C67">
        <w:rPr>
          <w:rFonts w:asciiTheme="minorBidi" w:hAnsiTheme="minorBidi" w:cstheme="minorBidi"/>
          <w:color w:val="000000" w:themeColor="text1"/>
          <w:szCs w:val="22"/>
        </w:rPr>
        <w:t>; and</w:t>
      </w:r>
      <w:r w:rsidR="0072736C" w:rsidRPr="002F2C67">
        <w:rPr>
          <w:rFonts w:asciiTheme="minorBidi" w:hAnsiTheme="minorBidi" w:cstheme="minorBidi"/>
          <w:color w:val="000000" w:themeColor="text1"/>
          <w:szCs w:val="22"/>
        </w:rPr>
        <w:t xml:space="preserve"> </w:t>
      </w:r>
      <w:r w:rsidR="00D04259" w:rsidRPr="002F2C67">
        <w:rPr>
          <w:rFonts w:asciiTheme="minorBidi" w:hAnsiTheme="minorBidi" w:cstheme="minorBidi"/>
          <w:color w:val="000000" w:themeColor="text1"/>
          <w:szCs w:val="22"/>
        </w:rPr>
        <w:t xml:space="preserve">the </w:t>
      </w:r>
      <w:r w:rsidR="0072736C" w:rsidRPr="002F2C67">
        <w:rPr>
          <w:rFonts w:asciiTheme="minorBidi" w:hAnsiTheme="minorBidi" w:cstheme="minorBidi"/>
          <w:color w:val="000000" w:themeColor="text1"/>
          <w:szCs w:val="22"/>
        </w:rPr>
        <w:t>increase in the average length of ocean science grants</w:t>
      </w:r>
      <w:r w:rsidR="00D04259" w:rsidRPr="002F2C67">
        <w:rPr>
          <w:rFonts w:asciiTheme="minorBidi" w:hAnsiTheme="minorBidi" w:cstheme="minorBidi"/>
          <w:color w:val="000000" w:themeColor="text1"/>
          <w:szCs w:val="22"/>
        </w:rPr>
        <w:t xml:space="preserve">. </w:t>
      </w:r>
    </w:p>
    <w:p w14:paraId="0DB2AFBF" w14:textId="77777777" w:rsidR="00FA3AF2" w:rsidRPr="002F2C67" w:rsidRDefault="00FA3AF2" w:rsidP="002F2C67">
      <w:pPr>
        <w:pStyle w:val="Heading2"/>
        <w:snapToGrid w:val="0"/>
        <w:spacing w:before="0" w:after="240"/>
        <w:rPr>
          <w:rFonts w:asciiTheme="minorBidi" w:hAnsiTheme="minorBidi" w:cstheme="minorBidi"/>
          <w:sz w:val="22"/>
          <w:szCs w:val="22"/>
        </w:rPr>
      </w:pPr>
      <w:bookmarkStart w:id="10" w:name="_Toc73968039"/>
      <w:bookmarkEnd w:id="8"/>
      <w:bookmarkEnd w:id="9"/>
      <w:r w:rsidRPr="002F2C67">
        <w:rPr>
          <w:rFonts w:asciiTheme="minorBidi" w:hAnsiTheme="minorBidi" w:cstheme="minorBidi"/>
          <w:sz w:val="22"/>
          <w:szCs w:val="22"/>
        </w:rPr>
        <w:t>Establish a Fully</w:t>
      </w:r>
      <w:r w:rsidR="00733172" w:rsidRPr="002F2C67">
        <w:rPr>
          <w:rFonts w:asciiTheme="minorBidi" w:hAnsiTheme="minorBidi" w:cstheme="minorBidi"/>
          <w:sz w:val="22"/>
          <w:szCs w:val="22"/>
        </w:rPr>
        <w:t xml:space="preserve"> </w:t>
      </w:r>
      <w:r w:rsidRPr="002F2C67">
        <w:rPr>
          <w:rFonts w:asciiTheme="minorBidi" w:hAnsiTheme="minorBidi" w:cstheme="minorBidi"/>
          <w:sz w:val="22"/>
          <w:szCs w:val="22"/>
        </w:rPr>
        <w:t xml:space="preserve">Funded </w:t>
      </w:r>
      <w:r w:rsidR="00271790" w:rsidRPr="002F2C67">
        <w:rPr>
          <w:rFonts w:asciiTheme="minorBidi" w:hAnsiTheme="minorBidi" w:cstheme="minorBidi"/>
          <w:sz w:val="22"/>
          <w:szCs w:val="22"/>
        </w:rPr>
        <w:t xml:space="preserve">Ocean </w:t>
      </w:r>
      <w:r w:rsidRPr="002F2C67">
        <w:rPr>
          <w:rFonts w:asciiTheme="minorBidi" w:hAnsiTheme="minorBidi" w:cstheme="minorBidi"/>
          <w:sz w:val="22"/>
          <w:szCs w:val="22"/>
        </w:rPr>
        <w:t>Decade Coordination Unit</w:t>
      </w:r>
      <w:bookmarkEnd w:id="10"/>
    </w:p>
    <w:p w14:paraId="1B0CF2D4" w14:textId="77777777" w:rsidR="00271790" w:rsidRPr="002F2C67" w:rsidRDefault="003E1451"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There is a shorter term </w:t>
      </w:r>
      <w:r w:rsidR="00FB60B0" w:rsidRPr="002F2C67">
        <w:rPr>
          <w:rFonts w:asciiTheme="minorBidi" w:hAnsiTheme="minorBidi" w:cstheme="minorBidi"/>
          <w:color w:val="000000" w:themeColor="text1"/>
          <w:szCs w:val="22"/>
        </w:rPr>
        <w:t>need</w:t>
      </w:r>
      <w:r w:rsidR="00271790" w:rsidRPr="002F2C67">
        <w:rPr>
          <w:rFonts w:asciiTheme="minorBidi" w:hAnsiTheme="minorBidi" w:cstheme="minorBidi"/>
          <w:color w:val="000000" w:themeColor="text1"/>
          <w:szCs w:val="22"/>
        </w:rPr>
        <w:t xml:space="preserve"> in 2021 to secure the necessary financial support to establish the Ocean Decade Coordination Unit </w:t>
      </w:r>
      <w:r w:rsidR="00FB60B0" w:rsidRPr="002F2C67">
        <w:rPr>
          <w:rFonts w:asciiTheme="minorBidi" w:hAnsiTheme="minorBidi" w:cstheme="minorBidi"/>
          <w:color w:val="000000" w:themeColor="text1"/>
          <w:szCs w:val="22"/>
        </w:rPr>
        <w:t xml:space="preserve">that will </w:t>
      </w:r>
      <w:r w:rsidR="00EE1159" w:rsidRPr="002F2C67">
        <w:rPr>
          <w:rFonts w:asciiTheme="minorBidi" w:hAnsiTheme="minorBidi" w:cstheme="minorBidi"/>
          <w:color w:val="000000" w:themeColor="text1"/>
          <w:szCs w:val="22"/>
        </w:rPr>
        <w:t xml:space="preserve">oversee the </w:t>
      </w:r>
      <w:r w:rsidR="00271790" w:rsidRPr="002F2C67">
        <w:rPr>
          <w:rFonts w:asciiTheme="minorBidi" w:hAnsiTheme="minorBidi" w:cstheme="minorBidi"/>
          <w:color w:val="000000" w:themeColor="text1"/>
          <w:szCs w:val="22"/>
        </w:rPr>
        <w:t xml:space="preserve">implementation of </w:t>
      </w:r>
      <w:r w:rsidRPr="002F2C67">
        <w:rPr>
          <w:rFonts w:asciiTheme="minorBidi" w:hAnsiTheme="minorBidi" w:cstheme="minorBidi"/>
          <w:color w:val="000000" w:themeColor="text1"/>
          <w:szCs w:val="22"/>
        </w:rPr>
        <w:t>the</w:t>
      </w:r>
      <w:r w:rsidR="00271790" w:rsidRPr="002F2C67">
        <w:rPr>
          <w:rFonts w:asciiTheme="minorBidi" w:hAnsiTheme="minorBidi" w:cstheme="minorBidi"/>
          <w:color w:val="000000" w:themeColor="text1"/>
          <w:szCs w:val="22"/>
        </w:rPr>
        <w:t xml:space="preserve"> Decade. </w:t>
      </w:r>
      <w:r w:rsidRPr="002F2C67">
        <w:rPr>
          <w:rFonts w:asciiTheme="minorBidi" w:hAnsiTheme="minorBidi" w:cstheme="minorBidi"/>
          <w:color w:val="000000" w:themeColor="text1"/>
          <w:szCs w:val="22"/>
        </w:rPr>
        <w:t xml:space="preserve">The </w:t>
      </w:r>
      <w:r w:rsidR="00271790" w:rsidRPr="002F2C67">
        <w:rPr>
          <w:rFonts w:asciiTheme="minorBidi" w:hAnsiTheme="minorBidi" w:cstheme="minorBidi"/>
          <w:color w:val="000000" w:themeColor="text1"/>
          <w:szCs w:val="22"/>
        </w:rPr>
        <w:t xml:space="preserve">estimated costs for personnel as well as communications activities, meetings, </w:t>
      </w:r>
      <w:proofErr w:type="gramStart"/>
      <w:r w:rsidR="00271790" w:rsidRPr="002F2C67">
        <w:rPr>
          <w:rFonts w:asciiTheme="minorBidi" w:hAnsiTheme="minorBidi" w:cstheme="minorBidi"/>
          <w:color w:val="000000" w:themeColor="text1"/>
          <w:szCs w:val="22"/>
        </w:rPr>
        <w:t>travel</w:t>
      </w:r>
      <w:proofErr w:type="gramEnd"/>
      <w:r w:rsidR="00271790" w:rsidRPr="002F2C67">
        <w:rPr>
          <w:rFonts w:asciiTheme="minorBidi" w:hAnsiTheme="minorBidi" w:cstheme="minorBidi"/>
          <w:color w:val="000000" w:themeColor="text1"/>
          <w:szCs w:val="22"/>
        </w:rPr>
        <w:t xml:space="preserve"> and other operational costs are in the order of </w:t>
      </w:r>
      <w:r w:rsidRPr="002F2C67">
        <w:rPr>
          <w:rFonts w:asciiTheme="minorBidi" w:hAnsiTheme="minorBidi" w:cstheme="minorBidi"/>
          <w:color w:val="000000" w:themeColor="text1"/>
          <w:szCs w:val="22"/>
        </w:rPr>
        <w:t>US$</w:t>
      </w:r>
      <w:r w:rsidR="00271790" w:rsidRPr="002F2C67">
        <w:rPr>
          <w:rFonts w:asciiTheme="minorBidi" w:hAnsiTheme="minorBidi" w:cstheme="minorBidi"/>
          <w:color w:val="000000" w:themeColor="text1"/>
          <w:szCs w:val="22"/>
        </w:rPr>
        <w:t>2</w:t>
      </w:r>
      <w:r w:rsidRPr="002F2C67">
        <w:rPr>
          <w:rFonts w:asciiTheme="minorBidi" w:hAnsiTheme="minorBidi" w:cstheme="minorBidi"/>
          <w:color w:val="000000" w:themeColor="text1"/>
          <w:szCs w:val="22"/>
        </w:rPr>
        <w:t xml:space="preserve"> – 2.5</w:t>
      </w:r>
      <w:r w:rsidR="00271790" w:rsidRPr="002F2C67">
        <w:rPr>
          <w:rFonts w:asciiTheme="minorBidi" w:hAnsiTheme="minorBidi" w:cstheme="minorBidi"/>
          <w:color w:val="000000" w:themeColor="text1"/>
          <w:szCs w:val="22"/>
        </w:rPr>
        <w:t xml:space="preserve"> million per year. </w:t>
      </w:r>
    </w:p>
    <w:p w14:paraId="5ACC6A95" w14:textId="77777777" w:rsidR="00A10DA9" w:rsidRPr="002F2C67" w:rsidRDefault="00EE1159"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importance of fully funding the Decade Coordination Unit cannot be overstated as </w:t>
      </w:r>
      <w:r w:rsidR="0072736C" w:rsidRPr="002F2C67">
        <w:rPr>
          <w:rFonts w:asciiTheme="minorBidi" w:hAnsiTheme="minorBidi" w:cstheme="minorBidi"/>
          <w:color w:val="000000" w:themeColor="text1"/>
          <w:szCs w:val="22"/>
        </w:rPr>
        <w:t>it is essential to the successful</w:t>
      </w:r>
      <w:r w:rsidRPr="002F2C67">
        <w:rPr>
          <w:rFonts w:asciiTheme="minorBidi" w:hAnsiTheme="minorBidi" w:cstheme="minorBidi"/>
          <w:color w:val="000000" w:themeColor="text1"/>
          <w:szCs w:val="22"/>
        </w:rPr>
        <w:t xml:space="preserve"> </w:t>
      </w:r>
      <w:r w:rsidR="0072736C" w:rsidRPr="002F2C67">
        <w:rPr>
          <w:rFonts w:asciiTheme="minorBidi" w:hAnsiTheme="minorBidi" w:cstheme="minorBidi"/>
          <w:color w:val="000000" w:themeColor="text1"/>
          <w:szCs w:val="22"/>
        </w:rPr>
        <w:t>implementation of the Ocean Decade</w:t>
      </w:r>
      <w:r w:rsidR="00FB60B0" w:rsidRPr="002F2C67">
        <w:rPr>
          <w:rFonts w:asciiTheme="minorBidi" w:hAnsiTheme="minorBidi" w:cstheme="minorBidi"/>
          <w:color w:val="000000" w:themeColor="text1"/>
          <w:szCs w:val="22"/>
        </w:rPr>
        <w:t xml:space="preserve"> and is anticipated to </w:t>
      </w:r>
      <w:r w:rsidR="003E1451" w:rsidRPr="002F2C67">
        <w:rPr>
          <w:rFonts w:asciiTheme="minorBidi" w:hAnsiTheme="minorBidi" w:cstheme="minorBidi"/>
          <w:color w:val="000000" w:themeColor="text1"/>
          <w:szCs w:val="22"/>
        </w:rPr>
        <w:t>8 - 10</w:t>
      </w:r>
      <w:r w:rsidR="00FB60B0" w:rsidRPr="002F2C67">
        <w:rPr>
          <w:rFonts w:asciiTheme="minorBidi" w:hAnsiTheme="minorBidi" w:cstheme="minorBidi"/>
          <w:color w:val="000000" w:themeColor="text1"/>
          <w:szCs w:val="22"/>
        </w:rPr>
        <w:t xml:space="preserve"> full time staff members. Securing annual funding is clearly a priority but also securing long-term commitments for the funding of the Decade Coordination Unit will be emphasised during outreach to potential funders to reduce the year-over-year risk for operations and staffing. </w:t>
      </w:r>
    </w:p>
    <w:p w14:paraId="6F21BF7A" w14:textId="77777777" w:rsidR="001359DC" w:rsidRPr="002F2C67" w:rsidRDefault="001359DC" w:rsidP="002F2C67">
      <w:pPr>
        <w:pStyle w:val="Heading2"/>
        <w:snapToGrid w:val="0"/>
        <w:spacing w:before="0" w:after="240"/>
        <w:rPr>
          <w:rFonts w:asciiTheme="minorBidi" w:hAnsiTheme="minorBidi" w:cstheme="minorBidi"/>
          <w:sz w:val="22"/>
          <w:szCs w:val="22"/>
        </w:rPr>
      </w:pPr>
      <w:bookmarkStart w:id="11" w:name="_Toc73968040"/>
      <w:r w:rsidRPr="002F2C67">
        <w:rPr>
          <w:rFonts w:asciiTheme="minorBidi" w:hAnsiTheme="minorBidi" w:cstheme="minorBidi"/>
          <w:sz w:val="22"/>
          <w:szCs w:val="22"/>
        </w:rPr>
        <w:t xml:space="preserve">Risks and Opportunities for Resource </w:t>
      </w:r>
      <w:proofErr w:type="spellStart"/>
      <w:r w:rsidRPr="002F2C67">
        <w:rPr>
          <w:rFonts w:asciiTheme="minorBidi" w:hAnsiTheme="minorBidi" w:cstheme="minorBidi"/>
          <w:sz w:val="22"/>
          <w:szCs w:val="22"/>
        </w:rPr>
        <w:t>Mobili</w:t>
      </w:r>
      <w:r w:rsidR="009605DA" w:rsidRPr="002F2C67">
        <w:rPr>
          <w:rFonts w:asciiTheme="minorBidi" w:hAnsiTheme="minorBidi" w:cstheme="minorBidi"/>
          <w:sz w:val="22"/>
          <w:szCs w:val="22"/>
        </w:rPr>
        <w:t>s</w:t>
      </w:r>
      <w:r w:rsidRPr="002F2C67">
        <w:rPr>
          <w:rFonts w:asciiTheme="minorBidi" w:hAnsiTheme="minorBidi" w:cstheme="minorBidi"/>
          <w:sz w:val="22"/>
          <w:szCs w:val="22"/>
        </w:rPr>
        <w:t>ation</w:t>
      </w:r>
      <w:proofErr w:type="spellEnd"/>
      <w:r w:rsidRPr="002F2C67">
        <w:rPr>
          <w:rFonts w:asciiTheme="minorBidi" w:hAnsiTheme="minorBidi" w:cstheme="minorBidi"/>
          <w:sz w:val="22"/>
          <w:szCs w:val="22"/>
        </w:rPr>
        <w:t xml:space="preserve"> within the Ocean Decade</w:t>
      </w:r>
      <w:bookmarkEnd w:id="11"/>
    </w:p>
    <w:p w14:paraId="7CBB93FE" w14:textId="77777777" w:rsidR="005E6D89" w:rsidRPr="002F2C67" w:rsidRDefault="005E6D89"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IOC has an unquestioned strength in ocean science and its contributions to supporting the global community are well-known. To date, the IOC has successfully delivered against its mandate as the UN agency responsible for supporting global ocean science and services and, as a result, the IOC has enabled its 150 Member States to work together to protect the health of our shared ocean by coordinating programmes in areas such as ocean observations, tsunami warnings and marine spatial planning. </w:t>
      </w:r>
    </w:p>
    <w:p w14:paraId="43296E09" w14:textId="77777777" w:rsidR="005E6D89" w:rsidRPr="002F2C67" w:rsidRDefault="005E6D89"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IOC has increasingly supported all its Member States to build their scientific and institutional capacity </w:t>
      </w:r>
      <w:proofErr w:type="gramStart"/>
      <w:r w:rsidRPr="002F2C67">
        <w:rPr>
          <w:rFonts w:asciiTheme="minorBidi" w:hAnsiTheme="minorBidi" w:cstheme="minorBidi"/>
          <w:color w:val="000000" w:themeColor="text1"/>
          <w:szCs w:val="22"/>
        </w:rPr>
        <w:t>in order to</w:t>
      </w:r>
      <w:proofErr w:type="gramEnd"/>
      <w:r w:rsidRPr="002F2C67">
        <w:rPr>
          <w:rFonts w:asciiTheme="minorBidi" w:hAnsiTheme="minorBidi" w:cstheme="minorBidi"/>
          <w:color w:val="000000" w:themeColor="text1"/>
          <w:szCs w:val="22"/>
        </w:rPr>
        <w:t xml:space="preserve"> achieve the United Nations Sustainable Development Goal 14 to conserve and sustainably manage ocean and marine resources by 2030. And over the last </w:t>
      </w:r>
      <w:r w:rsidR="0039539F" w:rsidRPr="002F2C67">
        <w:rPr>
          <w:rFonts w:asciiTheme="minorBidi" w:hAnsiTheme="minorBidi" w:cstheme="minorBidi"/>
          <w:color w:val="000000" w:themeColor="text1"/>
          <w:szCs w:val="22"/>
        </w:rPr>
        <w:t>3</w:t>
      </w:r>
      <w:r w:rsidRPr="002F2C67">
        <w:rPr>
          <w:rFonts w:asciiTheme="minorBidi" w:hAnsiTheme="minorBidi" w:cstheme="minorBidi"/>
          <w:color w:val="000000" w:themeColor="text1"/>
          <w:szCs w:val="22"/>
        </w:rPr>
        <w:t xml:space="preserve"> years, the IOC also </w:t>
      </w:r>
      <w:r w:rsidR="00E024C4" w:rsidRPr="002F2C67">
        <w:rPr>
          <w:rFonts w:asciiTheme="minorBidi" w:hAnsiTheme="minorBidi" w:cstheme="minorBidi"/>
          <w:color w:val="000000" w:themeColor="text1"/>
          <w:szCs w:val="22"/>
        </w:rPr>
        <w:t xml:space="preserve">successfully </w:t>
      </w:r>
      <w:r w:rsidRPr="002F2C67">
        <w:rPr>
          <w:rFonts w:asciiTheme="minorBidi" w:hAnsiTheme="minorBidi" w:cstheme="minorBidi"/>
          <w:color w:val="000000" w:themeColor="text1"/>
          <w:szCs w:val="22"/>
        </w:rPr>
        <w:t xml:space="preserve">managed </w:t>
      </w:r>
      <w:r w:rsidR="00E024C4" w:rsidRPr="002F2C67">
        <w:rPr>
          <w:rFonts w:asciiTheme="minorBidi" w:hAnsiTheme="minorBidi" w:cstheme="minorBidi"/>
          <w:color w:val="000000" w:themeColor="text1"/>
          <w:szCs w:val="22"/>
        </w:rPr>
        <w:t xml:space="preserve">a highly complex and visible </w:t>
      </w:r>
      <w:r w:rsidRPr="002F2C67">
        <w:rPr>
          <w:rFonts w:asciiTheme="minorBidi" w:hAnsiTheme="minorBidi" w:cstheme="minorBidi"/>
          <w:color w:val="000000" w:themeColor="text1"/>
          <w:szCs w:val="22"/>
        </w:rPr>
        <w:t xml:space="preserve">Ocean Decade planning process </w:t>
      </w:r>
      <w:proofErr w:type="gramStart"/>
      <w:r w:rsidRPr="002F2C67">
        <w:rPr>
          <w:rFonts w:asciiTheme="minorBidi" w:hAnsiTheme="minorBidi" w:cstheme="minorBidi"/>
          <w:color w:val="000000" w:themeColor="text1"/>
          <w:szCs w:val="22"/>
        </w:rPr>
        <w:t>in order to</w:t>
      </w:r>
      <w:proofErr w:type="gramEnd"/>
      <w:r w:rsidRPr="002F2C67">
        <w:rPr>
          <w:rFonts w:asciiTheme="minorBidi" w:hAnsiTheme="minorBidi" w:cstheme="minorBidi"/>
          <w:color w:val="000000" w:themeColor="text1"/>
          <w:szCs w:val="22"/>
        </w:rPr>
        <w:t xml:space="preserve"> develop and then submit to the UN General Assembly an Implementation Plan for approval. </w:t>
      </w:r>
    </w:p>
    <w:p w14:paraId="276F255D" w14:textId="77777777" w:rsidR="00DE28FC" w:rsidRPr="002F2C67" w:rsidRDefault="009605DA"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While the Ocean Decade planning process enabled the IOC to build and/or deepen relationships with key stakeholders for resource mobilisation, including: Member States, sister UN agencies, </w:t>
      </w:r>
      <w:r w:rsidRPr="002F2C67">
        <w:rPr>
          <w:rFonts w:asciiTheme="minorBidi" w:hAnsiTheme="minorBidi" w:cstheme="minorBidi"/>
          <w:color w:val="000000" w:themeColor="text1"/>
          <w:szCs w:val="22"/>
        </w:rPr>
        <w:lastRenderedPageBreak/>
        <w:t xml:space="preserve">and philanthropic foundations, progress is needed to </w:t>
      </w:r>
      <w:r w:rsidR="00DE28FC" w:rsidRPr="002F2C67">
        <w:rPr>
          <w:rFonts w:asciiTheme="minorBidi" w:hAnsiTheme="minorBidi" w:cstheme="minorBidi"/>
          <w:color w:val="000000" w:themeColor="text1"/>
          <w:szCs w:val="22"/>
        </w:rPr>
        <w:t>increase engagement with international financing institutions including</w:t>
      </w:r>
      <w:r w:rsidRPr="002F2C67">
        <w:rPr>
          <w:rFonts w:asciiTheme="minorBidi" w:hAnsiTheme="minorBidi" w:cstheme="minorBidi"/>
          <w:color w:val="000000" w:themeColor="text1"/>
          <w:szCs w:val="22"/>
        </w:rPr>
        <w:t xml:space="preserve"> with the climate financing mechanisms, development banks</w:t>
      </w:r>
      <w:r w:rsidR="004F4CA7" w:rsidRPr="002F2C67">
        <w:rPr>
          <w:rFonts w:asciiTheme="minorBidi" w:hAnsiTheme="minorBidi" w:cstheme="minorBidi"/>
          <w:color w:val="000000" w:themeColor="text1"/>
          <w:szCs w:val="22"/>
        </w:rPr>
        <w:t>, sovereign wealth funds</w:t>
      </w:r>
      <w:r w:rsidR="00DE28FC" w:rsidRPr="002F2C67">
        <w:rPr>
          <w:rFonts w:asciiTheme="minorBidi" w:hAnsiTheme="minorBidi" w:cstheme="minorBidi"/>
          <w:color w:val="000000" w:themeColor="text1"/>
          <w:szCs w:val="22"/>
        </w:rPr>
        <w:t>,</w:t>
      </w:r>
      <w:r w:rsidR="004F4CA7"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 xml:space="preserve">and </w:t>
      </w:r>
      <w:r w:rsidR="00DE28FC" w:rsidRPr="002F2C67">
        <w:rPr>
          <w:rFonts w:asciiTheme="minorBidi" w:hAnsiTheme="minorBidi" w:cstheme="minorBidi"/>
          <w:color w:val="000000" w:themeColor="text1"/>
          <w:szCs w:val="22"/>
        </w:rPr>
        <w:t xml:space="preserve">with </w:t>
      </w:r>
      <w:r w:rsidRPr="002F2C67">
        <w:rPr>
          <w:rFonts w:asciiTheme="minorBidi" w:hAnsiTheme="minorBidi" w:cstheme="minorBidi"/>
          <w:color w:val="000000" w:themeColor="text1"/>
          <w:szCs w:val="22"/>
        </w:rPr>
        <w:t>the private sector.</w:t>
      </w:r>
      <w:r w:rsidR="004F4CA7" w:rsidRPr="002F2C67">
        <w:rPr>
          <w:rFonts w:asciiTheme="minorBidi" w:hAnsiTheme="minorBidi" w:cstheme="minorBidi"/>
          <w:color w:val="000000" w:themeColor="text1"/>
          <w:szCs w:val="22"/>
        </w:rPr>
        <w:t xml:space="preserve"> </w:t>
      </w:r>
    </w:p>
    <w:p w14:paraId="6DF92F4F" w14:textId="77777777" w:rsidR="005E6D89" w:rsidRPr="002F2C67" w:rsidRDefault="008D6231" w:rsidP="0080488A">
      <w:pPr>
        <w:pStyle w:val="Marge"/>
        <w:rPr>
          <w:rFonts w:asciiTheme="minorBidi" w:hAnsiTheme="minorBidi" w:cstheme="minorBidi"/>
          <w:color w:val="000000" w:themeColor="text1"/>
          <w:szCs w:val="22"/>
        </w:rPr>
      </w:pPr>
      <w:proofErr w:type="gramStart"/>
      <w:r w:rsidRPr="002F2C67">
        <w:rPr>
          <w:rFonts w:asciiTheme="minorBidi" w:hAnsiTheme="minorBidi" w:cstheme="minorBidi"/>
          <w:color w:val="000000" w:themeColor="text1"/>
          <w:szCs w:val="22"/>
        </w:rPr>
        <w:t>With regard to</w:t>
      </w:r>
      <w:proofErr w:type="gramEnd"/>
      <w:r w:rsidRPr="002F2C67">
        <w:rPr>
          <w:rFonts w:asciiTheme="minorBidi" w:hAnsiTheme="minorBidi" w:cstheme="minorBidi"/>
          <w:color w:val="000000" w:themeColor="text1"/>
          <w:szCs w:val="22"/>
        </w:rPr>
        <w:t xml:space="preserve"> climate financing mechanisms, UNESCO is not currently an accredited agency to the Global Climate Facility and the Green Climate Fund; thereby requiring an additional level of collaboration with an accredited agency. As a result, this creates a potential barrier to success and increases risk</w:t>
      </w:r>
      <w:r w:rsidR="00CF5D6F" w:rsidRPr="002F2C67">
        <w:rPr>
          <w:rFonts w:asciiTheme="minorBidi" w:hAnsiTheme="minorBidi" w:cstheme="minorBidi"/>
          <w:color w:val="000000" w:themeColor="text1"/>
          <w:szCs w:val="22"/>
        </w:rPr>
        <w:t xml:space="preserve"> and transaction costs</w:t>
      </w:r>
      <w:r w:rsidRPr="002F2C67">
        <w:rPr>
          <w:rFonts w:asciiTheme="minorBidi" w:hAnsiTheme="minorBidi" w:cstheme="minorBidi"/>
          <w:color w:val="000000" w:themeColor="text1"/>
          <w:szCs w:val="22"/>
        </w:rPr>
        <w:t>. UNESCO is acc</w:t>
      </w:r>
      <w:r w:rsidR="00DE28FC" w:rsidRPr="002F2C67">
        <w:rPr>
          <w:rFonts w:asciiTheme="minorBidi" w:hAnsiTheme="minorBidi" w:cstheme="minorBidi"/>
          <w:color w:val="000000" w:themeColor="text1"/>
          <w:szCs w:val="22"/>
        </w:rPr>
        <w:t>redited with the Adaption Fund and this accreditation could serve as a model for exploring the risks and opportunities of becoming accredited with other climate funds</w:t>
      </w:r>
      <w:r w:rsidR="00CF5D6F" w:rsidRPr="002F2C67">
        <w:rPr>
          <w:rFonts w:asciiTheme="minorBidi" w:hAnsiTheme="minorBidi" w:cstheme="minorBidi"/>
          <w:color w:val="000000" w:themeColor="text1"/>
          <w:szCs w:val="22"/>
        </w:rPr>
        <w:t xml:space="preserve"> as a means of accessing additional financing to support the Ocean Decade</w:t>
      </w:r>
      <w:r w:rsidR="00DE28FC" w:rsidRPr="002F2C67">
        <w:rPr>
          <w:rFonts w:asciiTheme="minorBidi" w:hAnsiTheme="minorBidi" w:cstheme="minorBidi"/>
          <w:color w:val="000000" w:themeColor="text1"/>
          <w:szCs w:val="22"/>
        </w:rPr>
        <w:t>.</w:t>
      </w:r>
    </w:p>
    <w:p w14:paraId="0B98D154" w14:textId="77777777" w:rsidR="00064BF4" w:rsidRPr="002F2C67" w:rsidRDefault="005E6D89"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More broadly, t</w:t>
      </w:r>
      <w:r w:rsidR="001359DC" w:rsidRPr="002F2C67">
        <w:rPr>
          <w:rFonts w:asciiTheme="minorBidi" w:hAnsiTheme="minorBidi" w:cstheme="minorBidi"/>
          <w:color w:val="000000" w:themeColor="text1"/>
          <w:szCs w:val="22"/>
        </w:rPr>
        <w:t xml:space="preserve">he launch of the Ocean Decade and subsequent efforts throughout 2021 </w:t>
      </w:r>
      <w:r w:rsidR="00B11A64" w:rsidRPr="002F2C67">
        <w:rPr>
          <w:rFonts w:asciiTheme="minorBidi" w:hAnsiTheme="minorBidi" w:cstheme="minorBidi"/>
          <w:color w:val="000000" w:themeColor="text1"/>
          <w:szCs w:val="22"/>
        </w:rPr>
        <w:t xml:space="preserve">and beyond </w:t>
      </w:r>
      <w:r w:rsidR="001359DC" w:rsidRPr="002F2C67">
        <w:rPr>
          <w:rFonts w:asciiTheme="minorBidi" w:hAnsiTheme="minorBidi" w:cstheme="minorBidi"/>
          <w:color w:val="000000" w:themeColor="text1"/>
          <w:szCs w:val="22"/>
        </w:rPr>
        <w:t xml:space="preserve">provide a much-needed catalyst for engagement with potential funders and partners. </w:t>
      </w:r>
      <w:r w:rsidR="0040674E" w:rsidRPr="002F2C67">
        <w:rPr>
          <w:rFonts w:asciiTheme="minorBidi" w:hAnsiTheme="minorBidi" w:cstheme="minorBidi"/>
          <w:color w:val="000000" w:themeColor="text1"/>
          <w:szCs w:val="22"/>
        </w:rPr>
        <w:t>However</w:t>
      </w:r>
      <w:r w:rsidR="001359DC" w:rsidRPr="002F2C67">
        <w:rPr>
          <w:rFonts w:asciiTheme="minorBidi" w:hAnsiTheme="minorBidi" w:cstheme="minorBidi"/>
          <w:color w:val="000000" w:themeColor="text1"/>
          <w:szCs w:val="22"/>
        </w:rPr>
        <w:t xml:space="preserve">, the Ocean Decade is launching during a period of economic uncertainty due to the ongoing COVID-19 pandemic which continues to put pressure on spending within both the public and private sectors. </w:t>
      </w:r>
      <w:r w:rsidR="0040674E" w:rsidRPr="002F2C67">
        <w:rPr>
          <w:rFonts w:asciiTheme="minorBidi" w:hAnsiTheme="minorBidi" w:cstheme="minorBidi"/>
          <w:color w:val="000000" w:themeColor="text1"/>
          <w:szCs w:val="22"/>
        </w:rPr>
        <w:t>These e</w:t>
      </w:r>
      <w:r w:rsidR="001B6628" w:rsidRPr="002F2C67">
        <w:rPr>
          <w:rFonts w:asciiTheme="minorBidi" w:hAnsiTheme="minorBidi" w:cstheme="minorBidi"/>
          <w:color w:val="000000" w:themeColor="text1"/>
          <w:szCs w:val="22"/>
        </w:rPr>
        <w:t>conomic headwinds</w:t>
      </w:r>
      <w:r w:rsidR="0040674E" w:rsidRPr="002F2C67">
        <w:rPr>
          <w:rFonts w:asciiTheme="minorBidi" w:hAnsiTheme="minorBidi" w:cstheme="minorBidi"/>
          <w:color w:val="000000" w:themeColor="text1"/>
          <w:szCs w:val="22"/>
        </w:rPr>
        <w:t xml:space="preserve"> create </w:t>
      </w:r>
      <w:r w:rsidR="00B11A64" w:rsidRPr="002F2C67">
        <w:rPr>
          <w:rFonts w:asciiTheme="minorBidi" w:hAnsiTheme="minorBidi" w:cstheme="minorBidi"/>
          <w:color w:val="000000" w:themeColor="text1"/>
          <w:szCs w:val="22"/>
        </w:rPr>
        <w:t xml:space="preserve">continued </w:t>
      </w:r>
      <w:r w:rsidR="0040674E" w:rsidRPr="002F2C67">
        <w:rPr>
          <w:rFonts w:asciiTheme="minorBidi" w:hAnsiTheme="minorBidi" w:cstheme="minorBidi"/>
          <w:color w:val="000000" w:themeColor="text1"/>
          <w:szCs w:val="22"/>
        </w:rPr>
        <w:t xml:space="preserve">uncertainty </w:t>
      </w:r>
      <w:r w:rsidR="00B11A64" w:rsidRPr="002F2C67">
        <w:rPr>
          <w:rFonts w:asciiTheme="minorBidi" w:hAnsiTheme="minorBidi" w:cstheme="minorBidi"/>
          <w:color w:val="000000" w:themeColor="text1"/>
          <w:szCs w:val="22"/>
        </w:rPr>
        <w:t>and pose a significant risk to unlocking funding for ocean science. Recognizing that an aggressive case must already be made in order to convince funders to increase funding for ocean science research</w:t>
      </w:r>
      <w:r w:rsidR="00410CC6" w:rsidRPr="002F2C67">
        <w:rPr>
          <w:rFonts w:asciiTheme="minorBidi" w:hAnsiTheme="minorBidi" w:cstheme="minorBidi"/>
          <w:color w:val="000000" w:themeColor="text1"/>
          <w:szCs w:val="22"/>
        </w:rPr>
        <w:t xml:space="preserve"> from their existing levels</w:t>
      </w:r>
      <w:r w:rsidR="00B11A64" w:rsidRPr="002F2C67">
        <w:rPr>
          <w:rFonts w:asciiTheme="minorBidi" w:hAnsiTheme="minorBidi" w:cstheme="minorBidi"/>
          <w:color w:val="000000" w:themeColor="text1"/>
          <w:szCs w:val="22"/>
        </w:rPr>
        <w:t xml:space="preserve">, during the current and recovery phases of the pandemic, much needed funding for ocean science research could be allocated to other research priorities by Member States, development banks and/or philanthropic foundations. </w:t>
      </w:r>
    </w:p>
    <w:p w14:paraId="00A33F16" w14:textId="77777777" w:rsidR="00064BF4" w:rsidRPr="002F2C67" w:rsidRDefault="00064BF4"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Clear and strong messaging will need to be developed to convince financing partners of the fundamental role that ocean science will play in ensuring a sustainable and equitable recovery from the COVID-19 pandemic. As the global recovery continues throughout 2021 and beyond, there is a strong potential to capitalize on publicly stated commitments to ‘build back better’ to enable a green recovery. These commitments by Member States as well as resultant actions by development bank, climate financing mechanisms, philanthropic foundations and the private sector create opportunities to identify and capture potential funding opportunities. We can anticipate that there will be an increasing emphasis on climate action and biodiversity protection in the lead up to COP 26 in Glasgow and COP 15 in </w:t>
      </w:r>
      <w:proofErr w:type="spellStart"/>
      <w:r w:rsidRPr="002F2C67">
        <w:rPr>
          <w:rFonts w:asciiTheme="minorBidi" w:hAnsiTheme="minorBidi" w:cstheme="minorBidi"/>
          <w:color w:val="000000" w:themeColor="text1"/>
          <w:szCs w:val="22"/>
        </w:rPr>
        <w:t>Kumming</w:t>
      </w:r>
      <w:proofErr w:type="spellEnd"/>
      <w:r w:rsidRPr="002F2C67">
        <w:rPr>
          <w:rFonts w:asciiTheme="minorBidi" w:hAnsiTheme="minorBidi" w:cstheme="minorBidi"/>
          <w:color w:val="000000" w:themeColor="text1"/>
          <w:szCs w:val="22"/>
        </w:rPr>
        <w:t xml:space="preserve"> and beyond, which should enable ocean science to become, and ideally then remain, a priority. </w:t>
      </w:r>
    </w:p>
    <w:p w14:paraId="11B7F1FB" w14:textId="77777777" w:rsidR="009605DA" w:rsidRPr="002F2C67" w:rsidRDefault="00064BF4"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The Ocean Decade also coincides with the Decade of Action for the Sustainable Development Goals and UN Secretary-General Antonio Guterres has called on all sectors of society to mobilise in support for deliver actions for the SDGs, including closing the financing gap. </w:t>
      </w:r>
      <w:r w:rsidR="00410CC6" w:rsidRPr="002F2C67">
        <w:rPr>
          <w:rFonts w:asciiTheme="minorBidi" w:hAnsiTheme="minorBidi" w:cstheme="minorBidi"/>
          <w:color w:val="000000" w:themeColor="text1"/>
          <w:szCs w:val="22"/>
        </w:rPr>
        <w:t>The comprehensive nature of the</w:t>
      </w:r>
      <w:r w:rsidRPr="002F2C67">
        <w:rPr>
          <w:rFonts w:asciiTheme="minorBidi" w:hAnsiTheme="minorBidi" w:cstheme="minorBidi"/>
          <w:color w:val="000000" w:themeColor="text1"/>
          <w:szCs w:val="22"/>
        </w:rPr>
        <w:t xml:space="preserve"> 2030 Agenda</w:t>
      </w:r>
      <w:r w:rsidR="00410CC6" w:rsidRPr="002F2C67">
        <w:rPr>
          <w:rFonts w:asciiTheme="minorBidi" w:hAnsiTheme="minorBidi" w:cstheme="minorBidi"/>
          <w:color w:val="000000" w:themeColor="text1"/>
          <w:szCs w:val="22"/>
        </w:rPr>
        <w:t xml:space="preserve"> </w:t>
      </w:r>
      <w:r w:rsidR="009E727E" w:rsidRPr="002F2C67">
        <w:rPr>
          <w:rFonts w:asciiTheme="minorBidi" w:hAnsiTheme="minorBidi" w:cstheme="minorBidi"/>
          <w:color w:val="000000" w:themeColor="text1"/>
          <w:szCs w:val="22"/>
        </w:rPr>
        <w:t xml:space="preserve">provides a </w:t>
      </w:r>
      <w:r w:rsidRPr="002F2C67">
        <w:rPr>
          <w:rFonts w:asciiTheme="minorBidi" w:hAnsiTheme="minorBidi" w:cstheme="minorBidi"/>
          <w:color w:val="000000" w:themeColor="text1"/>
          <w:szCs w:val="22"/>
        </w:rPr>
        <w:t>compellin</w:t>
      </w:r>
      <w:r w:rsidR="009E727E" w:rsidRPr="002F2C67">
        <w:rPr>
          <w:rFonts w:asciiTheme="minorBidi" w:hAnsiTheme="minorBidi" w:cstheme="minorBidi"/>
          <w:color w:val="000000" w:themeColor="text1"/>
          <w:szCs w:val="22"/>
        </w:rPr>
        <w:t xml:space="preserve">g agenda for action; however, current estimates indicate that there is a funding gap of $2.5 - $3 trillion per year to achieve the ambitions of the </w:t>
      </w:r>
      <w:r w:rsidR="00837CBC" w:rsidRPr="002F2C67">
        <w:rPr>
          <w:rFonts w:asciiTheme="minorBidi" w:hAnsiTheme="minorBidi" w:cstheme="minorBidi"/>
          <w:color w:val="000000" w:themeColor="text1"/>
          <w:szCs w:val="22"/>
        </w:rPr>
        <w:t>Sustainable Development Goals (</w:t>
      </w:r>
      <w:r w:rsidR="009E727E" w:rsidRPr="002F2C67">
        <w:rPr>
          <w:rFonts w:asciiTheme="minorBidi" w:hAnsiTheme="minorBidi" w:cstheme="minorBidi"/>
          <w:color w:val="000000" w:themeColor="text1"/>
          <w:szCs w:val="22"/>
        </w:rPr>
        <w:t>SDGs</w:t>
      </w:r>
      <w:r w:rsidR="00837CBC" w:rsidRPr="002F2C67">
        <w:rPr>
          <w:rFonts w:asciiTheme="minorBidi" w:hAnsiTheme="minorBidi" w:cstheme="minorBidi"/>
          <w:color w:val="000000" w:themeColor="text1"/>
          <w:szCs w:val="22"/>
        </w:rPr>
        <w:t>)</w:t>
      </w:r>
      <w:r w:rsidR="009E727E" w:rsidRPr="002F2C67">
        <w:rPr>
          <w:rFonts w:asciiTheme="minorBidi" w:hAnsiTheme="minorBidi" w:cstheme="minorBidi"/>
          <w:color w:val="000000" w:themeColor="text1"/>
          <w:szCs w:val="22"/>
        </w:rPr>
        <w:t xml:space="preserve"> and the Paris Agreement o</w:t>
      </w:r>
      <w:r w:rsidR="00E530E0" w:rsidRPr="002F2C67">
        <w:rPr>
          <w:rFonts w:asciiTheme="minorBidi" w:hAnsiTheme="minorBidi" w:cstheme="minorBidi"/>
          <w:color w:val="000000" w:themeColor="text1"/>
          <w:szCs w:val="22"/>
        </w:rPr>
        <w:t>n</w:t>
      </w:r>
      <w:r w:rsidR="009E727E" w:rsidRPr="002F2C67">
        <w:rPr>
          <w:rFonts w:asciiTheme="minorBidi" w:hAnsiTheme="minorBidi" w:cstheme="minorBidi"/>
          <w:color w:val="000000" w:themeColor="text1"/>
          <w:szCs w:val="22"/>
        </w:rPr>
        <w:t xml:space="preserve"> Climate</w:t>
      </w:r>
      <w:r w:rsidR="00CD31B9" w:rsidRPr="002F2C67">
        <w:rPr>
          <w:rStyle w:val="FootnoteReference"/>
          <w:rFonts w:asciiTheme="minorBidi" w:hAnsiTheme="minorBidi" w:cstheme="minorBidi"/>
          <w:color w:val="000000" w:themeColor="text1"/>
          <w:szCs w:val="22"/>
        </w:rPr>
        <w:footnoteReference w:id="6"/>
      </w:r>
      <w:r w:rsidR="009E727E"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There</w:t>
      </w:r>
      <w:r w:rsidR="009E727E" w:rsidRPr="002F2C67">
        <w:rPr>
          <w:rFonts w:asciiTheme="minorBidi" w:hAnsiTheme="minorBidi" w:cstheme="minorBidi"/>
          <w:color w:val="000000" w:themeColor="text1"/>
          <w:szCs w:val="22"/>
        </w:rPr>
        <w:t xml:space="preserve"> is considerable risk that funders prioritize investments in delivering against ambitions of other SDGs rathe</w:t>
      </w:r>
      <w:r w:rsidRPr="002F2C67">
        <w:rPr>
          <w:rFonts w:asciiTheme="minorBidi" w:hAnsiTheme="minorBidi" w:cstheme="minorBidi"/>
          <w:color w:val="000000" w:themeColor="text1"/>
          <w:szCs w:val="22"/>
        </w:rPr>
        <w:t>r than SDG 14 “Life Below Water</w:t>
      </w:r>
      <w:r w:rsidR="009E727E" w:rsidRPr="002F2C67">
        <w:rPr>
          <w:rFonts w:asciiTheme="minorBidi" w:hAnsiTheme="minorBidi" w:cstheme="minorBidi"/>
          <w:color w:val="000000" w:themeColor="text1"/>
          <w:szCs w:val="22"/>
        </w:rPr>
        <w:t>”</w:t>
      </w:r>
      <w:r w:rsidRPr="002F2C67">
        <w:rPr>
          <w:rFonts w:asciiTheme="minorBidi" w:hAnsiTheme="minorBidi" w:cstheme="minorBidi"/>
          <w:color w:val="000000" w:themeColor="text1"/>
          <w:szCs w:val="22"/>
        </w:rPr>
        <w:t xml:space="preserve">, which is historically one of the least funded SDGs. </w:t>
      </w:r>
      <w:r w:rsidR="009E727E" w:rsidRPr="002F2C67">
        <w:rPr>
          <w:rFonts w:asciiTheme="minorBidi" w:hAnsiTheme="minorBidi" w:cstheme="minorBidi"/>
          <w:color w:val="000000" w:themeColor="text1"/>
          <w:szCs w:val="22"/>
        </w:rPr>
        <w:t xml:space="preserve"> </w:t>
      </w:r>
    </w:p>
    <w:p w14:paraId="29C17224" w14:textId="77777777" w:rsidR="0080488A" w:rsidRDefault="00064BF4"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 xml:space="preserve">Again, </w:t>
      </w:r>
      <w:proofErr w:type="gramStart"/>
      <w:r w:rsidRPr="002F2C67">
        <w:rPr>
          <w:rFonts w:asciiTheme="minorBidi" w:hAnsiTheme="minorBidi" w:cstheme="minorBidi"/>
          <w:color w:val="000000" w:themeColor="text1"/>
          <w:szCs w:val="22"/>
        </w:rPr>
        <w:t>clear</w:t>
      </w:r>
      <w:proofErr w:type="gramEnd"/>
      <w:r w:rsidRPr="002F2C67">
        <w:rPr>
          <w:rFonts w:asciiTheme="minorBidi" w:hAnsiTheme="minorBidi" w:cstheme="minorBidi"/>
          <w:color w:val="000000" w:themeColor="text1"/>
          <w:szCs w:val="22"/>
        </w:rPr>
        <w:t xml:space="preserve"> and robust messaging will be required to convince funders of the links between ocean science and the vast majority – if not all – of the other SDGs. T</w:t>
      </w:r>
      <w:r w:rsidR="00E530E0" w:rsidRPr="002F2C67">
        <w:rPr>
          <w:rFonts w:asciiTheme="minorBidi" w:hAnsiTheme="minorBidi" w:cstheme="minorBidi"/>
          <w:color w:val="000000" w:themeColor="text1"/>
          <w:szCs w:val="22"/>
        </w:rPr>
        <w:t xml:space="preserve">here are </w:t>
      </w:r>
      <w:r w:rsidR="00837CBC" w:rsidRPr="002F2C67">
        <w:rPr>
          <w:rFonts w:asciiTheme="minorBidi" w:hAnsiTheme="minorBidi" w:cstheme="minorBidi"/>
          <w:color w:val="000000" w:themeColor="text1"/>
          <w:szCs w:val="22"/>
        </w:rPr>
        <w:t xml:space="preserve">numerous interactions between the knowledge and solutions that will be generated </w:t>
      </w:r>
      <w:r w:rsidRPr="002F2C67">
        <w:rPr>
          <w:rFonts w:asciiTheme="minorBidi" w:hAnsiTheme="minorBidi" w:cstheme="minorBidi"/>
          <w:color w:val="000000" w:themeColor="text1"/>
          <w:szCs w:val="22"/>
        </w:rPr>
        <w:t xml:space="preserve">during the Ocean Decade </w:t>
      </w:r>
      <w:r w:rsidR="00837CBC" w:rsidRPr="002F2C67">
        <w:rPr>
          <w:rFonts w:asciiTheme="minorBidi" w:hAnsiTheme="minorBidi" w:cstheme="minorBidi"/>
          <w:color w:val="000000" w:themeColor="text1"/>
          <w:szCs w:val="22"/>
        </w:rPr>
        <w:t xml:space="preserve">with driving outcomes on SDG1 – No poverty, SDG2 - Zero hunger, SDG3 - Good health and wellbeing, SDG 4 Education, SDG 5 – Gender Equality, SDG10 - Reduced inequalities and SDG13 - Climate </w:t>
      </w:r>
      <w:r w:rsidR="00837CBC" w:rsidRPr="002F2C67">
        <w:rPr>
          <w:rFonts w:asciiTheme="minorBidi" w:hAnsiTheme="minorBidi" w:cstheme="minorBidi"/>
          <w:color w:val="000000" w:themeColor="text1"/>
          <w:szCs w:val="22"/>
        </w:rPr>
        <w:lastRenderedPageBreak/>
        <w:t>action</w:t>
      </w:r>
      <w:r w:rsidR="009F661D" w:rsidRPr="002F2C67">
        <w:rPr>
          <w:rFonts w:asciiTheme="minorBidi" w:hAnsiTheme="minorBidi" w:cstheme="minorBidi"/>
          <w:color w:val="000000" w:themeColor="text1"/>
          <w:szCs w:val="22"/>
        </w:rPr>
        <w:t xml:space="preserve">, </w:t>
      </w:r>
      <w:r w:rsidR="00837CBC" w:rsidRPr="002F2C67">
        <w:rPr>
          <w:rFonts w:asciiTheme="minorBidi" w:hAnsiTheme="minorBidi" w:cstheme="minorBidi"/>
          <w:color w:val="000000" w:themeColor="text1"/>
          <w:szCs w:val="22"/>
        </w:rPr>
        <w:t xml:space="preserve">among many others. </w:t>
      </w:r>
      <w:r w:rsidRPr="002F2C67">
        <w:rPr>
          <w:rFonts w:asciiTheme="minorBidi" w:hAnsiTheme="minorBidi" w:cstheme="minorBidi"/>
          <w:color w:val="000000" w:themeColor="text1"/>
          <w:szCs w:val="22"/>
        </w:rPr>
        <w:t>These synergies also present</w:t>
      </w:r>
      <w:r w:rsidR="009605DA" w:rsidRPr="002F2C67">
        <w:rPr>
          <w:rFonts w:asciiTheme="minorBidi" w:hAnsiTheme="minorBidi" w:cstheme="minorBidi"/>
          <w:color w:val="000000" w:themeColor="text1"/>
          <w:szCs w:val="22"/>
        </w:rPr>
        <w:t xml:space="preserve"> a significant opportunity to partner with sister UN agencies to co-design </w:t>
      </w:r>
      <w:r w:rsidRPr="002F2C67">
        <w:rPr>
          <w:rFonts w:asciiTheme="minorBidi" w:hAnsiTheme="minorBidi" w:cstheme="minorBidi"/>
          <w:color w:val="000000" w:themeColor="text1"/>
          <w:szCs w:val="22"/>
        </w:rPr>
        <w:t>multi-SDG focused initiatives throughout the Ocean Decade</w:t>
      </w:r>
      <w:r w:rsidR="008E30F3" w:rsidRPr="002F2C67">
        <w:rPr>
          <w:rFonts w:asciiTheme="minorBidi" w:hAnsiTheme="minorBidi" w:cstheme="minorBidi"/>
          <w:color w:val="000000" w:themeColor="text1"/>
          <w:szCs w:val="22"/>
        </w:rPr>
        <w:t xml:space="preserve"> that can lead to the securing of additional resources and/or collaborative efforts on capacity development, </w:t>
      </w:r>
      <w:proofErr w:type="gramStart"/>
      <w:r w:rsidR="008E30F3" w:rsidRPr="002F2C67">
        <w:rPr>
          <w:rFonts w:asciiTheme="minorBidi" w:hAnsiTheme="minorBidi" w:cstheme="minorBidi"/>
          <w:color w:val="000000" w:themeColor="text1"/>
          <w:szCs w:val="22"/>
        </w:rPr>
        <w:t>advocacy</w:t>
      </w:r>
      <w:proofErr w:type="gramEnd"/>
      <w:r w:rsidR="008E30F3" w:rsidRPr="002F2C67">
        <w:rPr>
          <w:rFonts w:asciiTheme="minorBidi" w:hAnsiTheme="minorBidi" w:cstheme="minorBidi"/>
          <w:color w:val="000000" w:themeColor="text1"/>
          <w:szCs w:val="22"/>
        </w:rPr>
        <w:t xml:space="preserve"> or communications. </w:t>
      </w:r>
    </w:p>
    <w:p w14:paraId="7BDF9FF5" w14:textId="2B8BB592" w:rsidR="001359DC" w:rsidRPr="002F2C67" w:rsidRDefault="00715279" w:rsidP="0080488A">
      <w:pPr>
        <w:pStyle w:val="Marge"/>
        <w:rPr>
          <w:rFonts w:asciiTheme="minorBidi" w:hAnsiTheme="minorBidi" w:cstheme="minorBidi"/>
          <w:color w:val="000000" w:themeColor="text1"/>
          <w:szCs w:val="22"/>
        </w:rPr>
      </w:pPr>
      <w:r w:rsidRPr="002F2C67">
        <w:rPr>
          <w:rFonts w:asciiTheme="minorBidi" w:hAnsiTheme="minorBidi" w:cstheme="minorBidi"/>
          <w:color w:val="000000" w:themeColor="text1"/>
          <w:szCs w:val="22"/>
        </w:rPr>
        <w:t>Another significant area of opportunity is within the growing ocean economy</w:t>
      </w:r>
      <w:r w:rsidR="00E024C4" w:rsidRPr="002F2C67">
        <w:rPr>
          <w:rFonts w:asciiTheme="minorBidi" w:hAnsiTheme="minorBidi" w:cstheme="minorBidi"/>
          <w:color w:val="000000" w:themeColor="text1"/>
          <w:szCs w:val="22"/>
        </w:rPr>
        <w:t xml:space="preserve"> or commonly referred to as the </w:t>
      </w:r>
      <w:r w:rsidR="00064BF4" w:rsidRPr="002F2C67">
        <w:rPr>
          <w:rFonts w:asciiTheme="minorBidi" w:hAnsiTheme="minorBidi" w:cstheme="minorBidi"/>
          <w:color w:val="000000" w:themeColor="text1"/>
          <w:szCs w:val="22"/>
        </w:rPr>
        <w:t>sustainable ocean economy</w:t>
      </w:r>
      <w:r w:rsidRPr="002F2C67">
        <w:rPr>
          <w:rFonts w:asciiTheme="minorBidi" w:hAnsiTheme="minorBidi" w:cstheme="minorBidi"/>
          <w:color w:val="000000" w:themeColor="text1"/>
          <w:szCs w:val="22"/>
        </w:rPr>
        <w:t xml:space="preserve">. </w:t>
      </w:r>
      <w:r w:rsidR="002F5799" w:rsidRPr="002F2C67">
        <w:rPr>
          <w:rFonts w:asciiTheme="minorBidi" w:hAnsiTheme="minorBidi" w:cstheme="minorBidi"/>
          <w:color w:val="000000" w:themeColor="text1"/>
          <w:szCs w:val="22"/>
        </w:rPr>
        <w:t xml:space="preserve">According to conservative estimates by the OECD, the </w:t>
      </w:r>
      <w:r w:rsidR="00064BF4" w:rsidRPr="002F2C67">
        <w:rPr>
          <w:rFonts w:asciiTheme="minorBidi" w:hAnsiTheme="minorBidi" w:cstheme="minorBidi"/>
          <w:color w:val="000000" w:themeColor="text1"/>
          <w:szCs w:val="22"/>
        </w:rPr>
        <w:t>ocean</w:t>
      </w:r>
      <w:r w:rsidR="002F5799" w:rsidRPr="002F2C67">
        <w:rPr>
          <w:rFonts w:asciiTheme="minorBidi" w:hAnsiTheme="minorBidi" w:cstheme="minorBidi"/>
          <w:color w:val="000000" w:themeColor="text1"/>
          <w:szCs w:val="22"/>
        </w:rPr>
        <w:t xml:space="preserve"> generated $US1.5 trillion in 2010 and has the potential to outperform the growth rate of the global economy both in terms of generated value and employment. </w:t>
      </w:r>
      <w:r w:rsidRPr="002F2C67">
        <w:rPr>
          <w:rFonts w:asciiTheme="minorBidi" w:hAnsiTheme="minorBidi" w:cstheme="minorBidi"/>
          <w:color w:val="000000" w:themeColor="text1"/>
          <w:szCs w:val="22"/>
        </w:rPr>
        <w:t xml:space="preserve">The OECD projects that </w:t>
      </w:r>
      <w:r w:rsidR="00E024C4" w:rsidRPr="002F2C67">
        <w:rPr>
          <w:rFonts w:asciiTheme="minorBidi" w:hAnsiTheme="minorBidi" w:cstheme="minorBidi"/>
          <w:color w:val="000000" w:themeColor="text1"/>
          <w:szCs w:val="22"/>
        </w:rPr>
        <w:t>it</w:t>
      </w:r>
      <w:r w:rsidRPr="002F2C67">
        <w:rPr>
          <w:rFonts w:asciiTheme="minorBidi" w:hAnsiTheme="minorBidi" w:cstheme="minorBidi"/>
          <w:color w:val="000000" w:themeColor="text1"/>
          <w:szCs w:val="22"/>
        </w:rPr>
        <w:t xml:space="preserve"> </w:t>
      </w:r>
      <w:r w:rsidR="002F5799" w:rsidRPr="002F2C67">
        <w:rPr>
          <w:rFonts w:asciiTheme="minorBidi" w:hAnsiTheme="minorBidi" w:cstheme="minorBidi"/>
          <w:color w:val="000000" w:themeColor="text1"/>
          <w:szCs w:val="22"/>
        </w:rPr>
        <w:t>could potentially reach an output of US$3 trillion in 2030</w:t>
      </w:r>
      <w:r w:rsidRPr="002F2C67">
        <w:rPr>
          <w:rFonts w:asciiTheme="minorBidi" w:hAnsiTheme="minorBidi" w:cstheme="minorBidi"/>
          <w:color w:val="000000" w:themeColor="text1"/>
          <w:szCs w:val="22"/>
        </w:rPr>
        <w:t xml:space="preserve">. </w:t>
      </w:r>
      <w:r w:rsidR="00064BF4" w:rsidRPr="002F2C67">
        <w:rPr>
          <w:rFonts w:asciiTheme="minorBidi" w:hAnsiTheme="minorBidi" w:cstheme="minorBidi"/>
          <w:color w:val="000000" w:themeColor="text1"/>
          <w:szCs w:val="22"/>
        </w:rPr>
        <w:t xml:space="preserve">As a result, investing in a sustainable ocean economy </w:t>
      </w:r>
      <w:r w:rsidR="001359DC" w:rsidRPr="002F2C67">
        <w:rPr>
          <w:rFonts w:asciiTheme="minorBidi" w:hAnsiTheme="minorBidi" w:cstheme="minorBidi"/>
          <w:color w:val="000000" w:themeColor="text1"/>
          <w:szCs w:val="22"/>
        </w:rPr>
        <w:t xml:space="preserve">will increasingly become a priority for many </w:t>
      </w:r>
      <w:r w:rsidR="00743B90" w:rsidRPr="002F2C67">
        <w:rPr>
          <w:rFonts w:asciiTheme="minorBidi" w:hAnsiTheme="minorBidi" w:cstheme="minorBidi"/>
          <w:color w:val="000000" w:themeColor="text1"/>
          <w:szCs w:val="22"/>
        </w:rPr>
        <w:t xml:space="preserve">Member States as well as </w:t>
      </w:r>
      <w:r w:rsidR="001359DC" w:rsidRPr="002F2C67">
        <w:rPr>
          <w:rFonts w:asciiTheme="minorBidi" w:hAnsiTheme="minorBidi" w:cstheme="minorBidi"/>
          <w:color w:val="000000" w:themeColor="text1"/>
          <w:szCs w:val="22"/>
        </w:rPr>
        <w:t xml:space="preserve">sectors of the economy, including power, pharmaceuticals, transportation, aquaculture, and travel and tourism. These industries represent major users of the ocean and could contribute significantly to the Ocean Decade in terms of resources, partnerships, </w:t>
      </w:r>
      <w:proofErr w:type="gramStart"/>
      <w:r w:rsidR="001359DC" w:rsidRPr="002F2C67">
        <w:rPr>
          <w:rFonts w:asciiTheme="minorBidi" w:hAnsiTheme="minorBidi" w:cstheme="minorBidi"/>
          <w:color w:val="000000" w:themeColor="text1"/>
          <w:szCs w:val="22"/>
        </w:rPr>
        <w:t>technology</w:t>
      </w:r>
      <w:proofErr w:type="gramEnd"/>
      <w:r w:rsidR="001359DC" w:rsidRPr="002F2C67">
        <w:rPr>
          <w:rFonts w:asciiTheme="minorBidi" w:hAnsiTheme="minorBidi" w:cstheme="minorBidi"/>
          <w:color w:val="000000" w:themeColor="text1"/>
          <w:szCs w:val="22"/>
        </w:rPr>
        <w:t xml:space="preserve"> and innovation to enhance ocean science.</w:t>
      </w:r>
      <w:r w:rsidR="00064BF4" w:rsidRPr="002F2C67">
        <w:rPr>
          <w:rFonts w:asciiTheme="minorBidi" w:hAnsiTheme="minorBidi" w:cstheme="minorBidi"/>
          <w:color w:val="000000" w:themeColor="text1"/>
          <w:szCs w:val="22"/>
        </w:rPr>
        <w:t xml:space="preserve"> As </w:t>
      </w:r>
      <w:r w:rsidR="0003742F" w:rsidRPr="002F2C67">
        <w:rPr>
          <w:rFonts w:asciiTheme="minorBidi" w:hAnsiTheme="minorBidi" w:cstheme="minorBidi"/>
          <w:color w:val="000000" w:themeColor="text1"/>
          <w:szCs w:val="22"/>
        </w:rPr>
        <w:t xml:space="preserve">for the previous issues, the development of a clear business case for the role of ocean knowledge in the development of an equitable sustainable ocean economy will be essential to unlocking these types of resources. </w:t>
      </w:r>
    </w:p>
    <w:p w14:paraId="4D087E07" w14:textId="77777777" w:rsidR="0026550D" w:rsidRPr="002F2C67" w:rsidRDefault="006A1EE4" w:rsidP="002F2C67">
      <w:pPr>
        <w:pStyle w:val="Heading1"/>
        <w:snapToGrid w:val="0"/>
        <w:spacing w:before="0" w:after="240" w:line="240" w:lineRule="auto"/>
        <w:rPr>
          <w:rFonts w:asciiTheme="minorBidi" w:hAnsiTheme="minorBidi" w:cstheme="minorBidi"/>
          <w:b/>
          <w:sz w:val="22"/>
          <w:szCs w:val="22"/>
        </w:rPr>
      </w:pPr>
      <w:bookmarkStart w:id="12" w:name="_Toc73968041"/>
      <w:r w:rsidRPr="002F2C67">
        <w:rPr>
          <w:rFonts w:asciiTheme="minorBidi" w:hAnsiTheme="minorBidi" w:cstheme="minorBidi"/>
          <w:b/>
          <w:sz w:val="22"/>
          <w:szCs w:val="22"/>
        </w:rPr>
        <w:t>3</w:t>
      </w:r>
      <w:r w:rsidR="00E530E0" w:rsidRPr="002F2C67">
        <w:rPr>
          <w:rFonts w:asciiTheme="minorBidi" w:hAnsiTheme="minorBidi" w:cstheme="minorBidi"/>
          <w:b/>
          <w:sz w:val="22"/>
          <w:szCs w:val="22"/>
        </w:rPr>
        <w:t xml:space="preserve">. </w:t>
      </w:r>
      <w:r w:rsidR="00E530E0" w:rsidRPr="002F2C67">
        <w:rPr>
          <w:rFonts w:asciiTheme="minorBidi" w:hAnsiTheme="minorBidi" w:cstheme="minorBidi"/>
          <w:b/>
          <w:sz w:val="22"/>
          <w:szCs w:val="22"/>
        </w:rPr>
        <w:tab/>
      </w:r>
      <w:proofErr w:type="spellStart"/>
      <w:r w:rsidR="001128DA" w:rsidRPr="002F2C67">
        <w:rPr>
          <w:rFonts w:asciiTheme="minorBidi" w:hAnsiTheme="minorBidi" w:cstheme="minorBidi"/>
          <w:b/>
          <w:sz w:val="22"/>
          <w:szCs w:val="22"/>
        </w:rPr>
        <w:t>Operationalising</w:t>
      </w:r>
      <w:proofErr w:type="spellEnd"/>
      <w:r w:rsidR="001128DA" w:rsidRPr="002F2C67">
        <w:rPr>
          <w:rFonts w:asciiTheme="minorBidi" w:hAnsiTheme="minorBidi" w:cstheme="minorBidi"/>
          <w:b/>
          <w:sz w:val="22"/>
          <w:szCs w:val="22"/>
        </w:rPr>
        <w:t xml:space="preserve"> </w:t>
      </w:r>
      <w:r w:rsidR="0026550D" w:rsidRPr="002F2C67">
        <w:rPr>
          <w:rFonts w:asciiTheme="minorBidi" w:hAnsiTheme="minorBidi" w:cstheme="minorBidi"/>
          <w:b/>
          <w:sz w:val="22"/>
          <w:szCs w:val="22"/>
        </w:rPr>
        <w:t xml:space="preserve">Resource Mobilization </w:t>
      </w:r>
      <w:r w:rsidR="0003742F" w:rsidRPr="002F2C67">
        <w:rPr>
          <w:rFonts w:asciiTheme="minorBidi" w:hAnsiTheme="minorBidi" w:cstheme="minorBidi"/>
          <w:b/>
          <w:sz w:val="22"/>
          <w:szCs w:val="22"/>
        </w:rPr>
        <w:t>w</w:t>
      </w:r>
      <w:r w:rsidR="001128DA" w:rsidRPr="002F2C67">
        <w:rPr>
          <w:rFonts w:asciiTheme="minorBidi" w:hAnsiTheme="minorBidi" w:cstheme="minorBidi"/>
          <w:b/>
          <w:sz w:val="22"/>
          <w:szCs w:val="22"/>
        </w:rPr>
        <w:t>ithin the Ocean Decade</w:t>
      </w:r>
      <w:bookmarkEnd w:id="12"/>
    </w:p>
    <w:p w14:paraId="59D7AE7B" w14:textId="5F47DB7B" w:rsidR="000D7E7C" w:rsidRPr="002F2C67" w:rsidRDefault="009A18A9" w:rsidP="002F2C67">
      <w:pPr>
        <w:pStyle w:val="Marge"/>
        <w:rPr>
          <w:rFonts w:asciiTheme="minorBidi" w:hAnsiTheme="minorBidi" w:cstheme="minorBidi"/>
          <w:szCs w:val="22"/>
        </w:rPr>
      </w:pPr>
      <w:r w:rsidRPr="002F2C67">
        <w:rPr>
          <w:rFonts w:asciiTheme="minorBidi" w:hAnsiTheme="minorBidi" w:cstheme="minorBidi"/>
          <w:color w:val="000000" w:themeColor="text1"/>
          <w:szCs w:val="22"/>
        </w:rPr>
        <w:t>The overwhelming focus of the IOC Secretariat and the Decade Coordination Unit will be on creating an enabling environment that fosters partnerships, mobilises s</w:t>
      </w:r>
      <w:r w:rsidR="00F84674" w:rsidRPr="002F2C67">
        <w:rPr>
          <w:rFonts w:asciiTheme="minorBidi" w:hAnsiTheme="minorBidi" w:cstheme="minorBidi"/>
          <w:color w:val="000000" w:themeColor="text1"/>
          <w:szCs w:val="22"/>
        </w:rPr>
        <w:t>takeholders, and unlocks financing and resources</w:t>
      </w:r>
      <w:r w:rsidRPr="002F2C67">
        <w:rPr>
          <w:rFonts w:asciiTheme="minorBidi" w:hAnsiTheme="minorBidi" w:cstheme="minorBidi"/>
          <w:color w:val="000000" w:themeColor="text1"/>
          <w:szCs w:val="22"/>
        </w:rPr>
        <w:t xml:space="preserve"> for ocean science. The IOC Secretariat and Decade Coordination Unit will be responsible for implementing a multi-pronged approach to </w:t>
      </w:r>
      <w:r w:rsidR="000D7E7C" w:rsidRPr="002F2C67">
        <w:rPr>
          <w:rFonts w:asciiTheme="minorBidi" w:hAnsiTheme="minorBidi" w:cstheme="minorBidi"/>
          <w:color w:val="000000" w:themeColor="text1"/>
          <w:szCs w:val="22"/>
        </w:rPr>
        <w:t xml:space="preserve">both </w:t>
      </w:r>
      <w:r w:rsidR="00E530E0" w:rsidRPr="002F2C67">
        <w:rPr>
          <w:rFonts w:asciiTheme="minorBidi" w:hAnsiTheme="minorBidi" w:cstheme="minorBidi"/>
          <w:color w:val="000000" w:themeColor="text1"/>
          <w:szCs w:val="22"/>
        </w:rPr>
        <w:t xml:space="preserve">mitigate </w:t>
      </w:r>
      <w:r w:rsidRPr="002F2C67">
        <w:rPr>
          <w:rFonts w:asciiTheme="minorBidi" w:hAnsiTheme="minorBidi" w:cstheme="minorBidi"/>
          <w:color w:val="000000" w:themeColor="text1"/>
          <w:szCs w:val="22"/>
        </w:rPr>
        <w:t xml:space="preserve">the </w:t>
      </w:r>
      <w:r w:rsidR="00E530E0" w:rsidRPr="002F2C67">
        <w:rPr>
          <w:rFonts w:asciiTheme="minorBidi" w:hAnsiTheme="minorBidi" w:cstheme="minorBidi"/>
          <w:color w:val="000000" w:themeColor="text1"/>
          <w:szCs w:val="22"/>
        </w:rPr>
        <w:t>risk</w:t>
      </w:r>
      <w:r w:rsidRPr="002F2C67">
        <w:rPr>
          <w:rFonts w:asciiTheme="minorBidi" w:hAnsiTheme="minorBidi" w:cstheme="minorBidi"/>
          <w:color w:val="000000" w:themeColor="text1"/>
          <w:szCs w:val="22"/>
        </w:rPr>
        <w:t>s</w:t>
      </w:r>
      <w:r w:rsidR="00E530E0" w:rsidRPr="002F2C67">
        <w:rPr>
          <w:rFonts w:asciiTheme="minorBidi" w:hAnsiTheme="minorBidi" w:cstheme="minorBidi"/>
          <w:color w:val="000000" w:themeColor="text1"/>
          <w:szCs w:val="22"/>
        </w:rPr>
        <w:t xml:space="preserve"> </w:t>
      </w:r>
      <w:r w:rsidRPr="002F2C67">
        <w:rPr>
          <w:rFonts w:asciiTheme="minorBidi" w:hAnsiTheme="minorBidi" w:cstheme="minorBidi"/>
          <w:color w:val="000000" w:themeColor="text1"/>
          <w:szCs w:val="22"/>
        </w:rPr>
        <w:t xml:space="preserve">described above and to </w:t>
      </w:r>
      <w:r w:rsidR="000D7E7C" w:rsidRPr="002F2C67">
        <w:rPr>
          <w:rFonts w:asciiTheme="minorBidi" w:hAnsiTheme="minorBidi" w:cstheme="minorBidi"/>
          <w:color w:val="000000" w:themeColor="text1"/>
          <w:szCs w:val="22"/>
        </w:rPr>
        <w:t xml:space="preserve">further </w:t>
      </w:r>
      <w:r w:rsidR="00F92730" w:rsidRPr="002F2C67">
        <w:rPr>
          <w:rFonts w:asciiTheme="minorBidi" w:hAnsiTheme="minorBidi" w:cstheme="minorBidi"/>
          <w:color w:val="000000" w:themeColor="text1"/>
          <w:szCs w:val="22"/>
        </w:rPr>
        <w:t xml:space="preserve">capitalize on </w:t>
      </w:r>
      <w:r w:rsidR="000D7E7C" w:rsidRPr="002F2C67">
        <w:rPr>
          <w:rFonts w:asciiTheme="minorBidi" w:hAnsiTheme="minorBidi" w:cstheme="minorBidi"/>
          <w:color w:val="000000" w:themeColor="text1"/>
          <w:szCs w:val="22"/>
        </w:rPr>
        <w:t xml:space="preserve">potential </w:t>
      </w:r>
      <w:r w:rsidR="00F92730" w:rsidRPr="002F2C67">
        <w:rPr>
          <w:rFonts w:asciiTheme="minorBidi" w:hAnsiTheme="minorBidi" w:cstheme="minorBidi"/>
          <w:color w:val="000000" w:themeColor="text1"/>
          <w:szCs w:val="22"/>
        </w:rPr>
        <w:t xml:space="preserve">opportunities </w:t>
      </w:r>
      <w:r w:rsidRPr="002F2C67">
        <w:rPr>
          <w:rFonts w:asciiTheme="minorBidi" w:hAnsiTheme="minorBidi" w:cstheme="minorBidi"/>
          <w:color w:val="000000" w:themeColor="text1"/>
          <w:szCs w:val="22"/>
        </w:rPr>
        <w:t xml:space="preserve">for unlocking investments in ocean </w:t>
      </w:r>
      <w:r w:rsidR="00FC66F1" w:rsidRPr="002F2C67">
        <w:rPr>
          <w:rFonts w:asciiTheme="minorBidi" w:hAnsiTheme="minorBidi" w:cstheme="minorBidi"/>
          <w:color w:val="000000" w:themeColor="text1"/>
          <w:szCs w:val="22"/>
        </w:rPr>
        <w:t>science. Many of the activities</w:t>
      </w:r>
      <w:r w:rsidRPr="002F2C67">
        <w:rPr>
          <w:rFonts w:asciiTheme="minorBidi" w:hAnsiTheme="minorBidi" w:cstheme="minorBidi"/>
          <w:color w:val="000000" w:themeColor="text1"/>
          <w:szCs w:val="22"/>
        </w:rPr>
        <w:t xml:space="preserve"> in 2021 will focus on creating or piloting approaches that can be refined, replicated and/or scaled in 2022 and beyond. Core priorities for activations include:</w:t>
      </w:r>
    </w:p>
    <w:p w14:paraId="424D79A7" w14:textId="77777777" w:rsidR="00372BC6" w:rsidRPr="002F2C67" w:rsidRDefault="001B5E62" w:rsidP="002F2C67">
      <w:pPr>
        <w:pStyle w:val="Heading2"/>
        <w:snapToGrid w:val="0"/>
        <w:spacing w:before="0" w:after="240"/>
        <w:rPr>
          <w:rFonts w:asciiTheme="minorBidi" w:hAnsiTheme="minorBidi" w:cstheme="minorBidi"/>
          <w:sz w:val="22"/>
          <w:szCs w:val="22"/>
        </w:rPr>
      </w:pPr>
      <w:bookmarkStart w:id="13" w:name="_Toc73968042"/>
      <w:r w:rsidRPr="002F2C67">
        <w:rPr>
          <w:rFonts w:asciiTheme="minorBidi" w:hAnsiTheme="minorBidi" w:cstheme="minorBidi"/>
          <w:sz w:val="22"/>
          <w:szCs w:val="22"/>
        </w:rPr>
        <w:t>Scale</w:t>
      </w:r>
      <w:r w:rsidR="00372BC6" w:rsidRPr="002F2C67">
        <w:rPr>
          <w:rFonts w:asciiTheme="minorBidi" w:hAnsiTheme="minorBidi" w:cstheme="minorBidi"/>
          <w:sz w:val="22"/>
          <w:szCs w:val="22"/>
        </w:rPr>
        <w:t xml:space="preserve"> the</w:t>
      </w:r>
      <w:r w:rsidR="006A1EE4" w:rsidRPr="002F2C67">
        <w:rPr>
          <w:rFonts w:asciiTheme="minorBidi" w:hAnsiTheme="minorBidi" w:cstheme="minorBidi"/>
          <w:sz w:val="22"/>
          <w:szCs w:val="22"/>
        </w:rPr>
        <w:t xml:space="preserve"> Ocean</w:t>
      </w:r>
      <w:r w:rsidR="00372BC6" w:rsidRPr="002F2C67">
        <w:rPr>
          <w:rFonts w:asciiTheme="minorBidi" w:hAnsiTheme="minorBidi" w:cstheme="minorBidi"/>
          <w:sz w:val="22"/>
          <w:szCs w:val="22"/>
        </w:rPr>
        <w:t xml:space="preserve"> Decade Alliance</w:t>
      </w:r>
      <w:bookmarkEnd w:id="13"/>
    </w:p>
    <w:p w14:paraId="3140D4C2" w14:textId="496EB4B6" w:rsidR="00814C6C" w:rsidRPr="002F2C67" w:rsidRDefault="00037FFE" w:rsidP="002F2C67">
      <w:pPr>
        <w:pStyle w:val="Marge"/>
        <w:rPr>
          <w:rFonts w:asciiTheme="minorBidi" w:hAnsiTheme="minorBidi" w:cstheme="minorBidi"/>
          <w:szCs w:val="22"/>
        </w:rPr>
      </w:pPr>
      <w:r w:rsidRPr="002F2C67">
        <w:rPr>
          <w:rFonts w:asciiTheme="minorBidi" w:hAnsiTheme="minorBidi" w:cstheme="minorBidi"/>
          <w:color w:val="000000" w:themeColor="text1"/>
          <w:szCs w:val="22"/>
        </w:rPr>
        <w:t xml:space="preserve">As described above, the </w:t>
      </w:r>
      <w:r w:rsidR="00715C5A" w:rsidRPr="002F2C67">
        <w:rPr>
          <w:rFonts w:asciiTheme="minorBidi" w:hAnsiTheme="minorBidi" w:cstheme="minorBidi"/>
          <w:color w:val="000000" w:themeColor="text1"/>
          <w:szCs w:val="22"/>
        </w:rPr>
        <w:t>Alliance will be a key component of the resource mobilisation</w:t>
      </w:r>
      <w:r w:rsidR="00715C5A" w:rsidRPr="002F2C67">
        <w:rPr>
          <w:rFonts w:asciiTheme="minorBidi" w:hAnsiTheme="minorBidi" w:cstheme="minorBidi"/>
          <w:szCs w:val="22"/>
        </w:rPr>
        <w:t xml:space="preserve"> efforts</w:t>
      </w:r>
      <w:r w:rsidR="00715C5A" w:rsidRPr="002F2C67">
        <w:rPr>
          <w:rFonts w:asciiTheme="minorBidi" w:hAnsiTheme="minorBidi" w:cstheme="minorBidi"/>
          <w:spacing w:val="1"/>
          <w:szCs w:val="22"/>
        </w:rPr>
        <w:t xml:space="preserve"> </w:t>
      </w:r>
      <w:r w:rsidR="00715C5A" w:rsidRPr="002F2C67">
        <w:rPr>
          <w:rFonts w:asciiTheme="minorBidi" w:hAnsiTheme="minorBidi" w:cstheme="minorBidi"/>
          <w:szCs w:val="22"/>
        </w:rPr>
        <w:t xml:space="preserve">for the </w:t>
      </w:r>
      <w:r w:rsidR="00F92730" w:rsidRPr="002F2C67">
        <w:rPr>
          <w:rFonts w:asciiTheme="minorBidi" w:hAnsiTheme="minorBidi" w:cstheme="minorBidi"/>
          <w:szCs w:val="22"/>
        </w:rPr>
        <w:t xml:space="preserve">Ocean </w:t>
      </w:r>
      <w:r w:rsidR="00715C5A" w:rsidRPr="002F2C67">
        <w:rPr>
          <w:rFonts w:asciiTheme="minorBidi" w:hAnsiTheme="minorBidi" w:cstheme="minorBidi"/>
          <w:szCs w:val="22"/>
        </w:rPr>
        <w:t>Decade</w:t>
      </w:r>
      <w:r w:rsidRPr="002F2C67">
        <w:rPr>
          <w:rFonts w:asciiTheme="minorBidi" w:hAnsiTheme="minorBidi" w:cstheme="minorBidi"/>
          <w:szCs w:val="22"/>
        </w:rPr>
        <w:t xml:space="preserve">. </w:t>
      </w:r>
      <w:r w:rsidR="00501878" w:rsidRPr="002F2C67">
        <w:rPr>
          <w:rFonts w:asciiTheme="minorBidi" w:hAnsiTheme="minorBidi" w:cstheme="minorBidi"/>
          <w:szCs w:val="22"/>
        </w:rPr>
        <w:t xml:space="preserve"> </w:t>
      </w:r>
      <w:r w:rsidR="00CF69A6" w:rsidRPr="002F2C67">
        <w:rPr>
          <w:rFonts w:asciiTheme="minorBidi" w:hAnsiTheme="minorBidi" w:cstheme="minorBidi"/>
          <w:szCs w:val="22"/>
        </w:rPr>
        <w:t xml:space="preserve">The Alliance was established in </w:t>
      </w:r>
      <w:r w:rsidR="00F84674" w:rsidRPr="002F2C67">
        <w:rPr>
          <w:rFonts w:asciiTheme="minorBidi" w:hAnsiTheme="minorBidi" w:cstheme="minorBidi"/>
          <w:szCs w:val="22"/>
        </w:rPr>
        <w:t>early 2021</w:t>
      </w:r>
      <w:r w:rsidR="00CF69A6" w:rsidRPr="002F2C67">
        <w:rPr>
          <w:rFonts w:asciiTheme="minorBidi" w:hAnsiTheme="minorBidi" w:cstheme="minorBidi"/>
          <w:szCs w:val="22"/>
        </w:rPr>
        <w:t xml:space="preserve"> and a</w:t>
      </w:r>
      <w:r w:rsidR="00814C6C" w:rsidRPr="002F2C67">
        <w:rPr>
          <w:rFonts w:asciiTheme="minorBidi" w:hAnsiTheme="minorBidi" w:cstheme="minorBidi"/>
          <w:szCs w:val="22"/>
        </w:rPr>
        <w:t xml:space="preserve">t present, there are </w:t>
      </w:r>
      <w:r w:rsidR="00F84674" w:rsidRPr="002F2C67">
        <w:rPr>
          <w:rFonts w:asciiTheme="minorBidi" w:hAnsiTheme="minorBidi" w:cstheme="minorBidi"/>
          <w:szCs w:val="22"/>
        </w:rPr>
        <w:t>11 institutional</w:t>
      </w:r>
      <w:r w:rsidR="00814C6C" w:rsidRPr="002F2C67">
        <w:rPr>
          <w:rFonts w:asciiTheme="minorBidi" w:hAnsiTheme="minorBidi" w:cstheme="minorBidi"/>
          <w:szCs w:val="22"/>
        </w:rPr>
        <w:t xml:space="preserve"> Decade Alliance Members </w:t>
      </w:r>
      <w:r w:rsidR="00F84674" w:rsidRPr="002F2C67">
        <w:rPr>
          <w:rFonts w:asciiTheme="minorBidi" w:hAnsiTheme="minorBidi" w:cstheme="minorBidi"/>
          <w:szCs w:val="22"/>
        </w:rPr>
        <w:t>and 6</w:t>
      </w:r>
      <w:r w:rsidR="00D411D4" w:rsidRPr="002F2C67">
        <w:rPr>
          <w:rFonts w:asciiTheme="minorBidi" w:hAnsiTheme="minorBidi" w:cstheme="minorBidi"/>
          <w:szCs w:val="22"/>
        </w:rPr>
        <w:t xml:space="preserve"> Patrons of the Ocean Decade Alliance </w:t>
      </w:r>
      <w:r w:rsidR="00CF69A6" w:rsidRPr="002F2C67">
        <w:rPr>
          <w:rFonts w:asciiTheme="minorBidi" w:hAnsiTheme="minorBidi" w:cstheme="minorBidi"/>
          <w:szCs w:val="22"/>
        </w:rPr>
        <w:t xml:space="preserve">listed in </w:t>
      </w:r>
      <w:r w:rsidR="00F84674" w:rsidRPr="002F2C67">
        <w:rPr>
          <w:rFonts w:asciiTheme="minorBidi" w:hAnsiTheme="minorBidi" w:cstheme="minorBidi"/>
          <w:szCs w:val="22"/>
        </w:rPr>
        <w:t>Table 1</w:t>
      </w:r>
      <w:r w:rsidR="00CF69A6" w:rsidRPr="002F2C67">
        <w:rPr>
          <w:rFonts w:asciiTheme="minorBidi" w:hAnsiTheme="minorBidi" w:cstheme="minorBidi"/>
          <w:szCs w:val="22"/>
        </w:rPr>
        <w:t xml:space="preserve"> below </w:t>
      </w:r>
      <w:r w:rsidR="00F84674" w:rsidRPr="002F2C67">
        <w:rPr>
          <w:rFonts w:asciiTheme="minorBidi" w:hAnsiTheme="minorBidi" w:cstheme="minorBidi"/>
          <w:szCs w:val="22"/>
        </w:rPr>
        <w:t>with a target of securing increased</w:t>
      </w:r>
      <w:r w:rsidR="00814C6C" w:rsidRPr="002F2C67">
        <w:rPr>
          <w:rFonts w:asciiTheme="minorBidi" w:hAnsiTheme="minorBidi" w:cstheme="minorBidi"/>
          <w:szCs w:val="22"/>
        </w:rPr>
        <w:t xml:space="preserve"> commitments by year-end 2021. </w:t>
      </w:r>
    </w:p>
    <w:tbl>
      <w:tblPr>
        <w:tblStyle w:val="TableGrid"/>
        <w:tblW w:w="0" w:type="auto"/>
        <w:tblLook w:val="04A0" w:firstRow="1" w:lastRow="0" w:firstColumn="1" w:lastColumn="0" w:noHBand="0" w:noVBand="1"/>
      </w:tblPr>
      <w:tblGrid>
        <w:gridCol w:w="4675"/>
        <w:gridCol w:w="4675"/>
      </w:tblGrid>
      <w:tr w:rsidR="000D61C5" w:rsidRPr="00132F02" w14:paraId="6469D51C" w14:textId="77777777" w:rsidTr="002F2C67">
        <w:trPr>
          <w:tblHeader/>
        </w:trPr>
        <w:tc>
          <w:tcPr>
            <w:tcW w:w="4675" w:type="dxa"/>
            <w:shd w:val="clear" w:color="auto" w:fill="D0CECE" w:themeFill="background2" w:themeFillShade="E6"/>
          </w:tcPr>
          <w:p w14:paraId="1F2EEF32" w14:textId="77777777" w:rsidR="000D61C5" w:rsidRPr="00132F02" w:rsidRDefault="000D61C5" w:rsidP="000D61C5">
            <w:pPr>
              <w:pStyle w:val="Marge"/>
              <w:jc w:val="center"/>
              <w:rPr>
                <w:rFonts w:cs="Arial"/>
                <w:b/>
                <w:bCs/>
                <w:sz w:val="20"/>
                <w:szCs w:val="20"/>
              </w:rPr>
            </w:pPr>
            <w:r w:rsidRPr="00132F02">
              <w:rPr>
                <w:rFonts w:cs="Arial"/>
                <w:b/>
                <w:bCs/>
                <w:sz w:val="20"/>
                <w:szCs w:val="20"/>
              </w:rPr>
              <w:t>Ocean Decade Alliance Members</w:t>
            </w:r>
          </w:p>
        </w:tc>
        <w:tc>
          <w:tcPr>
            <w:tcW w:w="4675" w:type="dxa"/>
            <w:shd w:val="clear" w:color="auto" w:fill="D0CECE" w:themeFill="background2" w:themeFillShade="E6"/>
          </w:tcPr>
          <w:p w14:paraId="669B0709" w14:textId="77777777" w:rsidR="000D61C5" w:rsidRPr="00132F02" w:rsidRDefault="00B50359" w:rsidP="00B50359">
            <w:pPr>
              <w:pStyle w:val="Marge"/>
              <w:jc w:val="center"/>
              <w:rPr>
                <w:rFonts w:cs="Arial"/>
                <w:b/>
                <w:bCs/>
                <w:sz w:val="20"/>
                <w:szCs w:val="20"/>
              </w:rPr>
            </w:pPr>
            <w:r w:rsidRPr="00132F02">
              <w:rPr>
                <w:rFonts w:cs="Arial"/>
                <w:b/>
                <w:bCs/>
                <w:sz w:val="20"/>
                <w:szCs w:val="20"/>
              </w:rPr>
              <w:t>Patrons of the Ocean Decade Alliance</w:t>
            </w:r>
          </w:p>
        </w:tc>
      </w:tr>
      <w:tr w:rsidR="000D61C5" w:rsidRPr="00132F02" w14:paraId="7C3D057F" w14:textId="77777777" w:rsidTr="000D61C5">
        <w:tc>
          <w:tcPr>
            <w:tcW w:w="4675" w:type="dxa"/>
          </w:tcPr>
          <w:p w14:paraId="4B218224" w14:textId="77777777" w:rsidR="00F84674" w:rsidRPr="00132F02" w:rsidRDefault="00F84674" w:rsidP="00B50359">
            <w:pPr>
              <w:pStyle w:val="ListParagraph"/>
              <w:numPr>
                <w:ilvl w:val="0"/>
                <w:numId w:val="16"/>
              </w:numPr>
              <w:ind w:left="248" w:hanging="270"/>
              <w:rPr>
                <w:rFonts w:ascii="Arial" w:hAnsi="Arial" w:cs="Arial"/>
                <w:color w:val="000000" w:themeColor="text1"/>
                <w:sz w:val="20"/>
                <w:szCs w:val="20"/>
                <w:shd w:val="clear" w:color="auto" w:fill="FFFFFF"/>
              </w:rPr>
            </w:pPr>
            <w:r w:rsidRPr="00132F02">
              <w:rPr>
                <w:rFonts w:ascii="Arial" w:hAnsi="Arial" w:cs="Arial"/>
                <w:color w:val="000000" w:themeColor="text1"/>
                <w:sz w:val="20"/>
                <w:szCs w:val="20"/>
                <w:shd w:val="clear" w:color="auto" w:fill="FFFFFF"/>
              </w:rPr>
              <w:t xml:space="preserve">Canada </w:t>
            </w:r>
          </w:p>
          <w:p w14:paraId="5F8A794A" w14:textId="77777777" w:rsidR="00F84674" w:rsidRPr="00132F02" w:rsidRDefault="00F84674" w:rsidP="00B50359">
            <w:pPr>
              <w:pStyle w:val="ListParagraph"/>
              <w:numPr>
                <w:ilvl w:val="0"/>
                <w:numId w:val="16"/>
              </w:numPr>
              <w:ind w:left="248" w:hanging="270"/>
              <w:rPr>
                <w:rFonts w:ascii="Arial" w:hAnsi="Arial" w:cs="Arial"/>
                <w:color w:val="000000" w:themeColor="text1"/>
                <w:sz w:val="20"/>
                <w:szCs w:val="20"/>
                <w:shd w:val="clear" w:color="auto" w:fill="FFFFFF"/>
              </w:rPr>
            </w:pPr>
            <w:r w:rsidRPr="00132F02">
              <w:rPr>
                <w:rFonts w:ascii="Arial" w:hAnsi="Arial" w:cs="Arial"/>
                <w:color w:val="000000" w:themeColor="text1"/>
                <w:sz w:val="20"/>
                <w:szCs w:val="20"/>
                <w:shd w:val="clear" w:color="auto" w:fill="FFFFFF"/>
              </w:rPr>
              <w:t>Sweden</w:t>
            </w:r>
          </w:p>
          <w:p w14:paraId="5E5C0065" w14:textId="77777777" w:rsidR="000D61C5" w:rsidRPr="00132F02" w:rsidRDefault="000D61C5" w:rsidP="00B50359">
            <w:pPr>
              <w:pStyle w:val="ListParagraph"/>
              <w:numPr>
                <w:ilvl w:val="0"/>
                <w:numId w:val="16"/>
              </w:numPr>
              <w:ind w:left="248" w:hanging="270"/>
              <w:rPr>
                <w:rFonts w:ascii="Arial" w:hAnsi="Arial" w:cs="Arial"/>
                <w:color w:val="000000" w:themeColor="text1"/>
                <w:sz w:val="20"/>
                <w:szCs w:val="20"/>
                <w:shd w:val="clear" w:color="auto" w:fill="FFFFFF"/>
              </w:rPr>
            </w:pPr>
            <w:r w:rsidRPr="00132F02">
              <w:rPr>
                <w:rFonts w:ascii="Arial" w:hAnsi="Arial" w:cs="Arial"/>
                <w:color w:val="000000" w:themeColor="text1"/>
                <w:sz w:val="20"/>
                <w:szCs w:val="20"/>
                <w:shd w:val="clear" w:color="auto" w:fill="FFFFFF"/>
              </w:rPr>
              <w:t>Republic of Kenya</w:t>
            </w:r>
          </w:p>
          <w:p w14:paraId="0A880DD8" w14:textId="77777777" w:rsidR="00D411D4" w:rsidRPr="00132F02" w:rsidRDefault="000D61C5" w:rsidP="00B50359">
            <w:pPr>
              <w:pStyle w:val="ListParagraph"/>
              <w:numPr>
                <w:ilvl w:val="0"/>
                <w:numId w:val="16"/>
              </w:numPr>
              <w:ind w:left="248" w:hanging="270"/>
              <w:rPr>
                <w:rFonts w:ascii="Arial" w:hAnsi="Arial" w:cs="Arial"/>
                <w:color w:val="000000" w:themeColor="text1"/>
                <w:sz w:val="20"/>
                <w:szCs w:val="20"/>
                <w:shd w:val="clear" w:color="auto" w:fill="FFFFFF"/>
              </w:rPr>
            </w:pPr>
            <w:r w:rsidRPr="00132F02">
              <w:rPr>
                <w:rFonts w:ascii="Arial" w:hAnsi="Arial" w:cs="Arial"/>
                <w:color w:val="000000" w:themeColor="text1"/>
                <w:sz w:val="20"/>
                <w:szCs w:val="20"/>
              </w:rPr>
              <w:t>Republic of Korea</w:t>
            </w:r>
          </w:p>
          <w:p w14:paraId="2087C135" w14:textId="77777777" w:rsidR="00B50359" w:rsidRPr="00132F02" w:rsidRDefault="000D61C5" w:rsidP="00B50359">
            <w:pPr>
              <w:pStyle w:val="ListParagraph"/>
              <w:numPr>
                <w:ilvl w:val="0"/>
                <w:numId w:val="16"/>
              </w:numPr>
              <w:ind w:left="248" w:hanging="270"/>
              <w:rPr>
                <w:rFonts w:ascii="Arial" w:hAnsi="Arial" w:cs="Arial"/>
                <w:color w:val="000000" w:themeColor="text1"/>
                <w:sz w:val="20"/>
                <w:szCs w:val="20"/>
                <w:shd w:val="clear" w:color="auto" w:fill="FFFFFF"/>
              </w:rPr>
            </w:pPr>
            <w:r w:rsidRPr="00132F02">
              <w:rPr>
                <w:rFonts w:ascii="Arial" w:hAnsi="Arial" w:cs="Arial"/>
                <w:color w:val="000000" w:themeColor="text1"/>
                <w:sz w:val="20"/>
                <w:szCs w:val="20"/>
                <w:shd w:val="clear" w:color="auto" w:fill="FFFFFF"/>
              </w:rPr>
              <w:t>Republic of Norway</w:t>
            </w:r>
          </w:p>
          <w:p w14:paraId="130BC867" w14:textId="77777777" w:rsidR="00B50359" w:rsidRPr="00132F02" w:rsidRDefault="001A5FA9" w:rsidP="00B50359">
            <w:pPr>
              <w:pStyle w:val="ListParagraph"/>
              <w:numPr>
                <w:ilvl w:val="0"/>
                <w:numId w:val="16"/>
              </w:numPr>
              <w:ind w:left="248" w:hanging="270"/>
              <w:rPr>
                <w:rStyle w:val="Emphasis"/>
                <w:rFonts w:ascii="Arial" w:hAnsi="Arial" w:cs="Arial"/>
                <w:i w:val="0"/>
                <w:iCs w:val="0"/>
                <w:color w:val="000000" w:themeColor="text1"/>
                <w:sz w:val="20"/>
                <w:szCs w:val="20"/>
                <w:lang w:val="fr-FR"/>
              </w:rPr>
            </w:pPr>
            <w:r w:rsidRPr="00132F02">
              <w:rPr>
                <w:rFonts w:ascii="Arial" w:hAnsi="Arial" w:cs="Arial"/>
                <w:color w:val="000000" w:themeColor="text1"/>
                <w:sz w:val="20"/>
                <w:szCs w:val="20"/>
                <w:lang w:val="fr-FR"/>
              </w:rPr>
              <w:t xml:space="preserve">Fondation Mohammed VI </w:t>
            </w:r>
            <w:r w:rsidR="00B50359" w:rsidRPr="00132F02">
              <w:rPr>
                <w:rStyle w:val="Emphasis"/>
                <w:rFonts w:ascii="Arial" w:hAnsi="Arial" w:cs="Arial"/>
                <w:i w:val="0"/>
                <w:iCs w:val="0"/>
                <w:color w:val="000000" w:themeColor="text1"/>
                <w:sz w:val="20"/>
                <w:szCs w:val="20"/>
                <w:lang w:val="fr-FR"/>
              </w:rPr>
              <w:t>pour la Protection de</w:t>
            </w:r>
            <w:r w:rsidR="00B50359" w:rsidRPr="00132F02">
              <w:rPr>
                <w:rStyle w:val="Emphasis"/>
                <w:rFonts w:ascii="Arial" w:hAnsi="Arial" w:cs="Arial"/>
                <w:sz w:val="20"/>
                <w:szCs w:val="20"/>
                <w:lang w:val="fr-FR"/>
              </w:rPr>
              <w:t xml:space="preserve"> </w:t>
            </w:r>
            <w:r w:rsidR="00B50359" w:rsidRPr="00132F02">
              <w:rPr>
                <w:rStyle w:val="Emphasis"/>
                <w:rFonts w:ascii="Arial" w:hAnsi="Arial" w:cs="Arial"/>
                <w:i w:val="0"/>
                <w:iCs w:val="0"/>
                <w:color w:val="000000" w:themeColor="text1"/>
                <w:sz w:val="20"/>
                <w:szCs w:val="20"/>
                <w:lang w:val="fr-FR"/>
              </w:rPr>
              <w:t>l'Environnement</w:t>
            </w:r>
          </w:p>
          <w:p w14:paraId="4613C918" w14:textId="77777777" w:rsidR="000D61C5" w:rsidRPr="00132F02" w:rsidRDefault="000D61C5" w:rsidP="00B50359">
            <w:pPr>
              <w:pStyle w:val="ListParagraph"/>
              <w:numPr>
                <w:ilvl w:val="0"/>
                <w:numId w:val="16"/>
              </w:numPr>
              <w:ind w:left="248" w:hanging="270"/>
              <w:rPr>
                <w:rFonts w:ascii="Arial" w:hAnsi="Arial" w:cs="Arial"/>
                <w:color w:val="000000" w:themeColor="text1"/>
                <w:sz w:val="20"/>
                <w:szCs w:val="20"/>
                <w:lang w:val="fr-FR"/>
              </w:rPr>
            </w:pPr>
            <w:r w:rsidRPr="00132F02">
              <w:rPr>
                <w:rFonts w:ascii="Arial" w:hAnsi="Arial" w:cs="Arial"/>
                <w:color w:val="000000" w:themeColor="text1"/>
                <w:sz w:val="20"/>
                <w:szCs w:val="20"/>
                <w:lang w:val="fr-FR"/>
              </w:rPr>
              <w:t xml:space="preserve">Fondation Prince Albert II </w:t>
            </w:r>
            <w:r w:rsidR="001A5FA9" w:rsidRPr="00132F02">
              <w:rPr>
                <w:rFonts w:ascii="Arial" w:hAnsi="Arial" w:cs="Arial"/>
                <w:color w:val="000000" w:themeColor="text1"/>
                <w:sz w:val="20"/>
                <w:szCs w:val="20"/>
                <w:lang w:val="fr-FR"/>
              </w:rPr>
              <w:t>de Monaco</w:t>
            </w:r>
          </w:p>
          <w:p w14:paraId="001687F9" w14:textId="77777777" w:rsidR="00B50359" w:rsidRPr="00132F02" w:rsidRDefault="001A5FA9" w:rsidP="00B50359">
            <w:pPr>
              <w:pStyle w:val="ListParagraph"/>
              <w:numPr>
                <w:ilvl w:val="0"/>
                <w:numId w:val="16"/>
              </w:numPr>
              <w:ind w:left="248" w:hanging="270"/>
              <w:rPr>
                <w:rFonts w:ascii="Arial" w:hAnsi="Arial" w:cs="Arial"/>
                <w:color w:val="000000" w:themeColor="text1"/>
                <w:sz w:val="20"/>
                <w:szCs w:val="20"/>
              </w:rPr>
            </w:pPr>
            <w:r w:rsidRPr="00132F02">
              <w:rPr>
                <w:rFonts w:ascii="Arial" w:hAnsi="Arial" w:cs="Arial"/>
                <w:color w:val="000000" w:themeColor="text1"/>
                <w:sz w:val="20"/>
                <w:szCs w:val="20"/>
                <w:shd w:val="clear" w:color="auto" w:fill="FFFFFF"/>
              </w:rPr>
              <w:t>Great Barrier Reef Foundation</w:t>
            </w:r>
          </w:p>
          <w:p w14:paraId="7B6AFE4C" w14:textId="77777777" w:rsidR="00B50359" w:rsidRPr="00132F02" w:rsidRDefault="000D61C5" w:rsidP="00B50359">
            <w:pPr>
              <w:pStyle w:val="ListParagraph"/>
              <w:numPr>
                <w:ilvl w:val="0"/>
                <w:numId w:val="16"/>
              </w:numPr>
              <w:ind w:left="248" w:hanging="270"/>
              <w:rPr>
                <w:rFonts w:ascii="Arial" w:hAnsi="Arial" w:cs="Arial"/>
                <w:color w:val="000000" w:themeColor="text1"/>
                <w:sz w:val="20"/>
                <w:szCs w:val="20"/>
              </w:rPr>
            </w:pPr>
            <w:r w:rsidRPr="00132F02">
              <w:rPr>
                <w:rFonts w:ascii="Arial" w:hAnsi="Arial" w:cs="Arial"/>
                <w:color w:val="000000" w:themeColor="text1"/>
                <w:sz w:val="20"/>
                <w:szCs w:val="20"/>
                <w:shd w:val="clear" w:color="auto" w:fill="FFFFFF"/>
              </w:rPr>
              <w:t>Schmidt Ocean Institute</w:t>
            </w:r>
          </w:p>
          <w:p w14:paraId="52AA9535" w14:textId="77777777" w:rsidR="00B50359" w:rsidRPr="00132F02" w:rsidRDefault="000D61C5" w:rsidP="00B50359">
            <w:pPr>
              <w:pStyle w:val="ListParagraph"/>
              <w:numPr>
                <w:ilvl w:val="0"/>
                <w:numId w:val="16"/>
              </w:numPr>
              <w:ind w:left="248" w:hanging="270"/>
              <w:rPr>
                <w:rFonts w:ascii="Arial" w:hAnsi="Arial" w:cs="Arial"/>
                <w:color w:val="000000" w:themeColor="text1"/>
                <w:sz w:val="20"/>
                <w:szCs w:val="20"/>
              </w:rPr>
            </w:pPr>
            <w:r w:rsidRPr="00132F02">
              <w:rPr>
                <w:rFonts w:ascii="Arial" w:hAnsi="Arial" w:cs="Arial"/>
                <w:color w:val="000000" w:themeColor="text1"/>
                <w:sz w:val="20"/>
                <w:szCs w:val="20"/>
                <w:shd w:val="clear" w:color="auto" w:fill="FFFFFF"/>
              </w:rPr>
              <w:t xml:space="preserve">United Nations Environment </w:t>
            </w:r>
            <w:proofErr w:type="spellStart"/>
            <w:r w:rsidRPr="00132F02">
              <w:rPr>
                <w:rFonts w:ascii="Arial" w:hAnsi="Arial" w:cs="Arial"/>
                <w:color w:val="000000" w:themeColor="text1"/>
                <w:sz w:val="20"/>
                <w:szCs w:val="20"/>
                <w:shd w:val="clear" w:color="auto" w:fill="FFFFFF"/>
              </w:rPr>
              <w:t>Programme</w:t>
            </w:r>
            <w:proofErr w:type="spellEnd"/>
          </w:p>
          <w:p w14:paraId="752AF395" w14:textId="77777777" w:rsidR="000D61C5" w:rsidRPr="00132F02" w:rsidRDefault="000D61C5" w:rsidP="00372BC6">
            <w:pPr>
              <w:pStyle w:val="ListParagraph"/>
              <w:numPr>
                <w:ilvl w:val="0"/>
                <w:numId w:val="16"/>
              </w:numPr>
              <w:ind w:left="248" w:hanging="270"/>
              <w:rPr>
                <w:rFonts w:ascii="Arial" w:hAnsi="Arial" w:cs="Arial"/>
                <w:color w:val="000000" w:themeColor="text1"/>
                <w:sz w:val="20"/>
                <w:szCs w:val="20"/>
              </w:rPr>
            </w:pPr>
            <w:r w:rsidRPr="00132F02">
              <w:rPr>
                <w:rFonts w:ascii="Arial" w:hAnsi="Arial" w:cs="Arial"/>
                <w:color w:val="000000" w:themeColor="text1"/>
                <w:sz w:val="20"/>
                <w:szCs w:val="20"/>
                <w:shd w:val="clear" w:color="auto" w:fill="FFFFFF"/>
              </w:rPr>
              <w:t>International Seabed Authority</w:t>
            </w:r>
          </w:p>
        </w:tc>
        <w:tc>
          <w:tcPr>
            <w:tcW w:w="4675" w:type="dxa"/>
          </w:tcPr>
          <w:p w14:paraId="0BCF9976" w14:textId="77777777" w:rsidR="00B50359" w:rsidRPr="00132F02" w:rsidRDefault="00B50359" w:rsidP="00B50359">
            <w:pPr>
              <w:pStyle w:val="ListParagraph"/>
              <w:numPr>
                <w:ilvl w:val="0"/>
                <w:numId w:val="16"/>
              </w:numPr>
              <w:ind w:left="340"/>
              <w:rPr>
                <w:rFonts w:ascii="Arial" w:hAnsi="Arial" w:cs="Arial"/>
                <w:color w:val="000000" w:themeColor="text1"/>
                <w:sz w:val="20"/>
                <w:szCs w:val="20"/>
              </w:rPr>
            </w:pPr>
            <w:r w:rsidRPr="00132F02">
              <w:rPr>
                <w:rFonts w:ascii="Arial" w:hAnsi="Arial" w:cs="Arial"/>
                <w:color w:val="333333"/>
                <w:sz w:val="20"/>
                <w:szCs w:val="20"/>
                <w:shd w:val="clear" w:color="auto" w:fill="FFFFFF"/>
              </w:rPr>
              <w:t>H.S.H. Prince Albert II, Sovereign Prince of Monaco</w:t>
            </w:r>
          </w:p>
          <w:p w14:paraId="363F00EF" w14:textId="77777777" w:rsidR="00B50359" w:rsidRPr="00132F02" w:rsidRDefault="00B50359" w:rsidP="00B50359">
            <w:pPr>
              <w:pStyle w:val="ListParagraph"/>
              <w:numPr>
                <w:ilvl w:val="0"/>
                <w:numId w:val="16"/>
              </w:numPr>
              <w:ind w:left="340"/>
              <w:rPr>
                <w:rStyle w:val="Emphasis"/>
                <w:rFonts w:ascii="Arial" w:hAnsi="Arial" w:cs="Arial"/>
                <w:i w:val="0"/>
                <w:iCs w:val="0"/>
                <w:color w:val="000000" w:themeColor="text1"/>
                <w:sz w:val="20"/>
                <w:szCs w:val="20"/>
                <w:lang w:val="fr-FR"/>
              </w:rPr>
            </w:pPr>
            <w:r w:rsidRPr="00132F02">
              <w:rPr>
                <w:rFonts w:ascii="Arial" w:hAnsi="Arial" w:cs="Arial"/>
                <w:color w:val="333333"/>
                <w:sz w:val="20"/>
                <w:szCs w:val="20"/>
                <w:shd w:val="clear" w:color="auto" w:fill="FFFFFF"/>
                <w:lang w:val="fr-FR"/>
              </w:rPr>
              <w:t xml:space="preserve">HRH Princess Lalla </w:t>
            </w:r>
            <w:proofErr w:type="spellStart"/>
            <w:r w:rsidRPr="00132F02">
              <w:rPr>
                <w:rFonts w:ascii="Arial" w:hAnsi="Arial" w:cs="Arial"/>
                <w:color w:val="333333"/>
                <w:sz w:val="20"/>
                <w:szCs w:val="20"/>
                <w:shd w:val="clear" w:color="auto" w:fill="FFFFFF"/>
                <w:lang w:val="fr-FR"/>
              </w:rPr>
              <w:t>Hasnaa</w:t>
            </w:r>
            <w:proofErr w:type="spellEnd"/>
            <w:r w:rsidRPr="00132F02">
              <w:rPr>
                <w:rFonts w:ascii="Arial" w:hAnsi="Arial" w:cs="Arial"/>
                <w:color w:val="333333"/>
                <w:sz w:val="20"/>
                <w:szCs w:val="20"/>
                <w:shd w:val="clear" w:color="auto" w:fill="FFFFFF"/>
                <w:lang w:val="fr-FR"/>
              </w:rPr>
              <w:t xml:space="preserve">, </w:t>
            </w:r>
            <w:proofErr w:type="spellStart"/>
            <w:r w:rsidR="00F33A6C" w:rsidRPr="00132F02">
              <w:rPr>
                <w:rFonts w:ascii="Arial" w:hAnsi="Arial" w:cs="Arial"/>
                <w:color w:val="333333"/>
                <w:sz w:val="20"/>
                <w:szCs w:val="20"/>
                <w:shd w:val="clear" w:color="auto" w:fill="FFFFFF"/>
                <w:lang w:val="fr-FR"/>
              </w:rPr>
              <w:t>President</w:t>
            </w:r>
            <w:proofErr w:type="spellEnd"/>
            <w:r w:rsidR="00F33A6C" w:rsidRPr="00132F02">
              <w:rPr>
                <w:rFonts w:ascii="Arial" w:hAnsi="Arial" w:cs="Arial"/>
                <w:color w:val="333333"/>
                <w:sz w:val="20"/>
                <w:szCs w:val="20"/>
                <w:shd w:val="clear" w:color="auto" w:fill="FFFFFF"/>
                <w:lang w:val="fr-FR"/>
              </w:rPr>
              <w:t xml:space="preserve">, </w:t>
            </w:r>
            <w:r w:rsidRPr="00132F02">
              <w:rPr>
                <w:rFonts w:ascii="Arial" w:hAnsi="Arial" w:cs="Arial"/>
                <w:color w:val="000000" w:themeColor="text1"/>
                <w:sz w:val="20"/>
                <w:szCs w:val="20"/>
                <w:lang w:val="fr-FR"/>
              </w:rPr>
              <w:t xml:space="preserve">Fondation Mohammed VI </w:t>
            </w:r>
            <w:r w:rsidRPr="00132F02">
              <w:rPr>
                <w:rStyle w:val="Emphasis"/>
                <w:rFonts w:ascii="Arial" w:hAnsi="Arial" w:cs="Arial"/>
                <w:i w:val="0"/>
                <w:iCs w:val="0"/>
                <w:color w:val="000000" w:themeColor="text1"/>
                <w:sz w:val="20"/>
                <w:szCs w:val="20"/>
                <w:lang w:val="fr-FR"/>
              </w:rPr>
              <w:t>pour la Protection de l'Environnement</w:t>
            </w:r>
          </w:p>
          <w:p w14:paraId="2A13AC17" w14:textId="77777777" w:rsidR="00B50359" w:rsidRPr="00132F02" w:rsidRDefault="00B50359" w:rsidP="00B50359">
            <w:pPr>
              <w:pStyle w:val="ListParagraph"/>
              <w:numPr>
                <w:ilvl w:val="0"/>
                <w:numId w:val="16"/>
              </w:numPr>
              <w:ind w:left="340"/>
              <w:rPr>
                <w:rFonts w:ascii="Arial" w:hAnsi="Arial" w:cs="Arial"/>
                <w:color w:val="333333"/>
                <w:sz w:val="20"/>
                <w:szCs w:val="20"/>
                <w:shd w:val="clear" w:color="auto" w:fill="FFFFFF"/>
              </w:rPr>
            </w:pPr>
            <w:r w:rsidRPr="00132F02">
              <w:rPr>
                <w:rFonts w:ascii="Arial" w:hAnsi="Arial" w:cs="Arial"/>
                <w:color w:val="333333"/>
                <w:sz w:val="20"/>
                <w:szCs w:val="20"/>
                <w:shd w:val="clear" w:color="auto" w:fill="FFFFFF"/>
              </w:rPr>
              <w:t>Prime Minister Erna Solberg, Norway</w:t>
            </w:r>
          </w:p>
          <w:p w14:paraId="4FBDAAF9" w14:textId="77777777" w:rsidR="00B50359" w:rsidRPr="00132F02" w:rsidRDefault="00B50359" w:rsidP="00B50359">
            <w:pPr>
              <w:pStyle w:val="ListParagraph"/>
              <w:numPr>
                <w:ilvl w:val="0"/>
                <w:numId w:val="16"/>
              </w:numPr>
              <w:ind w:left="340"/>
              <w:rPr>
                <w:rFonts w:ascii="Arial" w:hAnsi="Arial" w:cs="Arial"/>
                <w:color w:val="333333"/>
                <w:sz w:val="20"/>
                <w:szCs w:val="20"/>
                <w:shd w:val="clear" w:color="auto" w:fill="FFFFFF"/>
              </w:rPr>
            </w:pPr>
            <w:r w:rsidRPr="00132F02">
              <w:rPr>
                <w:rFonts w:ascii="Arial" w:hAnsi="Arial" w:cs="Arial"/>
                <w:color w:val="333333"/>
                <w:sz w:val="20"/>
                <w:szCs w:val="20"/>
                <w:shd w:val="clear" w:color="auto" w:fill="FFFFFF"/>
              </w:rPr>
              <w:t>HE Hon Uhuru Kenyatta, President of Kenya</w:t>
            </w:r>
          </w:p>
          <w:p w14:paraId="3A54EA46" w14:textId="77777777" w:rsidR="00B50359" w:rsidRPr="00132F02" w:rsidRDefault="00B50359" w:rsidP="00B50359">
            <w:pPr>
              <w:pStyle w:val="ListParagraph"/>
              <w:numPr>
                <w:ilvl w:val="0"/>
                <w:numId w:val="16"/>
              </w:numPr>
              <w:ind w:left="340"/>
              <w:rPr>
                <w:rFonts w:ascii="Arial" w:hAnsi="Arial" w:cs="Arial"/>
                <w:color w:val="333333"/>
                <w:sz w:val="20"/>
                <w:szCs w:val="20"/>
                <w:shd w:val="clear" w:color="auto" w:fill="FFFFFF"/>
              </w:rPr>
            </w:pPr>
            <w:r w:rsidRPr="00132F02">
              <w:rPr>
                <w:rFonts w:ascii="Arial" w:hAnsi="Arial" w:cs="Arial"/>
                <w:color w:val="333333"/>
                <w:sz w:val="20"/>
                <w:szCs w:val="20"/>
                <w:shd w:val="clear" w:color="auto" w:fill="FFFFFF"/>
              </w:rPr>
              <w:t>Ms. Wendy Schmidt, Founder</w:t>
            </w:r>
            <w:r w:rsidR="00F33A6C" w:rsidRPr="00132F02">
              <w:rPr>
                <w:rFonts w:ascii="Arial" w:hAnsi="Arial" w:cs="Arial"/>
                <w:color w:val="333333"/>
                <w:sz w:val="20"/>
                <w:szCs w:val="20"/>
                <w:shd w:val="clear" w:color="auto" w:fill="FFFFFF"/>
              </w:rPr>
              <w:t xml:space="preserve">, </w:t>
            </w:r>
            <w:r w:rsidRPr="00132F02">
              <w:rPr>
                <w:rFonts w:ascii="Arial" w:hAnsi="Arial" w:cs="Arial"/>
                <w:color w:val="333333"/>
                <w:sz w:val="20"/>
                <w:szCs w:val="20"/>
                <w:shd w:val="clear" w:color="auto" w:fill="FFFFFF"/>
              </w:rPr>
              <w:t>Schmidt Ocean Institute</w:t>
            </w:r>
          </w:p>
          <w:p w14:paraId="66AC54C5" w14:textId="77777777" w:rsidR="000D61C5" w:rsidRPr="00132F02" w:rsidRDefault="00B50359" w:rsidP="00372BC6">
            <w:pPr>
              <w:pStyle w:val="ListParagraph"/>
              <w:numPr>
                <w:ilvl w:val="0"/>
                <w:numId w:val="16"/>
              </w:numPr>
              <w:ind w:left="340"/>
              <w:rPr>
                <w:rFonts w:ascii="Arial" w:hAnsi="Arial" w:cs="Arial"/>
                <w:color w:val="333333"/>
                <w:sz w:val="20"/>
                <w:szCs w:val="20"/>
                <w:shd w:val="clear" w:color="auto" w:fill="FFFFFF"/>
              </w:rPr>
            </w:pPr>
            <w:r w:rsidRPr="00132F02">
              <w:rPr>
                <w:rFonts w:ascii="Arial" w:hAnsi="Arial" w:cs="Arial"/>
                <w:color w:val="333333"/>
                <w:sz w:val="20"/>
                <w:szCs w:val="20"/>
                <w:shd w:val="clear" w:color="auto" w:fill="FFFFFF"/>
              </w:rPr>
              <w:t>Mr. John Schubert AO, Chai</w:t>
            </w:r>
            <w:r w:rsidR="00F33A6C" w:rsidRPr="00132F02">
              <w:rPr>
                <w:rFonts w:ascii="Arial" w:hAnsi="Arial" w:cs="Arial"/>
                <w:color w:val="333333"/>
                <w:sz w:val="20"/>
                <w:szCs w:val="20"/>
                <w:shd w:val="clear" w:color="auto" w:fill="FFFFFF"/>
              </w:rPr>
              <w:t>r,</w:t>
            </w:r>
            <w:r w:rsidRPr="00132F02">
              <w:rPr>
                <w:rFonts w:ascii="Arial" w:hAnsi="Arial" w:cs="Arial"/>
                <w:color w:val="333333"/>
                <w:sz w:val="20"/>
                <w:szCs w:val="20"/>
                <w:shd w:val="clear" w:color="auto" w:fill="FFFFFF"/>
              </w:rPr>
              <w:t xml:space="preserve"> Great Barrier Reef Foundation </w:t>
            </w:r>
          </w:p>
        </w:tc>
      </w:tr>
    </w:tbl>
    <w:p w14:paraId="4C08C39C" w14:textId="77777777" w:rsidR="00F84674" w:rsidRPr="00F84674" w:rsidRDefault="00F84674" w:rsidP="00F84674">
      <w:pPr>
        <w:pStyle w:val="Marge"/>
        <w:jc w:val="center"/>
        <w:rPr>
          <w:rFonts w:cs="Arial"/>
          <w:u w:val="single"/>
        </w:rPr>
      </w:pPr>
      <w:r w:rsidRPr="00F84674">
        <w:rPr>
          <w:rFonts w:cs="Arial"/>
          <w:sz w:val="20"/>
          <w:szCs w:val="21"/>
          <w:u w:val="single"/>
        </w:rPr>
        <w:t>Table 1: Current Ocean Decade Alliance Members</w:t>
      </w:r>
    </w:p>
    <w:p w14:paraId="074515DC" w14:textId="77777777" w:rsidR="002A1E8A" w:rsidRPr="006A1EE4" w:rsidRDefault="00CF69A6" w:rsidP="0080488A">
      <w:pPr>
        <w:pStyle w:val="Marge"/>
        <w:rPr>
          <w:rFonts w:cs="Arial"/>
          <w:color w:val="000000" w:themeColor="text1"/>
          <w:szCs w:val="22"/>
        </w:rPr>
      </w:pPr>
      <w:r w:rsidRPr="006A1EE4">
        <w:rPr>
          <w:rFonts w:cs="Arial"/>
          <w:color w:val="000000" w:themeColor="text1"/>
          <w:szCs w:val="22"/>
        </w:rPr>
        <w:lastRenderedPageBreak/>
        <w:t xml:space="preserve">The overwhelming focus in 2021 will be on direct outreach and recruitment of ‘early adopters’ who have demonstrated consistent and determined support for the Ocean Decade and ocean science. Every effort will be made to develop customized outreach plans to engaged potential Alliance members for discussions and resultant negotiations. </w:t>
      </w:r>
    </w:p>
    <w:p w14:paraId="006458C4" w14:textId="77777777" w:rsidR="00CF69A6" w:rsidRPr="006A1EE4" w:rsidRDefault="00CF69A6" w:rsidP="0080488A">
      <w:pPr>
        <w:pStyle w:val="Marge"/>
        <w:rPr>
          <w:rFonts w:cs="Arial"/>
          <w:color w:val="000000" w:themeColor="text1"/>
          <w:szCs w:val="22"/>
        </w:rPr>
      </w:pPr>
      <w:r w:rsidRPr="006A1EE4">
        <w:rPr>
          <w:rFonts w:cs="Arial"/>
          <w:color w:val="000000" w:themeColor="text1"/>
          <w:szCs w:val="22"/>
        </w:rPr>
        <w:t xml:space="preserve">At the same time, the Decade Coordination Unit will be responsible for creating ongoing opportunities for Alliance members to shape the strategic implementation of the Ocean Decade, </w:t>
      </w:r>
      <w:r w:rsidR="002A1E8A" w:rsidRPr="006A1EE4">
        <w:rPr>
          <w:rFonts w:cs="Arial"/>
          <w:color w:val="000000" w:themeColor="text1"/>
          <w:szCs w:val="22"/>
        </w:rPr>
        <w:t xml:space="preserve">engage other Alliance members and showcase their leadership within the Ocean Decade. As a result, </w:t>
      </w:r>
      <w:r w:rsidRPr="006A1EE4">
        <w:rPr>
          <w:rFonts w:cs="Arial"/>
          <w:color w:val="000000" w:themeColor="text1"/>
          <w:szCs w:val="22"/>
        </w:rPr>
        <w:t xml:space="preserve">Alliance members will </w:t>
      </w:r>
      <w:r w:rsidR="002A1E8A" w:rsidRPr="006A1EE4">
        <w:rPr>
          <w:rFonts w:cs="Arial"/>
          <w:color w:val="000000" w:themeColor="text1"/>
          <w:szCs w:val="22"/>
        </w:rPr>
        <w:t xml:space="preserve">be presented with </w:t>
      </w:r>
      <w:r w:rsidRPr="006A1EE4">
        <w:rPr>
          <w:rFonts w:cs="Arial"/>
          <w:color w:val="000000" w:themeColor="text1"/>
          <w:szCs w:val="22"/>
        </w:rPr>
        <w:t>opportunities for formal and informal networking</w:t>
      </w:r>
      <w:r w:rsidR="002A1E8A" w:rsidRPr="006A1EE4">
        <w:rPr>
          <w:rFonts w:cs="Arial"/>
          <w:color w:val="000000" w:themeColor="text1"/>
          <w:szCs w:val="22"/>
        </w:rPr>
        <w:t xml:space="preserve"> to encourage </w:t>
      </w:r>
      <w:r w:rsidRPr="006A1EE4">
        <w:rPr>
          <w:rFonts w:cs="Arial"/>
          <w:color w:val="000000" w:themeColor="text1"/>
          <w:szCs w:val="22"/>
        </w:rPr>
        <w:t>new collaborations for joint funding or initiatives, as well as opportunities to optimise synergies activities supported by Alliance members.</w:t>
      </w:r>
    </w:p>
    <w:p w14:paraId="24AE0164" w14:textId="77777777" w:rsidR="006A1EE4" w:rsidRDefault="00F84674" w:rsidP="002F2C67">
      <w:pPr>
        <w:pStyle w:val="Marge"/>
        <w:numPr>
          <w:ilvl w:val="0"/>
          <w:numId w:val="21"/>
        </w:numPr>
        <w:ind w:left="0" w:firstLine="0"/>
        <w:rPr>
          <w:rFonts w:cs="Arial"/>
        </w:rPr>
      </w:pPr>
      <w:r w:rsidRPr="006A1EE4">
        <w:rPr>
          <w:rFonts w:cs="Arial"/>
          <w:color w:val="000000" w:themeColor="text1"/>
          <w:szCs w:val="22"/>
        </w:rPr>
        <w:t xml:space="preserve">Operational focal points (Sherpas) of Alliance members will be invited to a first meeting of Alliance members in the second half of 2021. This meeting will allow further discussion of the priorities and mode of operation of the </w:t>
      </w:r>
      <w:proofErr w:type="gramStart"/>
      <w:r w:rsidRPr="006A1EE4">
        <w:rPr>
          <w:rFonts w:cs="Arial"/>
          <w:color w:val="000000" w:themeColor="text1"/>
          <w:szCs w:val="22"/>
        </w:rPr>
        <w:t>Alliance, and</w:t>
      </w:r>
      <w:proofErr w:type="gramEnd"/>
      <w:r w:rsidRPr="006A1EE4">
        <w:rPr>
          <w:rFonts w:cs="Arial"/>
          <w:color w:val="000000" w:themeColor="text1"/>
          <w:szCs w:val="22"/>
        </w:rPr>
        <w:t xml:space="preserve"> will identify joint milestones for Alliance members for</w:t>
      </w:r>
      <w:r>
        <w:rPr>
          <w:rFonts w:cs="Arial"/>
        </w:rPr>
        <w:t xml:space="preserve"> the next two years.</w:t>
      </w:r>
    </w:p>
    <w:p w14:paraId="427816EC" w14:textId="77777777" w:rsidR="005E6D89" w:rsidRPr="002F2C67" w:rsidRDefault="005E6D89" w:rsidP="002F2C67">
      <w:pPr>
        <w:pStyle w:val="Heading2"/>
        <w:snapToGrid w:val="0"/>
        <w:spacing w:before="0" w:after="240"/>
        <w:rPr>
          <w:rFonts w:asciiTheme="minorBidi" w:hAnsiTheme="minorBidi" w:cstheme="minorBidi"/>
          <w:sz w:val="22"/>
          <w:szCs w:val="22"/>
        </w:rPr>
      </w:pPr>
      <w:bookmarkStart w:id="14" w:name="_Toc73968043"/>
      <w:r w:rsidRPr="002F2C67">
        <w:rPr>
          <w:rFonts w:asciiTheme="minorBidi" w:hAnsiTheme="minorBidi" w:cstheme="minorBidi"/>
          <w:sz w:val="22"/>
          <w:szCs w:val="22"/>
        </w:rPr>
        <w:t xml:space="preserve">Establish </w:t>
      </w:r>
      <w:r w:rsidR="00F3641B" w:rsidRPr="002F2C67">
        <w:rPr>
          <w:rFonts w:asciiTheme="minorBidi" w:hAnsiTheme="minorBidi" w:cstheme="minorBidi"/>
          <w:sz w:val="22"/>
          <w:szCs w:val="22"/>
        </w:rPr>
        <w:t>Relationships</w:t>
      </w:r>
      <w:r w:rsidRPr="002F2C67">
        <w:rPr>
          <w:rFonts w:asciiTheme="minorBidi" w:hAnsiTheme="minorBidi" w:cstheme="minorBidi"/>
          <w:sz w:val="22"/>
          <w:szCs w:val="22"/>
        </w:rPr>
        <w:t xml:space="preserve"> with </w:t>
      </w:r>
      <w:r w:rsidR="006768BC" w:rsidRPr="002F2C67">
        <w:rPr>
          <w:rFonts w:asciiTheme="minorBidi" w:hAnsiTheme="minorBidi" w:cstheme="minorBidi"/>
          <w:sz w:val="22"/>
          <w:szCs w:val="22"/>
        </w:rPr>
        <w:t>K</w:t>
      </w:r>
      <w:r w:rsidRPr="002F2C67">
        <w:rPr>
          <w:rFonts w:asciiTheme="minorBidi" w:hAnsiTheme="minorBidi" w:cstheme="minorBidi"/>
          <w:sz w:val="22"/>
          <w:szCs w:val="22"/>
        </w:rPr>
        <w:t xml:space="preserve">ey </w:t>
      </w:r>
      <w:r w:rsidR="006768BC" w:rsidRPr="002F2C67">
        <w:rPr>
          <w:rFonts w:asciiTheme="minorBidi" w:hAnsiTheme="minorBidi" w:cstheme="minorBidi"/>
          <w:sz w:val="22"/>
          <w:szCs w:val="22"/>
        </w:rPr>
        <w:t>F</w:t>
      </w:r>
      <w:r w:rsidRPr="002F2C67">
        <w:rPr>
          <w:rFonts w:asciiTheme="minorBidi" w:hAnsiTheme="minorBidi" w:cstheme="minorBidi"/>
          <w:sz w:val="22"/>
          <w:szCs w:val="22"/>
        </w:rPr>
        <w:t xml:space="preserve">inancing </w:t>
      </w:r>
      <w:r w:rsidR="006768BC" w:rsidRPr="002F2C67">
        <w:rPr>
          <w:rFonts w:asciiTheme="minorBidi" w:hAnsiTheme="minorBidi" w:cstheme="minorBidi"/>
          <w:sz w:val="22"/>
          <w:szCs w:val="22"/>
        </w:rPr>
        <w:t>M</w:t>
      </w:r>
      <w:r w:rsidRPr="002F2C67">
        <w:rPr>
          <w:rFonts w:asciiTheme="minorBidi" w:hAnsiTheme="minorBidi" w:cstheme="minorBidi"/>
          <w:sz w:val="22"/>
          <w:szCs w:val="22"/>
        </w:rPr>
        <w:t>echanisms</w:t>
      </w:r>
      <w:bookmarkEnd w:id="14"/>
    </w:p>
    <w:p w14:paraId="14142970" w14:textId="77777777" w:rsidR="003F2A70" w:rsidRPr="003B06D5" w:rsidRDefault="009A18A9" w:rsidP="0080488A">
      <w:pPr>
        <w:pStyle w:val="Marge"/>
        <w:rPr>
          <w:rFonts w:cs="Arial"/>
          <w:color w:val="000000" w:themeColor="text1"/>
          <w:szCs w:val="22"/>
        </w:rPr>
      </w:pPr>
      <w:r w:rsidRPr="003B06D5">
        <w:rPr>
          <w:rFonts w:cs="Arial"/>
          <w:color w:val="000000" w:themeColor="text1"/>
          <w:szCs w:val="22"/>
        </w:rPr>
        <w:t xml:space="preserve">Key financing mechanisms have the potential to play a transformation role in funding ocean science throughout the Ocean Decade and beyond. These key financing mechanisms which include climate financing mechanisms, multilateral development banks, </w:t>
      </w:r>
      <w:r w:rsidR="003F2A70" w:rsidRPr="003B06D5">
        <w:rPr>
          <w:rFonts w:cs="Arial"/>
          <w:color w:val="000000" w:themeColor="text1"/>
          <w:szCs w:val="22"/>
        </w:rPr>
        <w:t xml:space="preserve">ocean-related </w:t>
      </w:r>
      <w:proofErr w:type="gramStart"/>
      <w:r w:rsidR="003F2A70" w:rsidRPr="003B06D5">
        <w:rPr>
          <w:rFonts w:cs="Arial"/>
          <w:color w:val="000000" w:themeColor="text1"/>
          <w:szCs w:val="22"/>
        </w:rPr>
        <w:t>funds</w:t>
      </w:r>
      <w:proofErr w:type="gramEnd"/>
      <w:r w:rsidR="003F2A70" w:rsidRPr="003B06D5">
        <w:rPr>
          <w:rFonts w:cs="Arial"/>
          <w:color w:val="000000" w:themeColor="text1"/>
          <w:szCs w:val="22"/>
        </w:rPr>
        <w:t xml:space="preserve"> and sovereign wealth funds</w:t>
      </w:r>
      <w:r w:rsidR="00F84674">
        <w:rPr>
          <w:rFonts w:cs="Arial"/>
          <w:color w:val="000000" w:themeColor="text1"/>
          <w:szCs w:val="22"/>
        </w:rPr>
        <w:t>.</w:t>
      </w:r>
      <w:r w:rsidR="003F2A70" w:rsidRPr="003B06D5">
        <w:rPr>
          <w:rFonts w:cs="Arial"/>
          <w:color w:val="000000" w:themeColor="text1"/>
          <w:szCs w:val="22"/>
        </w:rPr>
        <w:t xml:space="preserve"> </w:t>
      </w:r>
      <w:r w:rsidR="003F2A70" w:rsidRPr="006A1EE4">
        <w:rPr>
          <w:rFonts w:cs="Arial"/>
          <w:color w:val="000000" w:themeColor="text1"/>
          <w:szCs w:val="22"/>
        </w:rPr>
        <w:t xml:space="preserve">Priority </w:t>
      </w:r>
      <w:r w:rsidR="00F84674" w:rsidRPr="006A1EE4">
        <w:rPr>
          <w:rFonts w:cs="Arial"/>
          <w:color w:val="000000" w:themeColor="text1"/>
          <w:szCs w:val="22"/>
        </w:rPr>
        <w:t xml:space="preserve">example </w:t>
      </w:r>
      <w:r w:rsidR="003F2A70" w:rsidRPr="006A1EE4">
        <w:rPr>
          <w:rFonts w:cs="Arial"/>
          <w:color w:val="000000" w:themeColor="text1"/>
          <w:szCs w:val="22"/>
        </w:rPr>
        <w:t xml:space="preserve">targets for engagement include but are not limited to: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8"/>
        <w:gridCol w:w="2337"/>
        <w:gridCol w:w="2338"/>
      </w:tblGrid>
      <w:tr w:rsidR="008C33ED" w:rsidRPr="00132F02" w14:paraId="379D2B54" w14:textId="77777777" w:rsidTr="009A6451">
        <w:trPr>
          <w:trHeight w:val="782"/>
          <w:jc w:val="center"/>
        </w:trPr>
        <w:tc>
          <w:tcPr>
            <w:tcW w:w="2337" w:type="dxa"/>
            <w:shd w:val="clear" w:color="auto" w:fill="AEAAAA" w:themeFill="background2" w:themeFillShade="BF"/>
          </w:tcPr>
          <w:p w14:paraId="64866F06" w14:textId="77777777" w:rsidR="008C33ED" w:rsidRPr="00132F02" w:rsidRDefault="008C33ED" w:rsidP="00633267">
            <w:pPr>
              <w:pStyle w:val="Marge"/>
              <w:spacing w:before="240"/>
              <w:jc w:val="center"/>
              <w:rPr>
                <w:rFonts w:cs="Arial"/>
                <w:color w:val="000000" w:themeColor="text1"/>
                <w:sz w:val="20"/>
                <w:szCs w:val="20"/>
              </w:rPr>
            </w:pPr>
            <w:r w:rsidRPr="00132F02">
              <w:rPr>
                <w:rFonts w:cs="Arial"/>
                <w:color w:val="000000" w:themeColor="text1"/>
                <w:sz w:val="20"/>
                <w:szCs w:val="20"/>
              </w:rPr>
              <w:t>Climate Financing Mechanisms</w:t>
            </w:r>
          </w:p>
        </w:tc>
        <w:tc>
          <w:tcPr>
            <w:tcW w:w="2338" w:type="dxa"/>
            <w:shd w:val="clear" w:color="auto" w:fill="AEAAAA" w:themeFill="background2" w:themeFillShade="BF"/>
          </w:tcPr>
          <w:p w14:paraId="145E2202" w14:textId="77777777" w:rsidR="008C33ED" w:rsidRPr="00132F02" w:rsidRDefault="008C33ED" w:rsidP="00633267">
            <w:pPr>
              <w:pStyle w:val="Marge"/>
              <w:spacing w:before="240"/>
              <w:jc w:val="center"/>
              <w:rPr>
                <w:rFonts w:cs="Arial"/>
                <w:color w:val="000000" w:themeColor="text1"/>
                <w:sz w:val="20"/>
                <w:szCs w:val="20"/>
              </w:rPr>
            </w:pPr>
            <w:r w:rsidRPr="00132F02">
              <w:rPr>
                <w:rFonts w:cs="Arial"/>
                <w:color w:val="000000" w:themeColor="text1"/>
                <w:sz w:val="20"/>
                <w:szCs w:val="20"/>
              </w:rPr>
              <w:t>Multilateral Development Banks</w:t>
            </w:r>
          </w:p>
        </w:tc>
        <w:tc>
          <w:tcPr>
            <w:tcW w:w="2337" w:type="dxa"/>
            <w:shd w:val="clear" w:color="auto" w:fill="AEAAAA" w:themeFill="background2" w:themeFillShade="BF"/>
          </w:tcPr>
          <w:p w14:paraId="7A4B5E9F" w14:textId="77777777" w:rsidR="008C33ED" w:rsidRPr="00132F02" w:rsidRDefault="008C33ED" w:rsidP="00633267">
            <w:pPr>
              <w:pStyle w:val="Marge"/>
              <w:spacing w:before="240"/>
              <w:jc w:val="center"/>
              <w:rPr>
                <w:rFonts w:cs="Arial"/>
                <w:color w:val="000000" w:themeColor="text1"/>
                <w:sz w:val="20"/>
                <w:szCs w:val="20"/>
              </w:rPr>
            </w:pPr>
            <w:r w:rsidRPr="00132F02">
              <w:rPr>
                <w:rFonts w:cs="Arial"/>
                <w:color w:val="000000" w:themeColor="text1"/>
                <w:sz w:val="20"/>
                <w:szCs w:val="20"/>
              </w:rPr>
              <w:t>Ocean-Related Funds</w:t>
            </w:r>
          </w:p>
        </w:tc>
        <w:tc>
          <w:tcPr>
            <w:tcW w:w="2338" w:type="dxa"/>
            <w:shd w:val="clear" w:color="auto" w:fill="AEAAAA" w:themeFill="background2" w:themeFillShade="BF"/>
          </w:tcPr>
          <w:p w14:paraId="3879E6EF" w14:textId="77777777" w:rsidR="008C33ED" w:rsidRPr="00132F02" w:rsidRDefault="008C33ED" w:rsidP="00633267">
            <w:pPr>
              <w:pStyle w:val="Marge"/>
              <w:spacing w:before="240"/>
              <w:jc w:val="center"/>
              <w:rPr>
                <w:rFonts w:cs="Arial"/>
                <w:color w:val="000000" w:themeColor="text1"/>
                <w:sz w:val="20"/>
                <w:szCs w:val="20"/>
              </w:rPr>
            </w:pPr>
            <w:r w:rsidRPr="00132F02">
              <w:rPr>
                <w:rFonts w:cs="Arial"/>
                <w:color w:val="000000" w:themeColor="text1"/>
                <w:sz w:val="20"/>
                <w:szCs w:val="20"/>
              </w:rPr>
              <w:t>Sovereign Wealth Funds</w:t>
            </w:r>
          </w:p>
        </w:tc>
      </w:tr>
      <w:tr w:rsidR="008C33ED" w:rsidRPr="00132F02" w14:paraId="0728110A" w14:textId="77777777" w:rsidTr="009A6451">
        <w:trPr>
          <w:trHeight w:val="818"/>
          <w:jc w:val="center"/>
        </w:trPr>
        <w:tc>
          <w:tcPr>
            <w:tcW w:w="2337" w:type="dxa"/>
          </w:tcPr>
          <w:p w14:paraId="2393FA74" w14:textId="77777777" w:rsidR="009A18A9" w:rsidRPr="00132F02" w:rsidRDefault="008C33ED" w:rsidP="00F33A6C">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Global Environmental Facility</w:t>
            </w:r>
          </w:p>
          <w:p w14:paraId="7EFBEBCF" w14:textId="77777777" w:rsidR="009A18A9" w:rsidRPr="00132F02" w:rsidRDefault="009A18A9" w:rsidP="00F33A6C">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Adaptation Fund</w:t>
            </w:r>
          </w:p>
          <w:p w14:paraId="219262D5" w14:textId="77777777" w:rsidR="009A18A9" w:rsidRPr="00132F02" w:rsidRDefault="009A18A9" w:rsidP="00F33A6C">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Green Climate Fund</w:t>
            </w:r>
          </w:p>
        </w:tc>
        <w:tc>
          <w:tcPr>
            <w:tcW w:w="2338" w:type="dxa"/>
          </w:tcPr>
          <w:p w14:paraId="07E637F6" w14:textId="77777777" w:rsidR="008C33ED" w:rsidRPr="00132F02" w:rsidRDefault="008C33ED" w:rsidP="00F33A6C">
            <w:pPr>
              <w:pStyle w:val="Marge"/>
              <w:numPr>
                <w:ilvl w:val="0"/>
                <w:numId w:val="17"/>
              </w:numPr>
              <w:spacing w:after="0"/>
              <w:ind w:left="160" w:hanging="180"/>
              <w:jc w:val="left"/>
              <w:rPr>
                <w:rFonts w:cs="Arial"/>
                <w:color w:val="000000" w:themeColor="text1"/>
                <w:sz w:val="20"/>
                <w:szCs w:val="20"/>
              </w:rPr>
            </w:pPr>
            <w:r w:rsidRPr="00132F02">
              <w:rPr>
                <w:rFonts w:cs="Arial"/>
                <w:color w:val="000000" w:themeColor="text1"/>
                <w:sz w:val="20"/>
                <w:szCs w:val="20"/>
              </w:rPr>
              <w:t>World Bank</w:t>
            </w:r>
          </w:p>
          <w:p w14:paraId="25FD7CC9" w14:textId="77777777" w:rsidR="009A73FE" w:rsidRPr="00132F02" w:rsidRDefault="00F84674" w:rsidP="00F33A6C">
            <w:pPr>
              <w:pStyle w:val="Marge"/>
              <w:numPr>
                <w:ilvl w:val="0"/>
                <w:numId w:val="17"/>
              </w:numPr>
              <w:spacing w:after="0"/>
              <w:ind w:left="160" w:hanging="180"/>
              <w:jc w:val="left"/>
              <w:rPr>
                <w:rFonts w:cs="Arial"/>
                <w:color w:val="000000" w:themeColor="text1"/>
                <w:sz w:val="20"/>
                <w:szCs w:val="20"/>
              </w:rPr>
            </w:pPr>
            <w:r w:rsidRPr="00132F02">
              <w:rPr>
                <w:rFonts w:cs="Arial"/>
                <w:color w:val="000000" w:themeColor="text1"/>
                <w:sz w:val="20"/>
                <w:szCs w:val="20"/>
              </w:rPr>
              <w:t xml:space="preserve">Regional </w:t>
            </w:r>
            <w:proofErr w:type="spellStart"/>
            <w:r w:rsidRPr="00132F02">
              <w:rPr>
                <w:rFonts w:cs="Arial"/>
                <w:color w:val="000000" w:themeColor="text1"/>
                <w:sz w:val="20"/>
                <w:szCs w:val="20"/>
              </w:rPr>
              <w:t>Decelopment</w:t>
            </w:r>
            <w:proofErr w:type="spellEnd"/>
            <w:r w:rsidRPr="00132F02">
              <w:rPr>
                <w:rFonts w:cs="Arial"/>
                <w:color w:val="000000" w:themeColor="text1"/>
                <w:sz w:val="20"/>
                <w:szCs w:val="20"/>
              </w:rPr>
              <w:t xml:space="preserve"> Banks (ADB, AfDB, CAF etc.)</w:t>
            </w:r>
          </w:p>
        </w:tc>
        <w:tc>
          <w:tcPr>
            <w:tcW w:w="2337" w:type="dxa"/>
          </w:tcPr>
          <w:p w14:paraId="08A8E924" w14:textId="77777777" w:rsidR="008C33ED" w:rsidRPr="00132F02" w:rsidRDefault="008C33ED" w:rsidP="00F33A6C">
            <w:pPr>
              <w:pStyle w:val="Marge"/>
              <w:numPr>
                <w:ilvl w:val="0"/>
                <w:numId w:val="17"/>
              </w:numPr>
              <w:spacing w:after="0"/>
              <w:ind w:left="160" w:hanging="180"/>
              <w:jc w:val="left"/>
              <w:rPr>
                <w:rFonts w:cs="Arial"/>
                <w:color w:val="000000" w:themeColor="text1"/>
                <w:sz w:val="20"/>
                <w:szCs w:val="20"/>
              </w:rPr>
            </w:pPr>
            <w:r w:rsidRPr="00132F02">
              <w:rPr>
                <w:rFonts w:cs="Arial"/>
                <w:color w:val="000000" w:themeColor="text1"/>
                <w:sz w:val="20"/>
                <w:szCs w:val="20"/>
              </w:rPr>
              <w:t>Blue Planet</w:t>
            </w:r>
            <w:r w:rsidR="009A18A9" w:rsidRPr="00132F02">
              <w:rPr>
                <w:rFonts w:cs="Arial"/>
                <w:color w:val="000000" w:themeColor="text1"/>
                <w:sz w:val="20"/>
                <w:szCs w:val="20"/>
              </w:rPr>
              <w:t xml:space="preserve"> Fund</w:t>
            </w:r>
          </w:p>
          <w:p w14:paraId="5304AD72" w14:textId="77777777" w:rsidR="009A18A9" w:rsidRPr="00132F02" w:rsidRDefault="009A18A9" w:rsidP="00F33A6C">
            <w:pPr>
              <w:pStyle w:val="Marge"/>
              <w:numPr>
                <w:ilvl w:val="0"/>
                <w:numId w:val="17"/>
              </w:numPr>
              <w:spacing w:after="0"/>
              <w:ind w:left="160" w:hanging="180"/>
              <w:jc w:val="left"/>
              <w:rPr>
                <w:rFonts w:cs="Arial"/>
                <w:color w:val="000000" w:themeColor="text1"/>
                <w:sz w:val="20"/>
                <w:szCs w:val="20"/>
              </w:rPr>
            </w:pPr>
            <w:r w:rsidRPr="00132F02">
              <w:rPr>
                <w:rFonts w:cs="Arial"/>
                <w:color w:val="000000" w:themeColor="text1"/>
                <w:sz w:val="20"/>
                <w:szCs w:val="20"/>
              </w:rPr>
              <w:t>Blue Action Fund</w:t>
            </w:r>
          </w:p>
          <w:p w14:paraId="757EBE0F" w14:textId="77777777" w:rsidR="009A18A9" w:rsidRPr="00132F02" w:rsidRDefault="009A18A9" w:rsidP="00F33A6C">
            <w:pPr>
              <w:pStyle w:val="Marge"/>
              <w:numPr>
                <w:ilvl w:val="0"/>
                <w:numId w:val="17"/>
              </w:numPr>
              <w:spacing w:after="0"/>
              <w:ind w:left="160" w:hanging="180"/>
              <w:jc w:val="left"/>
              <w:rPr>
                <w:rFonts w:cs="Arial"/>
                <w:color w:val="000000" w:themeColor="text1"/>
                <w:sz w:val="20"/>
                <w:szCs w:val="20"/>
              </w:rPr>
            </w:pPr>
            <w:r w:rsidRPr="00132F02">
              <w:rPr>
                <w:rFonts w:cs="Arial"/>
                <w:color w:val="000000" w:themeColor="text1"/>
                <w:sz w:val="20"/>
                <w:szCs w:val="20"/>
              </w:rPr>
              <w:t>Oceans 5</w:t>
            </w:r>
          </w:p>
        </w:tc>
        <w:tc>
          <w:tcPr>
            <w:tcW w:w="2338" w:type="dxa"/>
          </w:tcPr>
          <w:p w14:paraId="1A4E48E0" w14:textId="77777777" w:rsidR="008C33ED" w:rsidRPr="00132F02" w:rsidRDefault="008C33ED" w:rsidP="00F33A6C">
            <w:pPr>
              <w:pStyle w:val="Marge"/>
              <w:numPr>
                <w:ilvl w:val="0"/>
                <w:numId w:val="17"/>
              </w:numPr>
              <w:spacing w:after="0"/>
              <w:ind w:left="160" w:hanging="180"/>
              <w:jc w:val="left"/>
              <w:rPr>
                <w:rFonts w:cs="Arial"/>
                <w:color w:val="000000" w:themeColor="text1"/>
                <w:sz w:val="20"/>
                <w:szCs w:val="20"/>
              </w:rPr>
            </w:pPr>
            <w:r w:rsidRPr="00132F02">
              <w:rPr>
                <w:rFonts w:cs="Arial"/>
                <w:color w:val="000000" w:themeColor="text1"/>
                <w:sz w:val="20"/>
                <w:szCs w:val="20"/>
              </w:rPr>
              <w:t>Norwegian Government Pension Fund</w:t>
            </w:r>
          </w:p>
          <w:p w14:paraId="484E83EE" w14:textId="77777777" w:rsidR="009A18A9" w:rsidRPr="00132F02" w:rsidRDefault="009A18A9" w:rsidP="00F33A6C">
            <w:pPr>
              <w:pStyle w:val="Marge"/>
              <w:numPr>
                <w:ilvl w:val="0"/>
                <w:numId w:val="17"/>
              </w:numPr>
              <w:spacing w:after="0"/>
              <w:ind w:left="160" w:hanging="180"/>
              <w:jc w:val="left"/>
              <w:rPr>
                <w:rFonts w:cs="Arial"/>
                <w:color w:val="000000" w:themeColor="text1"/>
                <w:sz w:val="20"/>
                <w:szCs w:val="20"/>
              </w:rPr>
            </w:pPr>
            <w:r w:rsidRPr="00132F02">
              <w:rPr>
                <w:rFonts w:cs="Arial"/>
                <w:color w:val="000000" w:themeColor="text1"/>
                <w:sz w:val="20"/>
                <w:szCs w:val="20"/>
              </w:rPr>
              <w:t>Government of Singapore Investment Corporation</w:t>
            </w:r>
          </w:p>
        </w:tc>
      </w:tr>
    </w:tbl>
    <w:p w14:paraId="27225C5D" w14:textId="77777777" w:rsidR="00533BFE" w:rsidRDefault="00533BFE" w:rsidP="00533BFE">
      <w:pPr>
        <w:pStyle w:val="Marge"/>
        <w:rPr>
          <w:rFonts w:cs="Arial"/>
          <w:color w:val="000000" w:themeColor="text1"/>
          <w:szCs w:val="22"/>
        </w:rPr>
      </w:pPr>
    </w:p>
    <w:p w14:paraId="6C3E2A4F" w14:textId="77777777" w:rsidR="00AE009D" w:rsidRPr="003B06D5" w:rsidRDefault="004F4CA7" w:rsidP="0080488A">
      <w:pPr>
        <w:pStyle w:val="Marge"/>
        <w:rPr>
          <w:rFonts w:cs="Arial"/>
          <w:color w:val="000000" w:themeColor="text1"/>
          <w:szCs w:val="22"/>
        </w:rPr>
      </w:pPr>
      <w:r w:rsidRPr="003B06D5">
        <w:rPr>
          <w:rFonts w:cs="Arial"/>
          <w:color w:val="000000" w:themeColor="text1"/>
          <w:szCs w:val="22"/>
        </w:rPr>
        <w:t>To be successful, customiz</w:t>
      </w:r>
      <w:r w:rsidR="00F84674">
        <w:rPr>
          <w:rFonts w:cs="Arial"/>
          <w:color w:val="000000" w:themeColor="text1"/>
          <w:szCs w:val="22"/>
        </w:rPr>
        <w:t>ed outreach and engagement strategies</w:t>
      </w:r>
      <w:r w:rsidRPr="003B06D5">
        <w:rPr>
          <w:rFonts w:cs="Arial"/>
          <w:color w:val="000000" w:themeColor="text1"/>
          <w:szCs w:val="22"/>
        </w:rPr>
        <w:t xml:space="preserve"> must be developed</w:t>
      </w:r>
      <w:r w:rsidR="00F84674">
        <w:rPr>
          <w:rFonts w:cs="Arial"/>
          <w:color w:val="000000" w:themeColor="text1"/>
          <w:szCs w:val="22"/>
        </w:rPr>
        <w:t xml:space="preserve"> for different targets</w:t>
      </w:r>
      <w:r w:rsidR="00094CFF" w:rsidRPr="003B06D5">
        <w:rPr>
          <w:rFonts w:cs="Arial"/>
          <w:color w:val="000000" w:themeColor="text1"/>
          <w:szCs w:val="22"/>
        </w:rPr>
        <w:t xml:space="preserve">. </w:t>
      </w:r>
      <w:r w:rsidR="00F84674">
        <w:rPr>
          <w:rFonts w:cs="Arial"/>
          <w:color w:val="000000" w:themeColor="text1"/>
          <w:szCs w:val="22"/>
        </w:rPr>
        <w:t xml:space="preserve">Such strategies must build on UNESCO’s existing relationships and experience with such </w:t>
      </w:r>
      <w:proofErr w:type="gramStart"/>
      <w:r w:rsidR="00F84674">
        <w:rPr>
          <w:rFonts w:cs="Arial"/>
          <w:color w:val="000000" w:themeColor="text1"/>
          <w:szCs w:val="22"/>
        </w:rPr>
        <w:t>targets, and</w:t>
      </w:r>
      <w:proofErr w:type="gramEnd"/>
      <w:r w:rsidR="00F84674">
        <w:rPr>
          <w:rFonts w:cs="Arial"/>
          <w:color w:val="000000" w:themeColor="text1"/>
          <w:szCs w:val="22"/>
        </w:rPr>
        <w:t xml:space="preserve"> focus on the tangible and concrete opportunities for engagement via the Ocean Decade. The next step in this process will be to identify a short list of priority targets for engagement that will allow the development of tailored risk assessments and engagement strategies / action plans for the highest priority targets. </w:t>
      </w:r>
    </w:p>
    <w:p w14:paraId="27EA0054" w14:textId="77777777" w:rsidR="00AE009D" w:rsidRPr="0080488A" w:rsidRDefault="00146BB2" w:rsidP="0080488A">
      <w:pPr>
        <w:pStyle w:val="Heading2"/>
        <w:snapToGrid w:val="0"/>
        <w:spacing w:before="0" w:after="240"/>
        <w:rPr>
          <w:rFonts w:asciiTheme="minorBidi" w:hAnsiTheme="minorBidi" w:cstheme="minorBidi"/>
          <w:sz w:val="22"/>
          <w:szCs w:val="22"/>
        </w:rPr>
      </w:pPr>
      <w:bookmarkStart w:id="15" w:name="_Toc73968044"/>
      <w:r w:rsidRPr="0080488A">
        <w:rPr>
          <w:rFonts w:asciiTheme="minorBidi" w:hAnsiTheme="minorBidi" w:cstheme="minorBidi"/>
          <w:sz w:val="22"/>
          <w:szCs w:val="22"/>
        </w:rPr>
        <w:t>Deepen collaborations with individual UN Agencies</w:t>
      </w:r>
      <w:bookmarkEnd w:id="15"/>
    </w:p>
    <w:p w14:paraId="571B5215" w14:textId="77777777" w:rsidR="00146BB2" w:rsidRPr="003B06D5" w:rsidRDefault="00F84674" w:rsidP="0080488A">
      <w:pPr>
        <w:pStyle w:val="Marge"/>
        <w:rPr>
          <w:rFonts w:cs="Arial"/>
          <w:color w:val="000000" w:themeColor="text1"/>
          <w:szCs w:val="22"/>
        </w:rPr>
      </w:pPr>
      <w:r>
        <w:rPr>
          <w:rFonts w:cs="Arial"/>
          <w:color w:val="000000" w:themeColor="text1"/>
          <w:szCs w:val="22"/>
        </w:rPr>
        <w:t>T</w:t>
      </w:r>
      <w:r w:rsidR="00146BB2" w:rsidRPr="003B06D5">
        <w:rPr>
          <w:rFonts w:cs="Arial"/>
          <w:color w:val="000000" w:themeColor="text1"/>
          <w:szCs w:val="22"/>
        </w:rPr>
        <w:t xml:space="preserve">he focus </w:t>
      </w:r>
      <w:r>
        <w:rPr>
          <w:rFonts w:cs="Arial"/>
          <w:color w:val="000000" w:themeColor="text1"/>
          <w:szCs w:val="22"/>
        </w:rPr>
        <w:t xml:space="preserve">of deepened collaboration with individual UN agencies </w:t>
      </w:r>
      <w:r w:rsidR="00146BB2" w:rsidRPr="003B06D5">
        <w:rPr>
          <w:rFonts w:cs="Arial"/>
          <w:color w:val="000000" w:themeColor="text1"/>
          <w:szCs w:val="22"/>
        </w:rPr>
        <w:t xml:space="preserve">will be on strengthening engagement and demonstrating the value proposition of the Ocean Decade to sister UN agency </w:t>
      </w:r>
      <w:r w:rsidR="00311917" w:rsidRPr="003B06D5">
        <w:rPr>
          <w:rFonts w:cs="Arial"/>
          <w:color w:val="000000" w:themeColor="text1"/>
          <w:szCs w:val="22"/>
        </w:rPr>
        <w:t xml:space="preserve">and their respective </w:t>
      </w:r>
      <w:r w:rsidR="00146BB2" w:rsidRPr="003B06D5">
        <w:rPr>
          <w:rFonts w:cs="Arial"/>
          <w:color w:val="000000" w:themeColor="text1"/>
          <w:szCs w:val="22"/>
        </w:rPr>
        <w:t xml:space="preserve">mandates in order to build strong partnerships that help unlock funding for co-created and co-branded initiatives. Continued engagement efforts through the UN Oceans interagency collaboration mechanism </w:t>
      </w:r>
      <w:r w:rsidR="00F95F00">
        <w:rPr>
          <w:rFonts w:cs="Arial"/>
          <w:color w:val="000000" w:themeColor="text1"/>
          <w:szCs w:val="22"/>
        </w:rPr>
        <w:t xml:space="preserve">and the UN Chief Executives Board (CEB) for Coordination </w:t>
      </w:r>
      <w:r w:rsidR="00146BB2" w:rsidRPr="003B06D5">
        <w:rPr>
          <w:rFonts w:cs="Arial"/>
          <w:color w:val="000000" w:themeColor="text1"/>
          <w:szCs w:val="22"/>
        </w:rPr>
        <w:t xml:space="preserve">will also be necessary in order to elevate awareness of the Ocean Decade and its relevance to </w:t>
      </w:r>
      <w:r w:rsidR="00146BB2" w:rsidRPr="003B06D5">
        <w:rPr>
          <w:rFonts w:cs="Arial"/>
          <w:color w:val="000000" w:themeColor="text1"/>
          <w:szCs w:val="22"/>
        </w:rPr>
        <w:lastRenderedPageBreak/>
        <w:t xml:space="preserve">supporting the entirety of the Sustainable Development Agenda among key sister agencies, including but not limited to the UNDP, UNEP, and the World Bank. </w:t>
      </w:r>
    </w:p>
    <w:p w14:paraId="4E28D8FA" w14:textId="77777777" w:rsidR="00094CFF" w:rsidRPr="003B06D5" w:rsidRDefault="00094CFF" w:rsidP="0080488A">
      <w:pPr>
        <w:pStyle w:val="Marge"/>
        <w:rPr>
          <w:rFonts w:cs="Arial"/>
          <w:color w:val="000000" w:themeColor="text1"/>
          <w:szCs w:val="22"/>
        </w:rPr>
      </w:pPr>
      <w:proofErr w:type="gramStart"/>
      <w:r w:rsidRPr="003B06D5">
        <w:rPr>
          <w:rFonts w:cs="Arial"/>
          <w:color w:val="000000" w:themeColor="text1"/>
          <w:szCs w:val="22"/>
        </w:rPr>
        <w:t>Similar to</w:t>
      </w:r>
      <w:proofErr w:type="gramEnd"/>
      <w:r w:rsidRPr="003B06D5">
        <w:rPr>
          <w:rFonts w:cs="Arial"/>
          <w:color w:val="000000" w:themeColor="text1"/>
          <w:szCs w:val="22"/>
        </w:rPr>
        <w:t xml:space="preserve"> the outreach with climate financing mechanisms, multilateral development banks and sovereign wealth funds, the Decade Coordination Unit will </w:t>
      </w:r>
      <w:r w:rsidR="00F84674">
        <w:rPr>
          <w:rFonts w:cs="Arial"/>
          <w:color w:val="000000" w:themeColor="text1"/>
          <w:szCs w:val="22"/>
        </w:rPr>
        <w:t>seek</w:t>
      </w:r>
      <w:r w:rsidRPr="003B06D5">
        <w:rPr>
          <w:rFonts w:cs="Arial"/>
          <w:color w:val="000000" w:themeColor="text1"/>
          <w:szCs w:val="22"/>
        </w:rPr>
        <w:t xml:space="preserve"> to understand best practices to interagency collaboration</w:t>
      </w:r>
      <w:r w:rsidR="00D52C78" w:rsidRPr="003B06D5">
        <w:rPr>
          <w:rFonts w:cs="Arial"/>
          <w:color w:val="000000" w:themeColor="text1"/>
          <w:szCs w:val="22"/>
        </w:rPr>
        <w:t xml:space="preserve">, co-design of programmes and engagement with funders. </w:t>
      </w:r>
      <w:r w:rsidRPr="003B06D5">
        <w:rPr>
          <w:rFonts w:cs="Arial"/>
          <w:color w:val="000000" w:themeColor="text1"/>
          <w:szCs w:val="22"/>
        </w:rPr>
        <w:t xml:space="preserve"> </w:t>
      </w:r>
    </w:p>
    <w:p w14:paraId="1018D780" w14:textId="77777777" w:rsidR="006F5638" w:rsidRPr="002F2C67" w:rsidRDefault="00F92730" w:rsidP="002F2C67">
      <w:pPr>
        <w:pStyle w:val="Heading2"/>
        <w:snapToGrid w:val="0"/>
        <w:spacing w:before="0" w:after="240"/>
        <w:rPr>
          <w:rFonts w:asciiTheme="minorBidi" w:hAnsiTheme="minorBidi" w:cstheme="minorBidi"/>
          <w:sz w:val="22"/>
          <w:szCs w:val="22"/>
        </w:rPr>
      </w:pPr>
      <w:bookmarkStart w:id="16" w:name="_Toc73968045"/>
      <w:r w:rsidRPr="002F2C67">
        <w:rPr>
          <w:rFonts w:asciiTheme="minorBidi" w:hAnsiTheme="minorBidi" w:cstheme="minorBidi"/>
          <w:sz w:val="22"/>
          <w:szCs w:val="22"/>
        </w:rPr>
        <w:t xml:space="preserve">Build a Global </w:t>
      </w:r>
      <w:r w:rsidR="006F5638" w:rsidRPr="002F2C67">
        <w:rPr>
          <w:rFonts w:asciiTheme="minorBidi" w:hAnsiTheme="minorBidi" w:cstheme="minorBidi"/>
          <w:sz w:val="22"/>
          <w:szCs w:val="22"/>
        </w:rPr>
        <w:t>Network of Foundations and Companies</w:t>
      </w:r>
      <w:bookmarkEnd w:id="16"/>
      <w:r w:rsidR="003879CC" w:rsidRPr="002F2C67">
        <w:rPr>
          <w:rFonts w:asciiTheme="minorBidi" w:hAnsiTheme="minorBidi" w:cstheme="minorBidi"/>
          <w:sz w:val="22"/>
          <w:szCs w:val="22"/>
        </w:rPr>
        <w:t xml:space="preserve"> </w:t>
      </w:r>
    </w:p>
    <w:p w14:paraId="240FF376" w14:textId="77777777" w:rsidR="000A6711" w:rsidRPr="003B06D5" w:rsidRDefault="00A615D4" w:rsidP="0080488A">
      <w:pPr>
        <w:pStyle w:val="Marge"/>
        <w:rPr>
          <w:rFonts w:cs="Arial"/>
          <w:color w:val="000000" w:themeColor="text1"/>
          <w:szCs w:val="22"/>
        </w:rPr>
      </w:pPr>
      <w:r w:rsidRPr="003B06D5">
        <w:rPr>
          <w:rFonts w:cs="Arial"/>
          <w:color w:val="000000" w:themeColor="text1"/>
          <w:szCs w:val="22"/>
        </w:rPr>
        <w:t xml:space="preserve">Both </w:t>
      </w:r>
      <w:r w:rsidR="00273E03">
        <w:rPr>
          <w:rFonts w:cs="Arial"/>
          <w:color w:val="000000" w:themeColor="text1"/>
          <w:szCs w:val="22"/>
        </w:rPr>
        <w:t>philanthropic and corporate F</w:t>
      </w:r>
      <w:r w:rsidRPr="003B06D5">
        <w:rPr>
          <w:rFonts w:cs="Arial"/>
          <w:color w:val="000000" w:themeColor="text1"/>
          <w:szCs w:val="22"/>
        </w:rPr>
        <w:t>oundations and companies can play a pivotal role in mobilizing resources worldwide</w:t>
      </w:r>
      <w:r w:rsidR="003F0405" w:rsidRPr="003B06D5">
        <w:rPr>
          <w:rFonts w:cs="Arial"/>
          <w:color w:val="000000" w:themeColor="text1"/>
          <w:szCs w:val="22"/>
        </w:rPr>
        <w:t>,</w:t>
      </w:r>
      <w:r w:rsidRPr="003B06D5">
        <w:rPr>
          <w:rFonts w:cs="Arial"/>
          <w:color w:val="000000" w:themeColor="text1"/>
          <w:szCs w:val="22"/>
        </w:rPr>
        <w:t xml:space="preserve"> </w:t>
      </w:r>
      <w:proofErr w:type="gramStart"/>
      <w:r w:rsidRPr="003B06D5">
        <w:rPr>
          <w:rFonts w:cs="Arial"/>
          <w:color w:val="000000" w:themeColor="text1"/>
          <w:szCs w:val="22"/>
        </w:rPr>
        <w:t>including</w:t>
      </w:r>
      <w:r w:rsidR="003F0405" w:rsidRPr="003B06D5">
        <w:rPr>
          <w:rFonts w:cs="Arial"/>
          <w:color w:val="000000" w:themeColor="text1"/>
          <w:szCs w:val="22"/>
        </w:rPr>
        <w:t>:</w:t>
      </w:r>
      <w:proofErr w:type="gramEnd"/>
      <w:r w:rsidRPr="003B06D5">
        <w:rPr>
          <w:rFonts w:cs="Arial"/>
          <w:color w:val="000000" w:themeColor="text1"/>
          <w:szCs w:val="22"/>
        </w:rPr>
        <w:t xml:space="preserve"> financing, project incubation, advocacy, peer-to-peer engagement and fundraising, partnerships, and communications. </w:t>
      </w:r>
      <w:r w:rsidR="00273E03">
        <w:rPr>
          <w:rFonts w:cs="Arial"/>
          <w:color w:val="000000" w:themeColor="text1"/>
          <w:szCs w:val="22"/>
        </w:rPr>
        <w:t xml:space="preserve">An overview of the role of Foundations in the Decade </w:t>
      </w:r>
      <w:hyperlink r:id="rId10" w:anchor=":~:text=They%20are%20able%20to%20take,and%20ambassadors%20of%20the%20Decade." w:history="1">
        <w:r w:rsidR="00273E03" w:rsidRPr="00273E03">
          <w:rPr>
            <w:rStyle w:val="Hyperlink"/>
            <w:rFonts w:cs="Arial"/>
            <w:szCs w:val="22"/>
          </w:rPr>
          <w:t>is provided here</w:t>
        </w:r>
      </w:hyperlink>
      <w:r w:rsidR="00273E03">
        <w:rPr>
          <w:rFonts w:cs="Arial"/>
          <w:color w:val="000000" w:themeColor="text1"/>
          <w:szCs w:val="22"/>
        </w:rPr>
        <w:t xml:space="preserve">. </w:t>
      </w:r>
      <w:r w:rsidRPr="003B06D5">
        <w:rPr>
          <w:rFonts w:cs="Arial"/>
          <w:color w:val="000000" w:themeColor="text1"/>
          <w:szCs w:val="22"/>
        </w:rPr>
        <w:t xml:space="preserve">The </w:t>
      </w:r>
      <w:proofErr w:type="gramStart"/>
      <w:r w:rsidRPr="003B06D5">
        <w:rPr>
          <w:rFonts w:cs="Arial"/>
          <w:color w:val="000000" w:themeColor="text1"/>
          <w:szCs w:val="22"/>
        </w:rPr>
        <w:t>main focus</w:t>
      </w:r>
      <w:proofErr w:type="gramEnd"/>
      <w:r w:rsidRPr="003B06D5">
        <w:rPr>
          <w:rFonts w:cs="Arial"/>
          <w:color w:val="000000" w:themeColor="text1"/>
          <w:szCs w:val="22"/>
        </w:rPr>
        <w:t xml:space="preserve"> of engagement to date with </w:t>
      </w:r>
      <w:r w:rsidR="00273E03">
        <w:rPr>
          <w:rFonts w:cs="Arial"/>
          <w:color w:val="000000" w:themeColor="text1"/>
          <w:szCs w:val="22"/>
        </w:rPr>
        <w:t>philanthropic and corporate F</w:t>
      </w:r>
      <w:r w:rsidRPr="003B06D5">
        <w:rPr>
          <w:rFonts w:cs="Arial"/>
          <w:color w:val="000000" w:themeColor="text1"/>
          <w:szCs w:val="22"/>
        </w:rPr>
        <w:t>oundations is the Foundations Dialogue which began in February 2020 through</w:t>
      </w:r>
      <w:r w:rsidR="00273E03">
        <w:rPr>
          <w:rFonts w:cs="Arial"/>
          <w:color w:val="000000" w:themeColor="text1"/>
          <w:szCs w:val="22"/>
        </w:rPr>
        <w:t xml:space="preserve"> a meeting</w:t>
      </w:r>
      <w:r w:rsidRPr="003B06D5">
        <w:rPr>
          <w:rFonts w:cs="Arial"/>
          <w:color w:val="000000" w:themeColor="text1"/>
          <w:szCs w:val="22"/>
        </w:rPr>
        <w:t xml:space="preserve"> in Copenh</w:t>
      </w:r>
      <w:r w:rsidR="00273E03">
        <w:rPr>
          <w:rFonts w:cs="Arial"/>
          <w:color w:val="000000" w:themeColor="text1"/>
          <w:szCs w:val="22"/>
        </w:rPr>
        <w:t>agen with representatives from close to 20</w:t>
      </w:r>
      <w:r w:rsidRPr="003B06D5">
        <w:rPr>
          <w:rFonts w:cs="Arial"/>
          <w:color w:val="000000" w:themeColor="text1"/>
          <w:szCs w:val="22"/>
        </w:rPr>
        <w:t xml:space="preserve"> organizations worldwide. </w:t>
      </w:r>
      <w:r w:rsidR="008D79D7" w:rsidRPr="003B06D5">
        <w:rPr>
          <w:rFonts w:cs="Arial"/>
          <w:color w:val="000000" w:themeColor="text1"/>
          <w:szCs w:val="22"/>
        </w:rPr>
        <w:t xml:space="preserve">The engagement efforts have continued through </w:t>
      </w:r>
      <w:r w:rsidR="004E6E29" w:rsidRPr="003B06D5">
        <w:rPr>
          <w:rFonts w:cs="Arial"/>
          <w:color w:val="000000" w:themeColor="text1"/>
          <w:szCs w:val="22"/>
        </w:rPr>
        <w:t xml:space="preserve">regularly schedule </w:t>
      </w:r>
      <w:r w:rsidR="008D79D7" w:rsidRPr="003B06D5">
        <w:rPr>
          <w:rFonts w:cs="Arial"/>
          <w:color w:val="000000" w:themeColor="text1"/>
          <w:szCs w:val="22"/>
        </w:rPr>
        <w:t xml:space="preserve">informal meetings </w:t>
      </w:r>
      <w:r w:rsidR="008355E0" w:rsidRPr="003B06D5">
        <w:rPr>
          <w:rFonts w:cs="Arial"/>
          <w:color w:val="000000" w:themeColor="text1"/>
          <w:szCs w:val="22"/>
        </w:rPr>
        <w:t xml:space="preserve">with the foundations in </w:t>
      </w:r>
      <w:r w:rsidR="009A6451">
        <w:rPr>
          <w:rFonts w:cs="Arial"/>
          <w:color w:val="000000" w:themeColor="text1"/>
          <w:szCs w:val="22"/>
        </w:rPr>
        <w:t>Table 2</w:t>
      </w:r>
      <w:r w:rsidR="008355E0" w:rsidRPr="003B06D5">
        <w:rPr>
          <w:rFonts w:cs="Arial"/>
          <w:color w:val="000000" w:themeColor="text1"/>
          <w:szCs w:val="22"/>
        </w:rPr>
        <w:t xml:space="preserve"> </w:t>
      </w:r>
      <w:r w:rsidR="002A1E8A" w:rsidRPr="003B06D5">
        <w:rPr>
          <w:rFonts w:cs="Arial"/>
          <w:color w:val="000000" w:themeColor="text1"/>
          <w:szCs w:val="22"/>
        </w:rPr>
        <w:t xml:space="preserve">below </w:t>
      </w:r>
      <w:r w:rsidR="008D79D7" w:rsidRPr="003B06D5">
        <w:rPr>
          <w:rFonts w:cs="Arial"/>
          <w:color w:val="000000" w:themeColor="text1"/>
          <w:szCs w:val="22"/>
        </w:rPr>
        <w:t>and are leading up to the Second Foundation</w:t>
      </w:r>
      <w:r w:rsidR="00CD31B9" w:rsidRPr="003B06D5">
        <w:rPr>
          <w:rFonts w:cs="Arial"/>
          <w:color w:val="000000" w:themeColor="text1"/>
          <w:szCs w:val="22"/>
        </w:rPr>
        <w:t>s</w:t>
      </w:r>
      <w:r w:rsidR="008D79D7" w:rsidRPr="003B06D5">
        <w:rPr>
          <w:rFonts w:cs="Arial"/>
          <w:color w:val="000000" w:themeColor="text1"/>
          <w:szCs w:val="22"/>
        </w:rPr>
        <w:t xml:space="preserve"> Dialogue Meeting in Morocco in Q3/Q4 2021.</w:t>
      </w:r>
    </w:p>
    <w:tbl>
      <w:tblPr>
        <w:tblStyle w:val="TableGrid"/>
        <w:tblW w:w="0" w:type="auto"/>
        <w:jc w:val="center"/>
        <w:tblLook w:val="04A0" w:firstRow="1" w:lastRow="0" w:firstColumn="1" w:lastColumn="0" w:noHBand="0" w:noVBand="1"/>
      </w:tblPr>
      <w:tblGrid>
        <w:gridCol w:w="1607"/>
        <w:gridCol w:w="2099"/>
        <w:gridCol w:w="2086"/>
        <w:gridCol w:w="1708"/>
        <w:gridCol w:w="1850"/>
      </w:tblGrid>
      <w:tr w:rsidR="008355E0" w:rsidRPr="00132F02" w14:paraId="4584890B" w14:textId="77777777" w:rsidTr="00E97BFA">
        <w:trPr>
          <w:jc w:val="center"/>
        </w:trPr>
        <w:tc>
          <w:tcPr>
            <w:tcW w:w="1615" w:type="dxa"/>
            <w:shd w:val="clear" w:color="auto" w:fill="D0CECE" w:themeFill="background2" w:themeFillShade="E6"/>
          </w:tcPr>
          <w:p w14:paraId="12FBC4EB" w14:textId="77777777" w:rsidR="008355E0" w:rsidRPr="00132F02" w:rsidRDefault="008355E0" w:rsidP="00CF69A6">
            <w:pPr>
              <w:pStyle w:val="Marge"/>
              <w:jc w:val="center"/>
              <w:rPr>
                <w:rFonts w:cs="Arial"/>
                <w:color w:val="000000" w:themeColor="text1"/>
                <w:sz w:val="20"/>
                <w:szCs w:val="20"/>
              </w:rPr>
            </w:pPr>
            <w:r w:rsidRPr="00132F02">
              <w:rPr>
                <w:rFonts w:cs="Arial"/>
                <w:color w:val="000000" w:themeColor="text1"/>
                <w:sz w:val="20"/>
                <w:szCs w:val="20"/>
              </w:rPr>
              <w:t>Africa</w:t>
            </w:r>
          </w:p>
        </w:tc>
        <w:tc>
          <w:tcPr>
            <w:tcW w:w="2125" w:type="dxa"/>
            <w:shd w:val="clear" w:color="auto" w:fill="D0CECE" w:themeFill="background2" w:themeFillShade="E6"/>
          </w:tcPr>
          <w:p w14:paraId="5FBE370C" w14:textId="77777777" w:rsidR="008355E0" w:rsidRPr="00132F02" w:rsidRDefault="008355E0" w:rsidP="00CF69A6">
            <w:pPr>
              <w:pStyle w:val="Marge"/>
              <w:jc w:val="center"/>
              <w:rPr>
                <w:rFonts w:cs="Arial"/>
                <w:color w:val="000000" w:themeColor="text1"/>
                <w:sz w:val="20"/>
                <w:szCs w:val="20"/>
              </w:rPr>
            </w:pPr>
            <w:r w:rsidRPr="00132F02">
              <w:rPr>
                <w:rFonts w:cs="Arial"/>
                <w:color w:val="000000" w:themeColor="text1"/>
                <w:sz w:val="20"/>
                <w:szCs w:val="20"/>
              </w:rPr>
              <w:t>Europe</w:t>
            </w:r>
          </w:p>
        </w:tc>
        <w:tc>
          <w:tcPr>
            <w:tcW w:w="2105" w:type="dxa"/>
            <w:shd w:val="clear" w:color="auto" w:fill="D0CECE" w:themeFill="background2" w:themeFillShade="E6"/>
          </w:tcPr>
          <w:p w14:paraId="1F52B2BC" w14:textId="77777777" w:rsidR="008355E0" w:rsidRPr="00132F02" w:rsidRDefault="008355E0" w:rsidP="00CF69A6">
            <w:pPr>
              <w:pStyle w:val="Marge"/>
              <w:jc w:val="center"/>
              <w:rPr>
                <w:rFonts w:cs="Arial"/>
                <w:color w:val="000000" w:themeColor="text1"/>
                <w:sz w:val="20"/>
                <w:szCs w:val="20"/>
              </w:rPr>
            </w:pPr>
            <w:r w:rsidRPr="00132F02">
              <w:rPr>
                <w:rFonts w:cs="Arial"/>
                <w:color w:val="000000" w:themeColor="text1"/>
                <w:sz w:val="20"/>
                <w:szCs w:val="20"/>
              </w:rPr>
              <w:t>North America</w:t>
            </w:r>
          </w:p>
        </w:tc>
        <w:tc>
          <w:tcPr>
            <w:tcW w:w="1635" w:type="dxa"/>
            <w:shd w:val="clear" w:color="auto" w:fill="D0CECE" w:themeFill="background2" w:themeFillShade="E6"/>
          </w:tcPr>
          <w:p w14:paraId="429F94F0" w14:textId="77777777" w:rsidR="008355E0" w:rsidRPr="00132F02" w:rsidRDefault="008355E0" w:rsidP="00CF69A6">
            <w:pPr>
              <w:pStyle w:val="Marge"/>
              <w:jc w:val="center"/>
              <w:rPr>
                <w:rFonts w:cs="Arial"/>
                <w:color w:val="000000" w:themeColor="text1"/>
                <w:sz w:val="20"/>
                <w:szCs w:val="20"/>
              </w:rPr>
            </w:pPr>
            <w:r w:rsidRPr="00132F02">
              <w:rPr>
                <w:rFonts w:cs="Arial"/>
                <w:color w:val="000000" w:themeColor="text1"/>
                <w:sz w:val="20"/>
                <w:szCs w:val="20"/>
              </w:rPr>
              <w:t>South America</w:t>
            </w:r>
          </w:p>
        </w:tc>
        <w:tc>
          <w:tcPr>
            <w:tcW w:w="1870" w:type="dxa"/>
            <w:shd w:val="clear" w:color="auto" w:fill="D0CECE" w:themeFill="background2" w:themeFillShade="E6"/>
          </w:tcPr>
          <w:p w14:paraId="7F218F54" w14:textId="77777777" w:rsidR="008355E0" w:rsidRPr="00132F02" w:rsidRDefault="008355E0" w:rsidP="00CF69A6">
            <w:pPr>
              <w:pStyle w:val="Marge"/>
              <w:jc w:val="center"/>
              <w:rPr>
                <w:rFonts w:cs="Arial"/>
                <w:color w:val="000000" w:themeColor="text1"/>
                <w:sz w:val="20"/>
                <w:szCs w:val="20"/>
              </w:rPr>
            </w:pPr>
            <w:proofErr w:type="spellStart"/>
            <w:r w:rsidRPr="00132F02">
              <w:rPr>
                <w:rFonts w:cs="Arial"/>
                <w:color w:val="000000" w:themeColor="text1"/>
                <w:sz w:val="20"/>
                <w:szCs w:val="20"/>
              </w:rPr>
              <w:t>Oceana</w:t>
            </w:r>
            <w:proofErr w:type="spellEnd"/>
          </w:p>
        </w:tc>
      </w:tr>
      <w:tr w:rsidR="008355E0" w:rsidRPr="00132F02" w14:paraId="3775EE7D" w14:textId="77777777" w:rsidTr="00E97BFA">
        <w:trPr>
          <w:jc w:val="center"/>
        </w:trPr>
        <w:tc>
          <w:tcPr>
            <w:tcW w:w="1615" w:type="dxa"/>
          </w:tcPr>
          <w:p w14:paraId="088A4AD5"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proofErr w:type="spellStart"/>
            <w:r w:rsidRPr="00132F02">
              <w:rPr>
                <w:rFonts w:cs="Arial"/>
                <w:color w:val="000000" w:themeColor="text1"/>
                <w:sz w:val="20"/>
                <w:szCs w:val="20"/>
              </w:rPr>
              <w:t>Fondation</w:t>
            </w:r>
            <w:proofErr w:type="spellEnd"/>
            <w:r w:rsidRPr="00132F02">
              <w:rPr>
                <w:rFonts w:cs="Arial"/>
                <w:color w:val="000000" w:themeColor="text1"/>
                <w:sz w:val="20"/>
                <w:szCs w:val="20"/>
              </w:rPr>
              <w:t xml:space="preserve"> Mohammed VI</w:t>
            </w:r>
          </w:p>
        </w:tc>
        <w:tc>
          <w:tcPr>
            <w:tcW w:w="2125" w:type="dxa"/>
          </w:tcPr>
          <w:p w14:paraId="3C658D12"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BNP Paribas Foundation</w:t>
            </w:r>
          </w:p>
          <w:p w14:paraId="1EE1AE27"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proofErr w:type="spellStart"/>
            <w:r w:rsidRPr="00132F02">
              <w:rPr>
                <w:rFonts w:cs="Arial"/>
                <w:color w:val="000000" w:themeColor="text1"/>
                <w:sz w:val="20"/>
                <w:szCs w:val="20"/>
              </w:rPr>
              <w:t>Fondation</w:t>
            </w:r>
            <w:proofErr w:type="spellEnd"/>
            <w:r w:rsidRPr="00132F02">
              <w:rPr>
                <w:rFonts w:cs="Arial"/>
                <w:color w:val="000000" w:themeColor="text1"/>
                <w:sz w:val="20"/>
                <w:szCs w:val="20"/>
              </w:rPr>
              <w:t xml:space="preserve"> Bertarelli</w:t>
            </w:r>
          </w:p>
          <w:p w14:paraId="52E2D400"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proofErr w:type="spellStart"/>
            <w:r w:rsidRPr="00132F02">
              <w:rPr>
                <w:rFonts w:cs="Arial"/>
                <w:color w:val="000000" w:themeColor="text1"/>
                <w:sz w:val="20"/>
                <w:szCs w:val="20"/>
              </w:rPr>
              <w:t>Fondation</w:t>
            </w:r>
            <w:proofErr w:type="spellEnd"/>
            <w:r w:rsidRPr="00132F02">
              <w:rPr>
                <w:rFonts w:cs="Arial"/>
                <w:color w:val="000000" w:themeColor="text1"/>
                <w:sz w:val="20"/>
                <w:szCs w:val="20"/>
              </w:rPr>
              <w:t xml:space="preserve"> Prince Albert II</w:t>
            </w:r>
          </w:p>
          <w:p w14:paraId="62EBE8ED"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REV Ocean</w:t>
            </w:r>
          </w:p>
          <w:p w14:paraId="0F53BFA4"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The Velux Foundations</w:t>
            </w:r>
          </w:p>
        </w:tc>
        <w:tc>
          <w:tcPr>
            <w:tcW w:w="2105" w:type="dxa"/>
          </w:tcPr>
          <w:p w14:paraId="1AEBAD81"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Bloomberg Philanthropies</w:t>
            </w:r>
          </w:p>
          <w:p w14:paraId="5E6BE6CF"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proofErr w:type="spellStart"/>
            <w:r w:rsidRPr="00132F02">
              <w:rPr>
                <w:rFonts w:cs="Arial"/>
                <w:color w:val="000000" w:themeColor="text1"/>
                <w:sz w:val="20"/>
                <w:szCs w:val="20"/>
              </w:rPr>
              <w:t>Dalio</w:t>
            </w:r>
            <w:proofErr w:type="spellEnd"/>
            <w:r w:rsidRPr="00132F02">
              <w:rPr>
                <w:rFonts w:cs="Arial"/>
                <w:color w:val="000000" w:themeColor="text1"/>
                <w:sz w:val="20"/>
                <w:szCs w:val="20"/>
              </w:rPr>
              <w:t xml:space="preserve"> Philanthropies</w:t>
            </w:r>
          </w:p>
          <w:p w14:paraId="6C826ED6"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Moore Foundation</w:t>
            </w:r>
          </w:p>
          <w:p w14:paraId="62E2E733"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Ocean Foundation</w:t>
            </w:r>
          </w:p>
          <w:p w14:paraId="35CC7941"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Pew Charitable Trusts</w:t>
            </w:r>
          </w:p>
          <w:p w14:paraId="00547168"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Schmidt Ocean Institute</w:t>
            </w:r>
          </w:p>
          <w:p w14:paraId="428F5E80" w14:textId="77777777" w:rsidR="00E97BFA"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Vulcan</w:t>
            </w:r>
          </w:p>
          <w:p w14:paraId="1129256D"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proofErr w:type="spellStart"/>
            <w:r w:rsidRPr="00132F02">
              <w:rPr>
                <w:rFonts w:cs="Arial"/>
                <w:color w:val="000000" w:themeColor="text1"/>
                <w:sz w:val="20"/>
                <w:szCs w:val="20"/>
              </w:rPr>
              <w:t>Waitt</w:t>
            </w:r>
            <w:proofErr w:type="spellEnd"/>
            <w:r w:rsidRPr="00132F02">
              <w:rPr>
                <w:rFonts w:cs="Arial"/>
                <w:color w:val="000000" w:themeColor="text1"/>
                <w:sz w:val="20"/>
                <w:szCs w:val="20"/>
              </w:rPr>
              <w:t xml:space="preserve"> Foundation</w:t>
            </w:r>
          </w:p>
        </w:tc>
        <w:tc>
          <w:tcPr>
            <w:tcW w:w="1635" w:type="dxa"/>
          </w:tcPr>
          <w:p w14:paraId="728D8F0D"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proofErr w:type="spellStart"/>
            <w:r w:rsidRPr="00132F02">
              <w:rPr>
                <w:rFonts w:cs="Arial"/>
                <w:color w:val="000000" w:themeColor="text1"/>
                <w:sz w:val="20"/>
                <w:szCs w:val="20"/>
              </w:rPr>
              <w:t>Fundação</w:t>
            </w:r>
            <w:proofErr w:type="spellEnd"/>
            <w:r w:rsidRPr="00132F02">
              <w:rPr>
                <w:rFonts w:cs="Arial"/>
                <w:color w:val="000000" w:themeColor="text1"/>
                <w:sz w:val="20"/>
                <w:szCs w:val="20"/>
              </w:rPr>
              <w:t xml:space="preserve"> </w:t>
            </w:r>
            <w:proofErr w:type="spellStart"/>
            <w:r w:rsidRPr="00132F02">
              <w:rPr>
                <w:rFonts w:cs="Arial"/>
                <w:color w:val="000000" w:themeColor="text1"/>
                <w:sz w:val="20"/>
                <w:szCs w:val="20"/>
              </w:rPr>
              <w:t>GrupoBoticário</w:t>
            </w:r>
            <w:proofErr w:type="spellEnd"/>
          </w:p>
        </w:tc>
        <w:tc>
          <w:tcPr>
            <w:tcW w:w="1870" w:type="dxa"/>
          </w:tcPr>
          <w:p w14:paraId="3BB5D85D" w14:textId="77777777" w:rsidR="00E97BFA"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Great Barrier Reef Foundation</w:t>
            </w:r>
          </w:p>
          <w:p w14:paraId="4A3A3E54" w14:textId="77777777" w:rsidR="008355E0" w:rsidRPr="00132F02" w:rsidRDefault="008355E0" w:rsidP="00E97BFA">
            <w:pPr>
              <w:pStyle w:val="Marge"/>
              <w:numPr>
                <w:ilvl w:val="0"/>
                <w:numId w:val="17"/>
              </w:numPr>
              <w:spacing w:after="0"/>
              <w:ind w:left="158" w:hanging="180"/>
              <w:jc w:val="left"/>
              <w:rPr>
                <w:rFonts w:cs="Arial"/>
                <w:color w:val="000000" w:themeColor="text1"/>
                <w:sz w:val="20"/>
                <w:szCs w:val="20"/>
              </w:rPr>
            </w:pPr>
            <w:r w:rsidRPr="00132F02">
              <w:rPr>
                <w:rFonts w:cs="Arial"/>
                <w:color w:val="000000" w:themeColor="text1"/>
                <w:sz w:val="20"/>
                <w:szCs w:val="20"/>
              </w:rPr>
              <w:t>Minderoo Foundation</w:t>
            </w:r>
          </w:p>
        </w:tc>
      </w:tr>
    </w:tbl>
    <w:p w14:paraId="424B004F" w14:textId="77777777" w:rsidR="009A6451" w:rsidRPr="009A6451" w:rsidRDefault="009A6451" w:rsidP="009A6451">
      <w:pPr>
        <w:pStyle w:val="Marge"/>
        <w:jc w:val="center"/>
        <w:rPr>
          <w:rFonts w:cs="Arial"/>
          <w:color w:val="000000" w:themeColor="text1"/>
          <w:szCs w:val="22"/>
          <w:u w:val="single"/>
        </w:rPr>
      </w:pPr>
      <w:r w:rsidRPr="009A6451">
        <w:rPr>
          <w:rFonts w:cs="Arial"/>
          <w:color w:val="000000" w:themeColor="text1"/>
          <w:sz w:val="20"/>
          <w:szCs w:val="20"/>
          <w:u w:val="single"/>
        </w:rPr>
        <w:t>Table 2: Current Foundations Dialogue Members</w:t>
      </w:r>
    </w:p>
    <w:p w14:paraId="79207658" w14:textId="77777777" w:rsidR="0080488A" w:rsidRDefault="00A615D4" w:rsidP="0080488A">
      <w:pPr>
        <w:pStyle w:val="Marge"/>
        <w:rPr>
          <w:rFonts w:cs="Arial"/>
          <w:color w:val="000000" w:themeColor="text1"/>
          <w:szCs w:val="22"/>
        </w:rPr>
      </w:pPr>
      <w:r w:rsidRPr="003B06D5">
        <w:rPr>
          <w:rFonts w:cs="Arial"/>
          <w:color w:val="000000" w:themeColor="text1"/>
          <w:szCs w:val="22"/>
        </w:rPr>
        <w:t xml:space="preserve">The ambition of the Foundations Dialogue is to create a (1) </w:t>
      </w:r>
      <w:r w:rsidR="008E30F3" w:rsidRPr="003B06D5">
        <w:rPr>
          <w:rFonts w:cs="Arial"/>
          <w:color w:val="000000" w:themeColor="text1"/>
          <w:szCs w:val="22"/>
        </w:rPr>
        <w:t>Self-organized and w</w:t>
      </w:r>
      <w:r w:rsidRPr="003B06D5">
        <w:rPr>
          <w:rFonts w:cs="Arial"/>
          <w:color w:val="000000" w:themeColor="text1"/>
          <w:szCs w:val="22"/>
        </w:rPr>
        <w:t xml:space="preserve">ell-functioning forum for collaboration, co-creation and partnership-building; (2) Build bridges to other stakeholder groups (e.g. through active engagement in Decade events); (3) Jointly set ambitions and pathway for resource mobilisation for critical Decade priorities; and (4) Build out and scale the Foundations Dialogue globally and add 15-25 additional members with broader geographic diversity. </w:t>
      </w:r>
    </w:p>
    <w:p w14:paraId="0AA63E17" w14:textId="418DD490" w:rsidR="00633267" w:rsidRPr="0080488A" w:rsidRDefault="00A65447" w:rsidP="0080488A">
      <w:pPr>
        <w:pStyle w:val="Marge"/>
        <w:rPr>
          <w:rFonts w:cs="Arial"/>
          <w:color w:val="000000" w:themeColor="text1"/>
          <w:szCs w:val="22"/>
        </w:rPr>
      </w:pPr>
      <w:r w:rsidRPr="0080488A">
        <w:rPr>
          <w:rFonts w:cs="Arial"/>
          <w:color w:val="000000" w:themeColor="text1"/>
          <w:szCs w:val="22"/>
        </w:rPr>
        <w:t xml:space="preserve">Many of the same types of engagement approaches within the Foundations Dialogue can be replicated to develop a customized approach to mobilising the private sector in order to create a </w:t>
      </w:r>
      <w:r w:rsidR="005269FA" w:rsidRPr="0080488A">
        <w:rPr>
          <w:rFonts w:cs="Arial"/>
          <w:color w:val="000000" w:themeColor="text1"/>
          <w:szCs w:val="22"/>
        </w:rPr>
        <w:t xml:space="preserve">similar self-organized and well-functioning </w:t>
      </w:r>
      <w:r w:rsidRPr="0080488A">
        <w:rPr>
          <w:rFonts w:cs="Arial"/>
          <w:color w:val="000000" w:themeColor="text1"/>
          <w:szCs w:val="22"/>
        </w:rPr>
        <w:t>global network of 30-50 companies who share a common ambition to support the Ocean Decade.</w:t>
      </w:r>
      <w:r w:rsidR="00273E03" w:rsidRPr="0080488A">
        <w:rPr>
          <w:rFonts w:cs="Arial"/>
          <w:color w:val="000000" w:themeColor="text1"/>
          <w:szCs w:val="22"/>
        </w:rPr>
        <w:t xml:space="preserve"> </w:t>
      </w:r>
      <w:hyperlink r:id="rId11" w:history="1">
        <w:r w:rsidR="00273E03" w:rsidRPr="0080488A">
          <w:rPr>
            <w:rStyle w:val="Hyperlink"/>
            <w:rFonts w:cs="Arial"/>
            <w:szCs w:val="22"/>
          </w:rPr>
          <w:t>This publication</w:t>
        </w:r>
      </w:hyperlink>
      <w:r w:rsidR="00273E03" w:rsidRPr="0080488A">
        <w:rPr>
          <w:rFonts w:cs="Arial"/>
          <w:color w:val="000000" w:themeColor="text1"/>
          <w:szCs w:val="22"/>
        </w:rPr>
        <w:t xml:space="preserve"> provides an initial view of the potential role of private sector in the Ocean Decade and can be used as a starting point to develop a clear business case to</w:t>
      </w:r>
      <w:r w:rsidR="00FE6B78" w:rsidRPr="0080488A">
        <w:rPr>
          <w:rFonts w:cs="Arial"/>
          <w:color w:val="000000" w:themeColor="text1"/>
          <w:szCs w:val="22"/>
        </w:rPr>
        <w:t xml:space="preserve"> pilot and sca</w:t>
      </w:r>
      <w:r w:rsidR="00273E03" w:rsidRPr="0080488A">
        <w:rPr>
          <w:rFonts w:cs="Arial"/>
          <w:color w:val="000000" w:themeColor="text1"/>
          <w:szCs w:val="22"/>
        </w:rPr>
        <w:t>le private sector engagement. To facilitate this process,</w:t>
      </w:r>
      <w:r w:rsidR="00FE6B78" w:rsidRPr="0080488A">
        <w:rPr>
          <w:rFonts w:cs="Arial"/>
          <w:color w:val="000000" w:themeColor="text1"/>
          <w:szCs w:val="22"/>
        </w:rPr>
        <w:t xml:space="preserve"> a target list of companies will be developed to capture both current supporters of the Ocean Decade as well as desired supporters from </w:t>
      </w:r>
      <w:r w:rsidR="00273E03" w:rsidRPr="0080488A">
        <w:rPr>
          <w:rFonts w:cs="Arial"/>
          <w:color w:val="000000" w:themeColor="text1"/>
          <w:szCs w:val="22"/>
        </w:rPr>
        <w:t>sustainable ocean economy</w:t>
      </w:r>
      <w:r w:rsidR="00FE6B78" w:rsidRPr="0080488A">
        <w:rPr>
          <w:rFonts w:cs="Arial"/>
          <w:color w:val="000000" w:themeColor="text1"/>
          <w:szCs w:val="22"/>
        </w:rPr>
        <w:t xml:space="preserve"> sectors. The IOC has also signed a Memorandum of Understanding with the UN Global Compact to </w:t>
      </w:r>
      <w:r w:rsidR="00CD31B9" w:rsidRPr="0080488A">
        <w:rPr>
          <w:rFonts w:cs="Arial"/>
          <w:color w:val="000000" w:themeColor="text1"/>
          <w:szCs w:val="22"/>
        </w:rPr>
        <w:t xml:space="preserve">collaborate in </w:t>
      </w:r>
      <w:r w:rsidR="00FE6B78" w:rsidRPr="0080488A">
        <w:rPr>
          <w:rFonts w:cs="Arial"/>
          <w:color w:val="000000" w:themeColor="text1"/>
          <w:szCs w:val="22"/>
        </w:rPr>
        <w:t xml:space="preserve">jointly </w:t>
      </w:r>
      <w:r w:rsidR="00CD31B9" w:rsidRPr="0080488A">
        <w:rPr>
          <w:rFonts w:cs="Arial"/>
          <w:color w:val="000000" w:themeColor="text1"/>
          <w:szCs w:val="22"/>
        </w:rPr>
        <w:t xml:space="preserve">promoting the Ocean Decade among UN Global Compact signatories. </w:t>
      </w:r>
      <w:r w:rsidR="00273E03" w:rsidRPr="0080488A">
        <w:rPr>
          <w:rFonts w:cs="Arial"/>
          <w:color w:val="000000" w:themeColor="text1"/>
          <w:szCs w:val="22"/>
        </w:rPr>
        <w:t xml:space="preserve">A first meeting with a small group of </w:t>
      </w:r>
      <w:r w:rsidR="00273E03" w:rsidRPr="0080488A">
        <w:rPr>
          <w:rFonts w:cs="Arial"/>
          <w:color w:val="000000" w:themeColor="text1"/>
          <w:szCs w:val="22"/>
        </w:rPr>
        <w:lastRenderedPageBreak/>
        <w:t xml:space="preserve">core, engaged private sector partners will be organised in mid-2021 to brainstorm opportunities and challenges for private sector engagement in the Decade, and to support the Decade Coordination Unit to develop clear and appropriate messaging to facilitate stronger industry engagement in the Decade. </w:t>
      </w:r>
    </w:p>
    <w:p w14:paraId="26A8B640" w14:textId="77777777" w:rsidR="00177484" w:rsidRPr="002F2C67" w:rsidRDefault="005E507A" w:rsidP="00132F02">
      <w:pPr>
        <w:pStyle w:val="Heading2"/>
        <w:snapToGrid w:val="0"/>
        <w:spacing w:before="0" w:after="240"/>
        <w:rPr>
          <w:rFonts w:asciiTheme="minorBidi" w:hAnsiTheme="minorBidi" w:cstheme="minorBidi"/>
          <w:sz w:val="22"/>
          <w:szCs w:val="22"/>
        </w:rPr>
      </w:pPr>
      <w:bookmarkStart w:id="17" w:name="_Toc73968046"/>
      <w:r w:rsidRPr="002F2C67">
        <w:rPr>
          <w:rFonts w:asciiTheme="minorBidi" w:hAnsiTheme="minorBidi" w:cstheme="minorBidi"/>
          <w:sz w:val="22"/>
          <w:szCs w:val="22"/>
        </w:rPr>
        <w:t>Bring the Ocean Decade to Key Stakeholders</w:t>
      </w:r>
      <w:bookmarkEnd w:id="17"/>
    </w:p>
    <w:p w14:paraId="31646A13" w14:textId="77777777" w:rsidR="00EB6B25" w:rsidRPr="003B06D5" w:rsidRDefault="00273E03" w:rsidP="0080488A">
      <w:pPr>
        <w:pStyle w:val="Marge"/>
        <w:rPr>
          <w:rFonts w:cs="Arial"/>
          <w:color w:val="000000" w:themeColor="text1"/>
          <w:szCs w:val="22"/>
        </w:rPr>
      </w:pPr>
      <w:r>
        <w:rPr>
          <w:rFonts w:cs="Arial"/>
          <w:color w:val="000000" w:themeColor="text1"/>
          <w:szCs w:val="22"/>
        </w:rPr>
        <w:t>To achieve the needed ambition for resource mobilisation for the Ocean Decade,</w:t>
      </w:r>
      <w:r w:rsidR="00633267" w:rsidRPr="003B06D5">
        <w:rPr>
          <w:rFonts w:cs="Arial"/>
          <w:color w:val="000000" w:themeColor="text1"/>
          <w:szCs w:val="22"/>
        </w:rPr>
        <w:t xml:space="preserve"> face-to-face and peer-to-peer engagement activations </w:t>
      </w:r>
      <w:r>
        <w:rPr>
          <w:rFonts w:cs="Arial"/>
          <w:color w:val="000000" w:themeColor="text1"/>
          <w:szCs w:val="22"/>
        </w:rPr>
        <w:t>will be required. I</w:t>
      </w:r>
      <w:r w:rsidR="005269FA" w:rsidRPr="003B06D5">
        <w:rPr>
          <w:rFonts w:cs="Arial"/>
          <w:color w:val="000000" w:themeColor="text1"/>
          <w:szCs w:val="22"/>
        </w:rPr>
        <w:t xml:space="preserve">t will be essential to bring the Ocean Decade directly to key stakeholders, including elected officials and senior leaders from climate financing mechanisms, multilateral development banks, sovereign wealth funds, civil </w:t>
      </w:r>
      <w:proofErr w:type="gramStart"/>
      <w:r w:rsidR="005269FA" w:rsidRPr="003B06D5">
        <w:rPr>
          <w:rFonts w:cs="Arial"/>
          <w:color w:val="000000" w:themeColor="text1"/>
          <w:szCs w:val="22"/>
        </w:rPr>
        <w:t>society</w:t>
      </w:r>
      <w:proofErr w:type="gramEnd"/>
      <w:r w:rsidR="005269FA" w:rsidRPr="003B06D5">
        <w:rPr>
          <w:rFonts w:cs="Arial"/>
          <w:color w:val="000000" w:themeColor="text1"/>
          <w:szCs w:val="22"/>
        </w:rPr>
        <w:t xml:space="preserve"> and the private sector. Upcoming global convenings on the intergovernmental calendar, including the UN General Assembly, UN Oceans Conference and COP26, along with other highly visible convenings around Climate Week and the World Economic Forum have historically brought together decision-makers from both the public and private sectors. It is within these forums that critical enabling relationships can be established or deepened and the value proposition for the Ocean Decade can be articulated. </w:t>
      </w:r>
    </w:p>
    <w:p w14:paraId="744636E9" w14:textId="77777777" w:rsidR="00172EA9" w:rsidRPr="003B06D5" w:rsidRDefault="00273E03" w:rsidP="0080488A">
      <w:pPr>
        <w:pStyle w:val="Marge"/>
        <w:rPr>
          <w:rFonts w:cs="Arial"/>
          <w:color w:val="000000" w:themeColor="text1"/>
          <w:szCs w:val="22"/>
        </w:rPr>
      </w:pPr>
      <w:r>
        <w:rPr>
          <w:rFonts w:cs="Arial"/>
          <w:color w:val="000000" w:themeColor="text1"/>
          <w:szCs w:val="22"/>
        </w:rPr>
        <w:t>I</w:t>
      </w:r>
      <w:r w:rsidR="00172EA9" w:rsidRPr="003B06D5">
        <w:rPr>
          <w:rFonts w:cs="Arial"/>
          <w:color w:val="000000" w:themeColor="text1"/>
          <w:szCs w:val="22"/>
        </w:rPr>
        <w:t xml:space="preserve">t will be necessary to develop and implement stakeholder engagement plans in and around each of these global convenings to ensure that the Ocean Decade has a visible presence, and Ocean Decade leaders and advocates have the opportunity to advance the value proposition for the Ocean Decade with attendees. </w:t>
      </w:r>
    </w:p>
    <w:p w14:paraId="44B58AF2" w14:textId="77777777" w:rsidR="003879CC" w:rsidRPr="002F2C67" w:rsidRDefault="003879CC" w:rsidP="00132F02">
      <w:pPr>
        <w:pStyle w:val="Heading2"/>
        <w:snapToGrid w:val="0"/>
        <w:spacing w:before="0" w:after="240"/>
        <w:rPr>
          <w:rFonts w:asciiTheme="minorBidi" w:hAnsiTheme="minorBidi" w:cstheme="minorBidi"/>
          <w:sz w:val="22"/>
          <w:szCs w:val="22"/>
        </w:rPr>
      </w:pPr>
      <w:bookmarkStart w:id="18" w:name="_Toc73968047"/>
      <w:r w:rsidRPr="002F2C67">
        <w:rPr>
          <w:rFonts w:asciiTheme="minorBidi" w:hAnsiTheme="minorBidi" w:cstheme="minorBidi"/>
          <w:sz w:val="22"/>
          <w:szCs w:val="22"/>
        </w:rPr>
        <w:t xml:space="preserve">Organize an Annual </w:t>
      </w:r>
      <w:r w:rsidR="00F3641B" w:rsidRPr="002F2C67">
        <w:rPr>
          <w:rFonts w:asciiTheme="minorBidi" w:hAnsiTheme="minorBidi" w:cstheme="minorBidi"/>
          <w:sz w:val="22"/>
          <w:szCs w:val="22"/>
        </w:rPr>
        <w:t xml:space="preserve">Resource </w:t>
      </w:r>
      <w:proofErr w:type="spellStart"/>
      <w:r w:rsidR="00F3641B" w:rsidRPr="002F2C67">
        <w:rPr>
          <w:rFonts w:asciiTheme="minorBidi" w:hAnsiTheme="minorBidi" w:cstheme="minorBidi"/>
          <w:sz w:val="22"/>
          <w:szCs w:val="22"/>
        </w:rPr>
        <w:t>Mobilisation</w:t>
      </w:r>
      <w:proofErr w:type="spellEnd"/>
      <w:r w:rsidRPr="002F2C67">
        <w:rPr>
          <w:rFonts w:asciiTheme="minorBidi" w:hAnsiTheme="minorBidi" w:cstheme="minorBidi"/>
          <w:sz w:val="22"/>
          <w:szCs w:val="22"/>
        </w:rPr>
        <w:t xml:space="preserve"> </w:t>
      </w:r>
      <w:r w:rsidR="00273E03" w:rsidRPr="002F2C67">
        <w:rPr>
          <w:rFonts w:asciiTheme="minorBidi" w:hAnsiTheme="minorBidi" w:cstheme="minorBidi"/>
          <w:sz w:val="22"/>
          <w:szCs w:val="22"/>
        </w:rPr>
        <w:t>Meeting</w:t>
      </w:r>
      <w:bookmarkEnd w:id="18"/>
    </w:p>
    <w:p w14:paraId="03A03AF6" w14:textId="77777777" w:rsidR="0027057B" w:rsidRPr="003B06D5" w:rsidRDefault="00044398" w:rsidP="0080488A">
      <w:pPr>
        <w:pStyle w:val="Marge"/>
        <w:rPr>
          <w:rFonts w:cs="Arial"/>
          <w:color w:val="000000" w:themeColor="text1"/>
          <w:szCs w:val="22"/>
        </w:rPr>
      </w:pPr>
      <w:r w:rsidRPr="003B06D5">
        <w:rPr>
          <w:rFonts w:cs="Arial"/>
          <w:color w:val="000000" w:themeColor="text1"/>
          <w:szCs w:val="22"/>
        </w:rPr>
        <w:t>To stimulate greater ambition and to</w:t>
      </w:r>
      <w:r w:rsidR="00B32D54" w:rsidRPr="003B06D5">
        <w:rPr>
          <w:rFonts w:cs="Arial"/>
          <w:color w:val="000000" w:themeColor="text1"/>
          <w:szCs w:val="22"/>
        </w:rPr>
        <w:t xml:space="preserve"> provide a forum for all stakeholders to publicly demonstrate their support for the Ocean Decade, an</w:t>
      </w:r>
      <w:r w:rsidR="00033D9F" w:rsidRPr="003B06D5">
        <w:rPr>
          <w:rFonts w:cs="Arial"/>
          <w:color w:val="000000" w:themeColor="text1"/>
          <w:szCs w:val="22"/>
        </w:rPr>
        <w:t xml:space="preserve"> Annual </w:t>
      </w:r>
      <w:r w:rsidR="00F3641B">
        <w:rPr>
          <w:rFonts w:cs="Arial"/>
          <w:color w:val="000000" w:themeColor="text1"/>
          <w:szCs w:val="22"/>
        </w:rPr>
        <w:t xml:space="preserve">Resource Mobilisations </w:t>
      </w:r>
      <w:r w:rsidR="00273E03">
        <w:rPr>
          <w:rFonts w:cs="Arial"/>
          <w:color w:val="000000" w:themeColor="text1"/>
          <w:szCs w:val="22"/>
        </w:rPr>
        <w:t>Meeting</w:t>
      </w:r>
      <w:r w:rsidR="00033D9F" w:rsidRPr="003B06D5">
        <w:rPr>
          <w:rFonts w:cs="Arial"/>
          <w:color w:val="000000" w:themeColor="text1"/>
          <w:szCs w:val="22"/>
        </w:rPr>
        <w:t xml:space="preserve"> </w:t>
      </w:r>
      <w:r w:rsidR="00273E03">
        <w:rPr>
          <w:rFonts w:cs="Arial"/>
          <w:color w:val="000000" w:themeColor="text1"/>
          <w:szCs w:val="22"/>
        </w:rPr>
        <w:t xml:space="preserve">is proposed. This meeting will </w:t>
      </w:r>
      <w:r w:rsidR="005269FA" w:rsidRPr="003B06D5">
        <w:rPr>
          <w:rFonts w:cs="Arial"/>
          <w:color w:val="000000" w:themeColor="text1"/>
          <w:szCs w:val="22"/>
        </w:rPr>
        <w:t xml:space="preserve">bring together </w:t>
      </w:r>
      <w:r w:rsidR="00273E03">
        <w:rPr>
          <w:rFonts w:cs="Arial"/>
          <w:color w:val="000000" w:themeColor="text1"/>
          <w:szCs w:val="22"/>
        </w:rPr>
        <w:t xml:space="preserve">existing members of the Ocean Decade </w:t>
      </w:r>
      <w:proofErr w:type="gramStart"/>
      <w:r w:rsidR="00273E03">
        <w:rPr>
          <w:rFonts w:cs="Arial"/>
          <w:color w:val="000000" w:themeColor="text1"/>
          <w:szCs w:val="22"/>
        </w:rPr>
        <w:t>Alliance, but</w:t>
      </w:r>
      <w:proofErr w:type="gramEnd"/>
      <w:r w:rsidR="00273E03">
        <w:rPr>
          <w:rFonts w:cs="Arial"/>
          <w:color w:val="000000" w:themeColor="text1"/>
          <w:szCs w:val="22"/>
        </w:rPr>
        <w:t xml:space="preserve"> will also target potential new Alliance members from </w:t>
      </w:r>
      <w:r w:rsidR="005269FA" w:rsidRPr="003B06D5">
        <w:rPr>
          <w:rFonts w:cs="Arial"/>
          <w:color w:val="000000" w:themeColor="text1"/>
          <w:szCs w:val="22"/>
        </w:rPr>
        <w:t xml:space="preserve">Member States, climate financing mechanisms, multilateral development banks, sovereign wealth funds, philanthropic foundations and the private sector. The result of the Pledging </w:t>
      </w:r>
      <w:r w:rsidR="00273E03">
        <w:rPr>
          <w:rFonts w:cs="Arial"/>
          <w:color w:val="000000" w:themeColor="text1"/>
          <w:szCs w:val="22"/>
        </w:rPr>
        <w:t>Meeting</w:t>
      </w:r>
      <w:r w:rsidR="005269FA" w:rsidRPr="003B06D5">
        <w:rPr>
          <w:rFonts w:cs="Arial"/>
          <w:color w:val="000000" w:themeColor="text1"/>
          <w:szCs w:val="22"/>
        </w:rPr>
        <w:t xml:space="preserve"> will provide the ocean science community with greater visibility into the availability of funding for Action Costs which will enable enhanced stability of long-term financing.</w:t>
      </w:r>
      <w:r w:rsidR="00273E03">
        <w:rPr>
          <w:rFonts w:cs="Arial"/>
          <w:color w:val="000000" w:themeColor="text1"/>
          <w:szCs w:val="22"/>
        </w:rPr>
        <w:t xml:space="preserve"> </w:t>
      </w:r>
      <w:r w:rsidR="005269FA" w:rsidRPr="003B06D5">
        <w:rPr>
          <w:rFonts w:cs="Arial"/>
          <w:color w:val="000000" w:themeColor="text1"/>
          <w:szCs w:val="22"/>
        </w:rPr>
        <w:t xml:space="preserve">The </w:t>
      </w:r>
      <w:r w:rsidR="00273E03">
        <w:rPr>
          <w:rFonts w:cs="Arial"/>
          <w:color w:val="000000" w:themeColor="text1"/>
          <w:szCs w:val="22"/>
        </w:rPr>
        <w:t xml:space="preserve">meeting </w:t>
      </w:r>
      <w:r w:rsidR="005269FA" w:rsidRPr="003B06D5">
        <w:rPr>
          <w:rFonts w:cs="Arial"/>
          <w:color w:val="000000" w:themeColor="text1"/>
          <w:szCs w:val="22"/>
        </w:rPr>
        <w:t xml:space="preserve">is envisaged to be a one-day event that </w:t>
      </w:r>
      <w:r w:rsidR="00811D90" w:rsidRPr="003B06D5">
        <w:rPr>
          <w:rFonts w:cs="Arial"/>
          <w:color w:val="000000" w:themeColor="text1"/>
          <w:szCs w:val="22"/>
        </w:rPr>
        <w:t>will</w:t>
      </w:r>
      <w:r w:rsidR="00033D9F" w:rsidRPr="003B06D5">
        <w:rPr>
          <w:rFonts w:cs="Arial"/>
          <w:color w:val="000000" w:themeColor="text1"/>
          <w:szCs w:val="22"/>
        </w:rPr>
        <w:t xml:space="preserve"> be held at the same time as another major UN forum </w:t>
      </w:r>
      <w:r w:rsidR="005269FA" w:rsidRPr="003B06D5">
        <w:rPr>
          <w:rFonts w:cs="Arial"/>
          <w:color w:val="000000" w:themeColor="text1"/>
          <w:szCs w:val="22"/>
        </w:rPr>
        <w:t>(</w:t>
      </w:r>
      <w:r w:rsidR="00CD31B9" w:rsidRPr="003B06D5">
        <w:rPr>
          <w:rFonts w:cs="Arial"/>
          <w:color w:val="000000" w:themeColor="text1"/>
          <w:szCs w:val="22"/>
        </w:rPr>
        <w:t>e.g.</w:t>
      </w:r>
      <w:r w:rsidR="005269FA" w:rsidRPr="003B06D5">
        <w:rPr>
          <w:rFonts w:cs="Arial"/>
          <w:color w:val="000000" w:themeColor="text1"/>
          <w:szCs w:val="22"/>
        </w:rPr>
        <w:t xml:space="preserve"> UNGA) </w:t>
      </w:r>
      <w:r w:rsidR="00DE3E24" w:rsidRPr="003B06D5">
        <w:rPr>
          <w:rFonts w:cs="Arial"/>
          <w:color w:val="000000" w:themeColor="text1"/>
          <w:szCs w:val="22"/>
        </w:rPr>
        <w:t>or global convening of key stakeholders</w:t>
      </w:r>
      <w:r w:rsidR="005269FA" w:rsidRPr="003B06D5">
        <w:rPr>
          <w:rFonts w:cs="Arial"/>
          <w:color w:val="000000" w:themeColor="text1"/>
          <w:szCs w:val="22"/>
        </w:rPr>
        <w:t xml:space="preserve"> (</w:t>
      </w:r>
      <w:r w:rsidR="00CD31B9" w:rsidRPr="003B06D5">
        <w:rPr>
          <w:rFonts w:cs="Arial"/>
          <w:color w:val="000000" w:themeColor="text1"/>
          <w:szCs w:val="22"/>
        </w:rPr>
        <w:t>e.g.</w:t>
      </w:r>
      <w:r w:rsidR="005269FA" w:rsidRPr="003B06D5">
        <w:rPr>
          <w:rFonts w:cs="Arial"/>
          <w:color w:val="000000" w:themeColor="text1"/>
          <w:szCs w:val="22"/>
        </w:rPr>
        <w:t xml:space="preserve"> World Economic Forum)</w:t>
      </w:r>
      <w:r w:rsidR="00DE3E24" w:rsidRPr="003B06D5">
        <w:rPr>
          <w:rFonts w:cs="Arial"/>
          <w:color w:val="000000" w:themeColor="text1"/>
          <w:szCs w:val="22"/>
        </w:rPr>
        <w:t xml:space="preserve">. </w:t>
      </w:r>
      <w:r w:rsidR="005269FA" w:rsidRPr="003B06D5">
        <w:rPr>
          <w:rFonts w:cs="Arial"/>
          <w:color w:val="000000" w:themeColor="text1"/>
          <w:szCs w:val="22"/>
        </w:rPr>
        <w:t xml:space="preserve">The format will </w:t>
      </w:r>
      <w:r w:rsidR="00773547">
        <w:rPr>
          <w:rFonts w:cs="Arial"/>
          <w:color w:val="000000" w:themeColor="text1"/>
          <w:szCs w:val="22"/>
        </w:rPr>
        <w:t xml:space="preserve">participants </w:t>
      </w:r>
      <w:r w:rsidR="005269FA" w:rsidRPr="003B06D5">
        <w:rPr>
          <w:rFonts w:cs="Arial"/>
          <w:color w:val="000000" w:themeColor="text1"/>
          <w:szCs w:val="22"/>
        </w:rPr>
        <w:t xml:space="preserve">to announce their commitments, partnerships and collaborations as well as provide a forum to mobilise other stakeholders to support the Ocean Decade. </w:t>
      </w:r>
      <w:r w:rsidR="009A6451">
        <w:rPr>
          <w:rFonts w:cs="Arial"/>
          <w:color w:val="000000" w:themeColor="text1"/>
          <w:szCs w:val="22"/>
        </w:rPr>
        <w:t xml:space="preserve">The first meeting is tentatively planned for the end of 2021 or the beginning of 2022 depending on the evolution of the sanitary situation and the results of the discussions with Alliance Sherpas in coming months. </w:t>
      </w:r>
    </w:p>
    <w:p w14:paraId="3502A910" w14:textId="77777777" w:rsidR="00974CCA" w:rsidRPr="002F2C67" w:rsidRDefault="00974CCA" w:rsidP="00132F02">
      <w:pPr>
        <w:pStyle w:val="Heading2"/>
        <w:snapToGrid w:val="0"/>
        <w:spacing w:before="0" w:after="240"/>
        <w:rPr>
          <w:rFonts w:asciiTheme="minorBidi" w:hAnsiTheme="minorBidi" w:cstheme="minorBidi"/>
          <w:sz w:val="22"/>
          <w:szCs w:val="22"/>
        </w:rPr>
      </w:pPr>
      <w:bookmarkStart w:id="19" w:name="_Toc73968048"/>
      <w:r w:rsidRPr="002F2C67">
        <w:rPr>
          <w:rFonts w:asciiTheme="minorBidi" w:hAnsiTheme="minorBidi" w:cstheme="minorBidi"/>
          <w:sz w:val="22"/>
          <w:szCs w:val="22"/>
        </w:rPr>
        <w:t xml:space="preserve">Responsibilities for Resource </w:t>
      </w:r>
      <w:proofErr w:type="spellStart"/>
      <w:r w:rsidRPr="002F2C67">
        <w:rPr>
          <w:rFonts w:asciiTheme="minorBidi" w:hAnsiTheme="minorBidi" w:cstheme="minorBidi"/>
          <w:sz w:val="22"/>
          <w:szCs w:val="22"/>
        </w:rPr>
        <w:t>Mobilisation</w:t>
      </w:r>
      <w:bookmarkEnd w:id="19"/>
      <w:proofErr w:type="spellEnd"/>
    </w:p>
    <w:p w14:paraId="421C9F68" w14:textId="42C8C081" w:rsidR="00974CCA" w:rsidRDefault="003C1BDF" w:rsidP="0080488A">
      <w:pPr>
        <w:pStyle w:val="Marge"/>
        <w:rPr>
          <w:rFonts w:cs="Arial"/>
          <w:color w:val="000000" w:themeColor="text1"/>
          <w:szCs w:val="22"/>
        </w:rPr>
      </w:pPr>
      <w:r w:rsidRPr="003B06D5">
        <w:rPr>
          <w:rFonts w:cs="Arial"/>
          <w:color w:val="000000" w:themeColor="text1"/>
          <w:szCs w:val="22"/>
        </w:rPr>
        <w:t xml:space="preserve">Resource mobilisation will </w:t>
      </w:r>
      <w:r w:rsidR="00EB4BFD" w:rsidRPr="003B06D5">
        <w:rPr>
          <w:rFonts w:cs="Arial"/>
          <w:color w:val="000000" w:themeColor="text1"/>
          <w:szCs w:val="22"/>
        </w:rPr>
        <w:t>take many forms and require the support of many actors around the world. From an operational standpoint, s</w:t>
      </w:r>
      <w:r w:rsidR="00974CCA" w:rsidRPr="003B06D5">
        <w:rPr>
          <w:rFonts w:cs="Arial"/>
          <w:color w:val="000000" w:themeColor="text1"/>
          <w:szCs w:val="22"/>
        </w:rPr>
        <w:t xml:space="preserve">pecific roles </w:t>
      </w:r>
      <w:r w:rsidR="00EB4BFD" w:rsidRPr="003B06D5">
        <w:rPr>
          <w:rFonts w:cs="Arial"/>
          <w:color w:val="000000" w:themeColor="text1"/>
          <w:szCs w:val="22"/>
        </w:rPr>
        <w:t xml:space="preserve">relating to </w:t>
      </w:r>
      <w:r w:rsidR="00974CCA" w:rsidRPr="003B06D5">
        <w:rPr>
          <w:rFonts w:cs="Arial"/>
          <w:color w:val="000000" w:themeColor="text1"/>
          <w:szCs w:val="22"/>
        </w:rPr>
        <w:t xml:space="preserve">Decade governance and coordination entities </w:t>
      </w:r>
      <w:r w:rsidR="00EB4BFD" w:rsidRPr="003B06D5">
        <w:rPr>
          <w:rFonts w:cs="Arial"/>
          <w:color w:val="000000" w:themeColor="text1"/>
          <w:szCs w:val="22"/>
        </w:rPr>
        <w:t xml:space="preserve">are outlined below in </w:t>
      </w:r>
      <w:r w:rsidR="009A6451">
        <w:rPr>
          <w:rFonts w:cs="Arial"/>
          <w:color w:val="000000" w:themeColor="text1"/>
          <w:szCs w:val="22"/>
        </w:rPr>
        <w:t>Table 3.</w:t>
      </w:r>
      <w:r w:rsidR="00EB4BFD" w:rsidRPr="003B06D5">
        <w:rPr>
          <w:rFonts w:cs="Arial"/>
          <w:color w:val="000000" w:themeColor="text1"/>
          <w:szCs w:val="22"/>
        </w:rPr>
        <w:t xml:space="preserve"> </w:t>
      </w:r>
    </w:p>
    <w:p w14:paraId="2A8DE410" w14:textId="2073136E" w:rsidR="000A62A9" w:rsidRDefault="000A62A9">
      <w:pPr>
        <w:spacing w:after="160" w:line="259" w:lineRule="auto"/>
        <w:rPr>
          <w:rFonts w:ascii="Arial" w:hAnsi="Arial" w:cs="Arial"/>
          <w:snapToGrid w:val="0"/>
          <w:color w:val="000000" w:themeColor="text1"/>
          <w:sz w:val="22"/>
          <w:szCs w:val="22"/>
          <w:lang w:val="en-GB"/>
        </w:rPr>
      </w:pPr>
      <w:r>
        <w:rPr>
          <w:rFonts w:cs="Arial"/>
          <w:color w:val="000000" w:themeColor="text1"/>
          <w:szCs w:val="22"/>
        </w:rPr>
        <w:br w:type="page"/>
      </w:r>
    </w:p>
    <w:tbl>
      <w:tblPr>
        <w:tblW w:w="9352"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661"/>
      </w:tblGrid>
      <w:tr w:rsidR="00974CCA" w:rsidRPr="003B06D5" w14:paraId="605B0835" w14:textId="77777777" w:rsidTr="000A62A9">
        <w:trPr>
          <w:trHeight w:val="491"/>
        </w:trPr>
        <w:tc>
          <w:tcPr>
            <w:tcW w:w="2691" w:type="dxa"/>
            <w:shd w:val="clear" w:color="auto" w:fill="D0CECE" w:themeFill="background2" w:themeFillShade="E6"/>
          </w:tcPr>
          <w:p w14:paraId="58392AA6" w14:textId="77777777" w:rsidR="00974CCA" w:rsidRPr="003B06D5" w:rsidRDefault="00974CCA" w:rsidP="007B6A40">
            <w:pPr>
              <w:pStyle w:val="TableParagraph"/>
              <w:spacing w:before="115"/>
              <w:ind w:left="1017" w:right="1011"/>
              <w:jc w:val="center"/>
              <w:rPr>
                <w:b/>
                <w:sz w:val="21"/>
                <w:szCs w:val="21"/>
              </w:rPr>
            </w:pPr>
            <w:bookmarkStart w:id="20" w:name="_bookmark22"/>
            <w:bookmarkEnd w:id="20"/>
            <w:proofErr w:type="spellStart"/>
            <w:r w:rsidRPr="003B06D5">
              <w:rPr>
                <w:b/>
                <w:sz w:val="21"/>
                <w:szCs w:val="21"/>
              </w:rPr>
              <w:lastRenderedPageBreak/>
              <w:t>Entity</w:t>
            </w:r>
            <w:proofErr w:type="spellEnd"/>
          </w:p>
        </w:tc>
        <w:tc>
          <w:tcPr>
            <w:tcW w:w="6661" w:type="dxa"/>
            <w:shd w:val="clear" w:color="auto" w:fill="D0CECE" w:themeFill="background2" w:themeFillShade="E6"/>
          </w:tcPr>
          <w:p w14:paraId="2425FCAC" w14:textId="77777777" w:rsidR="00974CCA" w:rsidRPr="003B06D5" w:rsidRDefault="00974CCA" w:rsidP="007B6A40">
            <w:pPr>
              <w:pStyle w:val="TableParagraph"/>
              <w:spacing w:before="115"/>
              <w:ind w:left="1756"/>
              <w:rPr>
                <w:b/>
                <w:sz w:val="21"/>
                <w:szCs w:val="21"/>
              </w:rPr>
            </w:pPr>
            <w:proofErr w:type="spellStart"/>
            <w:r w:rsidRPr="003B06D5">
              <w:rPr>
                <w:b/>
                <w:sz w:val="21"/>
                <w:szCs w:val="21"/>
              </w:rPr>
              <w:t>Role</w:t>
            </w:r>
            <w:proofErr w:type="spellEnd"/>
            <w:r w:rsidRPr="003B06D5">
              <w:rPr>
                <w:b/>
                <w:sz w:val="21"/>
                <w:szCs w:val="21"/>
              </w:rPr>
              <w:t xml:space="preserve"> in</w:t>
            </w:r>
            <w:r w:rsidRPr="003B06D5">
              <w:rPr>
                <w:b/>
                <w:spacing w:val="-3"/>
                <w:sz w:val="21"/>
                <w:szCs w:val="21"/>
              </w:rPr>
              <w:t xml:space="preserve"> </w:t>
            </w:r>
            <w:r w:rsidRPr="003B06D5">
              <w:rPr>
                <w:b/>
                <w:sz w:val="21"/>
                <w:szCs w:val="21"/>
              </w:rPr>
              <w:t>Resource</w:t>
            </w:r>
            <w:r w:rsidRPr="003B06D5">
              <w:rPr>
                <w:b/>
                <w:spacing w:val="-3"/>
                <w:sz w:val="21"/>
                <w:szCs w:val="21"/>
              </w:rPr>
              <w:t xml:space="preserve"> </w:t>
            </w:r>
            <w:r w:rsidRPr="003B06D5">
              <w:rPr>
                <w:b/>
                <w:sz w:val="21"/>
                <w:szCs w:val="21"/>
              </w:rPr>
              <w:t>Mobilisation</w:t>
            </w:r>
          </w:p>
        </w:tc>
      </w:tr>
      <w:tr w:rsidR="00974CCA" w:rsidRPr="003B06D5" w14:paraId="7AA3639A" w14:textId="77777777" w:rsidTr="000A62A9">
        <w:trPr>
          <w:trHeight w:val="1029"/>
        </w:trPr>
        <w:tc>
          <w:tcPr>
            <w:tcW w:w="2691" w:type="dxa"/>
          </w:tcPr>
          <w:p w14:paraId="1F56BC29" w14:textId="77777777" w:rsidR="00974CCA" w:rsidRPr="003B06D5" w:rsidRDefault="00974CCA" w:rsidP="007B6A40">
            <w:pPr>
              <w:pStyle w:val="TableParagraph"/>
              <w:spacing w:line="250" w:lineRule="exact"/>
              <w:rPr>
                <w:sz w:val="20"/>
                <w:szCs w:val="20"/>
              </w:rPr>
            </w:pPr>
            <w:proofErr w:type="spellStart"/>
            <w:r w:rsidRPr="003B06D5">
              <w:rPr>
                <w:sz w:val="20"/>
                <w:szCs w:val="20"/>
              </w:rPr>
              <w:t>Decade</w:t>
            </w:r>
            <w:proofErr w:type="spellEnd"/>
            <w:r w:rsidRPr="003B06D5">
              <w:rPr>
                <w:spacing w:val="-1"/>
                <w:sz w:val="20"/>
                <w:szCs w:val="20"/>
              </w:rPr>
              <w:t xml:space="preserve"> </w:t>
            </w:r>
            <w:r w:rsidRPr="003B06D5">
              <w:rPr>
                <w:sz w:val="20"/>
                <w:szCs w:val="20"/>
              </w:rPr>
              <w:t>Advisory</w:t>
            </w:r>
            <w:r w:rsidRPr="003B06D5">
              <w:rPr>
                <w:spacing w:val="-2"/>
                <w:sz w:val="20"/>
                <w:szCs w:val="20"/>
              </w:rPr>
              <w:t xml:space="preserve"> </w:t>
            </w:r>
            <w:proofErr w:type="spellStart"/>
            <w:r w:rsidRPr="003B06D5">
              <w:rPr>
                <w:sz w:val="20"/>
                <w:szCs w:val="20"/>
              </w:rPr>
              <w:t>Board</w:t>
            </w:r>
            <w:proofErr w:type="spellEnd"/>
          </w:p>
        </w:tc>
        <w:tc>
          <w:tcPr>
            <w:tcW w:w="6661" w:type="dxa"/>
          </w:tcPr>
          <w:p w14:paraId="5D7D41BE" w14:textId="77777777" w:rsidR="00974CCA" w:rsidRPr="003B06D5" w:rsidRDefault="00974CCA" w:rsidP="00974CCA">
            <w:pPr>
              <w:pStyle w:val="TableParagraph"/>
              <w:numPr>
                <w:ilvl w:val="0"/>
                <w:numId w:val="17"/>
              </w:numPr>
              <w:tabs>
                <w:tab w:val="left" w:pos="446"/>
              </w:tabs>
              <w:spacing w:before="14"/>
              <w:ind w:left="455"/>
              <w:rPr>
                <w:sz w:val="20"/>
                <w:szCs w:val="20"/>
                <w:lang w:val="en-US"/>
              </w:rPr>
            </w:pPr>
            <w:r w:rsidRPr="003B06D5">
              <w:rPr>
                <w:sz w:val="20"/>
                <w:szCs w:val="20"/>
                <w:lang w:val="en-US"/>
              </w:rPr>
              <w:t>Define</w:t>
            </w:r>
            <w:r w:rsidRPr="003B06D5">
              <w:rPr>
                <w:spacing w:val="-3"/>
                <w:sz w:val="20"/>
                <w:szCs w:val="20"/>
                <w:lang w:val="en-US"/>
              </w:rPr>
              <w:t xml:space="preserve"> </w:t>
            </w:r>
            <w:r w:rsidRPr="003B06D5">
              <w:rPr>
                <w:sz w:val="20"/>
                <w:szCs w:val="20"/>
                <w:lang w:val="en-US"/>
              </w:rPr>
              <w:t>and</w:t>
            </w:r>
            <w:r w:rsidRPr="003B06D5">
              <w:rPr>
                <w:spacing w:val="-3"/>
                <w:sz w:val="20"/>
                <w:szCs w:val="20"/>
                <w:lang w:val="en-US"/>
              </w:rPr>
              <w:t xml:space="preserve"> </w:t>
            </w:r>
            <w:r w:rsidRPr="003B06D5">
              <w:rPr>
                <w:sz w:val="20"/>
                <w:szCs w:val="20"/>
                <w:lang w:val="en-US"/>
              </w:rPr>
              <w:t>recommend</w:t>
            </w:r>
            <w:r w:rsidRPr="003B06D5">
              <w:rPr>
                <w:spacing w:val="-4"/>
                <w:sz w:val="20"/>
                <w:szCs w:val="20"/>
                <w:lang w:val="en-US"/>
              </w:rPr>
              <w:t xml:space="preserve"> </w:t>
            </w:r>
            <w:r w:rsidRPr="003B06D5">
              <w:rPr>
                <w:sz w:val="20"/>
                <w:szCs w:val="20"/>
                <w:lang w:val="en-US"/>
              </w:rPr>
              <w:t>strategies</w:t>
            </w:r>
            <w:r w:rsidRPr="003B06D5">
              <w:rPr>
                <w:spacing w:val="-3"/>
                <w:sz w:val="20"/>
                <w:szCs w:val="20"/>
                <w:lang w:val="en-US"/>
              </w:rPr>
              <w:t xml:space="preserve"> </w:t>
            </w:r>
            <w:r w:rsidRPr="003B06D5">
              <w:rPr>
                <w:sz w:val="20"/>
                <w:szCs w:val="20"/>
                <w:lang w:val="en-US"/>
              </w:rPr>
              <w:t>for</w:t>
            </w:r>
            <w:r w:rsidRPr="003B06D5">
              <w:rPr>
                <w:spacing w:val="-1"/>
                <w:sz w:val="20"/>
                <w:szCs w:val="20"/>
                <w:lang w:val="en-US"/>
              </w:rPr>
              <w:t xml:space="preserve"> </w:t>
            </w:r>
            <w:r w:rsidRPr="003B06D5">
              <w:rPr>
                <w:sz w:val="20"/>
                <w:szCs w:val="20"/>
                <w:lang w:val="en-US"/>
              </w:rPr>
              <w:t>resource</w:t>
            </w:r>
            <w:r w:rsidRPr="003B06D5">
              <w:rPr>
                <w:spacing w:val="-3"/>
                <w:sz w:val="20"/>
                <w:szCs w:val="20"/>
                <w:lang w:val="en-US"/>
              </w:rPr>
              <w:t xml:space="preserve"> </w:t>
            </w:r>
            <w:proofErr w:type="spellStart"/>
            <w:r w:rsidRPr="003B06D5">
              <w:rPr>
                <w:sz w:val="20"/>
                <w:szCs w:val="20"/>
                <w:lang w:val="en-US"/>
              </w:rPr>
              <w:t>mobilisation</w:t>
            </w:r>
            <w:proofErr w:type="spellEnd"/>
            <w:r w:rsidRPr="003B06D5">
              <w:rPr>
                <w:sz w:val="20"/>
                <w:szCs w:val="20"/>
                <w:lang w:val="en-US"/>
              </w:rPr>
              <w:t>.</w:t>
            </w:r>
          </w:p>
          <w:p w14:paraId="294FEF7D" w14:textId="77777777" w:rsidR="00974CCA" w:rsidRPr="003B06D5" w:rsidRDefault="00974CCA" w:rsidP="00974CCA">
            <w:pPr>
              <w:pStyle w:val="TableParagraph"/>
              <w:numPr>
                <w:ilvl w:val="0"/>
                <w:numId w:val="17"/>
              </w:numPr>
              <w:tabs>
                <w:tab w:val="left" w:pos="446"/>
              </w:tabs>
              <w:spacing w:before="14"/>
              <w:ind w:left="455"/>
              <w:rPr>
                <w:sz w:val="20"/>
                <w:szCs w:val="20"/>
                <w:lang w:val="en-US"/>
              </w:rPr>
            </w:pPr>
            <w:r w:rsidRPr="003B06D5">
              <w:rPr>
                <w:sz w:val="20"/>
                <w:szCs w:val="20"/>
                <w:lang w:val="en-US"/>
              </w:rPr>
              <w:t>Raise</w:t>
            </w:r>
            <w:r w:rsidRPr="003B06D5">
              <w:rPr>
                <w:spacing w:val="24"/>
                <w:sz w:val="20"/>
                <w:szCs w:val="20"/>
                <w:lang w:val="en-US"/>
              </w:rPr>
              <w:t xml:space="preserve"> </w:t>
            </w:r>
            <w:r w:rsidRPr="003B06D5">
              <w:rPr>
                <w:sz w:val="20"/>
                <w:szCs w:val="20"/>
                <w:lang w:val="en-US"/>
              </w:rPr>
              <w:t>high-level</w:t>
            </w:r>
            <w:r w:rsidRPr="003B06D5">
              <w:rPr>
                <w:spacing w:val="23"/>
                <w:sz w:val="20"/>
                <w:szCs w:val="20"/>
                <w:lang w:val="en-US"/>
              </w:rPr>
              <w:t xml:space="preserve"> </w:t>
            </w:r>
            <w:r w:rsidRPr="003B06D5">
              <w:rPr>
                <w:sz w:val="20"/>
                <w:szCs w:val="20"/>
                <w:lang w:val="en-US"/>
              </w:rPr>
              <w:t>awareness</w:t>
            </w:r>
            <w:r w:rsidRPr="003B06D5">
              <w:rPr>
                <w:spacing w:val="23"/>
                <w:sz w:val="20"/>
                <w:szCs w:val="20"/>
                <w:lang w:val="en-US"/>
              </w:rPr>
              <w:t xml:space="preserve"> </w:t>
            </w:r>
            <w:r w:rsidRPr="003B06D5">
              <w:rPr>
                <w:sz w:val="20"/>
                <w:szCs w:val="20"/>
                <w:lang w:val="en-US"/>
              </w:rPr>
              <w:t>of</w:t>
            </w:r>
            <w:r w:rsidRPr="003B06D5">
              <w:rPr>
                <w:spacing w:val="22"/>
                <w:sz w:val="20"/>
                <w:szCs w:val="20"/>
                <w:lang w:val="en-US"/>
              </w:rPr>
              <w:t xml:space="preserve"> </w:t>
            </w:r>
            <w:r w:rsidRPr="003B06D5">
              <w:rPr>
                <w:sz w:val="20"/>
                <w:szCs w:val="20"/>
                <w:lang w:val="en-US"/>
              </w:rPr>
              <w:t>the Ocean</w:t>
            </w:r>
            <w:r w:rsidRPr="003B06D5">
              <w:rPr>
                <w:spacing w:val="21"/>
                <w:sz w:val="20"/>
                <w:szCs w:val="20"/>
                <w:lang w:val="en-US"/>
              </w:rPr>
              <w:t xml:space="preserve"> </w:t>
            </w:r>
            <w:r w:rsidRPr="003B06D5">
              <w:rPr>
                <w:sz w:val="20"/>
                <w:szCs w:val="20"/>
                <w:lang w:val="en-US"/>
              </w:rPr>
              <w:t>Decade</w:t>
            </w:r>
            <w:r w:rsidRPr="003B06D5">
              <w:rPr>
                <w:spacing w:val="23"/>
                <w:sz w:val="20"/>
                <w:szCs w:val="20"/>
                <w:lang w:val="en-US"/>
              </w:rPr>
              <w:t xml:space="preserve"> </w:t>
            </w:r>
            <w:r w:rsidRPr="003B06D5">
              <w:rPr>
                <w:sz w:val="20"/>
                <w:szCs w:val="20"/>
                <w:lang w:val="en-US"/>
              </w:rPr>
              <w:t>including</w:t>
            </w:r>
            <w:r w:rsidRPr="003B06D5">
              <w:rPr>
                <w:spacing w:val="25"/>
                <w:sz w:val="20"/>
                <w:szCs w:val="20"/>
                <w:lang w:val="en-US"/>
              </w:rPr>
              <w:t xml:space="preserve"> </w:t>
            </w:r>
            <w:r w:rsidRPr="003B06D5">
              <w:rPr>
                <w:sz w:val="20"/>
                <w:szCs w:val="20"/>
                <w:lang w:val="en-US"/>
              </w:rPr>
              <w:t>with</w:t>
            </w:r>
            <w:r w:rsidRPr="003B06D5">
              <w:rPr>
                <w:spacing w:val="-59"/>
                <w:sz w:val="20"/>
                <w:szCs w:val="20"/>
                <w:lang w:val="en-US"/>
              </w:rPr>
              <w:t xml:space="preserve"> </w:t>
            </w:r>
            <w:r w:rsidRPr="003B06D5">
              <w:rPr>
                <w:sz w:val="20"/>
                <w:szCs w:val="20"/>
                <w:lang w:val="en-US"/>
              </w:rPr>
              <w:t>funding</w:t>
            </w:r>
            <w:r w:rsidRPr="003B06D5">
              <w:rPr>
                <w:spacing w:val="-1"/>
                <w:sz w:val="20"/>
                <w:szCs w:val="20"/>
                <w:lang w:val="en-US"/>
              </w:rPr>
              <w:t xml:space="preserve"> </w:t>
            </w:r>
            <w:r w:rsidRPr="003B06D5">
              <w:rPr>
                <w:sz w:val="20"/>
                <w:szCs w:val="20"/>
                <w:lang w:val="en-US"/>
              </w:rPr>
              <w:t>partners</w:t>
            </w:r>
            <w:r w:rsidRPr="003B06D5">
              <w:rPr>
                <w:spacing w:val="-2"/>
                <w:sz w:val="20"/>
                <w:szCs w:val="20"/>
                <w:lang w:val="en-US"/>
              </w:rPr>
              <w:t xml:space="preserve"> </w:t>
            </w:r>
            <w:r w:rsidRPr="003B06D5">
              <w:rPr>
                <w:sz w:val="20"/>
                <w:szCs w:val="20"/>
                <w:lang w:val="en-US"/>
              </w:rPr>
              <w:t>and</w:t>
            </w:r>
            <w:r w:rsidRPr="003B06D5">
              <w:rPr>
                <w:spacing w:val="-2"/>
                <w:sz w:val="20"/>
                <w:szCs w:val="20"/>
                <w:lang w:val="en-US"/>
              </w:rPr>
              <w:t xml:space="preserve"> </w:t>
            </w:r>
            <w:r w:rsidRPr="003B06D5">
              <w:rPr>
                <w:sz w:val="20"/>
                <w:szCs w:val="20"/>
                <w:lang w:val="en-US"/>
              </w:rPr>
              <w:t>resource providers.</w:t>
            </w:r>
          </w:p>
        </w:tc>
      </w:tr>
      <w:tr w:rsidR="00974CCA" w:rsidRPr="003B06D5" w14:paraId="79EE440D" w14:textId="77777777" w:rsidTr="000A62A9">
        <w:trPr>
          <w:trHeight w:val="2428"/>
        </w:trPr>
        <w:tc>
          <w:tcPr>
            <w:tcW w:w="2691" w:type="dxa"/>
          </w:tcPr>
          <w:p w14:paraId="6930F8F0" w14:textId="77777777" w:rsidR="00974CCA" w:rsidRPr="003B06D5" w:rsidRDefault="00974CCA" w:rsidP="007B6A40">
            <w:pPr>
              <w:pStyle w:val="TableParagraph"/>
              <w:spacing w:line="242" w:lineRule="auto"/>
              <w:ind w:right="487"/>
              <w:rPr>
                <w:sz w:val="20"/>
                <w:szCs w:val="20"/>
              </w:rPr>
            </w:pPr>
            <w:proofErr w:type="spellStart"/>
            <w:r w:rsidRPr="003B06D5">
              <w:rPr>
                <w:sz w:val="20"/>
                <w:szCs w:val="20"/>
              </w:rPr>
              <w:t>Decade</w:t>
            </w:r>
            <w:proofErr w:type="spellEnd"/>
            <w:r w:rsidRPr="003B06D5">
              <w:rPr>
                <w:sz w:val="20"/>
                <w:szCs w:val="20"/>
              </w:rPr>
              <w:t xml:space="preserve"> Coordination</w:t>
            </w:r>
            <w:r w:rsidRPr="003B06D5">
              <w:rPr>
                <w:spacing w:val="-59"/>
                <w:sz w:val="20"/>
                <w:szCs w:val="20"/>
              </w:rPr>
              <w:t xml:space="preserve"> </w:t>
            </w:r>
            <w:r w:rsidRPr="003B06D5">
              <w:rPr>
                <w:sz w:val="20"/>
                <w:szCs w:val="20"/>
              </w:rPr>
              <w:t>Unit</w:t>
            </w:r>
          </w:p>
        </w:tc>
        <w:tc>
          <w:tcPr>
            <w:tcW w:w="6661" w:type="dxa"/>
          </w:tcPr>
          <w:p w14:paraId="16CB01E8" w14:textId="77777777" w:rsidR="00974CCA" w:rsidRPr="003B06D5" w:rsidRDefault="00974CCA" w:rsidP="00974CCA">
            <w:pPr>
              <w:pStyle w:val="TableParagraph"/>
              <w:numPr>
                <w:ilvl w:val="0"/>
                <w:numId w:val="17"/>
              </w:numPr>
              <w:tabs>
                <w:tab w:val="left" w:pos="446"/>
              </w:tabs>
              <w:spacing w:before="14"/>
              <w:ind w:left="455"/>
              <w:rPr>
                <w:sz w:val="20"/>
                <w:szCs w:val="20"/>
                <w:lang w:val="en-US"/>
              </w:rPr>
            </w:pPr>
            <w:r w:rsidRPr="003B06D5">
              <w:rPr>
                <w:sz w:val="20"/>
                <w:szCs w:val="20"/>
                <w:lang w:val="en-US"/>
              </w:rPr>
              <w:t xml:space="preserve">Continue to build structured and targeted engagement with </w:t>
            </w:r>
            <w:r w:rsidR="00E25C64" w:rsidRPr="003B06D5">
              <w:rPr>
                <w:sz w:val="20"/>
                <w:szCs w:val="20"/>
                <w:lang w:val="en-US"/>
              </w:rPr>
              <w:t>Member States, climate financing mechanisms, multilateral development banks, ocean-related funds, sovereign wealth funds, philanthropic foundations, and the private sector</w:t>
            </w:r>
            <w:r w:rsidRPr="003B06D5">
              <w:rPr>
                <w:sz w:val="20"/>
                <w:szCs w:val="20"/>
                <w:lang w:val="en-US"/>
              </w:rPr>
              <w:t>.</w:t>
            </w:r>
          </w:p>
          <w:p w14:paraId="0514D848" w14:textId="77777777" w:rsidR="00974CCA" w:rsidRPr="003B06D5" w:rsidRDefault="00974CCA" w:rsidP="00974CCA">
            <w:pPr>
              <w:pStyle w:val="TableParagraph"/>
              <w:numPr>
                <w:ilvl w:val="0"/>
                <w:numId w:val="17"/>
              </w:numPr>
              <w:tabs>
                <w:tab w:val="left" w:pos="446"/>
              </w:tabs>
              <w:spacing w:before="14"/>
              <w:ind w:left="455"/>
              <w:rPr>
                <w:sz w:val="20"/>
                <w:szCs w:val="20"/>
                <w:lang w:val="en-US"/>
              </w:rPr>
            </w:pPr>
            <w:r w:rsidRPr="003B06D5">
              <w:rPr>
                <w:sz w:val="20"/>
                <w:szCs w:val="20"/>
                <w:lang w:val="en-US"/>
              </w:rPr>
              <w:t xml:space="preserve">Develop </w:t>
            </w:r>
            <w:r w:rsidR="009A6451">
              <w:rPr>
                <w:sz w:val="20"/>
                <w:szCs w:val="20"/>
                <w:lang w:val="en-US"/>
              </w:rPr>
              <w:t xml:space="preserve">regular </w:t>
            </w:r>
            <w:r w:rsidRPr="003B06D5">
              <w:rPr>
                <w:sz w:val="20"/>
                <w:szCs w:val="20"/>
                <w:lang w:val="en-US"/>
              </w:rPr>
              <w:t>Resource Needs Assessment</w:t>
            </w:r>
            <w:r w:rsidR="009A6451">
              <w:rPr>
                <w:sz w:val="20"/>
                <w:szCs w:val="20"/>
                <w:lang w:val="en-US"/>
              </w:rPr>
              <w:t>s</w:t>
            </w:r>
            <w:r w:rsidRPr="003B06D5">
              <w:rPr>
                <w:sz w:val="20"/>
                <w:szCs w:val="20"/>
                <w:lang w:val="en-US"/>
              </w:rPr>
              <w:t xml:space="preserve"> to identify upcoming priorities and funding needs to inform Calls for Action and facilitate connections between funders and resource providers, and proponents of Decade Actions.</w:t>
            </w:r>
          </w:p>
          <w:p w14:paraId="0BBA0213" w14:textId="77777777" w:rsidR="00974CCA" w:rsidRPr="003B06D5" w:rsidRDefault="00974CCA" w:rsidP="00974CCA">
            <w:pPr>
              <w:pStyle w:val="TableParagraph"/>
              <w:numPr>
                <w:ilvl w:val="0"/>
                <w:numId w:val="17"/>
              </w:numPr>
              <w:tabs>
                <w:tab w:val="left" w:pos="446"/>
              </w:tabs>
              <w:spacing w:before="14"/>
              <w:ind w:left="455"/>
              <w:rPr>
                <w:sz w:val="20"/>
                <w:szCs w:val="20"/>
                <w:lang w:val="en-US"/>
              </w:rPr>
            </w:pPr>
            <w:r w:rsidRPr="003B06D5">
              <w:rPr>
                <w:sz w:val="20"/>
                <w:szCs w:val="20"/>
                <w:lang w:val="en-US"/>
              </w:rPr>
              <w:t>Track financial and in-kind support and report on additional investment generated by the Decade</w:t>
            </w:r>
            <w:r w:rsidR="00D70D2E" w:rsidRPr="003B06D5">
              <w:rPr>
                <w:sz w:val="20"/>
                <w:szCs w:val="20"/>
                <w:lang w:val="en-US"/>
              </w:rPr>
              <w:t>.</w:t>
            </w:r>
          </w:p>
        </w:tc>
      </w:tr>
      <w:tr w:rsidR="00F95F00" w:rsidRPr="003B06D5" w14:paraId="3F992057" w14:textId="77777777" w:rsidTr="000A62A9">
        <w:trPr>
          <w:trHeight w:val="1741"/>
        </w:trPr>
        <w:tc>
          <w:tcPr>
            <w:tcW w:w="2691" w:type="dxa"/>
          </w:tcPr>
          <w:p w14:paraId="44B5ACEB" w14:textId="77777777" w:rsidR="00F95F00" w:rsidRPr="003B06D5" w:rsidRDefault="00F95F00" w:rsidP="007B6A40">
            <w:pPr>
              <w:pStyle w:val="TableParagraph"/>
              <w:spacing w:line="242" w:lineRule="auto"/>
              <w:ind w:right="487"/>
              <w:rPr>
                <w:sz w:val="20"/>
                <w:szCs w:val="20"/>
              </w:rPr>
            </w:pPr>
            <w:r>
              <w:rPr>
                <w:sz w:val="20"/>
                <w:szCs w:val="20"/>
              </w:rPr>
              <w:t>IOC</w:t>
            </w:r>
            <w:r w:rsidR="006C58D8">
              <w:rPr>
                <w:sz w:val="20"/>
                <w:szCs w:val="20"/>
              </w:rPr>
              <w:t xml:space="preserve"> &amp; </w:t>
            </w:r>
            <w:r>
              <w:rPr>
                <w:sz w:val="20"/>
                <w:szCs w:val="20"/>
              </w:rPr>
              <w:t>UNESCO</w:t>
            </w:r>
            <w:r w:rsidR="006C58D8">
              <w:rPr>
                <w:sz w:val="20"/>
                <w:szCs w:val="20"/>
              </w:rPr>
              <w:t xml:space="preserve"> </w:t>
            </w:r>
            <w:proofErr w:type="spellStart"/>
            <w:r w:rsidR="006C58D8">
              <w:rPr>
                <w:sz w:val="20"/>
                <w:szCs w:val="20"/>
              </w:rPr>
              <w:t>Secretariats</w:t>
            </w:r>
            <w:proofErr w:type="spellEnd"/>
          </w:p>
        </w:tc>
        <w:tc>
          <w:tcPr>
            <w:tcW w:w="6661" w:type="dxa"/>
          </w:tcPr>
          <w:p w14:paraId="08B79981" w14:textId="77777777" w:rsidR="00F95F00" w:rsidRDefault="00F95F00" w:rsidP="00974CCA">
            <w:pPr>
              <w:pStyle w:val="TableParagraph"/>
              <w:numPr>
                <w:ilvl w:val="0"/>
                <w:numId w:val="17"/>
              </w:numPr>
              <w:tabs>
                <w:tab w:val="left" w:pos="446"/>
              </w:tabs>
              <w:spacing w:before="14"/>
              <w:ind w:left="455"/>
              <w:rPr>
                <w:sz w:val="20"/>
                <w:szCs w:val="20"/>
                <w:lang w:val="en-US"/>
              </w:rPr>
            </w:pPr>
            <w:r>
              <w:rPr>
                <w:sz w:val="20"/>
                <w:szCs w:val="20"/>
                <w:lang w:val="en-US"/>
              </w:rPr>
              <w:t>Identify resource needs to support IOC programmatic contribution to the Decade through the development of Decade Actions (</w:t>
            </w:r>
            <w:proofErr w:type="spellStart"/>
            <w:r>
              <w:rPr>
                <w:sz w:val="20"/>
                <w:szCs w:val="20"/>
                <w:lang w:val="en-US"/>
              </w:rPr>
              <w:t>Programmes</w:t>
            </w:r>
            <w:proofErr w:type="spellEnd"/>
            <w:r>
              <w:rPr>
                <w:sz w:val="20"/>
                <w:szCs w:val="20"/>
                <w:lang w:val="en-US"/>
              </w:rPr>
              <w:t xml:space="preserve"> and Projects)</w:t>
            </w:r>
          </w:p>
          <w:p w14:paraId="06888D15" w14:textId="77777777" w:rsidR="00F95F00" w:rsidRPr="003B06D5" w:rsidRDefault="00F95F00" w:rsidP="00974CCA">
            <w:pPr>
              <w:pStyle w:val="TableParagraph"/>
              <w:numPr>
                <w:ilvl w:val="0"/>
                <w:numId w:val="17"/>
              </w:numPr>
              <w:tabs>
                <w:tab w:val="left" w:pos="446"/>
              </w:tabs>
              <w:spacing w:before="14"/>
              <w:ind w:left="455"/>
              <w:rPr>
                <w:sz w:val="20"/>
                <w:szCs w:val="20"/>
                <w:lang w:val="en-US"/>
              </w:rPr>
            </w:pPr>
            <w:r>
              <w:rPr>
                <w:sz w:val="20"/>
                <w:szCs w:val="20"/>
                <w:lang w:val="en-US"/>
              </w:rPr>
              <w:t>Support fund-raising strategy through cooperate partnership activities building on UNESCO global resource mobilization strategy and mechanisms</w:t>
            </w:r>
          </w:p>
        </w:tc>
      </w:tr>
      <w:tr w:rsidR="00974CCA" w:rsidRPr="003B06D5" w14:paraId="4D3434BA" w14:textId="77777777" w:rsidTr="000A62A9">
        <w:trPr>
          <w:trHeight w:val="1132"/>
        </w:trPr>
        <w:tc>
          <w:tcPr>
            <w:tcW w:w="2691" w:type="dxa"/>
          </w:tcPr>
          <w:p w14:paraId="707A8EE8" w14:textId="77777777" w:rsidR="00974CCA" w:rsidRPr="003B06D5" w:rsidRDefault="00974CCA" w:rsidP="007B6A40">
            <w:pPr>
              <w:pStyle w:val="TableParagraph"/>
              <w:ind w:right="242"/>
              <w:rPr>
                <w:sz w:val="20"/>
                <w:szCs w:val="20"/>
                <w:lang w:val="en-US"/>
              </w:rPr>
            </w:pPr>
            <w:proofErr w:type="spellStart"/>
            <w:r w:rsidRPr="003B06D5">
              <w:rPr>
                <w:sz w:val="20"/>
                <w:szCs w:val="20"/>
                <w:lang w:val="en-US"/>
              </w:rPr>
              <w:t>Decentralised</w:t>
            </w:r>
            <w:proofErr w:type="spellEnd"/>
            <w:r w:rsidRPr="003B06D5">
              <w:rPr>
                <w:spacing w:val="1"/>
                <w:sz w:val="20"/>
                <w:szCs w:val="20"/>
                <w:lang w:val="en-US"/>
              </w:rPr>
              <w:t xml:space="preserve"> </w:t>
            </w:r>
            <w:r w:rsidRPr="003B06D5">
              <w:rPr>
                <w:sz w:val="20"/>
                <w:szCs w:val="20"/>
                <w:lang w:val="en-US"/>
              </w:rPr>
              <w:t>Coordination Structures</w:t>
            </w:r>
            <w:r w:rsidRPr="003B06D5">
              <w:rPr>
                <w:spacing w:val="-59"/>
                <w:sz w:val="20"/>
                <w:szCs w:val="20"/>
                <w:lang w:val="en-US"/>
              </w:rPr>
              <w:t xml:space="preserve"> </w:t>
            </w:r>
            <w:r w:rsidRPr="003B06D5">
              <w:rPr>
                <w:sz w:val="20"/>
                <w:szCs w:val="20"/>
                <w:lang w:val="en-US"/>
              </w:rPr>
              <w:t>and National Decade</w:t>
            </w:r>
            <w:r w:rsidRPr="003B06D5">
              <w:rPr>
                <w:spacing w:val="1"/>
                <w:sz w:val="20"/>
                <w:szCs w:val="20"/>
                <w:lang w:val="en-US"/>
              </w:rPr>
              <w:t xml:space="preserve"> </w:t>
            </w:r>
            <w:r w:rsidRPr="003B06D5">
              <w:rPr>
                <w:sz w:val="20"/>
                <w:szCs w:val="20"/>
                <w:lang w:val="en-US"/>
              </w:rPr>
              <w:t>Committees</w:t>
            </w:r>
          </w:p>
        </w:tc>
        <w:tc>
          <w:tcPr>
            <w:tcW w:w="6661" w:type="dxa"/>
          </w:tcPr>
          <w:p w14:paraId="28C94A4D" w14:textId="77777777" w:rsidR="00974CCA" w:rsidRPr="003B06D5" w:rsidRDefault="00974CCA" w:rsidP="00974CCA">
            <w:pPr>
              <w:pStyle w:val="TableParagraph"/>
              <w:numPr>
                <w:ilvl w:val="0"/>
                <w:numId w:val="17"/>
              </w:numPr>
              <w:tabs>
                <w:tab w:val="left" w:pos="446"/>
              </w:tabs>
              <w:spacing w:before="14"/>
              <w:ind w:left="455"/>
              <w:rPr>
                <w:sz w:val="20"/>
                <w:szCs w:val="20"/>
                <w:lang w:val="en-US"/>
              </w:rPr>
            </w:pPr>
            <w:r w:rsidRPr="003B06D5">
              <w:rPr>
                <w:sz w:val="20"/>
                <w:szCs w:val="20"/>
                <w:lang w:val="en-US"/>
              </w:rPr>
              <w:t xml:space="preserve">Facilitate and coordinate national, </w:t>
            </w:r>
            <w:proofErr w:type="gramStart"/>
            <w:r w:rsidRPr="003B06D5">
              <w:rPr>
                <w:sz w:val="20"/>
                <w:szCs w:val="20"/>
                <w:lang w:val="en-US"/>
              </w:rPr>
              <w:t>regional</w:t>
            </w:r>
            <w:proofErr w:type="gramEnd"/>
            <w:r w:rsidRPr="003B06D5">
              <w:rPr>
                <w:sz w:val="20"/>
                <w:szCs w:val="20"/>
                <w:lang w:val="en-US"/>
              </w:rPr>
              <w:t xml:space="preserve"> and programmatic contributions to Decade Actions and coordination costs</w:t>
            </w:r>
            <w:r w:rsidR="00D70D2E" w:rsidRPr="003B06D5">
              <w:rPr>
                <w:sz w:val="20"/>
                <w:szCs w:val="20"/>
                <w:lang w:val="en-US"/>
              </w:rPr>
              <w:t>.</w:t>
            </w:r>
          </w:p>
        </w:tc>
      </w:tr>
    </w:tbl>
    <w:p w14:paraId="66D7ABB8" w14:textId="77777777" w:rsidR="009A6451" w:rsidRPr="009A6451" w:rsidRDefault="009A6451" w:rsidP="009A6451">
      <w:pPr>
        <w:spacing w:before="93"/>
        <w:ind w:left="1310" w:right="1526"/>
        <w:jc w:val="center"/>
        <w:rPr>
          <w:rFonts w:ascii="Arial" w:hAnsi="Arial" w:cs="Arial"/>
          <w:sz w:val="20"/>
          <w:szCs w:val="20"/>
          <w:u w:val="single"/>
        </w:rPr>
      </w:pPr>
      <w:r w:rsidRPr="009A6451">
        <w:rPr>
          <w:rFonts w:ascii="Arial" w:hAnsi="Arial" w:cs="Arial"/>
          <w:sz w:val="20"/>
          <w:szCs w:val="20"/>
          <w:u w:val="single"/>
        </w:rPr>
        <w:t>Table 3.</w:t>
      </w:r>
      <w:r w:rsidRPr="009A6451">
        <w:rPr>
          <w:rFonts w:ascii="Arial" w:hAnsi="Arial" w:cs="Arial"/>
          <w:spacing w:val="-3"/>
          <w:sz w:val="20"/>
          <w:szCs w:val="20"/>
          <w:u w:val="single"/>
        </w:rPr>
        <w:t xml:space="preserve"> </w:t>
      </w:r>
      <w:r w:rsidRPr="009A6451">
        <w:rPr>
          <w:rFonts w:ascii="Arial" w:hAnsi="Arial" w:cs="Arial"/>
          <w:sz w:val="20"/>
          <w:szCs w:val="20"/>
          <w:u w:val="single"/>
        </w:rPr>
        <w:t>Roles in</w:t>
      </w:r>
      <w:r w:rsidRPr="009A6451">
        <w:rPr>
          <w:rFonts w:ascii="Arial" w:hAnsi="Arial" w:cs="Arial"/>
          <w:spacing w:val="-3"/>
          <w:sz w:val="20"/>
          <w:szCs w:val="20"/>
          <w:u w:val="single"/>
        </w:rPr>
        <w:t xml:space="preserve"> </w:t>
      </w:r>
      <w:r w:rsidRPr="009A6451">
        <w:rPr>
          <w:rFonts w:ascii="Arial" w:hAnsi="Arial" w:cs="Arial"/>
          <w:sz w:val="20"/>
          <w:szCs w:val="20"/>
          <w:u w:val="single"/>
        </w:rPr>
        <w:t>resource</w:t>
      </w:r>
      <w:r w:rsidRPr="009A6451">
        <w:rPr>
          <w:rFonts w:ascii="Arial" w:hAnsi="Arial" w:cs="Arial"/>
          <w:spacing w:val="-3"/>
          <w:sz w:val="20"/>
          <w:szCs w:val="20"/>
          <w:u w:val="single"/>
        </w:rPr>
        <w:t xml:space="preserve"> </w:t>
      </w:r>
      <w:proofErr w:type="spellStart"/>
      <w:r w:rsidRPr="009A6451">
        <w:rPr>
          <w:rFonts w:ascii="Arial" w:hAnsi="Arial" w:cs="Arial"/>
          <w:sz w:val="20"/>
          <w:szCs w:val="20"/>
          <w:u w:val="single"/>
        </w:rPr>
        <w:t>mobilisation</w:t>
      </w:r>
      <w:proofErr w:type="spellEnd"/>
      <w:r w:rsidRPr="009A6451">
        <w:rPr>
          <w:rFonts w:ascii="Arial" w:hAnsi="Arial" w:cs="Arial"/>
          <w:spacing w:val="-3"/>
          <w:sz w:val="20"/>
          <w:szCs w:val="20"/>
          <w:u w:val="single"/>
        </w:rPr>
        <w:t xml:space="preserve"> </w:t>
      </w:r>
      <w:r w:rsidRPr="009A6451">
        <w:rPr>
          <w:rFonts w:ascii="Arial" w:hAnsi="Arial" w:cs="Arial"/>
          <w:sz w:val="20"/>
          <w:szCs w:val="20"/>
          <w:u w:val="single"/>
        </w:rPr>
        <w:t>throughout</w:t>
      </w:r>
      <w:r w:rsidRPr="009A6451">
        <w:rPr>
          <w:rFonts w:ascii="Arial" w:hAnsi="Arial" w:cs="Arial"/>
          <w:spacing w:val="-1"/>
          <w:sz w:val="20"/>
          <w:szCs w:val="20"/>
          <w:u w:val="single"/>
        </w:rPr>
        <w:t xml:space="preserve"> </w:t>
      </w:r>
      <w:r w:rsidRPr="009A6451">
        <w:rPr>
          <w:rFonts w:ascii="Arial" w:hAnsi="Arial" w:cs="Arial"/>
          <w:sz w:val="20"/>
          <w:szCs w:val="20"/>
          <w:u w:val="single"/>
        </w:rPr>
        <w:t>the</w:t>
      </w:r>
      <w:r w:rsidRPr="009A6451">
        <w:rPr>
          <w:rFonts w:ascii="Arial" w:hAnsi="Arial" w:cs="Arial"/>
          <w:spacing w:val="-2"/>
          <w:sz w:val="20"/>
          <w:szCs w:val="20"/>
          <w:u w:val="single"/>
        </w:rPr>
        <w:t xml:space="preserve"> </w:t>
      </w:r>
      <w:r w:rsidRPr="009A6451">
        <w:rPr>
          <w:rFonts w:ascii="Arial" w:hAnsi="Arial" w:cs="Arial"/>
          <w:sz w:val="20"/>
          <w:szCs w:val="20"/>
          <w:u w:val="single"/>
        </w:rPr>
        <w:t>Decade</w:t>
      </w:r>
    </w:p>
    <w:p w14:paraId="7AE39E1D" w14:textId="77777777" w:rsidR="009A6451" w:rsidRPr="009A6451" w:rsidRDefault="009A6451" w:rsidP="00044398">
      <w:pPr>
        <w:pStyle w:val="Marge"/>
        <w:rPr>
          <w:rFonts w:cs="Arial"/>
          <w:color w:val="000000" w:themeColor="text1"/>
          <w:szCs w:val="22"/>
          <w:lang w:val="en-US"/>
        </w:rPr>
      </w:pPr>
    </w:p>
    <w:p w14:paraId="0935AA70" w14:textId="77777777" w:rsidR="00044398" w:rsidRPr="002F2C67" w:rsidRDefault="00044398" w:rsidP="00132F02">
      <w:pPr>
        <w:pStyle w:val="Heading2"/>
        <w:snapToGrid w:val="0"/>
        <w:spacing w:before="0" w:after="240"/>
        <w:rPr>
          <w:rFonts w:asciiTheme="minorBidi" w:hAnsiTheme="minorBidi" w:cstheme="minorBidi"/>
          <w:sz w:val="22"/>
          <w:szCs w:val="22"/>
        </w:rPr>
      </w:pPr>
      <w:bookmarkStart w:id="21" w:name="_Toc73968049"/>
      <w:r w:rsidRPr="002F2C67">
        <w:rPr>
          <w:rFonts w:asciiTheme="minorBidi" w:hAnsiTheme="minorBidi" w:cstheme="minorBidi"/>
          <w:sz w:val="22"/>
          <w:szCs w:val="22"/>
        </w:rPr>
        <w:t xml:space="preserve">Reporting on Resource </w:t>
      </w:r>
      <w:proofErr w:type="spellStart"/>
      <w:r w:rsidRPr="002F2C67">
        <w:rPr>
          <w:rFonts w:asciiTheme="minorBidi" w:hAnsiTheme="minorBidi" w:cstheme="minorBidi"/>
          <w:sz w:val="22"/>
          <w:szCs w:val="22"/>
        </w:rPr>
        <w:t>Mobilisation</w:t>
      </w:r>
      <w:proofErr w:type="spellEnd"/>
      <w:r w:rsidR="00F455B6" w:rsidRPr="002F2C67">
        <w:rPr>
          <w:rFonts w:asciiTheme="minorBidi" w:hAnsiTheme="minorBidi" w:cstheme="minorBidi"/>
          <w:sz w:val="22"/>
          <w:szCs w:val="22"/>
        </w:rPr>
        <w:t xml:space="preserve"> Efforts</w:t>
      </w:r>
      <w:bookmarkEnd w:id="21"/>
    </w:p>
    <w:p w14:paraId="6AD82D61" w14:textId="77777777" w:rsidR="0000065B" w:rsidRPr="003B06D5" w:rsidRDefault="00044398" w:rsidP="0080488A">
      <w:pPr>
        <w:pStyle w:val="Marge"/>
        <w:rPr>
          <w:rFonts w:cs="Arial"/>
          <w:spacing w:val="-4"/>
          <w:szCs w:val="22"/>
        </w:rPr>
      </w:pPr>
      <w:r w:rsidRPr="003B06D5">
        <w:rPr>
          <w:rFonts w:cs="Arial"/>
          <w:szCs w:val="22"/>
        </w:rPr>
        <w:t>To track this effort, all financial or in-kind support will be continuously</w:t>
      </w:r>
      <w:r w:rsidRPr="003B06D5">
        <w:rPr>
          <w:rFonts w:cs="Arial"/>
          <w:spacing w:val="1"/>
          <w:szCs w:val="22"/>
        </w:rPr>
        <w:t xml:space="preserve"> </w:t>
      </w:r>
      <w:r w:rsidRPr="003B06D5">
        <w:rPr>
          <w:rFonts w:cs="Arial"/>
          <w:szCs w:val="22"/>
        </w:rPr>
        <w:t>tracked throughout the Ocean Decade using common metrics regardless of mobilisation mechanisms</w:t>
      </w:r>
      <w:r w:rsidRPr="003B06D5">
        <w:rPr>
          <w:rFonts w:cs="Arial"/>
          <w:spacing w:val="1"/>
          <w:szCs w:val="22"/>
        </w:rPr>
        <w:t xml:space="preserve"> </w:t>
      </w:r>
      <w:r w:rsidRPr="003B06D5">
        <w:rPr>
          <w:rFonts w:cs="Arial"/>
          <w:szCs w:val="22"/>
        </w:rPr>
        <w:t>and</w:t>
      </w:r>
      <w:r w:rsidRPr="003B06D5">
        <w:rPr>
          <w:rFonts w:cs="Arial"/>
          <w:spacing w:val="-2"/>
          <w:szCs w:val="22"/>
        </w:rPr>
        <w:t xml:space="preserve"> </w:t>
      </w:r>
      <w:r w:rsidRPr="003B06D5">
        <w:rPr>
          <w:rFonts w:cs="Arial"/>
          <w:szCs w:val="22"/>
        </w:rPr>
        <w:t>compared</w:t>
      </w:r>
      <w:r w:rsidRPr="003B06D5">
        <w:rPr>
          <w:rFonts w:cs="Arial"/>
          <w:spacing w:val="-7"/>
          <w:szCs w:val="22"/>
        </w:rPr>
        <w:t xml:space="preserve"> </w:t>
      </w:r>
      <w:r w:rsidRPr="003B06D5">
        <w:rPr>
          <w:rFonts w:cs="Arial"/>
          <w:szCs w:val="22"/>
        </w:rPr>
        <w:t>to</w:t>
      </w:r>
      <w:r w:rsidRPr="003B06D5">
        <w:rPr>
          <w:rFonts w:cs="Arial"/>
          <w:spacing w:val="-2"/>
          <w:szCs w:val="22"/>
        </w:rPr>
        <w:t xml:space="preserve"> </w:t>
      </w:r>
      <w:r w:rsidRPr="003B06D5">
        <w:rPr>
          <w:rFonts w:cs="Arial"/>
          <w:szCs w:val="22"/>
        </w:rPr>
        <w:t>baseline</w:t>
      </w:r>
      <w:r w:rsidRPr="003B06D5">
        <w:rPr>
          <w:rFonts w:cs="Arial"/>
          <w:spacing w:val="-2"/>
          <w:szCs w:val="22"/>
        </w:rPr>
        <w:t xml:space="preserve"> </w:t>
      </w:r>
      <w:r w:rsidRPr="003B06D5">
        <w:rPr>
          <w:rFonts w:cs="Arial"/>
          <w:szCs w:val="22"/>
        </w:rPr>
        <w:t>data.</w:t>
      </w:r>
      <w:r w:rsidRPr="003B06D5">
        <w:rPr>
          <w:rFonts w:cs="Arial"/>
          <w:spacing w:val="-4"/>
          <w:szCs w:val="22"/>
        </w:rPr>
        <w:t xml:space="preserve"> </w:t>
      </w:r>
      <w:r w:rsidR="00EB4BFD" w:rsidRPr="003B06D5">
        <w:rPr>
          <w:rFonts w:cs="Arial"/>
          <w:spacing w:val="-4"/>
          <w:szCs w:val="22"/>
        </w:rPr>
        <w:t xml:space="preserve">This </w:t>
      </w:r>
      <w:r w:rsidR="0000065B" w:rsidRPr="003B06D5">
        <w:rPr>
          <w:rFonts w:cs="Arial"/>
          <w:spacing w:val="-4"/>
          <w:szCs w:val="22"/>
        </w:rPr>
        <w:t xml:space="preserve">tracking on key performance measures </w:t>
      </w:r>
      <w:r w:rsidR="006C58D8">
        <w:rPr>
          <w:rFonts w:cs="Arial"/>
          <w:spacing w:val="-4"/>
          <w:szCs w:val="22"/>
        </w:rPr>
        <w:t>may</w:t>
      </w:r>
      <w:r w:rsidR="006C58D8" w:rsidRPr="003B06D5">
        <w:rPr>
          <w:rFonts w:cs="Arial"/>
          <w:spacing w:val="-4"/>
          <w:szCs w:val="22"/>
        </w:rPr>
        <w:t xml:space="preserve"> </w:t>
      </w:r>
      <w:r w:rsidR="0000065B" w:rsidRPr="003B06D5">
        <w:rPr>
          <w:rFonts w:cs="Arial"/>
          <w:spacing w:val="-4"/>
          <w:szCs w:val="22"/>
        </w:rPr>
        <w:t>also include, but not limited to, the following:</w:t>
      </w:r>
    </w:p>
    <w:p w14:paraId="0251BFE7"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spacing w:val="-4"/>
          <w:szCs w:val="22"/>
        </w:rPr>
        <w:t>Annual ocean science spending by Member States</w:t>
      </w:r>
    </w:p>
    <w:p w14:paraId="153BB67F"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spacing w:val="-4"/>
          <w:szCs w:val="22"/>
        </w:rPr>
        <w:t>Annual ocean science spending by philanthropic foundations</w:t>
      </w:r>
    </w:p>
    <w:p w14:paraId="2ED4D4BF"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spacing w:val="-4"/>
          <w:szCs w:val="22"/>
        </w:rPr>
        <w:t>Total number and year-over-year percentage increase Ocean Decade Alliance Members</w:t>
      </w:r>
    </w:p>
    <w:p w14:paraId="35F26D1E"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spacing w:val="-4"/>
          <w:szCs w:val="22"/>
        </w:rPr>
        <w:t>Total number and year-over-year percentage increase Foundations Dialogue Members</w:t>
      </w:r>
    </w:p>
    <w:p w14:paraId="3050E78C"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color w:val="000000" w:themeColor="text1"/>
          <w:szCs w:val="22"/>
        </w:rPr>
        <w:t>Total number and year-over-year percentage increase of new donors</w:t>
      </w:r>
    </w:p>
    <w:p w14:paraId="2ACFC2EC"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color w:val="000000" w:themeColor="text1"/>
          <w:szCs w:val="22"/>
        </w:rPr>
        <w:t>Total number and year-over-year percentage increase of new partnerships</w:t>
      </w:r>
    </w:p>
    <w:p w14:paraId="7F75A222"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color w:val="000000" w:themeColor="text1"/>
          <w:szCs w:val="22"/>
        </w:rPr>
        <w:t>Percentage increase in the diversity of and geographic reach of donors</w:t>
      </w:r>
    </w:p>
    <w:p w14:paraId="5EDA00B7" w14:textId="77777777" w:rsidR="0000065B" w:rsidRPr="003B06D5" w:rsidRDefault="0000065B" w:rsidP="00132F02">
      <w:pPr>
        <w:pStyle w:val="Marge"/>
        <w:numPr>
          <w:ilvl w:val="0"/>
          <w:numId w:val="17"/>
        </w:numPr>
        <w:tabs>
          <w:tab w:val="clear" w:pos="567"/>
          <w:tab w:val="left" w:pos="709"/>
        </w:tabs>
        <w:ind w:hanging="720"/>
        <w:rPr>
          <w:rFonts w:cs="Arial"/>
          <w:spacing w:val="-4"/>
          <w:szCs w:val="22"/>
        </w:rPr>
      </w:pPr>
      <w:r w:rsidRPr="003B06D5">
        <w:rPr>
          <w:rFonts w:cs="Arial"/>
          <w:color w:val="000000" w:themeColor="text1"/>
          <w:szCs w:val="22"/>
        </w:rPr>
        <w:lastRenderedPageBreak/>
        <w:t>Total number and percentage increase in submissions for Decade endorsement</w:t>
      </w:r>
    </w:p>
    <w:p w14:paraId="5EF501B3" w14:textId="43AF5366" w:rsidR="0000065B" w:rsidRPr="0080488A" w:rsidRDefault="0000065B" w:rsidP="0080488A">
      <w:pPr>
        <w:pStyle w:val="Marge"/>
        <w:numPr>
          <w:ilvl w:val="0"/>
          <w:numId w:val="17"/>
        </w:numPr>
        <w:tabs>
          <w:tab w:val="clear" w:pos="567"/>
          <w:tab w:val="left" w:pos="709"/>
        </w:tabs>
        <w:ind w:hanging="720"/>
        <w:rPr>
          <w:rFonts w:cs="Arial"/>
          <w:spacing w:val="-4"/>
          <w:szCs w:val="22"/>
        </w:rPr>
      </w:pPr>
      <w:r w:rsidRPr="003B06D5">
        <w:rPr>
          <w:rFonts w:cs="Arial"/>
          <w:color w:val="000000" w:themeColor="text1"/>
          <w:szCs w:val="22"/>
        </w:rPr>
        <w:t>Percentage increase in the average length of ocean science grants</w:t>
      </w:r>
    </w:p>
    <w:p w14:paraId="784F1ED8" w14:textId="49F6D865" w:rsidR="00044398" w:rsidRDefault="00044398" w:rsidP="0080488A">
      <w:pPr>
        <w:pStyle w:val="Marge"/>
        <w:rPr>
          <w:rFonts w:cs="Arial"/>
        </w:rPr>
      </w:pPr>
      <w:r w:rsidRPr="003B06D5">
        <w:rPr>
          <w:rFonts w:cs="Arial"/>
          <w:szCs w:val="22"/>
        </w:rPr>
        <w:t>This</w:t>
      </w:r>
      <w:r w:rsidRPr="003B06D5">
        <w:rPr>
          <w:rFonts w:cs="Arial"/>
          <w:spacing w:val="-1"/>
          <w:szCs w:val="22"/>
        </w:rPr>
        <w:t xml:space="preserve"> </w:t>
      </w:r>
      <w:r w:rsidRPr="003B06D5">
        <w:rPr>
          <w:rFonts w:cs="Arial"/>
          <w:szCs w:val="22"/>
        </w:rPr>
        <w:t>will</w:t>
      </w:r>
      <w:r w:rsidRPr="003B06D5">
        <w:rPr>
          <w:rFonts w:cs="Arial"/>
          <w:spacing w:val="-2"/>
          <w:szCs w:val="22"/>
        </w:rPr>
        <w:t xml:space="preserve"> </w:t>
      </w:r>
      <w:r w:rsidRPr="003B06D5">
        <w:rPr>
          <w:rFonts w:cs="Arial"/>
          <w:szCs w:val="22"/>
        </w:rPr>
        <w:t>ensure</w:t>
      </w:r>
      <w:r w:rsidRPr="003B06D5">
        <w:rPr>
          <w:rFonts w:cs="Arial"/>
          <w:spacing w:val="-4"/>
          <w:szCs w:val="22"/>
        </w:rPr>
        <w:t xml:space="preserve"> </w:t>
      </w:r>
      <w:r w:rsidRPr="003B06D5">
        <w:rPr>
          <w:rFonts w:cs="Arial"/>
          <w:szCs w:val="22"/>
        </w:rPr>
        <w:t>that</w:t>
      </w:r>
      <w:r w:rsidRPr="003B06D5">
        <w:rPr>
          <w:rFonts w:cs="Arial"/>
          <w:spacing w:val="-3"/>
          <w:szCs w:val="22"/>
        </w:rPr>
        <w:t xml:space="preserve"> </w:t>
      </w:r>
      <w:r w:rsidRPr="003B06D5">
        <w:rPr>
          <w:rFonts w:cs="Arial"/>
          <w:szCs w:val="22"/>
        </w:rPr>
        <w:t>there</w:t>
      </w:r>
      <w:r w:rsidRPr="003B06D5">
        <w:rPr>
          <w:rFonts w:cs="Arial"/>
          <w:spacing w:val="-4"/>
          <w:szCs w:val="22"/>
        </w:rPr>
        <w:t xml:space="preserve"> </w:t>
      </w:r>
      <w:r w:rsidRPr="003B06D5">
        <w:rPr>
          <w:rFonts w:cs="Arial"/>
          <w:szCs w:val="22"/>
        </w:rPr>
        <w:t>is</w:t>
      </w:r>
      <w:r w:rsidRPr="003B06D5">
        <w:rPr>
          <w:rFonts w:cs="Arial"/>
          <w:spacing w:val="-3"/>
          <w:szCs w:val="22"/>
        </w:rPr>
        <w:t xml:space="preserve"> </w:t>
      </w:r>
      <w:r w:rsidRPr="003B06D5">
        <w:rPr>
          <w:rFonts w:cs="Arial"/>
          <w:szCs w:val="22"/>
        </w:rPr>
        <w:t>robust</w:t>
      </w:r>
      <w:r w:rsidRPr="003B06D5">
        <w:rPr>
          <w:rFonts w:cs="Arial"/>
          <w:spacing w:val="-3"/>
          <w:szCs w:val="22"/>
        </w:rPr>
        <w:t xml:space="preserve"> </w:t>
      </w:r>
      <w:r w:rsidRPr="003B06D5">
        <w:rPr>
          <w:rFonts w:cs="Arial"/>
          <w:szCs w:val="22"/>
        </w:rPr>
        <w:t>and</w:t>
      </w:r>
      <w:r w:rsidRPr="003B06D5">
        <w:rPr>
          <w:rFonts w:cs="Arial"/>
          <w:spacing w:val="-4"/>
          <w:szCs w:val="22"/>
        </w:rPr>
        <w:t xml:space="preserve"> </w:t>
      </w:r>
      <w:r w:rsidRPr="003B06D5">
        <w:rPr>
          <w:rFonts w:cs="Arial"/>
          <w:szCs w:val="22"/>
        </w:rPr>
        <w:t>consolidated</w:t>
      </w:r>
      <w:r w:rsidRPr="003B06D5">
        <w:rPr>
          <w:rFonts w:cs="Arial"/>
          <w:spacing w:val="-2"/>
          <w:szCs w:val="22"/>
        </w:rPr>
        <w:t xml:space="preserve"> </w:t>
      </w:r>
      <w:r w:rsidRPr="003B06D5">
        <w:rPr>
          <w:rFonts w:cs="Arial"/>
          <w:szCs w:val="22"/>
        </w:rPr>
        <w:t>informatio</w:t>
      </w:r>
      <w:r w:rsidR="00F455B6" w:rsidRPr="003B06D5">
        <w:rPr>
          <w:rFonts w:cs="Arial"/>
          <w:szCs w:val="22"/>
        </w:rPr>
        <w:t xml:space="preserve">n on </w:t>
      </w:r>
      <w:r w:rsidRPr="003B06D5">
        <w:rPr>
          <w:rFonts w:cs="Arial"/>
          <w:szCs w:val="22"/>
        </w:rPr>
        <w:t>the resources invested in the Ocean Decade and will allow the impact of the Ocean Decade to be analysed</w:t>
      </w:r>
      <w:r w:rsidR="0000065B" w:rsidRPr="003B06D5">
        <w:rPr>
          <w:rFonts w:cs="Arial"/>
          <w:spacing w:val="1"/>
          <w:szCs w:val="22"/>
        </w:rPr>
        <w:t xml:space="preserve">, </w:t>
      </w:r>
      <w:r w:rsidRPr="003B06D5">
        <w:rPr>
          <w:rFonts w:cs="Arial"/>
          <w:szCs w:val="22"/>
        </w:rPr>
        <w:t>communicated</w:t>
      </w:r>
      <w:r w:rsidR="0000065B" w:rsidRPr="003B06D5">
        <w:rPr>
          <w:rFonts w:cs="Arial"/>
          <w:szCs w:val="22"/>
        </w:rPr>
        <w:t xml:space="preserve"> and reported in the </w:t>
      </w:r>
      <w:r w:rsidR="0000065B" w:rsidRPr="003B06D5">
        <w:rPr>
          <w:rFonts w:cs="Arial"/>
          <w:color w:val="000000" w:themeColor="text1"/>
          <w:szCs w:val="22"/>
        </w:rPr>
        <w:t xml:space="preserve">Annual Progress Report, State of the Decade Report, Midterm Review and Final Review of the Ocean Decade. </w:t>
      </w:r>
      <w:r w:rsidR="00EB4BFD" w:rsidRPr="003B06D5">
        <w:rPr>
          <w:rFonts w:cs="Arial"/>
          <w:spacing w:val="-4"/>
          <w:szCs w:val="22"/>
        </w:rPr>
        <w:t xml:space="preserve">The Decade Coordination Unit will also provide the Decade Advisory Board with </w:t>
      </w:r>
      <w:r w:rsidR="009A6451">
        <w:rPr>
          <w:rFonts w:cs="Arial"/>
          <w:spacing w:val="-4"/>
          <w:szCs w:val="22"/>
        </w:rPr>
        <w:t>regular</w:t>
      </w:r>
      <w:r w:rsidR="00EB4BFD" w:rsidRPr="003B06D5">
        <w:rPr>
          <w:rFonts w:cs="Arial"/>
          <w:spacing w:val="-4"/>
          <w:szCs w:val="22"/>
        </w:rPr>
        <w:t xml:space="preserve"> updates that track progress with key stakeholders. As well, </w:t>
      </w:r>
      <w:r w:rsidR="00EB4BFD" w:rsidRPr="003B06D5">
        <w:rPr>
          <w:rFonts w:cs="Arial"/>
          <w:szCs w:val="22"/>
        </w:rPr>
        <w:t>t</w:t>
      </w:r>
      <w:r w:rsidR="0000065B" w:rsidRPr="003B06D5">
        <w:rPr>
          <w:rFonts w:cs="Arial"/>
          <w:szCs w:val="22"/>
        </w:rPr>
        <w:t xml:space="preserve">he Decade Coordination Unit will also prepare </w:t>
      </w:r>
      <w:r w:rsidR="0000065B" w:rsidRPr="003B06D5">
        <w:rPr>
          <w:rFonts w:cs="Arial"/>
        </w:rPr>
        <w:t>b</w:t>
      </w:r>
      <w:r w:rsidRPr="003B06D5">
        <w:rPr>
          <w:rFonts w:cs="Arial"/>
        </w:rPr>
        <w:t xml:space="preserve">iennial resource needs assessments </w:t>
      </w:r>
      <w:r w:rsidR="0000065B" w:rsidRPr="003B06D5">
        <w:rPr>
          <w:rFonts w:cs="Arial"/>
        </w:rPr>
        <w:t>that</w:t>
      </w:r>
      <w:r w:rsidRPr="003B06D5">
        <w:rPr>
          <w:rFonts w:cs="Arial"/>
        </w:rPr>
        <w:t xml:space="preserve"> </w:t>
      </w:r>
      <w:r w:rsidR="00311917" w:rsidRPr="003B06D5">
        <w:rPr>
          <w:rFonts w:cs="Arial"/>
        </w:rPr>
        <w:t>will</w:t>
      </w:r>
      <w:r w:rsidRPr="003B06D5">
        <w:rPr>
          <w:rFonts w:cs="Arial"/>
        </w:rPr>
        <w:t xml:space="preserve"> include information on </w:t>
      </w:r>
      <w:r w:rsidR="002A1E8A" w:rsidRPr="003B06D5">
        <w:rPr>
          <w:rFonts w:cs="Arial"/>
        </w:rPr>
        <w:t>C</w:t>
      </w:r>
      <w:r w:rsidRPr="003B06D5">
        <w:rPr>
          <w:rFonts w:cs="Arial"/>
        </w:rPr>
        <w:t xml:space="preserve">oordination and Action costs. </w:t>
      </w:r>
    </w:p>
    <w:p w14:paraId="1DD8640C" w14:textId="1182F388" w:rsidR="004B74B9" w:rsidRDefault="004B74B9" w:rsidP="0080488A">
      <w:pPr>
        <w:pStyle w:val="Marge"/>
        <w:rPr>
          <w:rFonts w:cs="Arial"/>
        </w:rPr>
      </w:pPr>
    </w:p>
    <w:p w14:paraId="67C573B5" w14:textId="1CF4D5A6" w:rsidR="004B74B9" w:rsidRDefault="004B74B9" w:rsidP="0080488A">
      <w:pPr>
        <w:pStyle w:val="Marge"/>
        <w:rPr>
          <w:rFonts w:cs="Arial"/>
        </w:rPr>
      </w:pPr>
    </w:p>
    <w:p w14:paraId="77B5148C" w14:textId="78E2377E" w:rsidR="004B74B9" w:rsidRDefault="004B74B9" w:rsidP="0080488A">
      <w:pPr>
        <w:pStyle w:val="Marge"/>
        <w:rPr>
          <w:rFonts w:cs="Arial"/>
        </w:rPr>
      </w:pPr>
    </w:p>
    <w:p w14:paraId="1977C7B3" w14:textId="2334D94C" w:rsidR="004B74B9" w:rsidRDefault="004B74B9" w:rsidP="0080488A">
      <w:pPr>
        <w:pStyle w:val="Marge"/>
        <w:rPr>
          <w:rFonts w:cs="Arial"/>
        </w:rPr>
      </w:pPr>
    </w:p>
    <w:p w14:paraId="3D810616" w14:textId="19D34CCA" w:rsidR="004B74B9" w:rsidRDefault="004B74B9" w:rsidP="0080488A">
      <w:pPr>
        <w:pStyle w:val="Marge"/>
        <w:rPr>
          <w:rFonts w:cs="Arial"/>
        </w:rPr>
      </w:pPr>
    </w:p>
    <w:p w14:paraId="5A35B035" w14:textId="58B5BE63" w:rsidR="004B74B9" w:rsidRDefault="004B74B9" w:rsidP="0080488A">
      <w:pPr>
        <w:pStyle w:val="Marge"/>
        <w:rPr>
          <w:rFonts w:cs="Arial"/>
        </w:rPr>
      </w:pPr>
    </w:p>
    <w:p w14:paraId="4F55D3B3" w14:textId="2AA75DE9" w:rsidR="004B74B9" w:rsidRDefault="004B74B9" w:rsidP="0080488A">
      <w:pPr>
        <w:pStyle w:val="Marge"/>
        <w:rPr>
          <w:rFonts w:cs="Arial"/>
        </w:rPr>
      </w:pPr>
    </w:p>
    <w:p w14:paraId="71CA6BFD" w14:textId="7D9DB986" w:rsidR="004B74B9" w:rsidRDefault="004B74B9" w:rsidP="0080488A">
      <w:pPr>
        <w:pStyle w:val="Marge"/>
        <w:rPr>
          <w:rFonts w:cs="Arial"/>
        </w:rPr>
      </w:pPr>
    </w:p>
    <w:p w14:paraId="26E34A2F" w14:textId="78A1B454" w:rsidR="004B74B9" w:rsidRDefault="004B74B9" w:rsidP="0080488A">
      <w:pPr>
        <w:pStyle w:val="Marge"/>
        <w:rPr>
          <w:rFonts w:cs="Arial"/>
        </w:rPr>
      </w:pPr>
    </w:p>
    <w:p w14:paraId="6E8FF0C0" w14:textId="2313E7DE" w:rsidR="004B74B9" w:rsidRDefault="004B74B9" w:rsidP="0080488A">
      <w:pPr>
        <w:pStyle w:val="Marge"/>
        <w:rPr>
          <w:rFonts w:cs="Arial"/>
        </w:rPr>
      </w:pPr>
    </w:p>
    <w:p w14:paraId="4DB2FBB3" w14:textId="666EE9E0" w:rsidR="004B74B9" w:rsidRDefault="004B74B9" w:rsidP="0080488A">
      <w:pPr>
        <w:pStyle w:val="Marge"/>
        <w:rPr>
          <w:rFonts w:cs="Arial"/>
        </w:rPr>
      </w:pPr>
    </w:p>
    <w:p w14:paraId="480F2D23" w14:textId="09436DBC" w:rsidR="004B74B9" w:rsidRDefault="004B74B9" w:rsidP="0080488A">
      <w:pPr>
        <w:pStyle w:val="Marge"/>
        <w:rPr>
          <w:rFonts w:cs="Arial"/>
        </w:rPr>
      </w:pPr>
    </w:p>
    <w:p w14:paraId="7AD58CDA" w14:textId="6D8972F1" w:rsidR="004B74B9" w:rsidRDefault="004B74B9" w:rsidP="0080488A">
      <w:pPr>
        <w:pStyle w:val="Marge"/>
        <w:rPr>
          <w:rFonts w:cs="Arial"/>
        </w:rPr>
      </w:pPr>
    </w:p>
    <w:p w14:paraId="4D0B692F" w14:textId="49CEFDA0" w:rsidR="004B74B9" w:rsidRDefault="004B74B9" w:rsidP="0080488A">
      <w:pPr>
        <w:pStyle w:val="Marge"/>
        <w:rPr>
          <w:rFonts w:cs="Arial"/>
        </w:rPr>
      </w:pPr>
    </w:p>
    <w:p w14:paraId="24E4BCE4" w14:textId="762F4187" w:rsidR="004B74B9" w:rsidRDefault="004B74B9" w:rsidP="0080488A">
      <w:pPr>
        <w:pStyle w:val="Marge"/>
        <w:rPr>
          <w:rFonts w:cs="Arial"/>
        </w:rPr>
      </w:pPr>
    </w:p>
    <w:p w14:paraId="0DF1DBEC" w14:textId="128E943A" w:rsidR="004B74B9" w:rsidRDefault="004B74B9" w:rsidP="0080488A">
      <w:pPr>
        <w:pStyle w:val="Marge"/>
        <w:rPr>
          <w:rFonts w:cs="Arial"/>
        </w:rPr>
      </w:pPr>
    </w:p>
    <w:p w14:paraId="24F06C37" w14:textId="77777777" w:rsidR="004B74B9" w:rsidRPr="003B06D5" w:rsidRDefault="004B74B9" w:rsidP="0080488A">
      <w:pPr>
        <w:pStyle w:val="Marge"/>
        <w:rPr>
          <w:rFonts w:cs="Arial"/>
          <w:szCs w:val="22"/>
        </w:rPr>
      </w:pPr>
    </w:p>
    <w:p w14:paraId="42A7EB49" w14:textId="77777777" w:rsidR="004B74B9" w:rsidRPr="002F2E9B" w:rsidRDefault="004B74B9" w:rsidP="004B74B9">
      <w:pPr>
        <w:jc w:val="center"/>
        <w:rPr>
          <w:rFonts w:ascii="Arial" w:hAnsi="Arial" w:cs="Arial"/>
          <w:b/>
          <w:sz w:val="18"/>
          <w:szCs w:val="18"/>
        </w:rPr>
      </w:pPr>
      <w:r w:rsidRPr="002F2E9B">
        <w:rPr>
          <w:rFonts w:ascii="Arial" w:hAnsi="Arial" w:cs="Arial"/>
          <w:b/>
          <w:sz w:val="18"/>
          <w:szCs w:val="18"/>
        </w:rPr>
        <w:t>Intergovernmental Oceanographic Commission (IOC)</w:t>
      </w:r>
    </w:p>
    <w:p w14:paraId="3EFA1B0C" w14:textId="77777777" w:rsidR="004B74B9" w:rsidRPr="002F2E9B" w:rsidRDefault="004B74B9" w:rsidP="004B74B9">
      <w:pPr>
        <w:jc w:val="center"/>
        <w:rPr>
          <w:rFonts w:ascii="Arial" w:hAnsi="Arial" w:cs="Arial"/>
          <w:sz w:val="18"/>
          <w:szCs w:val="18"/>
        </w:rPr>
      </w:pPr>
      <w:r w:rsidRPr="002F2E9B">
        <w:rPr>
          <w:rFonts w:ascii="Arial" w:hAnsi="Arial" w:cs="Arial"/>
          <w:sz w:val="18"/>
          <w:szCs w:val="18"/>
        </w:rPr>
        <w:t>United Nations Educational, Scientific and Cultural Organization</w:t>
      </w:r>
    </w:p>
    <w:p w14:paraId="1BEC78CC" w14:textId="77777777" w:rsidR="004B74B9" w:rsidRPr="00AC3115" w:rsidRDefault="004B74B9" w:rsidP="004B74B9">
      <w:pPr>
        <w:jc w:val="center"/>
        <w:rPr>
          <w:rFonts w:ascii="Arial" w:hAnsi="Arial" w:cs="Arial"/>
          <w:sz w:val="18"/>
          <w:szCs w:val="18"/>
          <w:lang w:val="fr-FR"/>
        </w:rPr>
      </w:pPr>
      <w:r w:rsidRPr="00AC3115">
        <w:rPr>
          <w:rFonts w:ascii="Arial" w:hAnsi="Arial" w:cs="Arial"/>
          <w:sz w:val="18"/>
          <w:szCs w:val="18"/>
          <w:lang w:val="fr-FR"/>
        </w:rPr>
        <w:t>7 Place de Fontenoy</w:t>
      </w:r>
    </w:p>
    <w:p w14:paraId="59E2F0FE" w14:textId="77777777" w:rsidR="004B74B9" w:rsidRPr="00AC3115" w:rsidRDefault="004B74B9" w:rsidP="004B74B9">
      <w:pPr>
        <w:jc w:val="center"/>
        <w:rPr>
          <w:rFonts w:ascii="Arial" w:hAnsi="Arial" w:cs="Arial"/>
          <w:sz w:val="18"/>
          <w:szCs w:val="18"/>
          <w:lang w:val="fr-FR"/>
        </w:rPr>
      </w:pPr>
      <w:r w:rsidRPr="00AC3115">
        <w:rPr>
          <w:rFonts w:ascii="Arial" w:hAnsi="Arial" w:cs="Arial"/>
          <w:sz w:val="18"/>
          <w:szCs w:val="18"/>
          <w:lang w:val="fr-FR"/>
        </w:rPr>
        <w:t>75 732 Paris Cedex 07, France</w:t>
      </w:r>
    </w:p>
    <w:p w14:paraId="724413AA" w14:textId="77777777" w:rsidR="004B74B9" w:rsidRPr="002F2E9B" w:rsidRDefault="004B74B9" w:rsidP="004B74B9">
      <w:pPr>
        <w:jc w:val="center"/>
        <w:rPr>
          <w:rFonts w:ascii="Arial" w:hAnsi="Arial" w:cs="Arial"/>
          <w:sz w:val="18"/>
          <w:szCs w:val="18"/>
        </w:rPr>
      </w:pPr>
      <w:r w:rsidRPr="002F2E9B">
        <w:rPr>
          <w:rFonts w:ascii="Arial" w:hAnsi="Arial" w:cs="Arial"/>
          <w:sz w:val="18"/>
          <w:szCs w:val="18"/>
        </w:rPr>
        <w:t>Tel.: +33 1 45 68 10 10</w:t>
      </w:r>
    </w:p>
    <w:p w14:paraId="38B36754" w14:textId="77777777" w:rsidR="004B74B9" w:rsidRPr="002F2E9B" w:rsidRDefault="004B74B9" w:rsidP="004B74B9">
      <w:pPr>
        <w:jc w:val="center"/>
        <w:rPr>
          <w:rFonts w:ascii="Arial" w:hAnsi="Arial" w:cs="Arial"/>
          <w:sz w:val="18"/>
          <w:szCs w:val="18"/>
        </w:rPr>
      </w:pPr>
      <w:hyperlink r:id="rId12" w:history="1">
        <w:r w:rsidRPr="002F2E9B">
          <w:rPr>
            <w:rStyle w:val="Hyperlink"/>
            <w:rFonts w:ascii="Arial" w:hAnsi="Arial" w:cs="Arial"/>
            <w:sz w:val="18"/>
            <w:szCs w:val="18"/>
          </w:rPr>
          <w:t>http://ioc.unesco.org</w:t>
        </w:r>
      </w:hyperlink>
    </w:p>
    <w:p w14:paraId="0E5F371D" w14:textId="77777777" w:rsidR="00DA3E0C" w:rsidRPr="003B06D5" w:rsidRDefault="00DA3E0C" w:rsidP="00AD6F03">
      <w:pPr>
        <w:pStyle w:val="Marge"/>
        <w:rPr>
          <w:rFonts w:cs="Arial"/>
        </w:rPr>
      </w:pPr>
    </w:p>
    <w:sectPr w:rsidR="00DA3E0C" w:rsidRPr="003B06D5" w:rsidSect="002F2C67">
      <w:headerReference w:type="even" r:id="rId13"/>
      <w:headerReference w:type="default" r:id="rId14"/>
      <w:footerReference w:type="even"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7CF7B" w14:textId="77777777" w:rsidR="00553151" w:rsidRDefault="00553151" w:rsidP="00E23214">
      <w:r>
        <w:separator/>
      </w:r>
    </w:p>
  </w:endnote>
  <w:endnote w:type="continuationSeparator" w:id="0">
    <w:p w14:paraId="5048B684" w14:textId="77777777" w:rsidR="00553151" w:rsidRDefault="00553151" w:rsidP="00E2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16343" w14:textId="68D555CB" w:rsidR="007B6A40" w:rsidRDefault="007B6A40" w:rsidP="004B74B9">
    <w:pPr>
      <w:pStyle w:val="Footer"/>
      <w:framePr w:wrap="none" w:vAnchor="text" w:hAnchor="margin" w:xAlign="right" w:y="1"/>
      <w:rPr>
        <w:rStyle w:val="PageNumber"/>
      </w:rPr>
    </w:pPr>
  </w:p>
  <w:p w14:paraId="4EE9E8AA" w14:textId="77777777" w:rsidR="007B6A40" w:rsidRDefault="007B6A40" w:rsidP="00C81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CD813" w14:textId="77777777" w:rsidR="007B6A40" w:rsidRDefault="007B6A40" w:rsidP="00C81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C1231" w14:textId="77777777" w:rsidR="00553151" w:rsidRDefault="00553151" w:rsidP="00E23214">
      <w:r>
        <w:separator/>
      </w:r>
    </w:p>
  </w:footnote>
  <w:footnote w:type="continuationSeparator" w:id="0">
    <w:p w14:paraId="34660CB2" w14:textId="77777777" w:rsidR="00553151" w:rsidRDefault="00553151" w:rsidP="00E23214">
      <w:r>
        <w:continuationSeparator/>
      </w:r>
    </w:p>
  </w:footnote>
  <w:footnote w:id="1">
    <w:p w14:paraId="045B86A1" w14:textId="77777777" w:rsidR="007B6A40" w:rsidRPr="001B582E" w:rsidRDefault="007B6A40">
      <w:pPr>
        <w:pStyle w:val="FootnoteText"/>
        <w:rPr>
          <w:rFonts w:ascii="Times New Roman" w:hAnsi="Times New Roman"/>
          <w:sz w:val="18"/>
          <w:szCs w:val="18"/>
          <w:lang w:val="en-US"/>
        </w:rPr>
      </w:pPr>
      <w:r w:rsidRPr="00C81DAF">
        <w:rPr>
          <w:rStyle w:val="FootnoteReference"/>
          <w:rFonts w:ascii="Times New Roman" w:hAnsi="Times New Roman"/>
          <w:sz w:val="16"/>
          <w:szCs w:val="16"/>
        </w:rPr>
        <w:footnoteRef/>
      </w:r>
      <w:r w:rsidRPr="00C81DAF">
        <w:rPr>
          <w:rFonts w:ascii="Times New Roman" w:hAnsi="Times New Roman"/>
          <w:sz w:val="16"/>
          <w:szCs w:val="16"/>
        </w:rPr>
        <w:t xml:space="preserve"> </w:t>
      </w:r>
      <w:r w:rsidRPr="00C81DAF">
        <w:rPr>
          <w:rFonts w:ascii="Times New Roman" w:hAnsi="Times New Roman"/>
          <w:sz w:val="16"/>
          <w:szCs w:val="16"/>
          <w:lang w:val="en-US"/>
        </w:rPr>
        <w:t xml:space="preserve">IOC, 2020 Global Ocean Science Report (2020), Page </w:t>
      </w:r>
      <w:r>
        <w:rPr>
          <w:rFonts w:ascii="Times New Roman" w:hAnsi="Times New Roman"/>
          <w:sz w:val="16"/>
          <w:szCs w:val="16"/>
          <w:lang w:val="en-US"/>
        </w:rPr>
        <w:t>71</w:t>
      </w:r>
    </w:p>
  </w:footnote>
  <w:footnote w:id="2">
    <w:p w14:paraId="46486E1C" w14:textId="77777777" w:rsidR="007B6A40" w:rsidRPr="00C81DAF" w:rsidRDefault="007B6A40">
      <w:pPr>
        <w:pStyle w:val="FootnoteText"/>
        <w:rPr>
          <w:rFonts w:ascii="Times New Roman" w:hAnsi="Times New Roman"/>
          <w:sz w:val="16"/>
          <w:szCs w:val="16"/>
          <w:lang w:val="en-US"/>
        </w:rPr>
      </w:pPr>
      <w:r w:rsidRPr="00C81DAF">
        <w:rPr>
          <w:rStyle w:val="FootnoteReference"/>
          <w:rFonts w:ascii="Times New Roman" w:hAnsi="Times New Roman"/>
          <w:sz w:val="16"/>
          <w:szCs w:val="16"/>
        </w:rPr>
        <w:footnoteRef/>
      </w:r>
      <w:r w:rsidRPr="00C81DAF">
        <w:rPr>
          <w:rFonts w:ascii="Times New Roman" w:hAnsi="Times New Roman"/>
          <w:sz w:val="16"/>
          <w:szCs w:val="16"/>
        </w:rPr>
        <w:t xml:space="preserve"> </w:t>
      </w:r>
      <w:r w:rsidRPr="00C81DAF">
        <w:rPr>
          <w:rFonts w:ascii="Times New Roman" w:hAnsi="Times New Roman"/>
          <w:sz w:val="16"/>
          <w:szCs w:val="16"/>
          <w:lang w:val="en-US"/>
        </w:rPr>
        <w:t>IOC, 2020 Global Ocean Science Report</w:t>
      </w:r>
      <w:r>
        <w:rPr>
          <w:rFonts w:ascii="Times New Roman" w:hAnsi="Times New Roman"/>
          <w:sz w:val="16"/>
          <w:szCs w:val="16"/>
          <w:lang w:val="en-US"/>
        </w:rPr>
        <w:t xml:space="preserve"> (2020)</w:t>
      </w:r>
      <w:r w:rsidRPr="00C81DAF">
        <w:rPr>
          <w:rFonts w:ascii="Times New Roman" w:hAnsi="Times New Roman"/>
          <w:sz w:val="16"/>
          <w:szCs w:val="16"/>
          <w:lang w:val="en-US"/>
        </w:rPr>
        <w:t xml:space="preserve">, Page </w:t>
      </w:r>
      <w:r>
        <w:rPr>
          <w:rFonts w:ascii="Times New Roman" w:hAnsi="Times New Roman"/>
          <w:sz w:val="16"/>
          <w:szCs w:val="16"/>
          <w:lang w:val="en-US"/>
        </w:rPr>
        <w:t>71</w:t>
      </w:r>
    </w:p>
  </w:footnote>
  <w:footnote w:id="3">
    <w:p w14:paraId="63B4F4AC" w14:textId="77777777" w:rsidR="007B6A40" w:rsidRPr="00C81DAF" w:rsidRDefault="007B6A40">
      <w:pPr>
        <w:pStyle w:val="FootnoteText"/>
        <w:rPr>
          <w:rFonts w:ascii="Times New Roman" w:hAnsi="Times New Roman"/>
          <w:sz w:val="16"/>
          <w:szCs w:val="16"/>
          <w:lang w:val="en-US"/>
        </w:rPr>
      </w:pPr>
      <w:r w:rsidRPr="00C81DAF">
        <w:rPr>
          <w:rStyle w:val="FootnoteReference"/>
          <w:rFonts w:ascii="Times New Roman" w:hAnsi="Times New Roman"/>
          <w:sz w:val="16"/>
          <w:szCs w:val="16"/>
        </w:rPr>
        <w:footnoteRef/>
      </w:r>
      <w:r w:rsidRPr="00C81DAF">
        <w:rPr>
          <w:rFonts w:ascii="Times New Roman" w:hAnsi="Times New Roman"/>
          <w:sz w:val="16"/>
          <w:szCs w:val="16"/>
        </w:rPr>
        <w:t xml:space="preserve"> </w:t>
      </w:r>
      <w:r w:rsidRPr="00C81DAF">
        <w:rPr>
          <w:rFonts w:ascii="Times New Roman" w:hAnsi="Times New Roman"/>
          <w:sz w:val="16"/>
          <w:szCs w:val="16"/>
          <w:lang w:val="en-US"/>
        </w:rPr>
        <w:t>IOC, 2020 Global Ocean Science Report</w:t>
      </w:r>
      <w:r>
        <w:rPr>
          <w:rFonts w:ascii="Times New Roman" w:hAnsi="Times New Roman"/>
          <w:sz w:val="16"/>
          <w:szCs w:val="16"/>
          <w:lang w:val="en-US"/>
        </w:rPr>
        <w:t xml:space="preserve"> (2020)</w:t>
      </w:r>
      <w:r w:rsidRPr="00C81DAF">
        <w:rPr>
          <w:rFonts w:ascii="Times New Roman" w:hAnsi="Times New Roman"/>
          <w:sz w:val="16"/>
          <w:szCs w:val="16"/>
          <w:lang w:val="en-US"/>
        </w:rPr>
        <w:t xml:space="preserve">, Page </w:t>
      </w:r>
      <w:r>
        <w:rPr>
          <w:rFonts w:ascii="Times New Roman" w:hAnsi="Times New Roman"/>
          <w:sz w:val="16"/>
          <w:szCs w:val="16"/>
          <w:lang w:val="en-US"/>
        </w:rPr>
        <w:t>7</w:t>
      </w:r>
      <w:r w:rsidR="00D75E50">
        <w:rPr>
          <w:rFonts w:ascii="Times New Roman" w:hAnsi="Times New Roman"/>
          <w:sz w:val="16"/>
          <w:szCs w:val="16"/>
          <w:lang w:val="en-US"/>
        </w:rPr>
        <w:t>5</w:t>
      </w:r>
    </w:p>
  </w:footnote>
  <w:footnote w:id="4">
    <w:p w14:paraId="301B55C8" w14:textId="77777777" w:rsidR="007B6A40" w:rsidRPr="001B582E" w:rsidRDefault="007B6A40">
      <w:pPr>
        <w:pStyle w:val="FootnoteText"/>
        <w:rPr>
          <w:lang w:val="en-US"/>
        </w:rPr>
      </w:pPr>
      <w:r w:rsidRPr="00C81DAF">
        <w:rPr>
          <w:rStyle w:val="FootnoteReference"/>
          <w:rFonts w:ascii="Times New Roman" w:hAnsi="Times New Roman"/>
          <w:sz w:val="16"/>
          <w:szCs w:val="16"/>
        </w:rPr>
        <w:footnoteRef/>
      </w:r>
      <w:r w:rsidRPr="00C81DAF">
        <w:rPr>
          <w:rFonts w:ascii="Times New Roman" w:hAnsi="Times New Roman"/>
          <w:sz w:val="16"/>
          <w:szCs w:val="16"/>
        </w:rPr>
        <w:t xml:space="preserve"> </w:t>
      </w:r>
      <w:r w:rsidRPr="00C81DAF">
        <w:rPr>
          <w:rFonts w:ascii="Times New Roman" w:hAnsi="Times New Roman"/>
          <w:sz w:val="16"/>
          <w:szCs w:val="16"/>
          <w:lang w:val="en-US"/>
        </w:rPr>
        <w:t>IOC, 2020 Global Ocean Science Report</w:t>
      </w:r>
      <w:r>
        <w:rPr>
          <w:rFonts w:ascii="Times New Roman" w:hAnsi="Times New Roman"/>
          <w:sz w:val="16"/>
          <w:szCs w:val="16"/>
          <w:lang w:val="en-US"/>
        </w:rPr>
        <w:t xml:space="preserve"> (2020)</w:t>
      </w:r>
      <w:r w:rsidRPr="00C81DAF">
        <w:rPr>
          <w:rFonts w:ascii="Times New Roman" w:hAnsi="Times New Roman"/>
          <w:sz w:val="16"/>
          <w:szCs w:val="16"/>
          <w:lang w:val="en-US"/>
        </w:rPr>
        <w:t xml:space="preserve">, Page </w:t>
      </w:r>
      <w:r w:rsidR="00D75E50">
        <w:rPr>
          <w:rFonts w:ascii="Times New Roman" w:hAnsi="Times New Roman"/>
          <w:sz w:val="16"/>
          <w:szCs w:val="16"/>
          <w:lang w:val="en-US"/>
        </w:rPr>
        <w:t>83</w:t>
      </w:r>
    </w:p>
  </w:footnote>
  <w:footnote w:id="5">
    <w:p w14:paraId="23B6B7B1" w14:textId="77777777" w:rsidR="007B6A40" w:rsidRPr="00F1233E" w:rsidRDefault="007B6A40">
      <w:pPr>
        <w:pStyle w:val="FootnoteText"/>
        <w:rPr>
          <w:lang w:val="fr-FR"/>
        </w:rPr>
      </w:pPr>
      <w:r w:rsidRPr="00041FE1">
        <w:rPr>
          <w:rStyle w:val="FootnoteReference"/>
          <w:rFonts w:ascii="Times New Roman" w:hAnsi="Times New Roman"/>
          <w:sz w:val="16"/>
          <w:szCs w:val="16"/>
        </w:rPr>
        <w:footnoteRef/>
      </w:r>
      <w:r w:rsidRPr="00F1233E">
        <w:rPr>
          <w:rFonts w:ascii="Times New Roman" w:hAnsi="Times New Roman"/>
          <w:sz w:val="16"/>
          <w:szCs w:val="16"/>
          <w:lang w:val="fr-FR"/>
        </w:rPr>
        <w:t xml:space="preserve"> IOC, </w:t>
      </w:r>
      <w:proofErr w:type="spellStart"/>
      <w:r w:rsidRPr="00F1233E">
        <w:rPr>
          <w:rFonts w:ascii="Times New Roman" w:hAnsi="Times New Roman"/>
          <w:sz w:val="16"/>
          <w:szCs w:val="16"/>
          <w:lang w:val="fr-FR"/>
        </w:rPr>
        <w:t>Implementation</w:t>
      </w:r>
      <w:proofErr w:type="spellEnd"/>
      <w:r w:rsidRPr="00F1233E">
        <w:rPr>
          <w:rFonts w:ascii="Times New Roman" w:hAnsi="Times New Roman"/>
          <w:sz w:val="16"/>
          <w:szCs w:val="16"/>
          <w:lang w:val="fr-FR"/>
        </w:rPr>
        <w:t xml:space="preserve"> Plan (2019), Page 37, </w:t>
      </w:r>
      <w:proofErr w:type="spellStart"/>
      <w:r w:rsidRPr="00F1233E">
        <w:rPr>
          <w:rFonts w:ascii="Times New Roman" w:hAnsi="Times New Roman"/>
          <w:sz w:val="16"/>
          <w:szCs w:val="16"/>
          <w:lang w:val="fr-FR"/>
        </w:rPr>
        <w:t>Paragraph</w:t>
      </w:r>
      <w:proofErr w:type="spellEnd"/>
      <w:r w:rsidRPr="00F1233E">
        <w:rPr>
          <w:rFonts w:ascii="Times New Roman" w:hAnsi="Times New Roman"/>
          <w:sz w:val="16"/>
          <w:szCs w:val="16"/>
          <w:lang w:val="fr-FR"/>
        </w:rPr>
        <w:t xml:space="preserve"> 111</w:t>
      </w:r>
    </w:p>
  </w:footnote>
  <w:footnote w:id="6">
    <w:p w14:paraId="33B1D991" w14:textId="77777777" w:rsidR="007B6A40" w:rsidRPr="00191DB4" w:rsidRDefault="007B6A40">
      <w:pPr>
        <w:pStyle w:val="FootnoteText"/>
        <w:rPr>
          <w:rFonts w:ascii="Times New Roman" w:hAnsi="Times New Roman"/>
          <w:sz w:val="16"/>
          <w:szCs w:val="16"/>
          <w:lang w:val="fr-FR"/>
        </w:rPr>
      </w:pPr>
      <w:r w:rsidRPr="008D6231">
        <w:rPr>
          <w:rStyle w:val="FootnoteReference"/>
          <w:rFonts w:ascii="Times New Roman" w:hAnsi="Times New Roman"/>
          <w:sz w:val="16"/>
          <w:szCs w:val="16"/>
        </w:rPr>
        <w:footnoteRef/>
      </w:r>
      <w:r w:rsidRPr="00191DB4">
        <w:rPr>
          <w:rFonts w:ascii="Times New Roman" w:hAnsi="Times New Roman"/>
          <w:sz w:val="16"/>
          <w:szCs w:val="16"/>
          <w:lang w:val="fr-FR"/>
        </w:rPr>
        <w:t xml:space="preserve"> https://www.un.org/sustainabledevelopment/sg-finance-strategy/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8D7E6" w14:textId="77777777" w:rsidR="00132F02" w:rsidRPr="00132F02" w:rsidRDefault="00132F02" w:rsidP="00132F02">
    <w:pPr>
      <w:pStyle w:val="Header"/>
      <w:rPr>
        <w:rFonts w:asciiTheme="minorBidi" w:hAnsiTheme="minorBidi"/>
        <w:sz w:val="20"/>
        <w:szCs w:val="20"/>
        <w:lang w:val="es-ES"/>
      </w:rPr>
    </w:pPr>
    <w:r w:rsidRPr="00132F02">
      <w:rPr>
        <w:rFonts w:asciiTheme="minorBidi" w:hAnsiTheme="minorBidi"/>
        <w:sz w:val="20"/>
        <w:szCs w:val="20"/>
        <w:lang w:val="es-ES"/>
      </w:rPr>
      <w:t>IOC/INF-1415</w:t>
    </w:r>
  </w:p>
  <w:p w14:paraId="61EF7349" w14:textId="77777777" w:rsidR="00132F02" w:rsidRPr="00132F02" w:rsidRDefault="00132F02" w:rsidP="00132F02">
    <w:pPr>
      <w:pStyle w:val="Header"/>
      <w:rPr>
        <w:rFonts w:asciiTheme="minorBidi" w:hAnsiTheme="minorBidi"/>
        <w:sz w:val="20"/>
        <w:szCs w:val="20"/>
        <w:lang w:val="es-ES"/>
      </w:rPr>
    </w:pPr>
    <w:r>
      <w:rPr>
        <w:rFonts w:asciiTheme="minorBidi" w:hAnsiTheme="minorBidi"/>
        <w:sz w:val="20"/>
        <w:szCs w:val="20"/>
        <w:lang w:val="es-ES"/>
      </w:rPr>
      <w:t>p</w:t>
    </w:r>
    <w:r w:rsidRPr="00132F02">
      <w:rPr>
        <w:rFonts w:asciiTheme="minorBidi" w:hAnsiTheme="minorBidi"/>
        <w:sz w:val="20"/>
        <w:szCs w:val="20"/>
        <w:lang w:val="es-ES"/>
      </w:rPr>
      <w:t xml:space="preserve">age </w:t>
    </w:r>
    <w:r w:rsidRPr="00132F02">
      <w:rPr>
        <w:rFonts w:asciiTheme="minorBidi" w:hAnsiTheme="minorBidi"/>
        <w:sz w:val="20"/>
        <w:szCs w:val="20"/>
        <w:lang w:val="es-ES"/>
      </w:rPr>
      <w:fldChar w:fldCharType="begin"/>
    </w:r>
    <w:r w:rsidRPr="00132F02">
      <w:rPr>
        <w:rFonts w:asciiTheme="minorBidi" w:hAnsiTheme="minorBidi"/>
        <w:sz w:val="20"/>
        <w:szCs w:val="20"/>
        <w:lang w:val="es-ES"/>
      </w:rPr>
      <w:instrText xml:space="preserve"> PAGE   \* MERGEFORMAT </w:instrText>
    </w:r>
    <w:r w:rsidRPr="00132F02">
      <w:rPr>
        <w:rFonts w:asciiTheme="minorBidi" w:hAnsiTheme="minorBidi"/>
        <w:sz w:val="20"/>
        <w:szCs w:val="20"/>
        <w:lang w:val="es-ES"/>
      </w:rPr>
      <w:fldChar w:fldCharType="separate"/>
    </w:r>
    <w:r>
      <w:rPr>
        <w:rFonts w:asciiTheme="minorBidi" w:hAnsiTheme="minorBidi"/>
        <w:sz w:val="20"/>
        <w:szCs w:val="20"/>
        <w:lang w:val="es-ES"/>
      </w:rPr>
      <w:t>3</w:t>
    </w:r>
    <w:r w:rsidRPr="00132F02">
      <w:rPr>
        <w:rFonts w:asciiTheme="minorBidi" w:hAnsiTheme="minorBidi"/>
        <w:noProof/>
        <w:sz w:val="20"/>
        <w:szCs w:val="20"/>
        <w:lang w:val="es-ES"/>
      </w:rPr>
      <w:fldChar w:fldCharType="end"/>
    </w:r>
  </w:p>
  <w:p w14:paraId="30303B94" w14:textId="77777777" w:rsidR="00132F02" w:rsidRDefault="00132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D875" w14:textId="40156D70" w:rsidR="002F2C67" w:rsidRPr="00132F02" w:rsidRDefault="00132F02" w:rsidP="00132F02">
    <w:pPr>
      <w:pStyle w:val="Header"/>
      <w:ind w:firstLine="7797"/>
      <w:rPr>
        <w:rFonts w:asciiTheme="minorBidi" w:hAnsiTheme="minorBidi"/>
        <w:sz w:val="20"/>
        <w:szCs w:val="20"/>
        <w:lang w:val="es-ES"/>
      </w:rPr>
    </w:pPr>
    <w:r w:rsidRPr="00132F02">
      <w:rPr>
        <w:rFonts w:asciiTheme="minorBidi" w:hAnsiTheme="minorBidi"/>
        <w:sz w:val="20"/>
        <w:szCs w:val="20"/>
        <w:lang w:val="es-ES"/>
      </w:rPr>
      <w:t>IOC/INF-1415</w:t>
    </w:r>
  </w:p>
  <w:p w14:paraId="1114462B" w14:textId="60C48AE7" w:rsidR="00132F02" w:rsidRPr="00132F02" w:rsidRDefault="00132F02" w:rsidP="00132F02">
    <w:pPr>
      <w:pStyle w:val="Header"/>
      <w:ind w:firstLine="7797"/>
      <w:rPr>
        <w:rFonts w:asciiTheme="minorBidi" w:hAnsiTheme="minorBidi"/>
        <w:sz w:val="20"/>
        <w:szCs w:val="20"/>
        <w:lang w:val="es-ES"/>
      </w:rPr>
    </w:pPr>
    <w:r>
      <w:rPr>
        <w:rFonts w:asciiTheme="minorBidi" w:hAnsiTheme="minorBidi"/>
        <w:sz w:val="20"/>
        <w:szCs w:val="20"/>
        <w:lang w:val="es-ES"/>
      </w:rPr>
      <w:t>p</w:t>
    </w:r>
    <w:r w:rsidRPr="00132F02">
      <w:rPr>
        <w:rFonts w:asciiTheme="minorBidi" w:hAnsiTheme="minorBidi"/>
        <w:sz w:val="20"/>
        <w:szCs w:val="20"/>
        <w:lang w:val="es-ES"/>
      </w:rPr>
      <w:t xml:space="preserve">age </w:t>
    </w:r>
    <w:r w:rsidRPr="00132F02">
      <w:rPr>
        <w:rFonts w:asciiTheme="minorBidi" w:hAnsiTheme="minorBidi"/>
        <w:sz w:val="20"/>
        <w:szCs w:val="20"/>
        <w:lang w:val="es-ES"/>
      </w:rPr>
      <w:fldChar w:fldCharType="begin"/>
    </w:r>
    <w:r w:rsidRPr="00132F02">
      <w:rPr>
        <w:rFonts w:asciiTheme="minorBidi" w:hAnsiTheme="minorBidi"/>
        <w:sz w:val="20"/>
        <w:szCs w:val="20"/>
        <w:lang w:val="es-ES"/>
      </w:rPr>
      <w:instrText xml:space="preserve"> PAGE   \* MERGEFORMAT </w:instrText>
    </w:r>
    <w:r w:rsidRPr="00132F02">
      <w:rPr>
        <w:rFonts w:asciiTheme="minorBidi" w:hAnsiTheme="minorBidi"/>
        <w:sz w:val="20"/>
        <w:szCs w:val="20"/>
        <w:lang w:val="es-ES"/>
      </w:rPr>
      <w:fldChar w:fldCharType="separate"/>
    </w:r>
    <w:r w:rsidRPr="00132F02">
      <w:rPr>
        <w:rFonts w:asciiTheme="minorBidi" w:hAnsiTheme="minorBidi"/>
        <w:noProof/>
        <w:sz w:val="20"/>
        <w:szCs w:val="20"/>
        <w:lang w:val="es-ES"/>
      </w:rPr>
      <w:t>1</w:t>
    </w:r>
    <w:r w:rsidRPr="00132F02">
      <w:rPr>
        <w:rFonts w:asciiTheme="minorBidi" w:hAnsiTheme="minorBidi"/>
        <w:noProof/>
        <w:sz w:val="20"/>
        <w:szCs w:val="20"/>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35BC3" w14:textId="74FE416C" w:rsidR="002F2C67" w:rsidRPr="002F2C67" w:rsidRDefault="002F2C67" w:rsidP="002F2C67">
    <w:pPr>
      <w:tabs>
        <w:tab w:val="left" w:pos="7230"/>
        <w:tab w:val="left" w:pos="7513"/>
      </w:tabs>
      <w:snapToGrid w:val="0"/>
      <w:jc w:val="both"/>
      <w:rPr>
        <w:rFonts w:ascii="Arial" w:hAnsi="Arial" w:cs="Arial"/>
        <w:b/>
        <w:bCs/>
        <w:snapToGrid w:val="0"/>
        <w:sz w:val="22"/>
        <w:szCs w:val="22"/>
        <w:lang w:val="en-GB"/>
      </w:rPr>
    </w:pPr>
    <w:r w:rsidRPr="002F2C67">
      <w:rPr>
        <w:rFonts w:ascii="Arial" w:hAnsi="Arial" w:cs="Arial"/>
        <w:noProof/>
        <w:snapToGrid w:val="0"/>
        <w:sz w:val="22"/>
        <w:szCs w:val="22"/>
        <w:lang w:val="fr-FR" w:eastAsia="fr-FR"/>
      </w:rPr>
      <w:drawing>
        <wp:anchor distT="0" distB="0" distL="114300" distR="114300" simplePos="0" relativeHeight="251659264" behindDoc="1" locked="0" layoutInCell="1" allowOverlap="1" wp14:anchorId="40F576AC" wp14:editId="23D67EB3">
          <wp:simplePos x="0" y="0"/>
          <wp:positionH relativeFrom="column">
            <wp:posOffset>0</wp:posOffset>
          </wp:positionH>
          <wp:positionV relativeFrom="paragraph">
            <wp:posOffset>-6985</wp:posOffset>
          </wp:positionV>
          <wp:extent cx="1714500" cy="881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C67">
      <w:rPr>
        <w:rFonts w:ascii="Arial" w:hAnsi="Arial" w:cs="Arial"/>
        <w:snapToGrid w:val="0"/>
        <w:sz w:val="22"/>
        <w:szCs w:val="22"/>
        <w:lang w:val="en-GB"/>
      </w:rPr>
      <w:tab/>
    </w:r>
    <w:r w:rsidRPr="002F2C67">
      <w:rPr>
        <w:rFonts w:ascii="Arial" w:hAnsi="Arial" w:cs="Arial"/>
        <w:b/>
        <w:bCs/>
        <w:snapToGrid w:val="0"/>
        <w:sz w:val="22"/>
        <w:szCs w:val="22"/>
        <w:lang w:val="en-GB"/>
      </w:rPr>
      <w:t>IOC/INF-14</w:t>
    </w:r>
    <w:r>
      <w:rPr>
        <w:rFonts w:ascii="Arial" w:hAnsi="Arial" w:cs="Arial"/>
        <w:b/>
        <w:bCs/>
        <w:snapToGrid w:val="0"/>
        <w:sz w:val="22"/>
        <w:szCs w:val="22"/>
        <w:lang w:val="en-GB"/>
      </w:rPr>
      <w:t>15</w:t>
    </w:r>
  </w:p>
  <w:p w14:paraId="2ED422F4" w14:textId="7649642E" w:rsidR="002F2C67" w:rsidRPr="002F2C67" w:rsidRDefault="002F2C67" w:rsidP="002F2C67">
    <w:pPr>
      <w:tabs>
        <w:tab w:val="left" w:pos="7230"/>
        <w:tab w:val="left" w:pos="7513"/>
      </w:tabs>
      <w:snapToGrid w:val="0"/>
      <w:jc w:val="both"/>
      <w:rPr>
        <w:rFonts w:ascii="Arial" w:hAnsi="Arial" w:cs="Arial"/>
        <w:snapToGrid w:val="0"/>
        <w:sz w:val="22"/>
        <w:szCs w:val="22"/>
        <w:lang w:val="en-GB"/>
      </w:rPr>
    </w:pPr>
    <w:r w:rsidRPr="002F2C67">
      <w:rPr>
        <w:rFonts w:ascii="Arial" w:hAnsi="Arial" w:cs="Arial"/>
        <w:b/>
        <w:snapToGrid w:val="0"/>
        <w:sz w:val="22"/>
        <w:szCs w:val="22"/>
        <w:lang w:val="en-GB"/>
      </w:rPr>
      <w:tab/>
    </w:r>
    <w:r w:rsidRPr="002F2C67">
      <w:rPr>
        <w:rFonts w:ascii="Arial" w:hAnsi="Arial" w:cs="Arial"/>
        <w:snapToGrid w:val="0"/>
        <w:sz w:val="22"/>
        <w:szCs w:val="22"/>
        <w:lang w:val="en-GB"/>
      </w:rPr>
      <w:t xml:space="preserve">Paris, </w:t>
    </w:r>
    <w:r>
      <w:rPr>
        <w:rFonts w:ascii="Arial" w:hAnsi="Arial" w:cs="Arial"/>
        <w:snapToGrid w:val="0"/>
        <w:sz w:val="22"/>
        <w:szCs w:val="22"/>
        <w:lang w:val="en-GB"/>
      </w:rPr>
      <w:t>10</w:t>
    </w:r>
    <w:r w:rsidRPr="002F2C67">
      <w:rPr>
        <w:rFonts w:ascii="Arial" w:hAnsi="Arial" w:cs="Arial"/>
        <w:snapToGrid w:val="0"/>
        <w:sz w:val="22"/>
        <w:szCs w:val="22"/>
        <w:lang w:val="en-GB"/>
      </w:rPr>
      <w:t xml:space="preserve"> June 2021</w:t>
    </w:r>
  </w:p>
  <w:p w14:paraId="1B4DBFB0" w14:textId="77777777" w:rsidR="002F2C67" w:rsidRPr="002F2C67" w:rsidRDefault="002F2C67" w:rsidP="002F2C67">
    <w:pPr>
      <w:tabs>
        <w:tab w:val="left" w:pos="7230"/>
        <w:tab w:val="left" w:pos="7513"/>
      </w:tabs>
      <w:snapToGrid w:val="0"/>
      <w:jc w:val="both"/>
      <w:rPr>
        <w:rFonts w:ascii="Arial" w:hAnsi="Arial" w:cs="Arial"/>
        <w:snapToGrid w:val="0"/>
        <w:sz w:val="22"/>
        <w:szCs w:val="22"/>
        <w:lang w:val="en-GB"/>
      </w:rPr>
    </w:pPr>
    <w:r w:rsidRPr="002F2C67">
      <w:rPr>
        <w:rFonts w:ascii="Arial" w:hAnsi="Arial" w:cs="Arial"/>
        <w:b/>
        <w:snapToGrid w:val="0"/>
        <w:sz w:val="22"/>
        <w:szCs w:val="22"/>
        <w:lang w:val="en-GB"/>
      </w:rPr>
      <w:tab/>
    </w:r>
    <w:r w:rsidRPr="002F2C67">
      <w:rPr>
        <w:rFonts w:ascii="Arial" w:hAnsi="Arial" w:cs="Arial"/>
        <w:snapToGrid w:val="0"/>
        <w:sz w:val="22"/>
        <w:szCs w:val="22"/>
        <w:lang w:val="en-GB"/>
      </w:rPr>
      <w:t>English only</w:t>
    </w:r>
  </w:p>
  <w:p w14:paraId="10BF7CA3" w14:textId="77777777" w:rsidR="002F2C67" w:rsidRPr="002F2C67" w:rsidRDefault="002F2C67" w:rsidP="002F2C67">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 w:val="left" w:pos="6660"/>
        <w:tab w:val="left" w:pos="7020"/>
        <w:tab w:val="left" w:pos="7513"/>
      </w:tabs>
      <w:snapToGrid w:val="0"/>
      <w:jc w:val="both"/>
      <w:rPr>
        <w:rFonts w:ascii="Arial" w:hAnsi="Arial" w:cs="Arial"/>
        <w:b/>
        <w:snapToGrid w:val="0"/>
        <w:sz w:val="22"/>
        <w:szCs w:val="22"/>
        <w:lang w:val="en-GB"/>
      </w:rPr>
    </w:pPr>
  </w:p>
  <w:p w14:paraId="1D1D2773" w14:textId="77777777" w:rsidR="002F2C67" w:rsidRPr="002F2C67" w:rsidRDefault="002F2C67" w:rsidP="002F2C67">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jc w:val="both"/>
      <w:rPr>
        <w:rFonts w:ascii="Arial" w:hAnsi="Arial" w:cs="Arial"/>
        <w:b/>
        <w:snapToGrid w:val="0"/>
        <w:sz w:val="22"/>
        <w:szCs w:val="22"/>
        <w:lang w:val="en-GB"/>
      </w:rPr>
    </w:pPr>
  </w:p>
  <w:p w14:paraId="027F1D08" w14:textId="77777777" w:rsidR="002F2C67" w:rsidRPr="002F2C67" w:rsidRDefault="002F2C67" w:rsidP="002F2C67">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lang w:val="en-GB"/>
      </w:rPr>
    </w:pPr>
  </w:p>
  <w:p w14:paraId="61895C80" w14:textId="77777777" w:rsidR="002F2C67" w:rsidRPr="002F2C67" w:rsidRDefault="002F2C67" w:rsidP="002F2C67">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lang w:val="en-GB"/>
      </w:rPr>
    </w:pPr>
  </w:p>
  <w:p w14:paraId="6DAE74DD" w14:textId="77777777" w:rsidR="002F2C67" w:rsidRPr="002F2C67" w:rsidRDefault="002F2C67" w:rsidP="002F2C67">
    <w:pPr>
      <w:tabs>
        <w:tab w:val="left" w:pos="-1440"/>
        <w:tab w:val="left" w:pos="-720"/>
        <w:tab w:val="left" w:pos="567"/>
        <w:tab w:val="left" w:pos="720"/>
        <w:tab w:val="left" w:pos="2160"/>
        <w:tab w:val="left" w:pos="3600"/>
        <w:tab w:val="left" w:pos="4320"/>
        <w:tab w:val="left" w:pos="5040"/>
        <w:tab w:val="left" w:pos="5523"/>
        <w:tab w:val="left" w:pos="6480"/>
      </w:tabs>
      <w:snapToGrid w:val="0"/>
      <w:ind w:left="2772"/>
      <w:rPr>
        <w:rFonts w:ascii="Arial" w:hAnsi="Arial" w:cs="Arial"/>
        <w:b/>
        <w:snapToGrid w:val="0"/>
        <w:lang w:val="en-GB"/>
      </w:rPr>
    </w:pPr>
  </w:p>
  <w:p w14:paraId="58C63560" w14:textId="77777777" w:rsidR="002F2C67" w:rsidRPr="002F2C67" w:rsidRDefault="002F2C67" w:rsidP="002F2C67">
    <w:pPr>
      <w:tabs>
        <w:tab w:val="left" w:pos="-1440"/>
        <w:tab w:val="left" w:pos="-720"/>
        <w:tab w:val="left" w:pos="567"/>
        <w:tab w:val="left" w:pos="720"/>
        <w:tab w:val="left" w:pos="2160"/>
        <w:tab w:val="left" w:pos="3600"/>
        <w:tab w:val="left" w:pos="4320"/>
        <w:tab w:val="left" w:pos="5040"/>
        <w:tab w:val="left" w:pos="5523"/>
        <w:tab w:val="left" w:pos="6480"/>
      </w:tabs>
      <w:snapToGrid w:val="0"/>
      <w:jc w:val="center"/>
      <w:rPr>
        <w:rFonts w:ascii="Arial" w:hAnsi="Arial" w:cs="Arial"/>
        <w:b/>
        <w:snapToGrid w:val="0"/>
        <w:lang w:val="en-GB"/>
      </w:rPr>
    </w:pPr>
    <w:r w:rsidRPr="002F2C67">
      <w:rPr>
        <w:rFonts w:ascii="Arial" w:hAnsi="Arial" w:cs="Arial"/>
        <w:b/>
        <w:snapToGrid w:val="0"/>
        <w:lang w:val="en-GB"/>
      </w:rPr>
      <w:t>INTERGOVERNMENTAL OCEANOGRAPHIC COMMISSION</w:t>
    </w:r>
  </w:p>
  <w:p w14:paraId="46FA7DB7" w14:textId="77777777" w:rsidR="002F2C67" w:rsidRPr="002F2C67" w:rsidRDefault="002F2C67" w:rsidP="002F2C67">
    <w:pPr>
      <w:tabs>
        <w:tab w:val="left" w:pos="-1440"/>
        <w:tab w:val="left" w:pos="-720"/>
        <w:tab w:val="left" w:pos="567"/>
        <w:tab w:val="left" w:pos="720"/>
        <w:tab w:val="left" w:pos="2160"/>
        <w:tab w:val="left" w:pos="3600"/>
        <w:tab w:val="left" w:pos="4320"/>
        <w:tab w:val="left" w:pos="5040"/>
        <w:tab w:val="left" w:pos="5523"/>
        <w:tab w:val="left" w:pos="6480"/>
      </w:tabs>
      <w:snapToGrid w:val="0"/>
      <w:jc w:val="center"/>
      <w:rPr>
        <w:rFonts w:ascii="Arial" w:hAnsi="Arial" w:cs="Arial"/>
        <w:bCs/>
        <w:snapToGrid w:val="0"/>
        <w:lang w:val="en-GB"/>
      </w:rPr>
    </w:pPr>
    <w:r w:rsidRPr="002F2C67">
      <w:rPr>
        <w:rFonts w:ascii="Arial" w:hAnsi="Arial" w:cs="Arial"/>
        <w:bCs/>
        <w:snapToGrid w:val="0"/>
        <w:lang w:val="en-GB"/>
      </w:rPr>
      <w:t>(of UNESCO)</w:t>
    </w:r>
  </w:p>
  <w:p w14:paraId="12B5A728" w14:textId="77777777" w:rsidR="002F2C67" w:rsidRPr="002F2C67" w:rsidRDefault="002F2C67" w:rsidP="002F2C67">
    <w:pPr>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snapToGrid w:val="0"/>
      <w:ind w:left="2772"/>
      <w:jc w:val="center"/>
      <w:rPr>
        <w:rFonts w:ascii="Arial" w:hAnsi="Arial" w:cs="Arial"/>
        <w:b/>
        <w:snapToGrid w:val="0"/>
        <w:sz w:val="22"/>
        <w:szCs w:val="22"/>
        <w:lang w:val="en-GB"/>
      </w:rPr>
    </w:pPr>
  </w:p>
  <w:p w14:paraId="5DDA5C8E" w14:textId="77777777" w:rsidR="002F2C67" w:rsidRPr="002F2C67" w:rsidRDefault="002F2C67" w:rsidP="002F2C67">
    <w:pPr>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snapToGrid w:val="0"/>
      <w:ind w:left="2772"/>
      <w:rPr>
        <w:rFonts w:ascii="Arial" w:hAnsi="Arial" w:cs="Arial"/>
        <w:b/>
        <w:snapToGrid w:val="0"/>
        <w:lang w:val="en-GB"/>
      </w:rPr>
    </w:pPr>
  </w:p>
  <w:p w14:paraId="1D1DA82D" w14:textId="77777777" w:rsidR="002F2C67" w:rsidRPr="002F2C67" w:rsidRDefault="002F2C67" w:rsidP="002F2C67">
    <w:pPr>
      <w:tabs>
        <w:tab w:val="left" w:pos="-1440"/>
        <w:tab w:val="left" w:pos="-720"/>
        <w:tab w:val="left" w:pos="567"/>
        <w:tab w:val="left" w:pos="720"/>
        <w:tab w:val="left" w:pos="1440"/>
        <w:tab w:val="left" w:pos="2160"/>
        <w:tab w:val="left" w:pos="3600"/>
        <w:tab w:val="left" w:pos="4320"/>
        <w:tab w:val="left" w:pos="5040"/>
        <w:tab w:val="left" w:pos="5523"/>
        <w:tab w:val="left" w:pos="6480"/>
      </w:tabs>
      <w:snapToGrid w:val="0"/>
      <w:ind w:left="2772"/>
      <w:rPr>
        <w:rFonts w:ascii="Arial" w:hAnsi="Arial" w:cs="Arial"/>
        <w:bCs/>
        <w:snapToGrid w:val="0"/>
        <w:sz w:val="22"/>
        <w:szCs w:val="22"/>
        <w:lang w:val="en-GB"/>
      </w:rPr>
    </w:pPr>
  </w:p>
  <w:p w14:paraId="15C9921A" w14:textId="77777777" w:rsidR="002F2C67" w:rsidRPr="002F2C67" w:rsidRDefault="002F2C67" w:rsidP="002F2C67">
    <w:pPr>
      <w:tabs>
        <w:tab w:val="left" w:pos="567"/>
      </w:tabs>
      <w:snapToGrid w:val="0"/>
      <w:jc w:val="center"/>
      <w:rPr>
        <w:rFonts w:ascii="Arial" w:hAnsi="Arial" w:cs="Arial"/>
        <w:snapToGrid w:val="0"/>
        <w:sz w:val="22"/>
        <w:szCs w:val="22"/>
        <w:lang w:val="en-GB"/>
      </w:rPr>
    </w:pPr>
  </w:p>
  <w:p w14:paraId="70F6BB6C" w14:textId="77777777" w:rsidR="002F2C67" w:rsidRPr="002F2C67" w:rsidRDefault="002F2C67" w:rsidP="002F2C67">
    <w:pPr>
      <w:tabs>
        <w:tab w:val="left" w:pos="567"/>
      </w:tabs>
      <w:snapToGrid w:val="0"/>
      <w:jc w:val="center"/>
      <w:rPr>
        <w:rFonts w:ascii="Arial" w:hAnsi="Arial" w:cs="Arial"/>
        <w:snapToGrid w:val="0"/>
        <w:sz w:val="22"/>
        <w:szCs w:val="22"/>
        <w:lang w:val="en-GB"/>
      </w:rPr>
    </w:pPr>
  </w:p>
  <w:p w14:paraId="4480FF1E" w14:textId="77777777" w:rsidR="002F2C67" w:rsidRPr="002F2C67" w:rsidRDefault="002F2C67" w:rsidP="002F2C67">
    <w:pPr>
      <w:tabs>
        <w:tab w:val="left" w:pos="567"/>
      </w:tabs>
      <w:snapToGrid w:val="0"/>
      <w:jc w:val="center"/>
      <w:rPr>
        <w:rFonts w:ascii="Arial" w:hAnsi="Arial" w:cs="Arial"/>
        <w:b/>
        <w:snapToGrid w:val="0"/>
        <w:sz w:val="28"/>
        <w:szCs w:val="28"/>
        <w:lang w:val="en-GB"/>
      </w:rPr>
    </w:pPr>
    <w:r w:rsidRPr="002F2C67">
      <w:rPr>
        <w:rFonts w:ascii="Arial" w:hAnsi="Arial" w:cs="Arial"/>
        <w:noProof/>
        <w:snapToGrid w:val="0"/>
        <w:sz w:val="22"/>
        <w:lang w:val="fr-FR" w:eastAsia="fr-FR"/>
      </w:rPr>
      <mc:AlternateContent>
        <mc:Choice Requires="wps">
          <w:drawing>
            <wp:anchor distT="0" distB="0" distL="114300" distR="114300" simplePos="0" relativeHeight="251660288" behindDoc="1" locked="0" layoutInCell="1" allowOverlap="1" wp14:anchorId="76C7672D" wp14:editId="5ACE147E">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2493A87C" w14:textId="77777777" w:rsidR="002F2C67" w:rsidRPr="00DE7974" w:rsidRDefault="002F2C67" w:rsidP="002F2C67">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C7672D"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619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">
              <v:textbox style="mso-fit-shape-to-text:t">
                <w:txbxContent>
                  <w:p w14:paraId="2493A87C" w14:textId="77777777" w:rsidR="002F2C67" w:rsidRPr="00DE7974" w:rsidRDefault="002F2C67" w:rsidP="002F2C67">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23C7F67F" w14:textId="77777777" w:rsidR="002F2C67" w:rsidRPr="002F2C67" w:rsidRDefault="002F2C67" w:rsidP="002F2C67">
    <w:pPr>
      <w:tabs>
        <w:tab w:val="left" w:pos="567"/>
      </w:tabs>
      <w:snapToGrid w:val="0"/>
      <w:jc w:val="center"/>
      <w:rPr>
        <w:rFonts w:ascii="Arial" w:hAnsi="Arial" w:cs="Arial"/>
        <w:snapToGrid w:val="0"/>
        <w:sz w:val="22"/>
        <w:szCs w:val="22"/>
        <w:lang w:val="en-GB"/>
      </w:rPr>
    </w:pPr>
  </w:p>
  <w:p w14:paraId="49481C62" w14:textId="77777777" w:rsidR="002F2C67" w:rsidRPr="002F2C67" w:rsidRDefault="002F2C67" w:rsidP="002F2C67">
    <w:pPr>
      <w:tabs>
        <w:tab w:val="left" w:pos="567"/>
      </w:tabs>
      <w:snapToGrid w:val="0"/>
      <w:jc w:val="center"/>
      <w:rPr>
        <w:rFonts w:ascii="Arial" w:hAnsi="Arial" w:cs="Arial"/>
        <w:snapToGrid w:val="0"/>
        <w:sz w:val="22"/>
        <w:szCs w:val="22"/>
        <w:lang w:val="en-GB"/>
      </w:rPr>
    </w:pPr>
  </w:p>
  <w:p w14:paraId="6E75C8EB" w14:textId="77777777" w:rsidR="002F2C67" w:rsidRPr="002F2C67" w:rsidRDefault="002F2C67" w:rsidP="002F2C67">
    <w:pPr>
      <w:tabs>
        <w:tab w:val="left" w:pos="567"/>
      </w:tabs>
      <w:snapToGrid w:val="0"/>
      <w:jc w:val="center"/>
      <w:rPr>
        <w:rFonts w:ascii="Arial" w:hAnsi="Arial" w:cs="Arial"/>
        <w:snapToGrid w:val="0"/>
        <w:sz w:val="22"/>
        <w:szCs w:val="22"/>
        <w:lang w:val="en-GB"/>
      </w:rPr>
    </w:pPr>
  </w:p>
  <w:p w14:paraId="37A9E019" w14:textId="77777777" w:rsidR="002F2C67" w:rsidRPr="002F2C67" w:rsidRDefault="002F2C67" w:rsidP="002F2C67">
    <w:pPr>
      <w:tabs>
        <w:tab w:val="left" w:pos="567"/>
      </w:tabs>
      <w:snapToGrid w:val="0"/>
      <w:rPr>
        <w:rFonts w:ascii="Arial" w:hAnsi="Arial" w:cs="Arial"/>
        <w:snapToGrid w:val="0"/>
        <w:sz w:val="22"/>
        <w:szCs w:val="22"/>
        <w:lang w:val="en-GB"/>
      </w:rPr>
    </w:pPr>
  </w:p>
  <w:p w14:paraId="0B06FB53" w14:textId="77777777" w:rsidR="002F2C67" w:rsidRPr="002F2C67" w:rsidRDefault="002F2C67" w:rsidP="002F2C67">
    <w:pPr>
      <w:tabs>
        <w:tab w:val="left" w:pos="567"/>
      </w:tabs>
      <w:snapToGrid w:val="0"/>
      <w:rPr>
        <w:rFonts w:ascii="Arial" w:hAnsi="Arial" w:cs="Arial"/>
        <w:snapToGrid w:val="0"/>
        <w:sz w:val="22"/>
        <w:szCs w:val="22"/>
        <w:lang w:val="en-GB"/>
      </w:rPr>
    </w:pPr>
  </w:p>
  <w:p w14:paraId="667AACF9" w14:textId="77777777" w:rsidR="002F2C67" w:rsidRPr="002F2C67" w:rsidRDefault="002F2C67" w:rsidP="002F2C67">
    <w:pPr>
      <w:tabs>
        <w:tab w:val="left" w:pos="567"/>
        <w:tab w:val="center" w:pos="4703"/>
        <w:tab w:val="right" w:pos="9406"/>
      </w:tabs>
      <w:snapToGrid w:val="0"/>
      <w:jc w:val="center"/>
      <w:rPr>
        <w:rFonts w:ascii="Arial" w:hAnsi="Arial" w:cs="Arial"/>
        <w:b/>
        <w:bCs/>
        <w:caps/>
        <w:snapToGrid w:val="0"/>
        <w:lang w:val="en-GB"/>
      </w:rPr>
    </w:pPr>
    <w:r w:rsidRPr="002F2C67">
      <w:rPr>
        <w:rFonts w:ascii="Arial" w:hAnsi="Arial" w:cs="Arial"/>
        <w:b/>
        <w:bCs/>
        <w:caps/>
        <w:snapToGrid w:val="0"/>
        <w:lang w:val="en-GB"/>
      </w:rPr>
      <w:t>UN Decade of Ocean Science for Sustainable Development</w:t>
    </w:r>
  </w:p>
  <w:p w14:paraId="0B4AB19D" w14:textId="77777777" w:rsidR="002F2C67" w:rsidRPr="002F2C67" w:rsidRDefault="002F2C67" w:rsidP="002F2C67">
    <w:pPr>
      <w:tabs>
        <w:tab w:val="left" w:pos="567"/>
        <w:tab w:val="center" w:pos="4703"/>
        <w:tab w:val="right" w:pos="9406"/>
      </w:tabs>
      <w:snapToGrid w:val="0"/>
      <w:jc w:val="center"/>
      <w:rPr>
        <w:rFonts w:ascii="Arial" w:hAnsi="Arial" w:cs="Arial"/>
        <w:b/>
        <w:bCs/>
        <w:caps/>
        <w:snapToGrid w:val="0"/>
        <w:lang w:val="en-GB"/>
      </w:rPr>
    </w:pPr>
    <w:r w:rsidRPr="002F2C67">
      <w:rPr>
        <w:rFonts w:ascii="Arial" w:hAnsi="Arial" w:cs="Arial"/>
        <w:b/>
        <w:bCs/>
        <w:caps/>
        <w:snapToGrid w:val="0"/>
        <w:lang w:val="en-GB"/>
      </w:rPr>
      <w:t>Preliminary Framework for the Ocean Decade Resource Mobilisation Strategy</w:t>
    </w:r>
  </w:p>
  <w:p w14:paraId="25E44345" w14:textId="4CDA1C40" w:rsidR="002F2C67" w:rsidRPr="002F2C67" w:rsidRDefault="002F2C67" w:rsidP="002F2C67">
    <w:pPr>
      <w:tabs>
        <w:tab w:val="left" w:pos="567"/>
        <w:tab w:val="center" w:pos="4703"/>
        <w:tab w:val="right" w:pos="9406"/>
      </w:tabs>
      <w:snapToGrid w:val="0"/>
      <w:jc w:val="center"/>
      <w:rPr>
        <w:rFonts w:ascii="Arial" w:hAnsi="Arial" w:cs="Arial"/>
        <w:b/>
        <w:bCs/>
        <w:caps/>
        <w:snapToGrid w:val="0"/>
        <w:lang w:val="en-GB"/>
      </w:rPr>
    </w:pPr>
  </w:p>
  <w:p w14:paraId="26431BA4" w14:textId="2A8C4CB0" w:rsidR="007B6A40" w:rsidRPr="002F2C67" w:rsidRDefault="007B6A40" w:rsidP="00141C32">
    <w:pPr>
      <w:pStyle w:val="Header"/>
      <w:jc w:val="center"/>
      <w:rPr>
        <w:rFonts w:ascii="Arial" w:hAnsi="Arial" w:cs="Arial"/>
      </w:rPr>
    </w:pPr>
    <w:r w:rsidRPr="002F2C67">
      <w:rPr>
        <w:rFonts w:ascii="Arial" w:eastAsia="Times New Roman" w:hAnsi="Arial" w:cs="Arial"/>
        <w:color w:val="000000"/>
        <w:bdr w:val="none" w:sz="0" w:space="0" w:color="auto" w:frame="1"/>
        <w:shd w:val="clear" w:color="auto" w:fill="FFFFFF"/>
      </w:rPr>
      <w:fldChar w:fldCharType="begin"/>
    </w:r>
    <w:r w:rsidRPr="002F2C67">
      <w:rPr>
        <w:rFonts w:ascii="Arial" w:eastAsia="Times New Roman" w:hAnsi="Arial" w:cs="Arial"/>
        <w:color w:val="000000"/>
        <w:bdr w:val="none" w:sz="0" w:space="0" w:color="auto" w:frame="1"/>
        <w:shd w:val="clear" w:color="auto" w:fill="FFFFFF"/>
      </w:rPr>
      <w:instrText xml:space="preserve"> INCLUDEPICTURE "https://lh6.googleusercontent.com/t63lojVdnGMq13AiWOZ5dNqkdScqrvPPtPK9rRf8OfPqm6uqnu74fPwXm-f5RCU0E8Ol15ELU5W0VKxigFAz9hOoZINhXzv6TlG8cNHUA4bJmY2BE-owjKyqf-gPs3zYmkgPJCDu" \* MERGEFORMATINET </w:instrText>
    </w:r>
    <w:r w:rsidRPr="002F2C67">
      <w:rPr>
        <w:rFonts w:ascii="Arial" w:eastAsia="Times New Roman" w:hAnsi="Arial" w:cs="Arial"/>
        <w:color w:val="000000"/>
        <w:bdr w:val="none" w:sz="0" w:space="0" w:color="auto" w:frame="1"/>
        <w:shd w:val="clear" w:color="auto" w:fil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357A"/>
    <w:multiLevelType w:val="hybridMultilevel"/>
    <w:tmpl w:val="B94AF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B217A"/>
    <w:multiLevelType w:val="hybridMultilevel"/>
    <w:tmpl w:val="12C20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352FE"/>
    <w:multiLevelType w:val="hybridMultilevel"/>
    <w:tmpl w:val="3402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66EE1"/>
    <w:multiLevelType w:val="hybridMultilevel"/>
    <w:tmpl w:val="8EFE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73870"/>
    <w:multiLevelType w:val="hybridMultilevel"/>
    <w:tmpl w:val="D484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71C49"/>
    <w:multiLevelType w:val="hybridMultilevel"/>
    <w:tmpl w:val="CB0E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2059"/>
    <w:multiLevelType w:val="hybridMultilevel"/>
    <w:tmpl w:val="F05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244D7"/>
    <w:multiLevelType w:val="hybridMultilevel"/>
    <w:tmpl w:val="94620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914EE"/>
    <w:multiLevelType w:val="hybridMultilevel"/>
    <w:tmpl w:val="40D0E240"/>
    <w:lvl w:ilvl="0" w:tplc="5D68B8A8">
      <w:start w:val="1"/>
      <w:numFmt w:val="decimal"/>
      <w:lvlText w:val="%1."/>
      <w:lvlJc w:val="left"/>
      <w:pPr>
        <w:ind w:left="260" w:hanging="720"/>
      </w:pPr>
      <w:rPr>
        <w:rFonts w:ascii="Arial" w:eastAsia="Arial" w:hAnsi="Arial" w:cs="Arial" w:hint="default"/>
        <w:spacing w:val="-1"/>
        <w:w w:val="100"/>
        <w:sz w:val="22"/>
        <w:szCs w:val="22"/>
        <w:lang w:val="fr-FR" w:eastAsia="en-US" w:bidi="ar-SA"/>
      </w:rPr>
    </w:lvl>
    <w:lvl w:ilvl="1" w:tplc="865A8DEA">
      <w:numFmt w:val="bullet"/>
      <w:lvlText w:val="•"/>
      <w:lvlJc w:val="left"/>
      <w:pPr>
        <w:ind w:left="1248" w:hanging="720"/>
      </w:pPr>
      <w:rPr>
        <w:rFonts w:hint="default"/>
        <w:lang w:val="fr-FR" w:eastAsia="en-US" w:bidi="ar-SA"/>
      </w:rPr>
    </w:lvl>
    <w:lvl w:ilvl="2" w:tplc="E6E6A92A">
      <w:numFmt w:val="bullet"/>
      <w:lvlText w:val="•"/>
      <w:lvlJc w:val="left"/>
      <w:pPr>
        <w:ind w:left="2236" w:hanging="720"/>
      </w:pPr>
      <w:rPr>
        <w:rFonts w:hint="default"/>
        <w:lang w:val="fr-FR" w:eastAsia="en-US" w:bidi="ar-SA"/>
      </w:rPr>
    </w:lvl>
    <w:lvl w:ilvl="3" w:tplc="61685ADE">
      <w:numFmt w:val="bullet"/>
      <w:lvlText w:val="•"/>
      <w:lvlJc w:val="left"/>
      <w:pPr>
        <w:ind w:left="3224" w:hanging="720"/>
      </w:pPr>
      <w:rPr>
        <w:rFonts w:hint="default"/>
        <w:lang w:val="fr-FR" w:eastAsia="en-US" w:bidi="ar-SA"/>
      </w:rPr>
    </w:lvl>
    <w:lvl w:ilvl="4" w:tplc="93B895B6">
      <w:numFmt w:val="bullet"/>
      <w:lvlText w:val="•"/>
      <w:lvlJc w:val="left"/>
      <w:pPr>
        <w:ind w:left="4212" w:hanging="720"/>
      </w:pPr>
      <w:rPr>
        <w:rFonts w:hint="default"/>
        <w:lang w:val="fr-FR" w:eastAsia="en-US" w:bidi="ar-SA"/>
      </w:rPr>
    </w:lvl>
    <w:lvl w:ilvl="5" w:tplc="0CDCBCC2">
      <w:numFmt w:val="bullet"/>
      <w:lvlText w:val="•"/>
      <w:lvlJc w:val="left"/>
      <w:pPr>
        <w:ind w:left="5200" w:hanging="720"/>
      </w:pPr>
      <w:rPr>
        <w:rFonts w:hint="default"/>
        <w:lang w:val="fr-FR" w:eastAsia="en-US" w:bidi="ar-SA"/>
      </w:rPr>
    </w:lvl>
    <w:lvl w:ilvl="6" w:tplc="07884BCE">
      <w:numFmt w:val="bullet"/>
      <w:lvlText w:val="•"/>
      <w:lvlJc w:val="left"/>
      <w:pPr>
        <w:ind w:left="6188" w:hanging="720"/>
      </w:pPr>
      <w:rPr>
        <w:rFonts w:hint="default"/>
        <w:lang w:val="fr-FR" w:eastAsia="en-US" w:bidi="ar-SA"/>
      </w:rPr>
    </w:lvl>
    <w:lvl w:ilvl="7" w:tplc="84F05CB0">
      <w:numFmt w:val="bullet"/>
      <w:lvlText w:val="•"/>
      <w:lvlJc w:val="left"/>
      <w:pPr>
        <w:ind w:left="7176" w:hanging="720"/>
      </w:pPr>
      <w:rPr>
        <w:rFonts w:hint="default"/>
        <w:lang w:val="fr-FR" w:eastAsia="en-US" w:bidi="ar-SA"/>
      </w:rPr>
    </w:lvl>
    <w:lvl w:ilvl="8" w:tplc="42041A96">
      <w:numFmt w:val="bullet"/>
      <w:lvlText w:val="•"/>
      <w:lvlJc w:val="left"/>
      <w:pPr>
        <w:ind w:left="8164" w:hanging="720"/>
      </w:pPr>
      <w:rPr>
        <w:rFonts w:hint="default"/>
        <w:lang w:val="fr-FR" w:eastAsia="en-US" w:bidi="ar-SA"/>
      </w:rPr>
    </w:lvl>
  </w:abstractNum>
  <w:abstractNum w:abstractNumId="9" w15:restartNumberingAfterBreak="0">
    <w:nsid w:val="2E704B9E"/>
    <w:multiLevelType w:val="hybridMultilevel"/>
    <w:tmpl w:val="882E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2505C"/>
    <w:multiLevelType w:val="hybridMultilevel"/>
    <w:tmpl w:val="3D7C41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5204FD7"/>
    <w:multiLevelType w:val="hybridMultilevel"/>
    <w:tmpl w:val="72303260"/>
    <w:lvl w:ilvl="0" w:tplc="D2BE3FCC">
      <w:start w:val="1"/>
      <w:numFmt w:val="decimal"/>
      <w:lvlText w:val="%1."/>
      <w:lvlJc w:val="left"/>
      <w:pPr>
        <w:ind w:left="260" w:hanging="720"/>
      </w:pPr>
      <w:rPr>
        <w:rFonts w:ascii="Arial" w:eastAsia="Arial" w:hAnsi="Arial" w:cs="Arial" w:hint="default"/>
        <w:spacing w:val="-1"/>
        <w:w w:val="100"/>
        <w:sz w:val="22"/>
        <w:szCs w:val="22"/>
        <w:lang w:val="fr-FR" w:eastAsia="en-US" w:bidi="ar-SA"/>
      </w:rPr>
    </w:lvl>
    <w:lvl w:ilvl="1" w:tplc="CED69744">
      <w:numFmt w:val="bullet"/>
      <w:lvlText w:val="•"/>
      <w:lvlJc w:val="left"/>
      <w:pPr>
        <w:ind w:left="1248" w:hanging="720"/>
      </w:pPr>
      <w:rPr>
        <w:rFonts w:hint="default"/>
        <w:lang w:val="fr-FR" w:eastAsia="en-US" w:bidi="ar-SA"/>
      </w:rPr>
    </w:lvl>
    <w:lvl w:ilvl="2" w:tplc="6F4656C2">
      <w:numFmt w:val="bullet"/>
      <w:lvlText w:val="•"/>
      <w:lvlJc w:val="left"/>
      <w:pPr>
        <w:ind w:left="2236" w:hanging="720"/>
      </w:pPr>
      <w:rPr>
        <w:rFonts w:hint="default"/>
        <w:lang w:val="fr-FR" w:eastAsia="en-US" w:bidi="ar-SA"/>
      </w:rPr>
    </w:lvl>
    <w:lvl w:ilvl="3" w:tplc="AE1CF2DA">
      <w:numFmt w:val="bullet"/>
      <w:lvlText w:val="•"/>
      <w:lvlJc w:val="left"/>
      <w:pPr>
        <w:ind w:left="3224" w:hanging="720"/>
      </w:pPr>
      <w:rPr>
        <w:rFonts w:hint="default"/>
        <w:lang w:val="fr-FR" w:eastAsia="en-US" w:bidi="ar-SA"/>
      </w:rPr>
    </w:lvl>
    <w:lvl w:ilvl="4" w:tplc="5EE28A2C">
      <w:numFmt w:val="bullet"/>
      <w:lvlText w:val="•"/>
      <w:lvlJc w:val="left"/>
      <w:pPr>
        <w:ind w:left="4212" w:hanging="720"/>
      </w:pPr>
      <w:rPr>
        <w:rFonts w:hint="default"/>
        <w:lang w:val="fr-FR" w:eastAsia="en-US" w:bidi="ar-SA"/>
      </w:rPr>
    </w:lvl>
    <w:lvl w:ilvl="5" w:tplc="65F844D2">
      <w:numFmt w:val="bullet"/>
      <w:lvlText w:val="•"/>
      <w:lvlJc w:val="left"/>
      <w:pPr>
        <w:ind w:left="5200" w:hanging="720"/>
      </w:pPr>
      <w:rPr>
        <w:rFonts w:hint="default"/>
        <w:lang w:val="fr-FR" w:eastAsia="en-US" w:bidi="ar-SA"/>
      </w:rPr>
    </w:lvl>
    <w:lvl w:ilvl="6" w:tplc="8B4A1DBE">
      <w:numFmt w:val="bullet"/>
      <w:lvlText w:val="•"/>
      <w:lvlJc w:val="left"/>
      <w:pPr>
        <w:ind w:left="6188" w:hanging="720"/>
      </w:pPr>
      <w:rPr>
        <w:rFonts w:hint="default"/>
        <w:lang w:val="fr-FR" w:eastAsia="en-US" w:bidi="ar-SA"/>
      </w:rPr>
    </w:lvl>
    <w:lvl w:ilvl="7" w:tplc="6354F1A4">
      <w:numFmt w:val="bullet"/>
      <w:lvlText w:val="•"/>
      <w:lvlJc w:val="left"/>
      <w:pPr>
        <w:ind w:left="7176" w:hanging="720"/>
      </w:pPr>
      <w:rPr>
        <w:rFonts w:hint="default"/>
        <w:lang w:val="fr-FR" w:eastAsia="en-US" w:bidi="ar-SA"/>
      </w:rPr>
    </w:lvl>
    <w:lvl w:ilvl="8" w:tplc="9F6EDF86">
      <w:numFmt w:val="bullet"/>
      <w:lvlText w:val="•"/>
      <w:lvlJc w:val="left"/>
      <w:pPr>
        <w:ind w:left="8164" w:hanging="720"/>
      </w:pPr>
      <w:rPr>
        <w:rFonts w:hint="default"/>
        <w:lang w:val="fr-FR" w:eastAsia="en-US" w:bidi="ar-SA"/>
      </w:rPr>
    </w:lvl>
  </w:abstractNum>
  <w:abstractNum w:abstractNumId="13" w15:restartNumberingAfterBreak="0">
    <w:nsid w:val="3A5D389C"/>
    <w:multiLevelType w:val="hybridMultilevel"/>
    <w:tmpl w:val="CD7C8B86"/>
    <w:lvl w:ilvl="0" w:tplc="2E5833A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912AEC"/>
    <w:multiLevelType w:val="hybridMultilevel"/>
    <w:tmpl w:val="EE48D468"/>
    <w:lvl w:ilvl="0" w:tplc="1AE88C40">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94A90"/>
    <w:multiLevelType w:val="hybridMultilevel"/>
    <w:tmpl w:val="5DC0F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B00506"/>
    <w:multiLevelType w:val="hybridMultilevel"/>
    <w:tmpl w:val="A5B6B3F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95554DB"/>
    <w:multiLevelType w:val="hybridMultilevel"/>
    <w:tmpl w:val="21A63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255261"/>
    <w:multiLevelType w:val="hybridMultilevel"/>
    <w:tmpl w:val="323226AC"/>
    <w:lvl w:ilvl="0" w:tplc="FE76BE5A">
      <w:start w:val="1"/>
      <w:numFmt w:val="decimal"/>
      <w:lvlText w:val="%1."/>
      <w:lvlJc w:val="left"/>
      <w:pPr>
        <w:ind w:left="260" w:hanging="720"/>
      </w:pPr>
      <w:rPr>
        <w:rFonts w:ascii="Arial" w:eastAsia="Arial" w:hAnsi="Arial" w:cs="Arial" w:hint="default"/>
        <w:spacing w:val="-1"/>
        <w:w w:val="100"/>
        <w:sz w:val="22"/>
        <w:szCs w:val="22"/>
        <w:lang w:val="fr-FR" w:eastAsia="en-US" w:bidi="ar-SA"/>
      </w:rPr>
    </w:lvl>
    <w:lvl w:ilvl="1" w:tplc="1D90625A">
      <w:numFmt w:val="bullet"/>
      <w:lvlText w:val="•"/>
      <w:lvlJc w:val="left"/>
      <w:pPr>
        <w:ind w:left="1248" w:hanging="720"/>
      </w:pPr>
      <w:rPr>
        <w:rFonts w:hint="default"/>
        <w:lang w:val="fr-FR" w:eastAsia="en-US" w:bidi="ar-SA"/>
      </w:rPr>
    </w:lvl>
    <w:lvl w:ilvl="2" w:tplc="7DD4C672">
      <w:numFmt w:val="bullet"/>
      <w:lvlText w:val="•"/>
      <w:lvlJc w:val="left"/>
      <w:pPr>
        <w:ind w:left="2236" w:hanging="720"/>
      </w:pPr>
      <w:rPr>
        <w:rFonts w:hint="default"/>
        <w:lang w:val="fr-FR" w:eastAsia="en-US" w:bidi="ar-SA"/>
      </w:rPr>
    </w:lvl>
    <w:lvl w:ilvl="3" w:tplc="8A64A452">
      <w:numFmt w:val="bullet"/>
      <w:lvlText w:val="•"/>
      <w:lvlJc w:val="left"/>
      <w:pPr>
        <w:ind w:left="3224" w:hanging="720"/>
      </w:pPr>
      <w:rPr>
        <w:rFonts w:hint="default"/>
        <w:lang w:val="fr-FR" w:eastAsia="en-US" w:bidi="ar-SA"/>
      </w:rPr>
    </w:lvl>
    <w:lvl w:ilvl="4" w:tplc="655E53B2">
      <w:numFmt w:val="bullet"/>
      <w:lvlText w:val="•"/>
      <w:lvlJc w:val="left"/>
      <w:pPr>
        <w:ind w:left="4212" w:hanging="720"/>
      </w:pPr>
      <w:rPr>
        <w:rFonts w:hint="default"/>
        <w:lang w:val="fr-FR" w:eastAsia="en-US" w:bidi="ar-SA"/>
      </w:rPr>
    </w:lvl>
    <w:lvl w:ilvl="5" w:tplc="444EB020">
      <w:numFmt w:val="bullet"/>
      <w:lvlText w:val="•"/>
      <w:lvlJc w:val="left"/>
      <w:pPr>
        <w:ind w:left="5200" w:hanging="720"/>
      </w:pPr>
      <w:rPr>
        <w:rFonts w:hint="default"/>
        <w:lang w:val="fr-FR" w:eastAsia="en-US" w:bidi="ar-SA"/>
      </w:rPr>
    </w:lvl>
    <w:lvl w:ilvl="6" w:tplc="6430E5BA">
      <w:numFmt w:val="bullet"/>
      <w:lvlText w:val="•"/>
      <w:lvlJc w:val="left"/>
      <w:pPr>
        <w:ind w:left="6188" w:hanging="720"/>
      </w:pPr>
      <w:rPr>
        <w:rFonts w:hint="default"/>
        <w:lang w:val="fr-FR" w:eastAsia="en-US" w:bidi="ar-SA"/>
      </w:rPr>
    </w:lvl>
    <w:lvl w:ilvl="7" w:tplc="9B8CC920">
      <w:numFmt w:val="bullet"/>
      <w:lvlText w:val="•"/>
      <w:lvlJc w:val="left"/>
      <w:pPr>
        <w:ind w:left="7176" w:hanging="720"/>
      </w:pPr>
      <w:rPr>
        <w:rFonts w:hint="default"/>
        <w:lang w:val="fr-FR" w:eastAsia="en-US" w:bidi="ar-SA"/>
      </w:rPr>
    </w:lvl>
    <w:lvl w:ilvl="8" w:tplc="7A1C1F9E">
      <w:numFmt w:val="bullet"/>
      <w:lvlText w:val="•"/>
      <w:lvlJc w:val="left"/>
      <w:pPr>
        <w:ind w:left="8164" w:hanging="720"/>
      </w:pPr>
      <w:rPr>
        <w:rFonts w:hint="default"/>
        <w:lang w:val="fr-FR" w:eastAsia="en-US" w:bidi="ar-SA"/>
      </w:rPr>
    </w:lvl>
  </w:abstractNum>
  <w:abstractNum w:abstractNumId="19" w15:restartNumberingAfterBreak="0">
    <w:nsid w:val="657052ED"/>
    <w:multiLevelType w:val="hybridMultilevel"/>
    <w:tmpl w:val="59F4471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0" w15:restartNumberingAfterBreak="0">
    <w:nsid w:val="6AC13B5A"/>
    <w:multiLevelType w:val="hybridMultilevel"/>
    <w:tmpl w:val="8E14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1"/>
  </w:num>
  <w:num w:numId="4">
    <w:abstractNumId w:val="15"/>
  </w:num>
  <w:num w:numId="5">
    <w:abstractNumId w:val="17"/>
  </w:num>
  <w:num w:numId="6">
    <w:abstractNumId w:val="14"/>
  </w:num>
  <w:num w:numId="7">
    <w:abstractNumId w:val="9"/>
  </w:num>
  <w:num w:numId="8">
    <w:abstractNumId w:val="1"/>
  </w:num>
  <w:num w:numId="9">
    <w:abstractNumId w:val="3"/>
  </w:num>
  <w:num w:numId="10">
    <w:abstractNumId w:val="6"/>
  </w:num>
  <w:num w:numId="11">
    <w:abstractNumId w:val="20"/>
  </w:num>
  <w:num w:numId="12">
    <w:abstractNumId w:val="0"/>
  </w:num>
  <w:num w:numId="13">
    <w:abstractNumId w:val="8"/>
  </w:num>
  <w:num w:numId="14">
    <w:abstractNumId w:val="2"/>
  </w:num>
  <w:num w:numId="15">
    <w:abstractNumId w:val="4"/>
  </w:num>
  <w:num w:numId="16">
    <w:abstractNumId w:val="19"/>
  </w:num>
  <w:num w:numId="17">
    <w:abstractNumId w:val="7"/>
  </w:num>
  <w:num w:numId="18">
    <w:abstractNumId w:val="12"/>
  </w:num>
  <w:num w:numId="19">
    <w:abstractNumId w:val="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D4"/>
    <w:rsid w:val="0000065B"/>
    <w:rsid w:val="000006BC"/>
    <w:rsid w:val="000163DF"/>
    <w:rsid w:val="0002722A"/>
    <w:rsid w:val="00027B41"/>
    <w:rsid w:val="00033D9F"/>
    <w:rsid w:val="00035754"/>
    <w:rsid w:val="0003742F"/>
    <w:rsid w:val="00037FFE"/>
    <w:rsid w:val="00040D35"/>
    <w:rsid w:val="00041F40"/>
    <w:rsid w:val="00041FE1"/>
    <w:rsid w:val="00042C27"/>
    <w:rsid w:val="00044398"/>
    <w:rsid w:val="00045E72"/>
    <w:rsid w:val="000535AB"/>
    <w:rsid w:val="00064BF4"/>
    <w:rsid w:val="0007180B"/>
    <w:rsid w:val="000802CC"/>
    <w:rsid w:val="000829F7"/>
    <w:rsid w:val="000840C2"/>
    <w:rsid w:val="00094CFF"/>
    <w:rsid w:val="000A62A9"/>
    <w:rsid w:val="000A6711"/>
    <w:rsid w:val="000B55C1"/>
    <w:rsid w:val="000C39A2"/>
    <w:rsid w:val="000D5296"/>
    <w:rsid w:val="000D60CD"/>
    <w:rsid w:val="000D61C5"/>
    <w:rsid w:val="000D7E7C"/>
    <w:rsid w:val="000E644D"/>
    <w:rsid w:val="001128DA"/>
    <w:rsid w:val="00120F13"/>
    <w:rsid w:val="0012306C"/>
    <w:rsid w:val="00132F02"/>
    <w:rsid w:val="00134532"/>
    <w:rsid w:val="001359DC"/>
    <w:rsid w:val="001372DC"/>
    <w:rsid w:val="00141C32"/>
    <w:rsid w:val="00146BB2"/>
    <w:rsid w:val="00160C81"/>
    <w:rsid w:val="00172EA9"/>
    <w:rsid w:val="00174A76"/>
    <w:rsid w:val="00175297"/>
    <w:rsid w:val="00176A3C"/>
    <w:rsid w:val="00177484"/>
    <w:rsid w:val="00182A21"/>
    <w:rsid w:val="00190D94"/>
    <w:rsid w:val="00191DB4"/>
    <w:rsid w:val="00193478"/>
    <w:rsid w:val="00194CE8"/>
    <w:rsid w:val="001A24DF"/>
    <w:rsid w:val="001A5FA9"/>
    <w:rsid w:val="001B096D"/>
    <w:rsid w:val="001B582E"/>
    <w:rsid w:val="001B5E62"/>
    <w:rsid w:val="001B6628"/>
    <w:rsid w:val="00204776"/>
    <w:rsid w:val="0023258E"/>
    <w:rsid w:val="0023331D"/>
    <w:rsid w:val="00243EE6"/>
    <w:rsid w:val="00251987"/>
    <w:rsid w:val="00252007"/>
    <w:rsid w:val="0026550D"/>
    <w:rsid w:val="0027057B"/>
    <w:rsid w:val="00271790"/>
    <w:rsid w:val="00272F19"/>
    <w:rsid w:val="00273E03"/>
    <w:rsid w:val="0028518B"/>
    <w:rsid w:val="002A1345"/>
    <w:rsid w:val="002A1E8A"/>
    <w:rsid w:val="002B0C57"/>
    <w:rsid w:val="002B4538"/>
    <w:rsid w:val="002B5796"/>
    <w:rsid w:val="002D026C"/>
    <w:rsid w:val="002F2C67"/>
    <w:rsid w:val="002F5799"/>
    <w:rsid w:val="003019EE"/>
    <w:rsid w:val="00311917"/>
    <w:rsid w:val="00330474"/>
    <w:rsid w:val="00337BA5"/>
    <w:rsid w:val="00370B18"/>
    <w:rsid w:val="00372BC6"/>
    <w:rsid w:val="00377A08"/>
    <w:rsid w:val="0038011C"/>
    <w:rsid w:val="00380BB7"/>
    <w:rsid w:val="003879CC"/>
    <w:rsid w:val="0039539F"/>
    <w:rsid w:val="003A6756"/>
    <w:rsid w:val="003B06D5"/>
    <w:rsid w:val="003B22E8"/>
    <w:rsid w:val="003B31F9"/>
    <w:rsid w:val="003C03D3"/>
    <w:rsid w:val="003C1BDF"/>
    <w:rsid w:val="003E1451"/>
    <w:rsid w:val="003F0405"/>
    <w:rsid w:val="003F2A70"/>
    <w:rsid w:val="0040674E"/>
    <w:rsid w:val="00410CC6"/>
    <w:rsid w:val="0042714A"/>
    <w:rsid w:val="004313BD"/>
    <w:rsid w:val="004357D1"/>
    <w:rsid w:val="004465D0"/>
    <w:rsid w:val="0045032F"/>
    <w:rsid w:val="00450DB8"/>
    <w:rsid w:val="004638F7"/>
    <w:rsid w:val="0047503B"/>
    <w:rsid w:val="0048557B"/>
    <w:rsid w:val="00486DD6"/>
    <w:rsid w:val="00487ED1"/>
    <w:rsid w:val="00492C87"/>
    <w:rsid w:val="004972A0"/>
    <w:rsid w:val="004A06CF"/>
    <w:rsid w:val="004B74B9"/>
    <w:rsid w:val="004C3059"/>
    <w:rsid w:val="004E11A4"/>
    <w:rsid w:val="004E6E29"/>
    <w:rsid w:val="004F25C7"/>
    <w:rsid w:val="004F4CA7"/>
    <w:rsid w:val="004F7CBE"/>
    <w:rsid w:val="00501878"/>
    <w:rsid w:val="005101A2"/>
    <w:rsid w:val="00522E37"/>
    <w:rsid w:val="005252BE"/>
    <w:rsid w:val="005269FA"/>
    <w:rsid w:val="00533BFE"/>
    <w:rsid w:val="005379F0"/>
    <w:rsid w:val="00544C57"/>
    <w:rsid w:val="00547876"/>
    <w:rsid w:val="00553151"/>
    <w:rsid w:val="00560942"/>
    <w:rsid w:val="005611A2"/>
    <w:rsid w:val="00574021"/>
    <w:rsid w:val="00576724"/>
    <w:rsid w:val="0058006E"/>
    <w:rsid w:val="0058751C"/>
    <w:rsid w:val="00592A9B"/>
    <w:rsid w:val="005B483D"/>
    <w:rsid w:val="005C40D1"/>
    <w:rsid w:val="005D591F"/>
    <w:rsid w:val="005E507A"/>
    <w:rsid w:val="005E6D89"/>
    <w:rsid w:val="005F08FB"/>
    <w:rsid w:val="005F7654"/>
    <w:rsid w:val="006076E8"/>
    <w:rsid w:val="00633083"/>
    <w:rsid w:val="00633267"/>
    <w:rsid w:val="00643F9E"/>
    <w:rsid w:val="006531B5"/>
    <w:rsid w:val="0065429C"/>
    <w:rsid w:val="00657F30"/>
    <w:rsid w:val="00675002"/>
    <w:rsid w:val="006768BC"/>
    <w:rsid w:val="006942B8"/>
    <w:rsid w:val="006A1EE4"/>
    <w:rsid w:val="006B29F2"/>
    <w:rsid w:val="006C3F8A"/>
    <w:rsid w:val="006C58D8"/>
    <w:rsid w:val="006F5638"/>
    <w:rsid w:val="0070711E"/>
    <w:rsid w:val="0070771F"/>
    <w:rsid w:val="00714E03"/>
    <w:rsid w:val="00715279"/>
    <w:rsid w:val="00715C5A"/>
    <w:rsid w:val="0072736C"/>
    <w:rsid w:val="007273DD"/>
    <w:rsid w:val="00733172"/>
    <w:rsid w:val="00736728"/>
    <w:rsid w:val="00743B90"/>
    <w:rsid w:val="00746F06"/>
    <w:rsid w:val="0076765E"/>
    <w:rsid w:val="00773547"/>
    <w:rsid w:val="0078255B"/>
    <w:rsid w:val="007932CB"/>
    <w:rsid w:val="00793819"/>
    <w:rsid w:val="007B2523"/>
    <w:rsid w:val="007B6A40"/>
    <w:rsid w:val="007C5851"/>
    <w:rsid w:val="007E3174"/>
    <w:rsid w:val="007F06FD"/>
    <w:rsid w:val="007F730B"/>
    <w:rsid w:val="008009B4"/>
    <w:rsid w:val="0080488A"/>
    <w:rsid w:val="00805001"/>
    <w:rsid w:val="0080578C"/>
    <w:rsid w:val="00811D90"/>
    <w:rsid w:val="00814C6C"/>
    <w:rsid w:val="00816262"/>
    <w:rsid w:val="0082308A"/>
    <w:rsid w:val="008355E0"/>
    <w:rsid w:val="00837CBC"/>
    <w:rsid w:val="0085020A"/>
    <w:rsid w:val="0085694E"/>
    <w:rsid w:val="00862B3A"/>
    <w:rsid w:val="00867DB4"/>
    <w:rsid w:val="008759F3"/>
    <w:rsid w:val="00895BA8"/>
    <w:rsid w:val="008C2E08"/>
    <w:rsid w:val="008C33ED"/>
    <w:rsid w:val="008C47A2"/>
    <w:rsid w:val="008D6231"/>
    <w:rsid w:val="008D79D7"/>
    <w:rsid w:val="008E1E2B"/>
    <w:rsid w:val="008E304C"/>
    <w:rsid w:val="008E30F3"/>
    <w:rsid w:val="008E7977"/>
    <w:rsid w:val="008F2A9B"/>
    <w:rsid w:val="008F43CF"/>
    <w:rsid w:val="009325E2"/>
    <w:rsid w:val="00932A2C"/>
    <w:rsid w:val="0093335E"/>
    <w:rsid w:val="00936683"/>
    <w:rsid w:val="0094514E"/>
    <w:rsid w:val="00946995"/>
    <w:rsid w:val="00954112"/>
    <w:rsid w:val="009605DA"/>
    <w:rsid w:val="00974CCA"/>
    <w:rsid w:val="00974F64"/>
    <w:rsid w:val="00977B50"/>
    <w:rsid w:val="009828AF"/>
    <w:rsid w:val="00983971"/>
    <w:rsid w:val="009925EC"/>
    <w:rsid w:val="009A18A9"/>
    <w:rsid w:val="009A6451"/>
    <w:rsid w:val="009A73FE"/>
    <w:rsid w:val="009C1511"/>
    <w:rsid w:val="009C295E"/>
    <w:rsid w:val="009D5C1F"/>
    <w:rsid w:val="009E727E"/>
    <w:rsid w:val="009F2BA9"/>
    <w:rsid w:val="009F63AA"/>
    <w:rsid w:val="009F661D"/>
    <w:rsid w:val="00A01710"/>
    <w:rsid w:val="00A018FD"/>
    <w:rsid w:val="00A1045B"/>
    <w:rsid w:val="00A10DA9"/>
    <w:rsid w:val="00A1367C"/>
    <w:rsid w:val="00A1503B"/>
    <w:rsid w:val="00A264E9"/>
    <w:rsid w:val="00A615D4"/>
    <w:rsid w:val="00A62F8E"/>
    <w:rsid w:val="00A65447"/>
    <w:rsid w:val="00A931CA"/>
    <w:rsid w:val="00A93E72"/>
    <w:rsid w:val="00A94274"/>
    <w:rsid w:val="00A946F0"/>
    <w:rsid w:val="00AA199F"/>
    <w:rsid w:val="00AB6633"/>
    <w:rsid w:val="00AD6F03"/>
    <w:rsid w:val="00AE009D"/>
    <w:rsid w:val="00AE1248"/>
    <w:rsid w:val="00AE4F42"/>
    <w:rsid w:val="00B11A64"/>
    <w:rsid w:val="00B1310C"/>
    <w:rsid w:val="00B32D54"/>
    <w:rsid w:val="00B50359"/>
    <w:rsid w:val="00B65D16"/>
    <w:rsid w:val="00B70648"/>
    <w:rsid w:val="00BC0F08"/>
    <w:rsid w:val="00BC7E75"/>
    <w:rsid w:val="00BD5186"/>
    <w:rsid w:val="00BE6ADA"/>
    <w:rsid w:val="00C026C1"/>
    <w:rsid w:val="00C03937"/>
    <w:rsid w:val="00C14FE2"/>
    <w:rsid w:val="00C2062E"/>
    <w:rsid w:val="00C23BD6"/>
    <w:rsid w:val="00C34B57"/>
    <w:rsid w:val="00C57C11"/>
    <w:rsid w:val="00C776C3"/>
    <w:rsid w:val="00C815A1"/>
    <w:rsid w:val="00C81DAF"/>
    <w:rsid w:val="00CC0A0C"/>
    <w:rsid w:val="00CD1989"/>
    <w:rsid w:val="00CD31B9"/>
    <w:rsid w:val="00CD52EB"/>
    <w:rsid w:val="00CF44ED"/>
    <w:rsid w:val="00CF5D6F"/>
    <w:rsid w:val="00CF69A6"/>
    <w:rsid w:val="00D04259"/>
    <w:rsid w:val="00D209E9"/>
    <w:rsid w:val="00D26278"/>
    <w:rsid w:val="00D33920"/>
    <w:rsid w:val="00D342C2"/>
    <w:rsid w:val="00D40CF5"/>
    <w:rsid w:val="00D411D4"/>
    <w:rsid w:val="00D45049"/>
    <w:rsid w:val="00D51021"/>
    <w:rsid w:val="00D5203E"/>
    <w:rsid w:val="00D52C78"/>
    <w:rsid w:val="00D66E86"/>
    <w:rsid w:val="00D70D2E"/>
    <w:rsid w:val="00D73DF3"/>
    <w:rsid w:val="00D75E50"/>
    <w:rsid w:val="00D76E23"/>
    <w:rsid w:val="00D77E0B"/>
    <w:rsid w:val="00D844D2"/>
    <w:rsid w:val="00D84F0C"/>
    <w:rsid w:val="00D933DA"/>
    <w:rsid w:val="00DA0B0C"/>
    <w:rsid w:val="00DA3E0C"/>
    <w:rsid w:val="00DA446D"/>
    <w:rsid w:val="00DA62C9"/>
    <w:rsid w:val="00DB0A16"/>
    <w:rsid w:val="00DB21F7"/>
    <w:rsid w:val="00DC355B"/>
    <w:rsid w:val="00DE2241"/>
    <w:rsid w:val="00DE28FC"/>
    <w:rsid w:val="00DE3E24"/>
    <w:rsid w:val="00DF60E7"/>
    <w:rsid w:val="00DF6EA5"/>
    <w:rsid w:val="00E023D4"/>
    <w:rsid w:val="00E024C4"/>
    <w:rsid w:val="00E02E04"/>
    <w:rsid w:val="00E0577B"/>
    <w:rsid w:val="00E23214"/>
    <w:rsid w:val="00E25C64"/>
    <w:rsid w:val="00E530E0"/>
    <w:rsid w:val="00E57FE9"/>
    <w:rsid w:val="00E60146"/>
    <w:rsid w:val="00E62F30"/>
    <w:rsid w:val="00E85A3C"/>
    <w:rsid w:val="00E95E32"/>
    <w:rsid w:val="00E97BFA"/>
    <w:rsid w:val="00EA4CBA"/>
    <w:rsid w:val="00EA7A4B"/>
    <w:rsid w:val="00EB4BFD"/>
    <w:rsid w:val="00EB6B25"/>
    <w:rsid w:val="00EC7556"/>
    <w:rsid w:val="00EE1159"/>
    <w:rsid w:val="00EF2B3D"/>
    <w:rsid w:val="00F1233E"/>
    <w:rsid w:val="00F3284B"/>
    <w:rsid w:val="00F33A6C"/>
    <w:rsid w:val="00F342B3"/>
    <w:rsid w:val="00F3641B"/>
    <w:rsid w:val="00F455B6"/>
    <w:rsid w:val="00F50251"/>
    <w:rsid w:val="00F568D8"/>
    <w:rsid w:val="00F606BC"/>
    <w:rsid w:val="00F61554"/>
    <w:rsid w:val="00F63B1E"/>
    <w:rsid w:val="00F67BC0"/>
    <w:rsid w:val="00F84674"/>
    <w:rsid w:val="00F85C53"/>
    <w:rsid w:val="00F86259"/>
    <w:rsid w:val="00F91E26"/>
    <w:rsid w:val="00F92730"/>
    <w:rsid w:val="00F948B0"/>
    <w:rsid w:val="00F95460"/>
    <w:rsid w:val="00F95F00"/>
    <w:rsid w:val="00FA3AF2"/>
    <w:rsid w:val="00FB26DC"/>
    <w:rsid w:val="00FB60B0"/>
    <w:rsid w:val="00FC2DCE"/>
    <w:rsid w:val="00FC66F1"/>
    <w:rsid w:val="00FD1D50"/>
    <w:rsid w:val="00FD747A"/>
    <w:rsid w:val="00FE0DC1"/>
    <w:rsid w:val="00FE6B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440F0B"/>
  <w15:chartTrackingRefBased/>
  <w15:docId w15:val="{8C2788DF-1D0C-4DC4-80A0-609DF5FC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057B"/>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42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Marge"/>
    <w:link w:val="Heading3Char"/>
    <w:qFormat/>
    <w:rsid w:val="00E23214"/>
    <w:pPr>
      <w:keepNext/>
      <w:keepLines/>
      <w:tabs>
        <w:tab w:val="left" w:pos="567"/>
      </w:tabs>
      <w:snapToGrid w:val="0"/>
      <w:spacing w:after="240"/>
      <w:ind w:left="567" w:hanging="567"/>
      <w:outlineLvl w:val="2"/>
    </w:pPr>
    <w:rPr>
      <w:rFonts w:ascii="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E23214"/>
    <w:rPr>
      <w:vertAlign w:val="superscript"/>
    </w:rPr>
  </w:style>
  <w:style w:type="paragraph" w:styleId="FootnoteText">
    <w:name w:val="footnote text"/>
    <w:basedOn w:val="Normal"/>
    <w:link w:val="FootnoteTextChar"/>
    <w:uiPriority w:val="99"/>
    <w:rsid w:val="00E23214"/>
    <w:pPr>
      <w:tabs>
        <w:tab w:val="left" w:pos="567"/>
      </w:tabs>
      <w:snapToGrid w:val="0"/>
      <w:ind w:left="567" w:hanging="567"/>
    </w:pPr>
    <w:rPr>
      <w:rFonts w:ascii="Arial" w:hAnsi="Arial"/>
      <w:snapToGrid w:val="0"/>
      <w:sz w:val="20"/>
      <w:szCs w:val="20"/>
      <w:lang w:val="en-GB"/>
    </w:rPr>
  </w:style>
  <w:style w:type="character" w:customStyle="1" w:styleId="FootnoteTextChar">
    <w:name w:val="Footnote Text Char"/>
    <w:basedOn w:val="DefaultParagraphFont"/>
    <w:link w:val="FootnoteText"/>
    <w:uiPriority w:val="99"/>
    <w:rsid w:val="00E23214"/>
    <w:rPr>
      <w:rFonts w:ascii="Arial" w:eastAsia="Times New Roman" w:hAnsi="Arial" w:cs="Times New Roman"/>
      <w:snapToGrid w:val="0"/>
      <w:sz w:val="20"/>
      <w:szCs w:val="20"/>
      <w:lang w:val="en-GB"/>
    </w:rPr>
  </w:style>
  <w:style w:type="paragraph" w:customStyle="1" w:styleId="Marge">
    <w:name w:val="Marge"/>
    <w:basedOn w:val="Normal"/>
    <w:link w:val="MargeChar"/>
    <w:rsid w:val="00E23214"/>
    <w:pPr>
      <w:tabs>
        <w:tab w:val="left" w:pos="567"/>
      </w:tabs>
      <w:snapToGrid w:val="0"/>
      <w:spacing w:after="240"/>
      <w:jc w:val="both"/>
    </w:pPr>
    <w:rPr>
      <w:rFonts w:ascii="Arial" w:hAnsi="Arial"/>
      <w:snapToGrid w:val="0"/>
      <w:sz w:val="22"/>
      <w:lang w:val="en-GB"/>
    </w:rPr>
  </w:style>
  <w:style w:type="character" w:styleId="Hyperlink">
    <w:name w:val="Hyperlink"/>
    <w:basedOn w:val="DefaultParagraphFont"/>
    <w:uiPriority w:val="99"/>
    <w:unhideWhenUsed/>
    <w:rsid w:val="00E23214"/>
    <w:rPr>
      <w:color w:val="0563C1" w:themeColor="hyperlink"/>
      <w:u w:val="single"/>
    </w:rPr>
  </w:style>
  <w:style w:type="character" w:customStyle="1" w:styleId="MargeChar">
    <w:name w:val="Marge Char"/>
    <w:link w:val="Marge"/>
    <w:locked/>
    <w:rsid w:val="00E23214"/>
    <w:rPr>
      <w:rFonts w:ascii="Arial" w:eastAsia="Times New Roman" w:hAnsi="Arial" w:cs="Times New Roman"/>
      <w:snapToGrid w:val="0"/>
      <w:szCs w:val="24"/>
      <w:lang w:val="en-GB"/>
    </w:rPr>
  </w:style>
  <w:style w:type="character" w:customStyle="1" w:styleId="Heading3Char">
    <w:name w:val="Heading 3 Char"/>
    <w:basedOn w:val="DefaultParagraphFont"/>
    <w:link w:val="Heading3"/>
    <w:rsid w:val="00E23214"/>
    <w:rPr>
      <w:rFonts w:ascii="Arial" w:eastAsia="Times New Roman" w:hAnsi="Arial" w:cs="Times New Roman"/>
      <w:b/>
      <w:bCs/>
      <w:snapToGrid w:val="0"/>
      <w:szCs w:val="24"/>
      <w:lang w:val="en-GB"/>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D84F0C"/>
    <w:pPr>
      <w:spacing w:after="160" w:line="259"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41C3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141C32"/>
    <w:rPr>
      <w:rFonts w:eastAsiaTheme="minorEastAsia"/>
    </w:rPr>
  </w:style>
  <w:style w:type="paragraph" w:styleId="Footer">
    <w:name w:val="footer"/>
    <w:basedOn w:val="Normal"/>
    <w:link w:val="FooterChar"/>
    <w:uiPriority w:val="99"/>
    <w:unhideWhenUsed/>
    <w:rsid w:val="00141C3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141C32"/>
    <w:rPr>
      <w:rFonts w:eastAsiaTheme="minorEastAsia"/>
    </w:rPr>
  </w:style>
  <w:style w:type="character" w:customStyle="1" w:styleId="Heading1Char">
    <w:name w:val="Heading 1 Char"/>
    <w:basedOn w:val="DefaultParagraphFont"/>
    <w:link w:val="Heading1"/>
    <w:uiPriority w:val="9"/>
    <w:rsid w:val="0027057B"/>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27057B"/>
    <w:pPr>
      <w:widowControl w:val="0"/>
      <w:autoSpaceDE w:val="0"/>
      <w:autoSpaceDN w:val="0"/>
    </w:pPr>
    <w:rPr>
      <w:rFonts w:ascii="Arial" w:eastAsia="Arial" w:hAnsi="Arial" w:cs="Arial"/>
      <w:sz w:val="22"/>
      <w:szCs w:val="22"/>
      <w:lang w:val="fr-FR"/>
    </w:rPr>
  </w:style>
  <w:style w:type="character" w:customStyle="1" w:styleId="BodyTextChar">
    <w:name w:val="Body Text Char"/>
    <w:basedOn w:val="DefaultParagraphFont"/>
    <w:link w:val="BodyText"/>
    <w:uiPriority w:val="1"/>
    <w:rsid w:val="0027057B"/>
    <w:rPr>
      <w:rFonts w:ascii="Arial" w:eastAsia="Arial" w:hAnsi="Arial" w:cs="Arial"/>
      <w:lang w:val="fr-FR"/>
    </w:rPr>
  </w:style>
  <w:style w:type="paragraph" w:customStyle="1" w:styleId="TableParagraph">
    <w:name w:val="Table Paragraph"/>
    <w:basedOn w:val="Normal"/>
    <w:uiPriority w:val="1"/>
    <w:qFormat/>
    <w:rsid w:val="0027057B"/>
    <w:pPr>
      <w:widowControl w:val="0"/>
      <w:autoSpaceDE w:val="0"/>
      <w:autoSpaceDN w:val="0"/>
      <w:ind w:left="107"/>
    </w:pPr>
    <w:rPr>
      <w:rFonts w:ascii="Arial" w:eastAsia="Arial" w:hAnsi="Arial" w:cs="Arial"/>
      <w:sz w:val="22"/>
      <w:szCs w:val="22"/>
      <w:lang w:val="fr-FR"/>
    </w:rPr>
  </w:style>
  <w:style w:type="paragraph" w:customStyle="1" w:styleId="TIRETbul1cm">
    <w:name w:val="TIRET bul 1cm"/>
    <w:basedOn w:val="Normal"/>
    <w:rsid w:val="00204776"/>
    <w:pPr>
      <w:numPr>
        <w:numId w:val="3"/>
      </w:numPr>
      <w:tabs>
        <w:tab w:val="clear" w:pos="644"/>
        <w:tab w:val="num" w:pos="851"/>
      </w:tabs>
      <w:adjustRightInd w:val="0"/>
      <w:snapToGrid w:val="0"/>
      <w:spacing w:after="240"/>
      <w:ind w:left="851" w:hanging="284"/>
      <w:jc w:val="both"/>
    </w:pPr>
    <w:rPr>
      <w:rFonts w:ascii="Arial" w:eastAsia="SimSun" w:hAnsi="Arial"/>
      <w:snapToGrid w:val="0"/>
      <w:sz w:val="22"/>
      <w:lang w:val="en-GB" w:eastAsia="zh-CN"/>
    </w:rPr>
  </w:style>
  <w:style w:type="table" w:customStyle="1" w:styleId="TableGrid3">
    <w:name w:val="Table Grid3"/>
    <w:basedOn w:val="TableNormal"/>
    <w:next w:val="TableGrid"/>
    <w:rsid w:val="00204776"/>
    <w:pPr>
      <w:spacing w:after="0" w:line="240" w:lineRule="auto"/>
    </w:pPr>
    <w:rPr>
      <w:rFonts w:ascii="Arial" w:eastAsia="SimSun" w:hAnsi="Arial" w:cs="Times New Roman"/>
      <w:snapToGrid w:val="0"/>
      <w:szCs w:val="24"/>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815A1"/>
  </w:style>
  <w:style w:type="character" w:styleId="Emphasis">
    <w:name w:val="Emphasis"/>
    <w:basedOn w:val="DefaultParagraphFont"/>
    <w:uiPriority w:val="20"/>
    <w:qFormat/>
    <w:rsid w:val="00B50359"/>
    <w:rPr>
      <w:i/>
      <w:iCs/>
    </w:rPr>
  </w:style>
  <w:style w:type="character" w:styleId="CommentReference">
    <w:name w:val="annotation reference"/>
    <w:basedOn w:val="DefaultParagraphFont"/>
    <w:uiPriority w:val="99"/>
    <w:semiHidden/>
    <w:unhideWhenUsed/>
    <w:rsid w:val="00AE1248"/>
    <w:rPr>
      <w:sz w:val="16"/>
      <w:szCs w:val="16"/>
    </w:rPr>
  </w:style>
  <w:style w:type="paragraph" w:styleId="CommentText">
    <w:name w:val="annotation text"/>
    <w:basedOn w:val="Normal"/>
    <w:link w:val="CommentTextChar"/>
    <w:uiPriority w:val="99"/>
    <w:semiHidden/>
    <w:unhideWhenUsed/>
    <w:rsid w:val="00AE1248"/>
    <w:rPr>
      <w:sz w:val="20"/>
      <w:szCs w:val="20"/>
    </w:rPr>
  </w:style>
  <w:style w:type="character" w:customStyle="1" w:styleId="CommentTextChar">
    <w:name w:val="Comment Text Char"/>
    <w:basedOn w:val="DefaultParagraphFont"/>
    <w:link w:val="CommentText"/>
    <w:uiPriority w:val="99"/>
    <w:semiHidden/>
    <w:rsid w:val="00AE12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1248"/>
    <w:rPr>
      <w:b/>
      <w:bCs/>
    </w:rPr>
  </w:style>
  <w:style w:type="character" w:customStyle="1" w:styleId="CommentSubjectChar">
    <w:name w:val="Comment Subject Char"/>
    <w:basedOn w:val="CommentTextChar"/>
    <w:link w:val="CommentSubject"/>
    <w:uiPriority w:val="99"/>
    <w:semiHidden/>
    <w:rsid w:val="00AE12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E12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48"/>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65429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48557B"/>
    <w:pPr>
      <w:spacing w:after="100"/>
    </w:pPr>
  </w:style>
  <w:style w:type="paragraph" w:styleId="TOC2">
    <w:name w:val="toc 2"/>
    <w:basedOn w:val="Normal"/>
    <w:next w:val="Normal"/>
    <w:autoRedefine/>
    <w:uiPriority w:val="39"/>
    <w:unhideWhenUsed/>
    <w:rsid w:val="0048557B"/>
    <w:pPr>
      <w:spacing w:after="100"/>
      <w:ind w:left="240"/>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2F2C6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09531">
      <w:bodyDiv w:val="1"/>
      <w:marLeft w:val="0"/>
      <w:marRight w:val="0"/>
      <w:marTop w:val="0"/>
      <w:marBottom w:val="0"/>
      <w:divBdr>
        <w:top w:val="none" w:sz="0" w:space="0" w:color="auto"/>
        <w:left w:val="none" w:sz="0" w:space="0" w:color="auto"/>
        <w:bottom w:val="none" w:sz="0" w:space="0" w:color="auto"/>
        <w:right w:val="none" w:sz="0" w:space="0" w:color="auto"/>
      </w:divBdr>
    </w:div>
    <w:div w:id="744226940">
      <w:bodyDiv w:val="1"/>
      <w:marLeft w:val="0"/>
      <w:marRight w:val="0"/>
      <w:marTop w:val="0"/>
      <w:marBottom w:val="0"/>
      <w:divBdr>
        <w:top w:val="none" w:sz="0" w:space="0" w:color="auto"/>
        <w:left w:val="none" w:sz="0" w:space="0" w:color="auto"/>
        <w:bottom w:val="none" w:sz="0" w:space="0" w:color="auto"/>
        <w:right w:val="none" w:sz="0" w:space="0" w:color="auto"/>
      </w:divBdr>
    </w:div>
    <w:div w:id="917859920">
      <w:bodyDiv w:val="1"/>
      <w:marLeft w:val="0"/>
      <w:marRight w:val="0"/>
      <w:marTop w:val="0"/>
      <w:marBottom w:val="0"/>
      <w:divBdr>
        <w:top w:val="none" w:sz="0" w:space="0" w:color="auto"/>
        <w:left w:val="none" w:sz="0" w:space="0" w:color="auto"/>
        <w:bottom w:val="none" w:sz="0" w:space="0" w:color="auto"/>
        <w:right w:val="none" w:sz="0" w:space="0" w:color="auto"/>
      </w:divBdr>
    </w:div>
    <w:div w:id="1685356346">
      <w:bodyDiv w:val="1"/>
      <w:marLeft w:val="0"/>
      <w:marRight w:val="0"/>
      <w:marTop w:val="0"/>
      <w:marBottom w:val="0"/>
      <w:divBdr>
        <w:top w:val="none" w:sz="0" w:space="0" w:color="auto"/>
        <w:left w:val="none" w:sz="0" w:space="0" w:color="auto"/>
        <w:bottom w:val="none" w:sz="0" w:space="0" w:color="auto"/>
        <w:right w:val="none" w:sz="0" w:space="0" w:color="auto"/>
      </w:divBdr>
    </w:div>
    <w:div w:id="1776752865">
      <w:bodyDiv w:val="1"/>
      <w:marLeft w:val="0"/>
      <w:marRight w:val="0"/>
      <w:marTop w:val="0"/>
      <w:marBottom w:val="0"/>
      <w:divBdr>
        <w:top w:val="none" w:sz="0" w:space="0" w:color="auto"/>
        <w:left w:val="none" w:sz="0" w:space="0" w:color="auto"/>
        <w:bottom w:val="none" w:sz="0" w:space="0" w:color="auto"/>
        <w:right w:val="none" w:sz="0" w:space="0" w:color="auto"/>
      </w:divBdr>
    </w:div>
    <w:div w:id="1845626846">
      <w:bodyDiv w:val="1"/>
      <w:marLeft w:val="0"/>
      <w:marRight w:val="0"/>
      <w:marTop w:val="0"/>
      <w:marBottom w:val="0"/>
      <w:divBdr>
        <w:top w:val="none" w:sz="0" w:space="0" w:color="auto"/>
        <w:left w:val="none" w:sz="0" w:space="0" w:color="auto"/>
        <w:bottom w:val="none" w:sz="0" w:space="0" w:color="auto"/>
        <w:right w:val="none" w:sz="0" w:space="0" w:color="auto"/>
      </w:divBdr>
    </w:div>
    <w:div w:id="2023704474">
      <w:bodyDiv w:val="1"/>
      <w:marLeft w:val="0"/>
      <w:marRight w:val="0"/>
      <w:marTop w:val="0"/>
      <w:marBottom w:val="0"/>
      <w:divBdr>
        <w:top w:val="none" w:sz="0" w:space="0" w:color="auto"/>
        <w:left w:val="none" w:sz="0" w:space="0" w:color="auto"/>
        <w:bottom w:val="none" w:sz="0" w:space="0" w:color="auto"/>
        <w:right w:val="none" w:sz="0" w:space="0" w:color="auto"/>
      </w:divBdr>
    </w:div>
    <w:div w:id="211721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oc.unesco.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ceandecade.org/resource/104/Advancing-Science-for-Sustainable-Ocean-Business-An-Opportunity-for-the-Private-Secto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ceandecade.org/news/87/The-transformative-role-of-Foundations-in-the-Ocean-Deca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ceandecade.com/resource/155/OCEAN-DECADE-ALLIANCE"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6071</Words>
  <Characters>34611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40601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mjjholland@gmail.com</dc:creator>
  <cp:keywords/>
  <dc:description/>
  <cp:lastModifiedBy>Pastor Reyes, Ingrid</cp:lastModifiedBy>
  <cp:revision>6</cp:revision>
  <cp:lastPrinted>2021-06-11T17:36:00Z</cp:lastPrinted>
  <dcterms:created xsi:type="dcterms:W3CDTF">2021-06-11T09:41:00Z</dcterms:created>
  <dcterms:modified xsi:type="dcterms:W3CDTF">2021-06-11T17:37:00Z</dcterms:modified>
</cp:coreProperties>
</file>