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E1454" w14:paraId="6E70F37C" w14:textId="77777777">
        <w:trPr>
          <w:jc w:val="center"/>
        </w:trPr>
        <w:tc>
          <w:tcPr>
            <w:tcW w:w="7654"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Pr>
                <w:rFonts w:cs="Arial"/>
                <w:szCs w:val="22"/>
                <w:u w:val="single"/>
                <w:lang w:val="es"/>
              </w:rPr>
              <w:t>Resumen</w:t>
            </w:r>
          </w:p>
          <w:p w14:paraId="1502659F" w14:textId="67ED5818" w:rsidR="00737A18" w:rsidRPr="001370E4" w:rsidRDefault="000D16AC" w:rsidP="0037249C">
            <w:pPr>
              <w:pStyle w:val="Marge"/>
              <w:rPr>
                <w:rFonts w:cs="Arial"/>
                <w:szCs w:val="22"/>
              </w:rPr>
            </w:pPr>
            <w:r>
              <w:rPr>
                <w:lang w:val="es"/>
              </w:rPr>
              <w:t>Según el artículo 3.2 de los Estatutos de la Comisión Oceanográfica Intergubernamental (</w:t>
            </w:r>
            <w:hyperlink r:id="rId8" w:history="1">
              <w:r>
                <w:rPr>
                  <w:rStyle w:val="Hyperlink"/>
                  <w:rFonts w:cs="Arial"/>
                  <w:lang w:val="es"/>
                </w:rPr>
                <w:t>IOC/INF/1148</w:t>
              </w:r>
            </w:hyperlink>
            <w:r>
              <w:rPr>
                <w:lang w:val="es"/>
              </w:rPr>
              <w:t>) y el artículo 49.2 del Reglamento (</w:t>
            </w:r>
            <w:hyperlink r:id="rId9" w:history="1">
              <w:r>
                <w:rPr>
                  <w:rStyle w:val="Hyperlink"/>
                  <w:rFonts w:cs="Arial"/>
                  <w:lang w:val="es"/>
                </w:rPr>
                <w:t>IOC/INF/1166</w:t>
              </w:r>
            </w:hyperlink>
            <w:r>
              <w:rPr>
                <w:lang w:val="es"/>
              </w:rPr>
              <w:t xml:space="preserve">), la COI prepara informes periódicos sobre sus actividades, que se presentarán a la Conferencia General de la UNESCO. El presente informe abarca el periodo 2020-2021 y se centra en los principales logros en la ejecución del </w:t>
            </w:r>
            <w:r>
              <w:rPr>
                <w:szCs w:val="22"/>
                <w:lang w:val="es"/>
              </w:rPr>
              <w:t xml:space="preserve">segundo bienio del Programa y Presupuesto de la COI 2018-2021, contribuyendo a la Estrategia a Medio Plazo de la COI 2014-2021 y a la Estrategia a Medio Plazo de la UNESCO 2014-2021 (37 C/4) con respecto al Objetivo Estratégico 5 "Promover la cooperación científica internacional frente a los desafíos críticos del desarrollo sostenible". </w:t>
            </w:r>
          </w:p>
          <w:p w14:paraId="5B3F6C6A" w14:textId="1B87EDE8" w:rsidR="00515584" w:rsidRPr="00EC753F" w:rsidRDefault="00515584" w:rsidP="001370E4">
            <w:pPr>
              <w:pStyle w:val="Marge"/>
              <w:rPr>
                <w:rFonts w:cs="Arial"/>
                <w:szCs w:val="22"/>
              </w:rPr>
            </w:pPr>
            <w:r>
              <w:rPr>
                <w:rFonts w:cs="Arial"/>
                <w:lang w:val="es"/>
              </w:rPr>
              <w:t xml:space="preserve">Una vez examinado por la Asamblea, el informe se presentará a la 41ª Conferencia General de la UNESCO como 41 C/REP.9, indicando que una información más completa, incluido el análisis por función de la COI </w:t>
            </w:r>
            <w:r>
              <w:rPr>
                <w:rFonts w:cs="Arial"/>
                <w:szCs w:val="22"/>
                <w:lang w:val="es"/>
              </w:rPr>
              <w:t>puede encontrarse en el informe del Secretario Ejecutivo de la COI a la</w:t>
            </w:r>
            <w:r>
              <w:rPr>
                <w:rFonts w:cs="Arial"/>
                <w:szCs w:val="22"/>
                <w:vertAlign w:val="superscript"/>
                <w:lang w:val="es"/>
              </w:rPr>
              <w:t>31ª reunión</w:t>
            </w:r>
            <w:r>
              <w:rPr>
                <w:rFonts w:cs="Arial"/>
                <w:szCs w:val="22"/>
                <w:lang w:val="es"/>
              </w:rPr>
              <w:t xml:space="preserve"> de la Asamblea de la COI (</w:t>
            </w:r>
            <w:hyperlink r:id="rId10" w:history="1">
              <w:r>
                <w:rPr>
                  <w:rStyle w:val="Hyperlink"/>
                  <w:lang w:val="es"/>
                </w:rPr>
                <w:t>IOC/A-31/3.2.Doc(1)</w:t>
              </w:r>
            </w:hyperlink>
            <w:r>
              <w:rPr>
                <w:rFonts w:cs="Arial"/>
                <w:color w:val="000000"/>
                <w:szCs w:val="22"/>
                <w:lang w:val="es"/>
              </w:rPr>
              <w:t xml:space="preserve">&amp;amp </w:t>
            </w:r>
            <w:hyperlink r:id="rId11" w:history="1">
              <w:r>
                <w:rPr>
                  <w:rStyle w:val="Hyperlink"/>
                  <w:lang w:val="es"/>
                </w:rPr>
                <w:t>Addendum</w:t>
              </w:r>
            </w:hyperlink>
            <w:r>
              <w:rPr>
                <w:rFonts w:cs="Arial"/>
                <w:color w:val="000000"/>
                <w:szCs w:val="22"/>
                <w:lang w:val="es"/>
              </w:rPr>
              <w:t>).</w:t>
            </w:r>
          </w:p>
          <w:p w14:paraId="1082367C" w14:textId="189D02F3" w:rsidR="00515584" w:rsidRPr="006E1454" w:rsidRDefault="00515584" w:rsidP="00C008B0">
            <w:pPr>
              <w:pStyle w:val="Marge"/>
              <w:rPr>
                <w:rFonts w:cs="Arial"/>
                <w:szCs w:val="22"/>
              </w:rPr>
            </w:pPr>
            <w:r>
              <w:rPr>
                <w:rFonts w:cs="Arial"/>
                <w:u w:val="single"/>
                <w:lang w:val="es"/>
              </w:rPr>
              <w:t>La(s) decisión(es) propuesta(</w:t>
            </w:r>
            <w:r>
              <w:rPr>
                <w:rFonts w:cs="Arial"/>
                <w:lang w:val="es"/>
              </w:rPr>
              <w:t xml:space="preserve"> s) lleva(n) la referencia </w:t>
            </w:r>
            <w:r>
              <w:rPr>
                <w:rFonts w:cs="Arial"/>
                <w:color w:val="000000"/>
                <w:lang w:val="es"/>
              </w:rPr>
              <w:t>IOC/A-31/Dec.3.6</w:t>
            </w:r>
            <w:r>
              <w:rPr>
                <w:rFonts w:cs="Arial"/>
                <w:b/>
                <w:bCs/>
                <w:color w:val="000000"/>
                <w:lang w:val="es"/>
              </w:rPr>
              <w:t xml:space="preserve"> </w:t>
            </w:r>
            <w:r>
              <w:rPr>
                <w:rFonts w:cs="Arial"/>
                <w:lang w:val="es"/>
              </w:rPr>
              <w:t>en el Documento de Decisión Provisional (</w:t>
            </w:r>
            <w:hyperlink r:id="rId12" w:history="1">
              <w:r>
                <w:rPr>
                  <w:rStyle w:val="Hyperlink"/>
                  <w:rFonts w:cs="Arial"/>
                  <w:lang w:val="es"/>
                </w:rPr>
                <w:t>IOC/A-31/AP Rev.</w:t>
              </w:r>
            </w:hyperlink>
            <w:r>
              <w:rPr>
                <w:rFonts w:cs="Arial"/>
                <w:lang w:val="es"/>
              </w:rPr>
              <w:t>) de la 31ª reunión de la Asamblea de la COI.</w:t>
            </w:r>
          </w:p>
        </w:tc>
      </w:tr>
    </w:tbl>
    <w:p w14:paraId="7E39BDFA" w14:textId="2724C787" w:rsidR="00746B89" w:rsidRPr="006E1454" w:rsidRDefault="00746B89" w:rsidP="005C7A36">
      <w:pPr>
        <w:pStyle w:val="Heading3"/>
        <w:sectPr w:rsidR="00746B89" w:rsidRPr="006E1454" w:rsidSect="003F718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134" w:bottom="1134" w:left="1134" w:header="709" w:footer="680" w:gutter="0"/>
          <w:pgNumType w:start="1"/>
          <w:cols w:space="708"/>
          <w:titlePg/>
          <w:docGrid w:linePitch="360"/>
        </w:sectPr>
      </w:pPr>
    </w:p>
    <w:p w14:paraId="64B35EF4" w14:textId="77777777" w:rsidR="00C008B0" w:rsidRPr="0082023C" w:rsidRDefault="00C008B0" w:rsidP="00FC3532">
      <w:pPr>
        <w:spacing w:after="240"/>
        <w:jc w:val="both"/>
        <w:rPr>
          <w:b/>
          <w:bCs/>
          <w:i/>
          <w:iCs/>
        </w:rPr>
      </w:pPr>
      <w:r>
        <w:rPr>
          <w:b/>
          <w:bCs/>
          <w:i/>
          <w:iCs/>
          <w:lang w:val="es"/>
        </w:rPr>
        <w:lastRenderedPageBreak/>
        <w:t xml:space="preserve">Principales logros </w:t>
      </w:r>
    </w:p>
    <w:p w14:paraId="504EB4BF" w14:textId="4FFAFAFC" w:rsidR="00C008B0" w:rsidRPr="00831211" w:rsidRDefault="00C008B0" w:rsidP="002D52FA">
      <w:pPr>
        <w:spacing w:after="240"/>
        <w:jc w:val="both"/>
        <w:rPr>
          <w:rFonts w:asciiTheme="minorBidi" w:hAnsiTheme="minorBidi" w:cstheme="minorBidi"/>
          <w:snapToGrid/>
          <w:szCs w:val="22"/>
        </w:rPr>
      </w:pPr>
      <w:r>
        <w:rPr>
          <w:lang w:val="es"/>
        </w:rPr>
        <w:t xml:space="preserve"> </w:t>
      </w:r>
      <w:r>
        <w:rPr>
          <w:rFonts w:asciiTheme="minorBidi" w:hAnsiTheme="minorBidi"/>
          <w:snapToGrid/>
          <w:szCs w:val="22"/>
          <w:lang w:val="es"/>
        </w:rPr>
        <w:t>En 2020-2021, la Comisión siguió centrándose en la preparación del Decenio de las Naciones Unidas de las Ciencias Oceánicas para el Desarrollo Sostenible 202-2030. La COI no escatimó esfuerzos para lograr que todos los Estados Miembros, los colaboradores de las Naciones Unidas y las principales partes interesadas de la sociedad civil participaran en consultas regionales y mundiales con el fin de aprovechar esta oportunidad única de aprovechar los avances de las ciencias oceánicas, lograr una mejor comprensión del sistema oceánico y aportar soluciones de base científica para el Programa 2030 para el Desarrollo Sostenible. El uso eficaz de las consultas de ONU-Océanos reforzó el enfoque de colaboración para garantizar una división significativa del trabajo entre los colaboradores de la COI en el sistema de las Naciones Unidas. Este trabajo se completó con éxito, ya que la Asamblea General de las Naciones Unidas, en diciembre de 2020, tomó nota, con reconocimiento, del Plan de Implementación del Decenio.</w:t>
      </w:r>
    </w:p>
    <w:p w14:paraId="7678D1C2" w14:textId="1BD4A17E"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La dirección de la COI participó activamente en el proceso de negociación de un instrumento internacional jurídicamente vinculante (ILBI) sobre la conservación y el uso sostenible de la biodiversidad marina en las zonas situadas fuera de la jurisdicción nacional (BBNJ). Con las nuevas oportunidades que ofrece el Decenio de los Océanos, la COI está bien posicionada para apoyar el futuro acuerdo, en particular en lo que se refiere al desarrollo de capacidades en materia de ciencias oceánicas y a la transferencia de tecnología marina, para que este instrumento sea universal y sirva a todas sus futuras Partes y a los países en desarrollo, en particular. En octubre de 2020, con miras a informar el proceso de negociación, la Secretaría publicó un documento oficioso sobre las contribuciones existentes y potenciales de la COI-UNESCO al proceso de la BBNJ (</w:t>
      </w:r>
      <w:hyperlink r:id="rId19" w:history="1">
        <w:r>
          <w:rPr>
            <w:rStyle w:val="Hyperlink"/>
            <w:rFonts w:asciiTheme="minorBidi" w:hAnsiTheme="minorBidi" w:cstheme="minorBidi"/>
            <w:sz w:val="22"/>
            <w:szCs w:val="22"/>
            <w:lang w:val="es"/>
          </w:rPr>
          <w:t>IOC/INF-1387</w:t>
        </w:r>
      </w:hyperlink>
      <w:r>
        <w:rPr>
          <w:rFonts w:asciiTheme="minorBidi" w:hAnsiTheme="minorBidi" w:cstheme="minorBidi"/>
          <w:sz w:val="22"/>
          <w:szCs w:val="22"/>
          <w:lang w:val="es"/>
        </w:rPr>
        <w:t>) en los ámbitos de la investigación marina, los datos, el desarrollo de capacidades y la transferencia de tecnología marina.</w:t>
      </w:r>
    </w:p>
    <w:p w14:paraId="1413FF88" w14:textId="728CED9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Se han realizado avances significativos en el desarrollo de la metodología para apoyar la aplicación de los Estados Miembros y la presentación de informes sobre los dos indicadores de metas de los ODS 14.3.1 y 14.a.1, para los que se ha asignado a la COI la función de custodio en el sistema de las Naciones Unidas. La edición 2020 del </w:t>
      </w:r>
      <w:r>
        <w:rPr>
          <w:rFonts w:asciiTheme="minorBidi" w:hAnsiTheme="minorBidi" w:cstheme="minorBidi"/>
          <w:i/>
          <w:iCs/>
          <w:sz w:val="22"/>
          <w:szCs w:val="22"/>
          <w:lang w:val="es"/>
        </w:rPr>
        <w:t>Informe Mundial sobre las Ciencias Oceánicas</w:t>
      </w:r>
      <w:r>
        <w:rPr>
          <w:rFonts w:asciiTheme="minorBidi" w:hAnsiTheme="minorBidi" w:cstheme="minorBidi"/>
          <w:sz w:val="22"/>
          <w:szCs w:val="22"/>
          <w:lang w:val="es"/>
        </w:rPr>
        <w:t xml:space="preserve"> (GOSR 2000) se presentó con motivo de la celebración del 60º aniversario de la COI, el 14 de diciembre de 2020. Además de establecer una base sólida para medir el progreso hacia la consecución de la Meta 14.a de los ODS, el informe proporciona la línea de base para la capacidad de las ciencias oceánicas y las inversiones relacionadas, y servirá como herramienta de seguimiento para el Decenio de los Océanos.</w:t>
      </w:r>
    </w:p>
    <w:p w14:paraId="5E3EC837" w14:textId="238490BB"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En la interfaz de la ciencia y la política, la COI pudo elaborar un programa consolidado de investigación y observación del carbono oceánico, con la participación de múltiples socios, en apoyo de la aplicación de las disposiciones pertinentes de la Convención Marco de las Naciones Unidas sobre el Cambio Climático (CMNUCC) y su Acuerdo de París. Siguió apoyando eficazmente la Red Mundial de Observación de la Acidificación de los Océanos y ahora alberga la secretaría para la coordinación de la Alianza Internacional para el Carbono Azul. En el contexto del Grupo de Expertos interinstitucional de las Naciones Unidas sobre los Aspectos Científicos de la Protección del Medio Marino, la COI, junto con la OMI, ha comenzado a trabajar en la elaboración de las directrices sobre biofouling y prevención de la propagación de especies marinas invasoras.</w:t>
      </w:r>
    </w:p>
    <w:p w14:paraId="2993CE95" w14:textId="68862AD1"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En el segundo semestre de 2020, la Segunda Evaluación Mundial de los Océanos recibió el respaldo de los Estados Miembros de las Naciones Unidas, que también acordaron el tercer ciclo del Proceso ordinario (2021-2025), pidiendo sinergias con el Decenio de los Océanos a fin de reforzar la interfaz entre la ciencia y la política oceánicas en todas las disciplinas y a todos los niveles.</w:t>
      </w:r>
    </w:p>
    <w:p w14:paraId="2668F37C" w14:textId="7E25861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La comunidad del Sistema Mundial de Observación de los Océanos (GOOS) se centró principalmente en la creación de asociaciones y conceptos para tres programas del Decenio de los Océanos del GOOS: CoastPredict, Observing Together y Ocean Observing Co-Design. Estos programas se basan en la idea de integrar el GOOS en diferentes dimensiones, crear asociaciones </w:t>
      </w:r>
      <w:r>
        <w:rPr>
          <w:rFonts w:asciiTheme="minorBidi" w:hAnsiTheme="minorBidi" w:cstheme="minorBidi"/>
          <w:sz w:val="22"/>
          <w:szCs w:val="22"/>
          <w:lang w:val="es"/>
        </w:rPr>
        <w:lastRenderedPageBreak/>
        <w:t xml:space="preserve">para mejorar los resultados para la ciencia y la sociedad, y experimentar con proyectos para servir mejor a los usuarios científicos y sociales. El centro de apoyo técnico operativo, antes conocido como JCOMMOPS, pasó a llamarse OceanOPS, publicando una nueva estrategia quinquenal y produciendo una nueva edición del informe anual </w:t>
      </w:r>
      <w:r>
        <w:rPr>
          <w:rFonts w:asciiTheme="minorBidi" w:hAnsiTheme="minorBidi" w:cstheme="minorBidi"/>
          <w:i/>
          <w:iCs/>
          <w:sz w:val="22"/>
          <w:szCs w:val="22"/>
          <w:lang w:val="es"/>
        </w:rPr>
        <w:t>de observación de los océanos</w:t>
      </w:r>
      <w:r>
        <w:rPr>
          <w:rFonts w:asciiTheme="minorBidi" w:hAnsiTheme="minorBidi" w:cstheme="minorBidi"/>
          <w:sz w:val="22"/>
          <w:szCs w:val="22"/>
          <w:lang w:val="es"/>
        </w:rPr>
        <w:t>. El informe aborda el estado de las redes de observación en términos de implementación, metadatos y flujo de datos, normas y mejores prácticas, y sobre su contribución a las dimensiones operativa, climática y de salud oceánica de la misión del GOOS.</w:t>
      </w:r>
    </w:p>
    <w:p w14:paraId="2351AF38" w14:textId="70AD9077"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Del mismo modo, la comunidad de datos oceánicos se está movilizando para intensificar su aportación al Decenio. El trabajo sobre un proyecto de arquitectura para el Sistema de Datos e Información Oceanográficos (ODIS) está muy avanzado. Se pusieron en marcha tres nuevos grandes proyectos: El Ocean InfoHub de la COI, centrado en América Latina y el Caribe, África y los PEID del Pacífico, la Red de Alerta de Bioinvasiones Marinas de las Islas del Pacífico y la Academia Mundial OceanTeacher 2. Se ha iniciado el desarrollo de dos aplicaciones de visualización de datos: el Portal BioEco del GOOS y el Portal de Floraciones de Algas Nocivas. El Sistema de Información sobre la Biodiversidad de los Océanos celebró su 20.º aniversario y siguió siendo un apoyo muy citado por los investigadores. </w:t>
      </w:r>
    </w:p>
    <w:p w14:paraId="0FBBC2A6" w14:textId="72607D9C"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El desarrollo de los sistemas regionales de alerta de tsunamis continuó en el marco de cuatro grupos regionales intergubernamentales (NEAMTWS=Atlántico Nororiental, CARIBE-EWS=Caribe y Regiones Adyacentes, PTWS=Pacífico e IOTWMS=Océano Índico), con funciones de armonización y establecimiento de normas a nivel mundial facilitadas a través del Grupo de Trabajo sobre Sistemas de Alerta contra los Tsunamis y Otros Peligros Relacionados con el Nivel del Mar y la Mitigación de sus Efectos. La Secretaría siguió colaborando estrechamente con los grupos de trabajo de expertos y los Estados miembros para mantener y mejorar los sistemas regionales y llevar a cabo las iniciativas pertinentes. 137 Estados miembros, de los cuales 28 PEID y 9 países africanos, han establecido ya Puntos Focales Nacionales de Alerta de Tsunamis/Centros Nacionales de Alerta de Tsunamis. La región del Mar de China Meridional cuenta ahora con su propio Centro de Asesoramiento sobre Tsunamis, que sirve de sistema de alerta para nueve países de la región. Los Centros Nacionales de Alerta contra los Tsunamis de Francia, Grecia, Italia, Portugal y Turquía fueron acreditados como proveedores regionales de servicios contra los tsunamis, tras una evaluación por pares de sus funciones y logros. El programa de reconocimiento comunitario basado en el rendimiento "Tsunami Ready" se ha puesto a prueba en tres regiones (Caribe, Pacífico y Océano Índico), con más de 25 comunidades reconocidas en 15 países, incluidos 10 PEID. </w:t>
      </w:r>
    </w:p>
    <w:p w14:paraId="2D068C8E" w14:textId="5454D829" w:rsidR="004B4ECA" w:rsidRPr="00831211" w:rsidRDefault="00C008B0" w:rsidP="006E3870">
      <w:pPr>
        <w:pStyle w:val="ListParagraph"/>
        <w:numPr>
          <w:ilvl w:val="0"/>
          <w:numId w:val="27"/>
        </w:numPr>
        <w:snapToGrid w:val="0"/>
        <w:spacing w:after="240"/>
        <w:ind w:left="0" w:firstLine="0"/>
        <w:contextualSpacing w:val="0"/>
        <w:rPr>
          <w:rFonts w:asciiTheme="minorBidi" w:eastAsia="SimSun" w:hAnsiTheme="minorBidi" w:cstheme="minorBidi"/>
          <w:sz w:val="22"/>
          <w:szCs w:val="22"/>
        </w:rPr>
      </w:pPr>
      <w:r>
        <w:rPr>
          <w:rFonts w:asciiTheme="minorBidi" w:hAnsiTheme="minorBidi" w:cstheme="minorBidi"/>
          <w:sz w:val="22"/>
          <w:szCs w:val="22"/>
          <w:lang w:val="es"/>
        </w:rPr>
        <w:t xml:space="preserve">La COI siguió centrándose en el desarrollo de las capacidades de sus Estados Miembros, en particular a través de sus órganos subsidiarios regionales -WESTPAC, IOCARIBE, IOCAFRICA e IOCINDIO. La segunda Expedición Internacional al Océano Índico ha contado con la participación de más de 50 científicos africanos en cruceros de investigación organizados por Sudáfrica. Representantes de las Comoras, Kenia, Madagascar, Mauricio, Mozambique, Sudáfrica y la República Unida de Tanzania recibieron formación sobre la elaboración de mapas de inundación y evacuación por tsunami, y representantes de las Comoras, Kenia, Madagascar, Sudáfrica y la República Unida de Tanzania dominaron los Procedimientos Operativos Estándar (POE) para la alerta de tsunami y la respuesta de emergencia. Todos los Estados Miembros africanos ribereños del océano Índico participaron en los ejercicios IOWave, y la República Unida de Tanzania, Kenia y Seychelles realizaron evacuaciones comunitarias. El potencial de formación se ha incrementado sustancialmente a través de los 16 Centros de Formación Regionales/Especializados de la Ocean Teacher Global Academy (OTGA), así como de los Centros Regionales de Formación e Investigación de la WESTPAC, que en conjunto han proporcionado formación a casi 1.000 personas. Además, se han realizado dos evaluaciones de las necesidades de desarrollo de capacidades que permitirán centrar mejor las actividades de desarrollo de capacidades de todos los programas mundiales de la COI y de los órganos subsidiarios regionales y facilitar la movilización de recursos extrapresupuestarios. En la región de IOCINDIO, los dos centros de categoría 2 auspiciados por la UNESCO, en la República Islámica de Irán y en la India, aportan valiosas contribuciones y garantizan la apropiación regional de los programas. Los acuerdos que se están </w:t>
      </w:r>
      <w:r>
        <w:rPr>
          <w:rFonts w:asciiTheme="minorBidi" w:hAnsiTheme="minorBidi" w:cstheme="minorBidi"/>
          <w:sz w:val="22"/>
          <w:szCs w:val="22"/>
          <w:lang w:val="es"/>
        </w:rPr>
        <w:lastRenderedPageBreak/>
        <w:t>negociando con la Comunidad del Pacífico Sur y la Asociación de Cooperación Regional de los Países del Océano Índico serán un paso importante en este sentido.</w:t>
      </w:r>
    </w:p>
    <w:p w14:paraId="45703EFD" w14:textId="25C4F3E7"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La Década de los Océanos es una oportunidad excepcional para que los países en desarrollo refuercen sus capacidades de investigación oceánica en apoyo de la economía sostenible de los océanos. La COI se asoció con la Asociación de Ciencias Marinas del Océano Índico Occidental y la secretaría del Convenio de Nairobi (ONU Medio Ambiente) para organizar "el taller de consulta regional para el Decenio de las Naciones Unidas de las Ciencias Oceánicas para el Desarrollo Sostenible 2021-2030 para África y los Estados insulares adyacentes", que fue acogido por el Gobierno de Kenia del 27 al 29 de enero de 2020 en Nairobi. El taller, así como el seminario web sobre "Co-diseño de la ciencia oceánica que necesitamos para África" (3 de noviembre de 2020), ofrecieron la oportunidad de identificar las necesidades y prioridades regionales en cuanto a la transformación de los sistemas de conocimiento, la aceleración de la transferencia de tecnología marina, la facilitación de la formación y la educación, el fomento de los diálogos científico-políticos y la creación de capacidades, en consonancia con las iniciativas de la Unión Africana. Con el apoyo del Gobierno de Egipto, la COI está preparando una conferencia de inicio del Decenio sobre las ciencias oceánicas en apoyo del desarrollo sostenible de África, que tendrá lugar en diciembre de 2021. </w:t>
      </w:r>
    </w:p>
    <w:p w14:paraId="7E2D422E" w14:textId="0FCDA43C"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Pr>
          <w:rFonts w:asciiTheme="minorBidi" w:hAnsiTheme="minorBidi" w:cstheme="minorBidi"/>
          <w:sz w:val="22"/>
          <w:szCs w:val="22"/>
          <w:lang w:val="es"/>
        </w:rPr>
        <w:t xml:space="preserve">El Plan de Aplicación del Decenio fomenta las sinergias entre las acciones encaminadas a la consecución del ODS 5 (Igualdad de género) y el ODS 14 (Océanos), centrándose en el papel de las mujeres en las ciencias oceánicas, mejorando el conocimiento mundial de los océanos y apoyando una toma de decisiones informada e inclusiva. El </w:t>
      </w:r>
      <w:r>
        <w:rPr>
          <w:rFonts w:asciiTheme="minorBidi" w:hAnsiTheme="minorBidi" w:cstheme="minorBidi"/>
          <w:i/>
          <w:iCs/>
          <w:sz w:val="22"/>
          <w:szCs w:val="22"/>
          <w:lang w:val="es"/>
        </w:rPr>
        <w:t>Informe Mundial sobre las Ciencias Oceánicas</w:t>
      </w:r>
      <w:r>
        <w:rPr>
          <w:rFonts w:asciiTheme="minorBidi" w:hAnsiTheme="minorBidi" w:cstheme="minorBidi"/>
          <w:sz w:val="22"/>
          <w:szCs w:val="22"/>
          <w:lang w:val="es"/>
        </w:rPr>
        <w:t>, con sus datos desglosados por sexo, siguió siendo uno de los mecanismos de seguimiento de los avances.</w:t>
      </w:r>
    </w:p>
    <w:p w14:paraId="1B4E6DBF" w14:textId="43941FE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Con el apoyo del Gobierno sueco, la COI ha puesto en marcha la Plataforma de Alfabetización Oceánica y ha elaborado un conjunto de herramientas que se ha puesto a prueba a través de la RedPEA en escuelas de 36 países. En colaboración con la Iniciativa Internacional sobre el Carbono Azul, la COI elaboró una metodología para medir el almacenamiento de carbono azul, con el fin de ayudar a la presentación de informes nacionales a la CMNUCC, y contribuyó a la participación de la Organización en la COP-24 y 25, sensibilizando sobre la importancia del océano en la regulación del cambio climático. En una primera reunión celebrada en noviembre de 2020, el Presidente de la COI y el personal y los expertos del Consejo Consultivo Científico y Técnico de la Convención sobre la Protección del Patrimonio Cultural Subacuático de 2001, acordaron trabajar juntos en la elaboración de un marco estratégico que identifique las acciones prioritarias para la comunidad del patrimonio cultural subacuático, que pueda inspirar y estimular las "Acciones del Decenio". La Década de los Océanos ofrecerá una oportunidad y un marco para intensificar las sinergias existentes y desarrollar otras nuevas en un enfoque de codiseño con otros sectores.</w:t>
      </w:r>
    </w:p>
    <w:p w14:paraId="2AD4E7BE" w14:textId="7A1EC82B" w:rsidR="00C008B0" w:rsidRPr="00831211" w:rsidRDefault="00C008B0" w:rsidP="00FC3532">
      <w:pPr>
        <w:spacing w:after="240"/>
        <w:jc w:val="both"/>
        <w:rPr>
          <w:rFonts w:asciiTheme="minorBidi" w:hAnsiTheme="minorBidi" w:cstheme="minorBidi"/>
          <w:b/>
          <w:bCs/>
          <w:i/>
          <w:iCs/>
          <w:szCs w:val="22"/>
        </w:rPr>
      </w:pPr>
      <w:r>
        <w:rPr>
          <w:rFonts w:asciiTheme="minorBidi" w:hAnsiTheme="minorBidi" w:cstheme="minorBidi"/>
          <w:b/>
          <w:bCs/>
          <w:i/>
          <w:iCs/>
          <w:szCs w:val="22"/>
          <w:lang w:val="es"/>
        </w:rPr>
        <w:t xml:space="preserve">Colaboraciones </w:t>
      </w:r>
    </w:p>
    <w:p w14:paraId="44CB3612" w14:textId="0DE3487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 xml:space="preserve">Tras exponer su experiencia en el apoyo a las naciones en la implementación de la Planificación Espacial Marina (PEM) en la conferencia de Economía Azul Sostenible de 2018 en Nairobi, la COI amplió su asociación con la Comisión Europea lanzando una nueva iniciativa conjunta para promover la PEM transfronteriza. Tras el éxito de su aplicación, se está debatiendo una nueva hoja de ruta conjunta de la MSP para el periodo 2022-2025. El Fondo para el Medio Ambiente Mundial sigue siendo un importante colaborador de la COI en varios ámbitos de trabajo clave, con nuevos proyectos iniciados en el mar de los Sargazos y en relación con la bioincrustación. La colaboración con la OHI en relación con la GEBCO y la cartografía oceánica está funcionando bien, ambas organizaciones supervisan el desarrollo del proyecto Seabed 2030 y se asegurarán de que contribuya al plan del Decenio. La colaboración con la División de Asuntos Oceánicos y del Derecho del Mar (DOALOS) de las Naciones Unidas aumentó en el transcurso de 2020 para garantizar que el Plan de Aplicación del Decenio se ajustara a las disposiciones de la CNUDM y para facilitar su revisión por parte de la Asamblea General de las Naciones Unidas. </w:t>
      </w:r>
    </w:p>
    <w:p w14:paraId="42E62668" w14:textId="62009283"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lastRenderedPageBreak/>
        <w:tab/>
        <w:t>Bélgica (Gobierno de Flandes), Canadá, China, Japón, Noruega, Portugal, República de Corea, Suecia y Reino Unido, así como RevOcean, aportaron contribuciones financieras para la preparación del Plan de Implementación del Decenio. Noruega siguió siendo el principal donante de fondos no destinados a fines específicos a la Cuenta Especial de la COI, y facilitó la ejecución centrada en las prioridades acordadas colectivamente. Una contribución adicional de 2 millones de dólares de la Agencia Noruega de Cooperación al Desarrollo permitirá intensificar considerablemente los esfuerzos de desarrollo de capacidades de la COI en favor de África y los PEID.</w:t>
      </w:r>
    </w:p>
    <w:p w14:paraId="125C43C4" w14:textId="35F4B927"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ab/>
        <w:t>Bélgica (Gobierno de Flandes), China y Australia siguieron apoyando a las principales oficinas de la COI y sus programas en, respectivamente, Ostende (Bélgica), Perth (Australia) y la Subcomisión de la COI para el Pacífico Occidental (WESTPAC).</w:t>
      </w:r>
    </w:p>
    <w:p w14:paraId="78A083D3" w14:textId="086FE05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 xml:space="preserve">Se han llevado a cabo con éxito varias asociaciones prometedoras con el sector privado, entre ellas la colaboración con la Plataforma de Acción Empresarial para la Sostenibilidad de los Océanos del Pacto Mundial de las Naciones Unidas. La COI estableció una asociación con la Fundación Velux para llegar al sector filantrópico a través de un evento de compromiso en febrero de 2020 en la Real Academia de Ciencias y Letras de Dinamarca. También se firmaron acuerdos con RevOcean (incluyendo su ODF/C4IR) y el Schmidt Ocean Institute. </w:t>
      </w:r>
    </w:p>
    <w:p w14:paraId="40EE3CC0" w14:textId="29B8B76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En seguimiento de nuestro compromiso en la Conferencia "Nuestro Océano" (23-24 de octubre de 2019, Oslo, Noruega), la COI ha anunciado la constitución de una Alianza para el Decenio de las Naciones Unidas de las Ciencias Oceánicas para el Desarrollo Sostenible (2021-2030). El lanzamiento de la Alianza de la Década de los Océanos tuvo lugar a través de "A Brave New Ocean", un evento virtual que reunió a expertos en océanos y líderes de todo el mundo para destacar los inmensos retos y oportunidades que el conocimiento de los océanos puede ofrecer a la humanidad para construir un mundo mejor y más fuerte después de la pandemia. Inaugurado por la Directora General, el evento</w:t>
      </w:r>
      <w:r>
        <w:rPr>
          <w:rFonts w:asciiTheme="minorBidi" w:hAnsiTheme="minorBidi" w:cstheme="minorBidi"/>
          <w:b/>
          <w:bCs/>
          <w:sz w:val="22"/>
          <w:szCs w:val="22"/>
          <w:lang w:val="es"/>
        </w:rPr>
        <w:t xml:space="preserve"> </w:t>
      </w:r>
      <w:r>
        <w:rPr>
          <w:rFonts w:asciiTheme="minorBidi" w:hAnsiTheme="minorBidi" w:cstheme="minorBidi"/>
          <w:sz w:val="22"/>
          <w:szCs w:val="22"/>
          <w:lang w:val="es"/>
        </w:rPr>
        <w:t>reunió a varios miembros fundadores de la Alianza del Decenio de los Océanos, entre ellos S.E. Uhuru Kenyatta, Presidente de Kenia; S.E. Erna Solberg, Primera Ministra de Noruega; S.A.R. la Princesa Lalla Hasnaa de Marruecos; S.A.S. el Príncipe Alberto II de Mónaco; y S.E. el Honorable Marcelo Rebelo de Sousa de Portugal, así como a destacadas instituciones filantrópicas como el Instituto Oceánico Schmidt y la Fundación Bertarelli, personalidades del deporte, científicos y jóvenes activistas llenos de energía.</w:t>
      </w:r>
    </w:p>
    <w:p w14:paraId="0E9D5869" w14:textId="1294449E" w:rsidR="00C008B0" w:rsidRPr="00831211" w:rsidRDefault="00C008B0" w:rsidP="00FC3532">
      <w:pPr>
        <w:spacing w:after="240"/>
        <w:jc w:val="both"/>
        <w:rPr>
          <w:rFonts w:asciiTheme="minorBidi" w:hAnsiTheme="minorBidi" w:cstheme="minorBidi"/>
          <w:b/>
          <w:bCs/>
          <w:i/>
          <w:iCs/>
          <w:szCs w:val="22"/>
        </w:rPr>
      </w:pPr>
      <w:r>
        <w:rPr>
          <w:rFonts w:asciiTheme="minorBidi" w:hAnsiTheme="minorBidi" w:cstheme="minorBidi"/>
          <w:b/>
          <w:bCs/>
          <w:i/>
          <w:iCs/>
          <w:szCs w:val="22"/>
          <w:lang w:val="es"/>
        </w:rPr>
        <w:t>Desafíos y medidas correctivas</w:t>
      </w:r>
    </w:p>
    <w:p w14:paraId="455572A2" w14:textId="2E60C94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 xml:space="preserve">En general, el principal reto para la pequeña secretaría de la Comisión es la doble tarea de conseguir, no sólo los recursos necesarios para mantener sus programas operativos básicos, sino también dirigir y coordinar la fase de preparación del Decenio. Se está aplicando un nuevo enfoque para la recaudación de fondos y la divulgación, basado en destacar los beneficios sociales del trabajo de la COI y demostrar el rendimiento de la inversión en la ciencia y la observación de los océanos. </w:t>
      </w:r>
    </w:p>
    <w:p w14:paraId="7A1B9D6B" w14:textId="52168C7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ab/>
        <w:t xml:space="preserve">Los esfuerzos de comunicación y divulgación se han intensificado para presentar los objetivos del Decenio e involucrar a un mayor número de interesados. </w:t>
      </w:r>
    </w:p>
    <w:p w14:paraId="107319A5" w14:textId="365FF7F6" w:rsidR="00C008B0" w:rsidRPr="00831211" w:rsidRDefault="00C008B0" w:rsidP="00FC3532">
      <w:pPr>
        <w:spacing w:after="240"/>
        <w:jc w:val="both"/>
        <w:rPr>
          <w:rFonts w:asciiTheme="minorBidi" w:hAnsiTheme="minorBidi" w:cstheme="minorBidi"/>
          <w:bCs/>
          <w:i/>
          <w:szCs w:val="22"/>
        </w:rPr>
      </w:pPr>
      <w:r>
        <w:rPr>
          <w:rFonts w:asciiTheme="minorBidi" w:hAnsiTheme="minorBidi" w:cstheme="minorBidi"/>
          <w:i/>
          <w:iCs/>
          <w:szCs w:val="22"/>
          <w:lang w:val="es"/>
        </w:rPr>
        <w:t>Impacto de la pandemia de COVID-19 en la aplicación del 40 C/5</w:t>
      </w:r>
    </w:p>
    <w:p w14:paraId="2AAB8784" w14:textId="3BE41B7E"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ab/>
        <w:t xml:space="preserve">Las repercusiones del confinamiento relacionado con el COVID-19 fueron especialmente preocupantes para los programas operativos de la COI -el Sistema Mundial de Observación de los Océanos y el Intercambio Internacional de Datos e Información Oceanográficos- que suministran la información esencial necesaria para las previsiones y alertas marinas, climáticas y meteorológicas.  </w:t>
      </w:r>
    </w:p>
    <w:p w14:paraId="25501274" w14:textId="38FF8F09"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ab/>
        <w:t xml:space="preserve">El COI llevó a cabo una serie de encuestas y continuó trabajando estrechamente con sus socios en las comunidades pertinentes para evaluar el impacto completo hasta 2021, con la reasignación de recursos de las actividades canceladas y la reducción de los viajes. Sin embargo, </w:t>
      </w:r>
      <w:r>
        <w:rPr>
          <w:rFonts w:asciiTheme="minorBidi" w:hAnsiTheme="minorBidi" w:cstheme="minorBidi"/>
          <w:sz w:val="22"/>
          <w:szCs w:val="22"/>
          <w:lang w:val="es"/>
        </w:rPr>
        <w:lastRenderedPageBreak/>
        <w:t xml:space="preserve">cada vez está más claro que se crearán lagunas de datos en los archivos de datos oceánicos mundiales debido a la cancelación de cruceros de investigación, a la falta de mantenimiento de los equipos de observación durante la pandemia, a la reducción de personal durante y posiblemente después de la pandemia y a las posibles reducciones de los presupuestos operativos, que se supervisarán a través del portal de datos del GOSR. </w:t>
      </w:r>
    </w:p>
    <w:p w14:paraId="0BE0AD7B" w14:textId="3F1F1314"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La coordinación intergubernamental de las actividades del Sistema Mundial de Alerta contra los Tsunamis se limitó a reuniones en su mayoría en línea, con reuniones de gobernanza pospuestas a una fecha posterior o celebradas en línea cuando era necesario. Las actividades se adaptaron rápidamente a la nueva "normalidad laboral", entre otras cosas mediante: (i) la preparación de directrices para los servicios de alerta de tsunamis, evacuación y refugio durante la COVID-19 y (ii) el estudio sobre la evaluación del impacto de la pandemia de la COVID-19 en las redes de mareógrafos y tsunámetros, y las operaciones de los proveedores de servicios de tsunamis.</w:t>
      </w:r>
    </w:p>
    <w:p w14:paraId="456C0A25" w14:textId="262BB2B2"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La disponibilidad de la plataforma de aprendizaje electrónico Ocean Teacher Global Academy permitió una rápida reorientación y organización de cursos en línea a partir de junio de 2020, manteniendo así los esfuerzos de desarrollo de capacidades de la COI en el nivel previsto.</w:t>
      </w:r>
    </w:p>
    <w:p w14:paraId="5CCE0BB3" w14:textId="0F01FFF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Pr>
          <w:rFonts w:asciiTheme="minorBidi" w:hAnsiTheme="minorBidi" w:cstheme="minorBidi"/>
          <w:sz w:val="22"/>
          <w:szCs w:val="22"/>
          <w:lang w:val="es"/>
        </w:rPr>
        <w:t>Algunas de las principales reuniones de la ONU han tenido que ser pospuestas a finales de 2021 o 2022, como es el caso de la segunda Conferencia de la ONU sobre el Océano, ahora trasladada a 2022. Se identificaron acciones alternativas para mantener el compromiso de las partes interesadas, como la Conferencia de inicio del Decenio de los Océanos, con el apoyo del Gobierno de Alemania, que se rediseñó en una serie de eventos de alto nivel y laboratorios del Decenio que se llevarán a cabo a lo largo de 2021.</w:t>
      </w:r>
    </w:p>
    <w:sectPr w:rsidR="00C008B0" w:rsidRPr="00831211"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2AC1" w14:textId="77777777" w:rsidR="001A037F" w:rsidRDefault="001A037F">
      <w:r>
        <w:separator/>
      </w:r>
    </w:p>
  </w:endnote>
  <w:endnote w:type="continuationSeparator" w:id="0">
    <w:p w14:paraId="02328075" w14:textId="77777777" w:rsidR="001A037F" w:rsidRDefault="001A037F">
      <w:r>
        <w:continuationSeparator/>
      </w:r>
    </w:p>
  </w:endnote>
  <w:endnote w:type="continuationNotice" w:id="1">
    <w:p w14:paraId="736FA55B" w14:textId="77777777" w:rsidR="001A037F" w:rsidRDefault="001A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3D238" w14:textId="77777777" w:rsidR="00831211" w:rsidRDefault="0083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0AB3" w14:textId="77777777" w:rsidR="00831211" w:rsidRDefault="00831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F3331" w14:textId="77777777" w:rsidR="00831211" w:rsidRDefault="0083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806C" w14:textId="77777777" w:rsidR="001A037F" w:rsidRDefault="001A037F">
      <w:r>
        <w:separator/>
      </w:r>
    </w:p>
  </w:footnote>
  <w:footnote w:type="continuationSeparator" w:id="0">
    <w:p w14:paraId="6DEB291B" w14:textId="77777777" w:rsidR="001A037F" w:rsidRDefault="001A037F">
      <w:r>
        <w:continuationSeparator/>
      </w:r>
    </w:p>
  </w:footnote>
  <w:footnote w:type="continuationNotice" w:id="1">
    <w:p w14:paraId="77BB6B2E" w14:textId="77777777" w:rsidR="001A037F" w:rsidRDefault="001A0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19C4" w14:textId="77777777" w:rsidR="00441140" w:rsidRPr="00C962F0" w:rsidRDefault="00441140">
    <w:pPr>
      <w:pStyle w:val="Header"/>
      <w:rPr>
        <w:szCs w:val="22"/>
      </w:rPr>
    </w:pPr>
    <w:r>
      <w:rPr>
        <w:szCs w:val="22"/>
        <w:lang w:val="es"/>
      </w:rPr>
      <w:t xml:space="preserve">ICG/CARIBE-EWS II/WD </w:t>
    </w:r>
    <w:r>
      <w:rPr>
        <w:szCs w:val="22"/>
        <w:highlight w:val="cyan"/>
        <w:lang w:val="es"/>
      </w:rPr>
      <w:t>__</w:t>
    </w:r>
  </w:p>
  <w:p w14:paraId="6A24548F" w14:textId="77777777" w:rsidR="00441140" w:rsidRPr="00C962F0" w:rsidRDefault="00441140">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D62A" w14:textId="77777777" w:rsidR="00441140" w:rsidRPr="00746B89" w:rsidRDefault="00441140" w:rsidP="00DF2FB9">
    <w:pPr>
      <w:pStyle w:val="Header"/>
      <w:tabs>
        <w:tab w:val="clear" w:pos="8306"/>
      </w:tabs>
      <w:rPr>
        <w:szCs w:val="22"/>
      </w:rPr>
    </w:pPr>
    <w:r>
      <w:rPr>
        <w:szCs w:val="22"/>
        <w:lang w:val="es"/>
      </w:rPr>
      <w:t xml:space="preserve">IOC-XXIV/2 Anexo </w:t>
    </w:r>
    <w:r>
      <w:rPr>
        <w:szCs w:val="22"/>
        <w:highlight w:val="yellow"/>
        <w:lang w:val="es"/>
      </w:rPr>
      <w:t>__</w:t>
    </w:r>
  </w:p>
  <w:p w14:paraId="70AB0676" w14:textId="77777777" w:rsidR="00441140" w:rsidRPr="00746B89" w:rsidRDefault="00441140"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D29B" w14:textId="23F14093" w:rsidR="00441140" w:rsidRPr="005E544C" w:rsidRDefault="00441140" w:rsidP="00831211">
    <w:pPr>
      <w:pStyle w:val="Marge"/>
      <w:tabs>
        <w:tab w:val="left" w:pos="7230"/>
        <w:tab w:val="left" w:pos="8080"/>
      </w:tabs>
      <w:spacing w:after="0"/>
      <w:rPr>
        <w:rFonts w:cs="Arial"/>
        <w:b/>
        <w:szCs w:val="22"/>
      </w:rPr>
    </w:pPr>
    <w:r>
      <w:rPr>
        <w:lang w:val="es"/>
      </w:rPr>
      <w:tab/>
    </w:r>
  </w:p>
  <w:p w14:paraId="63D946BE" w14:textId="5AC62A6E" w:rsidR="000156E0" w:rsidRPr="00C008B0" w:rsidRDefault="00C008B0" w:rsidP="00831211">
    <w:pPr>
      <w:pStyle w:val="Marge"/>
      <w:tabs>
        <w:tab w:val="left" w:pos="6804"/>
        <w:tab w:val="left" w:pos="8080"/>
      </w:tabs>
      <w:spacing w:after="0"/>
      <w:rPr>
        <w:rFonts w:cs="Arial"/>
        <w:b/>
        <w:sz w:val="28"/>
        <w:szCs w:val="28"/>
      </w:rPr>
    </w:pPr>
    <w:r>
      <w:rPr>
        <w:rFonts w:cs="Arial"/>
        <w:szCs w:val="22"/>
        <w:lang w:val="es"/>
      </w:rPr>
      <w:t>Distribución restringida</w:t>
    </w:r>
    <w:r>
      <w:rPr>
        <w:rFonts w:cs="Arial"/>
        <w:szCs w:val="22"/>
        <w:lang w:val="es"/>
      </w:rPr>
      <w:tab/>
    </w:r>
    <w:r>
      <w:rPr>
        <w:rFonts w:cs="Arial"/>
        <w:b/>
        <w:bCs/>
        <w:sz w:val="28"/>
        <w:szCs w:val="28"/>
        <w:lang w:val="es"/>
      </w:rPr>
      <w:t>IOC/A-31/3.6.Doc</w:t>
    </w:r>
  </w:p>
  <w:p w14:paraId="217BCF53" w14:textId="70DEFFC0" w:rsidR="000156E0" w:rsidRPr="005E544C" w:rsidRDefault="000156E0" w:rsidP="00831211">
    <w:pPr>
      <w:tabs>
        <w:tab w:val="clear" w:pos="567"/>
        <w:tab w:val="left" w:pos="6804"/>
        <w:tab w:val="left" w:pos="8080"/>
      </w:tabs>
      <w:rPr>
        <w:rFonts w:cs="Arial"/>
        <w:szCs w:val="22"/>
      </w:rPr>
    </w:pPr>
    <w:r>
      <w:rPr>
        <w:rFonts w:cs="Arial"/>
        <w:szCs w:val="22"/>
        <w:lang w:val="es"/>
      </w:rPr>
      <w:tab/>
      <w:t xml:space="preserve">París, 25 de mayo de 2021 </w:t>
    </w:r>
  </w:p>
  <w:p w14:paraId="25CD7700" w14:textId="77777777" w:rsidR="000156E0" w:rsidRPr="005E544C" w:rsidRDefault="000156E0" w:rsidP="00831211">
    <w:pPr>
      <w:tabs>
        <w:tab w:val="clear" w:pos="567"/>
        <w:tab w:val="left" w:pos="6804"/>
        <w:tab w:val="left" w:pos="8080"/>
      </w:tabs>
      <w:rPr>
        <w:rFonts w:cs="Arial"/>
        <w:szCs w:val="22"/>
      </w:rPr>
    </w:pPr>
    <w:r>
      <w:rPr>
        <w:rFonts w:cs="Arial"/>
        <w:szCs w:val="22"/>
        <w:lang w:val="es"/>
      </w:rPr>
      <w:tab/>
      <w:t>Original:</w:t>
    </w:r>
    <w:r>
      <w:rPr>
        <w:rFonts w:cs="Arial"/>
        <w:b/>
        <w:bCs/>
        <w:szCs w:val="22"/>
        <w:lang w:val="es"/>
      </w:rPr>
      <w:t xml:space="preserve"> </w:t>
    </w:r>
    <w:r>
      <w:rPr>
        <w:rFonts w:cs="Arial"/>
        <w:szCs w:val="22"/>
        <w:lang w:val="es"/>
      </w:rPr>
      <w:t xml:space="preserve">Inglés </w:t>
    </w:r>
  </w:p>
  <w:p w14:paraId="565AF84A" w14:textId="77777777" w:rsidR="000156E0" w:rsidRPr="005E544C" w:rsidRDefault="000156E0" w:rsidP="00831211">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7AF41F0C"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02580C58" w14:textId="77777777" w:rsidR="000156E0" w:rsidRPr="00010BBB"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es"/>
      </w:rPr>
      <w:drawing>
        <wp:anchor distT="0" distB="0" distL="114300" distR="114300" simplePos="0" relativeHeight="251659264" behindDoc="1" locked="0" layoutInCell="1" allowOverlap="1" wp14:anchorId="66ECD9BE" wp14:editId="276A3085">
          <wp:simplePos x="0" y="0"/>
          <wp:positionH relativeFrom="column">
            <wp:posOffset>-142240</wp:posOffset>
          </wp:positionH>
          <wp:positionV relativeFrom="paragraph">
            <wp:posOffset>1270</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es"/>
      </w:rPr>
      <w:t>COMISIÓN OCEANOGRÁFICA INTERGUBERNAMENTAL</w:t>
    </w:r>
  </w:p>
  <w:p w14:paraId="06DE3E8D" w14:textId="77777777" w:rsidR="000156E0" w:rsidRPr="003561BE"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es"/>
      </w:rPr>
      <w:t>(de la UNESCO)</w:t>
    </w:r>
  </w:p>
  <w:p w14:paraId="17124BA5"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33ECA7B0"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18E9E2B8" w14:textId="5E2D9BC1" w:rsidR="000156E0" w:rsidRPr="00BF254D" w:rsidRDefault="000156E0"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es"/>
      </w:rPr>
      <w:t>31.ª reunión de la Asamblea</w:t>
    </w:r>
  </w:p>
  <w:p w14:paraId="5FAB6B85" w14:textId="17F8198D" w:rsidR="000156E0"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Pr>
        <w:rFonts w:cs="Arial"/>
        <w:lang w:val="es"/>
      </w:rPr>
      <w:t>UNESCO, 14-25 de junio de 2021 (en línea)</w:t>
    </w:r>
  </w:p>
  <w:p w14:paraId="4E48B820"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CC8DDF" w14:textId="77777777" w:rsidR="000156E0" w:rsidRPr="005E544C" w:rsidRDefault="000156E0" w:rsidP="000156E0">
    <w:pPr>
      <w:jc w:val="center"/>
      <w:rPr>
        <w:rFonts w:cs="Arial"/>
        <w:szCs w:val="22"/>
      </w:rPr>
    </w:pPr>
  </w:p>
  <w:p w14:paraId="006B9396" w14:textId="77777777" w:rsidR="000156E0" w:rsidRDefault="000156E0" w:rsidP="000156E0">
    <w:pPr>
      <w:jc w:val="center"/>
      <w:rPr>
        <w:rFonts w:cs="Arial"/>
        <w:szCs w:val="22"/>
      </w:rPr>
    </w:pPr>
  </w:p>
  <w:p w14:paraId="3A09805D" w14:textId="77777777" w:rsidR="000156E0" w:rsidRDefault="000156E0" w:rsidP="000156E0">
    <w:pPr>
      <w:jc w:val="center"/>
      <w:rPr>
        <w:rFonts w:cs="Arial"/>
        <w:szCs w:val="22"/>
      </w:rPr>
    </w:pPr>
  </w:p>
  <w:p w14:paraId="198E4356" w14:textId="77777777" w:rsidR="000156E0" w:rsidRDefault="000156E0" w:rsidP="000156E0">
    <w:pPr>
      <w:jc w:val="center"/>
      <w:rPr>
        <w:rFonts w:cs="Arial"/>
        <w:szCs w:val="22"/>
      </w:rPr>
    </w:pPr>
  </w:p>
  <w:p w14:paraId="01B9E721" w14:textId="77777777" w:rsidR="000156E0" w:rsidRPr="005E544C" w:rsidRDefault="000156E0" w:rsidP="000156E0">
    <w:pPr>
      <w:jc w:val="center"/>
      <w:rPr>
        <w:rFonts w:cs="Arial"/>
        <w:szCs w:val="22"/>
      </w:rPr>
    </w:pPr>
  </w:p>
  <w:p w14:paraId="53E488E5" w14:textId="77777777" w:rsidR="000156E0" w:rsidRPr="005E544C" w:rsidRDefault="000156E0" w:rsidP="000156E0">
    <w:pPr>
      <w:jc w:val="center"/>
      <w:rPr>
        <w:rFonts w:cs="Arial"/>
        <w:szCs w:val="22"/>
      </w:rPr>
    </w:pPr>
  </w:p>
  <w:p w14:paraId="0164A3F9" w14:textId="1EFDE30E" w:rsidR="000156E0" w:rsidRPr="00831211" w:rsidRDefault="000156E0" w:rsidP="001370E4">
    <w:pPr>
      <w:pStyle w:val="Heading7"/>
      <w:tabs>
        <w:tab w:val="left" w:pos="6915"/>
      </w:tabs>
      <w:spacing w:line="240" w:lineRule="auto"/>
      <w:rPr>
        <w:rFonts w:cs="Arial"/>
        <w:sz w:val="24"/>
        <w:u w:val="none"/>
      </w:rPr>
    </w:pPr>
    <w:r>
      <w:rPr>
        <w:rFonts w:cs="Arial"/>
        <w:sz w:val="24"/>
        <w:u w:val="none"/>
        <w:lang w:val="es"/>
      </w:rPr>
      <w:t xml:space="preserve">Punto </w:t>
    </w:r>
    <w:r>
      <w:rPr>
        <w:rFonts w:cs="Arial"/>
        <w:b/>
        <w:bCs/>
        <w:sz w:val="24"/>
        <w:u w:val="none"/>
        <w:lang w:val="es"/>
      </w:rPr>
      <w:t>3.6</w:t>
    </w:r>
    <w:r>
      <w:rPr>
        <w:rFonts w:cs="Arial"/>
        <w:sz w:val="24"/>
        <w:u w:val="none"/>
        <w:lang w:val="es"/>
      </w:rPr>
      <w:t xml:space="preserve"> del orden del día provisional</w:t>
    </w:r>
    <w:r>
      <w:rPr>
        <w:rFonts w:cs="Arial"/>
        <w:sz w:val="24"/>
        <w:u w:val="none"/>
        <w:lang w:val="es"/>
      </w:rPr>
      <w:tab/>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764BC0CA" w:rsidR="00441140" w:rsidRPr="001370E4" w:rsidRDefault="00515584" w:rsidP="00515584">
    <w:pPr>
      <w:pStyle w:val="Docheading"/>
      <w:spacing w:after="0"/>
      <w:rPr>
        <w:color w:val="000000"/>
        <w:sz w:val="22"/>
        <w:szCs w:val="22"/>
      </w:rPr>
    </w:pPr>
    <w:r>
      <w:rPr>
        <w:color w:val="000000"/>
        <w:sz w:val="22"/>
        <w:szCs w:val="22"/>
        <w:lang w:val="es"/>
      </w:rPr>
      <w:t xml:space="preserve">Informe de las actividades del COI (2020-2021) </w:t>
    </w:r>
    <w:r>
      <w:rPr>
        <w:b w:val="0"/>
        <w:bCs w:val="0"/>
        <w:color w:val="000000"/>
        <w:sz w:val="22"/>
        <w:szCs w:val="22"/>
        <w:lang w:val="es"/>
      </w:rPr>
      <w:br/>
    </w:r>
    <w:r>
      <w:rPr>
        <w:color w:val="000000"/>
        <w:sz w:val="22"/>
        <w:szCs w:val="22"/>
        <w:lang w:val="es"/>
      </w:rPr>
      <w:t>a la 41.ª Conferencia General de la UNESCO</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CCD8" w14:textId="3B4BFFA4" w:rsidR="00441140" w:rsidRPr="006842FA" w:rsidRDefault="00242324" w:rsidP="00746B89">
    <w:pPr>
      <w:pStyle w:val="Header"/>
      <w:tabs>
        <w:tab w:val="clear" w:pos="8306"/>
      </w:tabs>
      <w:rPr>
        <w:rFonts w:cs="Arial"/>
        <w:sz w:val="20"/>
        <w:szCs w:val="20"/>
      </w:rPr>
    </w:pPr>
    <w:r>
      <w:rPr>
        <w:rFonts w:cs="Arial"/>
        <w:sz w:val="20"/>
        <w:szCs w:val="20"/>
        <w:lang w:val="es"/>
      </w:rPr>
      <w:t>IOC/A-31/3.6.Doc</w:t>
    </w:r>
  </w:p>
  <w:p w14:paraId="2D1A695D" w14:textId="50ED381E" w:rsidR="00441140" w:rsidRPr="006842FA" w:rsidRDefault="00441140"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4</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B358" w14:textId="6FE03567" w:rsidR="0037249C" w:rsidRPr="006842FA" w:rsidRDefault="00EA6689" w:rsidP="00831211">
    <w:pPr>
      <w:pStyle w:val="Header"/>
      <w:tabs>
        <w:tab w:val="clear" w:pos="8306"/>
      </w:tabs>
      <w:ind w:firstLine="7797"/>
      <w:rPr>
        <w:rFonts w:cs="Arial"/>
        <w:sz w:val="20"/>
        <w:szCs w:val="20"/>
      </w:rPr>
    </w:pPr>
    <w:r>
      <w:rPr>
        <w:rFonts w:cs="Arial"/>
        <w:sz w:val="20"/>
        <w:szCs w:val="20"/>
        <w:lang w:val="es"/>
      </w:rPr>
      <w:t>IOC/A-31/3.6.Doc</w:t>
    </w:r>
  </w:p>
  <w:p w14:paraId="4390F2C3" w14:textId="0773707A" w:rsidR="0037249C" w:rsidRPr="006842FA" w:rsidRDefault="006F0C64" w:rsidP="00831211">
    <w:pPr>
      <w:pStyle w:val="Header"/>
      <w:tabs>
        <w:tab w:val="clear" w:pos="8306"/>
      </w:tabs>
      <w:ind w:firstLine="7797"/>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3</w:t>
    </w:r>
    <w:r>
      <w:rPr>
        <w:rStyle w:val="PageNumber"/>
        <w:rFonts w:cs="Arial"/>
        <w:sz w:val="20"/>
        <w:szCs w:val="20"/>
        <w:lang w:val="es"/>
      </w:rPr>
      <w:fldChar w:fldCharType="end"/>
    </w:r>
  </w:p>
  <w:p w14:paraId="6AAB52E1"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5F5D" w14:textId="1634947A" w:rsidR="00441140" w:rsidRDefault="00242324" w:rsidP="00831211">
    <w:pPr>
      <w:pStyle w:val="Header"/>
      <w:tabs>
        <w:tab w:val="clear" w:pos="8306"/>
      </w:tabs>
      <w:ind w:right="400"/>
      <w:jc w:val="right"/>
      <w:rPr>
        <w:rFonts w:cs="Arial"/>
        <w:sz w:val="20"/>
        <w:szCs w:val="20"/>
      </w:rPr>
    </w:pPr>
    <w:r>
      <w:rPr>
        <w:rFonts w:cs="Arial"/>
        <w:sz w:val="20"/>
        <w:szCs w:val="20"/>
        <w:lang w:val="es"/>
      </w:rPr>
      <w:t>IOC/A-31/3.6.Doc</w:t>
    </w:r>
  </w:p>
  <w:p w14:paraId="2BFAF427" w14:textId="2CF2E322" w:rsidR="00307660" w:rsidRPr="006842FA" w:rsidRDefault="004827E4" w:rsidP="00831211">
    <w:pPr>
      <w:pStyle w:val="Header"/>
      <w:ind w:left="7655"/>
      <w:rPr>
        <w:rFonts w:cs="Arial"/>
        <w:sz w:val="20"/>
        <w:szCs w:val="20"/>
      </w:rPr>
    </w:pPr>
    <w:r>
      <w:rPr>
        <w:rFonts w:cs="Arial"/>
        <w:sz w:val="20"/>
        <w:szCs w:val="20"/>
        <w:lang w:val="es"/>
      </w:rPr>
      <w:t>página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7"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0"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8"/>
  </w:num>
  <w:num w:numId="2">
    <w:abstractNumId w:val="13"/>
  </w:num>
  <w:num w:numId="3">
    <w:abstractNumId w:val="0"/>
  </w:num>
  <w:num w:numId="4">
    <w:abstractNumId w:val="1"/>
  </w:num>
  <w:num w:numId="5">
    <w:abstractNumId w:val="3"/>
  </w:num>
  <w:num w:numId="6">
    <w:abstractNumId w:val="13"/>
  </w:num>
  <w:num w:numId="7">
    <w:abstractNumId w:val="13"/>
  </w:num>
  <w:num w:numId="8">
    <w:abstractNumId w:val="19"/>
  </w:num>
  <w:num w:numId="9">
    <w:abstractNumId w:val="10"/>
  </w:num>
  <w:num w:numId="10">
    <w:abstractNumId w:val="7"/>
  </w:num>
  <w:num w:numId="11">
    <w:abstractNumId w:val="16"/>
  </w:num>
  <w:num w:numId="12">
    <w:abstractNumId w:val="17"/>
  </w:num>
  <w:num w:numId="13">
    <w:abstractNumId w:val="15"/>
  </w:num>
  <w:num w:numId="14">
    <w:abstractNumId w:val="12"/>
  </w:num>
  <w:num w:numId="15">
    <w:abstractNumId w:val="20"/>
  </w:num>
  <w:num w:numId="16">
    <w:abstractNumId w:val="9"/>
  </w:num>
  <w:num w:numId="17">
    <w:abstractNumId w:val="5"/>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lvlOverride w:ilvl="0">
      <w:startOverride w:val="1"/>
    </w:lvlOverride>
  </w:num>
  <w:num w:numId="22">
    <w:abstractNumId w:val="13"/>
  </w:num>
  <w:num w:numId="23">
    <w:abstractNumId w:val="13"/>
  </w:num>
  <w:num w:numId="24">
    <w:abstractNumId w:val="6"/>
  </w:num>
  <w:num w:numId="25">
    <w:abstractNumId w:val="18"/>
  </w:num>
  <w:num w:numId="26">
    <w:abstractNumId w:val="13"/>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40227"/>
    <w:rsid w:val="00062051"/>
    <w:rsid w:val="00076BD8"/>
    <w:rsid w:val="00085D6A"/>
    <w:rsid w:val="00085D85"/>
    <w:rsid w:val="000B276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8C4"/>
    <w:rsid w:val="00152A1B"/>
    <w:rsid w:val="00155BA3"/>
    <w:rsid w:val="00163192"/>
    <w:rsid w:val="00166397"/>
    <w:rsid w:val="00167158"/>
    <w:rsid w:val="001732BA"/>
    <w:rsid w:val="001877F5"/>
    <w:rsid w:val="00196052"/>
    <w:rsid w:val="00196F31"/>
    <w:rsid w:val="001A037F"/>
    <w:rsid w:val="001A58AE"/>
    <w:rsid w:val="001A63A0"/>
    <w:rsid w:val="001B3B24"/>
    <w:rsid w:val="001C21FC"/>
    <w:rsid w:val="001C2C69"/>
    <w:rsid w:val="001C6455"/>
    <w:rsid w:val="001D27FC"/>
    <w:rsid w:val="001D75DB"/>
    <w:rsid w:val="00203217"/>
    <w:rsid w:val="00223053"/>
    <w:rsid w:val="00242324"/>
    <w:rsid w:val="002579C2"/>
    <w:rsid w:val="002652F9"/>
    <w:rsid w:val="002A19EF"/>
    <w:rsid w:val="002B282C"/>
    <w:rsid w:val="002B7A48"/>
    <w:rsid w:val="002C7DE3"/>
    <w:rsid w:val="002D441C"/>
    <w:rsid w:val="002D52FA"/>
    <w:rsid w:val="002E0859"/>
    <w:rsid w:val="002E6768"/>
    <w:rsid w:val="00305778"/>
    <w:rsid w:val="00307660"/>
    <w:rsid w:val="003178E9"/>
    <w:rsid w:val="00317E5D"/>
    <w:rsid w:val="003404ED"/>
    <w:rsid w:val="0034156B"/>
    <w:rsid w:val="00347E19"/>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827E4"/>
    <w:rsid w:val="0048449B"/>
    <w:rsid w:val="00497E20"/>
    <w:rsid w:val="004A135F"/>
    <w:rsid w:val="004A5784"/>
    <w:rsid w:val="004B4ECA"/>
    <w:rsid w:val="004C1625"/>
    <w:rsid w:val="004E0B15"/>
    <w:rsid w:val="004F7D6C"/>
    <w:rsid w:val="0050245B"/>
    <w:rsid w:val="00515584"/>
    <w:rsid w:val="00525395"/>
    <w:rsid w:val="005407B6"/>
    <w:rsid w:val="00547068"/>
    <w:rsid w:val="00587137"/>
    <w:rsid w:val="005B2FDF"/>
    <w:rsid w:val="005B57CA"/>
    <w:rsid w:val="005B5B97"/>
    <w:rsid w:val="005C7A36"/>
    <w:rsid w:val="005C7D76"/>
    <w:rsid w:val="005D0ADD"/>
    <w:rsid w:val="005E1C99"/>
    <w:rsid w:val="005E544C"/>
    <w:rsid w:val="005E6889"/>
    <w:rsid w:val="005F4D23"/>
    <w:rsid w:val="006110DA"/>
    <w:rsid w:val="0062678D"/>
    <w:rsid w:val="006308BD"/>
    <w:rsid w:val="00633EA5"/>
    <w:rsid w:val="00637672"/>
    <w:rsid w:val="00676F33"/>
    <w:rsid w:val="0068128E"/>
    <w:rsid w:val="006842FA"/>
    <w:rsid w:val="0068682C"/>
    <w:rsid w:val="00690A0C"/>
    <w:rsid w:val="00690FD2"/>
    <w:rsid w:val="00693199"/>
    <w:rsid w:val="00696079"/>
    <w:rsid w:val="006A761F"/>
    <w:rsid w:val="006B2FDD"/>
    <w:rsid w:val="006B4B95"/>
    <w:rsid w:val="006B59E2"/>
    <w:rsid w:val="006C18D9"/>
    <w:rsid w:val="006C1BDA"/>
    <w:rsid w:val="006C6449"/>
    <w:rsid w:val="006D3998"/>
    <w:rsid w:val="006E1454"/>
    <w:rsid w:val="006E3870"/>
    <w:rsid w:val="006E692F"/>
    <w:rsid w:val="006E7073"/>
    <w:rsid w:val="006F0C64"/>
    <w:rsid w:val="006F1F38"/>
    <w:rsid w:val="00735830"/>
    <w:rsid w:val="00737A18"/>
    <w:rsid w:val="00746B89"/>
    <w:rsid w:val="007471D6"/>
    <w:rsid w:val="00762C36"/>
    <w:rsid w:val="00785386"/>
    <w:rsid w:val="0079212B"/>
    <w:rsid w:val="007C1458"/>
    <w:rsid w:val="007E4F92"/>
    <w:rsid w:val="008048D2"/>
    <w:rsid w:val="00806C60"/>
    <w:rsid w:val="008302D7"/>
    <w:rsid w:val="00831211"/>
    <w:rsid w:val="00850CB1"/>
    <w:rsid w:val="00853565"/>
    <w:rsid w:val="00870CE7"/>
    <w:rsid w:val="008754BE"/>
    <w:rsid w:val="008849F0"/>
    <w:rsid w:val="0089077E"/>
    <w:rsid w:val="00891331"/>
    <w:rsid w:val="00893AD3"/>
    <w:rsid w:val="0089563B"/>
    <w:rsid w:val="008A6E5C"/>
    <w:rsid w:val="008B2DC6"/>
    <w:rsid w:val="008B384B"/>
    <w:rsid w:val="008B4705"/>
    <w:rsid w:val="008D2398"/>
    <w:rsid w:val="008E3DD1"/>
    <w:rsid w:val="008F0FBC"/>
    <w:rsid w:val="008F6942"/>
    <w:rsid w:val="009026D3"/>
    <w:rsid w:val="00937EF7"/>
    <w:rsid w:val="00952863"/>
    <w:rsid w:val="00961211"/>
    <w:rsid w:val="00966A0F"/>
    <w:rsid w:val="00980050"/>
    <w:rsid w:val="00980B08"/>
    <w:rsid w:val="00987BBD"/>
    <w:rsid w:val="00993CA4"/>
    <w:rsid w:val="009A62A9"/>
    <w:rsid w:val="009B63AB"/>
    <w:rsid w:val="009C0A89"/>
    <w:rsid w:val="009C13EF"/>
    <w:rsid w:val="009C15B1"/>
    <w:rsid w:val="009E6A03"/>
    <w:rsid w:val="009E78BB"/>
    <w:rsid w:val="009F2FC0"/>
    <w:rsid w:val="009F7769"/>
    <w:rsid w:val="00A11697"/>
    <w:rsid w:val="00A14093"/>
    <w:rsid w:val="00A203FC"/>
    <w:rsid w:val="00A25BC8"/>
    <w:rsid w:val="00A43E9C"/>
    <w:rsid w:val="00A67718"/>
    <w:rsid w:val="00A92572"/>
    <w:rsid w:val="00A92893"/>
    <w:rsid w:val="00A931AA"/>
    <w:rsid w:val="00AA2B13"/>
    <w:rsid w:val="00AC6BA4"/>
    <w:rsid w:val="00AD3D55"/>
    <w:rsid w:val="00AD494A"/>
    <w:rsid w:val="00B042BC"/>
    <w:rsid w:val="00B06427"/>
    <w:rsid w:val="00B55C66"/>
    <w:rsid w:val="00B722DE"/>
    <w:rsid w:val="00B818D2"/>
    <w:rsid w:val="00B83068"/>
    <w:rsid w:val="00B838FB"/>
    <w:rsid w:val="00BA76D9"/>
    <w:rsid w:val="00BB5D00"/>
    <w:rsid w:val="00BD6603"/>
    <w:rsid w:val="00BE35BA"/>
    <w:rsid w:val="00BE4427"/>
    <w:rsid w:val="00BF069C"/>
    <w:rsid w:val="00BF1838"/>
    <w:rsid w:val="00BF378D"/>
    <w:rsid w:val="00BF3835"/>
    <w:rsid w:val="00BF45BD"/>
    <w:rsid w:val="00BF6786"/>
    <w:rsid w:val="00BF67E7"/>
    <w:rsid w:val="00C008B0"/>
    <w:rsid w:val="00C05769"/>
    <w:rsid w:val="00C1002D"/>
    <w:rsid w:val="00C11C55"/>
    <w:rsid w:val="00C14DD3"/>
    <w:rsid w:val="00C16294"/>
    <w:rsid w:val="00C2635E"/>
    <w:rsid w:val="00C31853"/>
    <w:rsid w:val="00C42FFB"/>
    <w:rsid w:val="00C6486C"/>
    <w:rsid w:val="00C648D3"/>
    <w:rsid w:val="00C674AF"/>
    <w:rsid w:val="00C75B02"/>
    <w:rsid w:val="00C77DDE"/>
    <w:rsid w:val="00C83EE2"/>
    <w:rsid w:val="00C86109"/>
    <w:rsid w:val="00C87727"/>
    <w:rsid w:val="00C962F0"/>
    <w:rsid w:val="00CD6EF7"/>
    <w:rsid w:val="00D013ED"/>
    <w:rsid w:val="00D06F71"/>
    <w:rsid w:val="00D166EE"/>
    <w:rsid w:val="00D2392E"/>
    <w:rsid w:val="00D265AD"/>
    <w:rsid w:val="00D27F78"/>
    <w:rsid w:val="00D36BDC"/>
    <w:rsid w:val="00D448A1"/>
    <w:rsid w:val="00D5049E"/>
    <w:rsid w:val="00D55FEC"/>
    <w:rsid w:val="00D859D0"/>
    <w:rsid w:val="00D91C09"/>
    <w:rsid w:val="00D92DD1"/>
    <w:rsid w:val="00D95CAD"/>
    <w:rsid w:val="00D96F5C"/>
    <w:rsid w:val="00DB1DFA"/>
    <w:rsid w:val="00DE35FF"/>
    <w:rsid w:val="00DE6237"/>
    <w:rsid w:val="00DF2FB9"/>
    <w:rsid w:val="00E454CD"/>
    <w:rsid w:val="00E55234"/>
    <w:rsid w:val="00E608A6"/>
    <w:rsid w:val="00E60CBC"/>
    <w:rsid w:val="00E63DEF"/>
    <w:rsid w:val="00E64936"/>
    <w:rsid w:val="00E75CF6"/>
    <w:rsid w:val="00E86189"/>
    <w:rsid w:val="00EA168C"/>
    <w:rsid w:val="00EA6689"/>
    <w:rsid w:val="00EA6DDF"/>
    <w:rsid w:val="00EC53C8"/>
    <w:rsid w:val="00EC753F"/>
    <w:rsid w:val="00EE0542"/>
    <w:rsid w:val="00EE11A0"/>
    <w:rsid w:val="00EF3957"/>
    <w:rsid w:val="00F10F21"/>
    <w:rsid w:val="00F13BAA"/>
    <w:rsid w:val="00F26226"/>
    <w:rsid w:val="00F269BB"/>
    <w:rsid w:val="00F271BF"/>
    <w:rsid w:val="00F463F2"/>
    <w:rsid w:val="00F47A40"/>
    <w:rsid w:val="00F50B8E"/>
    <w:rsid w:val="00F5447C"/>
    <w:rsid w:val="00F60A12"/>
    <w:rsid w:val="00F66E0A"/>
    <w:rsid w:val="00F7009F"/>
    <w:rsid w:val="00F70FD9"/>
    <w:rsid w:val="00F74494"/>
    <w:rsid w:val="00F8186D"/>
    <w:rsid w:val="00F8204B"/>
    <w:rsid w:val="00F82282"/>
    <w:rsid w:val="00FB3901"/>
    <w:rsid w:val="00FC0813"/>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3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ceanexpert.org/document/28078" TargetMode="External"/><Relationship Id="rId19" Type="http://schemas.openxmlformats.org/officeDocument/2006/relationships/hyperlink" Target="https://unesdoc.unesco.org/ark:/48223/pf0000374421.locale=en" TargetMode="Externa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0D6-B2DB-48DC-88DF-1AEEF74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7</Pages>
  <Words>3291</Words>
  <Characters>17888</Characters>
  <Application>Microsoft Office Word</Application>
  <DocSecurity>4</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2</cp:revision>
  <cp:lastPrinted>2021-05-26T08:45:00Z</cp:lastPrinted>
  <dcterms:created xsi:type="dcterms:W3CDTF">2021-06-17T07:34:00Z</dcterms:created>
  <dcterms:modified xsi:type="dcterms:W3CDTF">2021-06-17T07:34:00Z</dcterms:modified>
</cp:coreProperties>
</file>