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44" w:type="dxa"/>
        <w:tblInd w:w="142" w:type="dxa"/>
        <w:tblLayout w:type="fixed"/>
        <w:tblLook w:val="0000" w:firstRow="0" w:lastRow="0" w:firstColumn="0" w:lastColumn="0" w:noHBand="0" w:noVBand="0"/>
      </w:tblPr>
      <w:tblGrid>
        <w:gridCol w:w="6203"/>
        <w:gridCol w:w="2941"/>
      </w:tblGrid>
      <w:tr w:rsidR="00194C8E" w:rsidRPr="00046D9D" w14:paraId="056C1B54" w14:textId="77777777" w:rsidTr="004A4ED9">
        <w:tc>
          <w:tcPr>
            <w:tcW w:w="6203" w:type="dxa"/>
          </w:tcPr>
          <w:p w14:paraId="3B604C32" w14:textId="77777777" w:rsidR="00194C8E" w:rsidRPr="00046D9D" w:rsidRDefault="00194C8E" w:rsidP="004A4ED9">
            <w:pPr>
              <w:spacing w:after="240" w:line="360" w:lineRule="auto"/>
              <w:ind w:left="-105"/>
              <w:rPr>
                <w:rFonts w:ascii="Arial" w:hAnsi="Arial" w:cs="Arial"/>
                <w:sz w:val="22"/>
                <w:szCs w:val="22"/>
              </w:rPr>
            </w:pPr>
            <w:r w:rsidRPr="00046D9D">
              <w:rPr>
                <w:rFonts w:ascii="Arial" w:hAnsi="Arial" w:cs="Arial"/>
                <w:sz w:val="22"/>
                <w:szCs w:val="22"/>
              </w:rPr>
              <w:t>Restricted distribution</w:t>
            </w:r>
          </w:p>
          <w:p w14:paraId="7857F054" w14:textId="77777777" w:rsidR="00194C8E" w:rsidRPr="00046D9D" w:rsidRDefault="00194C8E" w:rsidP="004A4ED9">
            <w:pPr>
              <w:spacing w:after="240" w:line="360" w:lineRule="auto"/>
              <w:rPr>
                <w:rFonts w:ascii="Arial" w:hAnsi="Arial" w:cs="Arial"/>
                <w:sz w:val="22"/>
                <w:szCs w:val="22"/>
              </w:rPr>
            </w:pPr>
          </w:p>
        </w:tc>
        <w:tc>
          <w:tcPr>
            <w:tcW w:w="2941" w:type="dxa"/>
          </w:tcPr>
          <w:p w14:paraId="60ABC25F" w14:textId="77777777" w:rsidR="00194C8E" w:rsidRPr="009D7991" w:rsidRDefault="00194C8E" w:rsidP="004A4ED9">
            <w:pPr>
              <w:rPr>
                <w:rFonts w:ascii="Arial" w:hAnsi="Arial" w:cs="Arial"/>
                <w:b/>
                <w:sz w:val="22"/>
                <w:szCs w:val="22"/>
                <w:lang w:val="en-US"/>
              </w:rPr>
            </w:pPr>
            <w:r>
              <w:rPr>
                <w:rFonts w:ascii="Arial" w:hAnsi="Arial" w:cs="Arial"/>
                <w:b/>
                <w:sz w:val="22"/>
                <w:szCs w:val="22"/>
                <w:lang w:val="en-US"/>
              </w:rPr>
              <w:t>IOC-31</w:t>
            </w:r>
            <w:r w:rsidRPr="009D7991">
              <w:rPr>
                <w:rFonts w:ascii="Arial" w:hAnsi="Arial" w:cs="Arial"/>
                <w:b/>
                <w:sz w:val="22"/>
                <w:szCs w:val="22"/>
                <w:lang w:val="en-US"/>
              </w:rPr>
              <w:t>/DR.</w:t>
            </w:r>
            <w:r>
              <w:rPr>
                <w:rFonts w:ascii="Arial" w:hAnsi="Arial" w:cs="Arial"/>
                <w:b/>
                <w:sz w:val="22"/>
                <w:szCs w:val="22"/>
                <w:lang w:val="en-US"/>
              </w:rPr>
              <w:t>[3.7]</w:t>
            </w:r>
          </w:p>
          <w:p w14:paraId="384C9A18" w14:textId="07A8DA51" w:rsidR="00194C8E" w:rsidRPr="009D7991" w:rsidRDefault="00194C8E" w:rsidP="004A4ED9">
            <w:pPr>
              <w:rPr>
                <w:rFonts w:ascii="Arial" w:hAnsi="Arial" w:cs="Arial"/>
                <w:sz w:val="22"/>
                <w:szCs w:val="22"/>
                <w:lang w:val="en-US"/>
              </w:rPr>
            </w:pPr>
            <w:r w:rsidRPr="009D7991">
              <w:rPr>
                <w:rFonts w:ascii="Arial" w:hAnsi="Arial" w:cs="Arial"/>
                <w:sz w:val="22"/>
                <w:szCs w:val="22"/>
                <w:lang w:val="en-US"/>
              </w:rPr>
              <w:t xml:space="preserve">Paris, </w:t>
            </w:r>
            <w:r w:rsidR="00472DC6">
              <w:rPr>
                <w:rFonts w:ascii="Arial" w:hAnsi="Arial" w:cs="Arial"/>
                <w:sz w:val="22"/>
                <w:szCs w:val="22"/>
                <w:lang w:val="en-US"/>
              </w:rPr>
              <w:t>22</w:t>
            </w:r>
            <w:r>
              <w:rPr>
                <w:rFonts w:ascii="Arial" w:hAnsi="Arial" w:cs="Arial"/>
                <w:sz w:val="22"/>
                <w:szCs w:val="22"/>
                <w:lang w:val="en-US"/>
              </w:rPr>
              <w:t xml:space="preserve"> June 2021</w:t>
            </w:r>
          </w:p>
          <w:p w14:paraId="6DC04D8D" w14:textId="77777777" w:rsidR="00194C8E" w:rsidRPr="00046D9D" w:rsidRDefault="00194C8E" w:rsidP="004A4ED9">
            <w:pPr>
              <w:pStyle w:val="Header"/>
              <w:tabs>
                <w:tab w:val="clear" w:pos="4153"/>
                <w:tab w:val="clear" w:pos="8306"/>
                <w:tab w:val="left" w:pos="709"/>
              </w:tabs>
              <w:snapToGrid w:val="0"/>
              <w:spacing w:after="240" w:line="360" w:lineRule="auto"/>
              <w:rPr>
                <w:rFonts w:ascii="Arial" w:hAnsi="Arial" w:cs="Arial"/>
                <w:sz w:val="22"/>
                <w:szCs w:val="22"/>
              </w:rPr>
            </w:pPr>
            <w:r w:rsidRPr="00046D9D">
              <w:rPr>
                <w:rFonts w:ascii="Arial" w:hAnsi="Arial" w:cs="Arial"/>
                <w:sz w:val="22"/>
                <w:szCs w:val="22"/>
              </w:rPr>
              <w:t>Original: English</w:t>
            </w:r>
          </w:p>
        </w:tc>
      </w:tr>
    </w:tbl>
    <w:p w14:paraId="1F6117CB" w14:textId="77777777" w:rsidR="00194C8E" w:rsidRDefault="00194C8E" w:rsidP="00194C8E">
      <w:pPr>
        <w:spacing w:after="240" w:line="360" w:lineRule="auto"/>
        <w:jc w:val="center"/>
        <w:rPr>
          <w:rFonts w:ascii="Arial" w:hAnsi="Arial" w:cs="Arial"/>
          <w:color w:val="000000"/>
          <w:sz w:val="22"/>
          <w:szCs w:val="22"/>
          <w:u w:val="single"/>
        </w:rPr>
      </w:pPr>
    </w:p>
    <w:p w14:paraId="6ADA9C03" w14:textId="77777777" w:rsidR="00194C8E" w:rsidRPr="00C61838" w:rsidRDefault="00194C8E" w:rsidP="00194C8E">
      <w:pPr>
        <w:spacing w:after="240" w:line="480" w:lineRule="auto"/>
        <w:rPr>
          <w:rFonts w:asciiTheme="minorBidi" w:hAnsiTheme="minorBidi" w:cstheme="minorBidi"/>
          <w:b/>
          <w:sz w:val="22"/>
          <w:szCs w:val="22"/>
        </w:rPr>
      </w:pPr>
      <w:r w:rsidRPr="00C61838">
        <w:rPr>
          <w:rFonts w:asciiTheme="minorBidi" w:hAnsiTheme="minorBidi" w:cstheme="minorBidi"/>
          <w:b/>
          <w:sz w:val="22"/>
          <w:szCs w:val="22"/>
        </w:rPr>
        <w:t>DRAFT RESOLUTION IOC-31/[3.7]</w:t>
      </w:r>
    </w:p>
    <w:p w14:paraId="5FA0140D" w14:textId="249068BD" w:rsidR="00194C8E" w:rsidRPr="00C61838" w:rsidRDefault="00194C8E" w:rsidP="00194C8E">
      <w:pPr>
        <w:spacing w:after="240" w:line="480" w:lineRule="auto"/>
        <w:rPr>
          <w:rFonts w:asciiTheme="minorBidi" w:hAnsiTheme="minorBidi" w:cstheme="minorBidi"/>
          <w:bCs/>
          <w:sz w:val="22"/>
          <w:szCs w:val="22"/>
        </w:rPr>
      </w:pPr>
      <w:r w:rsidRPr="00C61838">
        <w:rPr>
          <w:rFonts w:asciiTheme="minorBidi" w:hAnsiTheme="minorBidi" w:cstheme="minorBidi"/>
          <w:bCs/>
          <w:sz w:val="22"/>
          <w:szCs w:val="22"/>
        </w:rPr>
        <w:t>Submitted by India, USA, Colombia, Russian Federation, Germany, Brazil, Morocco. Portugal, United Kingdom</w:t>
      </w:r>
      <w:r>
        <w:rPr>
          <w:rFonts w:asciiTheme="minorBidi" w:hAnsiTheme="minorBidi" w:cstheme="minorBidi"/>
          <w:bCs/>
          <w:sz w:val="22"/>
          <w:szCs w:val="22"/>
        </w:rPr>
        <w:t xml:space="preserve">, France, </w:t>
      </w:r>
      <w:r w:rsidR="00750044">
        <w:rPr>
          <w:rFonts w:asciiTheme="minorBidi" w:hAnsiTheme="minorBidi" w:cstheme="minorBidi"/>
          <w:bCs/>
          <w:sz w:val="22"/>
          <w:szCs w:val="22"/>
        </w:rPr>
        <w:t xml:space="preserve">Italy, </w:t>
      </w:r>
      <w:r w:rsidRPr="00194C8E">
        <w:rPr>
          <w:rFonts w:asciiTheme="minorBidi" w:hAnsiTheme="minorBidi" w:cstheme="minorBidi"/>
          <w:bCs/>
          <w:sz w:val="22"/>
          <w:szCs w:val="22"/>
        </w:rPr>
        <w:t>Uruguay</w:t>
      </w:r>
      <w:r>
        <w:rPr>
          <w:rFonts w:asciiTheme="minorBidi" w:hAnsiTheme="minorBidi" w:cstheme="minorBidi"/>
          <w:bCs/>
          <w:sz w:val="22"/>
          <w:szCs w:val="22"/>
        </w:rPr>
        <w:t>,</w:t>
      </w:r>
      <w:r w:rsidR="00D57FCE">
        <w:rPr>
          <w:rFonts w:asciiTheme="minorBidi" w:hAnsiTheme="minorBidi" w:cstheme="minorBidi"/>
          <w:bCs/>
          <w:sz w:val="22"/>
          <w:szCs w:val="22"/>
        </w:rPr>
        <w:t xml:space="preserve"> Kenya</w:t>
      </w:r>
      <w:r w:rsidRPr="00194C8E">
        <w:rPr>
          <w:rFonts w:asciiTheme="minorBidi" w:hAnsiTheme="minorBidi" w:cstheme="minorBidi"/>
          <w:bCs/>
          <w:sz w:val="22"/>
          <w:szCs w:val="22"/>
        </w:rPr>
        <w:t xml:space="preserve"> and Philippines</w:t>
      </w:r>
      <w:r>
        <w:rPr>
          <w:rFonts w:asciiTheme="minorBidi" w:hAnsiTheme="minorBidi" w:cstheme="minorBidi"/>
          <w:bCs/>
          <w:sz w:val="22"/>
          <w:szCs w:val="22"/>
        </w:rPr>
        <w:t xml:space="preserve">. </w:t>
      </w:r>
    </w:p>
    <w:p w14:paraId="03D72E01" w14:textId="67EFAD80" w:rsidR="00194C8E" w:rsidRPr="00944536" w:rsidRDefault="00194C8E" w:rsidP="00944536">
      <w:pPr>
        <w:spacing w:after="240" w:line="480" w:lineRule="auto"/>
        <w:rPr>
          <w:rFonts w:asciiTheme="minorBidi" w:hAnsiTheme="minorBidi" w:cstheme="minorBidi"/>
          <w:bCs/>
          <w:color w:val="000000"/>
          <w:sz w:val="22"/>
          <w:szCs w:val="22"/>
          <w:u w:val="single"/>
        </w:rPr>
      </w:pPr>
      <w:r w:rsidRPr="00C61838">
        <w:rPr>
          <w:rFonts w:asciiTheme="minorBidi" w:hAnsiTheme="minorBidi" w:cstheme="minorBidi"/>
          <w:bCs/>
          <w:sz w:val="22"/>
          <w:szCs w:val="22"/>
        </w:rPr>
        <w:t>Agenda item 3.7</w:t>
      </w:r>
      <w:r>
        <w:rPr>
          <w:rFonts w:ascii="Arial" w:eastAsia="Calibri" w:hAnsi="Arial" w:cs="Arial"/>
          <w:i/>
          <w:sz w:val="22"/>
          <w:szCs w:val="22"/>
        </w:rPr>
        <w:t>.</w:t>
      </w:r>
    </w:p>
    <w:p w14:paraId="710C9E39" w14:textId="77777777" w:rsidR="00194C8E" w:rsidRPr="005F7740" w:rsidRDefault="00194C8E" w:rsidP="00194C8E">
      <w:pPr>
        <w:spacing w:after="240" w:line="480" w:lineRule="auto"/>
        <w:rPr>
          <w:rFonts w:ascii="Arial" w:eastAsia="Calibri" w:hAnsi="Arial" w:cs="Arial"/>
          <w:b/>
          <w:i/>
          <w:sz w:val="22"/>
          <w:szCs w:val="22"/>
        </w:rPr>
      </w:pPr>
      <w:r w:rsidRPr="005F7740">
        <w:rPr>
          <w:rFonts w:ascii="Arial" w:eastAsia="Calibri" w:hAnsi="Arial" w:cs="Arial"/>
          <w:b/>
          <w:sz w:val="22"/>
          <w:szCs w:val="22"/>
        </w:rPr>
        <w:t>IMPLEMENTATION OF THE UNITED NATIONS DECADE OF OCEAN SCIENCE FOR SUSTAINABLE DEVELOPMENT</w:t>
      </w:r>
      <w:r w:rsidRPr="00477C23">
        <w:rPr>
          <w:rFonts w:ascii="Arial" w:eastAsia="Calibri" w:hAnsi="Arial" w:cs="Arial"/>
          <w:b/>
          <w:sz w:val="22"/>
          <w:szCs w:val="22"/>
        </w:rPr>
        <w:t xml:space="preserve"> (2021–2030)</w:t>
      </w:r>
    </w:p>
    <w:p w14:paraId="0C1EE3F3" w14:textId="77777777" w:rsidR="00194C8E" w:rsidRPr="005F7740" w:rsidRDefault="00194C8E" w:rsidP="00194C8E">
      <w:pPr>
        <w:tabs>
          <w:tab w:val="clear" w:pos="567"/>
        </w:tabs>
        <w:spacing w:after="240" w:line="480" w:lineRule="auto"/>
        <w:rPr>
          <w:rFonts w:ascii="Arial" w:eastAsia="Calibri" w:hAnsi="Arial" w:cs="Arial"/>
          <w:sz w:val="22"/>
          <w:szCs w:val="22"/>
        </w:rPr>
      </w:pPr>
      <w:r w:rsidRPr="005F7740">
        <w:rPr>
          <w:rFonts w:ascii="Arial" w:eastAsia="Calibri" w:hAnsi="Arial" w:cs="Arial"/>
          <w:sz w:val="22"/>
          <w:szCs w:val="22"/>
        </w:rPr>
        <w:t xml:space="preserve">The Intergovernmental Oceanographic Commission, </w:t>
      </w:r>
    </w:p>
    <w:p w14:paraId="181BA2D8" w14:textId="733F7174" w:rsidR="00194C8E" w:rsidRPr="00E04FD3"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E04FD3">
        <w:rPr>
          <w:rFonts w:ascii="Arial" w:eastAsia="Calibri" w:hAnsi="Arial" w:cs="Arial"/>
          <w:b/>
          <w:sz w:val="22"/>
          <w:szCs w:val="22"/>
        </w:rPr>
        <w:t>Recalling</w:t>
      </w:r>
      <w:r w:rsidRPr="00E04FD3">
        <w:rPr>
          <w:rFonts w:ascii="Arial" w:eastAsia="Calibri" w:hAnsi="Arial" w:cs="Arial"/>
          <w:sz w:val="22"/>
          <w:szCs w:val="22"/>
        </w:rPr>
        <w:t xml:space="preserve"> IOC Assembly </w:t>
      </w:r>
      <w:hyperlink r:id="rId7" w:anchor="%5B%7B%22num%22%3A207%2C%22gen%22%3A0%7D%2C%7B%22name%22%3A%22XYZ%22%7D%2C61%2C770%2C0%5D" w:history="1">
        <w:r w:rsidRPr="00E04FD3">
          <w:rPr>
            <w:rFonts w:ascii="Arial" w:eastAsia="Calibri" w:hAnsi="Arial" w:cs="Arial"/>
            <w:color w:val="0000FF"/>
            <w:sz w:val="22"/>
            <w:szCs w:val="22"/>
            <w:u w:val="single"/>
          </w:rPr>
          <w:t>Resolution XXIX-1</w:t>
        </w:r>
      </w:hyperlink>
      <w:r w:rsidRPr="00E04FD3">
        <w:rPr>
          <w:rFonts w:ascii="Arial" w:eastAsia="Calibri" w:hAnsi="Arial" w:cs="Arial"/>
          <w:sz w:val="22"/>
          <w:szCs w:val="22"/>
        </w:rPr>
        <w:t xml:space="preserve"> proposing the establishment of an international (UN) Decade of Ocean Science for Sustainable Development (2021</w:t>
      </w:r>
      <w:r w:rsidR="00472DC6">
        <w:rPr>
          <w:rFonts w:ascii="Arial" w:eastAsia="Calibri" w:hAnsi="Arial" w:cs="Arial"/>
          <w:sz w:val="22"/>
          <w:szCs w:val="22"/>
        </w:rPr>
        <w:t>–</w:t>
      </w:r>
      <w:r w:rsidRPr="00E04FD3">
        <w:rPr>
          <w:rFonts w:ascii="Arial" w:eastAsia="Calibri" w:hAnsi="Arial" w:cs="Arial"/>
          <w:sz w:val="22"/>
          <w:szCs w:val="22"/>
        </w:rPr>
        <w:t>2030), the subsequent proclamation of the United Nations Decade of Ocean Science for Sustainable Development (2021–2030) by the United Nations General Assembly (UNGA) at its 72</w:t>
      </w:r>
      <w:r w:rsidRPr="00E04FD3">
        <w:rPr>
          <w:rFonts w:ascii="Arial" w:eastAsia="Calibri" w:hAnsi="Arial" w:cs="Arial"/>
          <w:sz w:val="22"/>
          <w:szCs w:val="22"/>
          <w:vertAlign w:val="superscript"/>
        </w:rPr>
        <w:t xml:space="preserve">nd </w:t>
      </w:r>
      <w:r w:rsidRPr="00E04FD3">
        <w:rPr>
          <w:rFonts w:ascii="Arial" w:eastAsia="Calibri" w:hAnsi="Arial" w:cs="Arial"/>
          <w:sz w:val="22"/>
          <w:szCs w:val="22"/>
        </w:rPr>
        <w:t xml:space="preserve">session through Resolution </w:t>
      </w:r>
      <w:hyperlink r:id="rId8" w:history="1">
        <w:r w:rsidRPr="00E04FD3">
          <w:rPr>
            <w:rFonts w:ascii="Arial" w:eastAsia="Calibri" w:hAnsi="Arial" w:cs="Arial"/>
            <w:color w:val="0000FF"/>
            <w:sz w:val="22"/>
            <w:szCs w:val="22"/>
            <w:u w:val="single"/>
          </w:rPr>
          <w:t>A/RES/72/73</w:t>
        </w:r>
      </w:hyperlink>
      <w:r w:rsidRPr="00E04FD3">
        <w:rPr>
          <w:rFonts w:ascii="Arial" w:eastAsia="Calibri" w:hAnsi="Arial" w:cs="Arial"/>
          <w:sz w:val="22"/>
          <w:szCs w:val="22"/>
        </w:rPr>
        <w:t xml:space="preserve"> (therein the Decade), and the invitation to the IOC to prepare an implementation plan for the Decade in consultation with Member States, specialized agencies, funds, programmes, and bodies of the United Nations</w:t>
      </w:r>
      <w:r>
        <w:rPr>
          <w:rFonts w:ascii="Arial" w:eastAsia="Calibri" w:hAnsi="Arial" w:cs="Arial"/>
          <w:sz w:val="22"/>
          <w:szCs w:val="22"/>
        </w:rPr>
        <w:t xml:space="preserve"> (UN)</w:t>
      </w:r>
      <w:r w:rsidRPr="00E04FD3">
        <w:rPr>
          <w:rFonts w:ascii="Arial" w:eastAsia="Calibri" w:hAnsi="Arial" w:cs="Arial"/>
          <w:sz w:val="22"/>
          <w:szCs w:val="22"/>
        </w:rPr>
        <w:t>, as well as other intergovernmental organizations, non-governmental organizations and relevant stakeholders,</w:t>
      </w:r>
    </w:p>
    <w:p w14:paraId="7742E978" w14:textId="77777777" w:rsidR="00194C8E" w:rsidRPr="00E04FD3" w:rsidRDefault="00194C8E" w:rsidP="00B870A1">
      <w:pPr>
        <w:pStyle w:val="b"/>
        <w:numPr>
          <w:ilvl w:val="0"/>
          <w:numId w:val="4"/>
        </w:numPr>
        <w:tabs>
          <w:tab w:val="clear" w:pos="1134"/>
        </w:tabs>
        <w:spacing w:after="120" w:line="480" w:lineRule="auto"/>
        <w:ind w:left="709" w:hanging="709"/>
        <w:rPr>
          <w:rFonts w:ascii="Arial" w:eastAsia="Calibri" w:hAnsi="Arial" w:cs="Arial"/>
          <w:sz w:val="22"/>
          <w:szCs w:val="22"/>
        </w:rPr>
      </w:pPr>
      <w:r w:rsidRPr="00E04FD3">
        <w:rPr>
          <w:rFonts w:ascii="Arial" w:eastAsia="Calibri" w:hAnsi="Arial" w:cs="Arial"/>
          <w:b/>
          <w:bCs/>
          <w:sz w:val="22"/>
          <w:szCs w:val="22"/>
        </w:rPr>
        <w:t>Further recalling</w:t>
      </w:r>
      <w:r w:rsidRPr="00E04FD3">
        <w:rPr>
          <w:rFonts w:ascii="Arial" w:eastAsia="Calibri" w:hAnsi="Arial" w:cs="Arial"/>
          <w:sz w:val="22"/>
          <w:szCs w:val="22"/>
        </w:rPr>
        <w:t xml:space="preserve"> IOC </w:t>
      </w:r>
      <w:r w:rsidRPr="00E04FD3">
        <w:rPr>
          <w:rFonts w:ascii="Arial" w:eastAsia="Calibri" w:hAnsi="Arial" w:cs="Arial"/>
          <w:sz w:val="22"/>
          <w:szCs w:val="22"/>
          <w:lang w:eastAsia="en-GB"/>
        </w:rPr>
        <w:t xml:space="preserve">Assembly </w:t>
      </w:r>
      <w:hyperlink r:id="rId9" w:history="1">
        <w:r w:rsidRPr="005F7740">
          <w:rPr>
            <w:rStyle w:val="Hyperlink"/>
            <w:rFonts w:eastAsia="Calibri" w:cs="Arial"/>
            <w:szCs w:val="22"/>
            <w:lang w:eastAsia="en-GB"/>
          </w:rPr>
          <w:t>Resolution XXX-1</w:t>
        </w:r>
      </w:hyperlink>
      <w:r w:rsidRPr="00E04FD3">
        <w:rPr>
          <w:rFonts w:ascii="Arial" w:eastAsia="Calibri" w:hAnsi="Arial" w:cs="Arial"/>
          <w:sz w:val="22"/>
          <w:szCs w:val="22"/>
          <w:lang w:eastAsia="en-GB"/>
        </w:rPr>
        <w:t xml:space="preserve"> on Progress Report on the Preparation of the United Nations Decade of Ocean Science for Sustainable Development and the call on </w:t>
      </w:r>
      <w:r w:rsidRPr="00E04FD3">
        <w:rPr>
          <w:rFonts w:ascii="Arial" w:eastAsia="Calibri" w:hAnsi="Arial" w:cs="Arial"/>
          <w:sz w:val="22"/>
          <w:szCs w:val="22"/>
        </w:rPr>
        <w:t xml:space="preserve">IOC by the UNGA through Resolution </w:t>
      </w:r>
      <w:hyperlink r:id="rId10" w:history="1">
        <w:r w:rsidRPr="00E04FD3">
          <w:rPr>
            <w:rFonts w:ascii="Arial" w:hAnsi="Arial" w:cs="Arial"/>
            <w:color w:val="0000FF"/>
            <w:sz w:val="22"/>
            <w:szCs w:val="22"/>
            <w:u w:val="single"/>
          </w:rPr>
          <w:t>A/RES/74/19</w:t>
        </w:r>
      </w:hyperlink>
      <w:r w:rsidRPr="00E04FD3">
        <w:rPr>
          <w:rFonts w:ascii="Arial" w:hAnsi="Arial" w:cs="Arial"/>
          <w:color w:val="000000"/>
          <w:sz w:val="22"/>
          <w:szCs w:val="22"/>
        </w:rPr>
        <w:t xml:space="preserve"> to:</w:t>
      </w:r>
    </w:p>
    <w:p w14:paraId="5D0398DA" w14:textId="77777777" w:rsidR="00194C8E" w:rsidRPr="00E04FD3" w:rsidRDefault="00194C8E" w:rsidP="00B870A1">
      <w:pPr>
        <w:numPr>
          <w:ilvl w:val="0"/>
          <w:numId w:val="5"/>
        </w:numPr>
        <w:tabs>
          <w:tab w:val="clear" w:pos="567"/>
          <w:tab w:val="left" w:pos="1311"/>
        </w:tabs>
        <w:spacing w:after="120" w:line="480" w:lineRule="auto"/>
        <w:ind w:left="1311" w:hanging="567"/>
        <w:jc w:val="both"/>
        <w:rPr>
          <w:rFonts w:ascii="Arial" w:eastAsia="Calibri" w:hAnsi="Arial" w:cs="Arial"/>
          <w:sz w:val="22"/>
          <w:szCs w:val="22"/>
        </w:rPr>
      </w:pPr>
      <w:r w:rsidRPr="00E04FD3">
        <w:rPr>
          <w:rFonts w:ascii="Arial" w:eastAsia="MS Mincho" w:hAnsi="Arial" w:cs="Arial"/>
          <w:color w:val="000000"/>
          <w:sz w:val="22"/>
          <w:szCs w:val="22"/>
          <w:lang w:eastAsia="ja-JP"/>
        </w:rPr>
        <w:t>continue to provide information on the development of the implementation plan and present it to the UNGA at its 75</w:t>
      </w:r>
      <w:r w:rsidRPr="00E04FD3">
        <w:rPr>
          <w:rFonts w:ascii="Arial" w:eastAsia="MS Mincho" w:hAnsi="Arial" w:cs="Arial"/>
          <w:color w:val="000000"/>
          <w:sz w:val="22"/>
          <w:szCs w:val="22"/>
          <w:vertAlign w:val="superscript"/>
          <w:lang w:eastAsia="ja-JP"/>
        </w:rPr>
        <w:t>th</w:t>
      </w:r>
      <w:r w:rsidRPr="00E04FD3">
        <w:rPr>
          <w:rFonts w:ascii="Arial" w:eastAsia="MS Mincho" w:hAnsi="Arial" w:cs="Arial"/>
          <w:color w:val="000000"/>
          <w:sz w:val="22"/>
          <w:szCs w:val="22"/>
          <w:lang w:eastAsia="ja-JP"/>
        </w:rPr>
        <w:t xml:space="preserve"> session, </w:t>
      </w:r>
    </w:p>
    <w:p w14:paraId="6E0BD190" w14:textId="77777777" w:rsidR="00194C8E" w:rsidRPr="00E04FD3" w:rsidRDefault="00194C8E" w:rsidP="002D220F">
      <w:pPr>
        <w:numPr>
          <w:ilvl w:val="0"/>
          <w:numId w:val="5"/>
        </w:numPr>
        <w:tabs>
          <w:tab w:val="clear" w:pos="567"/>
          <w:tab w:val="left" w:pos="1311"/>
        </w:tabs>
        <w:spacing w:after="240" w:line="480" w:lineRule="auto"/>
        <w:ind w:left="1311" w:hanging="567"/>
        <w:jc w:val="both"/>
        <w:rPr>
          <w:rFonts w:ascii="Arial" w:eastAsia="Calibri" w:hAnsi="Arial" w:cs="Arial"/>
          <w:sz w:val="22"/>
          <w:szCs w:val="22"/>
        </w:rPr>
      </w:pPr>
      <w:r w:rsidRPr="00E04FD3">
        <w:rPr>
          <w:rFonts w:ascii="Arial" w:eastAsia="MS Mincho" w:hAnsi="Arial" w:cs="Arial"/>
          <w:color w:val="000000"/>
          <w:sz w:val="22"/>
          <w:szCs w:val="22"/>
          <w:lang w:eastAsia="ja-JP"/>
        </w:rPr>
        <w:lastRenderedPageBreak/>
        <w:t>regularly consult with, and report to, (UN) Member States on the Decade and its implementation</w:t>
      </w:r>
      <w:r w:rsidRPr="00E04FD3">
        <w:rPr>
          <w:rFonts w:ascii="Arial" w:eastAsia="MS Mincho" w:hAnsi="Arial" w:cs="Arial"/>
          <w:sz w:val="22"/>
          <w:szCs w:val="22"/>
          <w:lang w:eastAsia="ja-JP"/>
        </w:rPr>
        <w:t>,</w:t>
      </w:r>
    </w:p>
    <w:p w14:paraId="56737081" w14:textId="02C33853" w:rsidR="00194C8E" w:rsidRPr="00E04FD3"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E04FD3">
        <w:rPr>
          <w:rFonts w:ascii="Arial" w:eastAsia="Calibri" w:hAnsi="Arial" w:cs="Arial"/>
          <w:b/>
          <w:sz w:val="22"/>
          <w:szCs w:val="22"/>
        </w:rPr>
        <w:t>Also further recalling</w:t>
      </w:r>
      <w:r w:rsidRPr="00E04FD3">
        <w:rPr>
          <w:rFonts w:ascii="Arial" w:eastAsia="Calibri" w:hAnsi="Arial" w:cs="Arial"/>
          <w:sz w:val="22"/>
          <w:szCs w:val="22"/>
        </w:rPr>
        <w:t xml:space="preserve"> the consultation with IOC Member States in 2020 on the modalities of completion and submission of the Decade Implementation Plan (DIP) to </w:t>
      </w:r>
      <w:r>
        <w:rPr>
          <w:rFonts w:asciiTheme="minorBidi" w:eastAsia="Calibri" w:hAnsiTheme="minorBidi" w:cstheme="minorBidi"/>
          <w:sz w:val="22"/>
          <w:szCs w:val="22"/>
        </w:rPr>
        <w:t xml:space="preserve">the UNGA at its </w:t>
      </w:r>
      <w:r w:rsidRPr="00C61838">
        <w:rPr>
          <w:rFonts w:asciiTheme="minorBidi" w:eastAsia="Calibri" w:hAnsiTheme="minorBidi" w:cstheme="minorBidi"/>
          <w:sz w:val="22"/>
          <w:szCs w:val="22"/>
        </w:rPr>
        <w:t>75</w:t>
      </w:r>
      <w:r w:rsidRPr="00C61838">
        <w:rPr>
          <w:rFonts w:asciiTheme="minorBidi" w:eastAsia="Calibri" w:hAnsiTheme="minorBidi" w:cstheme="minorBidi"/>
          <w:sz w:val="22"/>
          <w:szCs w:val="22"/>
          <w:vertAlign w:val="superscript"/>
        </w:rPr>
        <w:t>th</w:t>
      </w:r>
      <w:r w:rsidRPr="00C61838">
        <w:rPr>
          <w:rFonts w:asciiTheme="minorBidi" w:eastAsia="Calibri" w:hAnsiTheme="minorBidi" w:cstheme="minorBidi"/>
          <w:sz w:val="22"/>
          <w:szCs w:val="22"/>
        </w:rPr>
        <w:t xml:space="preserve"> </w:t>
      </w:r>
      <w:r w:rsidR="00472DC6">
        <w:rPr>
          <w:rFonts w:asciiTheme="minorBidi" w:eastAsia="Calibri" w:hAnsiTheme="minorBidi" w:cstheme="minorBidi"/>
          <w:sz w:val="22"/>
          <w:szCs w:val="22"/>
        </w:rPr>
        <w:t>s</w:t>
      </w:r>
      <w:r w:rsidRPr="00C61838">
        <w:rPr>
          <w:rFonts w:asciiTheme="minorBidi" w:eastAsia="Calibri" w:hAnsiTheme="minorBidi" w:cstheme="minorBidi"/>
          <w:sz w:val="22"/>
          <w:szCs w:val="22"/>
        </w:rPr>
        <w:t xml:space="preserve">ession </w:t>
      </w:r>
      <w:r w:rsidRPr="00E04FD3">
        <w:rPr>
          <w:rFonts w:ascii="Arial" w:eastAsia="Calibri" w:hAnsi="Arial" w:cs="Arial"/>
          <w:sz w:val="22"/>
          <w:szCs w:val="22"/>
        </w:rPr>
        <w:t xml:space="preserve">and that </w:t>
      </w:r>
      <w:r w:rsidRPr="005F7740">
        <w:rPr>
          <w:rFonts w:ascii="Arial" w:eastAsia="MS Mincho" w:hAnsi="Arial" w:cs="Arial"/>
          <w:color w:val="000000"/>
          <w:sz w:val="22"/>
          <w:szCs w:val="22"/>
          <w:lang w:eastAsia="ja-JP"/>
        </w:rPr>
        <w:t xml:space="preserve">the UNGA through Resolution </w:t>
      </w:r>
      <w:hyperlink r:id="rId11" w:history="1">
        <w:r w:rsidRPr="005F7740">
          <w:rPr>
            <w:rFonts w:ascii="Arial" w:eastAsia="MS Mincho" w:hAnsi="Arial" w:cs="Arial"/>
            <w:color w:val="0000FF"/>
            <w:sz w:val="22"/>
            <w:szCs w:val="22"/>
            <w:u w:val="single"/>
            <w:lang w:eastAsia="ja-JP"/>
          </w:rPr>
          <w:t>A/RES/75/239</w:t>
        </w:r>
      </w:hyperlink>
      <w:r w:rsidRPr="005F7740">
        <w:rPr>
          <w:rFonts w:ascii="Arial" w:eastAsia="MS Mincho" w:hAnsi="Arial" w:cs="Arial"/>
          <w:color w:val="000000"/>
          <w:sz w:val="22"/>
          <w:szCs w:val="22"/>
          <w:lang w:eastAsia="ja-JP"/>
        </w:rPr>
        <w:t xml:space="preserve"> welcomed the steps taken by IOC in the preparation of the Implementation Plan and took note with appreciation of that Plan (para 304),</w:t>
      </w:r>
    </w:p>
    <w:p w14:paraId="25AFF3FC" w14:textId="77777777" w:rsidR="00194C8E" w:rsidRPr="005F7740" w:rsidRDefault="00194C8E" w:rsidP="002D220F">
      <w:pPr>
        <w:pStyle w:val="b"/>
        <w:numPr>
          <w:ilvl w:val="0"/>
          <w:numId w:val="4"/>
        </w:numPr>
        <w:tabs>
          <w:tab w:val="clear" w:pos="1134"/>
        </w:tabs>
        <w:spacing w:line="480" w:lineRule="auto"/>
        <w:ind w:left="709" w:hanging="709"/>
        <w:rPr>
          <w:rFonts w:ascii="Arial" w:hAnsi="Arial" w:cs="Arial"/>
          <w:smallCaps/>
          <w:sz w:val="22"/>
          <w:szCs w:val="22"/>
        </w:rPr>
      </w:pPr>
      <w:r w:rsidRPr="00E04FD3">
        <w:rPr>
          <w:rFonts w:ascii="Arial" w:eastAsia="Calibri" w:hAnsi="Arial" w:cs="Arial"/>
          <w:b/>
          <w:sz w:val="22"/>
          <w:szCs w:val="22"/>
        </w:rPr>
        <w:t>Noting</w:t>
      </w:r>
      <w:r w:rsidRPr="00E04FD3">
        <w:rPr>
          <w:rFonts w:ascii="Arial" w:eastAsia="Calibri" w:hAnsi="Arial" w:cs="Arial"/>
          <w:sz w:val="22"/>
          <w:szCs w:val="22"/>
        </w:rPr>
        <w:t xml:space="preserve"> </w:t>
      </w:r>
      <w:hyperlink r:id="rId12" w:history="1">
        <w:r w:rsidRPr="00E04FD3">
          <w:rPr>
            <w:rStyle w:val="Hyperlink"/>
            <w:rFonts w:eastAsia="Calibri" w:cs="Arial"/>
            <w:szCs w:val="22"/>
          </w:rPr>
          <w:t>IOC Resolution EC-53/1</w:t>
        </w:r>
      </w:hyperlink>
      <w:r w:rsidRPr="00E04FD3">
        <w:rPr>
          <w:rFonts w:ascii="Arial" w:eastAsia="Calibri" w:hAnsi="Arial" w:cs="Arial"/>
          <w:sz w:val="22"/>
          <w:szCs w:val="22"/>
        </w:rPr>
        <w:t xml:space="preserve"> on</w:t>
      </w:r>
      <w:r w:rsidRPr="005F7740">
        <w:rPr>
          <w:rFonts w:ascii="Arial" w:eastAsia="Calibri" w:hAnsi="Arial" w:cs="Arial"/>
          <w:sz w:val="22"/>
          <w:szCs w:val="22"/>
          <w:lang w:val="en-US"/>
        </w:rPr>
        <w:t xml:space="preserve"> Implementation of the United Nations Decade of Ocean Science for Sustainable Development </w:t>
      </w:r>
      <w:r w:rsidRPr="00E04FD3">
        <w:rPr>
          <w:rFonts w:ascii="Arial" w:hAnsi="Arial" w:cs="Arial"/>
          <w:smallCaps/>
          <w:sz w:val="22"/>
          <w:szCs w:val="22"/>
        </w:rPr>
        <w:t>(2021–2030),</w:t>
      </w:r>
      <w:r w:rsidRPr="00E04FD3">
        <w:rPr>
          <w:rFonts w:ascii="Arial" w:hAnsi="Arial" w:cs="Arial"/>
          <w:b/>
          <w:bCs/>
          <w:smallCaps/>
          <w:sz w:val="22"/>
          <w:szCs w:val="22"/>
        </w:rPr>
        <w:t xml:space="preserve"> </w:t>
      </w:r>
    </w:p>
    <w:p w14:paraId="6A2FCC55" w14:textId="165475C9" w:rsidR="00194C8E" w:rsidRPr="00E04FD3"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E04FD3">
        <w:rPr>
          <w:rFonts w:ascii="Arial" w:hAnsi="Arial" w:cs="Arial"/>
          <w:b/>
          <w:sz w:val="22"/>
          <w:szCs w:val="22"/>
        </w:rPr>
        <w:t xml:space="preserve">Welcoming </w:t>
      </w:r>
      <w:r w:rsidRPr="00E04FD3">
        <w:rPr>
          <w:rFonts w:ascii="Arial" w:eastAsia="Calibri" w:hAnsi="Arial" w:cs="Arial"/>
          <w:sz w:val="22"/>
          <w:szCs w:val="22"/>
        </w:rPr>
        <w:t xml:space="preserve">the </w:t>
      </w:r>
      <w:r w:rsidRPr="00E04FD3">
        <w:rPr>
          <w:rFonts w:ascii="Arial" w:hAnsi="Arial" w:cs="Arial"/>
          <w:color w:val="000000"/>
          <w:sz w:val="22"/>
          <w:szCs w:val="22"/>
        </w:rPr>
        <w:t xml:space="preserve">Report on the Implementation of the UN Ocean Decade (Document </w:t>
      </w:r>
      <w:hyperlink r:id="rId13" w:history="1">
        <w:r w:rsidRPr="00C448E3">
          <w:rPr>
            <w:rStyle w:val="Hyperlink"/>
            <w:rFonts w:cs="Arial"/>
            <w:caps/>
            <w:szCs w:val="22"/>
          </w:rPr>
          <w:t>IOC/A-31/3.7.</w:t>
        </w:r>
        <w:r w:rsidRPr="00C448E3">
          <w:rPr>
            <w:rStyle w:val="Hyperlink"/>
            <w:rFonts w:cs="Arial"/>
            <w:szCs w:val="22"/>
          </w:rPr>
          <w:t>Doc</w:t>
        </w:r>
        <w:r w:rsidRPr="00C448E3">
          <w:rPr>
            <w:rStyle w:val="Hyperlink"/>
            <w:rFonts w:cs="Arial"/>
            <w:caps/>
            <w:szCs w:val="22"/>
          </w:rPr>
          <w:t>(2</w:t>
        </w:r>
      </w:hyperlink>
      <w:r w:rsidRPr="00C448E3">
        <w:rPr>
          <w:rFonts w:ascii="Arial" w:hAnsi="Arial" w:cs="Arial"/>
          <w:caps/>
          <w:color w:val="000000"/>
          <w:sz w:val="22"/>
          <w:szCs w:val="22"/>
        </w:rPr>
        <w:t>))</w:t>
      </w:r>
      <w:r w:rsidRPr="00E04FD3">
        <w:rPr>
          <w:rFonts w:ascii="Arial" w:eastAsia="Calibri" w:hAnsi="Arial" w:cs="Arial"/>
          <w:sz w:val="22"/>
          <w:szCs w:val="22"/>
        </w:rPr>
        <w:t xml:space="preserve"> and, in particular, the outcomes of the global consultation meetings, regional workshops, the inclusive review process of the </w:t>
      </w:r>
      <w:r>
        <w:rPr>
          <w:rFonts w:asciiTheme="minorBidi" w:eastAsia="Calibri" w:hAnsiTheme="minorBidi" w:cstheme="minorBidi"/>
          <w:sz w:val="22"/>
          <w:szCs w:val="22"/>
        </w:rPr>
        <w:t>DIP</w:t>
      </w:r>
      <w:r w:rsidRPr="00E04FD3">
        <w:rPr>
          <w:rFonts w:ascii="Arial" w:eastAsia="Calibri" w:hAnsi="Arial" w:cs="Arial"/>
          <w:sz w:val="22"/>
          <w:szCs w:val="22"/>
        </w:rPr>
        <w:t xml:space="preserve"> by Member States, members of UN-Oceans, and stakeholders, the engagement activities with UN and non-UN ocean stakeholders, as well as the launch of the 1</w:t>
      </w:r>
      <w:r w:rsidRPr="00E04FD3">
        <w:rPr>
          <w:rFonts w:ascii="Arial" w:eastAsia="Calibri" w:hAnsi="Arial" w:cs="Arial"/>
          <w:sz w:val="22"/>
          <w:szCs w:val="22"/>
          <w:vertAlign w:val="superscript"/>
        </w:rPr>
        <w:t>st</w:t>
      </w:r>
      <w:r w:rsidRPr="00E04FD3">
        <w:rPr>
          <w:rFonts w:ascii="Arial" w:eastAsia="Calibri" w:hAnsi="Arial" w:cs="Arial"/>
          <w:sz w:val="22"/>
          <w:szCs w:val="22"/>
        </w:rPr>
        <w:t xml:space="preserve"> Call for Actions under the Decade;</w:t>
      </w:r>
    </w:p>
    <w:p w14:paraId="46BEC526" w14:textId="77777777" w:rsidR="00194C8E" w:rsidRPr="00D959FF"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D959FF">
        <w:rPr>
          <w:rFonts w:ascii="Arial" w:eastAsia="Calibri" w:hAnsi="Arial" w:cs="Arial"/>
          <w:b/>
          <w:bCs/>
          <w:sz w:val="22"/>
          <w:szCs w:val="22"/>
        </w:rPr>
        <w:t xml:space="preserve">Expressing </w:t>
      </w:r>
      <w:r w:rsidRPr="00D959FF">
        <w:rPr>
          <w:rFonts w:ascii="Arial" w:eastAsia="Calibri" w:hAnsi="Arial" w:cs="Arial"/>
          <w:bCs/>
          <w:sz w:val="22"/>
          <w:szCs w:val="22"/>
        </w:rPr>
        <w:t>confidence</w:t>
      </w:r>
      <w:r w:rsidRPr="00D959FF">
        <w:rPr>
          <w:rFonts w:ascii="Arial" w:eastAsia="Calibri" w:hAnsi="Arial" w:cs="Arial"/>
          <w:b/>
          <w:bCs/>
          <w:sz w:val="22"/>
          <w:szCs w:val="22"/>
        </w:rPr>
        <w:t xml:space="preserve"> </w:t>
      </w:r>
      <w:r w:rsidRPr="00D959FF">
        <w:rPr>
          <w:rFonts w:ascii="Arial" w:eastAsia="Calibri" w:hAnsi="Arial" w:cs="Arial"/>
          <w:bCs/>
          <w:sz w:val="22"/>
          <w:szCs w:val="22"/>
        </w:rPr>
        <w:t xml:space="preserve">in the IOC Secretariat’s ability </w:t>
      </w:r>
      <w:r w:rsidRPr="00D959FF">
        <w:rPr>
          <w:rFonts w:ascii="Arial" w:eastAsia="Calibri" w:hAnsi="Arial" w:cs="Arial"/>
          <w:sz w:val="22"/>
          <w:szCs w:val="22"/>
        </w:rPr>
        <w:t xml:space="preserve">to continue coordinating the Decade during its implementation phase (2021–2030) in consultation with Member States, specialized agencies, funds, programmes, and bodies of the United Nations, as well as other intergovernmental organizations, non-governmental organizations and relevant stakeholders; </w:t>
      </w:r>
    </w:p>
    <w:p w14:paraId="5925994C" w14:textId="18AFAF52" w:rsidR="00194C8E" w:rsidRDefault="00194C8E" w:rsidP="00B870A1">
      <w:pPr>
        <w:tabs>
          <w:tab w:val="clear" w:pos="567"/>
        </w:tabs>
        <w:snapToGrid/>
        <w:spacing w:after="160" w:line="259" w:lineRule="auto"/>
        <w:jc w:val="center"/>
        <w:rPr>
          <w:rFonts w:ascii="Arial" w:eastAsia="Calibri" w:hAnsi="Arial" w:cs="Arial"/>
          <w:b/>
          <w:bCs/>
          <w:sz w:val="22"/>
          <w:szCs w:val="22"/>
        </w:rPr>
      </w:pPr>
      <w:r>
        <w:rPr>
          <w:rFonts w:ascii="Arial" w:eastAsia="Calibri" w:hAnsi="Arial" w:cs="Arial"/>
          <w:b/>
          <w:bCs/>
          <w:sz w:val="22"/>
          <w:szCs w:val="22"/>
        </w:rPr>
        <w:t xml:space="preserve">Part </w:t>
      </w:r>
      <w:r w:rsidRPr="00E04FD3">
        <w:rPr>
          <w:rFonts w:ascii="Arial" w:eastAsia="Calibri" w:hAnsi="Arial" w:cs="Arial"/>
          <w:b/>
          <w:bCs/>
          <w:sz w:val="22"/>
          <w:szCs w:val="22"/>
        </w:rPr>
        <w:t>I</w:t>
      </w:r>
    </w:p>
    <w:p w14:paraId="1F9E2EB4" w14:textId="07EE39A1" w:rsidR="00194C8E" w:rsidRPr="00B870A1" w:rsidRDefault="00194C8E" w:rsidP="00194C8E">
      <w:pPr>
        <w:tabs>
          <w:tab w:val="left" w:pos="-737"/>
        </w:tabs>
        <w:spacing w:after="240" w:line="480" w:lineRule="auto"/>
        <w:jc w:val="center"/>
        <w:rPr>
          <w:rFonts w:ascii="Arial" w:eastAsia="Calibri" w:hAnsi="Arial" w:cs="Arial"/>
          <w:b/>
          <w:bCs/>
          <w:sz w:val="22"/>
          <w:szCs w:val="22"/>
        </w:rPr>
      </w:pPr>
      <w:r w:rsidRPr="00B870A1">
        <w:rPr>
          <w:rFonts w:ascii="Arial" w:eastAsia="Calibri" w:hAnsi="Arial" w:cs="Arial"/>
          <w:b/>
          <w:bCs/>
          <w:sz w:val="22"/>
          <w:szCs w:val="22"/>
        </w:rPr>
        <w:t>Decade Coordination matters</w:t>
      </w:r>
    </w:p>
    <w:p w14:paraId="12727873" w14:textId="3A4E763A" w:rsidR="00194C8E" w:rsidRPr="00E04FD3"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5F7740">
        <w:rPr>
          <w:rFonts w:ascii="Arial" w:eastAsia="Calibri" w:hAnsi="Arial" w:cs="Arial"/>
          <w:b/>
          <w:bCs/>
          <w:sz w:val="22"/>
          <w:szCs w:val="22"/>
        </w:rPr>
        <w:t>Takes note</w:t>
      </w:r>
      <w:r w:rsidRPr="00E04FD3">
        <w:rPr>
          <w:rFonts w:ascii="Arial" w:eastAsia="Calibri" w:hAnsi="Arial" w:cs="Arial"/>
          <w:sz w:val="22"/>
          <w:szCs w:val="22"/>
        </w:rPr>
        <w:t xml:space="preserve"> of the </w:t>
      </w:r>
      <w:r>
        <w:rPr>
          <w:rFonts w:ascii="Arial" w:eastAsia="Calibri" w:hAnsi="Arial" w:cs="Arial"/>
          <w:sz w:val="22"/>
          <w:szCs w:val="22"/>
        </w:rPr>
        <w:t>DIP</w:t>
      </w:r>
      <w:r w:rsidRPr="00E04FD3">
        <w:rPr>
          <w:rFonts w:ascii="Arial" w:eastAsia="Calibri" w:hAnsi="Arial" w:cs="Arial"/>
          <w:sz w:val="22"/>
          <w:szCs w:val="22"/>
        </w:rPr>
        <w:t xml:space="preserve"> as the basis for launching the Decade and establishing the governance arrangements and engagement mechanisms described therein;</w:t>
      </w:r>
    </w:p>
    <w:p w14:paraId="4C838B13" w14:textId="77777777" w:rsidR="00194C8E" w:rsidRPr="00E04FD3"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E04FD3">
        <w:rPr>
          <w:rFonts w:ascii="Arial" w:eastAsia="Calibri" w:hAnsi="Arial" w:cs="Arial"/>
          <w:b/>
          <w:bCs/>
          <w:sz w:val="22"/>
          <w:szCs w:val="22"/>
        </w:rPr>
        <w:lastRenderedPageBreak/>
        <w:t xml:space="preserve">Acknowledges </w:t>
      </w:r>
      <w:r w:rsidRPr="00E04FD3">
        <w:rPr>
          <w:rFonts w:ascii="Arial" w:eastAsia="Calibri" w:hAnsi="Arial" w:cs="Arial"/>
          <w:sz w:val="22"/>
          <w:szCs w:val="22"/>
        </w:rPr>
        <w:t>the outcome of the 1</w:t>
      </w:r>
      <w:r w:rsidRPr="00E04FD3">
        <w:rPr>
          <w:rFonts w:ascii="Arial" w:eastAsia="Calibri" w:hAnsi="Arial" w:cs="Arial"/>
          <w:sz w:val="22"/>
          <w:szCs w:val="22"/>
          <w:vertAlign w:val="superscript"/>
        </w:rPr>
        <w:t>st</w:t>
      </w:r>
      <w:r w:rsidRPr="00E04FD3">
        <w:rPr>
          <w:rFonts w:ascii="Arial" w:eastAsia="Calibri" w:hAnsi="Arial" w:cs="Arial"/>
          <w:sz w:val="22"/>
          <w:szCs w:val="22"/>
        </w:rPr>
        <w:t xml:space="preserve"> Call for Action and the endorsed Decade Programmes as presented in </w:t>
      </w:r>
      <w:r w:rsidRPr="00910136">
        <w:rPr>
          <w:rFonts w:ascii="Arial" w:eastAsia="Calibri" w:hAnsi="Arial" w:cs="Arial"/>
          <w:sz w:val="22"/>
          <w:szCs w:val="22"/>
        </w:rPr>
        <w:t xml:space="preserve">Document </w:t>
      </w:r>
      <w:hyperlink r:id="rId14" w:history="1">
        <w:r w:rsidRPr="00910136">
          <w:rPr>
            <w:rStyle w:val="Hyperlink"/>
            <w:rFonts w:eastAsia="Calibri" w:cs="Arial"/>
            <w:szCs w:val="22"/>
          </w:rPr>
          <w:t>IOC/INF-1417</w:t>
        </w:r>
      </w:hyperlink>
      <w:r w:rsidRPr="00910136">
        <w:rPr>
          <w:rFonts w:ascii="Arial" w:eastAsia="Calibri" w:hAnsi="Arial" w:cs="Arial"/>
          <w:sz w:val="22"/>
          <w:szCs w:val="22"/>
        </w:rPr>
        <w:t>;</w:t>
      </w:r>
    </w:p>
    <w:p w14:paraId="6D7B33B0" w14:textId="77777777" w:rsidR="00194C8E" w:rsidRPr="00E04FD3"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E04FD3">
        <w:rPr>
          <w:rFonts w:ascii="Arial" w:eastAsia="Calibri" w:hAnsi="Arial" w:cs="Arial"/>
          <w:b/>
          <w:bCs/>
          <w:sz w:val="22"/>
          <w:szCs w:val="22"/>
        </w:rPr>
        <w:t>Supports</w:t>
      </w:r>
      <w:r w:rsidRPr="00E04FD3">
        <w:rPr>
          <w:rFonts w:ascii="Arial" w:eastAsia="Calibri" w:hAnsi="Arial" w:cs="Arial"/>
          <w:sz w:val="22"/>
          <w:szCs w:val="22"/>
        </w:rPr>
        <w:t xml:space="preserve"> the establishment of the Decade Coordination Unit (DCU) within the IOC Secretariat as the primary mechanism to achieve </w:t>
      </w:r>
      <w:r w:rsidRPr="00E04FD3">
        <w:rPr>
          <w:rFonts w:ascii="Arial" w:hAnsi="Arial" w:cs="Arial"/>
          <w:sz w:val="22"/>
          <w:szCs w:val="22"/>
        </w:rPr>
        <w:t>orderly, impactful, inclusive and effective implementation of the Decade;</w:t>
      </w:r>
    </w:p>
    <w:p w14:paraId="2A7AD456" w14:textId="77777777" w:rsidR="00194C8E" w:rsidRPr="005F7740" w:rsidRDefault="00194C8E" w:rsidP="002D220F">
      <w:pPr>
        <w:pStyle w:val="b"/>
        <w:numPr>
          <w:ilvl w:val="0"/>
          <w:numId w:val="4"/>
        </w:numPr>
        <w:tabs>
          <w:tab w:val="clear" w:pos="1134"/>
        </w:tabs>
        <w:spacing w:line="480" w:lineRule="auto"/>
        <w:ind w:left="709" w:hanging="709"/>
        <w:rPr>
          <w:rFonts w:ascii="Arial" w:hAnsi="Arial" w:cs="Arial"/>
          <w:sz w:val="22"/>
          <w:szCs w:val="22"/>
          <w:lang w:eastAsia="en-GB"/>
        </w:rPr>
      </w:pPr>
      <w:r w:rsidRPr="00E04FD3">
        <w:rPr>
          <w:rFonts w:ascii="Arial" w:hAnsi="Arial" w:cs="Arial"/>
          <w:b/>
          <w:bCs/>
          <w:sz w:val="22"/>
          <w:szCs w:val="22"/>
          <w:lang w:eastAsia="en-GB"/>
        </w:rPr>
        <w:t xml:space="preserve">Invites </w:t>
      </w:r>
      <w:r w:rsidRPr="005F7740">
        <w:rPr>
          <w:rFonts w:ascii="Arial" w:hAnsi="Arial" w:cs="Arial"/>
          <w:sz w:val="22"/>
          <w:szCs w:val="22"/>
          <w:lang w:eastAsia="en-GB"/>
        </w:rPr>
        <w:t xml:space="preserve">institutional partners to act as Decade Collaborative Centres or Decade Implementing Partners on the basis of the guidance provided in </w:t>
      </w:r>
      <w:r w:rsidRPr="005F7740">
        <w:rPr>
          <w:rFonts w:ascii="Arial" w:hAnsi="Arial" w:cs="Arial"/>
          <w:sz w:val="22"/>
          <w:szCs w:val="22"/>
          <w:lang w:val="en-US" w:eastAsia="en-GB"/>
        </w:rPr>
        <w:t xml:space="preserve">Document </w:t>
      </w:r>
      <w:hyperlink r:id="rId15" w:history="1">
        <w:r w:rsidRPr="00001FD9">
          <w:rPr>
            <w:rStyle w:val="Hyperlink"/>
            <w:rFonts w:cs="Arial"/>
            <w:szCs w:val="22"/>
          </w:rPr>
          <w:t>IOC/2021/ODS/23</w:t>
        </w:r>
      </w:hyperlink>
      <w:r w:rsidRPr="00E04FD3">
        <w:rPr>
          <w:rFonts w:ascii="Arial" w:hAnsi="Arial" w:cs="Arial"/>
          <w:color w:val="000000"/>
          <w:sz w:val="22"/>
          <w:szCs w:val="22"/>
        </w:rPr>
        <w:t xml:space="preserve"> </w:t>
      </w:r>
      <w:r w:rsidRPr="005F7740">
        <w:rPr>
          <w:rFonts w:ascii="Arial" w:hAnsi="Arial" w:cs="Arial"/>
          <w:sz w:val="22"/>
          <w:szCs w:val="22"/>
          <w:lang w:eastAsia="en-GB"/>
        </w:rPr>
        <w:t xml:space="preserve">and </w:t>
      </w:r>
      <w:r w:rsidRPr="00E04FD3">
        <w:rPr>
          <w:rFonts w:ascii="Arial" w:hAnsi="Arial" w:cs="Arial"/>
          <w:b/>
          <w:bCs/>
          <w:sz w:val="22"/>
          <w:szCs w:val="22"/>
          <w:lang w:eastAsia="en-GB"/>
        </w:rPr>
        <w:t xml:space="preserve">requests </w:t>
      </w:r>
      <w:r w:rsidRPr="005F7740">
        <w:rPr>
          <w:rFonts w:ascii="Arial" w:hAnsi="Arial" w:cs="Arial"/>
          <w:sz w:val="22"/>
          <w:szCs w:val="22"/>
          <w:lang w:eastAsia="en-GB"/>
        </w:rPr>
        <w:t xml:space="preserve">the IOC Secretariat to report to IOC Governing Bodies on the establishment of such arrangements; </w:t>
      </w:r>
    </w:p>
    <w:p w14:paraId="4530A236" w14:textId="77777777" w:rsidR="00194C8E" w:rsidRPr="005F7740" w:rsidRDefault="00194C8E" w:rsidP="00B870A1">
      <w:pPr>
        <w:pStyle w:val="b"/>
        <w:numPr>
          <w:ilvl w:val="0"/>
          <w:numId w:val="4"/>
        </w:numPr>
        <w:tabs>
          <w:tab w:val="clear" w:pos="1134"/>
        </w:tabs>
        <w:spacing w:after="120" w:line="480" w:lineRule="auto"/>
        <w:ind w:left="709" w:hanging="709"/>
        <w:rPr>
          <w:rFonts w:ascii="Arial" w:hAnsi="Arial" w:cs="Arial"/>
          <w:sz w:val="22"/>
          <w:szCs w:val="22"/>
          <w:lang w:eastAsia="en-GB"/>
        </w:rPr>
      </w:pPr>
      <w:r w:rsidRPr="00E04FD3">
        <w:rPr>
          <w:rFonts w:ascii="Arial" w:hAnsi="Arial" w:cs="Arial"/>
          <w:b/>
          <w:bCs/>
          <w:sz w:val="22"/>
          <w:szCs w:val="22"/>
          <w:lang w:eastAsia="en-GB"/>
        </w:rPr>
        <w:t xml:space="preserve">Invites </w:t>
      </w:r>
      <w:r w:rsidRPr="005F7740">
        <w:rPr>
          <w:rFonts w:ascii="Arial" w:hAnsi="Arial" w:cs="Arial"/>
          <w:sz w:val="22"/>
          <w:szCs w:val="22"/>
          <w:lang w:eastAsia="en-GB"/>
        </w:rPr>
        <w:t xml:space="preserve">Member States and partners to: </w:t>
      </w:r>
    </w:p>
    <w:p w14:paraId="75CBC994" w14:textId="6AF6AE0B" w:rsidR="00194C8E" w:rsidRPr="005F7740" w:rsidRDefault="00194C8E" w:rsidP="00B870A1">
      <w:pPr>
        <w:spacing w:after="120" w:line="480" w:lineRule="auto"/>
        <w:ind w:left="1311" w:hanging="591"/>
        <w:jc w:val="both"/>
        <w:rPr>
          <w:rFonts w:ascii="Arial" w:hAnsi="Arial" w:cs="Arial"/>
          <w:sz w:val="22"/>
          <w:szCs w:val="22"/>
          <w:lang w:eastAsia="en-GB"/>
        </w:rPr>
      </w:pPr>
      <w:r w:rsidRPr="005F7740">
        <w:rPr>
          <w:rFonts w:ascii="Arial" w:hAnsi="Arial" w:cs="Arial"/>
          <w:sz w:val="22"/>
          <w:szCs w:val="22"/>
          <w:lang w:eastAsia="en-GB"/>
        </w:rPr>
        <w:t>(i)  </w:t>
      </w:r>
      <w:r w:rsidRPr="005F7740">
        <w:rPr>
          <w:rFonts w:ascii="Arial" w:hAnsi="Arial" w:cs="Arial"/>
          <w:sz w:val="22"/>
          <w:szCs w:val="22"/>
          <w:lang w:eastAsia="en-GB"/>
        </w:rPr>
        <w:tab/>
        <w:t>provide voluntary financial contributions to support the work of the IOC Secretariat in coordinating the Decade including in-kind support such as staff loans</w:t>
      </w:r>
      <w:r w:rsidRPr="005F7740">
        <w:rPr>
          <w:rFonts w:ascii="Arial" w:hAnsi="Arial" w:cs="Arial"/>
          <w:sz w:val="22"/>
          <w:szCs w:val="22"/>
          <w:lang w:val="en-US" w:eastAsia="en-GB"/>
        </w:rPr>
        <w:t xml:space="preserve"> and secondments</w:t>
      </w:r>
      <w:r w:rsidRPr="005F7740">
        <w:rPr>
          <w:rFonts w:ascii="Arial" w:hAnsi="Arial" w:cs="Arial"/>
          <w:sz w:val="22"/>
          <w:szCs w:val="22"/>
          <w:lang w:eastAsia="en-GB"/>
        </w:rPr>
        <w:t xml:space="preserve"> to the </w:t>
      </w:r>
      <w:r w:rsidRPr="005F7740">
        <w:rPr>
          <w:rFonts w:ascii="Arial" w:hAnsi="Arial" w:cs="Arial"/>
          <w:sz w:val="22"/>
          <w:szCs w:val="22"/>
          <w:lang w:val="en-US" w:eastAsia="en-GB"/>
        </w:rPr>
        <w:t>DCU</w:t>
      </w:r>
      <w:r w:rsidRPr="005F7740">
        <w:rPr>
          <w:rFonts w:ascii="Arial" w:hAnsi="Arial" w:cs="Arial"/>
          <w:sz w:val="22"/>
          <w:szCs w:val="22"/>
          <w:lang w:eastAsia="en-GB"/>
        </w:rPr>
        <w:t xml:space="preserve">; </w:t>
      </w:r>
    </w:p>
    <w:p w14:paraId="26013C69" w14:textId="4E636CC2" w:rsidR="00194C8E" w:rsidRPr="005F7740" w:rsidRDefault="00194C8E" w:rsidP="00B870A1">
      <w:pPr>
        <w:spacing w:after="120" w:line="480" w:lineRule="auto"/>
        <w:ind w:left="1311" w:hanging="591"/>
        <w:jc w:val="both"/>
        <w:rPr>
          <w:rFonts w:ascii="Arial" w:hAnsi="Arial" w:cs="Arial"/>
          <w:sz w:val="22"/>
          <w:szCs w:val="22"/>
          <w:lang w:eastAsia="en-GB"/>
        </w:rPr>
      </w:pPr>
      <w:r w:rsidRPr="005F7740">
        <w:rPr>
          <w:rFonts w:ascii="Arial" w:hAnsi="Arial" w:cs="Arial"/>
          <w:sz w:val="22"/>
          <w:szCs w:val="22"/>
          <w:lang w:eastAsia="en-GB"/>
        </w:rPr>
        <w:t>(ii)  </w:t>
      </w:r>
      <w:r w:rsidRPr="005F7740">
        <w:rPr>
          <w:rFonts w:ascii="Arial" w:hAnsi="Arial" w:cs="Arial"/>
          <w:sz w:val="22"/>
          <w:szCs w:val="22"/>
          <w:lang w:eastAsia="en-GB"/>
        </w:rPr>
        <w:tab/>
        <w:t xml:space="preserve">offer to host and fund Decade Actions, Decade Coordination Offices, and Decade Collaborative Centres as described in the </w:t>
      </w:r>
      <w:r>
        <w:rPr>
          <w:rFonts w:ascii="Arial" w:hAnsi="Arial" w:cs="Arial"/>
          <w:sz w:val="22"/>
          <w:szCs w:val="22"/>
          <w:lang w:eastAsia="en-GB"/>
        </w:rPr>
        <w:t>DIP</w:t>
      </w:r>
      <w:r w:rsidRPr="005F7740">
        <w:rPr>
          <w:rFonts w:ascii="Arial" w:hAnsi="Arial" w:cs="Arial"/>
          <w:sz w:val="22"/>
          <w:szCs w:val="22"/>
          <w:lang w:eastAsia="en-GB"/>
        </w:rPr>
        <w:t xml:space="preserve">; </w:t>
      </w:r>
    </w:p>
    <w:p w14:paraId="1877558C" w14:textId="77777777" w:rsidR="00194C8E" w:rsidRPr="005F7740" w:rsidRDefault="00194C8E" w:rsidP="00B870A1">
      <w:pPr>
        <w:pStyle w:val="ListParagraph"/>
        <w:numPr>
          <w:ilvl w:val="0"/>
          <w:numId w:val="5"/>
        </w:numPr>
        <w:tabs>
          <w:tab w:val="clear" w:pos="567"/>
          <w:tab w:val="left" w:pos="709"/>
        </w:tabs>
        <w:spacing w:after="120" w:line="480" w:lineRule="auto"/>
        <w:ind w:left="1311" w:hanging="591"/>
        <w:contextualSpacing w:val="0"/>
        <w:jc w:val="both"/>
        <w:rPr>
          <w:rFonts w:cs="Arial"/>
          <w:szCs w:val="22"/>
          <w:lang w:eastAsia="en-GB"/>
        </w:rPr>
      </w:pPr>
      <w:r w:rsidRPr="005F7740">
        <w:rPr>
          <w:rFonts w:cs="Arial"/>
          <w:szCs w:val="22"/>
          <w:lang w:eastAsia="en-GB"/>
        </w:rPr>
        <w:t>establish national multi-stakeholder Decade coordination mechanisms with a view to stimulating national activities and international cooperation; and</w:t>
      </w:r>
    </w:p>
    <w:p w14:paraId="3519A7B0" w14:textId="44097F0F" w:rsidR="00194C8E" w:rsidRPr="005F7740" w:rsidRDefault="00194C8E" w:rsidP="002D220F">
      <w:pPr>
        <w:pStyle w:val="ListParagraph"/>
        <w:numPr>
          <w:ilvl w:val="0"/>
          <w:numId w:val="5"/>
        </w:numPr>
        <w:tabs>
          <w:tab w:val="clear" w:pos="567"/>
          <w:tab w:val="left" w:pos="709"/>
        </w:tabs>
        <w:spacing w:after="240" w:line="480" w:lineRule="auto"/>
        <w:ind w:left="1311" w:hanging="602"/>
        <w:contextualSpacing w:val="0"/>
        <w:jc w:val="both"/>
        <w:rPr>
          <w:rFonts w:cs="Arial"/>
          <w:szCs w:val="22"/>
          <w:lang w:eastAsia="en-GB"/>
        </w:rPr>
      </w:pPr>
      <w:r>
        <w:rPr>
          <w:rFonts w:cs="Arial"/>
          <w:szCs w:val="22"/>
          <w:lang w:eastAsia="en-GB"/>
        </w:rPr>
        <w:t>h</w:t>
      </w:r>
      <w:r w:rsidRPr="005F7740">
        <w:rPr>
          <w:rFonts w:cs="Arial"/>
          <w:szCs w:val="22"/>
          <w:lang w:eastAsia="en-GB"/>
        </w:rPr>
        <w:t>ost regional or international Decade stakeholders events</w:t>
      </w:r>
      <w:r>
        <w:rPr>
          <w:rFonts w:cs="Arial"/>
          <w:szCs w:val="22"/>
          <w:lang w:eastAsia="en-GB"/>
        </w:rPr>
        <w:t xml:space="preserve">, </w:t>
      </w:r>
      <w:r>
        <w:rPr>
          <w:rFonts w:asciiTheme="minorBidi" w:hAnsiTheme="minorBidi" w:cstheme="minorBidi"/>
          <w:szCs w:val="22"/>
          <w:lang w:eastAsia="en-GB"/>
        </w:rPr>
        <w:t>including in the context</w:t>
      </w:r>
      <w:r w:rsidRPr="005F7740">
        <w:rPr>
          <w:rFonts w:cs="Arial"/>
          <w:szCs w:val="22"/>
          <w:lang w:eastAsia="en-GB"/>
        </w:rPr>
        <w:t xml:space="preserve"> </w:t>
      </w:r>
      <w:r>
        <w:rPr>
          <w:rFonts w:cs="Arial"/>
          <w:szCs w:val="22"/>
          <w:lang w:eastAsia="en-GB"/>
        </w:rPr>
        <w:t>of</w:t>
      </w:r>
      <w:r w:rsidRPr="005F7740">
        <w:rPr>
          <w:rFonts w:cs="Arial"/>
          <w:szCs w:val="22"/>
          <w:lang w:eastAsia="en-GB"/>
        </w:rPr>
        <w:t xml:space="preserve"> the International Ocean Decade Conference Series. </w:t>
      </w:r>
    </w:p>
    <w:p w14:paraId="3442DDE2" w14:textId="398404E4" w:rsidR="00194C8E" w:rsidRPr="005F7740" w:rsidRDefault="00194C8E" w:rsidP="002D220F">
      <w:pPr>
        <w:pStyle w:val="b"/>
        <w:numPr>
          <w:ilvl w:val="0"/>
          <w:numId w:val="4"/>
        </w:numPr>
        <w:tabs>
          <w:tab w:val="clear" w:pos="1134"/>
        </w:tabs>
        <w:spacing w:line="480" w:lineRule="auto"/>
        <w:ind w:left="709" w:hanging="709"/>
        <w:rPr>
          <w:rFonts w:ascii="Arial" w:hAnsi="Arial" w:cs="Arial"/>
          <w:b/>
          <w:bCs/>
          <w:color w:val="000000"/>
          <w:sz w:val="22"/>
          <w:szCs w:val="22"/>
        </w:rPr>
      </w:pPr>
      <w:r w:rsidRPr="00D959FF">
        <w:rPr>
          <w:rFonts w:ascii="Arial" w:hAnsi="Arial" w:cs="Arial"/>
          <w:b/>
          <w:bCs/>
          <w:sz w:val="22"/>
          <w:szCs w:val="22"/>
          <w:lang w:eastAsia="en-GB"/>
        </w:rPr>
        <w:t xml:space="preserve">Further invites </w:t>
      </w:r>
      <w:r w:rsidRPr="00D959FF">
        <w:rPr>
          <w:rFonts w:ascii="ArialMT" w:hAnsi="ArialMT"/>
          <w:sz w:val="22"/>
          <w:szCs w:val="22"/>
          <w:lang w:eastAsia="en-GB"/>
        </w:rPr>
        <w:t xml:space="preserve">UN-Oceans partners, UN Member States, international scientific and academic organizations, non-governmental organizations and other relevant stakeholders to support the Decade, </w:t>
      </w:r>
      <w:r>
        <w:rPr>
          <w:rFonts w:ascii="ArialMT" w:hAnsi="ArialMT"/>
          <w:sz w:val="22"/>
          <w:szCs w:val="22"/>
          <w:lang w:eastAsia="en-GB"/>
        </w:rPr>
        <w:t xml:space="preserve">and </w:t>
      </w:r>
      <w:r w:rsidRPr="00D959FF">
        <w:rPr>
          <w:rFonts w:ascii="ArialMT" w:hAnsi="ArialMT"/>
          <w:sz w:val="22"/>
          <w:szCs w:val="22"/>
          <w:lang w:eastAsia="en-GB"/>
        </w:rPr>
        <w:t>contribute to its implementation by proposing Decade Actions in accordance with the DIP</w:t>
      </w:r>
      <w:r w:rsidR="00EC3D91">
        <w:rPr>
          <w:rFonts w:ascii="ArialMT" w:hAnsi="ArialMT"/>
          <w:sz w:val="22"/>
          <w:szCs w:val="22"/>
          <w:lang w:eastAsia="en-GB"/>
        </w:rPr>
        <w:t>;</w:t>
      </w:r>
    </w:p>
    <w:p w14:paraId="044703DE" w14:textId="3B5C3805" w:rsidR="00194C8E" w:rsidRPr="00D959FF" w:rsidRDefault="00194C8E" w:rsidP="002D220F">
      <w:pPr>
        <w:pStyle w:val="b"/>
        <w:numPr>
          <w:ilvl w:val="0"/>
          <w:numId w:val="4"/>
        </w:numPr>
        <w:tabs>
          <w:tab w:val="clear" w:pos="1134"/>
        </w:tabs>
        <w:spacing w:line="480" w:lineRule="auto"/>
        <w:ind w:left="709" w:hanging="709"/>
        <w:rPr>
          <w:rFonts w:ascii="Arial" w:hAnsi="Arial" w:cs="Arial"/>
          <w:b/>
          <w:bCs/>
          <w:color w:val="000000"/>
          <w:sz w:val="22"/>
          <w:szCs w:val="22"/>
        </w:rPr>
      </w:pPr>
      <w:r w:rsidRPr="00D959FF">
        <w:rPr>
          <w:rFonts w:ascii="Arial" w:hAnsi="Arial" w:cs="Arial"/>
          <w:b/>
          <w:bCs/>
          <w:sz w:val="22"/>
          <w:szCs w:val="22"/>
          <w:lang w:eastAsia="en-GB"/>
        </w:rPr>
        <w:t xml:space="preserve">Thanks </w:t>
      </w:r>
      <w:r w:rsidRPr="00D959FF">
        <w:rPr>
          <w:rFonts w:ascii="ArialMT" w:hAnsi="ArialMT"/>
          <w:sz w:val="22"/>
          <w:szCs w:val="22"/>
          <w:lang w:eastAsia="en-GB"/>
        </w:rPr>
        <w:t>the Governments of Canada, the Republic of Korea, Japan, the Kingdom of Belgium (Government of Flanders), Norway, Sweden, Portugal, the United Kingdom of Great Britain &amp; Northern Ireland, and the People's Republic of China as well as REV-Ocean for their financial contribution to the Decade</w:t>
      </w:r>
      <w:r>
        <w:rPr>
          <w:rFonts w:ascii="ArialMT" w:hAnsi="ArialMT"/>
          <w:sz w:val="22"/>
          <w:szCs w:val="22"/>
          <w:lang w:eastAsia="en-GB"/>
        </w:rPr>
        <w:t xml:space="preserve"> and further </w:t>
      </w:r>
      <w:r w:rsidRPr="00194C8E">
        <w:rPr>
          <w:rFonts w:ascii="ArialMT" w:hAnsi="ArialMT"/>
          <w:b/>
          <w:bCs/>
          <w:sz w:val="22"/>
          <w:szCs w:val="22"/>
          <w:lang w:eastAsia="en-GB"/>
        </w:rPr>
        <w:t>thanks</w:t>
      </w:r>
      <w:r>
        <w:rPr>
          <w:rFonts w:ascii="ArialMT" w:hAnsi="ArialMT"/>
          <w:sz w:val="22"/>
          <w:szCs w:val="22"/>
          <w:lang w:eastAsia="en-GB"/>
        </w:rPr>
        <w:t xml:space="preserve"> Germany for their hosting of the High Level Launch of the Ocean Decade </w:t>
      </w:r>
      <w:r w:rsidR="00F60827">
        <w:rPr>
          <w:rFonts w:ascii="ArialMT" w:hAnsi="ArialMT" w:hint="eastAsia"/>
          <w:sz w:val="22"/>
          <w:szCs w:val="22"/>
          <w:lang w:eastAsia="en-GB"/>
        </w:rPr>
        <w:t>–</w:t>
      </w:r>
      <w:r>
        <w:rPr>
          <w:rFonts w:ascii="ArialMT" w:hAnsi="ArialMT"/>
          <w:sz w:val="22"/>
          <w:szCs w:val="22"/>
          <w:lang w:eastAsia="en-GB"/>
        </w:rPr>
        <w:t xml:space="preserve"> First International Ocean Decade Conference, and the UN Ocean Decade Laboratories</w:t>
      </w:r>
      <w:r w:rsidRPr="00D959FF">
        <w:rPr>
          <w:rFonts w:ascii="ArialMT" w:hAnsi="ArialMT"/>
          <w:sz w:val="22"/>
          <w:szCs w:val="22"/>
          <w:lang w:eastAsia="en-GB"/>
        </w:rPr>
        <w:t xml:space="preserve">; </w:t>
      </w:r>
    </w:p>
    <w:p w14:paraId="08518DD3" w14:textId="12FBE2DF" w:rsidR="00194C8E" w:rsidRDefault="00194C8E" w:rsidP="00B870A1">
      <w:pPr>
        <w:tabs>
          <w:tab w:val="left" w:pos="-737"/>
        </w:tabs>
        <w:spacing w:line="480" w:lineRule="auto"/>
        <w:jc w:val="center"/>
        <w:rPr>
          <w:rFonts w:ascii="Arial" w:hAnsi="Arial" w:cs="Arial"/>
          <w:b/>
          <w:bCs/>
          <w:color w:val="000000"/>
          <w:sz w:val="22"/>
          <w:szCs w:val="22"/>
        </w:rPr>
      </w:pPr>
      <w:r>
        <w:rPr>
          <w:rFonts w:ascii="Arial" w:hAnsi="Arial" w:cs="Arial"/>
          <w:b/>
          <w:bCs/>
          <w:color w:val="000000"/>
          <w:sz w:val="22"/>
          <w:szCs w:val="22"/>
        </w:rPr>
        <w:t xml:space="preserve">Part </w:t>
      </w:r>
      <w:r w:rsidRPr="00E04FD3">
        <w:rPr>
          <w:rFonts w:ascii="Arial" w:hAnsi="Arial" w:cs="Arial"/>
          <w:b/>
          <w:bCs/>
          <w:color w:val="000000"/>
          <w:sz w:val="22"/>
          <w:szCs w:val="22"/>
        </w:rPr>
        <w:t>II</w:t>
      </w:r>
    </w:p>
    <w:p w14:paraId="336C0A2E" w14:textId="6BADDF04" w:rsidR="00194C8E" w:rsidRPr="00B870A1" w:rsidRDefault="00194C8E" w:rsidP="00194C8E">
      <w:pPr>
        <w:tabs>
          <w:tab w:val="left" w:pos="-737"/>
        </w:tabs>
        <w:spacing w:after="240" w:line="480" w:lineRule="auto"/>
        <w:jc w:val="center"/>
        <w:rPr>
          <w:rFonts w:ascii="Arial" w:hAnsi="Arial" w:cs="Arial"/>
          <w:b/>
          <w:bCs/>
          <w:color w:val="000000"/>
          <w:sz w:val="22"/>
          <w:szCs w:val="22"/>
        </w:rPr>
      </w:pPr>
      <w:r w:rsidRPr="00B870A1">
        <w:rPr>
          <w:rFonts w:ascii="Arial" w:hAnsi="Arial" w:cs="Arial"/>
          <w:b/>
          <w:bCs/>
          <w:color w:val="000000"/>
          <w:sz w:val="22"/>
          <w:szCs w:val="22"/>
        </w:rPr>
        <w:t>Establishment of the Decade Advisory Board</w:t>
      </w:r>
    </w:p>
    <w:p w14:paraId="52CF58D5" w14:textId="338D37FF" w:rsidR="00194C8E" w:rsidRPr="002D220F" w:rsidRDefault="00194C8E" w:rsidP="002D220F">
      <w:pPr>
        <w:pStyle w:val="b"/>
        <w:numPr>
          <w:ilvl w:val="0"/>
          <w:numId w:val="4"/>
        </w:numPr>
        <w:tabs>
          <w:tab w:val="clear" w:pos="1134"/>
        </w:tabs>
        <w:spacing w:line="480" w:lineRule="auto"/>
        <w:ind w:left="709" w:hanging="709"/>
        <w:rPr>
          <w:rFonts w:ascii="Arial" w:eastAsia="Calibri" w:hAnsi="Arial" w:cs="Arial"/>
          <w:sz w:val="22"/>
          <w:szCs w:val="22"/>
        </w:rPr>
      </w:pPr>
      <w:r w:rsidRPr="00194C8E">
        <w:rPr>
          <w:rFonts w:ascii="Arial" w:eastAsia="Calibri" w:hAnsi="Arial" w:cs="Arial"/>
          <w:b/>
          <w:bCs/>
          <w:sz w:val="22"/>
          <w:szCs w:val="22"/>
        </w:rPr>
        <w:t>Thanks</w:t>
      </w:r>
      <w:r w:rsidRPr="00194C8E">
        <w:rPr>
          <w:rFonts w:ascii="Arial" w:eastAsia="Calibri" w:hAnsi="Arial" w:cs="Arial"/>
          <w:sz w:val="22"/>
          <w:szCs w:val="22"/>
        </w:rPr>
        <w:t xml:space="preserve"> members of the Decade Executive Planning Group for their work in supporting the preparation phase of the Decade in 2018–2020 and for acting as </w:t>
      </w:r>
      <w:r w:rsidRPr="00194C8E">
        <w:rPr>
          <w:rFonts w:ascii="Arial" w:eastAsia="Calibri" w:hAnsi="Arial" w:cs="Arial"/>
          <w:i/>
          <w:iCs/>
          <w:sz w:val="22"/>
          <w:szCs w:val="22"/>
        </w:rPr>
        <w:t>Interim Decade Advisory Board</w:t>
      </w:r>
      <w:r w:rsidRPr="00194C8E">
        <w:rPr>
          <w:rFonts w:ascii="Arial" w:eastAsia="Calibri" w:hAnsi="Arial" w:cs="Arial"/>
          <w:sz w:val="22"/>
          <w:szCs w:val="22"/>
        </w:rPr>
        <w:t xml:space="preserve"> in 2021 in accordance with the revised terms of reference of the group adopted by </w:t>
      </w:r>
      <w:r>
        <w:rPr>
          <w:rFonts w:asciiTheme="minorBidi" w:eastAsia="Calibri" w:hAnsiTheme="minorBidi" w:cstheme="minorBidi"/>
          <w:sz w:val="22"/>
          <w:szCs w:val="22"/>
        </w:rPr>
        <w:t xml:space="preserve">IOC Executive Council at its </w:t>
      </w:r>
      <w:r w:rsidRPr="00C61838">
        <w:rPr>
          <w:rFonts w:asciiTheme="minorBidi" w:eastAsia="Calibri" w:hAnsiTheme="minorBidi" w:cstheme="minorBidi"/>
          <w:sz w:val="22"/>
          <w:szCs w:val="22"/>
        </w:rPr>
        <w:t>53</w:t>
      </w:r>
      <w:r w:rsidRPr="00C61838">
        <w:rPr>
          <w:rFonts w:asciiTheme="minorBidi" w:eastAsia="Calibri" w:hAnsiTheme="minorBidi" w:cstheme="minorBidi"/>
          <w:sz w:val="22"/>
          <w:szCs w:val="22"/>
          <w:vertAlign w:val="superscript"/>
        </w:rPr>
        <w:t>rd</w:t>
      </w:r>
      <w:r w:rsidRPr="00C61838">
        <w:rPr>
          <w:rFonts w:asciiTheme="minorBidi" w:eastAsia="Calibri" w:hAnsiTheme="minorBidi" w:cstheme="minorBidi"/>
          <w:sz w:val="22"/>
          <w:szCs w:val="22"/>
        </w:rPr>
        <w:t xml:space="preserve"> session through </w:t>
      </w:r>
      <w:r>
        <w:rPr>
          <w:rFonts w:asciiTheme="minorBidi" w:eastAsia="Calibri" w:hAnsiTheme="minorBidi" w:cstheme="minorBidi"/>
          <w:sz w:val="22"/>
          <w:szCs w:val="22"/>
        </w:rPr>
        <w:t>R</w:t>
      </w:r>
      <w:r w:rsidRPr="00C61838">
        <w:rPr>
          <w:rFonts w:asciiTheme="minorBidi" w:eastAsia="Calibri" w:hAnsiTheme="minorBidi" w:cstheme="minorBidi"/>
          <w:sz w:val="22"/>
          <w:szCs w:val="22"/>
        </w:rPr>
        <w:t>esolution EC-53/1</w:t>
      </w:r>
      <w:r w:rsidR="00EC3D91">
        <w:rPr>
          <w:rFonts w:asciiTheme="minorBidi" w:eastAsia="Calibri" w:hAnsiTheme="minorBidi" w:cstheme="minorBidi"/>
          <w:sz w:val="22"/>
          <w:szCs w:val="22"/>
        </w:rPr>
        <w:t>;</w:t>
      </w:r>
      <w:r>
        <w:rPr>
          <w:rFonts w:asciiTheme="minorBidi" w:eastAsia="Calibri" w:hAnsiTheme="minorBidi" w:cstheme="minorBidi"/>
          <w:sz w:val="22"/>
          <w:szCs w:val="22"/>
        </w:rPr>
        <w:t xml:space="preserve"> </w:t>
      </w:r>
    </w:p>
    <w:p w14:paraId="778FC036" w14:textId="1B8E94E5" w:rsidR="00194C8E" w:rsidRPr="00194C8E" w:rsidRDefault="00194C8E" w:rsidP="002D220F">
      <w:pPr>
        <w:pStyle w:val="b"/>
        <w:numPr>
          <w:ilvl w:val="0"/>
          <w:numId w:val="4"/>
        </w:numPr>
        <w:tabs>
          <w:tab w:val="clear" w:pos="1134"/>
        </w:tabs>
        <w:spacing w:line="480" w:lineRule="auto"/>
        <w:ind w:left="709" w:hanging="709"/>
        <w:rPr>
          <w:rFonts w:ascii="Arial" w:hAnsi="Arial" w:cs="Arial"/>
          <w:color w:val="000000"/>
          <w:sz w:val="22"/>
          <w:szCs w:val="22"/>
        </w:rPr>
      </w:pPr>
      <w:r w:rsidRPr="00194C8E">
        <w:rPr>
          <w:rFonts w:ascii="Arial" w:hAnsi="Arial" w:cs="Arial"/>
          <w:b/>
          <w:bCs/>
          <w:sz w:val="22"/>
          <w:szCs w:val="22"/>
        </w:rPr>
        <w:t xml:space="preserve">Approves </w:t>
      </w:r>
      <w:r w:rsidRPr="00194C8E">
        <w:rPr>
          <w:rFonts w:ascii="Arial" w:hAnsi="Arial" w:cs="Arial"/>
          <w:sz w:val="22"/>
          <w:szCs w:val="22"/>
        </w:rPr>
        <w:t xml:space="preserve">the terms of reference for the Decade </w:t>
      </w:r>
      <w:r w:rsidRPr="00194C8E">
        <w:rPr>
          <w:rFonts w:ascii="Arial" w:hAnsi="Arial" w:cs="Arial"/>
          <w:sz w:val="22"/>
          <w:szCs w:val="22"/>
          <w:lang w:val="en-US"/>
        </w:rPr>
        <w:t xml:space="preserve">Advisory Board </w:t>
      </w:r>
      <w:r w:rsidR="00750044">
        <w:rPr>
          <w:rFonts w:ascii="Arial" w:hAnsi="Arial" w:cs="Arial"/>
          <w:sz w:val="22"/>
          <w:szCs w:val="22"/>
          <w:lang w:val="en-US"/>
        </w:rPr>
        <w:t xml:space="preserve">as presented in the Annex therein, </w:t>
      </w:r>
      <w:r w:rsidRPr="00194C8E">
        <w:rPr>
          <w:rFonts w:ascii="Arial" w:hAnsi="Arial" w:cs="Arial"/>
          <w:sz w:val="22"/>
          <w:szCs w:val="22"/>
        </w:rPr>
        <w:t xml:space="preserve">including the selection process of its members envisaged for the balanced constitution of such a group, to be established under the coordination of the IOC Executive Secretary; </w:t>
      </w:r>
    </w:p>
    <w:p w14:paraId="26BFC15B" w14:textId="5DAAEEF9" w:rsidR="00194C8E" w:rsidRDefault="00194C8E" w:rsidP="00B870A1">
      <w:pPr>
        <w:tabs>
          <w:tab w:val="left" w:pos="-737"/>
        </w:tabs>
        <w:spacing w:line="480" w:lineRule="auto"/>
        <w:jc w:val="center"/>
        <w:rPr>
          <w:rFonts w:ascii="Arial" w:hAnsi="Arial" w:cs="Arial"/>
          <w:b/>
          <w:sz w:val="22"/>
          <w:szCs w:val="22"/>
        </w:rPr>
      </w:pPr>
      <w:r>
        <w:rPr>
          <w:rFonts w:ascii="Arial" w:hAnsi="Arial" w:cs="Arial"/>
          <w:b/>
          <w:sz w:val="22"/>
          <w:szCs w:val="22"/>
        </w:rPr>
        <w:t xml:space="preserve">Part </w:t>
      </w:r>
      <w:r w:rsidRPr="00E04FD3">
        <w:rPr>
          <w:rFonts w:ascii="Arial" w:hAnsi="Arial" w:cs="Arial"/>
          <w:b/>
          <w:sz w:val="22"/>
          <w:szCs w:val="22"/>
        </w:rPr>
        <w:t>II</w:t>
      </w:r>
      <w:r>
        <w:rPr>
          <w:rFonts w:ascii="Arial" w:hAnsi="Arial" w:cs="Arial"/>
          <w:b/>
          <w:sz w:val="22"/>
          <w:szCs w:val="22"/>
        </w:rPr>
        <w:t>I</w:t>
      </w:r>
    </w:p>
    <w:p w14:paraId="60CDD9D7" w14:textId="5E5908B3" w:rsidR="00194C8E" w:rsidRPr="00B870A1" w:rsidRDefault="00194C8E" w:rsidP="00194C8E">
      <w:pPr>
        <w:tabs>
          <w:tab w:val="left" w:pos="-737"/>
        </w:tabs>
        <w:spacing w:after="240" w:line="480" w:lineRule="auto"/>
        <w:jc w:val="center"/>
        <w:rPr>
          <w:rFonts w:ascii="Arial" w:hAnsi="Arial" w:cs="Arial"/>
          <w:b/>
          <w:sz w:val="22"/>
          <w:szCs w:val="22"/>
        </w:rPr>
      </w:pPr>
      <w:r w:rsidRPr="00B870A1">
        <w:rPr>
          <w:rFonts w:ascii="Arial" w:hAnsi="Arial" w:cs="Arial"/>
          <w:b/>
          <w:sz w:val="22"/>
          <w:szCs w:val="22"/>
        </w:rPr>
        <w:t>IOC Contribution to the Decade</w:t>
      </w:r>
    </w:p>
    <w:p w14:paraId="542B019E" w14:textId="26D9C1D8" w:rsidR="00194C8E" w:rsidRPr="00EC3D91" w:rsidRDefault="00194C8E" w:rsidP="002D220F">
      <w:pPr>
        <w:pStyle w:val="b"/>
        <w:numPr>
          <w:ilvl w:val="0"/>
          <w:numId w:val="4"/>
        </w:numPr>
        <w:tabs>
          <w:tab w:val="clear" w:pos="1134"/>
        </w:tabs>
        <w:spacing w:line="480" w:lineRule="auto"/>
        <w:ind w:left="709" w:hanging="709"/>
        <w:rPr>
          <w:rFonts w:ascii="Arial" w:hAnsi="Arial" w:cs="Arial"/>
          <w:sz w:val="22"/>
          <w:szCs w:val="22"/>
        </w:rPr>
      </w:pPr>
      <w:r w:rsidRPr="00A41964">
        <w:rPr>
          <w:rFonts w:ascii="Arial" w:hAnsi="Arial" w:cs="Arial"/>
          <w:b/>
          <w:bCs/>
          <w:sz w:val="22"/>
          <w:szCs w:val="22"/>
        </w:rPr>
        <w:t>Emphasizes</w:t>
      </w:r>
      <w:r w:rsidRPr="00A41964">
        <w:rPr>
          <w:rFonts w:ascii="Arial" w:hAnsi="Arial" w:cs="Arial"/>
          <w:sz w:val="22"/>
          <w:szCs w:val="22"/>
        </w:rPr>
        <w:t xml:space="preserve"> the unique position of IOC to make a substantial contribution to the Decade through </w:t>
      </w:r>
      <w:r w:rsidRPr="00A41964">
        <w:rPr>
          <w:rFonts w:ascii="Arial" w:hAnsi="Arial" w:cs="Arial"/>
        </w:rPr>
        <w:t xml:space="preserve">the </w:t>
      </w:r>
      <w:r w:rsidRPr="00B870A1">
        <w:rPr>
          <w:rFonts w:ascii="Arial" w:hAnsi="Arial" w:cs="Arial"/>
          <w:sz w:val="22"/>
          <w:szCs w:val="22"/>
        </w:rPr>
        <w:t>implementation of High-Level Objectives (HLOs) as reflected</w:t>
      </w:r>
      <w:r>
        <w:rPr>
          <w:rFonts w:ascii="Arial" w:hAnsi="Arial" w:cs="Arial"/>
          <w:sz w:val="22"/>
          <w:szCs w:val="22"/>
        </w:rPr>
        <w:t xml:space="preserve"> </w:t>
      </w:r>
      <w:r w:rsidRPr="00A41964">
        <w:rPr>
          <w:rFonts w:ascii="Arial" w:hAnsi="Arial" w:cs="Arial"/>
          <w:sz w:val="22"/>
          <w:szCs w:val="22"/>
        </w:rPr>
        <w:t>in its Draft IOC Medium Term Strategy for 2022</w:t>
      </w:r>
      <w:r>
        <w:rPr>
          <w:rFonts w:ascii="Arial" w:hAnsi="Arial" w:cs="Arial"/>
          <w:sz w:val="22"/>
          <w:szCs w:val="22"/>
        </w:rPr>
        <w:t>–</w:t>
      </w:r>
      <w:r w:rsidRPr="00A41964">
        <w:rPr>
          <w:rFonts w:ascii="Arial" w:hAnsi="Arial" w:cs="Arial"/>
          <w:sz w:val="22"/>
          <w:szCs w:val="22"/>
        </w:rPr>
        <w:t>2029 (41</w:t>
      </w:r>
      <w:r>
        <w:rPr>
          <w:rFonts w:ascii="Arial" w:hAnsi="Arial" w:cs="Arial"/>
          <w:sz w:val="22"/>
          <w:szCs w:val="22"/>
        </w:rPr>
        <w:t> </w:t>
      </w:r>
      <w:r w:rsidRPr="00A41964">
        <w:rPr>
          <w:rFonts w:ascii="Arial" w:hAnsi="Arial" w:cs="Arial"/>
          <w:sz w:val="22"/>
          <w:szCs w:val="22"/>
        </w:rPr>
        <w:t xml:space="preserve">C/4) and Draft Programme </w:t>
      </w:r>
      <w:r w:rsidRPr="00EC3D91">
        <w:rPr>
          <w:rFonts w:ascii="Arial" w:hAnsi="Arial" w:cs="Arial"/>
          <w:sz w:val="22"/>
          <w:szCs w:val="22"/>
        </w:rPr>
        <w:t>and Budget for 2022–2025 (41 C/5);</w:t>
      </w:r>
    </w:p>
    <w:p w14:paraId="5E76605F" w14:textId="67D0B9B8" w:rsidR="00EC3D91" w:rsidRPr="00EC3D91" w:rsidRDefault="00194C8E" w:rsidP="00EC3D91">
      <w:pPr>
        <w:pStyle w:val="NormalWeb"/>
        <w:numPr>
          <w:ilvl w:val="0"/>
          <w:numId w:val="4"/>
        </w:numPr>
        <w:snapToGrid w:val="0"/>
        <w:spacing w:before="0" w:beforeAutospacing="0" w:after="240" w:afterAutospacing="0" w:line="480" w:lineRule="auto"/>
        <w:ind w:hanging="720"/>
        <w:jc w:val="both"/>
        <w:rPr>
          <w:rFonts w:asciiTheme="minorBidi" w:hAnsiTheme="minorBidi" w:cstheme="minorBidi"/>
          <w:sz w:val="22"/>
          <w:szCs w:val="22"/>
        </w:rPr>
      </w:pPr>
      <w:r w:rsidRPr="00B870A1">
        <w:rPr>
          <w:rFonts w:asciiTheme="minorBidi" w:hAnsiTheme="minorBidi" w:cstheme="minorBidi"/>
          <w:b/>
          <w:bCs/>
          <w:sz w:val="22"/>
          <w:szCs w:val="22"/>
          <w:lang w:val="en-US"/>
        </w:rPr>
        <w:t>Works closely</w:t>
      </w:r>
      <w:r w:rsidRPr="00B870A1">
        <w:rPr>
          <w:rFonts w:asciiTheme="minorBidi" w:hAnsiTheme="minorBidi" w:cstheme="minorBidi"/>
          <w:sz w:val="22"/>
          <w:szCs w:val="22"/>
          <w:lang w:val="en-US"/>
        </w:rPr>
        <w:t xml:space="preserve"> and in concert with IOCAFRICA Member States, the GOOS-AFRICA Regional Alliance, the African Union, and specialized African institutions, to ensure that the implementation of the Decade in Africa contributes to the priorities of the </w:t>
      </w:r>
      <w:r w:rsidRPr="00B870A1">
        <w:rPr>
          <w:rFonts w:asciiTheme="minorBidi" w:hAnsiTheme="minorBidi" w:cstheme="minorBidi"/>
          <w:color w:val="202124"/>
          <w:sz w:val="22"/>
          <w:szCs w:val="22"/>
        </w:rPr>
        <w:t>Decade</w:t>
      </w:r>
      <w:r w:rsidR="00F60827" w:rsidRPr="00B870A1">
        <w:rPr>
          <w:rFonts w:asciiTheme="minorBidi" w:hAnsiTheme="minorBidi" w:cstheme="minorBidi"/>
          <w:color w:val="202124"/>
          <w:sz w:val="22"/>
          <w:szCs w:val="22"/>
          <w:shd w:val="clear" w:color="auto" w:fill="FFFFFF"/>
        </w:rPr>
        <w:t xml:space="preserve"> </w:t>
      </w:r>
      <w:r w:rsidRPr="00B870A1">
        <w:rPr>
          <w:rFonts w:asciiTheme="minorBidi" w:hAnsiTheme="minorBidi" w:cstheme="minorBidi"/>
          <w:color w:val="202124"/>
          <w:sz w:val="22"/>
          <w:szCs w:val="22"/>
          <w:shd w:val="clear" w:color="auto" w:fill="FFFFFF"/>
        </w:rPr>
        <w:t>of</w:t>
      </w:r>
      <w:r w:rsidR="00F60827" w:rsidRPr="00B870A1">
        <w:rPr>
          <w:rFonts w:asciiTheme="minorBidi" w:hAnsiTheme="minorBidi" w:cstheme="minorBidi"/>
          <w:color w:val="202124"/>
          <w:sz w:val="22"/>
          <w:szCs w:val="22"/>
          <w:shd w:val="clear" w:color="auto" w:fill="FFFFFF"/>
        </w:rPr>
        <w:t xml:space="preserve"> </w:t>
      </w:r>
      <w:r w:rsidRPr="00B870A1">
        <w:rPr>
          <w:rFonts w:asciiTheme="minorBidi" w:hAnsiTheme="minorBidi" w:cstheme="minorBidi"/>
          <w:color w:val="202124"/>
          <w:sz w:val="22"/>
          <w:szCs w:val="22"/>
        </w:rPr>
        <w:t>African</w:t>
      </w:r>
      <w:r w:rsidRPr="00B870A1">
        <w:rPr>
          <w:rFonts w:asciiTheme="minorBidi" w:hAnsiTheme="minorBidi" w:cstheme="minorBidi"/>
          <w:color w:val="202124"/>
          <w:sz w:val="22"/>
          <w:szCs w:val="22"/>
          <w:lang w:val="en-US"/>
        </w:rPr>
        <w:t xml:space="preserve"> </w:t>
      </w:r>
      <w:r w:rsidRPr="00B870A1">
        <w:rPr>
          <w:rFonts w:asciiTheme="minorBidi" w:hAnsiTheme="minorBidi" w:cstheme="minorBidi"/>
          <w:color w:val="202124"/>
          <w:sz w:val="22"/>
          <w:szCs w:val="22"/>
          <w:shd w:val="clear" w:color="auto" w:fill="FFFFFF"/>
        </w:rPr>
        <w:t>Seas and</w:t>
      </w:r>
      <w:r w:rsidR="00F60827" w:rsidRPr="00B870A1">
        <w:rPr>
          <w:rFonts w:asciiTheme="minorBidi" w:hAnsiTheme="minorBidi" w:cstheme="minorBidi"/>
          <w:color w:val="202124"/>
          <w:sz w:val="22"/>
          <w:szCs w:val="22"/>
          <w:shd w:val="clear" w:color="auto" w:fill="FFFFFF"/>
        </w:rPr>
        <w:t xml:space="preserve"> </w:t>
      </w:r>
      <w:r w:rsidRPr="00B870A1">
        <w:rPr>
          <w:rFonts w:asciiTheme="minorBidi" w:hAnsiTheme="minorBidi" w:cstheme="minorBidi"/>
          <w:color w:val="202124"/>
          <w:sz w:val="22"/>
          <w:szCs w:val="22"/>
        </w:rPr>
        <w:t>Oceans</w:t>
      </w:r>
      <w:r w:rsidRPr="00B870A1">
        <w:rPr>
          <w:rFonts w:asciiTheme="minorBidi" w:hAnsiTheme="minorBidi" w:cstheme="minorBidi"/>
          <w:color w:val="202124"/>
          <w:sz w:val="22"/>
          <w:szCs w:val="22"/>
          <w:lang w:val="en-US"/>
        </w:rPr>
        <w:t xml:space="preserve"> (2015</w:t>
      </w:r>
      <w:r w:rsidR="00F60827" w:rsidRPr="00B870A1">
        <w:rPr>
          <w:rFonts w:asciiTheme="minorBidi" w:hAnsiTheme="minorBidi" w:cstheme="minorBidi"/>
          <w:color w:val="202124"/>
          <w:sz w:val="22"/>
          <w:szCs w:val="22"/>
          <w:lang w:val="en-US"/>
        </w:rPr>
        <w:t>–</w:t>
      </w:r>
      <w:r w:rsidRPr="00B870A1">
        <w:rPr>
          <w:rFonts w:asciiTheme="minorBidi" w:hAnsiTheme="minorBidi" w:cstheme="minorBidi"/>
          <w:color w:val="202124"/>
          <w:sz w:val="22"/>
          <w:szCs w:val="22"/>
          <w:lang w:val="en-US"/>
        </w:rPr>
        <w:t>2025)</w:t>
      </w:r>
      <w:r w:rsidR="009B1A56" w:rsidRPr="00EC3D91">
        <w:rPr>
          <w:rFonts w:asciiTheme="minorBidi" w:hAnsiTheme="minorBidi" w:cstheme="minorBidi"/>
          <w:color w:val="202124"/>
          <w:sz w:val="22"/>
          <w:szCs w:val="22"/>
          <w:lang w:val="en-US"/>
        </w:rPr>
        <w:t xml:space="preserve">; </w:t>
      </w:r>
    </w:p>
    <w:p w14:paraId="4646F8BE" w14:textId="2B4FB0D3" w:rsidR="009B1A56" w:rsidRPr="009B1A56" w:rsidRDefault="009B1A56" w:rsidP="009B1A56">
      <w:pPr>
        <w:pStyle w:val="NormalWeb"/>
        <w:numPr>
          <w:ilvl w:val="0"/>
          <w:numId w:val="4"/>
        </w:numPr>
        <w:snapToGrid w:val="0"/>
        <w:spacing w:before="0" w:beforeAutospacing="0" w:after="240" w:afterAutospacing="0" w:line="480" w:lineRule="auto"/>
        <w:ind w:hanging="720"/>
        <w:jc w:val="both"/>
        <w:rPr>
          <w:rFonts w:asciiTheme="minorBidi" w:hAnsiTheme="minorBidi" w:cstheme="minorBidi"/>
          <w:sz w:val="22"/>
          <w:szCs w:val="22"/>
        </w:rPr>
      </w:pPr>
      <w:r w:rsidRPr="00B870A1">
        <w:rPr>
          <w:rFonts w:ascii="Arial" w:hAnsi="Arial" w:cs="Arial"/>
          <w:b/>
          <w:bCs/>
          <w:color w:val="000000" w:themeColor="text1"/>
          <w:sz w:val="22"/>
          <w:szCs w:val="22"/>
        </w:rPr>
        <w:t>Further works</w:t>
      </w:r>
      <w:r w:rsidRPr="00B870A1">
        <w:rPr>
          <w:rFonts w:ascii="Arial" w:hAnsi="Arial" w:cs="Arial"/>
          <w:color w:val="000000" w:themeColor="text1"/>
          <w:sz w:val="22"/>
          <w:szCs w:val="22"/>
        </w:rPr>
        <w:t xml:space="preserve"> through multi-stakeholder collaboration and</w:t>
      </w:r>
      <w:r w:rsidRPr="00B870A1">
        <w:rPr>
          <w:rFonts w:ascii="Arial" w:hAnsi="Arial" w:cs="Arial"/>
          <w:color w:val="000000" w:themeColor="text1"/>
          <w:sz w:val="22"/>
          <w:szCs w:val="22"/>
          <w:lang w:eastAsia="fr-FR"/>
        </w:rPr>
        <w:t xml:space="preserve"> IOC’s regional subsidiary bodies </w:t>
      </w:r>
      <w:r w:rsidRPr="00B870A1">
        <w:rPr>
          <w:rFonts w:ascii="Arial" w:hAnsi="Arial" w:cs="Arial"/>
          <w:color w:val="000000" w:themeColor="text1"/>
          <w:sz w:val="22"/>
          <w:szCs w:val="22"/>
        </w:rPr>
        <w:t xml:space="preserve">to ensure that the tangible initiatives and endeavours that will be implemented will mobilize support towards Small Island Developing States (SIDS), enable them to achieve their ocean-related </w:t>
      </w:r>
      <w:r w:rsidR="00BC608B" w:rsidRPr="00947563">
        <w:rPr>
          <w:rFonts w:ascii="Arial" w:hAnsi="Arial" w:cs="Arial"/>
          <w:color w:val="000000" w:themeColor="text1"/>
          <w:sz w:val="22"/>
          <w:szCs w:val="22"/>
        </w:rPr>
        <w:t xml:space="preserve">2030 </w:t>
      </w:r>
      <w:r w:rsidRPr="00B870A1">
        <w:rPr>
          <w:rFonts w:ascii="Arial" w:hAnsi="Arial" w:cs="Arial"/>
          <w:color w:val="000000" w:themeColor="text1"/>
          <w:sz w:val="22"/>
          <w:szCs w:val="22"/>
        </w:rPr>
        <w:t>Agenda priorities and contribute to the implementation of the SIDS Accelerated Modalities of Action (SAMOA) Pathway</w:t>
      </w:r>
      <w:r w:rsidR="00F60827">
        <w:rPr>
          <w:rFonts w:cs="Arial"/>
          <w:color w:val="000000" w:themeColor="text1"/>
          <w:sz w:val="22"/>
          <w:szCs w:val="22"/>
        </w:rPr>
        <w:t>;</w:t>
      </w:r>
    </w:p>
    <w:p w14:paraId="10E9F58D" w14:textId="38FFB6A5" w:rsidR="00194C8E" w:rsidRPr="001E6093" w:rsidRDefault="00194C8E" w:rsidP="002D220F">
      <w:pPr>
        <w:pStyle w:val="b"/>
        <w:numPr>
          <w:ilvl w:val="0"/>
          <w:numId w:val="4"/>
        </w:numPr>
        <w:tabs>
          <w:tab w:val="clear" w:pos="1134"/>
        </w:tabs>
        <w:spacing w:line="480" w:lineRule="auto"/>
        <w:ind w:left="709" w:hanging="709"/>
        <w:rPr>
          <w:rFonts w:ascii="Arial" w:hAnsi="Arial" w:cs="Arial"/>
          <w:sz w:val="22"/>
          <w:szCs w:val="22"/>
        </w:rPr>
      </w:pPr>
      <w:r w:rsidRPr="001E6093">
        <w:rPr>
          <w:rFonts w:ascii="Arial" w:hAnsi="Arial" w:cs="Arial"/>
          <w:b/>
          <w:bCs/>
          <w:sz w:val="22"/>
          <w:szCs w:val="22"/>
        </w:rPr>
        <w:t>Invites</w:t>
      </w:r>
      <w:r w:rsidRPr="001E6093">
        <w:rPr>
          <w:rFonts w:ascii="Arial" w:hAnsi="Arial" w:cs="Arial"/>
          <w:sz w:val="22"/>
          <w:szCs w:val="22"/>
        </w:rPr>
        <w:t xml:space="preserve"> IOC </w:t>
      </w:r>
      <w:r w:rsidR="00F60827" w:rsidRPr="001E6093">
        <w:rPr>
          <w:rFonts w:ascii="Arial" w:hAnsi="Arial" w:cs="Arial"/>
          <w:sz w:val="22"/>
          <w:szCs w:val="22"/>
        </w:rPr>
        <w:t>Subsidiary Bodies</w:t>
      </w:r>
      <w:r w:rsidRPr="001E6093">
        <w:rPr>
          <w:rFonts w:ascii="Arial" w:hAnsi="Arial" w:cs="Arial"/>
          <w:sz w:val="22"/>
          <w:szCs w:val="22"/>
        </w:rPr>
        <w:t>, relevant IOC governance structures</w:t>
      </w:r>
      <w:r w:rsidR="00750044" w:rsidRPr="00B870A1">
        <w:rPr>
          <w:rFonts w:ascii="Arial" w:hAnsi="Arial" w:cs="Arial"/>
          <w:sz w:val="22"/>
          <w:szCs w:val="22"/>
        </w:rPr>
        <w:t xml:space="preserve">, and </w:t>
      </w:r>
      <w:r w:rsidR="00A81E97" w:rsidRPr="00B870A1">
        <w:rPr>
          <w:rFonts w:ascii="Arial" w:hAnsi="Arial" w:cs="Arial"/>
          <w:sz w:val="22"/>
          <w:szCs w:val="22"/>
        </w:rPr>
        <w:t xml:space="preserve">relevant </w:t>
      </w:r>
      <w:r w:rsidR="00750044" w:rsidRPr="00B870A1">
        <w:rPr>
          <w:rFonts w:ascii="Arial" w:hAnsi="Arial" w:cs="Arial"/>
          <w:sz w:val="22"/>
          <w:szCs w:val="22"/>
        </w:rPr>
        <w:t>UNESCO Category</w:t>
      </w:r>
      <w:r w:rsidR="00F60827" w:rsidRPr="00B870A1">
        <w:rPr>
          <w:rFonts w:ascii="Arial" w:hAnsi="Arial" w:cs="Arial"/>
          <w:sz w:val="22"/>
          <w:szCs w:val="22"/>
        </w:rPr>
        <w:t xml:space="preserve"> 2</w:t>
      </w:r>
      <w:r w:rsidR="00750044" w:rsidRPr="00B870A1">
        <w:rPr>
          <w:rFonts w:ascii="Arial" w:hAnsi="Arial" w:cs="Arial"/>
          <w:sz w:val="22"/>
          <w:szCs w:val="22"/>
        </w:rPr>
        <w:t xml:space="preserve"> </w:t>
      </w:r>
      <w:r w:rsidR="00F60827" w:rsidRPr="00B870A1">
        <w:rPr>
          <w:rFonts w:ascii="Arial" w:hAnsi="Arial" w:cs="Arial"/>
          <w:sz w:val="22"/>
          <w:szCs w:val="22"/>
        </w:rPr>
        <w:t>Centres</w:t>
      </w:r>
      <w:r w:rsidR="00F60827" w:rsidRPr="001E6093">
        <w:rPr>
          <w:rFonts w:ascii="Arial" w:hAnsi="Arial" w:cs="Arial"/>
          <w:sz w:val="22"/>
          <w:szCs w:val="22"/>
        </w:rPr>
        <w:t xml:space="preserve"> </w:t>
      </w:r>
      <w:r w:rsidRPr="001E6093">
        <w:rPr>
          <w:rFonts w:ascii="Arial" w:hAnsi="Arial" w:cs="Arial"/>
          <w:sz w:val="22"/>
          <w:szCs w:val="22"/>
        </w:rPr>
        <w:t>to continue identifying programmatic contributions to the Decade during the intersessional period;</w:t>
      </w:r>
    </w:p>
    <w:p w14:paraId="7A7DCBF4" w14:textId="77777777" w:rsidR="00194C8E" w:rsidRPr="001E6093" w:rsidRDefault="00194C8E" w:rsidP="002D220F">
      <w:pPr>
        <w:pStyle w:val="b"/>
        <w:numPr>
          <w:ilvl w:val="0"/>
          <w:numId w:val="4"/>
        </w:numPr>
        <w:tabs>
          <w:tab w:val="clear" w:pos="1134"/>
        </w:tabs>
        <w:spacing w:line="480" w:lineRule="auto"/>
        <w:ind w:left="709" w:hanging="709"/>
        <w:rPr>
          <w:rFonts w:ascii="Arial" w:hAnsi="Arial" w:cs="Arial"/>
          <w:sz w:val="22"/>
          <w:szCs w:val="22"/>
        </w:rPr>
      </w:pPr>
      <w:r w:rsidRPr="001E6093">
        <w:rPr>
          <w:rFonts w:ascii="Arial" w:hAnsi="Arial" w:cs="Arial"/>
          <w:b/>
          <w:bCs/>
          <w:sz w:val="22"/>
          <w:szCs w:val="22"/>
        </w:rPr>
        <w:t>Welcomes</w:t>
      </w:r>
      <w:r w:rsidRPr="001E6093">
        <w:rPr>
          <w:rFonts w:ascii="Arial" w:hAnsi="Arial" w:cs="Arial"/>
          <w:sz w:val="22"/>
          <w:szCs w:val="22"/>
        </w:rPr>
        <w:t xml:space="preserve"> the active role of the IOC Regional Subsidiary Bodies in facilitating Decade regional coordination and engagement activities;</w:t>
      </w:r>
    </w:p>
    <w:p w14:paraId="47065683" w14:textId="77777777" w:rsidR="00194C8E" w:rsidRPr="00D959FF" w:rsidRDefault="00194C8E" w:rsidP="00B870A1">
      <w:pPr>
        <w:pStyle w:val="b"/>
        <w:numPr>
          <w:ilvl w:val="0"/>
          <w:numId w:val="4"/>
        </w:numPr>
        <w:tabs>
          <w:tab w:val="clear" w:pos="1134"/>
        </w:tabs>
        <w:spacing w:after="120" w:line="480" w:lineRule="auto"/>
        <w:ind w:left="709" w:hanging="709"/>
        <w:rPr>
          <w:rFonts w:ascii="Arial" w:hAnsi="Arial" w:cs="Arial"/>
          <w:sz w:val="22"/>
          <w:szCs w:val="22"/>
        </w:rPr>
      </w:pPr>
      <w:r>
        <w:rPr>
          <w:rFonts w:ascii="Arial" w:hAnsi="Arial" w:cs="Arial"/>
          <w:b/>
          <w:bCs/>
          <w:sz w:val="22"/>
          <w:szCs w:val="22"/>
        </w:rPr>
        <w:t xml:space="preserve">Supports </w:t>
      </w:r>
      <w:r w:rsidRPr="00D959FF">
        <w:rPr>
          <w:rFonts w:ascii="Arial" w:hAnsi="Arial" w:cs="Arial"/>
          <w:sz w:val="22"/>
          <w:szCs w:val="22"/>
        </w:rPr>
        <w:t>the registration</w:t>
      </w:r>
      <w:r w:rsidRPr="00810164">
        <w:rPr>
          <w:rFonts w:ascii="Arial" w:hAnsi="Arial" w:cs="Arial"/>
          <w:sz w:val="22"/>
          <w:szCs w:val="22"/>
        </w:rPr>
        <w:t xml:space="preserve"> or planned registration of</w:t>
      </w:r>
      <w:r w:rsidRPr="00D959FF">
        <w:rPr>
          <w:rFonts w:ascii="Arial" w:hAnsi="Arial" w:cs="Arial"/>
          <w:sz w:val="22"/>
          <w:szCs w:val="22"/>
        </w:rPr>
        <w:t xml:space="preserve"> IOC</w:t>
      </w:r>
      <w:r>
        <w:rPr>
          <w:rFonts w:ascii="Arial" w:hAnsi="Arial" w:cs="Arial"/>
          <w:sz w:val="22"/>
          <w:szCs w:val="22"/>
        </w:rPr>
        <w:t>-led</w:t>
      </w:r>
      <w:r w:rsidRPr="00D959FF">
        <w:rPr>
          <w:rFonts w:ascii="Arial" w:hAnsi="Arial" w:cs="Arial"/>
          <w:sz w:val="22"/>
          <w:szCs w:val="22"/>
        </w:rPr>
        <w:t xml:space="preserve"> Decade </w:t>
      </w:r>
      <w:r>
        <w:rPr>
          <w:rFonts w:ascii="Arial" w:hAnsi="Arial" w:cs="Arial"/>
          <w:sz w:val="22"/>
          <w:szCs w:val="22"/>
        </w:rPr>
        <w:t>Actions</w:t>
      </w:r>
      <w:r w:rsidRPr="00D959FF">
        <w:rPr>
          <w:rFonts w:ascii="Arial" w:hAnsi="Arial" w:cs="Arial"/>
          <w:sz w:val="22"/>
          <w:szCs w:val="22"/>
        </w:rPr>
        <w:t>, specifically:</w:t>
      </w:r>
    </w:p>
    <w:p w14:paraId="5931B7A1" w14:textId="450E9C80" w:rsidR="00194C8E" w:rsidRPr="00B870A1" w:rsidRDefault="00194C8E" w:rsidP="00B870A1">
      <w:pPr>
        <w:pStyle w:val="ListParagraph"/>
        <w:numPr>
          <w:ilvl w:val="0"/>
          <w:numId w:val="12"/>
        </w:numPr>
        <w:spacing w:after="120" w:line="480" w:lineRule="auto"/>
        <w:contextualSpacing w:val="0"/>
        <w:jc w:val="both"/>
        <w:rPr>
          <w:rFonts w:cs="Arial"/>
          <w:szCs w:val="22"/>
        </w:rPr>
      </w:pPr>
      <w:r w:rsidRPr="00B870A1">
        <w:rPr>
          <w:rFonts w:cs="Arial"/>
          <w:szCs w:val="22"/>
        </w:rPr>
        <w:t>“Ocean Observing Co-Design” Programme by the Global Ocean Observing System (GOOS), which will build the process, infrastructure and tools for ocean observing co-design necessary to support the Decade;</w:t>
      </w:r>
    </w:p>
    <w:p w14:paraId="635E85BC" w14:textId="31AFAED1" w:rsidR="00194C8E" w:rsidRPr="00B870A1" w:rsidRDefault="00194C8E" w:rsidP="00B870A1">
      <w:pPr>
        <w:pStyle w:val="ListParagraph"/>
        <w:numPr>
          <w:ilvl w:val="0"/>
          <w:numId w:val="12"/>
        </w:numPr>
        <w:spacing w:after="120" w:line="480" w:lineRule="auto"/>
        <w:contextualSpacing w:val="0"/>
        <w:jc w:val="both"/>
        <w:rPr>
          <w:rFonts w:cs="Arial"/>
          <w:szCs w:val="22"/>
        </w:rPr>
      </w:pPr>
      <w:r w:rsidRPr="00B870A1">
        <w:rPr>
          <w:rFonts w:cs="Arial"/>
          <w:szCs w:val="22"/>
        </w:rPr>
        <w:t>“</w:t>
      </w:r>
      <w:r w:rsidRPr="00B870A1">
        <w:rPr>
          <w:rFonts w:cs="Arial"/>
          <w:szCs w:val="22"/>
          <w:lang w:eastAsia="en-GB"/>
        </w:rPr>
        <w:t>Observing</w:t>
      </w:r>
      <w:r w:rsidRPr="00B870A1">
        <w:rPr>
          <w:rFonts w:cs="Arial"/>
          <w:szCs w:val="22"/>
        </w:rPr>
        <w:t xml:space="preserve"> Together” Programme by GOOS, which will transform ocean data access and availability by connecting ocean observers and the communities they serve </w:t>
      </w:r>
      <w:r w:rsidRPr="00B870A1">
        <w:rPr>
          <w:rFonts w:cs="Arial"/>
          <w:szCs w:val="22"/>
          <w:lang w:eastAsia="en-GB"/>
        </w:rPr>
        <w:t>through</w:t>
      </w:r>
      <w:r w:rsidRPr="00B870A1">
        <w:rPr>
          <w:rFonts w:cs="Arial"/>
          <w:szCs w:val="22"/>
        </w:rPr>
        <w:t xml:space="preserve"> enhanced support to both new and existing community-scale projects;</w:t>
      </w:r>
    </w:p>
    <w:p w14:paraId="3C3D6CDE" w14:textId="3FDDE063" w:rsidR="00194C8E" w:rsidRPr="00B870A1" w:rsidRDefault="00194C8E" w:rsidP="00B870A1">
      <w:pPr>
        <w:pStyle w:val="ListParagraph"/>
        <w:numPr>
          <w:ilvl w:val="0"/>
          <w:numId w:val="12"/>
        </w:numPr>
        <w:spacing w:after="120" w:line="480" w:lineRule="auto"/>
        <w:contextualSpacing w:val="0"/>
        <w:jc w:val="both"/>
        <w:rPr>
          <w:rFonts w:cs="Arial"/>
          <w:szCs w:val="22"/>
        </w:rPr>
      </w:pPr>
      <w:r w:rsidRPr="00B870A1">
        <w:rPr>
          <w:rFonts w:cs="Arial"/>
          <w:szCs w:val="22"/>
        </w:rPr>
        <w:t xml:space="preserve">the establishment of a Decade Tsunami Programme aimed at achieving transformational advances in tsunami detection, observing and warning, including tsunamis generated by non-seismic sources, making 100% of communities at risk of tsunami prepared for and resilient to tsunamis by 2030 through the implementation of the UNESCO/IOC Tsunami Ready Programme, as reflected in decision Dec. A-31/3.4.1 of the Assembly; </w:t>
      </w:r>
    </w:p>
    <w:p w14:paraId="1B8645E2" w14:textId="56724F67" w:rsidR="00194C8E" w:rsidRPr="00E93786" w:rsidRDefault="00194C8E" w:rsidP="00B870A1">
      <w:pPr>
        <w:pStyle w:val="ListParagraph"/>
        <w:numPr>
          <w:ilvl w:val="0"/>
          <w:numId w:val="13"/>
        </w:numPr>
        <w:tabs>
          <w:tab w:val="clear" w:pos="567"/>
          <w:tab w:val="left" w:pos="-737"/>
        </w:tabs>
        <w:spacing w:after="120" w:line="480" w:lineRule="auto"/>
        <w:contextualSpacing w:val="0"/>
        <w:jc w:val="both"/>
        <w:rPr>
          <w:rFonts w:cs="Arial"/>
          <w:szCs w:val="22"/>
        </w:rPr>
      </w:pPr>
      <w:r w:rsidRPr="00E04FD3">
        <w:rPr>
          <w:rFonts w:cs="Arial"/>
          <w:szCs w:val="22"/>
        </w:rPr>
        <w:t xml:space="preserve">the </w:t>
      </w:r>
      <w:r>
        <w:rPr>
          <w:rFonts w:cs="Arial"/>
          <w:szCs w:val="22"/>
        </w:rPr>
        <w:t>“</w:t>
      </w:r>
      <w:r w:rsidRPr="00B870A1">
        <w:rPr>
          <w:rFonts w:eastAsia="Arial" w:cs="Arial"/>
          <w:bCs/>
        </w:rPr>
        <w:t>Ocean Literacy With All (OLWA)</w:t>
      </w:r>
      <w:r w:rsidR="00BC608B">
        <w:rPr>
          <w:rFonts w:eastAsia="Arial" w:cs="Arial"/>
          <w:bCs/>
        </w:rPr>
        <w:t>”</w:t>
      </w:r>
      <w:r>
        <w:rPr>
          <w:rFonts w:eastAsia="Arial" w:cs="Arial"/>
          <w:bCs/>
        </w:rPr>
        <w:t xml:space="preserve"> </w:t>
      </w:r>
      <w:r>
        <w:rPr>
          <w:rFonts w:cs="Arial"/>
          <w:szCs w:val="22"/>
        </w:rPr>
        <w:t>P</w:t>
      </w:r>
      <w:r w:rsidRPr="00E04FD3">
        <w:rPr>
          <w:rFonts w:cs="Arial"/>
          <w:szCs w:val="22"/>
        </w:rPr>
        <w:t xml:space="preserve">rogramme to respond to priorities identified in the Ocean Decade Ocean Literacy Action Framework (Document </w:t>
      </w:r>
      <w:hyperlink r:id="rId16" w:history="1">
        <w:r w:rsidRPr="00C448E3">
          <w:rPr>
            <w:rStyle w:val="Hyperlink"/>
            <w:rFonts w:cs="Arial"/>
            <w:szCs w:val="22"/>
          </w:rPr>
          <w:t>IOC/2021/ODS/22</w:t>
        </w:r>
      </w:hyperlink>
      <w:r w:rsidRPr="00C448E3">
        <w:rPr>
          <w:rFonts w:cs="Arial"/>
          <w:szCs w:val="22"/>
          <w:lang w:val="en-US"/>
        </w:rPr>
        <w:t>)</w:t>
      </w:r>
      <w:r w:rsidRPr="00C448E3">
        <w:rPr>
          <w:rFonts w:cs="Arial"/>
          <w:szCs w:val="22"/>
        </w:rPr>
        <w:t>;</w:t>
      </w:r>
      <w:r w:rsidRPr="00E04FD3">
        <w:rPr>
          <w:rFonts w:cs="Arial"/>
          <w:szCs w:val="22"/>
        </w:rPr>
        <w:t xml:space="preserve"> and</w:t>
      </w:r>
    </w:p>
    <w:p w14:paraId="0933C2A6" w14:textId="5C96BC0E" w:rsidR="00194C8E" w:rsidRPr="00B66D57" w:rsidRDefault="00194C8E" w:rsidP="00B870A1">
      <w:pPr>
        <w:pStyle w:val="ListParagraph"/>
        <w:numPr>
          <w:ilvl w:val="0"/>
          <w:numId w:val="13"/>
        </w:numPr>
        <w:tabs>
          <w:tab w:val="clear" w:pos="567"/>
          <w:tab w:val="left" w:pos="-737"/>
        </w:tabs>
        <w:spacing w:after="120" w:line="480" w:lineRule="auto"/>
        <w:contextualSpacing w:val="0"/>
        <w:jc w:val="both"/>
        <w:rPr>
          <w:rFonts w:cs="Arial"/>
          <w:snapToGrid/>
          <w:sz w:val="24"/>
          <w:lang w:val="en-US" w:eastAsia="en-GB"/>
        </w:rPr>
      </w:pPr>
      <w:r w:rsidRPr="00B66D57">
        <w:rPr>
          <w:rFonts w:cs="Arial"/>
          <w:color w:val="000000"/>
          <w:szCs w:val="22"/>
        </w:rPr>
        <w:t>“</w:t>
      </w:r>
      <w:r w:rsidRPr="00B870A1">
        <w:rPr>
          <w:rFonts w:cs="Arial"/>
          <w:color w:val="000000"/>
          <w:szCs w:val="22"/>
        </w:rPr>
        <w:t>Ocean Practices for the Decade</w:t>
      </w:r>
      <w:r w:rsidRPr="00B66D57">
        <w:rPr>
          <w:rFonts w:cs="Arial"/>
          <w:color w:val="000000"/>
          <w:szCs w:val="22"/>
        </w:rPr>
        <w:t>” as a Programme connected to the IODE</w:t>
      </w:r>
      <w:r w:rsidR="00BC608B">
        <w:rPr>
          <w:rFonts w:cs="Arial"/>
          <w:color w:val="000000"/>
          <w:szCs w:val="22"/>
        </w:rPr>
        <w:t>-</w:t>
      </w:r>
      <w:r w:rsidRPr="00B66D57">
        <w:rPr>
          <w:rFonts w:cs="Arial"/>
          <w:color w:val="000000"/>
          <w:szCs w:val="22"/>
        </w:rPr>
        <w:t>GOOS Ocean Best Practices System</w:t>
      </w:r>
      <w:r>
        <w:rPr>
          <w:rFonts w:cs="Arial"/>
          <w:color w:val="000000"/>
          <w:szCs w:val="22"/>
        </w:rPr>
        <w:t>;</w:t>
      </w:r>
    </w:p>
    <w:p w14:paraId="21BF2217" w14:textId="6D6BFE2F" w:rsidR="00194C8E" w:rsidRPr="00B66D57" w:rsidRDefault="00194C8E" w:rsidP="00B870A1">
      <w:pPr>
        <w:pStyle w:val="ListParagraph"/>
        <w:numPr>
          <w:ilvl w:val="0"/>
          <w:numId w:val="13"/>
        </w:numPr>
        <w:tabs>
          <w:tab w:val="clear" w:pos="567"/>
          <w:tab w:val="left" w:pos="-737"/>
        </w:tabs>
        <w:spacing w:after="240" w:line="480" w:lineRule="auto"/>
        <w:contextualSpacing w:val="0"/>
        <w:jc w:val="both"/>
        <w:rPr>
          <w:rFonts w:cs="Arial"/>
          <w:snapToGrid/>
          <w:lang w:val="en-US" w:eastAsia="en-GB"/>
        </w:rPr>
      </w:pPr>
      <w:r w:rsidRPr="00B66D57">
        <w:rPr>
          <w:rFonts w:cs="Arial"/>
          <w:color w:val="000000"/>
          <w:szCs w:val="22"/>
        </w:rPr>
        <w:t xml:space="preserve">the registration of </w:t>
      </w:r>
      <w:r w:rsidRPr="00194C8E">
        <w:rPr>
          <w:rFonts w:cs="Arial"/>
          <w:color w:val="000000"/>
          <w:szCs w:val="22"/>
        </w:rPr>
        <w:t>Ocean Data and Information System (ODIS), Ocean Biodiversity Information System (OBIS), OceanTeacher Global Academy (OTGA),</w:t>
      </w:r>
      <w:r w:rsidRPr="00B66D57">
        <w:rPr>
          <w:rFonts w:cs="Arial"/>
          <w:color w:val="000000"/>
          <w:szCs w:val="22"/>
        </w:rPr>
        <w:t xml:space="preserve"> </w:t>
      </w:r>
      <w:r w:rsidRPr="00CC7F8A">
        <w:rPr>
          <w:rFonts w:asciiTheme="minorBidi" w:hAnsiTheme="minorBidi" w:cstheme="minorBidi"/>
          <w:szCs w:val="22"/>
        </w:rPr>
        <w:t>World Ocean Database</w:t>
      </w:r>
      <w:r w:rsidRPr="00B66D57">
        <w:rPr>
          <w:rFonts w:cs="Arial"/>
          <w:color w:val="000000"/>
          <w:szCs w:val="22"/>
        </w:rPr>
        <w:t xml:space="preserve"> </w:t>
      </w:r>
      <w:r>
        <w:rPr>
          <w:rFonts w:cs="Arial"/>
          <w:color w:val="000000"/>
          <w:szCs w:val="22"/>
        </w:rPr>
        <w:t>(</w:t>
      </w:r>
      <w:r w:rsidRPr="00B66D57">
        <w:rPr>
          <w:rFonts w:cs="Arial"/>
          <w:color w:val="000000"/>
          <w:szCs w:val="22"/>
        </w:rPr>
        <w:t>WOD</w:t>
      </w:r>
      <w:r>
        <w:rPr>
          <w:rFonts w:cs="Arial"/>
          <w:color w:val="000000"/>
          <w:szCs w:val="22"/>
        </w:rPr>
        <w:t>)</w:t>
      </w:r>
      <w:r w:rsidRPr="00B66D57">
        <w:rPr>
          <w:rFonts w:cs="Arial"/>
          <w:color w:val="000000"/>
          <w:szCs w:val="22"/>
        </w:rPr>
        <w:t xml:space="preserve">, and </w:t>
      </w:r>
      <w:r w:rsidRPr="00CC7F8A">
        <w:rPr>
          <w:rFonts w:asciiTheme="minorBidi" w:hAnsiTheme="minorBidi" w:cstheme="minorBidi"/>
          <w:szCs w:val="22"/>
        </w:rPr>
        <w:t>Pacific islands Marine bioinvasions Alert Network</w:t>
      </w:r>
      <w:r>
        <w:rPr>
          <w:rFonts w:asciiTheme="minorBidi" w:hAnsiTheme="minorBidi" w:cstheme="minorBidi"/>
          <w:szCs w:val="22"/>
        </w:rPr>
        <w:t xml:space="preserve"> (</w:t>
      </w:r>
      <w:r w:rsidRPr="00B66D57">
        <w:rPr>
          <w:rFonts w:cs="Arial"/>
          <w:color w:val="000000"/>
          <w:szCs w:val="22"/>
        </w:rPr>
        <w:t>PacMAN</w:t>
      </w:r>
      <w:r>
        <w:rPr>
          <w:rFonts w:cs="Arial"/>
          <w:color w:val="000000"/>
          <w:szCs w:val="22"/>
        </w:rPr>
        <w:t>)</w:t>
      </w:r>
      <w:r w:rsidRPr="00B66D57">
        <w:rPr>
          <w:rFonts w:cs="Arial"/>
          <w:color w:val="000000"/>
          <w:szCs w:val="22"/>
        </w:rPr>
        <w:t xml:space="preserve"> as Ocean Decade Actions</w:t>
      </w:r>
      <w:r w:rsidR="00BC608B">
        <w:rPr>
          <w:rFonts w:cs="Arial"/>
          <w:color w:val="000000"/>
          <w:szCs w:val="22"/>
        </w:rPr>
        <w:t>;</w:t>
      </w:r>
    </w:p>
    <w:p w14:paraId="3C8B8048" w14:textId="630331BB" w:rsidR="00194C8E" w:rsidRPr="005F7740" w:rsidRDefault="00194C8E" w:rsidP="002D220F">
      <w:pPr>
        <w:pStyle w:val="b"/>
        <w:numPr>
          <w:ilvl w:val="0"/>
          <w:numId w:val="4"/>
        </w:numPr>
        <w:tabs>
          <w:tab w:val="clear" w:pos="1134"/>
        </w:tabs>
        <w:spacing w:line="480" w:lineRule="auto"/>
        <w:ind w:left="709" w:hanging="709"/>
        <w:rPr>
          <w:rFonts w:ascii="Arial" w:hAnsi="Arial" w:cs="Arial"/>
          <w:sz w:val="22"/>
          <w:szCs w:val="22"/>
        </w:rPr>
      </w:pPr>
      <w:r w:rsidRPr="00810164">
        <w:rPr>
          <w:rFonts w:ascii="Arial" w:hAnsi="Arial" w:cs="Arial"/>
          <w:b/>
          <w:bCs/>
          <w:sz w:val="22"/>
          <w:szCs w:val="22"/>
        </w:rPr>
        <w:t>Further invites</w:t>
      </w:r>
      <w:r w:rsidRPr="00D959FF">
        <w:rPr>
          <w:rFonts w:ascii="Arial" w:hAnsi="Arial" w:cs="Arial"/>
          <w:sz w:val="22"/>
          <w:szCs w:val="22"/>
        </w:rPr>
        <w:t xml:space="preserve"> Member States, partners, and donor</w:t>
      </w:r>
      <w:r w:rsidRPr="00810164">
        <w:rPr>
          <w:rFonts w:ascii="Arial" w:hAnsi="Arial" w:cs="Arial"/>
          <w:sz w:val="22"/>
          <w:szCs w:val="22"/>
        </w:rPr>
        <w:t xml:space="preserve"> organi</w:t>
      </w:r>
      <w:r w:rsidR="00BC608B">
        <w:rPr>
          <w:rFonts w:ascii="Arial" w:hAnsi="Arial" w:cs="Arial"/>
          <w:sz w:val="22"/>
          <w:szCs w:val="22"/>
        </w:rPr>
        <w:t>z</w:t>
      </w:r>
      <w:r w:rsidRPr="00810164">
        <w:rPr>
          <w:rFonts w:ascii="Arial" w:hAnsi="Arial" w:cs="Arial"/>
          <w:sz w:val="22"/>
          <w:szCs w:val="22"/>
        </w:rPr>
        <w:t>ations</w:t>
      </w:r>
      <w:r w:rsidRPr="00D959FF">
        <w:rPr>
          <w:rFonts w:ascii="Arial" w:hAnsi="Arial" w:cs="Arial"/>
          <w:sz w:val="22"/>
          <w:szCs w:val="22"/>
        </w:rPr>
        <w:t xml:space="preserve"> to </w:t>
      </w:r>
      <w:r w:rsidRPr="00810164">
        <w:rPr>
          <w:rFonts w:ascii="Arial" w:hAnsi="Arial" w:cs="Arial"/>
          <w:sz w:val="22"/>
          <w:szCs w:val="22"/>
        </w:rPr>
        <w:t xml:space="preserve">support these </w:t>
      </w:r>
      <w:r>
        <w:rPr>
          <w:rFonts w:ascii="Arial" w:hAnsi="Arial" w:cs="Arial"/>
          <w:sz w:val="22"/>
          <w:szCs w:val="22"/>
        </w:rPr>
        <w:t>Decade A</w:t>
      </w:r>
      <w:r w:rsidRPr="00810164">
        <w:rPr>
          <w:rFonts w:ascii="Arial" w:hAnsi="Arial" w:cs="Arial"/>
          <w:sz w:val="22"/>
          <w:szCs w:val="22"/>
        </w:rPr>
        <w:t xml:space="preserve">ctions including through </w:t>
      </w:r>
      <w:r>
        <w:rPr>
          <w:rFonts w:ascii="Arial" w:hAnsi="Arial" w:cs="Arial"/>
          <w:sz w:val="22"/>
          <w:szCs w:val="22"/>
        </w:rPr>
        <w:t xml:space="preserve">allocation of </w:t>
      </w:r>
      <w:r w:rsidRPr="00D959FF">
        <w:rPr>
          <w:rFonts w:ascii="Arial" w:hAnsi="Arial" w:cs="Arial"/>
          <w:sz w:val="22"/>
          <w:szCs w:val="22"/>
        </w:rPr>
        <w:t xml:space="preserve">extra-budgetary </w:t>
      </w:r>
      <w:r w:rsidRPr="00810164">
        <w:rPr>
          <w:rFonts w:ascii="Arial" w:hAnsi="Arial" w:cs="Arial"/>
          <w:sz w:val="22"/>
          <w:szCs w:val="22"/>
        </w:rPr>
        <w:t>resources</w:t>
      </w:r>
      <w:r w:rsidRPr="00D959FF">
        <w:rPr>
          <w:rFonts w:ascii="Arial" w:hAnsi="Arial" w:cs="Arial"/>
          <w:sz w:val="22"/>
          <w:szCs w:val="22"/>
        </w:rPr>
        <w:t xml:space="preserve"> </w:t>
      </w:r>
      <w:r>
        <w:rPr>
          <w:rFonts w:ascii="Arial" w:hAnsi="Arial" w:cs="Arial"/>
          <w:sz w:val="22"/>
          <w:szCs w:val="22"/>
        </w:rPr>
        <w:t xml:space="preserve">to relevant </w:t>
      </w:r>
      <w:r w:rsidRPr="00810164">
        <w:rPr>
          <w:rFonts w:ascii="Arial" w:hAnsi="Arial" w:cs="Arial"/>
          <w:sz w:val="22"/>
          <w:szCs w:val="22"/>
        </w:rPr>
        <w:t>IOC programmes</w:t>
      </w:r>
      <w:r>
        <w:rPr>
          <w:rFonts w:ascii="Arial" w:hAnsi="Arial" w:cs="Arial"/>
          <w:sz w:val="22"/>
          <w:szCs w:val="22"/>
        </w:rPr>
        <w:t xml:space="preserve"> to</w:t>
      </w:r>
      <w:r w:rsidRPr="00D959FF">
        <w:rPr>
          <w:rFonts w:ascii="Arial" w:hAnsi="Arial" w:cs="Arial"/>
          <w:sz w:val="22"/>
          <w:szCs w:val="22"/>
        </w:rPr>
        <w:t xml:space="preserve"> achieve their transformative ambitions, guide their respective communities</w:t>
      </w:r>
      <w:r>
        <w:rPr>
          <w:rFonts w:ascii="Arial" w:hAnsi="Arial" w:cs="Arial"/>
          <w:sz w:val="22"/>
          <w:szCs w:val="22"/>
        </w:rPr>
        <w:t>,</w:t>
      </w:r>
      <w:r w:rsidRPr="00D959FF">
        <w:rPr>
          <w:rFonts w:ascii="Arial" w:hAnsi="Arial" w:cs="Arial"/>
          <w:sz w:val="22"/>
          <w:szCs w:val="22"/>
        </w:rPr>
        <w:t xml:space="preserve"> and act as a catalyser of </w:t>
      </w:r>
      <w:r w:rsidRPr="00810164">
        <w:rPr>
          <w:rFonts w:ascii="Arial" w:hAnsi="Arial" w:cs="Arial"/>
          <w:sz w:val="22"/>
          <w:szCs w:val="22"/>
        </w:rPr>
        <w:t xml:space="preserve">further </w:t>
      </w:r>
      <w:r w:rsidRPr="00D959FF">
        <w:rPr>
          <w:rFonts w:ascii="Arial" w:hAnsi="Arial" w:cs="Arial"/>
          <w:sz w:val="22"/>
          <w:szCs w:val="22"/>
        </w:rPr>
        <w:t>action</w:t>
      </w:r>
      <w:r>
        <w:rPr>
          <w:rFonts w:ascii="Arial" w:hAnsi="Arial" w:cs="Arial"/>
          <w:sz w:val="22"/>
          <w:szCs w:val="22"/>
        </w:rPr>
        <w:t>s</w:t>
      </w:r>
      <w:r w:rsidRPr="00810164">
        <w:rPr>
          <w:rFonts w:ascii="Arial" w:hAnsi="Arial" w:cs="Arial"/>
          <w:sz w:val="22"/>
          <w:szCs w:val="22"/>
        </w:rPr>
        <w:t xml:space="preserve"> within and beyond the Decade.</w:t>
      </w:r>
    </w:p>
    <w:p w14:paraId="5C847ACD" w14:textId="4A2A58EF" w:rsidR="00366FB3" w:rsidRPr="00366FB3" w:rsidRDefault="00BC608B" w:rsidP="00B870A1">
      <w:pPr>
        <w:tabs>
          <w:tab w:val="clear" w:pos="567"/>
        </w:tabs>
        <w:snapToGrid/>
        <w:spacing w:after="240" w:line="259" w:lineRule="auto"/>
        <w:jc w:val="center"/>
        <w:rPr>
          <w:rFonts w:ascii="Arial" w:hAnsi="Arial" w:cs="Arial"/>
          <w:b/>
          <w:bCs/>
          <w:iCs/>
          <w:sz w:val="22"/>
          <w:szCs w:val="22"/>
          <w:lang w:val="en-US"/>
        </w:rPr>
      </w:pPr>
      <w:r w:rsidRPr="00366FB3">
        <w:rPr>
          <w:rFonts w:ascii="Arial" w:hAnsi="Arial" w:cs="Arial"/>
          <w:iCs/>
          <w:sz w:val="22"/>
          <w:szCs w:val="22"/>
          <w:lang w:val="en-US"/>
        </w:rPr>
        <w:t xml:space="preserve">Annex </w:t>
      </w:r>
      <w:r w:rsidR="00366FB3" w:rsidRPr="00366FB3">
        <w:rPr>
          <w:rFonts w:ascii="Arial" w:hAnsi="Arial" w:cs="Arial"/>
          <w:iCs/>
          <w:sz w:val="22"/>
          <w:szCs w:val="22"/>
          <w:lang w:val="en-US"/>
        </w:rPr>
        <w:t>1</w:t>
      </w:r>
      <w:r>
        <w:rPr>
          <w:rFonts w:ascii="Arial" w:hAnsi="Arial" w:cs="Arial"/>
          <w:iCs/>
          <w:sz w:val="22"/>
          <w:szCs w:val="22"/>
          <w:lang w:val="en-US"/>
        </w:rPr>
        <w:t xml:space="preserve"> to </w:t>
      </w:r>
      <w:r w:rsidRPr="00B870A1">
        <w:rPr>
          <w:rFonts w:ascii="Arial" w:hAnsi="Arial" w:cs="Arial"/>
          <w:iCs/>
          <w:sz w:val="22"/>
          <w:szCs w:val="22"/>
          <w:u w:val="single"/>
          <w:lang w:val="en-US"/>
        </w:rPr>
        <w:t>Resolution IOC-31/[3.7]</w:t>
      </w:r>
    </w:p>
    <w:p w14:paraId="6167F71E" w14:textId="77777777" w:rsidR="00366FB3" w:rsidRPr="00366FB3" w:rsidRDefault="00366FB3" w:rsidP="00B870A1">
      <w:pPr>
        <w:shd w:val="clear" w:color="auto" w:fill="FFFFFF"/>
        <w:tabs>
          <w:tab w:val="clear" w:pos="567"/>
          <w:tab w:val="left" w:pos="709"/>
        </w:tabs>
        <w:spacing w:after="240"/>
        <w:jc w:val="center"/>
        <w:rPr>
          <w:rFonts w:ascii="Arial" w:hAnsi="Arial" w:cs="Arial"/>
          <w:b/>
          <w:bCs/>
          <w:iCs/>
          <w:sz w:val="22"/>
          <w:szCs w:val="22"/>
          <w:lang w:val="en-US"/>
        </w:rPr>
      </w:pPr>
      <w:r w:rsidRPr="00366FB3">
        <w:rPr>
          <w:rFonts w:ascii="Arial" w:hAnsi="Arial" w:cs="Arial"/>
          <w:b/>
          <w:bCs/>
          <w:iCs/>
          <w:sz w:val="22"/>
          <w:szCs w:val="22"/>
        </w:rPr>
        <w:t xml:space="preserve">Advisory Board of the UN Decade of Ocean Science for Sustainable Development </w:t>
      </w:r>
      <w:r w:rsidRPr="00366FB3">
        <w:rPr>
          <w:rFonts w:ascii="Arial" w:hAnsi="Arial" w:cs="Arial"/>
          <w:b/>
          <w:bCs/>
          <w:iCs/>
          <w:sz w:val="22"/>
          <w:szCs w:val="22"/>
        </w:rPr>
        <w:br/>
        <w:t>(the Decade Advisory Board)</w:t>
      </w:r>
    </w:p>
    <w:p w14:paraId="6C802245" w14:textId="77777777" w:rsidR="00366FB3" w:rsidRPr="00366FB3" w:rsidRDefault="00366FB3" w:rsidP="00B870A1">
      <w:pPr>
        <w:shd w:val="clear" w:color="auto" w:fill="FFFFFF"/>
        <w:tabs>
          <w:tab w:val="clear" w:pos="567"/>
          <w:tab w:val="left" w:pos="709"/>
        </w:tabs>
        <w:spacing w:after="240"/>
        <w:jc w:val="center"/>
        <w:rPr>
          <w:rFonts w:ascii="Arial" w:hAnsi="Arial" w:cs="Arial"/>
          <w:b/>
          <w:bCs/>
          <w:iCs/>
          <w:sz w:val="22"/>
          <w:szCs w:val="22"/>
          <w:lang w:val="en-US"/>
        </w:rPr>
      </w:pPr>
      <w:r w:rsidRPr="00366FB3">
        <w:rPr>
          <w:rFonts w:ascii="Arial" w:hAnsi="Arial" w:cs="Arial"/>
          <w:b/>
          <w:bCs/>
          <w:iCs/>
          <w:sz w:val="22"/>
          <w:szCs w:val="22"/>
          <w:lang w:val="en-US"/>
        </w:rPr>
        <w:t>Terms of Reference</w:t>
      </w:r>
    </w:p>
    <w:p w14:paraId="0AAFB23F"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The Advisory Board of the UN Decade of Ocean Science for Sustainable Development (the “Decade Advisory Board”) is established as a technical advisory body to the Secretariat and Governing Bodies of the Intergovernmental Oceanographic Commission (IOC) of UNESCO. </w:t>
      </w:r>
    </w:p>
    <w:p w14:paraId="1155D40F" w14:textId="77777777" w:rsidR="00366FB3" w:rsidRPr="00366FB3" w:rsidRDefault="00366FB3" w:rsidP="00B870A1">
      <w:pPr>
        <w:tabs>
          <w:tab w:val="clear" w:pos="567"/>
        </w:tabs>
        <w:spacing w:after="240"/>
        <w:jc w:val="both"/>
        <w:rPr>
          <w:rFonts w:ascii="Arial" w:eastAsia="Arial" w:hAnsi="Arial" w:cs="Arial"/>
          <w:b/>
          <w:snapToGrid/>
          <w:sz w:val="22"/>
          <w:szCs w:val="22"/>
          <w:lang w:eastAsia="fr-FR"/>
        </w:rPr>
      </w:pPr>
      <w:r w:rsidRPr="00366FB3">
        <w:rPr>
          <w:rFonts w:ascii="Arial" w:eastAsia="Arial" w:hAnsi="Arial" w:cs="Arial"/>
          <w:b/>
          <w:snapToGrid/>
          <w:sz w:val="22"/>
          <w:szCs w:val="22"/>
          <w:lang w:eastAsia="fr-FR"/>
        </w:rPr>
        <w:t>Role of the</w:t>
      </w:r>
      <w:r w:rsidRPr="00366FB3">
        <w:rPr>
          <w:rFonts w:ascii="Arial" w:hAnsi="Arial" w:cs="Arial"/>
          <w:snapToGrid/>
          <w:sz w:val="22"/>
          <w:szCs w:val="22"/>
          <w:lang w:eastAsia="en-GB"/>
        </w:rPr>
        <w:t xml:space="preserve"> </w:t>
      </w:r>
      <w:r w:rsidRPr="00366FB3">
        <w:rPr>
          <w:rFonts w:ascii="Arial" w:eastAsia="Arial" w:hAnsi="Arial" w:cs="Arial"/>
          <w:b/>
          <w:snapToGrid/>
          <w:sz w:val="22"/>
          <w:szCs w:val="22"/>
          <w:lang w:eastAsia="fr-FR"/>
        </w:rPr>
        <w:t>Decade Advisory Board</w:t>
      </w:r>
    </w:p>
    <w:p w14:paraId="24B50DA1"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The Decade Advisory</w:t>
      </w:r>
      <w:r w:rsidRPr="00366FB3">
        <w:rPr>
          <w:rFonts w:ascii="Arial" w:hAnsi="Arial" w:cs="Arial"/>
          <w:snapToGrid/>
          <w:sz w:val="22"/>
          <w:szCs w:val="22"/>
          <w:lang w:eastAsia="en-GB"/>
        </w:rPr>
        <w:t xml:space="preserve"> </w:t>
      </w:r>
      <w:r w:rsidRPr="00366FB3">
        <w:rPr>
          <w:rFonts w:ascii="Arial" w:eastAsia="Arial" w:hAnsi="Arial" w:cs="Arial"/>
          <w:snapToGrid/>
          <w:sz w:val="22"/>
          <w:szCs w:val="22"/>
          <w:lang w:eastAsia="fr-FR"/>
        </w:rPr>
        <w:t>Board is responsible for providing direct advice to the IOC Executive Secretary on the implementation of the UN Decade of Ocean Science for Sustainable Development (‘the Ocean Decade’) over its ten-year implementation phase (2021–2030) with a focus on the endorsement of Decade Actions and scoping of Calls for Decade Actions, and reports to IOC Governing Bodies on strategic matters related to implementation of the Ocean Decade. Specifically, and in accordance with the Ocean Decade Implementation Plan, the Decade Advisory Board will:</w:t>
      </w:r>
    </w:p>
    <w:p w14:paraId="50D8AC95"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Review and make recommendations to the IOC Executive Secretary on the endorsement of Decade Programmes;</w:t>
      </w:r>
    </w:p>
    <w:p w14:paraId="2361BAD4"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Advise the IOC Executive Secretary on the scope of Calls for Actions under the Decade to support the mobilisation of proponents worldwide; </w:t>
      </w:r>
    </w:p>
    <w:p w14:paraId="774923AA"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i/>
          <w:iCs/>
          <w:snapToGrid/>
          <w:sz w:val="22"/>
          <w:szCs w:val="22"/>
          <w:lang w:eastAsia="fr-FR"/>
        </w:rPr>
      </w:pPr>
      <w:r w:rsidRPr="00366FB3">
        <w:rPr>
          <w:rFonts w:ascii="Arial" w:eastAsia="Arial" w:hAnsi="Arial" w:cs="Arial"/>
          <w:snapToGrid/>
          <w:sz w:val="22"/>
          <w:szCs w:val="22"/>
          <w:lang w:eastAsia="fr-FR"/>
        </w:rPr>
        <w:t xml:space="preserve">Review the regular resource needs assessments prepared by the Decade Coordination Unit and recommend approaches for resource mobilisation and support outreach efforts to potential funders, including Member States, multilateral development banks, climate financing mechanisms, philanthropic foundations, and the private sector in order to help create the enabling environment needed to achieve the ambitions of the Decade; </w:t>
      </w:r>
    </w:p>
    <w:p w14:paraId="4BEA29FE"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Advise on the engagement and outreach strategy of the Decade in order to help catalyse high-level interest and engagement among key stakeholders, including leaders from Member States, UN Agencies, business, civil society and academia to ensure that the scientific outputs of the Decade support the successful achievement of the UN Sustainable Development Goals; </w:t>
      </w:r>
    </w:p>
    <w:p w14:paraId="7159CB37"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Advise on the regular reviews to be undertaken subject to decision by IOC Governing Bodies, during the implementation phase, including review of the scientific objectives and orientations of the Implementation Plan, annual progress reports, and the mid-term and final reviews, and make recommendations on the results of such reviews, as requested;</w:t>
      </w:r>
    </w:p>
    <w:p w14:paraId="1CD5E3EF"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Advise on the engagement of relevant communities regarding contributions to the objectives of the Decade, with priority given to engaging early career ocean professionals and disadvantaged groups and regions and to the science-policy interface;</w:t>
      </w:r>
    </w:p>
    <w:p w14:paraId="5496117A"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Monitor the progress and review the outputs of any working groups established by the IOC Secretariat related to structural and cross-cutting operational elements of the Decade Implementation Plan;</w:t>
      </w:r>
    </w:p>
    <w:p w14:paraId="1C29645E"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Provide information to the IOC Executive Secretary to enable his reporting to the IOC Governing Bodies; </w:t>
      </w:r>
    </w:p>
    <w:p w14:paraId="7AFC24F7" w14:textId="77777777" w:rsidR="00366FB3" w:rsidRPr="00366FB3" w:rsidRDefault="00366FB3" w:rsidP="00B870A1">
      <w:pPr>
        <w:numPr>
          <w:ilvl w:val="0"/>
          <w:numId w:val="9"/>
        </w:numPr>
        <w:tabs>
          <w:tab w:val="clear" w:pos="567"/>
        </w:tabs>
        <w:snapToGrid/>
        <w:spacing w:before="240" w:after="240"/>
        <w:ind w:left="709" w:hanging="709"/>
        <w:jc w:val="both"/>
        <w:rPr>
          <w:rFonts w:ascii="Arial" w:eastAsia="Arial" w:hAnsi="Arial" w:cs="Arial"/>
          <w:b/>
          <w:snapToGrid/>
          <w:sz w:val="22"/>
          <w:szCs w:val="22"/>
          <w:lang w:eastAsia="fr-FR"/>
        </w:rPr>
      </w:pPr>
      <w:r w:rsidRPr="00366FB3">
        <w:rPr>
          <w:rFonts w:ascii="Arial" w:eastAsia="Arial" w:hAnsi="Arial" w:cs="Arial"/>
          <w:snapToGrid/>
          <w:sz w:val="22"/>
          <w:szCs w:val="22"/>
          <w:lang w:eastAsia="fr-FR"/>
        </w:rPr>
        <w:t>Report as needed to the Governing Bodies in relation to strategic issues.</w:t>
      </w:r>
    </w:p>
    <w:p w14:paraId="36230820" w14:textId="60D24483" w:rsidR="00366FB3" w:rsidRPr="00366FB3" w:rsidRDefault="00366FB3" w:rsidP="00B870A1">
      <w:pPr>
        <w:tabs>
          <w:tab w:val="clear" w:pos="567"/>
        </w:tabs>
        <w:spacing w:after="240"/>
        <w:rPr>
          <w:rFonts w:ascii="Arial" w:eastAsia="Arial" w:hAnsi="Arial" w:cs="Arial"/>
          <w:snapToGrid/>
          <w:sz w:val="22"/>
          <w:szCs w:val="22"/>
          <w:lang w:eastAsia="fr-FR"/>
        </w:rPr>
      </w:pPr>
      <w:r w:rsidRPr="00366FB3">
        <w:rPr>
          <w:rFonts w:ascii="Arial" w:eastAsia="Arial" w:hAnsi="Arial" w:cs="Arial"/>
          <w:b/>
          <w:snapToGrid/>
          <w:sz w:val="22"/>
          <w:szCs w:val="22"/>
          <w:lang w:val="en-US" w:eastAsia="fr-FR"/>
        </w:rPr>
        <w:t>Chairing of the Decade Advisory Board</w:t>
      </w:r>
    </w:p>
    <w:p w14:paraId="78FB78C8"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The Decade Advisory Board will appoint two Co-chairs amongst its members, ideally one representing the science fields and another one representing the societal end-users of the Decade. The Co-chairs will be appointed by the IOC Executive Secretary for one year with the possibility of a second one-year term.</w:t>
      </w:r>
    </w:p>
    <w:p w14:paraId="62558398" w14:textId="77777777" w:rsidR="00366FB3" w:rsidRPr="00366FB3" w:rsidRDefault="00366FB3" w:rsidP="00B870A1">
      <w:pPr>
        <w:keepNext/>
        <w:tabs>
          <w:tab w:val="clear" w:pos="567"/>
        </w:tabs>
        <w:spacing w:after="240"/>
        <w:rPr>
          <w:rFonts w:ascii="Arial" w:eastAsia="Arial" w:hAnsi="Arial" w:cs="Arial"/>
          <w:b/>
          <w:snapToGrid/>
          <w:sz w:val="22"/>
          <w:szCs w:val="22"/>
          <w:lang w:val="en-US" w:eastAsia="fr-FR"/>
        </w:rPr>
      </w:pPr>
      <w:r w:rsidRPr="00366FB3">
        <w:rPr>
          <w:rFonts w:ascii="Arial" w:eastAsia="Arial" w:hAnsi="Arial" w:cs="Arial"/>
          <w:b/>
          <w:snapToGrid/>
          <w:sz w:val="22"/>
          <w:szCs w:val="22"/>
          <w:lang w:val="en-US" w:eastAsia="fr-FR"/>
        </w:rPr>
        <w:t>Decision-making process and organization of work</w:t>
      </w:r>
    </w:p>
    <w:p w14:paraId="05A650A3"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The Decade Advisory Board will strive for consensus on all issues in providing recommendations and advice to the IOC Executive Secretary. The minutes of the meeting will record any instances when consensus was not reached. </w:t>
      </w:r>
    </w:p>
    <w:p w14:paraId="58703EB3"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The working language of the Board will be English. No interpretation will be provided. </w:t>
      </w:r>
    </w:p>
    <w:p w14:paraId="65224FC9" w14:textId="3E960DE7" w:rsidR="00366FB3" w:rsidRPr="00366FB3" w:rsidRDefault="00DA63F7" w:rsidP="00B870A1">
      <w:pPr>
        <w:tabs>
          <w:tab w:val="clear" w:pos="567"/>
        </w:tabs>
        <w:spacing w:after="240"/>
        <w:jc w:val="both"/>
        <w:rPr>
          <w:rFonts w:ascii="Arial" w:eastAsia="Arial" w:hAnsi="Arial" w:cs="Arial"/>
          <w:b/>
          <w:snapToGrid/>
          <w:sz w:val="22"/>
          <w:szCs w:val="22"/>
          <w:lang w:eastAsia="fr-FR"/>
        </w:rPr>
      </w:pPr>
      <w:r>
        <w:rPr>
          <w:rFonts w:ascii="Arial" w:eastAsia="Arial" w:hAnsi="Arial" w:cs="Arial"/>
          <w:b/>
          <w:bCs/>
          <w:snapToGrid/>
          <w:sz w:val="22"/>
          <w:szCs w:val="22"/>
          <w:lang w:eastAsia="fr-FR"/>
        </w:rPr>
        <w:br/>
      </w:r>
      <w:r w:rsidR="00366FB3" w:rsidRPr="00366FB3">
        <w:rPr>
          <w:rFonts w:ascii="Arial" w:eastAsia="Arial" w:hAnsi="Arial" w:cs="Arial"/>
          <w:b/>
          <w:bCs/>
          <w:snapToGrid/>
          <w:sz w:val="22"/>
          <w:szCs w:val="22"/>
          <w:lang w:eastAsia="fr-FR"/>
        </w:rPr>
        <w:t xml:space="preserve">Decade Advisory </w:t>
      </w:r>
      <w:r w:rsidR="00366FB3" w:rsidRPr="00366FB3">
        <w:rPr>
          <w:rFonts w:ascii="Arial" w:eastAsia="Arial" w:hAnsi="Arial" w:cs="Arial"/>
          <w:b/>
          <w:snapToGrid/>
          <w:sz w:val="22"/>
          <w:szCs w:val="22"/>
          <w:lang w:eastAsia="fr-FR"/>
        </w:rPr>
        <w:t>Board Composition</w:t>
      </w:r>
    </w:p>
    <w:p w14:paraId="705BCE66" w14:textId="77777777" w:rsidR="00366FB3" w:rsidRPr="00366FB3" w:rsidRDefault="00366FB3" w:rsidP="00B870A1">
      <w:pPr>
        <w:tabs>
          <w:tab w:val="clear" w:pos="567"/>
        </w:tabs>
        <w:spacing w:after="12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The Decade Advisory Board will comprise up to 15 expert members serving in their individual capacity drawn from government, private sector, philanthropy, civil society, and the scientific community, as well as representatives of UN Agencies. In total, the Decade Advisory Board should not exceed 20 members, including Expert members and UN representatives. Expert members will be nominated through open calls for nominations. The calls will be circulated through the following means:</w:t>
      </w:r>
    </w:p>
    <w:p w14:paraId="0D0A0CFA" w14:textId="77777777" w:rsidR="00366FB3" w:rsidRPr="00366FB3" w:rsidRDefault="00366FB3" w:rsidP="00B870A1">
      <w:pPr>
        <w:numPr>
          <w:ilvl w:val="0"/>
          <w:numId w:val="8"/>
        </w:numPr>
        <w:tabs>
          <w:tab w:val="clear" w:pos="567"/>
        </w:tabs>
        <w:snapToGrid/>
        <w:spacing w:after="120"/>
        <w:ind w:hanging="72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IOC Member States via IOC Circular Letters;</w:t>
      </w:r>
    </w:p>
    <w:p w14:paraId="55A09847" w14:textId="77777777" w:rsidR="00366FB3" w:rsidRPr="00366FB3" w:rsidRDefault="00366FB3" w:rsidP="00B870A1">
      <w:pPr>
        <w:numPr>
          <w:ilvl w:val="0"/>
          <w:numId w:val="8"/>
        </w:numPr>
        <w:tabs>
          <w:tab w:val="clear" w:pos="567"/>
        </w:tabs>
        <w:snapToGrid/>
        <w:spacing w:after="120"/>
        <w:ind w:hanging="720"/>
        <w:jc w:val="both"/>
        <w:rPr>
          <w:rFonts w:ascii="Arial" w:eastAsia="Arial" w:hAnsi="Arial" w:cs="Arial"/>
          <w:snapToGrid/>
          <w:sz w:val="22"/>
          <w:szCs w:val="22"/>
          <w:lang w:val="fr-FR" w:eastAsia="fr-FR"/>
        </w:rPr>
      </w:pPr>
      <w:r w:rsidRPr="00366FB3">
        <w:rPr>
          <w:rFonts w:ascii="Arial" w:eastAsia="Arial" w:hAnsi="Arial" w:cs="Arial"/>
          <w:snapToGrid/>
          <w:sz w:val="22"/>
          <w:szCs w:val="22"/>
          <w:lang w:val="fr-FR" w:eastAsia="fr-FR"/>
        </w:rPr>
        <w:t>Relevant UN bodies via UN-Oceans;</w:t>
      </w:r>
    </w:p>
    <w:p w14:paraId="0CFEC43F" w14:textId="77777777" w:rsidR="00366FB3" w:rsidRPr="00366FB3" w:rsidRDefault="00366FB3" w:rsidP="00B870A1">
      <w:pPr>
        <w:numPr>
          <w:ilvl w:val="0"/>
          <w:numId w:val="8"/>
        </w:numPr>
        <w:tabs>
          <w:tab w:val="clear" w:pos="567"/>
        </w:tabs>
        <w:snapToGrid/>
        <w:spacing w:after="120"/>
        <w:ind w:hanging="72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Scientific networks using formal and informal communication mechanisms;</w:t>
      </w:r>
    </w:p>
    <w:p w14:paraId="24BB604F" w14:textId="77777777" w:rsidR="00366FB3" w:rsidRPr="00366FB3" w:rsidRDefault="00366FB3" w:rsidP="00B870A1">
      <w:pPr>
        <w:numPr>
          <w:ilvl w:val="0"/>
          <w:numId w:val="8"/>
        </w:numPr>
        <w:tabs>
          <w:tab w:val="clear" w:pos="567"/>
        </w:tabs>
        <w:snapToGrid/>
        <w:spacing w:after="120"/>
        <w:ind w:hanging="72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Dedicated ocean policy, business, and sustainable development networks through announcements; and</w:t>
      </w:r>
    </w:p>
    <w:p w14:paraId="436A6BC0" w14:textId="77777777" w:rsidR="00366FB3" w:rsidRPr="00366FB3" w:rsidRDefault="00366FB3" w:rsidP="00B870A1">
      <w:pPr>
        <w:numPr>
          <w:ilvl w:val="0"/>
          <w:numId w:val="8"/>
        </w:numPr>
        <w:tabs>
          <w:tab w:val="clear" w:pos="567"/>
        </w:tabs>
        <w:snapToGrid/>
        <w:spacing w:before="240" w:after="240"/>
        <w:ind w:hanging="72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The Ocean Decade and IOC website.</w:t>
      </w:r>
    </w:p>
    <w:p w14:paraId="64B46F4D"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Proposals for nominations can be made by IOC-UNESCO and United Nations Member States or United Nations entities, as well as intergovernmental organizations. Self-nomination will also be possible to encourage nominations from non-governmental entities.</w:t>
      </w:r>
    </w:p>
    <w:p w14:paraId="791ED2E8"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Expert members will be selected with due consideration to expertise, geographic, generational, and gender balance and will serve on a voluntary basis in their personal capacities. Decade Advisory Board members do not represent their institutions or countries. They should be able to commit sufficient time to the work of the Decade Advisory Board and will take the responsibility to request the authorization of their employer to participate in this process.</w:t>
      </w:r>
    </w:p>
    <w:p w14:paraId="2E8E0ABD" w14:textId="6033ACB8" w:rsidR="00366FB3" w:rsidRDefault="00366FB3" w:rsidP="00B870A1">
      <w:pPr>
        <w:tabs>
          <w:tab w:val="clear" w:pos="567"/>
        </w:tabs>
        <w:snapToGrid/>
        <w:spacing w:after="240"/>
        <w:rPr>
          <w:rFonts w:ascii="Arial" w:eastAsia="Arial" w:hAnsi="Arial" w:cs="Arial"/>
          <w:snapToGrid/>
          <w:sz w:val="22"/>
          <w:szCs w:val="22"/>
          <w:lang w:eastAsia="fr-FR"/>
        </w:rPr>
      </w:pPr>
      <w:r w:rsidRPr="00366FB3">
        <w:rPr>
          <w:rFonts w:ascii="Arial" w:eastAsia="Arial" w:hAnsi="Arial" w:cs="Arial"/>
          <w:snapToGrid/>
          <w:sz w:val="22"/>
          <w:szCs w:val="22"/>
          <w:lang w:eastAsia="fr-FR"/>
        </w:rPr>
        <w:t xml:space="preserve">Membership on the Decade Advisory Board will be for a two-year term, renewable for a second mandate. </w:t>
      </w:r>
      <w:r w:rsidR="00C65FAD" w:rsidRPr="00B870A1">
        <w:rPr>
          <w:rFonts w:ascii="Arial" w:hAnsi="Arial" w:cs="Arial"/>
          <w:snapToGrid/>
          <w:color w:val="000000" w:themeColor="text1"/>
          <w:sz w:val="22"/>
          <w:szCs w:val="22"/>
          <w:lang w:eastAsia="en-GB"/>
        </w:rPr>
        <w:t>Members' terms will be staggered to ensure there is information exchange and mentoring between current and new Board members. Operational procedures for this process will be defined with the Board and its co-chairs</w:t>
      </w:r>
      <w:r w:rsidR="00C65FAD" w:rsidRPr="00B870A1">
        <w:rPr>
          <w:rFonts w:ascii="Arial" w:hAnsi="Arial" w:cs="Arial"/>
          <w:snapToGrid/>
          <w:color w:val="000000" w:themeColor="text1"/>
          <w:sz w:val="22"/>
          <w:szCs w:val="22"/>
          <w:lang w:val="en-US" w:eastAsia="en-GB"/>
        </w:rPr>
        <w:t>.</w:t>
      </w:r>
    </w:p>
    <w:p w14:paraId="1A3EC343"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Each Member shall comply with the Conflict of Interest guidelines to be prepared by the Secretariat and notify the Decade Coordination Unit with respect to any such potential conflicts.</w:t>
      </w:r>
    </w:p>
    <w:p w14:paraId="74D5A991" w14:textId="77777777" w:rsidR="00366FB3" w:rsidRPr="00366FB3" w:rsidRDefault="00366FB3" w:rsidP="00B870A1">
      <w:pPr>
        <w:tabs>
          <w:tab w:val="clear" w:pos="567"/>
        </w:tabs>
        <w:spacing w:after="240"/>
        <w:jc w:val="both"/>
        <w:rPr>
          <w:rFonts w:ascii="Arial" w:hAnsi="Arial" w:cs="Arial"/>
          <w:snapToGrid/>
          <w:sz w:val="22"/>
          <w:szCs w:val="22"/>
          <w:lang w:eastAsia="en-GB"/>
        </w:rPr>
      </w:pPr>
      <w:r w:rsidRPr="00366FB3">
        <w:rPr>
          <w:rFonts w:ascii="Arial" w:eastAsia="Arial" w:hAnsi="Arial" w:cs="Arial"/>
          <w:snapToGrid/>
          <w:sz w:val="22"/>
          <w:szCs w:val="22"/>
          <w:lang w:eastAsia="fr-FR"/>
        </w:rPr>
        <w:t xml:space="preserve">A Selection Panel convened by the IOC Executive Secretary and composed of the IOC Chair and elected IOC Officers representing the five IOC electoral groups, with the technical support of the Decade Coordination Unit, will be tasked with selecting the members of the Decade Advisory Board. </w:t>
      </w:r>
      <w:r w:rsidRPr="00366FB3">
        <w:rPr>
          <w:rFonts w:ascii="Arial" w:eastAsia="Arial" w:hAnsi="Arial" w:cs="Arial"/>
          <w:snapToGrid/>
          <w:sz w:val="22"/>
          <w:szCs w:val="22"/>
          <w:lang w:val="en-US" w:eastAsia="fr-FR"/>
        </w:rPr>
        <w:t xml:space="preserve"> </w:t>
      </w:r>
    </w:p>
    <w:p w14:paraId="43D723C6" w14:textId="77777777" w:rsidR="00366FB3" w:rsidRPr="00366FB3" w:rsidRDefault="00366FB3" w:rsidP="00B870A1">
      <w:pPr>
        <w:tabs>
          <w:tab w:val="clear" w:pos="567"/>
        </w:tabs>
        <w:spacing w:after="120"/>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The Selection Panel will ensure that the proposed members have sufficient skills, knowledge, influence and impartiality regarding the vision and objectives of the Decade and are able to undertake the work outlined in the terms of reference. Their skills and expertise should cover at least one of the following areas:</w:t>
      </w:r>
    </w:p>
    <w:p w14:paraId="2F8445C3"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Intergovernmental processes and coordination;</w:t>
      </w:r>
    </w:p>
    <w:p w14:paraId="007513B9"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The ocean aspects of sustainable development;</w:t>
      </w:r>
    </w:p>
    <w:p w14:paraId="2682576E"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val="fr-FR" w:eastAsia="fr-FR"/>
        </w:rPr>
      </w:pPr>
      <w:r w:rsidRPr="00366FB3">
        <w:rPr>
          <w:rFonts w:ascii="Arial" w:eastAsia="Arial" w:hAnsi="Arial" w:cs="Arial"/>
          <w:snapToGrid/>
          <w:color w:val="000000"/>
          <w:sz w:val="22"/>
          <w:szCs w:val="22"/>
          <w:lang w:val="fr-FR" w:eastAsia="fr-FR"/>
        </w:rPr>
        <w:t>Ocean science (natural / social dimensions);</w:t>
      </w:r>
    </w:p>
    <w:p w14:paraId="7160EBC7"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Science-policy / decision / end-user interface and engagement;</w:t>
      </w:r>
    </w:p>
    <w:p w14:paraId="2E422E50"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Ocean Economy / finance/ partnerships;</w:t>
      </w:r>
    </w:p>
    <w:p w14:paraId="3BF77C6B"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 xml:space="preserve">Innovation / technology/ </w:t>
      </w:r>
      <w:r w:rsidRPr="00366FB3">
        <w:rPr>
          <w:rFonts w:ascii="Arial" w:eastAsia="Arial" w:hAnsi="Arial" w:cs="Arial"/>
          <w:snapToGrid/>
          <w:color w:val="000000"/>
          <w:sz w:val="22"/>
          <w:szCs w:val="22"/>
          <w:lang w:val="en-US" w:eastAsia="fr-FR"/>
        </w:rPr>
        <w:t>infrastructure development;</w:t>
      </w:r>
    </w:p>
    <w:p w14:paraId="206CE80B" w14:textId="77777777" w:rsidR="00366FB3" w:rsidRPr="00366FB3" w:rsidRDefault="00366FB3" w:rsidP="00B870A1">
      <w:pPr>
        <w:numPr>
          <w:ilvl w:val="0"/>
          <w:numId w:val="10"/>
        </w:numPr>
        <w:tabs>
          <w:tab w:val="clear" w:pos="567"/>
        </w:tabs>
        <w:snapToGrid/>
        <w:spacing w:after="120"/>
        <w:ind w:left="709" w:hanging="709"/>
        <w:jc w:val="both"/>
        <w:rPr>
          <w:rFonts w:ascii="Arial" w:eastAsia="Arial" w:hAnsi="Arial" w:cs="Arial"/>
          <w:snapToGrid/>
          <w:color w:val="000000"/>
          <w:sz w:val="22"/>
          <w:szCs w:val="22"/>
          <w:lang w:eastAsia="fr-FR"/>
        </w:rPr>
      </w:pPr>
      <w:r w:rsidRPr="00366FB3">
        <w:rPr>
          <w:rFonts w:ascii="Arial" w:eastAsia="Arial" w:hAnsi="Arial" w:cs="Arial"/>
          <w:snapToGrid/>
          <w:color w:val="000000"/>
          <w:sz w:val="22"/>
          <w:szCs w:val="22"/>
          <w:lang w:eastAsia="fr-FR"/>
        </w:rPr>
        <w:t>Capacity development, training and transfer or marine technology, education, communications and outreach; and/or</w:t>
      </w:r>
    </w:p>
    <w:p w14:paraId="0D0EB94D" w14:textId="77777777" w:rsidR="00366FB3" w:rsidRPr="00366FB3" w:rsidRDefault="00366FB3" w:rsidP="00B870A1">
      <w:pPr>
        <w:numPr>
          <w:ilvl w:val="0"/>
          <w:numId w:val="10"/>
        </w:numPr>
        <w:tabs>
          <w:tab w:val="clear" w:pos="567"/>
        </w:tabs>
        <w:snapToGrid/>
        <w:spacing w:after="240"/>
        <w:ind w:left="709" w:hanging="709"/>
        <w:jc w:val="both"/>
        <w:rPr>
          <w:rFonts w:ascii="Arial" w:eastAsia="Arial" w:hAnsi="Arial" w:cs="Arial"/>
          <w:b/>
          <w:snapToGrid/>
          <w:color w:val="000000"/>
          <w:sz w:val="22"/>
          <w:szCs w:val="22"/>
          <w:lang w:eastAsia="fr-FR"/>
        </w:rPr>
      </w:pPr>
      <w:r w:rsidRPr="00366FB3">
        <w:rPr>
          <w:rFonts w:ascii="Arial" w:eastAsia="Arial" w:hAnsi="Arial" w:cs="Arial"/>
          <w:snapToGrid/>
          <w:color w:val="000000"/>
          <w:sz w:val="22"/>
          <w:szCs w:val="22"/>
          <w:lang w:eastAsia="fr-FR"/>
        </w:rPr>
        <w:t>Development of large-scale multi/inter-disciplinary international programmes / projects.</w:t>
      </w:r>
    </w:p>
    <w:p w14:paraId="08E78782" w14:textId="77777777" w:rsidR="00366FB3" w:rsidRPr="00366FB3" w:rsidRDefault="00366FB3" w:rsidP="00B870A1">
      <w:pPr>
        <w:tabs>
          <w:tab w:val="clear" w:pos="567"/>
        </w:tabs>
        <w:spacing w:after="240"/>
        <w:jc w:val="both"/>
        <w:rPr>
          <w:rFonts w:ascii="Arial" w:eastAsia="Arial" w:hAnsi="Arial" w:cs="Arial"/>
          <w:b/>
          <w:snapToGrid/>
          <w:sz w:val="22"/>
          <w:szCs w:val="22"/>
          <w:lang w:eastAsia="fr-FR"/>
        </w:rPr>
      </w:pPr>
      <w:r w:rsidRPr="00366FB3">
        <w:rPr>
          <w:rFonts w:ascii="Arial" w:eastAsia="Arial" w:hAnsi="Arial" w:cs="Arial"/>
          <w:b/>
          <w:snapToGrid/>
          <w:sz w:val="22"/>
          <w:szCs w:val="22"/>
          <w:lang w:eastAsia="fr-FR"/>
        </w:rPr>
        <w:t xml:space="preserve">UN Agencies representation on the </w:t>
      </w:r>
      <w:r w:rsidRPr="00366FB3">
        <w:rPr>
          <w:rFonts w:ascii="Arial" w:eastAsia="Arial" w:hAnsi="Arial" w:cs="Arial"/>
          <w:b/>
          <w:bCs/>
          <w:snapToGrid/>
          <w:sz w:val="22"/>
          <w:szCs w:val="22"/>
          <w:lang w:eastAsia="fr-FR"/>
        </w:rPr>
        <w:t xml:space="preserve">Decade Advisory </w:t>
      </w:r>
      <w:r w:rsidRPr="00366FB3">
        <w:rPr>
          <w:rFonts w:ascii="Arial" w:eastAsia="Arial" w:hAnsi="Arial" w:cs="Arial"/>
          <w:b/>
          <w:snapToGrid/>
          <w:sz w:val="22"/>
          <w:szCs w:val="22"/>
          <w:lang w:eastAsia="fr-FR"/>
        </w:rPr>
        <w:t xml:space="preserve">Board </w:t>
      </w:r>
    </w:p>
    <w:p w14:paraId="3546331C"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bookmarkStart w:id="0" w:name="_Hlk72486024"/>
      <w:r w:rsidRPr="00366FB3">
        <w:rPr>
          <w:rFonts w:ascii="Arial" w:eastAsia="Arial" w:hAnsi="Arial" w:cs="Arial"/>
          <w:snapToGrid/>
          <w:sz w:val="22"/>
          <w:szCs w:val="22"/>
          <w:lang w:eastAsia="fr-FR"/>
        </w:rPr>
        <w:t>UN Legal Counsel/DOALOS, which is the Secretariat and focal point of UN-Oceans and the United Nations Convention on the Laws of the Sea</w:t>
      </w:r>
      <w:bookmarkEnd w:id="0"/>
      <w:r w:rsidRPr="00366FB3">
        <w:rPr>
          <w:rFonts w:ascii="Arial" w:eastAsia="Arial" w:hAnsi="Arial" w:cs="Arial"/>
          <w:snapToGrid/>
          <w:sz w:val="22"/>
          <w:szCs w:val="22"/>
          <w:lang w:eastAsia="fr-FR"/>
        </w:rPr>
        <w:t xml:space="preserve">, </w:t>
      </w:r>
      <w:bookmarkStart w:id="1" w:name="_Hlk72486047"/>
      <w:r w:rsidRPr="00366FB3">
        <w:rPr>
          <w:rFonts w:ascii="Arial" w:eastAsia="Arial" w:hAnsi="Arial" w:cs="Arial"/>
          <w:snapToGrid/>
          <w:sz w:val="22"/>
          <w:szCs w:val="22"/>
          <w:lang w:eastAsia="fr-FR"/>
        </w:rPr>
        <w:t>will have one permanent seat on the Decade Advisory Board</w:t>
      </w:r>
      <w:bookmarkEnd w:id="1"/>
      <w:r w:rsidRPr="00366FB3">
        <w:rPr>
          <w:rFonts w:ascii="Arial" w:eastAsia="Arial" w:hAnsi="Arial" w:cs="Arial"/>
          <w:snapToGrid/>
          <w:sz w:val="22"/>
          <w:szCs w:val="22"/>
          <w:lang w:eastAsia="fr-FR"/>
        </w:rPr>
        <w:t xml:space="preserve">. The IOC Secretariat as coordinator of the Decade will also have a permanent seat on the Board. Three more seats will be reserved for UN Agencies and will be identified through consultations via UN-Oceans. </w:t>
      </w:r>
    </w:p>
    <w:p w14:paraId="61238B71" w14:textId="77777777" w:rsidR="00366FB3" w:rsidRPr="00366FB3" w:rsidRDefault="00366FB3" w:rsidP="00B870A1">
      <w:pPr>
        <w:tabs>
          <w:tab w:val="clear" w:pos="567"/>
        </w:tabs>
        <w:spacing w:after="240"/>
        <w:jc w:val="both"/>
        <w:rPr>
          <w:rFonts w:ascii="Arial" w:eastAsia="Arial" w:hAnsi="Arial" w:cs="Arial"/>
          <w:b/>
          <w:snapToGrid/>
          <w:sz w:val="22"/>
          <w:szCs w:val="22"/>
          <w:lang w:eastAsia="fr-FR"/>
        </w:rPr>
      </w:pPr>
      <w:r w:rsidRPr="00366FB3">
        <w:rPr>
          <w:rFonts w:ascii="Arial" w:eastAsia="Arial" w:hAnsi="Arial" w:cs="Arial"/>
          <w:b/>
          <w:snapToGrid/>
          <w:sz w:val="22"/>
          <w:szCs w:val="22"/>
          <w:lang w:eastAsia="fr-FR"/>
        </w:rPr>
        <w:t>Secretariat of the Decade Advisory Board</w:t>
      </w:r>
    </w:p>
    <w:p w14:paraId="2BA958D3" w14:textId="77777777" w:rsidR="00366FB3" w:rsidRPr="00366FB3" w:rsidRDefault="00366FB3" w:rsidP="00B870A1">
      <w:pPr>
        <w:tabs>
          <w:tab w:val="clear" w:pos="567"/>
        </w:tabs>
        <w:spacing w:after="240"/>
        <w:jc w:val="both"/>
        <w:rPr>
          <w:rFonts w:ascii="Arial" w:eastAsia="Arial" w:hAnsi="Arial" w:cs="Arial"/>
          <w:snapToGrid/>
          <w:sz w:val="22"/>
          <w:szCs w:val="22"/>
          <w:lang w:eastAsia="fr-FR"/>
        </w:rPr>
      </w:pPr>
      <w:r w:rsidRPr="00366FB3">
        <w:rPr>
          <w:rFonts w:ascii="Arial" w:eastAsia="Arial" w:hAnsi="Arial" w:cs="Arial"/>
          <w:snapToGrid/>
          <w:sz w:val="22"/>
          <w:szCs w:val="22"/>
          <w:lang w:eastAsia="fr-FR"/>
        </w:rPr>
        <w:t>The Decade Coordination Unit located within the IOC Secretariat will be the Secretariat for the Decade Advisory Board.</w:t>
      </w:r>
    </w:p>
    <w:p w14:paraId="1AC16A46" w14:textId="77777777" w:rsidR="00366FB3" w:rsidRPr="00366FB3" w:rsidRDefault="00366FB3" w:rsidP="00B870A1">
      <w:pPr>
        <w:tabs>
          <w:tab w:val="clear" w:pos="567"/>
        </w:tabs>
        <w:spacing w:after="240"/>
        <w:jc w:val="both"/>
        <w:rPr>
          <w:rFonts w:ascii="Arial" w:eastAsia="Arial" w:hAnsi="Arial" w:cs="Arial"/>
          <w:b/>
          <w:snapToGrid/>
          <w:sz w:val="22"/>
          <w:szCs w:val="22"/>
          <w:lang w:eastAsia="fr-FR"/>
        </w:rPr>
      </w:pPr>
      <w:r w:rsidRPr="00366FB3">
        <w:rPr>
          <w:rFonts w:ascii="Arial" w:eastAsia="Arial" w:hAnsi="Arial" w:cs="Arial"/>
          <w:b/>
          <w:snapToGrid/>
          <w:sz w:val="22"/>
          <w:szCs w:val="22"/>
          <w:lang w:eastAsia="fr-FR"/>
        </w:rPr>
        <w:t>Meetings of the Decade Advisory Board</w:t>
      </w:r>
    </w:p>
    <w:p w14:paraId="0916CE2F" w14:textId="77777777" w:rsidR="00366FB3" w:rsidRPr="00366FB3" w:rsidRDefault="00366FB3" w:rsidP="00B870A1">
      <w:pPr>
        <w:tabs>
          <w:tab w:val="clear" w:pos="567"/>
          <w:tab w:val="left" w:pos="2940"/>
        </w:tabs>
        <w:spacing w:after="240"/>
        <w:jc w:val="both"/>
        <w:rPr>
          <w:rFonts w:ascii="Arial" w:eastAsia="Arial" w:hAnsi="Arial" w:cs="Arial"/>
          <w:bCs/>
          <w:snapToGrid/>
          <w:sz w:val="22"/>
          <w:szCs w:val="22"/>
          <w:lang w:eastAsia="fr-FR"/>
        </w:rPr>
      </w:pPr>
      <w:r w:rsidRPr="00366FB3">
        <w:rPr>
          <w:rFonts w:ascii="Arial" w:eastAsia="Arial" w:hAnsi="Arial" w:cs="Arial"/>
          <w:bCs/>
          <w:snapToGrid/>
          <w:sz w:val="22"/>
          <w:szCs w:val="22"/>
          <w:lang w:eastAsia="fr-FR"/>
        </w:rPr>
        <w:t xml:space="preserve">The </w:t>
      </w:r>
      <w:r w:rsidRPr="00366FB3">
        <w:rPr>
          <w:rFonts w:ascii="Arial" w:eastAsia="Arial" w:hAnsi="Arial" w:cs="Arial"/>
          <w:snapToGrid/>
          <w:sz w:val="22"/>
          <w:szCs w:val="22"/>
          <w:lang w:eastAsia="fr-FR"/>
        </w:rPr>
        <w:t>Decade Advisory</w:t>
      </w:r>
      <w:r w:rsidRPr="00366FB3">
        <w:rPr>
          <w:rFonts w:ascii="Arial" w:eastAsia="Arial" w:hAnsi="Arial" w:cs="Arial"/>
          <w:bCs/>
          <w:snapToGrid/>
          <w:sz w:val="22"/>
          <w:szCs w:val="22"/>
          <w:lang w:eastAsia="fr-FR"/>
        </w:rPr>
        <w:t xml:space="preserve"> Board shall meet four (4) times per year, with at least one (1) in presentia meeting annually when possible. Additional in-person or virtual meetings will be held as necessary. The Co-chairs of the </w:t>
      </w:r>
      <w:r w:rsidRPr="00366FB3">
        <w:rPr>
          <w:rFonts w:ascii="Arial" w:eastAsia="Arial" w:hAnsi="Arial" w:cs="Arial"/>
          <w:snapToGrid/>
          <w:sz w:val="22"/>
          <w:szCs w:val="22"/>
          <w:lang w:eastAsia="fr-FR"/>
        </w:rPr>
        <w:t>Decade Advisory</w:t>
      </w:r>
      <w:r w:rsidRPr="00366FB3">
        <w:rPr>
          <w:rFonts w:ascii="Arial" w:eastAsia="Arial" w:hAnsi="Arial" w:cs="Arial"/>
          <w:bCs/>
          <w:snapToGrid/>
          <w:sz w:val="22"/>
          <w:szCs w:val="22"/>
          <w:lang w:eastAsia="fr-FR"/>
        </w:rPr>
        <w:t xml:space="preserve"> Board will be primarily responsible for the development of the Board Meeting Agenda and directing the </w:t>
      </w:r>
      <w:r w:rsidRPr="00366FB3">
        <w:rPr>
          <w:rFonts w:ascii="Arial" w:eastAsia="Arial" w:hAnsi="Arial" w:cs="Arial"/>
          <w:snapToGrid/>
          <w:sz w:val="22"/>
          <w:szCs w:val="22"/>
          <w:lang w:eastAsia="fr-FR"/>
        </w:rPr>
        <w:t>Decade Advisory</w:t>
      </w:r>
      <w:r w:rsidRPr="00366FB3">
        <w:rPr>
          <w:rFonts w:ascii="Arial" w:eastAsia="Arial" w:hAnsi="Arial" w:cs="Arial"/>
          <w:bCs/>
          <w:snapToGrid/>
          <w:sz w:val="22"/>
          <w:szCs w:val="22"/>
          <w:lang w:eastAsia="fr-FR"/>
        </w:rPr>
        <w:t xml:space="preserve"> Board meetings. All </w:t>
      </w:r>
      <w:r w:rsidRPr="00366FB3">
        <w:rPr>
          <w:rFonts w:ascii="Arial" w:eastAsia="Arial" w:hAnsi="Arial" w:cs="Arial"/>
          <w:snapToGrid/>
          <w:sz w:val="22"/>
          <w:szCs w:val="22"/>
          <w:lang w:eastAsia="fr-FR"/>
        </w:rPr>
        <w:t>Decade Advisory</w:t>
      </w:r>
      <w:r w:rsidRPr="00366FB3">
        <w:rPr>
          <w:rFonts w:ascii="Arial" w:eastAsia="Arial" w:hAnsi="Arial" w:cs="Arial"/>
          <w:bCs/>
          <w:snapToGrid/>
          <w:sz w:val="22"/>
          <w:szCs w:val="22"/>
          <w:lang w:eastAsia="fr-FR"/>
        </w:rPr>
        <w:t xml:space="preserve"> Board Members can recommend agenda items. The </w:t>
      </w:r>
      <w:r w:rsidRPr="00366FB3">
        <w:rPr>
          <w:rFonts w:ascii="Arial" w:eastAsia="Arial" w:hAnsi="Arial" w:cs="Arial"/>
          <w:snapToGrid/>
          <w:sz w:val="22"/>
          <w:szCs w:val="22"/>
          <w:lang w:eastAsia="fr-FR"/>
        </w:rPr>
        <w:t>Decade Advisory</w:t>
      </w:r>
      <w:r w:rsidRPr="00366FB3">
        <w:rPr>
          <w:rFonts w:ascii="Arial" w:eastAsia="Arial" w:hAnsi="Arial" w:cs="Arial"/>
          <w:snapToGrid/>
          <w:sz w:val="22"/>
          <w:szCs w:val="22"/>
          <w:lang w:val="en-US" w:eastAsia="fr-FR"/>
        </w:rPr>
        <w:t xml:space="preserve"> Board may invite external experts as needed to address specific issues or tasks. The decision to invite these external experts would be a decision of the Board. </w:t>
      </w:r>
    </w:p>
    <w:p w14:paraId="190A1EE5" w14:textId="7AE73ABA" w:rsidR="00750044" w:rsidRPr="00D55510" w:rsidRDefault="00366FB3" w:rsidP="00B870A1">
      <w:pPr>
        <w:tabs>
          <w:tab w:val="clear" w:pos="567"/>
          <w:tab w:val="left" w:pos="2940"/>
        </w:tabs>
        <w:spacing w:after="240"/>
        <w:jc w:val="both"/>
        <w:rPr>
          <w:rFonts w:ascii="Arial" w:eastAsia="Arial" w:hAnsi="Arial" w:cs="Arial"/>
          <w:snapToGrid/>
          <w:sz w:val="22"/>
          <w:szCs w:val="22"/>
          <w:lang w:val="en-US" w:eastAsia="fr-FR"/>
        </w:rPr>
      </w:pPr>
      <w:r w:rsidRPr="00366FB3">
        <w:rPr>
          <w:rFonts w:ascii="Arial" w:eastAsia="Arial" w:hAnsi="Arial" w:cs="Arial"/>
          <w:bCs/>
          <w:snapToGrid/>
          <w:sz w:val="22"/>
          <w:szCs w:val="22"/>
          <w:lang w:eastAsia="fr-FR"/>
        </w:rPr>
        <w:t>Minutes of the Board meetings will be developed and distributed by the</w:t>
      </w:r>
      <w:r w:rsidRPr="00366FB3">
        <w:rPr>
          <w:rFonts w:ascii="Arial" w:hAnsi="Arial" w:cs="Arial"/>
          <w:bCs/>
          <w:snapToGrid/>
          <w:sz w:val="22"/>
          <w:szCs w:val="22"/>
          <w:lang w:val="en-US"/>
        </w:rPr>
        <w:t xml:space="preserve"> Secretariat for the </w:t>
      </w:r>
      <w:r w:rsidRPr="00366FB3">
        <w:rPr>
          <w:rFonts w:ascii="Arial" w:eastAsia="Arial" w:hAnsi="Arial" w:cs="Arial"/>
          <w:snapToGrid/>
          <w:sz w:val="22"/>
          <w:szCs w:val="22"/>
          <w:lang w:eastAsia="fr-FR"/>
        </w:rPr>
        <w:t>Decade Advisory</w:t>
      </w:r>
      <w:r w:rsidRPr="00366FB3">
        <w:rPr>
          <w:rFonts w:ascii="Arial" w:hAnsi="Arial" w:cs="Arial"/>
          <w:bCs/>
          <w:snapToGrid/>
          <w:sz w:val="22"/>
          <w:szCs w:val="22"/>
          <w:lang w:val="en-US"/>
        </w:rPr>
        <w:t xml:space="preserve"> Board. These will be made public on the Ocean Decade website. Expert Members of the </w:t>
      </w:r>
      <w:r w:rsidRPr="00366FB3">
        <w:rPr>
          <w:rFonts w:ascii="Arial" w:eastAsia="Arial" w:hAnsi="Arial" w:cs="Arial"/>
          <w:snapToGrid/>
          <w:sz w:val="22"/>
          <w:szCs w:val="22"/>
          <w:lang w:eastAsia="fr-FR"/>
        </w:rPr>
        <w:t>Decade Advisory</w:t>
      </w:r>
      <w:r w:rsidRPr="00366FB3">
        <w:rPr>
          <w:rFonts w:ascii="Arial" w:hAnsi="Arial" w:cs="Arial"/>
          <w:bCs/>
          <w:snapToGrid/>
          <w:sz w:val="22"/>
          <w:szCs w:val="22"/>
          <w:lang w:val="en-US"/>
        </w:rPr>
        <w:t xml:space="preserve"> Board are expected to attend all meetings of the Board in person, without replacement. </w:t>
      </w:r>
    </w:p>
    <w:sectPr w:rsidR="00750044" w:rsidRPr="00D55510" w:rsidSect="00E174EE">
      <w:headerReference w:type="even" r:id="rId17"/>
      <w:headerReference w:type="default" r:id="rId18"/>
      <w:type w:val="oddPage"/>
      <w:pgSz w:w="11907" w:h="16840" w:code="9"/>
      <w:pgMar w:top="1134"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CBE23" w14:textId="77777777" w:rsidR="004B4C94" w:rsidRDefault="004B4C94" w:rsidP="00C91C72">
      <w:r>
        <w:separator/>
      </w:r>
    </w:p>
  </w:endnote>
  <w:endnote w:type="continuationSeparator" w:id="0">
    <w:p w14:paraId="0127F465" w14:textId="77777777" w:rsidR="004B4C94" w:rsidRDefault="004B4C94" w:rsidP="00C9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B1D4B" w14:textId="77777777" w:rsidR="004B4C94" w:rsidRDefault="004B4C94" w:rsidP="00C91C72">
      <w:r>
        <w:separator/>
      </w:r>
    </w:p>
  </w:footnote>
  <w:footnote w:type="continuationSeparator" w:id="0">
    <w:p w14:paraId="024743C3" w14:textId="77777777" w:rsidR="004B4C94" w:rsidRDefault="004B4C94" w:rsidP="00C9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864D" w14:textId="252A78C5" w:rsidR="00DA63F7" w:rsidRDefault="00DA63F7">
    <w:pPr>
      <w:pStyle w:val="Header"/>
      <w:rPr>
        <w:rFonts w:asciiTheme="minorBidi" w:hAnsiTheme="minorBidi" w:cstheme="minorBidi"/>
        <w:sz w:val="22"/>
        <w:szCs w:val="22"/>
      </w:rPr>
    </w:pPr>
    <w:r w:rsidRPr="00B870A1">
      <w:rPr>
        <w:rFonts w:asciiTheme="minorBidi" w:hAnsiTheme="minorBidi" w:cstheme="minorBidi"/>
        <w:sz w:val="22"/>
        <w:szCs w:val="22"/>
      </w:rPr>
      <w:t>IOC-31/DR.[3.7]</w:t>
    </w:r>
  </w:p>
  <w:p w14:paraId="6967DB3B" w14:textId="2DB6AB02" w:rsidR="00DA63F7" w:rsidRDefault="00DA63F7">
    <w:pPr>
      <w:pStyle w:val="Header"/>
      <w:rPr>
        <w:rFonts w:asciiTheme="minorBidi" w:hAnsiTheme="minorBidi" w:cstheme="minorBidi"/>
        <w:sz w:val="22"/>
        <w:szCs w:val="22"/>
      </w:rPr>
    </w:pPr>
    <w:r>
      <w:rPr>
        <w:rFonts w:asciiTheme="minorBidi" w:hAnsiTheme="minorBidi" w:cstheme="minorBidi"/>
        <w:sz w:val="22"/>
        <w:szCs w:val="22"/>
      </w:rPr>
      <w:t xml:space="preserve">Page </w:t>
    </w:r>
    <w:r w:rsidRPr="00DA63F7">
      <w:rPr>
        <w:rFonts w:asciiTheme="minorBidi" w:hAnsiTheme="minorBidi" w:cstheme="minorBidi"/>
        <w:sz w:val="22"/>
        <w:szCs w:val="22"/>
      </w:rPr>
      <w:fldChar w:fldCharType="begin"/>
    </w:r>
    <w:r w:rsidRPr="00DA63F7">
      <w:rPr>
        <w:rFonts w:asciiTheme="minorBidi" w:hAnsiTheme="minorBidi" w:cstheme="minorBidi"/>
        <w:sz w:val="22"/>
        <w:szCs w:val="22"/>
      </w:rPr>
      <w:instrText xml:space="preserve"> PAGE   \* MERGEFORMAT </w:instrText>
    </w:r>
    <w:r w:rsidRPr="00DA63F7">
      <w:rPr>
        <w:rFonts w:asciiTheme="minorBidi" w:hAnsiTheme="minorBidi" w:cstheme="minorBidi"/>
        <w:sz w:val="22"/>
        <w:szCs w:val="22"/>
      </w:rPr>
      <w:fldChar w:fldCharType="separate"/>
    </w:r>
    <w:r w:rsidRPr="00DA63F7">
      <w:rPr>
        <w:rFonts w:asciiTheme="minorBidi" w:hAnsiTheme="minorBidi" w:cstheme="minorBidi"/>
        <w:noProof/>
        <w:sz w:val="22"/>
        <w:szCs w:val="22"/>
      </w:rPr>
      <w:t>1</w:t>
    </w:r>
    <w:r w:rsidRPr="00DA63F7">
      <w:rPr>
        <w:rFonts w:asciiTheme="minorBidi" w:hAnsiTheme="minorBidi" w:cstheme="minorBidi"/>
        <w:noProof/>
        <w:sz w:val="22"/>
        <w:szCs w:val="22"/>
      </w:rPr>
      <w:fldChar w:fldCharType="end"/>
    </w:r>
  </w:p>
  <w:p w14:paraId="06DCB2E3" w14:textId="77777777" w:rsidR="00DA63F7" w:rsidRPr="00B870A1" w:rsidRDefault="00DA63F7">
    <w:pPr>
      <w:pStyle w:val="Header"/>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C0C6" w14:textId="77777777" w:rsidR="00DA63F7" w:rsidRDefault="00DA63F7" w:rsidP="00B870A1">
    <w:pPr>
      <w:pStyle w:val="Header"/>
      <w:ind w:left="7371"/>
      <w:rPr>
        <w:rFonts w:asciiTheme="minorBidi" w:hAnsiTheme="minorBidi" w:cstheme="minorBidi"/>
        <w:sz w:val="22"/>
        <w:szCs w:val="22"/>
      </w:rPr>
    </w:pPr>
    <w:r w:rsidRPr="004A1ED1">
      <w:rPr>
        <w:rFonts w:asciiTheme="minorBidi" w:hAnsiTheme="minorBidi" w:cstheme="minorBidi"/>
        <w:sz w:val="22"/>
        <w:szCs w:val="22"/>
      </w:rPr>
      <w:t>IOC-31/DR.[3.7]</w:t>
    </w:r>
  </w:p>
  <w:p w14:paraId="57985401" w14:textId="77777777" w:rsidR="00DA63F7" w:rsidRDefault="00DA63F7" w:rsidP="00B870A1">
    <w:pPr>
      <w:pStyle w:val="Header"/>
      <w:ind w:left="7371"/>
      <w:rPr>
        <w:rFonts w:asciiTheme="minorBidi" w:hAnsiTheme="minorBidi" w:cstheme="minorBidi"/>
        <w:sz w:val="22"/>
        <w:szCs w:val="22"/>
      </w:rPr>
    </w:pPr>
    <w:r>
      <w:rPr>
        <w:rFonts w:asciiTheme="minorBidi" w:hAnsiTheme="minorBidi" w:cstheme="minorBidi"/>
        <w:sz w:val="22"/>
        <w:szCs w:val="22"/>
      </w:rPr>
      <w:t xml:space="preserve">Page </w:t>
    </w:r>
    <w:r w:rsidRPr="00DA63F7">
      <w:rPr>
        <w:rFonts w:asciiTheme="minorBidi" w:hAnsiTheme="minorBidi" w:cstheme="minorBidi"/>
        <w:sz w:val="22"/>
        <w:szCs w:val="22"/>
      </w:rPr>
      <w:fldChar w:fldCharType="begin"/>
    </w:r>
    <w:r w:rsidRPr="00DA63F7">
      <w:rPr>
        <w:rFonts w:asciiTheme="minorBidi" w:hAnsiTheme="minorBidi" w:cstheme="minorBidi"/>
        <w:sz w:val="22"/>
        <w:szCs w:val="22"/>
      </w:rPr>
      <w:instrText xml:space="preserve"> PAGE   \* MERGEFORMAT </w:instrText>
    </w:r>
    <w:r w:rsidRPr="00DA63F7">
      <w:rPr>
        <w:rFonts w:asciiTheme="minorBidi" w:hAnsiTheme="minorBidi" w:cstheme="minorBidi"/>
        <w:sz w:val="22"/>
        <w:szCs w:val="22"/>
      </w:rPr>
      <w:fldChar w:fldCharType="separate"/>
    </w:r>
    <w:r>
      <w:rPr>
        <w:rFonts w:asciiTheme="minorBidi" w:hAnsiTheme="minorBidi" w:cstheme="minorBidi"/>
        <w:sz w:val="22"/>
        <w:szCs w:val="22"/>
      </w:rPr>
      <w:t>2</w:t>
    </w:r>
    <w:r w:rsidRPr="00DA63F7">
      <w:rPr>
        <w:rFonts w:asciiTheme="minorBidi" w:hAnsiTheme="minorBidi" w:cstheme="minorBidi"/>
        <w:noProof/>
        <w:sz w:val="22"/>
        <w:szCs w:val="22"/>
      </w:rPr>
      <w:fldChar w:fldCharType="end"/>
    </w:r>
  </w:p>
  <w:p w14:paraId="79FBC6BD" w14:textId="77777777" w:rsidR="00DA63F7" w:rsidRDefault="00DA63F7" w:rsidP="00B870A1">
    <w:pPr>
      <w:pStyle w:val="Header"/>
      <w:ind w:left="737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39232F"/>
    <w:multiLevelType w:val="hybridMultilevel"/>
    <w:tmpl w:val="1A94096E"/>
    <w:lvl w:ilvl="0" w:tplc="86F850C6">
      <w:start w:val="4"/>
      <w:numFmt w:val="lowerRoman"/>
      <w:lvlText w:val="(%1)"/>
      <w:lvlJc w:val="left"/>
      <w:pPr>
        <w:ind w:left="1429" w:hanging="720"/>
      </w:pPr>
      <w:rPr>
        <w:rFonts w:ascii="Arial" w:eastAsia="MS Mincho"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74AE3"/>
    <w:multiLevelType w:val="hybridMultilevel"/>
    <w:tmpl w:val="1CAAE826"/>
    <w:lvl w:ilvl="0" w:tplc="66D44B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380677"/>
    <w:multiLevelType w:val="hybridMultilevel"/>
    <w:tmpl w:val="73E24850"/>
    <w:lvl w:ilvl="0" w:tplc="5A3E6238">
      <w:start w:val="17"/>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8"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65153374"/>
    <w:multiLevelType w:val="hybridMultilevel"/>
    <w:tmpl w:val="487E7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67E5C"/>
    <w:multiLevelType w:val="hybridMultilevel"/>
    <w:tmpl w:val="F2BCCC66"/>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0"/>
  </w:num>
  <w:num w:numId="3">
    <w:abstractNumId w:val="1"/>
  </w:num>
  <w:num w:numId="4">
    <w:abstractNumId w:val="2"/>
  </w:num>
  <w:num w:numId="5">
    <w:abstractNumId w:val="12"/>
  </w:num>
  <w:num w:numId="6">
    <w:abstractNumId w:val="8"/>
  </w:num>
  <w:num w:numId="7">
    <w:abstractNumId w:val="11"/>
  </w:num>
  <w:num w:numId="8">
    <w:abstractNumId w:val="3"/>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8E"/>
    <w:rsid w:val="00002B42"/>
    <w:rsid w:val="00044F46"/>
    <w:rsid w:val="00047244"/>
    <w:rsid w:val="000747D1"/>
    <w:rsid w:val="000A7F61"/>
    <w:rsid w:val="000E344F"/>
    <w:rsid w:val="00127609"/>
    <w:rsid w:val="00153381"/>
    <w:rsid w:val="00157D10"/>
    <w:rsid w:val="00194C8E"/>
    <w:rsid w:val="001B1B3B"/>
    <w:rsid w:val="001C0D97"/>
    <w:rsid w:val="001D0CD8"/>
    <w:rsid w:val="001E34AB"/>
    <w:rsid w:val="0021725F"/>
    <w:rsid w:val="00271989"/>
    <w:rsid w:val="00291205"/>
    <w:rsid w:val="00291C31"/>
    <w:rsid w:val="002A1E26"/>
    <w:rsid w:val="002B5650"/>
    <w:rsid w:val="002C1CE1"/>
    <w:rsid w:val="002D220F"/>
    <w:rsid w:val="002D47A6"/>
    <w:rsid w:val="002F4995"/>
    <w:rsid w:val="00314CA0"/>
    <w:rsid w:val="003574E2"/>
    <w:rsid w:val="00366FB3"/>
    <w:rsid w:val="00371CCD"/>
    <w:rsid w:val="003A2B38"/>
    <w:rsid w:val="003C5CB6"/>
    <w:rsid w:val="003D4FC0"/>
    <w:rsid w:val="003E3AC9"/>
    <w:rsid w:val="003F2754"/>
    <w:rsid w:val="00405141"/>
    <w:rsid w:val="004057BB"/>
    <w:rsid w:val="0041087D"/>
    <w:rsid w:val="004302F9"/>
    <w:rsid w:val="004548D3"/>
    <w:rsid w:val="00472DC6"/>
    <w:rsid w:val="00473E15"/>
    <w:rsid w:val="004A0A45"/>
    <w:rsid w:val="004A5164"/>
    <w:rsid w:val="004B4881"/>
    <w:rsid w:val="004B4C94"/>
    <w:rsid w:val="004E7E5B"/>
    <w:rsid w:val="0051063A"/>
    <w:rsid w:val="00513DF3"/>
    <w:rsid w:val="00532C23"/>
    <w:rsid w:val="00571AC5"/>
    <w:rsid w:val="00577C2E"/>
    <w:rsid w:val="005C5FF8"/>
    <w:rsid w:val="005E62DC"/>
    <w:rsid w:val="005F4566"/>
    <w:rsid w:val="005F4DFB"/>
    <w:rsid w:val="006278BC"/>
    <w:rsid w:val="006343D3"/>
    <w:rsid w:val="0068597B"/>
    <w:rsid w:val="006974A9"/>
    <w:rsid w:val="006A6D43"/>
    <w:rsid w:val="006F2752"/>
    <w:rsid w:val="006F5709"/>
    <w:rsid w:val="006F6055"/>
    <w:rsid w:val="007333CE"/>
    <w:rsid w:val="00750044"/>
    <w:rsid w:val="00755D90"/>
    <w:rsid w:val="007B1F03"/>
    <w:rsid w:val="007C467F"/>
    <w:rsid w:val="007D1B26"/>
    <w:rsid w:val="007E3A84"/>
    <w:rsid w:val="008003D0"/>
    <w:rsid w:val="00815464"/>
    <w:rsid w:val="00837448"/>
    <w:rsid w:val="0084747B"/>
    <w:rsid w:val="00856599"/>
    <w:rsid w:val="008713FC"/>
    <w:rsid w:val="00891A3F"/>
    <w:rsid w:val="008A1868"/>
    <w:rsid w:val="008E0319"/>
    <w:rsid w:val="008E3DD4"/>
    <w:rsid w:val="00924048"/>
    <w:rsid w:val="009340C3"/>
    <w:rsid w:val="00934CDA"/>
    <w:rsid w:val="00937352"/>
    <w:rsid w:val="00942222"/>
    <w:rsid w:val="00944536"/>
    <w:rsid w:val="00945CAB"/>
    <w:rsid w:val="00980A21"/>
    <w:rsid w:val="00990FF7"/>
    <w:rsid w:val="00991DE0"/>
    <w:rsid w:val="00995140"/>
    <w:rsid w:val="009B1A56"/>
    <w:rsid w:val="009E1650"/>
    <w:rsid w:val="009F1985"/>
    <w:rsid w:val="009F44AF"/>
    <w:rsid w:val="009F5733"/>
    <w:rsid w:val="00A3677E"/>
    <w:rsid w:val="00A714D1"/>
    <w:rsid w:val="00A74B43"/>
    <w:rsid w:val="00A81E97"/>
    <w:rsid w:val="00AB0788"/>
    <w:rsid w:val="00AC0A18"/>
    <w:rsid w:val="00AC29F1"/>
    <w:rsid w:val="00B01A7E"/>
    <w:rsid w:val="00B42117"/>
    <w:rsid w:val="00B50751"/>
    <w:rsid w:val="00B60569"/>
    <w:rsid w:val="00B71151"/>
    <w:rsid w:val="00B870A1"/>
    <w:rsid w:val="00BA2656"/>
    <w:rsid w:val="00BA42EF"/>
    <w:rsid w:val="00BC608B"/>
    <w:rsid w:val="00BC76A6"/>
    <w:rsid w:val="00C039DF"/>
    <w:rsid w:val="00C203B4"/>
    <w:rsid w:val="00C25D67"/>
    <w:rsid w:val="00C62D6D"/>
    <w:rsid w:val="00C64245"/>
    <w:rsid w:val="00C65FAD"/>
    <w:rsid w:val="00C82158"/>
    <w:rsid w:val="00C85745"/>
    <w:rsid w:val="00C874E2"/>
    <w:rsid w:val="00C91C72"/>
    <w:rsid w:val="00CD214B"/>
    <w:rsid w:val="00CE79CB"/>
    <w:rsid w:val="00D42A63"/>
    <w:rsid w:val="00D55510"/>
    <w:rsid w:val="00D57FCE"/>
    <w:rsid w:val="00DA63F7"/>
    <w:rsid w:val="00DC270F"/>
    <w:rsid w:val="00DE04BD"/>
    <w:rsid w:val="00DE65CE"/>
    <w:rsid w:val="00E011DB"/>
    <w:rsid w:val="00E174EE"/>
    <w:rsid w:val="00E31C92"/>
    <w:rsid w:val="00E33778"/>
    <w:rsid w:val="00E4329D"/>
    <w:rsid w:val="00E57C73"/>
    <w:rsid w:val="00E63726"/>
    <w:rsid w:val="00EB1CC9"/>
    <w:rsid w:val="00EB2553"/>
    <w:rsid w:val="00EC3D91"/>
    <w:rsid w:val="00ED00D5"/>
    <w:rsid w:val="00EE24C9"/>
    <w:rsid w:val="00F06A2B"/>
    <w:rsid w:val="00F45C06"/>
    <w:rsid w:val="00F57DDF"/>
    <w:rsid w:val="00F6037B"/>
    <w:rsid w:val="00F60827"/>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C37F3"/>
  <w15:chartTrackingRefBased/>
  <w15:docId w15:val="{19E0808F-F5F7-4049-9BFE-2A8B6A53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8E"/>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194C8E"/>
    <w:pPr>
      <w:tabs>
        <w:tab w:val="clear" w:pos="567"/>
        <w:tab w:val="left" w:pos="-737"/>
        <w:tab w:val="left" w:pos="1134"/>
      </w:tabs>
      <w:spacing w:after="240"/>
      <w:ind w:left="1134" w:hanging="567"/>
      <w:jc w:val="both"/>
    </w:pPr>
  </w:style>
  <w:style w:type="paragraph" w:styleId="ListParagraph">
    <w:name w:val="List Paragraph"/>
    <w:basedOn w:val="Normal"/>
    <w:link w:val="ListParagraphChar"/>
    <w:uiPriority w:val="34"/>
    <w:qFormat/>
    <w:rsid w:val="00194C8E"/>
    <w:pPr>
      <w:ind w:left="720"/>
      <w:contextualSpacing/>
    </w:pPr>
    <w:rPr>
      <w:rFonts w:ascii="Arial" w:hAnsi="Arial"/>
      <w:sz w:val="22"/>
    </w:rPr>
  </w:style>
  <w:style w:type="character" w:customStyle="1" w:styleId="ListParagraphChar">
    <w:name w:val="List Paragraph Char"/>
    <w:link w:val="ListParagraph"/>
    <w:uiPriority w:val="34"/>
    <w:locked/>
    <w:rsid w:val="00194C8E"/>
    <w:rPr>
      <w:rFonts w:ascii="Arial" w:eastAsia="Times New Roman" w:hAnsi="Arial" w:cs="Times New Roman"/>
      <w:snapToGrid w:val="0"/>
      <w:szCs w:val="24"/>
      <w:lang w:val="en-GB" w:eastAsia="en-US"/>
    </w:rPr>
  </w:style>
  <w:style w:type="paragraph" w:styleId="Header">
    <w:name w:val="header"/>
    <w:basedOn w:val="Normal"/>
    <w:link w:val="HeaderChar"/>
    <w:uiPriority w:val="99"/>
    <w:rsid w:val="00194C8E"/>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194C8E"/>
    <w:rPr>
      <w:rFonts w:ascii="Times New Roman" w:eastAsia="Times New Roman" w:hAnsi="Times New Roman" w:cs="Times New Roman"/>
      <w:sz w:val="24"/>
      <w:szCs w:val="20"/>
      <w:lang w:val="en-GB" w:eastAsia="en-US"/>
    </w:rPr>
  </w:style>
  <w:style w:type="paragraph" w:styleId="NormalWeb">
    <w:name w:val="Normal (Web)"/>
    <w:basedOn w:val="Normal"/>
    <w:uiPriority w:val="99"/>
    <w:unhideWhenUsed/>
    <w:rsid w:val="00194C8E"/>
    <w:pPr>
      <w:tabs>
        <w:tab w:val="clear" w:pos="567"/>
      </w:tabs>
      <w:snapToGrid/>
      <w:spacing w:before="100" w:beforeAutospacing="1" w:after="100" w:afterAutospacing="1"/>
    </w:pPr>
    <w:rPr>
      <w:snapToGrid/>
      <w:lang w:eastAsia="en-GB"/>
    </w:rPr>
  </w:style>
  <w:style w:type="paragraph" w:styleId="Footer">
    <w:name w:val="footer"/>
    <w:basedOn w:val="Normal"/>
    <w:link w:val="FooterChar"/>
    <w:uiPriority w:val="99"/>
    <w:unhideWhenUsed/>
    <w:rsid w:val="00C91C72"/>
    <w:pPr>
      <w:tabs>
        <w:tab w:val="clear" w:pos="567"/>
        <w:tab w:val="center" w:pos="4703"/>
        <w:tab w:val="right" w:pos="9406"/>
      </w:tabs>
    </w:pPr>
  </w:style>
  <w:style w:type="character" w:customStyle="1" w:styleId="FooterChar">
    <w:name w:val="Footer Char"/>
    <w:basedOn w:val="DefaultParagraphFont"/>
    <w:link w:val="Footer"/>
    <w:uiPriority w:val="99"/>
    <w:rsid w:val="00C91C72"/>
    <w:rPr>
      <w:rFonts w:ascii="Times New Roman" w:eastAsia="Times New Roman" w:hAnsi="Times New Roman" w:cs="Times New Roman"/>
      <w:snapToGrid w:val="0"/>
      <w:sz w:val="24"/>
      <w:szCs w:val="24"/>
      <w:lang w:val="en-GB" w:eastAsia="en-US"/>
    </w:rPr>
  </w:style>
  <w:style w:type="paragraph" w:styleId="BalloonText">
    <w:name w:val="Balloon Text"/>
    <w:basedOn w:val="Normal"/>
    <w:link w:val="BalloonTextChar"/>
    <w:uiPriority w:val="99"/>
    <w:semiHidden/>
    <w:unhideWhenUsed/>
    <w:rsid w:val="0036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FB3"/>
    <w:rPr>
      <w:rFonts w:ascii="Segoe UI" w:eastAsia="Times New Roman"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res/72/73" TargetMode="External"/><Relationship Id="rId13" Type="http://schemas.openxmlformats.org/officeDocument/2006/relationships/hyperlink" Target="https://oceanexpert.org/document/2845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2" Type="http://schemas.openxmlformats.org/officeDocument/2006/relationships/hyperlink" Target="https://unesdoc.unesco.org/ark:/48223/pf0000375845.locale=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ceanexpert.org/document/284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en/A/RES/75/239" TargetMode="External"/><Relationship Id="rId5" Type="http://schemas.openxmlformats.org/officeDocument/2006/relationships/footnotes" Target="footnotes.xml"/><Relationship Id="rId15" Type="http://schemas.openxmlformats.org/officeDocument/2006/relationships/hyperlink" Target="https://unesdoc.unesco.org/ark:/48223/pf0000377222.locale=en" TargetMode="External"/><Relationship Id="rId10" Type="http://schemas.openxmlformats.org/officeDocument/2006/relationships/hyperlink" Target="https://undocs.org/en/a/res/74/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oc-unesco.org/index.php?option=com_oe&amp;task=viewDocumentRecord&amp;docID=24854" TargetMode="External"/><Relationship Id="rId14" Type="http://schemas.openxmlformats.org/officeDocument/2006/relationships/hyperlink" Target="https://oceanexpert.org/document/28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4</cp:revision>
  <dcterms:created xsi:type="dcterms:W3CDTF">2021-06-22T18:05:00Z</dcterms:created>
  <dcterms:modified xsi:type="dcterms:W3CDTF">2021-06-22T18:18:00Z</dcterms:modified>
</cp:coreProperties>
</file>