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ADF67" w14:textId="56E0C20E" w:rsidR="007A1037" w:rsidRPr="007D08B9" w:rsidRDefault="00124EFA" w:rsidP="007D08B9">
      <w:pPr>
        <w:snapToGrid w:val="0"/>
        <w:spacing w:after="240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ru"/>
        </w:rPr>
        <w:t>3.1. Выступление Председателя МОК</w:t>
      </w:r>
    </w:p>
    <w:p w14:paraId="47BD1013" w14:textId="77CF7B89" w:rsidR="00893A92" w:rsidRPr="00280BDC" w:rsidRDefault="00893A92" w:rsidP="007D08B9">
      <w:pPr>
        <w:snapToGrid w:val="0"/>
        <w:spacing w:after="2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ru"/>
        </w:rPr>
        <w:t>Уважаемые делегаты!</w:t>
      </w:r>
    </w:p>
    <w:p w14:paraId="1E9E7C87" w14:textId="33925B65" w:rsidR="00893A92" w:rsidRPr="00280BDC" w:rsidRDefault="00124EFA" w:rsidP="007D08B9">
      <w:pPr>
        <w:snapToGrid w:val="0"/>
        <w:spacing w:after="2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ru"/>
        </w:rPr>
        <w:t>В соответствии со статьей 8.1(а) Правил процедуры, данный пункт повестки дня соответствует выступлению Председателя с сообщением о последних результатах работы Комиссии и перспективах на ближайшие годы.</w:t>
      </w:r>
    </w:p>
    <w:p w14:paraId="6A3BEAF9" w14:textId="5AC1977C" w:rsidR="00122AF6" w:rsidRPr="00280BDC" w:rsidRDefault="00124EFA" w:rsidP="00280BDC">
      <w:pPr>
        <w:spacing w:after="2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ru"/>
        </w:rPr>
        <w:t>Как я уже упоминал на открытии Ассамблеи, реальность оказалась совсем не такой, как мы ожидали. Тем не менее, несмотря на сложные обстоятельства, наша приверженность океану оставалась главной движущей силой нашей деятельности в рамках нашего мандата.</w:t>
      </w:r>
    </w:p>
    <w:p w14:paraId="55FC4AB5" w14:textId="10C90C35" w:rsidR="008F3911" w:rsidRPr="00280BDC" w:rsidRDefault="000E0D03" w:rsidP="00280BDC">
      <w:pPr>
        <w:spacing w:after="2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ru"/>
        </w:rPr>
        <w:t>Мы в МОК проанализировали каждый случай, каждое обстоятельство и выработали альтернативные варианты не только для продолжения, но и для расширения нашей работы. Новая нормальная жизнь, которая нас окружает, с ее виртуальными платформами, создала дополнительные возможности для расширения общения и участия в многочисленных темах и дебатах. Простой подсчет виртуальных совещаний, вебинаров, информационных сессий дает четкое представление о том, насколько шире стало наше общение. Переход от личных встреч к удаленному участию позволил нам всем присутствовать на многочисленных и почти одновременных событиях по всему миру. В дистанционном формате прошла не только сессия нашего 53-го Исполнительного совета в феврале этого года, но и совещания наших основных вспомогательных органов, проектов и мероприятий.</w:t>
      </w:r>
    </w:p>
    <w:p w14:paraId="15749517" w14:textId="381C4BAA" w:rsidR="008F3911" w:rsidRPr="00280BDC" w:rsidRDefault="008F3911" w:rsidP="00280BDC">
      <w:pPr>
        <w:spacing w:after="2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ru"/>
        </w:rPr>
        <w:t>В циркулярном письме МОК № 2835 я предложил провести эту 31-ю сессию нашей Ассамблеи в гибридном режиме: с дистанционными пленарными заседаниями в сочетании с очными выборами Совета должностных лиц и членов Исполнительного совета. Мы тщательно подготовили и провели это заседание, чтобы обеспечить качество дискуссии и всеобъемлющий, прозрачный и эффективный процесс принятия решений в полном соответствии с нашими Правилами процедуры.</w:t>
      </w:r>
    </w:p>
    <w:p w14:paraId="1B9F3240" w14:textId="57C66DDA" w:rsidR="006006B8" w:rsidRPr="00280BDC" w:rsidRDefault="006006B8" w:rsidP="00280BDC">
      <w:pPr>
        <w:spacing w:after="2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ru"/>
        </w:rPr>
        <w:t>С вашего позволения, я повторю здесь то, о чем говорил на открытии 53-й сессии Исполнительного совета в феврале прошлого года. Мы сможем выполнить свой мандат и действовать как единое целое на благо всех, только если продолжим работать так, как мы работаем на протяжении многих лет: прозрачно, коллегиально и конструктивно, действуя совместно, чтобы стать лучшим научно-техническим органом.</w:t>
      </w:r>
    </w:p>
    <w:p w14:paraId="2956E2E0" w14:textId="7F7C03EF" w:rsidR="008F3911" w:rsidRPr="00280BDC" w:rsidRDefault="00AB65E5" w:rsidP="00280BDC">
      <w:pPr>
        <w:spacing w:after="2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color w:val="000000" w:themeColor="text1"/>
          <w:lang w:val="ru"/>
        </w:rPr>
        <w:t>Н</w:t>
      </w:r>
      <w:r>
        <w:rPr>
          <w:rFonts w:asciiTheme="minorBidi" w:hAnsiTheme="minorBidi" w:cstheme="minorBidi"/>
          <w:lang w:val="ru"/>
        </w:rPr>
        <w:t>ынешние обстоятельства значительно сократили время работы по сравнению с предыдущими сессиями Ассамблеи. Традиционно наша Ассамблея предоставляет нашим программам, вспомогательным органам, а также государствам-членам возможность представить основные события межсессионного периода, предложить мероприятия и проекты и содействовать совместной деятельности. Поэтому в качестве дополнительного механизма информирования наших государств-членов мы создали серию вебинаров, состоявшихся в период с 31 мая по 11 июня (</w:t>
      </w:r>
      <w:hyperlink r:id="rId10" w:history="1">
        <w:r>
          <w:rPr>
            <w:rStyle w:val="Hyperlink"/>
            <w:rFonts w:asciiTheme="minorBidi" w:hAnsiTheme="minorBidi" w:cstheme="minorBidi"/>
            <w:lang w:val="ru"/>
          </w:rPr>
          <w:t>https://ioc.unesco.org/news/ioc-assembly-31-thematic-webinars</w:t>
        </w:r>
      </w:hyperlink>
      <w:r>
        <w:rPr>
          <w:rFonts w:asciiTheme="minorBidi" w:hAnsiTheme="minorBidi" w:cstheme="minorBidi"/>
          <w:lang w:val="ru"/>
        </w:rPr>
        <w:t xml:space="preserve">). </w:t>
      </w:r>
    </w:p>
    <w:p w14:paraId="17B5366E" w14:textId="21E46061" w:rsidR="00C1137D" w:rsidRPr="00280BDC" w:rsidRDefault="00AB65E5" w:rsidP="00280BDC">
      <w:pPr>
        <w:spacing w:after="2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ru"/>
        </w:rPr>
        <w:t xml:space="preserve">За эти месяцы удаленной работы мы накопили чрезвычайно ценный опыт, и весьма вероятно, что мы будем и дальше использовать некоторые из внедренных методик. Именно поэтому я предложил 53-му Исполнительному совету поручить Комитету по финансовым вопросам в рамках его обязанностей, касающихся управления МОК, методов работы и процедур, провести первоначальный анализ пересмотра и возможного обновления Правил процедуры Комиссии с целью приведения их в соответствие с существующими возможностями, нынешней реальностью и возможными </w:t>
      </w:r>
      <w:r>
        <w:rPr>
          <w:rFonts w:asciiTheme="minorBidi" w:hAnsiTheme="minorBidi" w:cstheme="minorBidi"/>
          <w:lang w:val="ru"/>
        </w:rPr>
        <w:lastRenderedPageBreak/>
        <w:t>сценариями будущего и использования накопленного опыта и передовой практики в рамках ЮНЕСКО и системы ООН.</w:t>
      </w:r>
    </w:p>
    <w:p w14:paraId="7FCDF5F1" w14:textId="1E4282FC" w:rsidR="00110E83" w:rsidRPr="00280BDC" w:rsidRDefault="00110E83" w:rsidP="00280BDC">
      <w:pPr>
        <w:spacing w:after="2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ru"/>
        </w:rPr>
        <w:t>Финансовая ситуация остается сложной, и, несмотря на поддержку Генерального директора ЮНЕСКО, поддержку и взносы государств-членов, а также взносы различных доноров и участников, занимающихся связанными с океаном вопросами, это вызывает крайнюю озабоченность. Участие МОК продолжает расширяться, но имеющиеся кадровые и финансовые ресурсы не поспевают за ним. Мы обязаны провести глубокий анализ общей ситуации и перспектив, а также нашей стратегии, бизнес-модели и манеры освещения событий для привлечения дополнительных доноров. В противном случае мы рискуем превратить свои действия скорее в оппортунистические, чем в стратегические, со всеми вытекающими последствиями.</w:t>
      </w:r>
    </w:p>
    <w:p w14:paraId="7319999C" w14:textId="30748A22" w:rsidR="00AB65E5" w:rsidRPr="00280BDC" w:rsidRDefault="00CC7C48" w:rsidP="00280BDC">
      <w:pPr>
        <w:spacing w:after="240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lang w:val="ru"/>
        </w:rPr>
        <w:t>В 2005 году мы столкнулись с серьезной задачей, сформулированной в документе под названием «</w:t>
      </w:r>
      <w:hyperlink r:id="rId11" w:history="1">
        <w:r>
          <w:rPr>
            <w:rStyle w:val="Hyperlink"/>
            <w:rFonts w:asciiTheme="minorBidi" w:hAnsiTheme="minorBidi" w:cstheme="minorBidi"/>
            <w:lang w:val="ru"/>
          </w:rPr>
          <w:t>У нас проблема</w:t>
        </w:r>
      </w:hyperlink>
      <w:r>
        <w:rPr>
          <w:rFonts w:asciiTheme="minorBidi" w:hAnsiTheme="minorBidi" w:cstheme="minorBidi"/>
          <w:lang w:val="ru"/>
        </w:rPr>
        <w:t>». После ужасного цунами, произошедшего 26 декабря 2004 г. в Индийском океане, и в условиях значительного сокращения бюджета, этот документ пролил свет на наши решения и их влияние на определение нашего будущего, причем не путем простого изменения баланса вопросов, представляющих интерес, а путем воздействия на нашу идентичность как межправительственной океанографической комиссии. Затем нас попросили сделать перерыв в нашей повседневной работе, чтобы подумать о том, «где мы находимся» и «куда мы хотим прийти» как уникальный научно-технический орган в системе ООН, занимающийся вопросами науки об океане и океанических служб.</w:t>
      </w:r>
      <w:r>
        <w:rPr>
          <w:rFonts w:asciiTheme="minorBidi" w:hAnsiTheme="minorBidi" w:cstheme="minorBidi"/>
          <w:color w:val="000000" w:themeColor="text1"/>
          <w:lang w:val="ru"/>
        </w:rPr>
        <w:t xml:space="preserve"> </w:t>
      </w:r>
    </w:p>
    <w:p w14:paraId="53447242" w14:textId="53773D1B" w:rsidR="00472D3F" w:rsidRPr="00280BDC" w:rsidRDefault="00AB65E5" w:rsidP="00280BDC">
      <w:pPr>
        <w:spacing w:after="240"/>
        <w:jc w:val="both"/>
        <w:rPr>
          <w:rFonts w:asciiTheme="minorBidi" w:hAnsiTheme="minorBidi" w:cstheme="minorBidi"/>
          <w:color w:val="FF0000"/>
        </w:rPr>
      </w:pPr>
      <w:r>
        <w:rPr>
          <w:rFonts w:asciiTheme="minorBidi" w:hAnsiTheme="minorBidi" w:cstheme="minorBidi"/>
          <w:color w:val="000000" w:themeColor="text1"/>
          <w:lang w:val="ru"/>
        </w:rPr>
        <w:t>Все последние аудиторские проверки и оценки МОК показали, что, хотя она представляет собой наиболее продуктивное и высокодоходное вложение государств-членов в будущие устойчивые океанические службы, основанные на знаниях, эти инвестиции крайне недостаточны, и что МОК не располагает достаточным персоналом и ресурсами для выполнения своего расширяющегося мандата. Это очень четкий призыв к действию, который мы не можем и не должны игнорировать.</w:t>
      </w:r>
    </w:p>
    <w:p w14:paraId="6D54D5FC" w14:textId="77777777" w:rsidR="00406D42" w:rsidRPr="00280BDC" w:rsidRDefault="00110E83" w:rsidP="00280BDC">
      <w:pPr>
        <w:spacing w:after="2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ru"/>
        </w:rPr>
        <w:t xml:space="preserve">Структуры ООН, связанные с океаном или имеющие к нему отношение, рассматривают нашу Комиссию как ценного партнера и признают ее как авторитетный источник четкого технического вклада, научных знаний и уникальных возможностей для преодоления разрыва между наукой и политикой. </w:t>
      </w:r>
    </w:p>
    <w:p w14:paraId="1AB254E8" w14:textId="5CE95830" w:rsidR="00110E83" w:rsidRPr="00280BDC" w:rsidRDefault="00E03C40" w:rsidP="00280BDC">
      <w:pPr>
        <w:spacing w:after="2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ru"/>
        </w:rPr>
        <w:t xml:space="preserve">Примером может служить наш активный вклад в совещание по подготовке двадцать пятой Конференции сторон Рамочной конвенции ООН об изменении климата (РКИК ООН), организованное в Коста-Рике, КС 25 (25-ю Конференцию сторон РКИК ООН, «голубую КС»), третью сессию межправительственной конференции по международному юридически обязательному документу на базе Конвенции Организации Объединенных Наций по морскому праву о сохранении и устойчивом использовании морского биологического разнообразия в районах за пределами действия национальной юрисдикции (БПНЮ) и последующие мероприятия в режиме онлайн, во всех из которых я участвовал вместе с нашим преданным Секретариатом и представлял это океаническое сообщество. К более свежим событиям относится мое участие в мероприятиях Международного органа по морскому дну, таких как представление его Плана действий по морским научным исследованиям в поддержку Десятилетия ООН, посвященного науке об океане в интересах устойчивого развития, или вебинар по случаю Всемирного дня океанов, посвященный сотрудничеству с ОБИС (МОК-ЮНЕСКО) с акцентом на недавно объявленное партнерство по расширению доступа к данным о биоразнообразии посредством базы данных Международного органа по морскому дну DeepData. В ноябре прошлого года в рамках ЮНЕСКО мы провели чрезвычайно продуктивную встречу с Научно-техническим консультативным органом Конвенции 2001 года об охране подводного культурного наследия, на котором </w:t>
      </w:r>
      <w:r>
        <w:rPr>
          <w:rFonts w:asciiTheme="minorBidi" w:hAnsiTheme="minorBidi" w:cstheme="minorBidi"/>
          <w:lang w:val="ru"/>
        </w:rPr>
        <w:lastRenderedPageBreak/>
        <w:t xml:space="preserve">обсудили вопросы, связанные с Десятилетием науки об океане, а также наши общие и совместные интересы и обязанности. </w:t>
      </w:r>
    </w:p>
    <w:p w14:paraId="3E6880BB" w14:textId="23C6437F" w:rsidR="00B42CC6" w:rsidRPr="00280BDC" w:rsidRDefault="00B42CC6" w:rsidP="00280BDC">
      <w:pPr>
        <w:spacing w:after="2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ru"/>
        </w:rPr>
        <w:t xml:space="preserve">В ноябре 2020 года я вместе с другими экспертами принял участие в вебинаре, организованном Всемирным морским университетом на тему «Расширение прав и возможностей женщин в рамках Десятилетия науки об океане». Это была возможность поделиться опытом и инициативами МОК и объединить усилия для преодоления существующих барьеров. Наш </w:t>
      </w:r>
      <w:hyperlink r:id="rId12" w:history="1">
        <w:r>
          <w:rPr>
            <w:rStyle w:val="Hyperlink"/>
            <w:rFonts w:asciiTheme="minorBidi" w:hAnsiTheme="minorBidi" w:cstheme="minorBidi"/>
            <w:i/>
            <w:iCs/>
            <w:lang w:val="ru"/>
          </w:rPr>
          <w:t>Научный доклад о Мировом океане 2020 г.</w:t>
        </w:r>
      </w:hyperlink>
      <w:r>
        <w:rPr>
          <w:rFonts w:asciiTheme="minorBidi" w:hAnsiTheme="minorBidi" w:cstheme="minorBidi"/>
          <w:lang w:val="ru"/>
        </w:rPr>
        <w:t xml:space="preserve"> показывает, что в среднем 39% ученых-океанологов — женщины. Это примерно на 10% выше, чем в среднем по науке в целом. Десятилетие науки об океане обеспечит благоприятные условия для преодоления гендерных, поколенческих, а также региональных барьеров.</w:t>
      </w:r>
    </w:p>
    <w:p w14:paraId="6845197C" w14:textId="615492A3" w:rsidR="00324EFE" w:rsidRPr="00280BDC" w:rsidRDefault="00324EFE" w:rsidP="00280BDC">
      <w:pPr>
        <w:spacing w:after="2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ru"/>
        </w:rPr>
        <w:t>1 января мы дали старт беспрецедентному периоду — Десятилетию Организации Объединенных Наций, посвященному науке об океане в интересах устойчивого развития (2021–2030 гг.), воплотив в жизнь идею, рожденную в рамках этой Комиссии. На протяжении последних трех лет мы уделяли необходимое время и усилия, и даже больше, чтобы предложить, обсудить и консолидировать план проведения для решения приоритетных задач Десятилетия и достижения согласованных целей. 31 декабря 2020 года Генеральная Ассамблея Организации Объединенных Наций приняла резолюцию 75/239, в которой она приветствует подготовительную работу, проведенную МОК, и с удовлетворением отмечает план проведения Десятилетия Организации Объединенных Наций, посвященного науке об океане в интересах устойчивого развития. Нам также было поручено координировать проведение Десятилетия и периодически докладывать об этом. Это требует должного внимания, поскольку нам необходимо вооружиться кадровыми и финансовыми ресурсами для выполнения требований, связанных с такими задачами.</w:t>
      </w:r>
    </w:p>
    <w:p w14:paraId="61B4EDC0" w14:textId="0ADD866D" w:rsidR="00692F17" w:rsidRPr="00280BDC" w:rsidRDefault="00692F17" w:rsidP="00280BDC">
      <w:pPr>
        <w:spacing w:after="2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ru"/>
        </w:rPr>
        <w:t>По словам члена Группы планирования деятельности, после объявления об утверждении программ и вкладов, сделанного на прошлой неделе по случаю Всемирного дня океанов, весь мир приветствовал превосходный набор программ, которые были утверждены для начала Десятилетия науки об океане. Большое оживление вызвали программы, связанные с расширением участия в Десятилетии, изучением исторических и культурных аспектов океана, а также другие мероприятия, которые будут способствовать расширению участия и признанию многочисленных аспектов влияния океана на всех нас.</w:t>
      </w:r>
    </w:p>
    <w:p w14:paraId="708878E4" w14:textId="366F9ABD" w:rsidR="00C1137D" w:rsidRPr="00280BDC" w:rsidRDefault="00324EFE" w:rsidP="00280BDC">
      <w:pPr>
        <w:spacing w:after="2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ru"/>
        </w:rPr>
        <w:t>В то же время может сложиться впечатление, что, несмотря на то, что мы приложили максимум усилий для подготовки к Десятилетию науки об океане, мы приостановили адекватную разработку, обсуждение или согласование собственного специфического вклада МОК в Десятилетие. И хотя все мы согласны с тем, что у МОК есть большие возможности внести еще больший вклад в контексте Десятилетия науки об океане и что Десятилетие является уникальным источником для развития и дальнейшего укрепления партнерства и сотрудничества, некоторые члены нашего сообщества могут придерживаться мнения, что мероприятия Десятилетия являются возможными конкурентами или даже фактором размывания роли и обязанностей МОК. Последнее восприятие — это то, что мы должны предотвратить путем надлежащего обсуждения и активной позиции.</w:t>
      </w:r>
    </w:p>
    <w:p w14:paraId="3F9CAEFB" w14:textId="0FEC4C16" w:rsidR="00E85C0C" w:rsidRPr="00280BDC" w:rsidRDefault="00035365" w:rsidP="00280BDC">
      <w:pPr>
        <w:spacing w:after="2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ru"/>
        </w:rPr>
        <w:t>В рамках нашего вклада в декабре прошлого года мы опубликовали НДМО 2020. Этот доклад представляет собой важный шаг в определении возможностей, ресурсов и ограничений наших государств-членов, предоставляя бесценную информацию для лиц, принимающих решения.</w:t>
      </w:r>
    </w:p>
    <w:p w14:paraId="6D6F687C" w14:textId="1A8DE010" w:rsidR="00AB5D3E" w:rsidRPr="00280BDC" w:rsidRDefault="00AB5D3E" w:rsidP="00280BDC">
      <w:pPr>
        <w:spacing w:after="2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ru"/>
        </w:rPr>
        <w:t xml:space="preserve">Несмотря на сложные обстоятельства, наши глобальные программы, региональные вспомогательные органы и технические вспомогательные органы смогли провести </w:t>
      </w:r>
      <w:r>
        <w:rPr>
          <w:rFonts w:asciiTheme="minorBidi" w:hAnsiTheme="minorBidi" w:cstheme="minorBidi"/>
          <w:lang w:val="ru"/>
        </w:rPr>
        <w:lastRenderedPageBreak/>
        <w:t>дистанционное совещание, представить доклад о ключевых событиях, произошедших в межсессионный период, согласовать дальнейшие шаги и рекомендовать меры Ассамблее, наглядно продемонстрировав устойчивость и приверженность этого сообщества, занимающегося связанными с океаном вопросами. Мы продолжили развитие Системы океанографических данных и информации (ОДИС), запустили такие проекты, как «Инфохаб-Океан», система передачи морской технологии, второй этап Глобальной академии «Океан-инструктор» (ГАОИ-2) и ее сеть учебных центров, а также Сеть оповещения о биозагрязнении вод у островов Тихого океана, при любезной поддержке правительства Фландрии (Королевство Бельгия).</w:t>
      </w:r>
    </w:p>
    <w:p w14:paraId="019E52E4" w14:textId="40890D06" w:rsidR="00035365" w:rsidRPr="00280BDC" w:rsidRDefault="00035365" w:rsidP="00280BDC">
      <w:pPr>
        <w:spacing w:after="2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ru"/>
        </w:rPr>
        <w:t xml:space="preserve">Развитие потенциала остается одним из основополагающих постулатов нашей Комиссии, и оно должным образом поставлено во главу угла наших шести основных функциональных областей. Оно позволяет всем государствам-членам участвовать в океанических исследованиях и службах, которые являются значимыми факторами для устойчивого развития и благосостояния человека на планете, и извлекать из них пользу. Некоторые из наших инициатив направлены на Африку, Латинскую Америку и Карибский бассейн, а также на малые островные развивающиеся государства Тихого океана. Пользуясь возможностью, я хотел бы напомнить государствам-членам, которые еще не сделали этого, о необходимости назначения координатора МОК по развитию потенциала, поскольку после циркулярных писем, выпущенных в 2018 и 2020 годах, только треть из 150 государств-членов назначила координаторов по развитию потенциала. </w:t>
      </w:r>
    </w:p>
    <w:p w14:paraId="10D11A68" w14:textId="4A649E39" w:rsidR="00695A70" w:rsidRPr="00280BDC" w:rsidRDefault="00856AFD" w:rsidP="00280BDC">
      <w:pPr>
        <w:spacing w:after="240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ru"/>
        </w:rPr>
        <w:t xml:space="preserve">Изучая документы, подготовленные для этой Ассамблеи, и после просмотра тематических вебинаров, мы, безусловно, видим очень хороший прогресс, и все же я твердо убежден, что мы можем сделать еще больше для дальнейшего позиционирования МОК в глобальном контексте.  </w:t>
      </w:r>
    </w:p>
    <w:p w14:paraId="6DBACDBC" w14:textId="39C3017C" w:rsidR="002F0C18" w:rsidRPr="00280BDC" w:rsidRDefault="00B17C46" w:rsidP="00280BDC">
      <w:pPr>
        <w:spacing w:after="2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ru"/>
        </w:rPr>
        <w:t xml:space="preserve">Настало время для слов признательности. Особая благодарность всему нашему Секретариату за впечатляющую работу и преданность делу, на передовой и в тылу, в штаб-квартире и на местах. Я также благодарю своих коллег, которые взяли на себя выполнение многочисленных задач и выполняли их с большим профессионализмом и преданностью общему благу. Наконец, позвольте мне отметить неизменно здравые советы и мудрость нашего предыдущего уважаемого председателя, норвежского профессора Питера Хаугана. </w:t>
      </w:r>
    </w:p>
    <w:p w14:paraId="060E00ED" w14:textId="77777777" w:rsidR="002F0C18" w:rsidRPr="00280BDC" w:rsidRDefault="002F0C18" w:rsidP="00280BDC">
      <w:pPr>
        <w:jc w:val="both"/>
        <w:rPr>
          <w:rFonts w:asciiTheme="minorBidi" w:hAnsiTheme="minorBidi" w:cstheme="minorBidi"/>
        </w:rPr>
      </w:pPr>
    </w:p>
    <w:sectPr w:rsidR="002F0C18" w:rsidRPr="00280BDC" w:rsidSect="007D08B9">
      <w:headerReference w:type="even" r:id="rId13"/>
      <w:headerReference w:type="default" r:id="rId14"/>
      <w:headerReference w:type="first" r:id="rId15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65BA2" w14:textId="77777777" w:rsidR="00F034B3" w:rsidRDefault="00F034B3" w:rsidP="00650219">
      <w:r>
        <w:separator/>
      </w:r>
    </w:p>
  </w:endnote>
  <w:endnote w:type="continuationSeparator" w:id="0">
    <w:p w14:paraId="07D4BFFC" w14:textId="77777777" w:rsidR="00F034B3" w:rsidRDefault="00F034B3" w:rsidP="0065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7E7A0" w14:textId="77777777" w:rsidR="00F034B3" w:rsidRDefault="00F034B3" w:rsidP="00650219">
      <w:r>
        <w:separator/>
      </w:r>
    </w:p>
  </w:footnote>
  <w:footnote w:type="continuationSeparator" w:id="0">
    <w:p w14:paraId="077E308B" w14:textId="77777777" w:rsidR="00F034B3" w:rsidRDefault="00F034B3" w:rsidP="0065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B2AFF" w14:textId="7D9BAA83" w:rsidR="007D08B9" w:rsidRDefault="007D08B9" w:rsidP="007D08B9">
    <w:pPr>
      <w:rPr>
        <w:rFonts w:asciiTheme="minorBidi" w:hAnsiTheme="minorBidi" w:cstheme="minorBidi"/>
      </w:rPr>
    </w:pPr>
    <w:r>
      <w:rPr>
        <w:rFonts w:asciiTheme="minorBidi" w:hAnsiTheme="minorBidi" w:cstheme="minorBidi"/>
        <w:lang w:val="ru"/>
      </w:rPr>
      <w:t>IOC/A-31/3.1.Inf</w:t>
    </w:r>
  </w:p>
  <w:p w14:paraId="57E965F7" w14:textId="370600C5" w:rsidR="007D08B9" w:rsidRDefault="007D08B9" w:rsidP="007D08B9">
    <w:pPr>
      <w:rPr>
        <w:rFonts w:asciiTheme="minorBidi" w:hAnsiTheme="minorBidi" w:cstheme="minorBidi"/>
      </w:rPr>
    </w:pPr>
    <w:r>
      <w:rPr>
        <w:rFonts w:asciiTheme="minorBidi" w:hAnsiTheme="minorBidi" w:cstheme="minorBidi"/>
        <w:lang w:val="ru"/>
      </w:rPr>
      <w:t xml:space="preserve">Страница </w:t>
    </w:r>
    <w:r>
      <w:rPr>
        <w:rFonts w:asciiTheme="minorBidi" w:hAnsiTheme="minorBidi" w:cstheme="minorBidi"/>
        <w:lang w:val="ru"/>
      </w:rPr>
      <w:fldChar w:fldCharType="begin"/>
    </w:r>
    <w:r>
      <w:rPr>
        <w:rFonts w:asciiTheme="minorBidi" w:hAnsiTheme="minorBidi" w:cstheme="minorBidi"/>
        <w:lang w:val="ru"/>
      </w:rPr>
      <w:instrText xml:space="preserve"> PAGE   \* MERGEFORMAT </w:instrText>
    </w:r>
    <w:r>
      <w:rPr>
        <w:rFonts w:asciiTheme="minorBidi" w:hAnsiTheme="minorBidi" w:cstheme="minorBidi"/>
        <w:lang w:val="ru"/>
      </w:rPr>
      <w:fldChar w:fldCharType="separate"/>
    </w:r>
    <w:r>
      <w:rPr>
        <w:rFonts w:asciiTheme="minorBidi" w:hAnsiTheme="minorBidi" w:cstheme="minorBidi"/>
        <w:noProof/>
        <w:lang w:val="ru"/>
      </w:rPr>
      <w:t>1</w:t>
    </w:r>
    <w:r>
      <w:rPr>
        <w:rFonts w:asciiTheme="minorBidi" w:hAnsiTheme="minorBidi" w:cstheme="minorBidi"/>
        <w:noProof/>
        <w:lang w:val="ru"/>
      </w:rPr>
      <w:fldChar w:fldCharType="end"/>
    </w:r>
  </w:p>
  <w:p w14:paraId="3A07B90C" w14:textId="77777777" w:rsidR="007D08B9" w:rsidRDefault="007D08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05AA6" w14:textId="77777777" w:rsidR="007D08B9" w:rsidRDefault="007D08B9" w:rsidP="007D08B9">
    <w:pPr>
      <w:jc w:val="right"/>
      <w:rPr>
        <w:rFonts w:asciiTheme="minorBidi" w:hAnsiTheme="minorBidi" w:cstheme="minorBidi"/>
      </w:rPr>
    </w:pPr>
    <w:r>
      <w:rPr>
        <w:rFonts w:asciiTheme="minorBidi" w:hAnsiTheme="minorBidi" w:cstheme="minorBidi"/>
        <w:lang w:val="ru"/>
      </w:rPr>
      <w:t>IOC/A-31/3.1.Inf</w:t>
    </w:r>
  </w:p>
  <w:p w14:paraId="0953CA1F" w14:textId="1B7C3F63" w:rsidR="007D08B9" w:rsidRDefault="007D08B9" w:rsidP="007D08B9">
    <w:pPr>
      <w:ind w:firstLine="7419"/>
      <w:rPr>
        <w:rFonts w:asciiTheme="minorBidi" w:hAnsiTheme="minorBidi" w:cstheme="minorBidi"/>
      </w:rPr>
    </w:pPr>
    <w:r>
      <w:rPr>
        <w:rFonts w:asciiTheme="minorBidi" w:hAnsiTheme="minorBidi" w:cstheme="minorBidi"/>
        <w:lang w:val="ru"/>
      </w:rPr>
      <w:t xml:space="preserve">Страница </w:t>
    </w:r>
    <w:r>
      <w:rPr>
        <w:rFonts w:asciiTheme="minorBidi" w:hAnsiTheme="minorBidi" w:cstheme="minorBidi"/>
        <w:lang w:val="ru"/>
      </w:rPr>
      <w:fldChar w:fldCharType="begin"/>
    </w:r>
    <w:r>
      <w:rPr>
        <w:rFonts w:asciiTheme="minorBidi" w:hAnsiTheme="minorBidi" w:cstheme="minorBidi"/>
        <w:lang w:val="ru"/>
      </w:rPr>
      <w:instrText xml:space="preserve"> PAGE   \* MERGEFORMAT </w:instrText>
    </w:r>
    <w:r>
      <w:rPr>
        <w:rFonts w:asciiTheme="minorBidi" w:hAnsiTheme="minorBidi" w:cstheme="minorBidi"/>
        <w:lang w:val="ru"/>
      </w:rPr>
      <w:fldChar w:fldCharType="separate"/>
    </w:r>
    <w:r>
      <w:rPr>
        <w:rFonts w:asciiTheme="minorBidi" w:hAnsiTheme="minorBidi" w:cstheme="minorBidi"/>
        <w:noProof/>
        <w:lang w:val="ru"/>
      </w:rPr>
      <w:t>1</w:t>
    </w:r>
    <w:r>
      <w:rPr>
        <w:rFonts w:asciiTheme="minorBidi" w:hAnsiTheme="minorBidi" w:cstheme="minorBidi"/>
        <w:noProof/>
        <w:lang w:val="ru"/>
      </w:rPr>
      <w:fldChar w:fldCharType="end"/>
    </w:r>
  </w:p>
  <w:p w14:paraId="67AC6B0F" w14:textId="77777777" w:rsidR="007D08B9" w:rsidRDefault="007D08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6CB1F" w14:textId="77777777" w:rsidR="007D08B9" w:rsidRDefault="007D08B9" w:rsidP="007D08B9">
    <w:pPr>
      <w:jc w:val="right"/>
      <w:rPr>
        <w:rFonts w:asciiTheme="minorBidi" w:hAnsiTheme="minorBidi" w:cstheme="minorBidi"/>
      </w:rPr>
    </w:pPr>
    <w:r>
      <w:rPr>
        <w:rFonts w:asciiTheme="minorBidi" w:hAnsiTheme="minorBidi" w:cstheme="minorBidi"/>
        <w:lang w:val="ru"/>
      </w:rPr>
      <w:t>IOC/A-31/3.1.Inf</w:t>
    </w:r>
  </w:p>
  <w:p w14:paraId="2B488892" w14:textId="77777777" w:rsidR="007D08B9" w:rsidRDefault="007D0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5D8004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8032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8CB0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D6D07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8E532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CB8A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2BA0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44CA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5026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F451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A6369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5213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7F86DA5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5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92"/>
    <w:rsid w:val="00035365"/>
    <w:rsid w:val="000959FE"/>
    <w:rsid w:val="00096D7E"/>
    <w:rsid w:val="000E0D03"/>
    <w:rsid w:val="0010376B"/>
    <w:rsid w:val="00110E83"/>
    <w:rsid w:val="00122AF6"/>
    <w:rsid w:val="00124EFA"/>
    <w:rsid w:val="001373C1"/>
    <w:rsid w:val="001F4AEC"/>
    <w:rsid w:val="00203DDF"/>
    <w:rsid w:val="002113A4"/>
    <w:rsid w:val="00227FC0"/>
    <w:rsid w:val="002515C6"/>
    <w:rsid w:val="00256067"/>
    <w:rsid w:val="002741AA"/>
    <w:rsid w:val="00280BDC"/>
    <w:rsid w:val="0028533C"/>
    <w:rsid w:val="002F0C18"/>
    <w:rsid w:val="00324EFE"/>
    <w:rsid w:val="00347C41"/>
    <w:rsid w:val="0036473C"/>
    <w:rsid w:val="003A2A0E"/>
    <w:rsid w:val="00405555"/>
    <w:rsid w:val="00406D42"/>
    <w:rsid w:val="004323AE"/>
    <w:rsid w:val="00472D3F"/>
    <w:rsid w:val="004A1085"/>
    <w:rsid w:val="004E108E"/>
    <w:rsid w:val="00506CE3"/>
    <w:rsid w:val="00506E0A"/>
    <w:rsid w:val="00532E2E"/>
    <w:rsid w:val="005C7015"/>
    <w:rsid w:val="005F066C"/>
    <w:rsid w:val="0060009D"/>
    <w:rsid w:val="006006B8"/>
    <w:rsid w:val="00645252"/>
    <w:rsid w:val="006478AD"/>
    <w:rsid w:val="00650219"/>
    <w:rsid w:val="00692F17"/>
    <w:rsid w:val="00695A70"/>
    <w:rsid w:val="006A29AC"/>
    <w:rsid w:val="006C0EB2"/>
    <w:rsid w:val="006D3D74"/>
    <w:rsid w:val="006E3B29"/>
    <w:rsid w:val="0074107E"/>
    <w:rsid w:val="00754257"/>
    <w:rsid w:val="007A1037"/>
    <w:rsid w:val="007D08B9"/>
    <w:rsid w:val="008133A0"/>
    <w:rsid w:val="0083569A"/>
    <w:rsid w:val="00856AFD"/>
    <w:rsid w:val="00893A92"/>
    <w:rsid w:val="008C24A2"/>
    <w:rsid w:val="008F3911"/>
    <w:rsid w:val="00991453"/>
    <w:rsid w:val="00A2186B"/>
    <w:rsid w:val="00A9204E"/>
    <w:rsid w:val="00AB5D3E"/>
    <w:rsid w:val="00AB65E5"/>
    <w:rsid w:val="00B17C46"/>
    <w:rsid w:val="00B24055"/>
    <w:rsid w:val="00B42CC6"/>
    <w:rsid w:val="00B81F72"/>
    <w:rsid w:val="00C1137D"/>
    <w:rsid w:val="00C81F5E"/>
    <w:rsid w:val="00CC4E4B"/>
    <w:rsid w:val="00CC7C48"/>
    <w:rsid w:val="00E03C40"/>
    <w:rsid w:val="00E85C0C"/>
    <w:rsid w:val="00EB18D7"/>
    <w:rsid w:val="00F034B3"/>
    <w:rsid w:val="00F06118"/>
    <w:rsid w:val="00F44EAE"/>
    <w:rsid w:val="00F718F4"/>
    <w:rsid w:val="00F73C7D"/>
    <w:rsid w:val="00F9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A8C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219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219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0219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0219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0219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0219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0219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50219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50219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50219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021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021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5021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65021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5021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5021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5021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650219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21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2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5021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650219"/>
    <w:rPr>
      <w:rFonts w:ascii="Calibri" w:hAnsi="Calibri" w:cs="Calibr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50219"/>
    <w:rPr>
      <w:rFonts w:ascii="Calibri" w:hAnsi="Calibri" w:cs="Calibri"/>
      <w:i/>
      <w:iCs/>
    </w:rPr>
  </w:style>
  <w:style w:type="character" w:styleId="IntenseEmphasis">
    <w:name w:val="Intense Emphasis"/>
    <w:basedOn w:val="DefaultParagraphFont"/>
    <w:uiPriority w:val="21"/>
    <w:qFormat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650219"/>
    <w:rPr>
      <w:rFonts w:ascii="Calibri" w:hAnsi="Calibri" w:cs="Calibr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5021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219"/>
    <w:rPr>
      <w:rFonts w:ascii="Calibri" w:hAnsi="Calibri" w:cs="Calibri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21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650219"/>
    <w:rPr>
      <w:rFonts w:ascii="Calibri" w:hAnsi="Calibri" w:cs="Calibri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5021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650219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50219"/>
    <w:rPr>
      <w:rFonts w:ascii="Calibri" w:hAnsi="Calibri" w:cs="Calibri"/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50219"/>
    <w:rPr>
      <w:rFonts w:ascii="Calibri" w:hAnsi="Calibri" w:cs="Calibri"/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50219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219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19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5021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5021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0219"/>
    <w:rPr>
      <w:rFonts w:ascii="Calibri" w:hAnsi="Calibri" w:cs="Calibri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021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0219"/>
    <w:rPr>
      <w:rFonts w:ascii="Calibri" w:hAnsi="Calibri" w:cs="Calibri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0219"/>
    <w:rPr>
      <w:rFonts w:ascii="Calibri" w:hAnsi="Calibri" w:cs="Calibri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21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219"/>
    <w:rPr>
      <w:rFonts w:ascii="Calibri" w:hAnsi="Calibri" w:cs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219"/>
    <w:rPr>
      <w:rFonts w:ascii="Calibri" w:hAnsi="Calibri" w:cs="Calibri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0219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0219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0219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0219"/>
    <w:rPr>
      <w:rFonts w:ascii="Calibri" w:hAnsi="Calibri" w:cs="Calibri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0219"/>
    <w:rPr>
      <w:rFonts w:ascii="Calibri Light" w:eastAsiaTheme="majorEastAsia" w:hAnsi="Calibri Light" w:cs="Calibri Light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021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0219"/>
    <w:rPr>
      <w:rFonts w:ascii="Calibri" w:hAnsi="Calibri" w:cs="Calibri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0219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0219"/>
    <w:rPr>
      <w:rFonts w:ascii="Consolas" w:hAnsi="Consolas" w:cs="Calibri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50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50219"/>
    <w:rPr>
      <w:rFonts w:ascii="Consolas" w:hAnsi="Consolas" w:cs="Calibri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50219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0219"/>
    <w:rPr>
      <w:rFonts w:ascii="Consolas" w:hAnsi="Consolas" w:cs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650219"/>
    <w:rPr>
      <w:rFonts w:ascii="Calibri" w:hAnsi="Calibri" w:cs="Calibri"/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50219"/>
  </w:style>
  <w:style w:type="character" w:customStyle="1" w:styleId="HeaderChar">
    <w:name w:val="Header Char"/>
    <w:basedOn w:val="DefaultParagraphFont"/>
    <w:link w:val="Header"/>
    <w:uiPriority w:val="99"/>
    <w:rsid w:val="0065021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50219"/>
  </w:style>
  <w:style w:type="character" w:customStyle="1" w:styleId="FooterChar">
    <w:name w:val="Footer Char"/>
    <w:basedOn w:val="DefaultParagraphFont"/>
    <w:link w:val="Footer"/>
    <w:uiPriority w:val="99"/>
    <w:rsid w:val="00650219"/>
    <w:rPr>
      <w:rFonts w:ascii="Calibri" w:hAnsi="Calibri" w:cs="Calibr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50219"/>
    <w:pPr>
      <w:spacing w:after="120"/>
      <w:ind w:left="1757"/>
    </w:pPr>
  </w:style>
  <w:style w:type="character" w:styleId="Mention">
    <w:name w:val="Mention"/>
    <w:basedOn w:val="DefaultParagraphFont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650219"/>
    <w:pPr>
      <w:numPr>
        <w:numId w:val="24"/>
      </w:numPr>
    </w:pPr>
  </w:style>
  <w:style w:type="numbering" w:styleId="1ai">
    <w:name w:val="Outline List 1"/>
    <w:basedOn w:val="NoList"/>
    <w:uiPriority w:val="99"/>
    <w:semiHidden/>
    <w:unhideWhenUsed/>
    <w:rsid w:val="00650219"/>
    <w:pPr>
      <w:numPr>
        <w:numId w:val="25"/>
      </w:numPr>
    </w:pPr>
  </w:style>
  <w:style w:type="character" w:styleId="HTMLVariable">
    <w:name w:val="HTML Variable"/>
    <w:basedOn w:val="DefaultParagraphFont"/>
    <w:uiPriority w:val="99"/>
    <w:semiHidden/>
    <w:unhideWhenUsed/>
    <w:rsid w:val="00650219"/>
    <w:rPr>
      <w:rFonts w:ascii="Calibri" w:hAnsi="Calibri" w:cs="Calibri"/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5021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0219"/>
    <w:rPr>
      <w:rFonts w:ascii="Calibri" w:hAnsi="Calibri" w:cs="Calibri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50219"/>
    <w:rPr>
      <w:rFonts w:ascii="Consolas" w:hAnsi="Consolas" w:cs="Calibri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650219"/>
    <w:rPr>
      <w:rFonts w:ascii="Calibri" w:hAnsi="Calibri" w:cs="Calibri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5021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5021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5021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5021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5021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5021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5021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50219"/>
    <w:pPr>
      <w:spacing w:after="100"/>
      <w:ind w:left="15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0219"/>
    <w:pPr>
      <w:outlineLvl w:val="9"/>
    </w:pPr>
    <w:rPr>
      <w:color w:val="2E74B5" w:themeColor="accent1" w:themeShade="BF"/>
    </w:rPr>
  </w:style>
  <w:style w:type="table" w:styleId="TableProfessional">
    <w:name w:val="Table Professional"/>
    <w:basedOn w:val="Table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List1">
    <w:name w:val="Medium List 1"/>
    <w:basedOn w:val="Table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650219"/>
  </w:style>
  <w:style w:type="character" w:styleId="Hashtag">
    <w:name w:val="Hashtag"/>
    <w:basedOn w:val="DefaultParagraphFont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50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5021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eElegant">
    <w:name w:val="Table Elegant"/>
    <w:basedOn w:val="TableNormal"/>
    <w:uiPriority w:val="99"/>
    <w:semiHidden/>
    <w:unhideWhenUsed/>
    <w:rsid w:val="006502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">
    <w:name w:val="List"/>
    <w:basedOn w:val="Normal"/>
    <w:uiPriority w:val="99"/>
    <w:semiHidden/>
    <w:unhideWhenUsed/>
    <w:rsid w:val="0065021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5021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5021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5021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50219"/>
    <w:pPr>
      <w:ind w:left="1800" w:hanging="360"/>
      <w:contextualSpacing/>
    </w:pPr>
  </w:style>
  <w:style w:type="table" w:styleId="TableList1">
    <w:name w:val="Table List 1"/>
    <w:basedOn w:val="TableNormal"/>
    <w:uiPriority w:val="99"/>
    <w:semiHidden/>
    <w:unhideWhenUsed/>
    <w:rsid w:val="006502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502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502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Continue">
    <w:name w:val="List Continue"/>
    <w:basedOn w:val="Normal"/>
    <w:uiPriority w:val="99"/>
    <w:semiHidden/>
    <w:unhideWhenUsed/>
    <w:rsid w:val="0065021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5021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5021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5021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50219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50219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650219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50219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50219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50219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50219"/>
    <w:pPr>
      <w:numPr>
        <w:numId w:val="17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650219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50219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50219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50219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50219"/>
    <w:pPr>
      <w:numPr>
        <w:numId w:val="12"/>
      </w:numPr>
      <w:contextualSpacing/>
    </w:pPr>
  </w:style>
  <w:style w:type="table" w:styleId="TableClassic1">
    <w:name w:val="Table Classic 1"/>
    <w:basedOn w:val="Table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502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502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650219"/>
  </w:style>
  <w:style w:type="character" w:styleId="EndnoteReference">
    <w:name w:val="endnote reference"/>
    <w:basedOn w:val="DefaultParagraphFont"/>
    <w:uiPriority w:val="99"/>
    <w:semiHidden/>
    <w:unhideWhenUsed/>
    <w:rsid w:val="00650219"/>
    <w:rPr>
      <w:rFonts w:ascii="Calibri" w:hAnsi="Calibri" w:cs="Calibri"/>
      <w:vertAlign w:val="superscript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50219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650219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ColorfulList">
    <w:name w:val="Colorful List"/>
    <w:basedOn w:val="Table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Colorful1">
    <w:name w:val="Table Colorful 1"/>
    <w:basedOn w:val="TableNormal"/>
    <w:uiPriority w:val="99"/>
    <w:semiHidden/>
    <w:unhideWhenUsed/>
    <w:rsid w:val="006502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502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502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65021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leSection">
    <w:name w:val="Outline List 3"/>
    <w:basedOn w:val="NoList"/>
    <w:uiPriority w:val="99"/>
    <w:semiHidden/>
    <w:unhideWhenUsed/>
    <w:rsid w:val="00650219"/>
    <w:pPr>
      <w:numPr>
        <w:numId w:val="26"/>
      </w:numPr>
    </w:pPr>
  </w:style>
  <w:style w:type="table" w:styleId="PlainTable1">
    <w:name w:val="Plain Table 1"/>
    <w:basedOn w:val="TableNormal"/>
    <w:uiPriority w:val="41"/>
    <w:rsid w:val="006502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502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502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502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502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650219"/>
    <w:rPr>
      <w:rFonts w:ascii="Calibri" w:hAnsi="Calibri" w:cs="Calibri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50219"/>
  </w:style>
  <w:style w:type="character" w:customStyle="1" w:styleId="DateChar">
    <w:name w:val="Date Char"/>
    <w:basedOn w:val="DefaultParagraphFont"/>
    <w:link w:val="Date"/>
    <w:uiPriority w:val="99"/>
    <w:semiHidden/>
    <w:rsid w:val="0065021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50219"/>
    <w:rPr>
      <w:rFonts w:ascii="Times New Roman" w:hAnsi="Times New Roman" w:cs="Times New Roman"/>
      <w:sz w:val="24"/>
      <w:szCs w:val="24"/>
    </w:rPr>
  </w:style>
  <w:style w:type="character" w:styleId="SmartHyperlink">
    <w:name w:val="Smart Hyperlink"/>
    <w:basedOn w:val="DefaultParagraphFont"/>
    <w:uiPriority w:val="99"/>
    <w:semiHidden/>
    <w:unhideWhenUsed/>
    <w:rsid w:val="00650219"/>
    <w:rPr>
      <w:rFonts w:ascii="Calibri" w:hAnsi="Calibri" w:cs="Calibri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650219"/>
    <w:rPr>
      <w:rFonts w:ascii="Calibri" w:hAnsi="Calibri" w:cs="Calibri"/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6502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0219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502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0219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5021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50219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5021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50219"/>
    <w:rPr>
      <w:rFonts w:ascii="Calibri" w:hAnsi="Calibri" w:cs="Calibri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5021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50219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5021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50219"/>
    <w:rPr>
      <w:rFonts w:ascii="Calibri" w:hAnsi="Calibri" w:cs="Calibri"/>
    </w:rPr>
  </w:style>
  <w:style w:type="paragraph" w:styleId="NormalIndent">
    <w:name w:val="Normal Indent"/>
    <w:basedOn w:val="Normal"/>
    <w:uiPriority w:val="99"/>
    <w:semiHidden/>
    <w:unhideWhenUsed/>
    <w:rsid w:val="0065021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5021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50219"/>
    <w:rPr>
      <w:rFonts w:ascii="Calibri" w:hAnsi="Calibri" w:cs="Calibri"/>
    </w:rPr>
  </w:style>
  <w:style w:type="table" w:styleId="TableContemporary">
    <w:name w:val="Table Contemporary"/>
    <w:basedOn w:val="TableNormal"/>
    <w:uiPriority w:val="99"/>
    <w:semiHidden/>
    <w:unhideWhenUsed/>
    <w:rsid w:val="006502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List">
    <w:name w:val="Light List"/>
    <w:basedOn w:val="Table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502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Table1Light">
    <w:name w:val="List Table 1 Light"/>
    <w:basedOn w:val="Table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65021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5021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5021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5021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5021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5021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5021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6502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5021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5021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5021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5021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5021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5021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5021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5021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5021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5021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5021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5021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5021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5021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50219"/>
    <w:rPr>
      <w:rFonts w:ascii="Calibri" w:hAnsi="Calibri" w:cs="Calibri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5021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50219"/>
    <w:rPr>
      <w:rFonts w:ascii="Calibri" w:hAnsi="Calibri" w:cs="Calibri"/>
    </w:rPr>
  </w:style>
  <w:style w:type="table" w:styleId="TableColumns1">
    <w:name w:val="Table Columns 1"/>
    <w:basedOn w:val="Table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502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502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502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65021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50219"/>
    <w:rPr>
      <w:rFonts w:ascii="Calibri" w:hAnsi="Calibri" w:cs="Calibri"/>
    </w:rPr>
  </w:style>
  <w:style w:type="table" w:styleId="TableSimple1">
    <w:name w:val="Table Simple 1"/>
    <w:basedOn w:val="TableNormal"/>
    <w:uiPriority w:val="99"/>
    <w:semiHidden/>
    <w:unhideWhenUsed/>
    <w:rsid w:val="006502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502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502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6502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65021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5021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5021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5021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5021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5021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5021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5021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50219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50219"/>
    <w:rPr>
      <w:rFonts w:ascii="Calibri Light" w:eastAsiaTheme="majorEastAsia" w:hAnsi="Calibri Light" w:cs="Calibri Light"/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65021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50219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502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502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502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502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502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502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6502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5021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5021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5021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5021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5021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5021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5021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5021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5021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5021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5021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5021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5021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6502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502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6502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650219"/>
    <w:rPr>
      <w:rFonts w:ascii="Calibri" w:hAnsi="Calibri" w:cs="Calibri"/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650219"/>
    <w:rPr>
      <w:rFonts w:ascii="Calibri" w:hAnsi="Calibri" w:cs="Calibri"/>
    </w:rPr>
  </w:style>
  <w:style w:type="table" w:styleId="Table3Deffects1">
    <w:name w:val="Table 3D effects 1"/>
    <w:basedOn w:val="TableNormal"/>
    <w:uiPriority w:val="99"/>
    <w:semiHidden/>
    <w:unhideWhenUsed/>
    <w:rsid w:val="006502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502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5021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esdoc.unesco.org/ark:/48223/pf0000375147.locale=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esdoc.unesco.org/ark:/48223/pf0000139345.locale=en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ioc.unesco.org/news/ioc-assembly-31-thematic-webina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tro\AppData\Local\Microsoft\Office\16.0\DTS\es-ES%7bBCF6CD4A-FEF7-4F03-853A-E19095C70378%7d\%7b180AE605-C469-440F-8C98-0A668541792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F6864887-B8DC-4D7B-909E-88D08BAE65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{180AE605-C469-440F-8C98-0A668541792E}tf02786999_win32.dotx</Template>
  <TotalTime>0</TotalTime>
  <Pages>4</Pages>
  <Words>1937</Words>
  <Characters>11047</Characters>
  <Application>Microsoft Office Word</Application>
  <DocSecurity>4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2021-06-23T07:25:00Z</dcterms:created>
  <dcterms:modified xsi:type="dcterms:W3CDTF">2021-06-23T07:25:00Z</dcterms:modified>
</cp:coreProperties>
</file>