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1ACF6" w14:textId="676A1153" w:rsidR="00721957" w:rsidRPr="00A925FB" w:rsidRDefault="00EA5801" w:rsidP="00721957">
      <w:pPr>
        <w:spacing w:line="276" w:lineRule="auto"/>
        <w:jc w:val="center"/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</w:pPr>
      <w:bookmarkStart w:id="0" w:name="_GoBack"/>
      <w:bookmarkEnd w:id="0"/>
      <w:r w:rsidRPr="00A925FB"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  <w:t>1</w:t>
      </w:r>
      <w:r w:rsidR="00853B7D" w:rsidRPr="00A925FB"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  <w:t>7</w:t>
      </w:r>
      <w:r w:rsidR="00721957" w:rsidRPr="00A925FB">
        <w:rPr>
          <w:rFonts w:ascii="Calibri" w:eastAsia="Calibri" w:hAnsi="Calibri" w:cs="Times New Roman"/>
          <w:b/>
          <w:i/>
          <w:noProof/>
          <w:sz w:val="31"/>
          <w:szCs w:val="31"/>
          <w:vertAlign w:val="superscript"/>
          <w:lang w:val="en-US"/>
        </w:rPr>
        <w:t>th</w:t>
      </w:r>
      <w:r w:rsidR="00721957" w:rsidRPr="00A925FB"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  <w:t xml:space="preserve"> Session of the Intergovernmental Coordination Group for the Tsunami Early Warning and Mitigation System in the North-eastern Atlantic, the Mediterranean and Connected Seas (ICG/NEAMTWS-X</w:t>
      </w:r>
      <w:r w:rsidR="00206C88"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  <w:t>VII</w:t>
      </w:r>
      <w:r w:rsidR="00721957" w:rsidRPr="00A925FB">
        <w:rPr>
          <w:rFonts w:ascii="Calibri" w:eastAsia="Calibri" w:hAnsi="Calibri" w:cs="Times New Roman"/>
          <w:b/>
          <w:i/>
          <w:noProof/>
          <w:sz w:val="31"/>
          <w:szCs w:val="31"/>
          <w:lang w:val="en-US"/>
        </w:rPr>
        <w:t xml:space="preserve">) </w:t>
      </w:r>
    </w:p>
    <w:p w14:paraId="75F3DE0B" w14:textId="483FC84B" w:rsidR="00721957" w:rsidRPr="00A925FB" w:rsidRDefault="00853B7D" w:rsidP="00721957">
      <w:pPr>
        <w:spacing w:line="276" w:lineRule="auto"/>
        <w:jc w:val="center"/>
        <w:rPr>
          <w:rFonts w:ascii="Calibri" w:eastAsia="Calibri" w:hAnsi="Calibri" w:cs="Times New Roman"/>
          <w:i/>
          <w:noProof/>
          <w:sz w:val="28"/>
          <w:szCs w:val="28"/>
          <w:lang w:val="en-US"/>
        </w:rPr>
      </w:pPr>
      <w:r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>24</w:t>
      </w:r>
      <w:r w:rsidR="00EA5801"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 xml:space="preserve"> - </w:t>
      </w:r>
      <w:r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>26</w:t>
      </w:r>
      <w:r w:rsidR="00E310FC"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 xml:space="preserve"> </w:t>
      </w:r>
      <w:r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>November 2021</w:t>
      </w:r>
      <w:r w:rsidR="00721957"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 xml:space="preserve">, </w:t>
      </w:r>
      <w:r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>Paris</w:t>
      </w:r>
      <w:r w:rsidR="00EA5801"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 xml:space="preserve">, </w:t>
      </w:r>
      <w:r w:rsidR="00E67260" w:rsidRPr="00A925FB">
        <w:rPr>
          <w:rFonts w:ascii="Calibri" w:eastAsia="Calibri" w:hAnsi="Calibri" w:cs="Times New Roman"/>
          <w:i/>
          <w:noProof/>
          <w:sz w:val="28"/>
          <w:szCs w:val="28"/>
          <w:lang w:val="en-US"/>
        </w:rPr>
        <w:t>France</w:t>
      </w:r>
    </w:p>
    <w:p w14:paraId="279A308D" w14:textId="77777777" w:rsidR="00721957" w:rsidRPr="00A925FB" w:rsidRDefault="00721957" w:rsidP="00721957">
      <w:pPr>
        <w:pStyle w:val="Title"/>
        <w:pBdr>
          <w:bottom w:val="none" w:sz="0" w:space="0" w:color="auto"/>
        </w:pBdr>
        <w:jc w:val="center"/>
        <w:rPr>
          <w:rFonts w:ascii="Calibri" w:eastAsia="Calibri" w:hAnsi="Calibri" w:cs="Times New Roman"/>
          <w:b/>
          <w:i/>
          <w:noProof/>
          <w:color w:val="auto"/>
          <w:sz w:val="32"/>
          <w:szCs w:val="32"/>
          <w:lang w:val="en-US"/>
        </w:rPr>
      </w:pPr>
      <w:r w:rsidRPr="00A925FB">
        <w:rPr>
          <w:rFonts w:ascii="Calibri" w:eastAsia="Calibri" w:hAnsi="Calibri" w:cs="Times New Roman"/>
          <w:b/>
          <w:i/>
          <w:noProof/>
          <w:color w:val="auto"/>
          <w:sz w:val="32"/>
          <w:szCs w:val="32"/>
          <w:lang w:val="en-US"/>
        </w:rPr>
        <w:t>Report on Intersessional Activities of Working Group 1</w:t>
      </w:r>
      <w:r w:rsidRPr="00A925FB">
        <w:rPr>
          <w:rFonts w:ascii="Calibri" w:eastAsia="Calibri" w:hAnsi="Calibri" w:cs="Times New Roman"/>
          <w:b/>
          <w:i/>
          <w:noProof/>
          <w:color w:val="auto"/>
          <w:sz w:val="32"/>
          <w:szCs w:val="32"/>
          <w:lang w:val="en-US"/>
        </w:rPr>
        <w:br/>
        <w:t>Hazard Assessment and Modelling</w:t>
      </w:r>
    </w:p>
    <w:p w14:paraId="2F3E805E" w14:textId="2BDD2190" w:rsidR="00B753AF" w:rsidRPr="00A925FB" w:rsidRDefault="00EA5801" w:rsidP="0008213F">
      <w:pPr>
        <w:jc w:val="both"/>
        <w:rPr>
          <w:noProof/>
          <w:lang w:val="en-US"/>
        </w:rPr>
      </w:pPr>
      <w:r w:rsidRPr="00A925FB">
        <w:rPr>
          <w:noProof/>
          <w:lang w:val="en-US"/>
        </w:rPr>
        <w:t>The action plan for Working Group 1 (WG1) as agreed at the 1</w:t>
      </w:r>
      <w:r w:rsidR="00853B7D" w:rsidRPr="00A925FB">
        <w:rPr>
          <w:noProof/>
          <w:lang w:val="en-US"/>
        </w:rPr>
        <w:t>6</w:t>
      </w:r>
      <w:r w:rsidRPr="00A925FB">
        <w:rPr>
          <w:noProof/>
          <w:vertAlign w:val="superscript"/>
          <w:lang w:val="en-US"/>
        </w:rPr>
        <w:t>th</w:t>
      </w:r>
      <w:r w:rsidRPr="00A925FB">
        <w:rPr>
          <w:noProof/>
          <w:lang w:val="en-US"/>
        </w:rPr>
        <w:t xml:space="preserve"> Session of the ICG NEAMTWS is given</w:t>
      </w:r>
      <w:r w:rsidR="00853B7D" w:rsidRPr="00A925FB">
        <w:rPr>
          <w:noProof/>
          <w:lang w:val="en-US"/>
        </w:rPr>
        <w:t xml:space="preserve"> in the attachment. WG1 </w:t>
      </w:r>
      <w:r w:rsidR="00DA4898" w:rsidRPr="00A925FB">
        <w:rPr>
          <w:noProof/>
          <w:lang w:val="en-US"/>
        </w:rPr>
        <w:t xml:space="preserve">members </w:t>
      </w:r>
      <w:r w:rsidR="00853B7D" w:rsidRPr="00A925FB">
        <w:rPr>
          <w:noProof/>
          <w:lang w:val="en-US"/>
        </w:rPr>
        <w:t>me</w:t>
      </w:r>
      <w:r w:rsidRPr="00A925FB">
        <w:rPr>
          <w:noProof/>
          <w:lang w:val="en-US"/>
        </w:rPr>
        <w:t>t</w:t>
      </w:r>
      <w:r w:rsidR="00853B7D" w:rsidRPr="00A925FB">
        <w:rPr>
          <w:noProof/>
          <w:lang w:val="en-US"/>
        </w:rPr>
        <w:t xml:space="preserve"> </w:t>
      </w:r>
      <w:r w:rsidR="007D1115">
        <w:rPr>
          <w:noProof/>
          <w:lang w:val="en-US"/>
        </w:rPr>
        <w:t>virtually</w:t>
      </w:r>
      <w:r w:rsidRPr="00A925FB">
        <w:rPr>
          <w:noProof/>
          <w:lang w:val="en-US"/>
        </w:rPr>
        <w:t xml:space="preserve"> </w:t>
      </w:r>
      <w:r w:rsidR="00853B7D" w:rsidRPr="00A925FB">
        <w:rPr>
          <w:noProof/>
          <w:lang w:val="en-US"/>
        </w:rPr>
        <w:t>during</w:t>
      </w:r>
      <w:r w:rsidRPr="00A925FB">
        <w:rPr>
          <w:noProof/>
          <w:lang w:val="en-US"/>
        </w:rPr>
        <w:t xml:space="preserve"> the intersessional period</w:t>
      </w:r>
      <w:r w:rsidR="00B753AF" w:rsidRPr="00A925FB">
        <w:rPr>
          <w:noProof/>
          <w:lang w:val="en-US"/>
        </w:rPr>
        <w:t xml:space="preserve"> </w:t>
      </w:r>
      <w:r w:rsidR="00DA4898" w:rsidRPr="00A925FB">
        <w:rPr>
          <w:noProof/>
          <w:lang w:val="en-US"/>
        </w:rPr>
        <w:t>in a</w:t>
      </w:r>
      <w:r w:rsidR="007D1115">
        <w:rPr>
          <w:noProof/>
          <w:lang w:val="en-US"/>
        </w:rPr>
        <w:t>n</w:t>
      </w:r>
      <w:r w:rsidR="00DA4898" w:rsidRPr="00A925FB">
        <w:rPr>
          <w:noProof/>
          <w:lang w:val="en-US"/>
        </w:rPr>
        <w:t xml:space="preserve"> </w:t>
      </w:r>
      <w:r w:rsidR="00853B7D" w:rsidRPr="00A925FB">
        <w:rPr>
          <w:noProof/>
          <w:lang w:val="en-US"/>
        </w:rPr>
        <w:t>internal meeting on June 4, 2021</w:t>
      </w:r>
      <w:r w:rsidR="007D1115">
        <w:rPr>
          <w:noProof/>
          <w:lang w:val="en-US"/>
        </w:rPr>
        <w:t>, with A. Amato from WG4</w:t>
      </w:r>
      <w:r w:rsidR="00853B7D" w:rsidRPr="00A925FB">
        <w:rPr>
          <w:noProof/>
          <w:lang w:val="en-US"/>
        </w:rPr>
        <w:t xml:space="preserve">. </w:t>
      </w:r>
      <w:r w:rsidR="00DA4898" w:rsidRPr="00A925FB">
        <w:rPr>
          <w:noProof/>
          <w:lang w:val="en-US"/>
        </w:rPr>
        <w:t>C</w:t>
      </w:r>
      <w:r w:rsidR="00B753AF" w:rsidRPr="00A925FB">
        <w:rPr>
          <w:noProof/>
          <w:lang w:val="en-US"/>
        </w:rPr>
        <w:t>ommunication</w:t>
      </w:r>
      <w:r w:rsidR="00DA4898" w:rsidRPr="00A925FB">
        <w:rPr>
          <w:noProof/>
          <w:lang w:val="en-US"/>
        </w:rPr>
        <w:t xml:space="preserve"> also</w:t>
      </w:r>
      <w:r w:rsidR="00B753AF" w:rsidRPr="00A925FB">
        <w:rPr>
          <w:noProof/>
          <w:lang w:val="en-US"/>
        </w:rPr>
        <w:t xml:space="preserve"> took place between members of the working group by mail and during </w:t>
      </w:r>
      <w:r w:rsidR="007B690D" w:rsidRPr="00A925FB">
        <w:rPr>
          <w:noProof/>
          <w:lang w:val="en-US"/>
        </w:rPr>
        <w:t>seminar</w:t>
      </w:r>
      <w:r w:rsidR="00B753AF" w:rsidRPr="00A925FB">
        <w:rPr>
          <w:noProof/>
          <w:lang w:val="en-US"/>
        </w:rPr>
        <w:t>s and conferences</w:t>
      </w:r>
      <w:r w:rsidRPr="00A925FB">
        <w:rPr>
          <w:noProof/>
          <w:lang w:val="en-US"/>
        </w:rPr>
        <w:t xml:space="preserve">. </w:t>
      </w:r>
    </w:p>
    <w:p w14:paraId="04420C3D" w14:textId="6ED907F4" w:rsidR="00592A00" w:rsidRPr="00A925FB" w:rsidRDefault="00592A00" w:rsidP="0008213F">
      <w:pPr>
        <w:jc w:val="both"/>
        <w:rPr>
          <w:b/>
          <w:bCs/>
          <w:noProof/>
          <w:lang w:val="en-US"/>
        </w:rPr>
      </w:pPr>
      <w:r w:rsidRPr="00A925FB">
        <w:rPr>
          <w:bCs/>
          <w:noProof/>
          <w:lang w:val="en-US"/>
        </w:rPr>
        <w:t>Work on</w:t>
      </w:r>
      <w:r w:rsidR="00586768" w:rsidRPr="00A925FB">
        <w:rPr>
          <w:bCs/>
          <w:noProof/>
          <w:lang w:val="en-US"/>
        </w:rPr>
        <w:t xml:space="preserve"> the</w:t>
      </w:r>
      <w:r w:rsidRPr="00A925FB">
        <w:rPr>
          <w:b/>
          <w:bCs/>
          <w:noProof/>
          <w:lang w:val="en-US"/>
        </w:rPr>
        <w:t xml:space="preserve"> ToR </w:t>
      </w:r>
      <w:r w:rsidRPr="00A925FB">
        <w:rPr>
          <w:bCs/>
          <w:noProof/>
          <w:lang w:val="en-US"/>
        </w:rPr>
        <w:t>was discussed during the internal meeting.</w:t>
      </w:r>
      <w:r w:rsidRPr="00A925FB">
        <w:rPr>
          <w:b/>
          <w:bCs/>
          <w:noProof/>
          <w:lang w:val="en-US"/>
        </w:rPr>
        <w:t xml:space="preserve"> </w:t>
      </w:r>
      <w:r w:rsidRPr="00A925FB">
        <w:rPr>
          <w:noProof/>
          <w:lang w:val="en-US"/>
        </w:rPr>
        <w:t xml:space="preserve">Tsunami risk is not included actually as </w:t>
      </w:r>
      <w:r w:rsidR="00C07495" w:rsidRPr="00A925FB">
        <w:rPr>
          <w:noProof/>
          <w:lang w:val="en-US"/>
        </w:rPr>
        <w:t xml:space="preserve">a </w:t>
      </w:r>
      <w:r w:rsidRPr="00A925FB">
        <w:rPr>
          <w:noProof/>
          <w:lang w:val="en-US"/>
        </w:rPr>
        <w:t>concrete task of WG1</w:t>
      </w:r>
      <w:r w:rsidR="0008213F" w:rsidRPr="00A925FB">
        <w:rPr>
          <w:noProof/>
          <w:lang w:val="en-US"/>
        </w:rPr>
        <w:t>, contrary to tsunami hazard and floodings.</w:t>
      </w:r>
      <w:r w:rsidR="0008213F" w:rsidRPr="00A925FB">
        <w:rPr>
          <w:b/>
          <w:bCs/>
          <w:noProof/>
          <w:lang w:val="en-US"/>
        </w:rPr>
        <w:t xml:space="preserve"> </w:t>
      </w:r>
      <w:r w:rsidR="0008213F" w:rsidRPr="00A925FB">
        <w:rPr>
          <w:noProof/>
          <w:lang w:val="en-US"/>
        </w:rPr>
        <w:t xml:space="preserve">Open questions were addressed to identify necessities we have in WG1, such as how hazard should be propagated to risk, risk </w:t>
      </w:r>
      <w:r w:rsidRPr="00A925FB">
        <w:rPr>
          <w:noProof/>
          <w:lang w:val="en-US"/>
        </w:rPr>
        <w:t>assessment for what</w:t>
      </w:r>
      <w:r w:rsidR="00832F37" w:rsidRPr="00A925FB">
        <w:rPr>
          <w:noProof/>
          <w:lang w:val="en-US"/>
        </w:rPr>
        <w:t xml:space="preserve"> (deterministic, probabilistic).</w:t>
      </w:r>
      <w:r w:rsidR="0008213F" w:rsidRPr="00A925FB">
        <w:rPr>
          <w:b/>
          <w:bCs/>
          <w:noProof/>
          <w:lang w:val="en-US"/>
        </w:rPr>
        <w:t xml:space="preserve"> </w:t>
      </w:r>
      <w:r w:rsidR="0008213F" w:rsidRPr="00A925FB">
        <w:rPr>
          <w:noProof/>
          <w:lang w:val="en-US"/>
        </w:rPr>
        <w:t>R</w:t>
      </w:r>
      <w:r w:rsidRPr="00A925FB">
        <w:rPr>
          <w:noProof/>
          <w:lang w:val="en-US"/>
        </w:rPr>
        <w:t xml:space="preserve">isk indicators/maps </w:t>
      </w:r>
      <w:r w:rsidR="0008213F" w:rsidRPr="00A925FB">
        <w:rPr>
          <w:noProof/>
          <w:lang w:val="en-US"/>
        </w:rPr>
        <w:t xml:space="preserve">could be derived from modeling and given map standards </w:t>
      </w:r>
      <w:r w:rsidRPr="00A925FB">
        <w:rPr>
          <w:noProof/>
          <w:lang w:val="en-US"/>
        </w:rPr>
        <w:t>but societal components cannot be covered</w:t>
      </w:r>
      <w:r w:rsidR="0008213F" w:rsidRPr="00A925FB">
        <w:rPr>
          <w:noProof/>
          <w:lang w:val="en-US"/>
        </w:rPr>
        <w:t xml:space="preserve"> by WG1 and cannot come with WG1</w:t>
      </w:r>
      <w:r w:rsidRPr="00A925FB">
        <w:rPr>
          <w:noProof/>
          <w:lang w:val="en-US"/>
        </w:rPr>
        <w:t xml:space="preserve"> risk maps.</w:t>
      </w:r>
      <w:r w:rsidR="0008213F" w:rsidRPr="00A925FB">
        <w:rPr>
          <w:noProof/>
          <w:lang w:val="en-US"/>
        </w:rPr>
        <w:t xml:space="preserve"> To i</w:t>
      </w:r>
      <w:r w:rsidRPr="00A925FB">
        <w:rPr>
          <w:noProof/>
          <w:lang w:val="en-US"/>
        </w:rPr>
        <w:t>nclude risk in general way</w:t>
      </w:r>
      <w:r w:rsidR="0008213F" w:rsidRPr="00A925FB">
        <w:rPr>
          <w:noProof/>
          <w:lang w:val="en-US"/>
        </w:rPr>
        <w:t>, the idea would be to</w:t>
      </w:r>
      <w:r w:rsidRPr="00A925FB">
        <w:rPr>
          <w:noProof/>
          <w:lang w:val="en-US"/>
        </w:rPr>
        <w:t xml:space="preserve"> start from application guidelines from PTHA maps</w:t>
      </w:r>
      <w:r w:rsidR="00832F37" w:rsidRPr="00A925FB">
        <w:rPr>
          <w:noProof/>
          <w:lang w:val="en-US"/>
        </w:rPr>
        <w:t>.</w:t>
      </w:r>
    </w:p>
    <w:p w14:paraId="7D61AE0A" w14:textId="75D4BBDA" w:rsidR="00592A00" w:rsidRPr="00A925FB" w:rsidRDefault="00592A00" w:rsidP="0008213F">
      <w:pPr>
        <w:jc w:val="both"/>
        <w:rPr>
          <w:noProof/>
          <w:lang w:val="en-US"/>
        </w:rPr>
      </w:pPr>
      <w:r w:rsidRPr="00A925FB">
        <w:rPr>
          <w:noProof/>
          <w:lang w:val="en-US"/>
        </w:rPr>
        <w:t xml:space="preserve">How to use the </w:t>
      </w:r>
      <w:r w:rsidRPr="00A925FB">
        <w:rPr>
          <w:b/>
          <w:noProof/>
          <w:lang w:val="en-US"/>
        </w:rPr>
        <w:t>PTHA</w:t>
      </w:r>
      <w:r w:rsidRPr="00A925FB">
        <w:rPr>
          <w:noProof/>
          <w:lang w:val="en-US"/>
        </w:rPr>
        <w:t xml:space="preserve"> </w:t>
      </w:r>
      <w:r w:rsidR="00A925FB" w:rsidRPr="00A925FB">
        <w:rPr>
          <w:noProof/>
          <w:lang w:val="en-US"/>
        </w:rPr>
        <w:t>products to inform</w:t>
      </w:r>
      <w:r w:rsidRPr="00A925FB">
        <w:rPr>
          <w:noProof/>
          <w:lang w:val="en-US"/>
        </w:rPr>
        <w:t xml:space="preserve"> the civil authorities</w:t>
      </w:r>
      <w:r w:rsidR="00A925FB" w:rsidRPr="00A925FB">
        <w:rPr>
          <w:noProof/>
          <w:lang w:val="en-US"/>
        </w:rPr>
        <w:t xml:space="preserve"> was also </w:t>
      </w:r>
      <w:r w:rsidR="00A925FB">
        <w:rPr>
          <w:noProof/>
          <w:lang w:val="en-US"/>
        </w:rPr>
        <w:t>discuss</w:t>
      </w:r>
      <w:r w:rsidR="00A925FB" w:rsidRPr="00A925FB">
        <w:rPr>
          <w:noProof/>
          <w:lang w:val="en-US"/>
        </w:rPr>
        <w:t>ed. A r</w:t>
      </w:r>
      <w:r w:rsidRPr="00A925FB">
        <w:rPr>
          <w:noProof/>
          <w:lang w:val="en-US"/>
        </w:rPr>
        <w:t>ecognition of what has been done in each country</w:t>
      </w:r>
      <w:r w:rsidR="00A925FB" w:rsidRPr="00A925FB">
        <w:rPr>
          <w:noProof/>
          <w:lang w:val="en-US"/>
        </w:rPr>
        <w:t xml:space="preserve"> in term of PTHA studies needs to be </w:t>
      </w:r>
      <w:r w:rsidR="00A925FB">
        <w:rPr>
          <w:noProof/>
          <w:lang w:val="en-US"/>
        </w:rPr>
        <w:t>addressed</w:t>
      </w:r>
      <w:r w:rsidRPr="00A925FB">
        <w:rPr>
          <w:noProof/>
          <w:lang w:val="en-US"/>
        </w:rPr>
        <w:t>, to compare and make general guidelines to use one or other methodology</w:t>
      </w:r>
      <w:r w:rsidR="00A925FB" w:rsidRPr="00A925FB">
        <w:rPr>
          <w:noProof/>
          <w:lang w:val="en-US"/>
        </w:rPr>
        <w:t xml:space="preserve">. </w:t>
      </w:r>
      <w:r w:rsidRPr="00A925FB">
        <w:rPr>
          <w:noProof/>
          <w:lang w:val="en-US"/>
        </w:rPr>
        <w:t xml:space="preserve">PTHA analysis are </w:t>
      </w:r>
      <w:r w:rsidR="00A925FB">
        <w:rPr>
          <w:noProof/>
          <w:lang w:val="en-US"/>
        </w:rPr>
        <w:t xml:space="preserve">mostly </w:t>
      </w:r>
      <w:r w:rsidRPr="00A925FB">
        <w:rPr>
          <w:noProof/>
          <w:lang w:val="en-US"/>
        </w:rPr>
        <w:t>upstream studies, not yet correlated with the top-down alert</w:t>
      </w:r>
      <w:r w:rsidR="00A925FB">
        <w:rPr>
          <w:noProof/>
          <w:lang w:val="en-US"/>
        </w:rPr>
        <w:t xml:space="preserve"> (except for INGV)</w:t>
      </w:r>
      <w:r w:rsidRPr="00A925FB">
        <w:rPr>
          <w:noProof/>
          <w:lang w:val="en-US"/>
        </w:rPr>
        <w:t>.</w:t>
      </w:r>
      <w:r w:rsidR="00A925FB">
        <w:rPr>
          <w:noProof/>
          <w:lang w:val="en-US"/>
        </w:rPr>
        <w:t xml:space="preserve"> </w:t>
      </w:r>
      <w:r w:rsidR="00A874F0">
        <w:rPr>
          <w:noProof/>
          <w:lang w:val="en-US"/>
        </w:rPr>
        <w:t xml:space="preserve">A document evaluating if </w:t>
      </w:r>
      <w:r w:rsidR="00A874F0" w:rsidRPr="00A925FB">
        <w:rPr>
          <w:noProof/>
          <w:lang w:val="en-US"/>
        </w:rPr>
        <w:t xml:space="preserve">PTHA methodologies developed by NEAM institutes </w:t>
      </w:r>
      <w:r w:rsidR="00A874F0">
        <w:rPr>
          <w:noProof/>
          <w:lang w:val="en-US"/>
        </w:rPr>
        <w:t>can</w:t>
      </w:r>
      <w:r w:rsidR="000D532F">
        <w:rPr>
          <w:noProof/>
          <w:lang w:val="en-US"/>
        </w:rPr>
        <w:t xml:space="preserve"> be</w:t>
      </w:r>
      <w:r w:rsidR="00A874F0">
        <w:rPr>
          <w:noProof/>
          <w:lang w:val="en-US"/>
        </w:rPr>
        <w:t xml:space="preserve"> </w:t>
      </w:r>
      <w:r w:rsidR="00A874F0" w:rsidRPr="00A925FB">
        <w:rPr>
          <w:noProof/>
          <w:lang w:val="en-US"/>
        </w:rPr>
        <w:t>applied easily to perform</w:t>
      </w:r>
      <w:r w:rsidR="00A874F0">
        <w:rPr>
          <w:noProof/>
          <w:lang w:val="en-US"/>
        </w:rPr>
        <w:t xml:space="preserve"> PTHA analysis on broader sites is planned. Estimating t</w:t>
      </w:r>
      <w:r w:rsidR="00A925FB">
        <w:rPr>
          <w:noProof/>
          <w:lang w:val="en-US"/>
        </w:rPr>
        <w:t>he</w:t>
      </w:r>
      <w:r w:rsidRPr="00A925FB">
        <w:rPr>
          <w:noProof/>
          <w:lang w:val="en-US"/>
        </w:rPr>
        <w:t xml:space="preserve"> part of deterministic/probabilistic to include in the information to provide and how</w:t>
      </w:r>
      <w:r w:rsidR="00A925FB">
        <w:rPr>
          <w:noProof/>
          <w:lang w:val="en-US"/>
        </w:rPr>
        <w:t xml:space="preserve"> </w:t>
      </w:r>
      <w:r w:rsidR="00A874F0">
        <w:rPr>
          <w:noProof/>
          <w:lang w:val="en-US"/>
        </w:rPr>
        <w:t xml:space="preserve">would also be valuable, as well as proposition of </w:t>
      </w:r>
      <w:r w:rsidR="00A925FB">
        <w:rPr>
          <w:noProof/>
          <w:lang w:val="en-US"/>
        </w:rPr>
        <w:t>s</w:t>
      </w:r>
      <w:r w:rsidRPr="00A925FB">
        <w:rPr>
          <w:noProof/>
          <w:lang w:val="en-US"/>
        </w:rPr>
        <w:t xml:space="preserve">tandards </w:t>
      </w:r>
      <w:r w:rsidR="00A874F0">
        <w:rPr>
          <w:noProof/>
          <w:lang w:val="en-US"/>
        </w:rPr>
        <w:t xml:space="preserve">to </w:t>
      </w:r>
      <w:r w:rsidR="00A874F0" w:rsidRPr="00A925FB">
        <w:rPr>
          <w:noProof/>
          <w:lang w:val="en-US"/>
        </w:rPr>
        <w:t>elaborate flooding maps for evacuation maps</w:t>
      </w:r>
      <w:r w:rsidR="00A925FB">
        <w:rPr>
          <w:noProof/>
          <w:lang w:val="en-US"/>
        </w:rPr>
        <w:t xml:space="preserve">. </w:t>
      </w:r>
    </w:p>
    <w:p w14:paraId="39FC4DDE" w14:textId="385214C4" w:rsidR="00576846" w:rsidRPr="00A925FB" w:rsidRDefault="007D1115" w:rsidP="00576846">
      <w:pPr>
        <w:jc w:val="both"/>
        <w:rPr>
          <w:noProof/>
          <w:lang w:val="en-US"/>
        </w:rPr>
      </w:pPr>
      <w:r>
        <w:rPr>
          <w:noProof/>
          <w:lang w:val="en-US"/>
        </w:rPr>
        <w:t>The</w:t>
      </w:r>
      <w:r w:rsidR="00E67260" w:rsidRPr="00A925FB">
        <w:rPr>
          <w:noProof/>
          <w:lang w:val="en-US"/>
        </w:rPr>
        <w:t xml:space="preserve"> work item – </w:t>
      </w:r>
      <w:r w:rsidR="00A16A38" w:rsidRPr="00A925FB">
        <w:rPr>
          <w:b/>
          <w:noProof/>
          <w:lang w:val="en-US"/>
        </w:rPr>
        <w:t>provision of data for benchmarking</w:t>
      </w:r>
      <w:r w:rsidR="00E67260" w:rsidRPr="00A925FB">
        <w:rPr>
          <w:noProof/>
          <w:lang w:val="en-US"/>
        </w:rPr>
        <w:t xml:space="preserve"> – was addressed during the intersessional period</w:t>
      </w:r>
      <w:r>
        <w:rPr>
          <w:noProof/>
          <w:lang w:val="en-US"/>
        </w:rPr>
        <w:t xml:space="preserve"> t</w:t>
      </w:r>
      <w:r w:rsidR="00C873D0">
        <w:rPr>
          <w:noProof/>
          <w:lang w:val="en-US"/>
        </w:rPr>
        <w:t>oo, as a way to contribute to hazard assessment and modeling. Data</w:t>
      </w:r>
      <w:r w:rsidR="00B25FB4">
        <w:rPr>
          <w:noProof/>
          <w:lang w:val="en-US"/>
        </w:rPr>
        <w:t xml:space="preserve"> for the 2003 Algerian event toward Sète harbor (France) were provided recently (</w:t>
      </w:r>
      <w:r w:rsidR="00B25FB4" w:rsidRPr="00B25FB4">
        <w:rPr>
          <w:noProof/>
          <w:lang w:val="en-US"/>
        </w:rPr>
        <w:t>3 nested bathy grid</w:t>
      </w:r>
      <w:r w:rsidR="00B25FB4">
        <w:rPr>
          <w:noProof/>
          <w:lang w:val="en-US"/>
        </w:rPr>
        <w:t xml:space="preserve">s (250m, 50m and 9m resolution), </w:t>
      </w:r>
      <w:r w:rsidR="00B25FB4" w:rsidRPr="00B25FB4">
        <w:rPr>
          <w:noProof/>
          <w:lang w:val="en-US"/>
        </w:rPr>
        <w:t>seismic so</w:t>
      </w:r>
      <w:r w:rsidR="00B25FB4">
        <w:rPr>
          <w:noProof/>
          <w:lang w:val="en-US"/>
        </w:rPr>
        <w:t xml:space="preserve">urce </w:t>
      </w:r>
      <w:r w:rsidR="002F7A9F">
        <w:rPr>
          <w:noProof/>
          <w:lang w:val="en-US"/>
        </w:rPr>
        <w:t xml:space="preserve">from Semmane et al. (2005), </w:t>
      </w:r>
      <w:r w:rsidR="00B25FB4">
        <w:rPr>
          <w:noProof/>
          <w:lang w:val="en-US"/>
        </w:rPr>
        <w:t xml:space="preserve">Sète tide gage record, and some modeling), to be integrated to the </w:t>
      </w:r>
      <w:hyperlink r:id="rId5" w:history="1">
        <w:r w:rsidR="00B25FB4" w:rsidRPr="00941A66">
          <w:rPr>
            <w:rStyle w:val="Hyperlink"/>
            <w:noProof/>
            <w:lang w:val="en-US"/>
          </w:rPr>
          <w:t>https://edanya.uma.es/neambp</w:t>
        </w:r>
      </w:hyperlink>
      <w:r w:rsidR="00B25FB4">
        <w:rPr>
          <w:noProof/>
          <w:lang w:val="en-US"/>
        </w:rPr>
        <w:t xml:space="preserve"> web site. Several coastal spanish </w:t>
      </w:r>
      <w:r w:rsidR="002C686E">
        <w:rPr>
          <w:noProof/>
          <w:lang w:val="en-US"/>
        </w:rPr>
        <w:t>sites could then</w:t>
      </w:r>
      <w:r w:rsidR="00B25FB4">
        <w:rPr>
          <w:noProof/>
          <w:lang w:val="en-US"/>
        </w:rPr>
        <w:t xml:space="preserve"> be added depending on  fine bathy/topo data availibility.</w:t>
      </w:r>
      <w:r w:rsidR="002F7A9F">
        <w:rPr>
          <w:noProof/>
          <w:lang w:val="en-US"/>
        </w:rPr>
        <w:t xml:space="preserve"> Field data for the 2020 Samos tsunami (Greece) were also provided, to fill the</w:t>
      </w:r>
      <w:r w:rsidR="002F7A9F" w:rsidRPr="002F7A9F">
        <w:t xml:space="preserve"> </w:t>
      </w:r>
      <w:r w:rsidR="002F7A9F" w:rsidRPr="002F7A9F">
        <w:rPr>
          <w:noProof/>
          <w:lang w:val="en-US"/>
        </w:rPr>
        <w:t>NEAM benchmarking project</w:t>
      </w:r>
      <w:r w:rsidR="002F7A9F">
        <w:rPr>
          <w:noProof/>
          <w:lang w:val="en-US"/>
        </w:rPr>
        <w:t xml:space="preserve">. </w:t>
      </w:r>
      <w:r w:rsidR="002C686E">
        <w:rPr>
          <w:noProof/>
          <w:lang w:val="en-US"/>
        </w:rPr>
        <w:t xml:space="preserve">Building a benchmark on the </w:t>
      </w:r>
      <w:r w:rsidR="00576846" w:rsidRPr="00A925FB">
        <w:rPr>
          <w:noProof/>
          <w:lang w:val="en-US"/>
        </w:rPr>
        <w:t xml:space="preserve">2017 Bodrum event </w:t>
      </w:r>
      <w:r w:rsidR="002C686E">
        <w:rPr>
          <w:noProof/>
          <w:lang w:val="en-US"/>
        </w:rPr>
        <w:t>was discussed during the internal meeting, where the source, tide gage</w:t>
      </w:r>
      <w:r w:rsidR="00576846" w:rsidRPr="00A925FB">
        <w:rPr>
          <w:noProof/>
          <w:lang w:val="en-US"/>
        </w:rPr>
        <w:t xml:space="preserve"> data and field data </w:t>
      </w:r>
      <w:r w:rsidR="002C686E">
        <w:rPr>
          <w:noProof/>
          <w:lang w:val="en-US"/>
        </w:rPr>
        <w:t xml:space="preserve">would be </w:t>
      </w:r>
      <w:r w:rsidR="00576846" w:rsidRPr="00A925FB">
        <w:rPr>
          <w:noProof/>
          <w:lang w:val="en-US"/>
        </w:rPr>
        <w:t>provided by European colleagues</w:t>
      </w:r>
      <w:r w:rsidR="002C686E">
        <w:rPr>
          <w:noProof/>
          <w:lang w:val="en-US"/>
        </w:rPr>
        <w:t xml:space="preserve"> and bathy/topo on Kos and Bodrum could</w:t>
      </w:r>
      <w:r w:rsidR="00576846" w:rsidRPr="00A925FB">
        <w:rPr>
          <w:noProof/>
          <w:lang w:val="en-US"/>
        </w:rPr>
        <w:t xml:space="preserve"> be provided by CEA. Depending on how many participants </w:t>
      </w:r>
      <w:r w:rsidR="002C686E">
        <w:rPr>
          <w:noProof/>
          <w:lang w:val="en-US"/>
        </w:rPr>
        <w:t xml:space="preserve">would </w:t>
      </w:r>
      <w:r w:rsidR="00576846" w:rsidRPr="00A925FB">
        <w:rPr>
          <w:noProof/>
          <w:lang w:val="en-US"/>
        </w:rPr>
        <w:t>test their codes on these benchmarks, a report comparing results and perfo</w:t>
      </w:r>
      <w:r w:rsidR="002C686E">
        <w:rPr>
          <w:noProof/>
          <w:lang w:val="en-US"/>
        </w:rPr>
        <w:t>rmances could be planned.</w:t>
      </w:r>
    </w:p>
    <w:p w14:paraId="3C00C538" w14:textId="77777777" w:rsidR="00576846" w:rsidRPr="00A925FB" w:rsidRDefault="00576846" w:rsidP="0008213F">
      <w:pPr>
        <w:jc w:val="both"/>
        <w:rPr>
          <w:noProof/>
          <w:lang w:val="en-US"/>
        </w:rPr>
      </w:pPr>
    </w:p>
    <w:p w14:paraId="3D9FDF67" w14:textId="14D1715F" w:rsidR="00A925FB" w:rsidRPr="00A925FB" w:rsidRDefault="00A16A38" w:rsidP="0008213F">
      <w:pPr>
        <w:jc w:val="both"/>
        <w:rPr>
          <w:noProof/>
          <w:lang w:val="en-US"/>
        </w:rPr>
      </w:pPr>
      <w:r w:rsidRPr="00A925FB">
        <w:rPr>
          <w:noProof/>
          <w:lang w:val="en-US"/>
        </w:rPr>
        <w:t xml:space="preserve">No work has been conducted on </w:t>
      </w:r>
      <w:r w:rsidRPr="00A925FB">
        <w:rPr>
          <w:b/>
          <w:noProof/>
          <w:lang w:val="en-US"/>
        </w:rPr>
        <w:t>cancellation policies</w:t>
      </w:r>
      <w:r w:rsidRPr="00A925FB">
        <w:rPr>
          <w:noProof/>
          <w:lang w:val="en-US"/>
        </w:rPr>
        <w:t>.</w:t>
      </w:r>
    </w:p>
    <w:p w14:paraId="606C0325" w14:textId="77777777" w:rsidR="00131DFA" w:rsidRPr="00A925FB" w:rsidRDefault="00131DFA" w:rsidP="00131DFA">
      <w:pPr>
        <w:jc w:val="center"/>
        <w:rPr>
          <w:rFonts w:asciiTheme="majorHAnsi" w:hAnsiTheme="majorHAnsi"/>
          <w:noProof/>
          <w:lang w:val="en-US"/>
        </w:rPr>
      </w:pPr>
    </w:p>
    <w:p w14:paraId="2464543C" w14:textId="55E67708" w:rsidR="00A16A38" w:rsidRPr="00A925FB" w:rsidRDefault="00131DFA" w:rsidP="00A16A38">
      <w:pPr>
        <w:jc w:val="center"/>
        <w:rPr>
          <w:rFonts w:asciiTheme="majorHAnsi" w:hAnsiTheme="majorHAnsi"/>
          <w:noProof/>
          <w:lang w:val="en-US"/>
        </w:rPr>
      </w:pPr>
      <w:r w:rsidRPr="00A925FB">
        <w:rPr>
          <w:rFonts w:asciiTheme="majorHAnsi" w:hAnsiTheme="majorHAnsi"/>
          <w:noProof/>
          <w:lang w:val="en-US"/>
        </w:rPr>
        <w:t>Plan of Action WG1</w:t>
      </w:r>
      <w:r w:rsidR="00A16A38" w:rsidRPr="00A925FB">
        <w:rPr>
          <w:rFonts w:asciiTheme="majorHAnsi" w:hAnsiTheme="majorHAnsi"/>
          <w:noProof/>
          <w:lang w:val="en-US"/>
        </w:rPr>
        <w:t xml:space="preserve"> (agreed at ICG/NEAMTWS-X</w:t>
      </w:r>
      <w:r w:rsidRPr="00A925FB">
        <w:rPr>
          <w:rFonts w:asciiTheme="majorHAnsi" w:hAnsiTheme="majorHAnsi"/>
          <w:noProof/>
          <w:lang w:val="en-US"/>
        </w:rPr>
        <w:t>V</w:t>
      </w:r>
      <w:r w:rsidR="00712A92" w:rsidRPr="00A925FB">
        <w:rPr>
          <w:rFonts w:asciiTheme="majorHAnsi" w:hAnsiTheme="majorHAnsi"/>
          <w:noProof/>
          <w:lang w:val="en-US"/>
        </w:rPr>
        <w:t>I</w:t>
      </w:r>
      <w:r w:rsidRPr="00A925FB">
        <w:rPr>
          <w:rFonts w:asciiTheme="majorHAnsi" w:hAnsiTheme="majorHAnsi"/>
          <w:noProof/>
          <w:lang w:val="en-US"/>
        </w:rPr>
        <w:t>)</w:t>
      </w:r>
    </w:p>
    <w:tbl>
      <w:tblPr>
        <w:tblStyle w:val="TableGrid"/>
        <w:tblW w:w="9282" w:type="dxa"/>
        <w:tblInd w:w="-113" w:type="dxa"/>
        <w:tblLook w:val="00A0" w:firstRow="1" w:lastRow="0" w:firstColumn="1" w:lastColumn="0" w:noHBand="0" w:noVBand="0"/>
      </w:tblPr>
      <w:tblGrid>
        <w:gridCol w:w="2540"/>
        <w:gridCol w:w="1362"/>
        <w:gridCol w:w="1758"/>
        <w:gridCol w:w="1238"/>
        <w:gridCol w:w="1152"/>
        <w:gridCol w:w="1232"/>
      </w:tblGrid>
      <w:tr w:rsidR="00C520E5" w:rsidRPr="00A925FB" w14:paraId="30F2DB39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69F0CC2B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bookmarkStart w:id="1" w:name="OLE_LINK2"/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Task/Action</w:t>
            </w: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ab/>
            </w: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1362" w:type="dxa"/>
            <w:shd w:val="clear" w:color="auto" w:fill="FABF8F" w:themeFill="accent6" w:themeFillTint="99"/>
          </w:tcPr>
          <w:p w14:paraId="55D57805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Timeline</w:t>
            </w:r>
          </w:p>
        </w:tc>
        <w:tc>
          <w:tcPr>
            <w:tcW w:w="1758" w:type="dxa"/>
            <w:shd w:val="clear" w:color="auto" w:fill="FABF8F" w:themeFill="accent6" w:themeFillTint="99"/>
          </w:tcPr>
          <w:p w14:paraId="796A2EF4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Responsibility</w:t>
            </w:r>
          </w:p>
        </w:tc>
        <w:tc>
          <w:tcPr>
            <w:tcW w:w="1238" w:type="dxa"/>
            <w:shd w:val="clear" w:color="auto" w:fill="FABF8F" w:themeFill="accent6" w:themeFillTint="99"/>
          </w:tcPr>
          <w:p w14:paraId="7998505B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Required Budget</w:t>
            </w:r>
          </w:p>
        </w:tc>
        <w:tc>
          <w:tcPr>
            <w:tcW w:w="1152" w:type="dxa"/>
            <w:shd w:val="clear" w:color="auto" w:fill="FABF8F" w:themeFill="accent6" w:themeFillTint="99"/>
          </w:tcPr>
          <w:p w14:paraId="634FADDD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Status</w:t>
            </w: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32" w:type="dxa"/>
            <w:shd w:val="clear" w:color="auto" w:fill="FABF8F" w:themeFill="accent6" w:themeFillTint="99"/>
          </w:tcPr>
          <w:p w14:paraId="02CDEC67" w14:textId="77777777" w:rsidR="00C520E5" w:rsidRPr="00A925FB" w:rsidRDefault="00C520E5" w:rsidP="00DF160A">
            <w:pPr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Helvetica"/>
                <w:b/>
                <w:bCs/>
                <w:i/>
                <w:iCs/>
                <w:noProof/>
                <w:color w:val="000000"/>
                <w:sz w:val="20"/>
                <w:szCs w:val="20"/>
                <w:lang w:val="en-US"/>
              </w:rPr>
              <w:t>Priority</w:t>
            </w:r>
          </w:p>
        </w:tc>
      </w:tr>
      <w:tr w:rsidR="00C520E5" w:rsidRPr="00A925FB" w14:paraId="6B681B9A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6FD0EF33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Update of WG1 TOR for a future Hazards and Risk WG</w:t>
            </w:r>
          </w:p>
        </w:tc>
        <w:tc>
          <w:tcPr>
            <w:tcW w:w="1362" w:type="dxa"/>
          </w:tcPr>
          <w:p w14:paraId="3D757209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NEAMTWS-XVII</w:t>
            </w:r>
          </w:p>
        </w:tc>
        <w:tc>
          <w:tcPr>
            <w:tcW w:w="1758" w:type="dxa"/>
          </w:tcPr>
          <w:p w14:paraId="5DA49C82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WG Chairs/ SC</w:t>
            </w:r>
          </w:p>
        </w:tc>
        <w:tc>
          <w:tcPr>
            <w:tcW w:w="1238" w:type="dxa"/>
          </w:tcPr>
          <w:p w14:paraId="0F150DE2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35C244BC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O</w:t>
            </w:r>
          </w:p>
        </w:tc>
        <w:tc>
          <w:tcPr>
            <w:tcW w:w="1232" w:type="dxa"/>
          </w:tcPr>
          <w:p w14:paraId="78D3AB86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high</w:t>
            </w:r>
          </w:p>
        </w:tc>
      </w:tr>
      <w:tr w:rsidR="00C520E5" w:rsidRPr="00A925FB" w14:paraId="2669BED0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13F7E0C1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Elaborate on Cancellation policies and local vs. remote tsunami SOPs</w:t>
            </w:r>
          </w:p>
        </w:tc>
        <w:tc>
          <w:tcPr>
            <w:tcW w:w="1362" w:type="dxa"/>
          </w:tcPr>
          <w:p w14:paraId="2775FEB1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NEAMTWS-XVII</w:t>
            </w:r>
          </w:p>
        </w:tc>
        <w:tc>
          <w:tcPr>
            <w:tcW w:w="1758" w:type="dxa"/>
          </w:tcPr>
          <w:p w14:paraId="74B89714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WG1+TT OP + WG4</w:t>
            </w:r>
          </w:p>
        </w:tc>
        <w:tc>
          <w:tcPr>
            <w:tcW w:w="1238" w:type="dxa"/>
          </w:tcPr>
          <w:p w14:paraId="6888BEBE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610A6F30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O</w:t>
            </w:r>
          </w:p>
        </w:tc>
        <w:tc>
          <w:tcPr>
            <w:tcW w:w="1232" w:type="dxa"/>
          </w:tcPr>
          <w:p w14:paraId="6858816A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medium</w:t>
            </w:r>
          </w:p>
        </w:tc>
      </w:tr>
      <w:tr w:rsidR="00C520E5" w:rsidRPr="00A925FB" w14:paraId="1F09F643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41C9FC57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lang w:val="en-US"/>
              </w:rPr>
              <w:t>Review of Basin Definition Document</w:t>
            </w:r>
          </w:p>
        </w:tc>
        <w:tc>
          <w:tcPr>
            <w:tcW w:w="1362" w:type="dxa"/>
          </w:tcPr>
          <w:p w14:paraId="7CE27A15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lang w:val="en-US"/>
              </w:rPr>
              <w:t>NEAMTWS-XVI</w:t>
            </w:r>
          </w:p>
        </w:tc>
        <w:tc>
          <w:tcPr>
            <w:tcW w:w="1758" w:type="dxa"/>
          </w:tcPr>
          <w:p w14:paraId="177267B9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lang w:val="en-US"/>
              </w:rPr>
              <w:t>All WG Participants</w:t>
            </w:r>
          </w:p>
        </w:tc>
        <w:tc>
          <w:tcPr>
            <w:tcW w:w="1238" w:type="dxa"/>
          </w:tcPr>
          <w:p w14:paraId="1B01F3DC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34F4F59F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i/>
                <w:noProof/>
                <w:color w:val="FF0000"/>
                <w:sz w:val="20"/>
                <w:szCs w:val="20"/>
                <w:lang w:val="en-US"/>
              </w:rPr>
              <w:t>Closed?</w:t>
            </w:r>
          </w:p>
        </w:tc>
        <w:tc>
          <w:tcPr>
            <w:tcW w:w="1232" w:type="dxa"/>
          </w:tcPr>
          <w:p w14:paraId="347F9F2B" w14:textId="77777777" w:rsidR="00C520E5" w:rsidRPr="00A925FB" w:rsidRDefault="00C520E5" w:rsidP="00DF160A">
            <w:pPr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high</w:t>
            </w:r>
          </w:p>
        </w:tc>
      </w:tr>
      <w:tr w:rsidR="00C520E5" w:rsidRPr="00A925FB" w14:paraId="6C729912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5C39204F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Review on gaps for hazard and risk assessment</w:t>
            </w:r>
          </w:p>
        </w:tc>
        <w:tc>
          <w:tcPr>
            <w:tcW w:w="1362" w:type="dxa"/>
          </w:tcPr>
          <w:p w14:paraId="16996AD7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NEAMTWS-XVII</w:t>
            </w:r>
          </w:p>
        </w:tc>
        <w:tc>
          <w:tcPr>
            <w:tcW w:w="1758" w:type="dxa"/>
          </w:tcPr>
          <w:p w14:paraId="16A4826A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WG1 Chairs + Cost Action</w:t>
            </w:r>
          </w:p>
        </w:tc>
        <w:tc>
          <w:tcPr>
            <w:tcW w:w="1238" w:type="dxa"/>
          </w:tcPr>
          <w:p w14:paraId="402BDAD9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6D779577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N</w:t>
            </w:r>
          </w:p>
        </w:tc>
        <w:tc>
          <w:tcPr>
            <w:tcW w:w="1232" w:type="dxa"/>
          </w:tcPr>
          <w:p w14:paraId="1FADDFE2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medium</w:t>
            </w:r>
          </w:p>
        </w:tc>
      </w:tr>
      <w:tr w:rsidR="00C520E5" w:rsidRPr="00A925FB" w14:paraId="41A916D2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03673BAF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Classical numerical benchmarking for the NEAM region (1969 Atlantic event and 2003 Algerian event)</w:t>
            </w:r>
          </w:p>
        </w:tc>
        <w:tc>
          <w:tcPr>
            <w:tcW w:w="1362" w:type="dxa"/>
          </w:tcPr>
          <w:p w14:paraId="2A694AAB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NEAMTWS-XVII/XVIII</w:t>
            </w:r>
          </w:p>
        </w:tc>
        <w:tc>
          <w:tcPr>
            <w:tcW w:w="1758" w:type="dxa"/>
          </w:tcPr>
          <w:p w14:paraId="24624E66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WG1 Participants + Cost Action</w:t>
            </w:r>
          </w:p>
        </w:tc>
        <w:tc>
          <w:tcPr>
            <w:tcW w:w="1238" w:type="dxa"/>
          </w:tcPr>
          <w:p w14:paraId="6A667572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77B480CF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N</w:t>
            </w:r>
          </w:p>
        </w:tc>
        <w:tc>
          <w:tcPr>
            <w:tcW w:w="1232" w:type="dxa"/>
          </w:tcPr>
          <w:p w14:paraId="62BE82B4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medium</w:t>
            </w:r>
          </w:p>
        </w:tc>
      </w:tr>
      <w:tr w:rsidR="00C520E5" w:rsidRPr="00A925FB" w14:paraId="03AC66B4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0EDD518E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PTHA components benchmarking (comparison of results provided by different rapid forecasting approaches based on empirical amplification laws)</w:t>
            </w:r>
          </w:p>
        </w:tc>
        <w:tc>
          <w:tcPr>
            <w:tcW w:w="1362" w:type="dxa"/>
          </w:tcPr>
          <w:p w14:paraId="5B8E7134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758" w:type="dxa"/>
          </w:tcPr>
          <w:p w14:paraId="0299AFB6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WG 1 Participants + Cost Action</w:t>
            </w:r>
          </w:p>
        </w:tc>
        <w:tc>
          <w:tcPr>
            <w:tcW w:w="1238" w:type="dxa"/>
          </w:tcPr>
          <w:p w14:paraId="5CF68819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78CFFCA6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N</w:t>
            </w:r>
          </w:p>
        </w:tc>
        <w:tc>
          <w:tcPr>
            <w:tcW w:w="1232" w:type="dxa"/>
          </w:tcPr>
          <w:p w14:paraId="5E1C6DC7" w14:textId="77777777" w:rsidR="00C520E5" w:rsidRPr="00A925FB" w:rsidRDefault="00C520E5" w:rsidP="00DF160A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low</w:t>
            </w:r>
          </w:p>
        </w:tc>
      </w:tr>
      <w:tr w:rsidR="00C520E5" w:rsidRPr="00A925FB" w14:paraId="2EDBB47D" w14:textId="77777777" w:rsidTr="00C520E5">
        <w:tc>
          <w:tcPr>
            <w:tcW w:w="2540" w:type="dxa"/>
            <w:shd w:val="clear" w:color="auto" w:fill="FABF8F" w:themeFill="accent6" w:themeFillTint="99"/>
          </w:tcPr>
          <w:p w14:paraId="07ECC117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Provision of data for benchmarking (seismic parameters, topo-bathymetry, sea level data, run-up....) of the Greece 1956 event</w:t>
            </w:r>
          </w:p>
        </w:tc>
        <w:tc>
          <w:tcPr>
            <w:tcW w:w="1362" w:type="dxa"/>
          </w:tcPr>
          <w:p w14:paraId="20B83D97" w14:textId="77777777" w:rsidR="00C520E5" w:rsidRPr="00A925FB" w:rsidRDefault="00C520E5" w:rsidP="00DF16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758" w:type="dxa"/>
          </w:tcPr>
          <w:p w14:paraId="571F801A" w14:textId="77777777" w:rsidR="00C520E5" w:rsidRPr="00A925FB" w:rsidRDefault="00C520E5" w:rsidP="00DF160A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A925FB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Greece ?</w:t>
            </w:r>
          </w:p>
        </w:tc>
        <w:tc>
          <w:tcPr>
            <w:tcW w:w="1238" w:type="dxa"/>
          </w:tcPr>
          <w:p w14:paraId="6E8252C3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18AE0392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/>
                <w:noProof/>
                <w:sz w:val="20"/>
                <w:szCs w:val="20"/>
                <w:lang w:val="en-US"/>
              </w:rPr>
              <w:t>O</w:t>
            </w:r>
          </w:p>
        </w:tc>
        <w:tc>
          <w:tcPr>
            <w:tcW w:w="1232" w:type="dxa"/>
          </w:tcPr>
          <w:p w14:paraId="66CBADE9" w14:textId="77777777" w:rsidR="00C520E5" w:rsidRPr="00A925FB" w:rsidRDefault="00C520E5" w:rsidP="00DF160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925FB">
              <w:rPr>
                <w:rFonts w:ascii="Arial" w:hAnsi="Arial"/>
                <w:noProof/>
                <w:sz w:val="20"/>
                <w:szCs w:val="20"/>
                <w:lang w:val="en-US"/>
              </w:rPr>
              <w:t>medium</w:t>
            </w:r>
          </w:p>
        </w:tc>
      </w:tr>
    </w:tbl>
    <w:bookmarkEnd w:id="1"/>
    <w:p w14:paraId="24912A37" w14:textId="77777777" w:rsidR="00A16A38" w:rsidRPr="00A925FB" w:rsidRDefault="00A16A38" w:rsidP="00A16A38">
      <w:pPr>
        <w:rPr>
          <w:noProof/>
          <w:color w:val="000000"/>
          <w:sz w:val="20"/>
          <w:szCs w:val="20"/>
          <w:lang w:val="en-US"/>
        </w:rPr>
      </w:pPr>
      <w:r w:rsidRPr="00A925FB">
        <w:rPr>
          <w:noProof/>
          <w:color w:val="000000"/>
          <w:sz w:val="20"/>
          <w:szCs w:val="20"/>
          <w:lang w:val="en-US"/>
        </w:rPr>
        <w:t>1 Notes: – Status: N – New, O – Ongoing</w:t>
      </w:r>
    </w:p>
    <w:p w14:paraId="183108EF" w14:textId="77777777" w:rsidR="00887F9E" w:rsidRPr="00A925FB" w:rsidRDefault="00887F9E">
      <w:pPr>
        <w:rPr>
          <w:noProof/>
          <w:lang w:val="en-US"/>
        </w:rPr>
      </w:pPr>
    </w:p>
    <w:sectPr w:rsidR="00887F9E" w:rsidRPr="00A925FB" w:rsidSect="00887F9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3A7E"/>
    <w:multiLevelType w:val="hybridMultilevel"/>
    <w:tmpl w:val="C22A3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AF0"/>
    <w:multiLevelType w:val="hybridMultilevel"/>
    <w:tmpl w:val="2700B0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6F93"/>
    <w:multiLevelType w:val="hybridMultilevel"/>
    <w:tmpl w:val="52A4DF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3F7D"/>
    <w:multiLevelType w:val="hybridMultilevel"/>
    <w:tmpl w:val="C22A3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C3C28"/>
    <w:multiLevelType w:val="hybridMultilevel"/>
    <w:tmpl w:val="C22A3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5D47"/>
    <w:multiLevelType w:val="hybridMultilevel"/>
    <w:tmpl w:val="11ECEA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A3FDE"/>
    <w:multiLevelType w:val="multilevel"/>
    <w:tmpl w:val="BDCA7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4950FA"/>
    <w:multiLevelType w:val="hybridMultilevel"/>
    <w:tmpl w:val="B54EFF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A430D"/>
    <w:multiLevelType w:val="hybridMultilevel"/>
    <w:tmpl w:val="89BA2F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6C17"/>
    <w:multiLevelType w:val="hybridMultilevel"/>
    <w:tmpl w:val="F55A3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7F"/>
    <w:rsid w:val="00046FE0"/>
    <w:rsid w:val="00070B8D"/>
    <w:rsid w:val="0008213F"/>
    <w:rsid w:val="000C5460"/>
    <w:rsid w:val="000D532F"/>
    <w:rsid w:val="000F60E6"/>
    <w:rsid w:val="00131DFA"/>
    <w:rsid w:val="001701F8"/>
    <w:rsid w:val="001C6689"/>
    <w:rsid w:val="00200B49"/>
    <w:rsid w:val="0020427E"/>
    <w:rsid w:val="00206C88"/>
    <w:rsid w:val="002513B8"/>
    <w:rsid w:val="00262927"/>
    <w:rsid w:val="002761BE"/>
    <w:rsid w:val="002B73D4"/>
    <w:rsid w:val="002C686E"/>
    <w:rsid w:val="002D2D26"/>
    <w:rsid w:val="002E4329"/>
    <w:rsid w:val="002F7A9F"/>
    <w:rsid w:val="00301E8E"/>
    <w:rsid w:val="0030507F"/>
    <w:rsid w:val="0035635B"/>
    <w:rsid w:val="00360242"/>
    <w:rsid w:val="003720F2"/>
    <w:rsid w:val="00386CFE"/>
    <w:rsid w:val="003B4E09"/>
    <w:rsid w:val="004058CE"/>
    <w:rsid w:val="00411E60"/>
    <w:rsid w:val="0041266C"/>
    <w:rsid w:val="00431AF2"/>
    <w:rsid w:val="004512C1"/>
    <w:rsid w:val="004D17CC"/>
    <w:rsid w:val="004D7968"/>
    <w:rsid w:val="004F426D"/>
    <w:rsid w:val="004F72F6"/>
    <w:rsid w:val="00523609"/>
    <w:rsid w:val="00525534"/>
    <w:rsid w:val="00576846"/>
    <w:rsid w:val="00586768"/>
    <w:rsid w:val="00592A00"/>
    <w:rsid w:val="006108EC"/>
    <w:rsid w:val="006447D7"/>
    <w:rsid w:val="006A489F"/>
    <w:rsid w:val="00712A92"/>
    <w:rsid w:val="00714CBD"/>
    <w:rsid w:val="00721957"/>
    <w:rsid w:val="007315E8"/>
    <w:rsid w:val="00746BB2"/>
    <w:rsid w:val="007B690D"/>
    <w:rsid w:val="007C5881"/>
    <w:rsid w:val="007D1115"/>
    <w:rsid w:val="007F2ACA"/>
    <w:rsid w:val="00832F37"/>
    <w:rsid w:val="0084675D"/>
    <w:rsid w:val="00853B7D"/>
    <w:rsid w:val="00865641"/>
    <w:rsid w:val="00887F9E"/>
    <w:rsid w:val="0089509A"/>
    <w:rsid w:val="008B4A99"/>
    <w:rsid w:val="00930297"/>
    <w:rsid w:val="00962690"/>
    <w:rsid w:val="009A15C9"/>
    <w:rsid w:val="00A056FE"/>
    <w:rsid w:val="00A16A38"/>
    <w:rsid w:val="00A43B80"/>
    <w:rsid w:val="00A7221E"/>
    <w:rsid w:val="00A874F0"/>
    <w:rsid w:val="00A925FB"/>
    <w:rsid w:val="00AA1E86"/>
    <w:rsid w:val="00B25FB4"/>
    <w:rsid w:val="00B753AF"/>
    <w:rsid w:val="00B95DC1"/>
    <w:rsid w:val="00BC6824"/>
    <w:rsid w:val="00BE71D2"/>
    <w:rsid w:val="00BF7D56"/>
    <w:rsid w:val="00C06543"/>
    <w:rsid w:val="00C07495"/>
    <w:rsid w:val="00C520E5"/>
    <w:rsid w:val="00C72716"/>
    <w:rsid w:val="00C816EA"/>
    <w:rsid w:val="00C873D0"/>
    <w:rsid w:val="00CD5EEF"/>
    <w:rsid w:val="00D10EE9"/>
    <w:rsid w:val="00D2233A"/>
    <w:rsid w:val="00D32BF2"/>
    <w:rsid w:val="00D42A0A"/>
    <w:rsid w:val="00D47692"/>
    <w:rsid w:val="00DA4898"/>
    <w:rsid w:val="00E007DC"/>
    <w:rsid w:val="00E04D0B"/>
    <w:rsid w:val="00E310FC"/>
    <w:rsid w:val="00E63AFD"/>
    <w:rsid w:val="00E67260"/>
    <w:rsid w:val="00EA5801"/>
    <w:rsid w:val="00EB2B97"/>
    <w:rsid w:val="00F13369"/>
    <w:rsid w:val="00F364FB"/>
    <w:rsid w:val="00F46973"/>
    <w:rsid w:val="00F62025"/>
    <w:rsid w:val="00F632A0"/>
    <w:rsid w:val="00F66F0B"/>
    <w:rsid w:val="00FD3500"/>
    <w:rsid w:val="00FF3E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FB4F1"/>
  <w15:docId w15:val="{DFB0E989-A8AB-452B-A8FA-0EB930B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BA9"/>
  </w:style>
  <w:style w:type="paragraph" w:styleId="Heading1">
    <w:name w:val="heading 1"/>
    <w:basedOn w:val="Normal"/>
    <w:next w:val="Normal"/>
    <w:link w:val="Heading1Char"/>
    <w:rsid w:val="00305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31A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421BA9"/>
  </w:style>
  <w:style w:type="character" w:customStyle="1" w:styleId="Autor">
    <w:name w:val="Autor"/>
    <w:basedOn w:val="Absatz-Standardschriftart"/>
    <w:rsid w:val="00FE748D"/>
    <w:rPr>
      <w:rFonts w:ascii="Arial" w:hAnsi="Arial"/>
      <w:smallCaps/>
    </w:rPr>
  </w:style>
  <w:style w:type="paragraph" w:styleId="BalloonText">
    <w:name w:val="Balloon Text"/>
    <w:basedOn w:val="Normal"/>
    <w:semiHidden/>
    <w:rsid w:val="0009647C"/>
    <w:rPr>
      <w:rFonts w:ascii="Lucida Grande" w:hAnsi="Lucida Grande"/>
      <w:sz w:val="18"/>
      <w:szCs w:val="18"/>
    </w:rPr>
  </w:style>
  <w:style w:type="paragraph" w:customStyle="1" w:styleId="Question">
    <w:name w:val="Question"/>
    <w:basedOn w:val="Normal"/>
    <w:rsid w:val="00221877"/>
    <w:pPr>
      <w:spacing w:before="120" w:after="120"/>
    </w:pPr>
    <w:rPr>
      <w:rFonts w:ascii="Arial" w:hAnsi="Arial"/>
      <w:b/>
      <w:i/>
      <w:lang w:val="en-US"/>
    </w:rPr>
  </w:style>
  <w:style w:type="character" w:customStyle="1" w:styleId="Heading1Char">
    <w:name w:val="Heading 1 Char"/>
    <w:basedOn w:val="DefaultParagraphFont"/>
    <w:link w:val="Heading1"/>
    <w:rsid w:val="003050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rsid w:val="003050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0507F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F9E"/>
    <w:pPr>
      <w:ind w:left="720"/>
      <w:contextualSpacing/>
    </w:pPr>
  </w:style>
  <w:style w:type="table" w:styleId="TableGrid">
    <w:name w:val="Table Grid"/>
    <w:basedOn w:val="TableNormal"/>
    <w:rsid w:val="00B95DC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31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A72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F60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anya.uma.es/neam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Hamburg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Jörn Behrens</dc:creator>
  <cp:lastModifiedBy>Alejandro Rojas</cp:lastModifiedBy>
  <cp:revision>2</cp:revision>
  <cp:lastPrinted>2021-11-18T13:08:00Z</cp:lastPrinted>
  <dcterms:created xsi:type="dcterms:W3CDTF">2021-11-19T19:05:00Z</dcterms:created>
  <dcterms:modified xsi:type="dcterms:W3CDTF">2021-11-19T19:05:00Z</dcterms:modified>
</cp:coreProperties>
</file>