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91E" w:rsidRDefault="00104A8D" w:rsidP="00104A8D">
      <w:pPr>
        <w:jc w:val="center"/>
        <w:rPr>
          <w:b/>
          <w:sz w:val="36"/>
          <w:lang w:val="en-US"/>
        </w:rPr>
      </w:pPr>
      <w:r w:rsidRPr="002B092A">
        <w:rPr>
          <w:b/>
          <w:sz w:val="36"/>
          <w:lang w:val="en-US"/>
        </w:rPr>
        <w:t xml:space="preserve">Working Groups and Task Teams Decisions </w:t>
      </w:r>
      <w:r w:rsidR="00EC0ED8">
        <w:rPr>
          <w:b/>
          <w:sz w:val="36"/>
          <w:lang w:val="en-US"/>
        </w:rPr>
        <w:br/>
      </w:r>
      <w:r w:rsidRPr="002B092A">
        <w:rPr>
          <w:b/>
          <w:sz w:val="36"/>
          <w:lang w:val="en-US"/>
        </w:rPr>
        <w:t>and Recommendations</w:t>
      </w:r>
    </w:p>
    <w:p w:rsidR="00EC0ED8" w:rsidRPr="002B092A" w:rsidRDefault="00EC0ED8" w:rsidP="00104A8D">
      <w:pPr>
        <w:jc w:val="center"/>
        <w:rPr>
          <w:b/>
          <w:sz w:val="36"/>
          <w:lang w:val="en-US"/>
        </w:rPr>
      </w:pPr>
    </w:p>
    <w:p w:rsidR="00104A8D" w:rsidRDefault="00104A8D" w:rsidP="00104A8D">
      <w:pPr>
        <w:jc w:val="center"/>
        <w:rPr>
          <w:rFonts w:ascii="Arial" w:hAnsi="Arial" w:cs="Arial"/>
          <w:b/>
          <w:noProof/>
          <w:sz w:val="22"/>
          <w:szCs w:val="22"/>
          <w:lang w:val="en-US"/>
        </w:rPr>
      </w:pPr>
      <w:r>
        <w:rPr>
          <w:rFonts w:ascii="Arial" w:hAnsi="Arial" w:cs="Arial"/>
          <w:b/>
          <w:noProof/>
          <w:sz w:val="22"/>
          <w:szCs w:val="22"/>
          <w:lang w:val="en-US"/>
        </w:rPr>
        <w:t>Working Document</w:t>
      </w:r>
    </w:p>
    <w:p w:rsidR="00104A8D" w:rsidRDefault="00104A8D" w:rsidP="00104A8D">
      <w:pPr>
        <w:jc w:val="center"/>
        <w:rPr>
          <w:rFonts w:ascii="Arial" w:hAnsi="Arial" w:cs="Arial"/>
          <w:b/>
          <w:noProof/>
          <w:sz w:val="22"/>
          <w:szCs w:val="22"/>
          <w:lang w:val="en-US"/>
        </w:rPr>
      </w:pPr>
    </w:p>
    <w:p w:rsidR="00104A8D" w:rsidRPr="00104A8D" w:rsidRDefault="00104A8D" w:rsidP="00104A8D">
      <w:pPr>
        <w:jc w:val="center"/>
        <w:rPr>
          <w:rFonts w:ascii="Arial" w:hAnsi="Arial" w:cs="Arial"/>
          <w:noProof/>
          <w:sz w:val="22"/>
          <w:szCs w:val="22"/>
          <w:lang w:val="en-US"/>
        </w:rPr>
      </w:pPr>
      <w:r w:rsidRPr="00104A8D">
        <w:rPr>
          <w:rFonts w:ascii="Arial" w:hAnsi="Arial" w:cs="Arial"/>
          <w:noProof/>
          <w:sz w:val="22"/>
          <w:szCs w:val="22"/>
          <w:lang w:val="en-US"/>
        </w:rPr>
        <w:t>23 Nov 2021</w:t>
      </w:r>
    </w:p>
    <w:p w:rsidR="00104A8D" w:rsidRDefault="00104A8D" w:rsidP="00FD4478">
      <w:pPr>
        <w:jc w:val="both"/>
        <w:rPr>
          <w:rFonts w:ascii="Arial" w:hAnsi="Arial" w:cs="Arial"/>
          <w:b/>
          <w:noProof/>
          <w:sz w:val="22"/>
          <w:szCs w:val="22"/>
          <w:lang w:val="en-US"/>
        </w:rPr>
      </w:pPr>
    </w:p>
    <w:p w:rsidR="00682E72" w:rsidRPr="00087973" w:rsidRDefault="00682E72" w:rsidP="00FD4478">
      <w:pPr>
        <w:jc w:val="both"/>
        <w:rPr>
          <w:rFonts w:ascii="Arial" w:hAnsi="Arial" w:cs="Arial"/>
          <w:b/>
          <w:noProof/>
          <w:sz w:val="22"/>
          <w:szCs w:val="22"/>
          <w:lang w:val="en-US"/>
        </w:rPr>
      </w:pPr>
      <w:r w:rsidRPr="00087973">
        <w:rPr>
          <w:rFonts w:ascii="Arial" w:hAnsi="Arial" w:cs="Arial"/>
          <w:b/>
          <w:noProof/>
          <w:sz w:val="22"/>
          <w:szCs w:val="22"/>
          <w:lang w:val="en-US"/>
        </w:rPr>
        <w:t>WG 1</w:t>
      </w:r>
      <w:r w:rsidR="00087973" w:rsidRPr="00087973">
        <w:rPr>
          <w:rFonts w:ascii="Arial" w:hAnsi="Arial" w:cs="Arial"/>
          <w:b/>
          <w:color w:val="000000"/>
          <w:sz w:val="20"/>
          <w:szCs w:val="20"/>
          <w:shd w:val="clear" w:color="auto" w:fill="FFFFFF"/>
          <w:lang w:val="en-US"/>
        </w:rPr>
        <w:t xml:space="preserve"> on Hazard Assessment and Modelling</w:t>
      </w:r>
    </w:p>
    <w:p w:rsidR="00682E72" w:rsidRDefault="00682E72" w:rsidP="00FD4478">
      <w:pPr>
        <w:jc w:val="both"/>
        <w:rPr>
          <w:rFonts w:ascii="Arial" w:hAnsi="Arial" w:cs="Arial"/>
          <w:b/>
          <w:noProof/>
          <w:sz w:val="22"/>
          <w:szCs w:val="22"/>
          <w:lang w:val="en-US"/>
        </w:rPr>
      </w:pPr>
    </w:p>
    <w:p w:rsidR="00FD4478" w:rsidRPr="00FD4478" w:rsidRDefault="00FD4478" w:rsidP="00FD4478">
      <w:pPr>
        <w:jc w:val="both"/>
        <w:rPr>
          <w:rFonts w:ascii="Arial" w:hAnsi="Arial" w:cs="Arial"/>
          <w:b/>
          <w:noProof/>
          <w:sz w:val="22"/>
          <w:szCs w:val="22"/>
          <w:lang w:val="en-US"/>
        </w:rPr>
      </w:pPr>
      <w:r w:rsidRPr="00FD4478">
        <w:rPr>
          <w:rFonts w:ascii="Arial" w:hAnsi="Arial" w:cs="Arial"/>
          <w:b/>
          <w:noProof/>
          <w:sz w:val="22"/>
          <w:szCs w:val="22"/>
          <w:lang w:val="en-US"/>
        </w:rPr>
        <w:t>Decisions</w:t>
      </w:r>
    </w:p>
    <w:p w:rsidR="00FD4478" w:rsidRPr="00FD4478" w:rsidRDefault="00FD4478" w:rsidP="00FD4478">
      <w:pPr>
        <w:jc w:val="both"/>
        <w:rPr>
          <w:rFonts w:ascii="Arial" w:hAnsi="Arial" w:cs="Arial"/>
          <w:b/>
          <w:noProof/>
          <w:sz w:val="22"/>
          <w:szCs w:val="22"/>
          <w:lang w:val="en-US"/>
        </w:rPr>
      </w:pPr>
    </w:p>
    <w:p w:rsidR="00FD4478" w:rsidRPr="00087973" w:rsidRDefault="00FD4478" w:rsidP="00087973">
      <w:pPr>
        <w:pStyle w:val="ListParagraph"/>
        <w:numPr>
          <w:ilvl w:val="0"/>
          <w:numId w:val="15"/>
        </w:numPr>
        <w:suppressAutoHyphens/>
        <w:rPr>
          <w:rFonts w:ascii="Arial" w:hAnsi="Arial" w:cs="Arial"/>
          <w:noProof/>
          <w:sz w:val="22"/>
          <w:szCs w:val="22"/>
          <w:lang w:val="en-US"/>
        </w:rPr>
      </w:pPr>
      <w:r w:rsidRPr="00087973">
        <w:rPr>
          <w:rFonts w:ascii="Arial" w:hAnsi="Arial" w:cs="Arial"/>
          <w:noProof/>
          <w:sz w:val="22"/>
          <w:szCs w:val="22"/>
          <w:lang w:val="en-US"/>
        </w:rPr>
        <w:t>Elaborate a draft ToR of WG1, including Risk assessment.</w:t>
      </w:r>
    </w:p>
    <w:p w:rsidR="00087973" w:rsidRPr="00FD4478" w:rsidRDefault="00087973" w:rsidP="00087973">
      <w:pPr>
        <w:pStyle w:val="ListParagraph"/>
        <w:tabs>
          <w:tab w:val="clear" w:pos="709"/>
        </w:tabs>
        <w:suppressAutoHyphens/>
        <w:rPr>
          <w:rFonts w:ascii="Arial" w:hAnsi="Arial" w:cs="Arial"/>
          <w:noProof/>
          <w:sz w:val="22"/>
          <w:szCs w:val="22"/>
          <w:lang w:val="en-US"/>
        </w:rPr>
      </w:pPr>
    </w:p>
    <w:p w:rsidR="00FD4478" w:rsidRPr="00087973" w:rsidRDefault="00FD4478" w:rsidP="00087973">
      <w:pPr>
        <w:pStyle w:val="ListParagraph"/>
        <w:numPr>
          <w:ilvl w:val="0"/>
          <w:numId w:val="15"/>
        </w:numPr>
        <w:suppressAutoHyphens/>
        <w:rPr>
          <w:rFonts w:ascii="Arial" w:hAnsi="Arial" w:cs="Arial"/>
          <w:noProof/>
          <w:sz w:val="22"/>
          <w:szCs w:val="22"/>
          <w:lang w:val="en-US"/>
        </w:rPr>
      </w:pPr>
      <w:r w:rsidRPr="00087973">
        <w:rPr>
          <w:rFonts w:ascii="Arial" w:hAnsi="Arial" w:cs="Arial"/>
          <w:noProof/>
          <w:sz w:val="22"/>
          <w:szCs w:val="22"/>
          <w:lang w:val="en-US"/>
        </w:rPr>
        <w:t>Review methodologies and procedures for hazard assessment (deterministic vs probabilistic) for different applications: preparation, mitigation, evacuation (TsunamiReady). Portugal (Rachid), Spain (Mauricio and Iñigo Aniel), France (Audrey), Italy (Jacopo/Alessandro?),…</w:t>
      </w:r>
    </w:p>
    <w:p w:rsidR="00087973" w:rsidRPr="00087973" w:rsidRDefault="00087973" w:rsidP="00087973">
      <w:pPr>
        <w:suppressAutoHyphens/>
        <w:rPr>
          <w:rFonts w:ascii="Arial" w:hAnsi="Arial" w:cs="Arial"/>
          <w:noProof/>
          <w:sz w:val="22"/>
          <w:szCs w:val="22"/>
          <w:lang w:val="en-US"/>
        </w:rPr>
      </w:pPr>
    </w:p>
    <w:p w:rsidR="00FD4478" w:rsidRPr="00087973" w:rsidRDefault="00FD4478" w:rsidP="00087973">
      <w:pPr>
        <w:pStyle w:val="ListParagraph"/>
        <w:numPr>
          <w:ilvl w:val="0"/>
          <w:numId w:val="15"/>
        </w:numPr>
        <w:suppressAutoHyphens/>
        <w:rPr>
          <w:rFonts w:ascii="Arial" w:hAnsi="Arial" w:cs="Arial"/>
          <w:noProof/>
          <w:sz w:val="22"/>
          <w:szCs w:val="22"/>
          <w:lang w:val="en-US"/>
        </w:rPr>
      </w:pPr>
      <w:r w:rsidRPr="00087973">
        <w:rPr>
          <w:rFonts w:ascii="Arial" w:hAnsi="Arial" w:cs="Arial"/>
          <w:noProof/>
          <w:sz w:val="22"/>
          <w:szCs w:val="22"/>
          <w:lang w:val="en-US"/>
        </w:rPr>
        <w:t>Collect benchmark data for NEAMTWS. Spain (Jorge), France (Audrey), Greece (NOA Nikos Kalligeris)</w:t>
      </w:r>
    </w:p>
    <w:p w:rsidR="00087973" w:rsidRPr="00087973" w:rsidRDefault="00087973" w:rsidP="00087973">
      <w:pPr>
        <w:pStyle w:val="ListParagraph"/>
        <w:rPr>
          <w:rFonts w:ascii="Arial" w:hAnsi="Arial" w:cs="Arial"/>
          <w:noProof/>
          <w:sz w:val="22"/>
          <w:szCs w:val="22"/>
          <w:lang w:val="en-US"/>
        </w:rPr>
      </w:pPr>
    </w:p>
    <w:p w:rsidR="00087973" w:rsidRPr="00FD4478" w:rsidRDefault="00087973" w:rsidP="00087973">
      <w:pPr>
        <w:pStyle w:val="ListParagraph"/>
        <w:tabs>
          <w:tab w:val="clear" w:pos="709"/>
        </w:tabs>
        <w:suppressAutoHyphens/>
        <w:rPr>
          <w:rFonts w:ascii="Arial" w:hAnsi="Arial" w:cs="Arial"/>
          <w:noProof/>
          <w:sz w:val="22"/>
          <w:szCs w:val="22"/>
          <w:lang w:val="en-US"/>
        </w:rPr>
      </w:pPr>
    </w:p>
    <w:p w:rsidR="00FD4478" w:rsidRPr="00087973" w:rsidRDefault="00FD4478" w:rsidP="00087973">
      <w:pPr>
        <w:pStyle w:val="ListParagraph"/>
        <w:numPr>
          <w:ilvl w:val="0"/>
          <w:numId w:val="15"/>
        </w:numPr>
        <w:suppressAutoHyphens/>
        <w:rPr>
          <w:rFonts w:ascii="Arial" w:hAnsi="Arial" w:cs="Arial"/>
          <w:noProof/>
          <w:sz w:val="22"/>
          <w:szCs w:val="22"/>
          <w:lang w:val="en-US"/>
        </w:rPr>
      </w:pPr>
      <w:r w:rsidRPr="00087973">
        <w:rPr>
          <w:rFonts w:ascii="Arial" w:hAnsi="Arial" w:cs="Arial"/>
          <w:noProof/>
          <w:sz w:val="22"/>
          <w:szCs w:val="22"/>
          <w:lang w:val="en-US"/>
        </w:rPr>
        <w:t>Contact WG4 (Alessandro) to start with a guideline on PTHA and risk application (preparation, mitigation, evacuation)</w:t>
      </w:r>
    </w:p>
    <w:p w:rsidR="00087973" w:rsidRPr="00FD4478" w:rsidRDefault="00087973" w:rsidP="00087973">
      <w:pPr>
        <w:pStyle w:val="ListParagraph"/>
        <w:tabs>
          <w:tab w:val="clear" w:pos="709"/>
        </w:tabs>
        <w:suppressAutoHyphens/>
        <w:rPr>
          <w:rFonts w:ascii="Arial" w:hAnsi="Arial" w:cs="Arial"/>
          <w:noProof/>
          <w:sz w:val="22"/>
          <w:szCs w:val="22"/>
          <w:lang w:val="en-US"/>
        </w:rPr>
      </w:pPr>
    </w:p>
    <w:p w:rsidR="00FD4478" w:rsidRPr="00087973" w:rsidRDefault="00FD4478" w:rsidP="00087973">
      <w:pPr>
        <w:pStyle w:val="ListParagraph"/>
        <w:numPr>
          <w:ilvl w:val="0"/>
          <w:numId w:val="15"/>
        </w:numPr>
        <w:suppressAutoHyphens/>
        <w:rPr>
          <w:rFonts w:ascii="Arial" w:hAnsi="Arial" w:cs="Arial"/>
          <w:noProof/>
          <w:sz w:val="22"/>
          <w:szCs w:val="22"/>
          <w:lang w:val="en-US"/>
        </w:rPr>
      </w:pPr>
      <w:r w:rsidRPr="00087973">
        <w:rPr>
          <w:rFonts w:ascii="Arial" w:hAnsi="Arial" w:cs="Arial"/>
          <w:noProof/>
          <w:sz w:val="22"/>
          <w:szCs w:val="22"/>
          <w:lang w:val="en-US"/>
        </w:rPr>
        <w:t>Contact TT Operation to define needs and feedback (standards operation procedure for cancellation, for end-off, others…)</w:t>
      </w:r>
    </w:p>
    <w:p w:rsidR="00FD4478" w:rsidRPr="00FD4478" w:rsidRDefault="00FD4478" w:rsidP="00FD4478">
      <w:pPr>
        <w:jc w:val="both"/>
        <w:rPr>
          <w:rFonts w:ascii="Arial" w:hAnsi="Arial" w:cs="Arial"/>
          <w:b/>
          <w:noProof/>
          <w:sz w:val="22"/>
          <w:szCs w:val="22"/>
          <w:lang w:val="en-US"/>
        </w:rPr>
      </w:pPr>
    </w:p>
    <w:p w:rsidR="00FD4478" w:rsidRDefault="00FD4478" w:rsidP="00FD4478">
      <w:pPr>
        <w:rPr>
          <w:rFonts w:ascii="Arial" w:hAnsi="Arial" w:cs="Arial"/>
          <w:b/>
          <w:noProof/>
          <w:sz w:val="22"/>
          <w:szCs w:val="22"/>
          <w:lang w:val="en-US"/>
        </w:rPr>
      </w:pPr>
      <w:r w:rsidRPr="00FD4478">
        <w:rPr>
          <w:rFonts w:ascii="Arial" w:hAnsi="Arial" w:cs="Arial"/>
          <w:b/>
          <w:noProof/>
          <w:sz w:val="22"/>
          <w:szCs w:val="22"/>
          <w:lang w:val="en-US"/>
        </w:rPr>
        <w:t>Recommandations</w:t>
      </w:r>
    </w:p>
    <w:p w:rsidR="00682E72" w:rsidRPr="00FD4478" w:rsidRDefault="00682E72" w:rsidP="00FD4478">
      <w:pPr>
        <w:rPr>
          <w:rFonts w:ascii="Arial" w:hAnsi="Arial" w:cs="Arial"/>
          <w:b/>
          <w:noProof/>
          <w:sz w:val="22"/>
          <w:szCs w:val="22"/>
          <w:lang w:val="en-US"/>
        </w:rPr>
      </w:pPr>
    </w:p>
    <w:p w:rsidR="00FD4478" w:rsidRDefault="00FD4478" w:rsidP="00087973">
      <w:pPr>
        <w:pStyle w:val="ListParagraph"/>
        <w:numPr>
          <w:ilvl w:val="0"/>
          <w:numId w:val="17"/>
        </w:numPr>
        <w:rPr>
          <w:rFonts w:ascii="Arial" w:hAnsi="Arial" w:cs="Arial"/>
          <w:noProof/>
          <w:sz w:val="22"/>
          <w:szCs w:val="22"/>
          <w:lang w:val="en-US"/>
        </w:rPr>
      </w:pPr>
      <w:r w:rsidRPr="00087973">
        <w:rPr>
          <w:rFonts w:ascii="Arial" w:hAnsi="Arial" w:cs="Arial"/>
          <w:noProof/>
          <w:sz w:val="22"/>
          <w:szCs w:val="22"/>
          <w:lang w:val="en-US"/>
        </w:rPr>
        <w:t>Need to have a document showing the state of the art on PTHA methodologies and application guidelines developed in the different countries + create a guidelines to elaborate TsunamiReady flooding maps in the NEAM region &amp; for local emergency plans.</w:t>
      </w:r>
    </w:p>
    <w:p w:rsidR="00087973" w:rsidRPr="00087973" w:rsidRDefault="00087973" w:rsidP="00087973">
      <w:pPr>
        <w:pStyle w:val="ListParagraph"/>
        <w:rPr>
          <w:rFonts w:ascii="Arial" w:hAnsi="Arial" w:cs="Arial"/>
          <w:noProof/>
          <w:sz w:val="22"/>
          <w:szCs w:val="22"/>
          <w:lang w:val="en-US"/>
        </w:rPr>
      </w:pPr>
    </w:p>
    <w:p w:rsidR="00FD4478" w:rsidRDefault="00FD4478" w:rsidP="00087973">
      <w:pPr>
        <w:pStyle w:val="ListParagraph"/>
        <w:numPr>
          <w:ilvl w:val="0"/>
          <w:numId w:val="17"/>
        </w:numPr>
        <w:rPr>
          <w:rFonts w:ascii="Arial" w:hAnsi="Arial" w:cs="Arial"/>
          <w:sz w:val="22"/>
          <w:szCs w:val="22"/>
          <w:lang w:val="en-US"/>
        </w:rPr>
      </w:pPr>
      <w:r w:rsidRPr="00087973">
        <w:rPr>
          <w:rFonts w:ascii="Arial" w:hAnsi="Arial" w:cs="Arial"/>
          <w:sz w:val="22"/>
          <w:szCs w:val="22"/>
          <w:lang w:val="en-US"/>
        </w:rPr>
        <w:t>Need to address how hazard should be propagated to risk</w:t>
      </w:r>
    </w:p>
    <w:p w:rsidR="00087973" w:rsidRPr="00087973" w:rsidRDefault="00087973" w:rsidP="00087973">
      <w:pPr>
        <w:pStyle w:val="ListParagraph"/>
        <w:rPr>
          <w:rFonts w:ascii="Arial" w:hAnsi="Arial" w:cs="Arial"/>
          <w:sz w:val="22"/>
          <w:szCs w:val="22"/>
          <w:lang w:val="en-US"/>
        </w:rPr>
      </w:pPr>
    </w:p>
    <w:p w:rsidR="0075491E" w:rsidRPr="00087973" w:rsidRDefault="00FD4478" w:rsidP="0075491E">
      <w:pPr>
        <w:pStyle w:val="ListParagraph"/>
        <w:numPr>
          <w:ilvl w:val="0"/>
          <w:numId w:val="17"/>
        </w:numPr>
        <w:rPr>
          <w:rFonts w:ascii="Arial" w:hAnsi="Arial" w:cs="Arial"/>
          <w:sz w:val="22"/>
          <w:szCs w:val="22"/>
          <w:lang w:val="en-US"/>
        </w:rPr>
      </w:pPr>
      <w:r w:rsidRPr="00087973">
        <w:rPr>
          <w:rFonts w:ascii="Arial" w:hAnsi="Arial" w:cs="Arial"/>
          <w:sz w:val="22"/>
          <w:szCs w:val="22"/>
          <w:lang w:val="en-US"/>
        </w:rPr>
        <w:t xml:space="preserve">Need to identify if/how models can help refining end-off and/or cancellation times for </w:t>
      </w:r>
      <w:r w:rsidRPr="00087973">
        <w:rPr>
          <w:rFonts w:ascii="Arial" w:hAnsi="Arial" w:cs="Arial"/>
          <w:noProof/>
          <w:sz w:val="22"/>
          <w:szCs w:val="22"/>
          <w:lang w:val="en-US"/>
        </w:rPr>
        <w:t>standards operation procedure</w:t>
      </w:r>
    </w:p>
    <w:p w:rsidR="0075491E" w:rsidRPr="000C057F" w:rsidRDefault="0075491E" w:rsidP="0075491E">
      <w:pPr>
        <w:pStyle w:val="Standard1"/>
        <w:spacing w:before="360"/>
        <w:jc w:val="center"/>
        <w:rPr>
          <w:rStyle w:val="Absatz-Standardschriftart1"/>
          <w:rFonts w:ascii="Arial" w:hAnsi="Arial" w:cs="Arial"/>
          <w:b/>
          <w:color w:val="000000" w:themeColor="text1"/>
          <w:sz w:val="22"/>
          <w:szCs w:val="22"/>
        </w:rPr>
      </w:pPr>
      <w:proofErr w:type="spellStart"/>
      <w:r w:rsidRPr="000C057F">
        <w:rPr>
          <w:rStyle w:val="Absatz-Standardschriftart1"/>
          <w:rFonts w:ascii="Arial" w:hAnsi="Arial" w:cs="Arial"/>
          <w:b/>
          <w:color w:val="000000" w:themeColor="text1"/>
          <w:sz w:val="22"/>
          <w:szCs w:val="22"/>
        </w:rPr>
        <w:t>Recommendations</w:t>
      </w:r>
      <w:proofErr w:type="spellEnd"/>
      <w:r w:rsidRPr="000C057F">
        <w:rPr>
          <w:rStyle w:val="Absatz-Standardschriftart1"/>
          <w:rFonts w:ascii="Arial" w:hAnsi="Arial" w:cs="Arial"/>
          <w:b/>
          <w:color w:val="000000" w:themeColor="text1"/>
          <w:sz w:val="22"/>
          <w:szCs w:val="22"/>
        </w:rPr>
        <w:t xml:space="preserve"> of Working Group 2 and 3 on </w:t>
      </w:r>
      <w:proofErr w:type="spellStart"/>
      <w:r w:rsidRPr="000C057F">
        <w:rPr>
          <w:rStyle w:val="Absatz-Standardschriftart1"/>
          <w:rFonts w:ascii="Arial" w:hAnsi="Arial" w:cs="Arial"/>
          <w:b/>
          <w:color w:val="000000" w:themeColor="text1"/>
          <w:sz w:val="22"/>
          <w:szCs w:val="22"/>
        </w:rPr>
        <w:t>Seismic</w:t>
      </w:r>
      <w:proofErr w:type="spellEnd"/>
      <w:r w:rsidRPr="000C057F">
        <w:rPr>
          <w:rStyle w:val="Absatz-Standardschriftart1"/>
          <w:rFonts w:ascii="Arial" w:hAnsi="Arial" w:cs="Arial"/>
          <w:b/>
          <w:color w:val="000000" w:themeColor="text1"/>
          <w:sz w:val="22"/>
          <w:szCs w:val="22"/>
        </w:rPr>
        <w:t xml:space="preserve">, </w:t>
      </w:r>
      <w:proofErr w:type="spellStart"/>
      <w:r w:rsidRPr="000C057F">
        <w:rPr>
          <w:rStyle w:val="Absatz-Standardschriftart1"/>
          <w:rFonts w:ascii="Arial" w:hAnsi="Arial" w:cs="Arial"/>
          <w:b/>
          <w:color w:val="000000" w:themeColor="text1"/>
          <w:sz w:val="22"/>
          <w:szCs w:val="22"/>
        </w:rPr>
        <w:t>Geophysical</w:t>
      </w:r>
      <w:proofErr w:type="spellEnd"/>
      <w:r w:rsidRPr="000C057F">
        <w:rPr>
          <w:rStyle w:val="Absatz-Standardschriftart1"/>
          <w:rFonts w:ascii="Arial" w:hAnsi="Arial" w:cs="Arial"/>
          <w:b/>
          <w:color w:val="000000" w:themeColor="text1"/>
          <w:sz w:val="22"/>
          <w:szCs w:val="22"/>
        </w:rPr>
        <w:t xml:space="preserve"> and </w:t>
      </w:r>
    </w:p>
    <w:p w:rsidR="0075491E" w:rsidRPr="000C057F" w:rsidRDefault="0075491E" w:rsidP="0075491E">
      <w:pPr>
        <w:pStyle w:val="Standard1"/>
        <w:jc w:val="center"/>
        <w:rPr>
          <w:rFonts w:ascii="Arial" w:hAnsi="Arial" w:cs="Arial"/>
          <w:color w:val="000000" w:themeColor="text1"/>
          <w:sz w:val="22"/>
          <w:szCs w:val="22"/>
          <w:lang w:val="en-GB"/>
        </w:rPr>
      </w:pPr>
      <w:proofErr w:type="spellStart"/>
      <w:r w:rsidRPr="000C057F">
        <w:rPr>
          <w:rStyle w:val="Absatz-Standardschriftart1"/>
          <w:rFonts w:ascii="Arial" w:hAnsi="Arial" w:cs="Arial"/>
          <w:b/>
          <w:color w:val="000000" w:themeColor="text1"/>
          <w:sz w:val="22"/>
          <w:szCs w:val="22"/>
        </w:rPr>
        <w:t>Sea</w:t>
      </w:r>
      <w:proofErr w:type="spellEnd"/>
      <w:r w:rsidRPr="000C057F">
        <w:rPr>
          <w:rStyle w:val="Absatz-Standardschriftart1"/>
          <w:rFonts w:ascii="Arial" w:hAnsi="Arial" w:cs="Arial"/>
          <w:b/>
          <w:color w:val="000000" w:themeColor="text1"/>
          <w:sz w:val="22"/>
          <w:szCs w:val="22"/>
        </w:rPr>
        <w:t xml:space="preserve"> </w:t>
      </w:r>
      <w:proofErr w:type="spellStart"/>
      <w:r w:rsidRPr="000C057F">
        <w:rPr>
          <w:rStyle w:val="Absatz-Standardschriftart1"/>
          <w:rFonts w:ascii="Arial" w:hAnsi="Arial" w:cs="Arial"/>
          <w:b/>
          <w:color w:val="000000" w:themeColor="text1"/>
          <w:sz w:val="22"/>
          <w:szCs w:val="22"/>
        </w:rPr>
        <w:t>level</w:t>
      </w:r>
      <w:proofErr w:type="spellEnd"/>
      <w:r w:rsidRPr="000C057F">
        <w:rPr>
          <w:rStyle w:val="Absatz-Standardschriftart1"/>
          <w:rFonts w:ascii="Arial" w:hAnsi="Arial" w:cs="Arial"/>
          <w:b/>
          <w:color w:val="000000" w:themeColor="text1"/>
          <w:sz w:val="22"/>
          <w:szCs w:val="22"/>
        </w:rPr>
        <w:t xml:space="preserve"> </w:t>
      </w:r>
      <w:proofErr w:type="spellStart"/>
      <w:r w:rsidRPr="000C057F">
        <w:rPr>
          <w:rStyle w:val="Absatz-Standardschriftart1"/>
          <w:rFonts w:ascii="Arial" w:hAnsi="Arial" w:cs="Arial"/>
          <w:b/>
          <w:color w:val="000000" w:themeColor="text1"/>
          <w:sz w:val="22"/>
          <w:szCs w:val="22"/>
        </w:rPr>
        <w:t>Measurements</w:t>
      </w:r>
      <w:proofErr w:type="spellEnd"/>
    </w:p>
    <w:p w:rsidR="0075491E" w:rsidRPr="000C057F" w:rsidRDefault="0075491E" w:rsidP="0075491E">
      <w:pPr>
        <w:autoSpaceDE w:val="0"/>
        <w:adjustRightInd w:val="0"/>
        <w:jc w:val="both"/>
        <w:outlineLvl w:val="0"/>
        <w:rPr>
          <w:rFonts w:ascii="Arial" w:eastAsia="Arial-BoldMT" w:hAnsi="Arial" w:cs="Arial"/>
          <w:bCs/>
          <w:color w:val="000000"/>
          <w:sz w:val="22"/>
          <w:szCs w:val="22"/>
          <w:lang w:val="en-US"/>
        </w:rPr>
      </w:pPr>
    </w:p>
    <w:p w:rsidR="00B81C91" w:rsidRPr="00087973" w:rsidRDefault="00B81C91" w:rsidP="00087973">
      <w:pPr>
        <w:pStyle w:val="ListParagraph"/>
        <w:numPr>
          <w:ilvl w:val="0"/>
          <w:numId w:val="14"/>
        </w:numPr>
        <w:spacing w:after="200" w:line="276" w:lineRule="auto"/>
        <w:rPr>
          <w:rFonts w:ascii="Arial" w:hAnsi="Arial" w:cs="Arial"/>
          <w:color w:val="000000" w:themeColor="text1"/>
          <w:sz w:val="22"/>
          <w:szCs w:val="22"/>
          <w:lang w:val="en-US"/>
        </w:rPr>
      </w:pPr>
      <w:r w:rsidRPr="00087973">
        <w:rPr>
          <w:rFonts w:ascii="Arial" w:hAnsi="Arial" w:cs="Arial"/>
          <w:color w:val="000000" w:themeColor="text1"/>
          <w:sz w:val="22"/>
          <w:szCs w:val="22"/>
          <w:lang w:val="en-US"/>
        </w:rPr>
        <w:t>MS should be encouraged to actively participate in WG2&amp;3</w:t>
      </w:r>
    </w:p>
    <w:p w:rsidR="00B81C91" w:rsidRPr="00087973" w:rsidRDefault="00B81C91" w:rsidP="00B81C91">
      <w:pPr>
        <w:pStyle w:val="ListParagraph"/>
        <w:rPr>
          <w:rFonts w:ascii="Arial" w:hAnsi="Arial" w:cs="Arial"/>
          <w:color w:val="000000" w:themeColor="text1"/>
          <w:sz w:val="22"/>
          <w:szCs w:val="22"/>
          <w:lang w:val="en-US"/>
        </w:rPr>
      </w:pPr>
    </w:p>
    <w:p w:rsidR="00B81C91" w:rsidRPr="00087973" w:rsidRDefault="00B81C91" w:rsidP="00087973">
      <w:pPr>
        <w:pStyle w:val="ListParagraph"/>
        <w:numPr>
          <w:ilvl w:val="0"/>
          <w:numId w:val="14"/>
        </w:numPr>
        <w:spacing w:after="200" w:line="276" w:lineRule="auto"/>
        <w:rPr>
          <w:rFonts w:ascii="Arial" w:hAnsi="Arial" w:cs="Arial"/>
          <w:color w:val="000000" w:themeColor="text1"/>
          <w:sz w:val="22"/>
          <w:szCs w:val="22"/>
          <w:lang w:val="en-US"/>
        </w:rPr>
      </w:pPr>
      <w:r w:rsidRPr="00087973">
        <w:rPr>
          <w:rFonts w:ascii="Arial" w:hAnsi="Arial" w:cs="Arial"/>
          <w:color w:val="000000" w:themeColor="text1"/>
          <w:sz w:val="22"/>
          <w:szCs w:val="22"/>
          <w:lang w:val="en-US"/>
        </w:rPr>
        <w:t>By cooperation of MS, the JRC, other data providers and repositories to identify further need for public access for any real time sea level data for tsunami operations</w:t>
      </w:r>
    </w:p>
    <w:p w:rsidR="00B81C91" w:rsidRPr="00087973" w:rsidRDefault="00B81C91" w:rsidP="00B81C91">
      <w:pPr>
        <w:pStyle w:val="ListParagraph"/>
        <w:rPr>
          <w:rFonts w:ascii="Arial" w:hAnsi="Arial" w:cs="Arial"/>
          <w:color w:val="000000" w:themeColor="text1"/>
          <w:sz w:val="22"/>
          <w:szCs w:val="22"/>
          <w:lang w:val="en-US"/>
        </w:rPr>
      </w:pPr>
    </w:p>
    <w:p w:rsidR="00B81C91" w:rsidRPr="00087973" w:rsidRDefault="00B81C91" w:rsidP="00087973">
      <w:pPr>
        <w:pStyle w:val="ListParagraph"/>
        <w:numPr>
          <w:ilvl w:val="0"/>
          <w:numId w:val="14"/>
        </w:numPr>
        <w:spacing w:before="240" w:after="240" w:line="276" w:lineRule="auto"/>
        <w:rPr>
          <w:rFonts w:ascii="Arial" w:hAnsi="Arial" w:cs="Arial"/>
          <w:color w:val="000000" w:themeColor="text1"/>
          <w:sz w:val="22"/>
          <w:szCs w:val="22"/>
          <w:lang w:val="en-US"/>
        </w:rPr>
      </w:pPr>
      <w:r w:rsidRPr="00087973">
        <w:rPr>
          <w:rFonts w:ascii="Arial" w:hAnsi="Arial" w:cs="Arial"/>
          <w:color w:val="000000" w:themeColor="text1"/>
          <w:sz w:val="22"/>
          <w:szCs w:val="22"/>
          <w:lang w:val="en-US"/>
        </w:rPr>
        <w:t>Promote the improvements of the communication channels for the most updated information of station health in the NEAM-Region</w:t>
      </w:r>
    </w:p>
    <w:p w:rsidR="00B81C91" w:rsidRPr="00087973" w:rsidRDefault="00B81C91" w:rsidP="00B81C91">
      <w:pPr>
        <w:pStyle w:val="ListParagraph"/>
        <w:spacing w:before="240" w:after="240"/>
        <w:rPr>
          <w:rFonts w:ascii="Arial" w:hAnsi="Arial" w:cs="Arial"/>
          <w:color w:val="000000" w:themeColor="text1"/>
          <w:sz w:val="22"/>
          <w:szCs w:val="22"/>
          <w:lang w:val="en-US"/>
        </w:rPr>
      </w:pPr>
    </w:p>
    <w:p w:rsidR="00B81C91" w:rsidRPr="00087973" w:rsidRDefault="00B81C91" w:rsidP="00087973">
      <w:pPr>
        <w:pStyle w:val="ListParagraph"/>
        <w:numPr>
          <w:ilvl w:val="0"/>
          <w:numId w:val="14"/>
        </w:numPr>
        <w:tabs>
          <w:tab w:val="left" w:pos="426"/>
        </w:tabs>
        <w:spacing w:line="276" w:lineRule="auto"/>
        <w:rPr>
          <w:rFonts w:asciiTheme="majorHAnsi" w:hAnsiTheme="majorHAnsi" w:cstheme="majorHAnsi"/>
          <w:color w:val="000000" w:themeColor="text1"/>
          <w:lang w:val="en-US"/>
        </w:rPr>
      </w:pPr>
      <w:r w:rsidRPr="00087973">
        <w:rPr>
          <w:rFonts w:ascii="Arial" w:hAnsi="Arial" w:cs="Arial"/>
          <w:color w:val="000000" w:themeColor="text1"/>
          <w:sz w:val="22"/>
          <w:szCs w:val="22"/>
          <w:lang w:val="en-US"/>
        </w:rPr>
        <w:lastRenderedPageBreak/>
        <w:t>Support the IOC Secretariat intention to explore possible high level approaches to data exchange from tsunami detection network in N-African countries, along with active engagement (e.g. workshops, technical visits etc.) in order to encourage their involvement and contribution in the NEAMTWS operations</w:t>
      </w:r>
      <w:r w:rsidRPr="00087973">
        <w:rPr>
          <w:rFonts w:asciiTheme="majorHAnsi" w:hAnsiTheme="majorHAnsi" w:cstheme="majorHAnsi"/>
          <w:color w:val="000000" w:themeColor="text1"/>
          <w:lang w:val="en-US"/>
        </w:rPr>
        <w:t>.</w:t>
      </w:r>
    </w:p>
    <w:p w:rsidR="0075491E" w:rsidRDefault="0075491E">
      <w:pPr>
        <w:rPr>
          <w:rFonts w:ascii="Arial" w:hAnsi="Arial" w:cs="Arial"/>
          <w:b/>
          <w:sz w:val="22"/>
          <w:szCs w:val="22"/>
          <w:lang w:val="en-US"/>
        </w:rPr>
      </w:pPr>
    </w:p>
    <w:p w:rsidR="0075491E" w:rsidRDefault="0075491E" w:rsidP="00087973">
      <w:pPr>
        <w:pStyle w:val="Standard1"/>
        <w:spacing w:before="360"/>
        <w:rPr>
          <w:rFonts w:ascii="Arial" w:hAnsi="Arial" w:cs="Arial"/>
          <w:b/>
          <w:color w:val="000000" w:themeColor="text1"/>
          <w:sz w:val="22"/>
          <w:szCs w:val="22"/>
          <w:lang w:val="en-GB"/>
        </w:rPr>
      </w:pPr>
      <w:proofErr w:type="spellStart"/>
      <w:r w:rsidRPr="000C057F">
        <w:rPr>
          <w:rStyle w:val="Absatz-Standardschriftart1"/>
          <w:rFonts w:ascii="Arial" w:hAnsi="Arial" w:cs="Arial"/>
          <w:b/>
          <w:color w:val="000000" w:themeColor="text1"/>
          <w:sz w:val="22"/>
          <w:szCs w:val="22"/>
        </w:rPr>
        <w:t>Recommendations</w:t>
      </w:r>
      <w:proofErr w:type="spellEnd"/>
      <w:r w:rsidRPr="000C057F">
        <w:rPr>
          <w:rStyle w:val="Absatz-Standardschriftart1"/>
          <w:rFonts w:ascii="Arial" w:hAnsi="Arial" w:cs="Arial"/>
          <w:b/>
          <w:color w:val="000000" w:themeColor="text1"/>
          <w:sz w:val="22"/>
          <w:szCs w:val="22"/>
        </w:rPr>
        <w:t xml:space="preserve"> of Working Group 4 on Public Awareness, </w:t>
      </w:r>
      <w:proofErr w:type="spellStart"/>
      <w:r w:rsidRPr="000C057F">
        <w:rPr>
          <w:rStyle w:val="Absatz-Standardschriftart1"/>
          <w:rFonts w:ascii="Arial" w:hAnsi="Arial" w:cs="Arial"/>
          <w:b/>
          <w:color w:val="000000" w:themeColor="text1"/>
          <w:sz w:val="22"/>
          <w:szCs w:val="22"/>
        </w:rPr>
        <w:t>Preparedness</w:t>
      </w:r>
      <w:proofErr w:type="spellEnd"/>
      <w:r w:rsidR="00087973">
        <w:rPr>
          <w:rStyle w:val="Absatz-Standardschriftart1"/>
          <w:rFonts w:ascii="Arial" w:hAnsi="Arial" w:cs="Arial"/>
          <w:b/>
          <w:color w:val="000000" w:themeColor="text1"/>
          <w:sz w:val="22"/>
          <w:szCs w:val="22"/>
        </w:rPr>
        <w:t xml:space="preserve"> </w:t>
      </w:r>
      <w:r w:rsidRPr="000C057F">
        <w:rPr>
          <w:rStyle w:val="Absatz-Standardschriftart1"/>
          <w:rFonts w:ascii="Arial" w:hAnsi="Arial" w:cs="Arial"/>
          <w:b/>
          <w:color w:val="000000" w:themeColor="text1"/>
          <w:sz w:val="22"/>
          <w:szCs w:val="22"/>
        </w:rPr>
        <w:t>and</w:t>
      </w:r>
      <w:r w:rsidRPr="000C057F">
        <w:rPr>
          <w:rFonts w:ascii="Arial" w:hAnsi="Arial" w:cs="Arial"/>
          <w:color w:val="000000" w:themeColor="text1"/>
          <w:sz w:val="22"/>
          <w:szCs w:val="22"/>
          <w:lang w:val="en-GB"/>
        </w:rPr>
        <w:t xml:space="preserve"> </w:t>
      </w:r>
      <w:r w:rsidRPr="000C057F">
        <w:rPr>
          <w:rFonts w:ascii="Arial" w:hAnsi="Arial" w:cs="Arial"/>
          <w:b/>
          <w:color w:val="000000" w:themeColor="text1"/>
          <w:sz w:val="22"/>
          <w:szCs w:val="22"/>
          <w:lang w:val="en-GB"/>
        </w:rPr>
        <w:t>Mitigation</w:t>
      </w:r>
    </w:p>
    <w:p w:rsidR="00795987" w:rsidRPr="00795987" w:rsidRDefault="00795987" w:rsidP="00795987">
      <w:pPr>
        <w:rPr>
          <w:lang w:val="en-US"/>
        </w:rPr>
      </w:pPr>
      <w:r w:rsidRPr="00795987">
        <w:rPr>
          <w:rFonts w:ascii="Arial" w:hAnsi="Arial" w:cs="Arial"/>
          <w:b/>
          <w:bCs/>
          <w:color w:val="000000"/>
          <w:sz w:val="22"/>
          <w:szCs w:val="22"/>
          <w:lang w:val="en-US"/>
        </w:rPr>
        <w:t>Decisions</w:t>
      </w:r>
    </w:p>
    <w:p w:rsidR="00795987" w:rsidRPr="00795987" w:rsidRDefault="00795987" w:rsidP="00795987">
      <w:pPr>
        <w:rPr>
          <w:lang w:val="en-US"/>
        </w:rPr>
      </w:pPr>
    </w:p>
    <w:p w:rsidR="00795987" w:rsidRPr="00320EFA" w:rsidRDefault="00795987" w:rsidP="00320EFA">
      <w:pPr>
        <w:pStyle w:val="ListParagraph"/>
        <w:numPr>
          <w:ilvl w:val="0"/>
          <w:numId w:val="18"/>
        </w:numPr>
        <w:rPr>
          <w:lang w:val="en-US"/>
        </w:rPr>
      </w:pPr>
      <w:r w:rsidRPr="00320EFA">
        <w:rPr>
          <w:rFonts w:ascii="Arial" w:hAnsi="Arial" w:cs="Arial"/>
          <w:color w:val="000000"/>
          <w:sz w:val="22"/>
          <w:szCs w:val="22"/>
          <w:lang w:val="en-US"/>
        </w:rPr>
        <w:t>To continue activities aiming to keep the NEAMTIC website updated and to enrich its contents.</w:t>
      </w:r>
      <w:r w:rsidR="00320EFA">
        <w:rPr>
          <w:rFonts w:ascii="Arial" w:hAnsi="Arial" w:cs="Arial"/>
          <w:color w:val="000000"/>
          <w:sz w:val="22"/>
          <w:szCs w:val="22"/>
          <w:lang w:val="en-US"/>
        </w:rPr>
        <w:br/>
      </w:r>
    </w:p>
    <w:p w:rsidR="00320EFA" w:rsidRPr="00320EFA" w:rsidRDefault="00795987" w:rsidP="00320EFA">
      <w:pPr>
        <w:pStyle w:val="ListParagraph"/>
        <w:numPr>
          <w:ilvl w:val="0"/>
          <w:numId w:val="18"/>
        </w:numPr>
        <w:spacing w:before="240" w:after="240"/>
        <w:rPr>
          <w:lang w:val="en-US"/>
        </w:rPr>
      </w:pPr>
      <w:r w:rsidRPr="00320EFA">
        <w:rPr>
          <w:rFonts w:ascii="Arial" w:hAnsi="Arial" w:cs="Arial"/>
          <w:color w:val="000000"/>
          <w:sz w:val="22"/>
          <w:szCs w:val="22"/>
          <w:lang w:val="en-US"/>
        </w:rPr>
        <w:t xml:space="preserve">Further work </w:t>
      </w:r>
      <w:proofErr w:type="gramStart"/>
      <w:r w:rsidRPr="00320EFA">
        <w:rPr>
          <w:rFonts w:ascii="Arial" w:hAnsi="Arial" w:cs="Arial"/>
          <w:color w:val="000000"/>
          <w:sz w:val="22"/>
          <w:szCs w:val="22"/>
          <w:lang w:val="en-US"/>
        </w:rPr>
        <w:t>is needed</w:t>
      </w:r>
      <w:proofErr w:type="gramEnd"/>
      <w:r w:rsidRPr="00320EFA">
        <w:rPr>
          <w:rFonts w:ascii="Arial" w:hAnsi="Arial" w:cs="Arial"/>
          <w:color w:val="000000"/>
          <w:sz w:val="22"/>
          <w:szCs w:val="22"/>
          <w:lang w:val="en-US"/>
        </w:rPr>
        <w:t xml:space="preserve"> on the plan of action for the redevelopment of the NEAMTIC website based on the </w:t>
      </w:r>
      <w:hyperlink r:id="rId7" w:history="1">
        <w:r w:rsidRPr="00320EFA">
          <w:rPr>
            <w:rFonts w:ascii="Arial" w:hAnsi="Arial" w:cs="Arial"/>
            <w:color w:val="1155CC"/>
            <w:sz w:val="22"/>
            <w:szCs w:val="22"/>
            <w:u w:val="single"/>
            <w:lang w:val="en-US"/>
          </w:rPr>
          <w:t>“Draft strategic planning document for NEAMTIC (version 27 November 2019)”</w:t>
        </w:r>
      </w:hyperlink>
      <w:r w:rsidRPr="00320EFA">
        <w:rPr>
          <w:rFonts w:ascii="Arial" w:hAnsi="Arial" w:cs="Arial"/>
          <w:color w:val="000000"/>
          <w:sz w:val="22"/>
          <w:szCs w:val="22"/>
          <w:lang w:val="en-US"/>
        </w:rPr>
        <w:t>, which was adopted by the working group as a new Term of Reference for NEAMTIC.</w:t>
      </w:r>
    </w:p>
    <w:p w:rsidR="00795987" w:rsidRPr="00320EFA" w:rsidRDefault="00320EFA" w:rsidP="00320EFA">
      <w:pPr>
        <w:pStyle w:val="ListParagraph"/>
        <w:spacing w:before="240" w:after="240"/>
        <w:rPr>
          <w:lang w:val="en-US"/>
        </w:rPr>
      </w:pPr>
      <w:r w:rsidRPr="00320EFA">
        <w:rPr>
          <w:rFonts w:ascii="Arial" w:hAnsi="Arial" w:cs="Arial"/>
          <w:color w:val="000000"/>
          <w:sz w:val="22"/>
          <w:szCs w:val="22"/>
          <w:lang w:val="en-US"/>
        </w:rPr>
        <w:br/>
      </w:r>
    </w:p>
    <w:p w:rsidR="00795987" w:rsidRPr="00320EFA" w:rsidRDefault="00795987" w:rsidP="00320EFA">
      <w:pPr>
        <w:pStyle w:val="ListParagraph"/>
        <w:numPr>
          <w:ilvl w:val="0"/>
          <w:numId w:val="18"/>
        </w:numPr>
        <w:spacing w:before="240" w:after="240"/>
        <w:rPr>
          <w:lang w:val="en-US"/>
        </w:rPr>
      </w:pPr>
      <w:r w:rsidRPr="00320EFA">
        <w:rPr>
          <w:rFonts w:ascii="Arial" w:hAnsi="Arial" w:cs="Arial"/>
          <w:color w:val="000000"/>
          <w:sz w:val="22"/>
          <w:szCs w:val="22"/>
          <w:lang w:val="en-US"/>
        </w:rPr>
        <w:t xml:space="preserve">The need to establish a Task Team on Tsunami Ready, based on the TR Group that </w:t>
      </w:r>
      <w:proofErr w:type="gramStart"/>
      <w:r w:rsidRPr="00320EFA">
        <w:rPr>
          <w:rFonts w:ascii="Arial" w:hAnsi="Arial" w:cs="Arial"/>
          <w:color w:val="000000"/>
          <w:sz w:val="22"/>
          <w:szCs w:val="22"/>
          <w:lang w:val="en-US"/>
        </w:rPr>
        <w:t>has been formed</w:t>
      </w:r>
      <w:proofErr w:type="gramEnd"/>
      <w:r w:rsidRPr="00320EFA">
        <w:rPr>
          <w:rFonts w:ascii="Arial" w:hAnsi="Arial" w:cs="Arial"/>
          <w:color w:val="000000"/>
          <w:sz w:val="22"/>
          <w:szCs w:val="22"/>
          <w:lang w:val="en-US"/>
        </w:rPr>
        <w:t xml:space="preserve"> within WG4.</w:t>
      </w:r>
    </w:p>
    <w:p w:rsidR="00795987" w:rsidRPr="00320EFA" w:rsidRDefault="00795987" w:rsidP="00320EFA">
      <w:pPr>
        <w:pStyle w:val="ListParagraph"/>
        <w:numPr>
          <w:ilvl w:val="0"/>
          <w:numId w:val="18"/>
        </w:numPr>
        <w:spacing w:before="240" w:after="240"/>
        <w:rPr>
          <w:lang w:val="en-US"/>
        </w:rPr>
      </w:pPr>
      <w:r w:rsidRPr="00320EFA">
        <w:rPr>
          <w:rFonts w:ascii="Arial" w:hAnsi="Arial" w:cs="Arial"/>
          <w:color w:val="000000"/>
          <w:sz w:val="22"/>
          <w:szCs w:val="22"/>
          <w:lang w:val="en-US"/>
        </w:rPr>
        <w:t>To promote a study about Threat Levels on social risk perception.</w:t>
      </w:r>
    </w:p>
    <w:p w:rsidR="00795987" w:rsidRPr="00320EFA" w:rsidRDefault="00795987" w:rsidP="00320EFA">
      <w:pPr>
        <w:pStyle w:val="ListParagraph"/>
        <w:numPr>
          <w:ilvl w:val="0"/>
          <w:numId w:val="18"/>
        </w:numPr>
        <w:spacing w:before="240" w:after="240"/>
        <w:rPr>
          <w:lang w:val="en-US"/>
        </w:rPr>
      </w:pPr>
      <w:r w:rsidRPr="00320EFA">
        <w:rPr>
          <w:rFonts w:ascii="Arial" w:hAnsi="Arial" w:cs="Arial"/>
          <w:color w:val="000000"/>
          <w:sz w:val="22"/>
          <w:szCs w:val="22"/>
          <w:lang w:val="en-US"/>
        </w:rPr>
        <w:t>To promote the creation of an international network of scholars, Universities and research institution to be involved in such a study across NEAM area countries</w:t>
      </w:r>
    </w:p>
    <w:p w:rsidR="00795987" w:rsidRPr="00320EFA" w:rsidRDefault="00795987" w:rsidP="00320EFA">
      <w:pPr>
        <w:pStyle w:val="ListParagraph"/>
        <w:numPr>
          <w:ilvl w:val="0"/>
          <w:numId w:val="18"/>
        </w:numPr>
        <w:spacing w:before="240" w:after="240"/>
        <w:rPr>
          <w:lang w:val="en-US"/>
        </w:rPr>
      </w:pPr>
      <w:r w:rsidRPr="00320EFA">
        <w:rPr>
          <w:rFonts w:ascii="Arial" w:hAnsi="Arial" w:cs="Arial"/>
          <w:color w:val="000000"/>
          <w:sz w:val="22"/>
          <w:szCs w:val="22"/>
          <w:lang w:val="en-US"/>
        </w:rPr>
        <w:t>To link with international and national Ocean Literacy networks to raise general awareness and spread knowledge on tsunamis </w:t>
      </w:r>
    </w:p>
    <w:p w:rsidR="00795987" w:rsidRPr="00320EFA" w:rsidRDefault="00795987" w:rsidP="00320EFA">
      <w:pPr>
        <w:pStyle w:val="ListParagraph"/>
        <w:numPr>
          <w:ilvl w:val="0"/>
          <w:numId w:val="18"/>
        </w:numPr>
        <w:spacing w:before="240" w:after="240"/>
        <w:rPr>
          <w:lang w:val="en-US"/>
        </w:rPr>
      </w:pPr>
      <w:r w:rsidRPr="00320EFA">
        <w:rPr>
          <w:rFonts w:ascii="Arial" w:hAnsi="Arial" w:cs="Arial"/>
          <w:color w:val="000000"/>
          <w:sz w:val="22"/>
          <w:szCs w:val="22"/>
          <w:lang w:val="en-US"/>
        </w:rPr>
        <w:t xml:space="preserve">(e.g. </w:t>
      </w:r>
      <w:hyperlink r:id="rId8" w:history="1">
        <w:r w:rsidRPr="00320EFA">
          <w:rPr>
            <w:rFonts w:ascii="Arial" w:hAnsi="Arial" w:cs="Arial"/>
            <w:color w:val="1155CC"/>
            <w:sz w:val="22"/>
            <w:szCs w:val="22"/>
            <w:u w:val="single"/>
            <w:lang w:val="en-US"/>
          </w:rPr>
          <w:t>https://webgate.ec.europa.eu/maritimeforum/en/node/4510</w:t>
        </w:r>
      </w:hyperlink>
      <w:r w:rsidRPr="00320EFA">
        <w:rPr>
          <w:rFonts w:ascii="Arial" w:hAnsi="Arial" w:cs="Arial"/>
          <w:color w:val="000000"/>
          <w:sz w:val="22"/>
          <w:szCs w:val="22"/>
          <w:lang w:val="en-US"/>
        </w:rPr>
        <w:t xml:space="preserve">, EU4Ocean platform, </w:t>
      </w:r>
      <w:proofErr w:type="spellStart"/>
      <w:r w:rsidRPr="00320EFA">
        <w:rPr>
          <w:rFonts w:ascii="Arial" w:hAnsi="Arial" w:cs="Arial"/>
          <w:color w:val="000000"/>
          <w:sz w:val="22"/>
          <w:szCs w:val="22"/>
          <w:lang w:val="en-US"/>
        </w:rPr>
        <w:t>EuroGOOS</w:t>
      </w:r>
      <w:proofErr w:type="spellEnd"/>
      <w:r w:rsidRPr="00320EFA">
        <w:rPr>
          <w:rFonts w:ascii="Arial" w:hAnsi="Arial" w:cs="Arial"/>
          <w:color w:val="000000"/>
          <w:sz w:val="22"/>
          <w:szCs w:val="22"/>
          <w:lang w:val="en-US"/>
        </w:rPr>
        <w:t xml:space="preserve"> working group on OL)</w:t>
      </w:r>
    </w:p>
    <w:p w:rsidR="00795987" w:rsidRPr="00795987" w:rsidRDefault="00795987" w:rsidP="00795987">
      <w:pPr>
        <w:rPr>
          <w:lang w:val="en-US"/>
        </w:rPr>
      </w:pPr>
    </w:p>
    <w:p w:rsidR="00795987" w:rsidRPr="00795987" w:rsidRDefault="00795987" w:rsidP="00795987">
      <w:pPr>
        <w:rPr>
          <w:lang w:val="en-US"/>
        </w:rPr>
      </w:pPr>
      <w:r w:rsidRPr="00795987">
        <w:rPr>
          <w:rFonts w:ascii="Arial" w:hAnsi="Arial" w:cs="Arial"/>
          <w:b/>
          <w:bCs/>
          <w:color w:val="000000"/>
          <w:sz w:val="22"/>
          <w:szCs w:val="22"/>
          <w:lang w:val="en-US"/>
        </w:rPr>
        <w:t>Recommendations</w:t>
      </w:r>
    </w:p>
    <w:p w:rsidR="00795987" w:rsidRPr="00320EFA" w:rsidRDefault="00795987" w:rsidP="00320EFA">
      <w:pPr>
        <w:pStyle w:val="ListParagraph"/>
        <w:numPr>
          <w:ilvl w:val="0"/>
          <w:numId w:val="19"/>
        </w:numPr>
        <w:spacing w:before="240" w:after="240"/>
        <w:rPr>
          <w:lang w:val="en-US"/>
        </w:rPr>
      </w:pPr>
      <w:r w:rsidRPr="00320EFA">
        <w:rPr>
          <w:rFonts w:ascii="Arial" w:hAnsi="Arial" w:cs="Arial"/>
          <w:color w:val="000000"/>
          <w:sz w:val="22"/>
          <w:szCs w:val="22"/>
          <w:lang w:val="en-US"/>
        </w:rPr>
        <w:t>To promote the Tsunami Ready initiative in the NEAM region (e.g. webinars, social media, videos).</w:t>
      </w:r>
    </w:p>
    <w:p w:rsidR="00320EFA" w:rsidRPr="00320EFA" w:rsidRDefault="00320EFA" w:rsidP="00320EFA">
      <w:pPr>
        <w:pStyle w:val="ListParagraph"/>
        <w:spacing w:before="240" w:after="240"/>
        <w:rPr>
          <w:lang w:val="en-US"/>
        </w:rPr>
      </w:pPr>
    </w:p>
    <w:p w:rsidR="00320EFA" w:rsidRPr="00320EFA" w:rsidRDefault="00795987" w:rsidP="00320EFA">
      <w:pPr>
        <w:pStyle w:val="ListParagraph"/>
        <w:numPr>
          <w:ilvl w:val="0"/>
          <w:numId w:val="19"/>
        </w:numPr>
        <w:spacing w:before="240" w:after="240"/>
        <w:rPr>
          <w:lang w:val="en-US"/>
        </w:rPr>
      </w:pPr>
      <w:r w:rsidRPr="00320EFA">
        <w:rPr>
          <w:rFonts w:ascii="Arial" w:hAnsi="Arial" w:cs="Arial"/>
          <w:color w:val="000000"/>
          <w:sz w:val="22"/>
          <w:szCs w:val="22"/>
          <w:lang w:val="en-US"/>
        </w:rPr>
        <w:t>To align future activities with the ICG/NEAMTWS 2030 Strategy Document. </w:t>
      </w:r>
      <w:r w:rsidR="00320EFA">
        <w:rPr>
          <w:rFonts w:ascii="Arial" w:hAnsi="Arial" w:cs="Arial"/>
          <w:color w:val="000000"/>
          <w:sz w:val="22"/>
          <w:szCs w:val="22"/>
          <w:lang w:val="en-US"/>
        </w:rPr>
        <w:br/>
      </w:r>
    </w:p>
    <w:p w:rsidR="00795987" w:rsidRPr="00320EFA" w:rsidRDefault="00795987" w:rsidP="00320EFA">
      <w:pPr>
        <w:pStyle w:val="ListParagraph"/>
        <w:numPr>
          <w:ilvl w:val="0"/>
          <w:numId w:val="19"/>
        </w:numPr>
        <w:spacing w:before="240" w:after="240"/>
        <w:rPr>
          <w:lang w:val="en-US"/>
        </w:rPr>
      </w:pPr>
      <w:r w:rsidRPr="00320EFA">
        <w:rPr>
          <w:rFonts w:ascii="Arial" w:hAnsi="Arial" w:cs="Arial"/>
          <w:color w:val="000000"/>
          <w:sz w:val="22"/>
          <w:szCs w:val="22"/>
          <w:lang w:val="en-US"/>
        </w:rPr>
        <w:t>To comply with the purposes of the OCEAN DECADE 2030.  </w:t>
      </w:r>
    </w:p>
    <w:p w:rsidR="00320EFA" w:rsidRPr="00320EFA" w:rsidRDefault="00320EFA" w:rsidP="00320EFA">
      <w:pPr>
        <w:pStyle w:val="ListParagraph"/>
        <w:spacing w:before="240" w:after="240"/>
        <w:rPr>
          <w:lang w:val="en-US"/>
        </w:rPr>
      </w:pPr>
    </w:p>
    <w:p w:rsidR="00795987" w:rsidRPr="00320EFA" w:rsidRDefault="00795987" w:rsidP="00320EFA">
      <w:pPr>
        <w:pStyle w:val="ListParagraph"/>
        <w:numPr>
          <w:ilvl w:val="0"/>
          <w:numId w:val="19"/>
        </w:numPr>
        <w:spacing w:before="240" w:after="240"/>
        <w:rPr>
          <w:lang w:val="en-US"/>
        </w:rPr>
      </w:pPr>
      <w:r w:rsidRPr="00320EFA">
        <w:rPr>
          <w:rFonts w:ascii="Arial" w:hAnsi="Arial" w:cs="Arial"/>
          <w:color w:val="000000"/>
          <w:sz w:val="22"/>
          <w:szCs w:val="22"/>
          <w:lang w:val="en-US"/>
        </w:rPr>
        <w:t>To interact, support and share experiences with the TR Group.</w:t>
      </w:r>
    </w:p>
    <w:p w:rsidR="00795987" w:rsidRPr="00795987" w:rsidRDefault="00795987" w:rsidP="00087973">
      <w:pPr>
        <w:pStyle w:val="Standard1"/>
        <w:spacing w:before="360"/>
        <w:rPr>
          <w:rFonts w:ascii="Arial" w:hAnsi="Arial" w:cs="Arial"/>
          <w:b/>
          <w:color w:val="000000" w:themeColor="text1"/>
          <w:sz w:val="22"/>
          <w:szCs w:val="22"/>
          <w:lang w:val="en-US"/>
        </w:rPr>
      </w:pPr>
    </w:p>
    <w:p w:rsidR="00795987" w:rsidRDefault="00795987" w:rsidP="00087973">
      <w:pPr>
        <w:pStyle w:val="Standard1"/>
        <w:spacing w:before="360"/>
        <w:rPr>
          <w:rFonts w:ascii="Arial" w:hAnsi="Arial" w:cs="Arial"/>
          <w:b/>
          <w:color w:val="000000" w:themeColor="text1"/>
          <w:sz w:val="22"/>
          <w:szCs w:val="22"/>
          <w:lang w:val="en-GB"/>
        </w:rPr>
      </w:pPr>
    </w:p>
    <w:p w:rsidR="00795987" w:rsidRDefault="00795987" w:rsidP="00087973">
      <w:pPr>
        <w:pStyle w:val="Standard1"/>
        <w:spacing w:before="360"/>
        <w:rPr>
          <w:rFonts w:ascii="Arial" w:hAnsi="Arial" w:cs="Arial"/>
          <w:b/>
          <w:color w:val="000000" w:themeColor="text1"/>
          <w:sz w:val="22"/>
          <w:szCs w:val="22"/>
          <w:lang w:val="en-GB"/>
        </w:rPr>
      </w:pPr>
    </w:p>
    <w:p w:rsidR="00795987" w:rsidRPr="00087973" w:rsidRDefault="00795987" w:rsidP="00087973">
      <w:pPr>
        <w:pStyle w:val="Standard1"/>
        <w:spacing w:before="360"/>
        <w:rPr>
          <w:rFonts w:ascii="Arial" w:hAnsi="Arial" w:cs="Arial"/>
          <w:b/>
          <w:color w:val="000000" w:themeColor="text1"/>
          <w:sz w:val="22"/>
          <w:szCs w:val="22"/>
        </w:rPr>
      </w:pPr>
    </w:p>
    <w:p w:rsidR="0075491E" w:rsidRDefault="0075491E" w:rsidP="0075491E">
      <w:pPr>
        <w:suppressAutoHyphens/>
        <w:autoSpaceDE w:val="0"/>
        <w:adjustRightInd w:val="0"/>
        <w:jc w:val="both"/>
        <w:rPr>
          <w:rFonts w:ascii="Arial" w:eastAsia="Arial" w:hAnsi="Arial" w:cs="Arial"/>
          <w:color w:val="000000"/>
          <w:sz w:val="22"/>
          <w:szCs w:val="22"/>
          <w:lang w:val="de-DE"/>
        </w:rPr>
      </w:pPr>
    </w:p>
    <w:p w:rsidR="00320EFA" w:rsidRDefault="00320EFA" w:rsidP="0075491E">
      <w:pPr>
        <w:suppressAutoHyphens/>
        <w:autoSpaceDE w:val="0"/>
        <w:adjustRightInd w:val="0"/>
        <w:jc w:val="both"/>
        <w:rPr>
          <w:rFonts w:ascii="Arial" w:eastAsia="Arial" w:hAnsi="Arial" w:cs="Arial"/>
          <w:color w:val="000000"/>
          <w:sz w:val="22"/>
          <w:szCs w:val="22"/>
          <w:lang w:val="de-DE"/>
        </w:rPr>
      </w:pPr>
    </w:p>
    <w:p w:rsidR="00320EFA" w:rsidRDefault="00320EFA" w:rsidP="0075491E">
      <w:pPr>
        <w:suppressAutoHyphens/>
        <w:autoSpaceDE w:val="0"/>
        <w:adjustRightInd w:val="0"/>
        <w:jc w:val="both"/>
        <w:rPr>
          <w:rFonts w:ascii="Arial" w:eastAsia="Arial" w:hAnsi="Arial" w:cs="Arial"/>
          <w:color w:val="000000"/>
          <w:sz w:val="22"/>
          <w:szCs w:val="22"/>
          <w:lang w:val="de-DE"/>
        </w:rPr>
      </w:pPr>
    </w:p>
    <w:p w:rsidR="00104A8D" w:rsidRDefault="00104A8D" w:rsidP="00104A8D">
      <w:pPr>
        <w:pStyle w:val="Standard1"/>
        <w:spacing w:before="360"/>
        <w:rPr>
          <w:rStyle w:val="Absatz-Standardschriftart1"/>
          <w:rFonts w:ascii="Arial" w:hAnsi="Arial" w:cs="Arial"/>
          <w:b/>
          <w:color w:val="000000" w:themeColor="text1"/>
          <w:sz w:val="22"/>
          <w:szCs w:val="22"/>
        </w:rPr>
      </w:pPr>
    </w:p>
    <w:p w:rsidR="00104A8D" w:rsidRDefault="00104A8D" w:rsidP="0075491E">
      <w:pPr>
        <w:pStyle w:val="Standard1"/>
        <w:spacing w:before="360"/>
        <w:jc w:val="center"/>
        <w:rPr>
          <w:rStyle w:val="Absatz-Standardschriftart1"/>
          <w:rFonts w:ascii="Arial" w:hAnsi="Arial" w:cs="Arial"/>
          <w:b/>
          <w:color w:val="000000" w:themeColor="text1"/>
          <w:sz w:val="22"/>
          <w:szCs w:val="22"/>
        </w:rPr>
      </w:pPr>
      <w:r>
        <w:rPr>
          <w:rStyle w:val="Absatz-Standardschriftart1"/>
          <w:rFonts w:ascii="Arial" w:hAnsi="Arial" w:cs="Arial"/>
          <w:b/>
          <w:color w:val="000000" w:themeColor="text1"/>
          <w:sz w:val="22"/>
          <w:szCs w:val="22"/>
        </w:rPr>
        <w:t xml:space="preserve">Tsunami </w:t>
      </w:r>
      <w:proofErr w:type="spellStart"/>
      <w:r>
        <w:rPr>
          <w:rStyle w:val="Absatz-Standardschriftart1"/>
          <w:rFonts w:ascii="Arial" w:hAnsi="Arial" w:cs="Arial"/>
          <w:b/>
          <w:color w:val="000000" w:themeColor="text1"/>
          <w:sz w:val="22"/>
          <w:szCs w:val="22"/>
        </w:rPr>
        <w:t>Ready</w:t>
      </w:r>
      <w:proofErr w:type="spellEnd"/>
      <w:r>
        <w:rPr>
          <w:rStyle w:val="Absatz-Standardschriftart1"/>
          <w:rFonts w:ascii="Arial" w:hAnsi="Arial" w:cs="Arial"/>
          <w:b/>
          <w:color w:val="000000" w:themeColor="text1"/>
          <w:sz w:val="22"/>
          <w:szCs w:val="22"/>
        </w:rPr>
        <w:t xml:space="preserve"> Team</w:t>
      </w:r>
    </w:p>
    <w:p w:rsidR="00104A8D" w:rsidRDefault="00104A8D" w:rsidP="0075491E">
      <w:pPr>
        <w:pStyle w:val="Standard1"/>
        <w:spacing w:before="360"/>
        <w:jc w:val="center"/>
        <w:rPr>
          <w:rStyle w:val="Absatz-Standardschriftart1"/>
          <w:rFonts w:ascii="Arial" w:hAnsi="Arial" w:cs="Arial"/>
          <w:b/>
          <w:color w:val="000000" w:themeColor="text1"/>
          <w:sz w:val="22"/>
          <w:szCs w:val="22"/>
        </w:rPr>
      </w:pPr>
    </w:p>
    <w:p w:rsidR="00104A8D" w:rsidRPr="00104A8D" w:rsidRDefault="00104A8D" w:rsidP="00104A8D">
      <w:pPr>
        <w:rPr>
          <w:lang w:val="en-US"/>
        </w:rPr>
      </w:pPr>
      <w:r w:rsidRPr="00104A8D">
        <w:rPr>
          <w:rFonts w:ascii="Arial" w:hAnsi="Arial" w:cs="Arial"/>
          <w:b/>
          <w:bCs/>
          <w:color w:val="000000"/>
          <w:sz w:val="22"/>
          <w:szCs w:val="22"/>
          <w:lang w:val="en-US"/>
        </w:rPr>
        <w:t>Decisions</w:t>
      </w:r>
    </w:p>
    <w:p w:rsidR="00104A8D" w:rsidRPr="00104A8D" w:rsidRDefault="00104A8D" w:rsidP="00104A8D">
      <w:pPr>
        <w:rPr>
          <w:lang w:val="en-US"/>
        </w:rPr>
      </w:pPr>
    </w:p>
    <w:p w:rsidR="00104A8D" w:rsidRPr="00104A8D" w:rsidRDefault="00104A8D" w:rsidP="00104A8D">
      <w:pPr>
        <w:pStyle w:val="ListParagraph"/>
        <w:numPr>
          <w:ilvl w:val="0"/>
          <w:numId w:val="20"/>
        </w:numPr>
        <w:spacing w:before="240" w:after="240"/>
        <w:rPr>
          <w:lang w:val="en-US"/>
        </w:rPr>
      </w:pPr>
      <w:r w:rsidRPr="00104A8D">
        <w:rPr>
          <w:rFonts w:ascii="Arial" w:hAnsi="Arial" w:cs="Arial"/>
          <w:color w:val="000000"/>
          <w:sz w:val="22"/>
          <w:szCs w:val="22"/>
          <w:lang w:val="en-US"/>
        </w:rPr>
        <w:t xml:space="preserve">To formally establish a Task Team on Tsunami Ready or Core Team on Tsunami Ready under Working Group 4 on </w:t>
      </w:r>
      <w:r w:rsidRPr="00104A8D">
        <w:rPr>
          <w:rFonts w:ascii="Arial" w:hAnsi="Arial" w:cs="Arial"/>
          <w:color w:val="000000"/>
          <w:sz w:val="22"/>
          <w:szCs w:val="22"/>
          <w:shd w:val="clear" w:color="auto" w:fill="FFFFFF"/>
          <w:lang w:val="en-US"/>
        </w:rPr>
        <w:t>Public Awareness, Preparedness and Mitigation</w:t>
      </w:r>
      <w:r w:rsidRPr="00104A8D">
        <w:rPr>
          <w:rFonts w:ascii="Arial" w:hAnsi="Arial" w:cs="Arial"/>
          <w:color w:val="000000"/>
          <w:sz w:val="22"/>
          <w:szCs w:val="22"/>
          <w:lang w:val="en-US"/>
        </w:rPr>
        <w:t xml:space="preserve"> with  Terms of Reference ( in Appendix);</w:t>
      </w:r>
    </w:p>
    <w:p w:rsidR="00104A8D" w:rsidRPr="00104A8D" w:rsidRDefault="00104A8D" w:rsidP="00104A8D">
      <w:pPr>
        <w:pStyle w:val="ListParagraph"/>
        <w:numPr>
          <w:ilvl w:val="0"/>
          <w:numId w:val="20"/>
        </w:numPr>
        <w:rPr>
          <w:lang w:val="en-US"/>
        </w:rPr>
      </w:pPr>
      <w:r w:rsidRPr="00104A8D">
        <w:rPr>
          <w:rFonts w:ascii="Arial" w:hAnsi="Arial" w:cs="Arial"/>
          <w:color w:val="000000"/>
          <w:sz w:val="22"/>
          <w:szCs w:val="22"/>
          <w:lang w:val="en-US"/>
        </w:rPr>
        <w:t>To continue monitoring the initiatives in the NEAM region and sharing knowledge and experiences through meetings and webinars.</w:t>
      </w:r>
    </w:p>
    <w:p w:rsidR="00104A8D" w:rsidRPr="00104A8D" w:rsidRDefault="00104A8D" w:rsidP="00104A8D">
      <w:pPr>
        <w:rPr>
          <w:lang w:val="en-US"/>
        </w:rPr>
      </w:pPr>
    </w:p>
    <w:p w:rsidR="00104A8D" w:rsidRPr="00104A8D" w:rsidRDefault="00104A8D" w:rsidP="00104A8D">
      <w:pPr>
        <w:pStyle w:val="ListParagraph"/>
        <w:numPr>
          <w:ilvl w:val="0"/>
          <w:numId w:val="20"/>
        </w:numPr>
        <w:rPr>
          <w:lang w:val="en-US"/>
        </w:rPr>
      </w:pPr>
      <w:r w:rsidRPr="00104A8D">
        <w:rPr>
          <w:rFonts w:ascii="Arial" w:hAnsi="Arial" w:cs="Arial"/>
          <w:color w:val="000000"/>
          <w:sz w:val="22"/>
          <w:szCs w:val="22"/>
          <w:lang w:val="en-US"/>
        </w:rPr>
        <w:t>To define the most critical points of the TR guidelines, adapting procedures to the peculiar characteristics of NEAM Countries.</w:t>
      </w:r>
    </w:p>
    <w:p w:rsidR="00104A8D" w:rsidRPr="00104A8D" w:rsidRDefault="00104A8D" w:rsidP="00104A8D">
      <w:pPr>
        <w:rPr>
          <w:lang w:val="en-US"/>
        </w:rPr>
      </w:pPr>
    </w:p>
    <w:p w:rsidR="00104A8D" w:rsidRPr="00104A8D" w:rsidRDefault="00104A8D" w:rsidP="00104A8D">
      <w:pPr>
        <w:pStyle w:val="ListParagraph"/>
        <w:numPr>
          <w:ilvl w:val="0"/>
          <w:numId w:val="20"/>
        </w:numPr>
        <w:rPr>
          <w:lang w:val="en-US"/>
        </w:rPr>
      </w:pPr>
      <w:r w:rsidRPr="00104A8D">
        <w:rPr>
          <w:rFonts w:ascii="Arial" w:hAnsi="Arial" w:cs="Arial"/>
          <w:color w:val="000000"/>
          <w:sz w:val="22"/>
          <w:szCs w:val="22"/>
          <w:lang w:val="en-US"/>
        </w:rPr>
        <w:t>Support extra NEAM Countries in adopting TR guidelines and joining TR pilot programs.</w:t>
      </w:r>
    </w:p>
    <w:p w:rsidR="00104A8D" w:rsidRPr="00104A8D" w:rsidRDefault="00104A8D" w:rsidP="00104A8D">
      <w:pPr>
        <w:rPr>
          <w:lang w:val="en-US"/>
        </w:rPr>
      </w:pPr>
    </w:p>
    <w:p w:rsidR="00104A8D" w:rsidRPr="00104A8D" w:rsidRDefault="00104A8D" w:rsidP="00104A8D">
      <w:pPr>
        <w:pStyle w:val="ListParagraph"/>
        <w:numPr>
          <w:ilvl w:val="0"/>
          <w:numId w:val="20"/>
        </w:numPr>
        <w:rPr>
          <w:lang w:val="en-US"/>
        </w:rPr>
      </w:pPr>
      <w:r w:rsidRPr="00104A8D">
        <w:rPr>
          <w:rFonts w:ascii="Arial" w:hAnsi="Arial" w:cs="Arial"/>
          <w:color w:val="000000"/>
          <w:sz w:val="22"/>
          <w:szCs w:val="22"/>
          <w:lang w:val="en-US"/>
        </w:rPr>
        <w:t>Support technicians and civil protection officers of the pilot communities of NEAM Countries in solving problems related to the adoption of the 12 indicators.</w:t>
      </w:r>
    </w:p>
    <w:p w:rsidR="00104A8D" w:rsidRPr="00104A8D" w:rsidRDefault="00104A8D" w:rsidP="00104A8D">
      <w:pPr>
        <w:rPr>
          <w:lang w:val="en-US"/>
        </w:rPr>
      </w:pPr>
    </w:p>
    <w:p w:rsidR="00104A8D" w:rsidRPr="00104A8D" w:rsidRDefault="00104A8D" w:rsidP="00104A8D">
      <w:pPr>
        <w:pStyle w:val="ListParagraph"/>
        <w:numPr>
          <w:ilvl w:val="0"/>
          <w:numId w:val="20"/>
        </w:numPr>
        <w:rPr>
          <w:lang w:val="en-US"/>
        </w:rPr>
      </w:pPr>
      <w:r w:rsidRPr="00104A8D">
        <w:rPr>
          <w:rFonts w:ascii="Arial" w:hAnsi="Arial" w:cs="Arial"/>
          <w:color w:val="000000"/>
          <w:sz w:val="22"/>
          <w:szCs w:val="22"/>
          <w:lang w:val="en-US"/>
        </w:rPr>
        <w:t xml:space="preserve">Support education programs through TR initiatives (e.g. education </w:t>
      </w:r>
      <w:proofErr w:type="spellStart"/>
      <w:r w:rsidRPr="00104A8D">
        <w:rPr>
          <w:rFonts w:ascii="Arial" w:hAnsi="Arial" w:cs="Arial"/>
          <w:color w:val="000000"/>
          <w:sz w:val="22"/>
          <w:szCs w:val="22"/>
          <w:lang w:val="en-US"/>
        </w:rPr>
        <w:t>programmes</w:t>
      </w:r>
      <w:proofErr w:type="spellEnd"/>
      <w:r w:rsidRPr="00104A8D">
        <w:rPr>
          <w:rFonts w:ascii="Arial" w:hAnsi="Arial" w:cs="Arial"/>
          <w:color w:val="000000"/>
          <w:sz w:val="22"/>
          <w:szCs w:val="22"/>
          <w:lang w:val="en-US"/>
        </w:rPr>
        <w:t xml:space="preserve"> in schools, temporary or permanent exhibition </w:t>
      </w:r>
      <w:proofErr w:type="spellStart"/>
      <w:r w:rsidRPr="00104A8D">
        <w:rPr>
          <w:rFonts w:ascii="Arial" w:hAnsi="Arial" w:cs="Arial"/>
          <w:color w:val="000000"/>
          <w:sz w:val="22"/>
          <w:szCs w:val="22"/>
          <w:lang w:val="en-US"/>
        </w:rPr>
        <w:t>ecc</w:t>
      </w:r>
      <w:proofErr w:type="spellEnd"/>
      <w:r w:rsidRPr="00104A8D">
        <w:rPr>
          <w:rFonts w:ascii="Arial" w:hAnsi="Arial" w:cs="Arial"/>
          <w:color w:val="000000"/>
          <w:sz w:val="22"/>
          <w:szCs w:val="22"/>
          <w:lang w:val="en-US"/>
        </w:rPr>
        <w:t>).</w:t>
      </w:r>
    </w:p>
    <w:p w:rsidR="00104A8D" w:rsidRPr="00104A8D" w:rsidRDefault="00104A8D" w:rsidP="00104A8D">
      <w:pPr>
        <w:rPr>
          <w:lang w:val="en-US"/>
        </w:rPr>
      </w:pPr>
    </w:p>
    <w:p w:rsidR="00104A8D" w:rsidRPr="00104A8D" w:rsidRDefault="00104A8D" w:rsidP="00104A8D">
      <w:pPr>
        <w:pStyle w:val="ListParagraph"/>
        <w:numPr>
          <w:ilvl w:val="0"/>
          <w:numId w:val="20"/>
        </w:numPr>
        <w:rPr>
          <w:lang w:val="en-US"/>
        </w:rPr>
      </w:pPr>
      <w:r w:rsidRPr="00104A8D">
        <w:rPr>
          <w:rFonts w:ascii="Arial" w:hAnsi="Arial" w:cs="Arial"/>
          <w:color w:val="000000"/>
          <w:sz w:val="22"/>
          <w:szCs w:val="22"/>
          <w:lang w:val="en-US"/>
        </w:rPr>
        <w:t>Going on developing the study on the impact of TR guidelines on the responsibilities of scientists, public administrators and civil protection officers. </w:t>
      </w:r>
    </w:p>
    <w:p w:rsidR="00104A8D" w:rsidRPr="00104A8D" w:rsidRDefault="00104A8D" w:rsidP="00104A8D">
      <w:pPr>
        <w:rPr>
          <w:lang w:val="en-US"/>
        </w:rPr>
      </w:pPr>
    </w:p>
    <w:p w:rsidR="00104A8D" w:rsidRPr="00104A8D" w:rsidRDefault="00104A8D" w:rsidP="00104A8D">
      <w:pPr>
        <w:rPr>
          <w:lang w:val="en-US"/>
        </w:rPr>
      </w:pPr>
      <w:r w:rsidRPr="00104A8D">
        <w:rPr>
          <w:rFonts w:ascii="Arial" w:hAnsi="Arial" w:cs="Arial"/>
          <w:b/>
          <w:bCs/>
          <w:color w:val="000000"/>
          <w:sz w:val="22"/>
          <w:szCs w:val="22"/>
          <w:lang w:val="en-US"/>
        </w:rPr>
        <w:t>Recommendations</w:t>
      </w:r>
    </w:p>
    <w:p w:rsidR="00104A8D" w:rsidRPr="00104A8D" w:rsidRDefault="00104A8D" w:rsidP="00104A8D">
      <w:pPr>
        <w:rPr>
          <w:lang w:val="en-US"/>
        </w:rPr>
      </w:pPr>
    </w:p>
    <w:p w:rsidR="00104A8D" w:rsidRPr="00104A8D" w:rsidRDefault="00104A8D" w:rsidP="00104A8D">
      <w:pPr>
        <w:pStyle w:val="ListParagraph"/>
        <w:numPr>
          <w:ilvl w:val="0"/>
          <w:numId w:val="21"/>
        </w:numPr>
        <w:rPr>
          <w:lang w:val="en-US"/>
        </w:rPr>
      </w:pPr>
      <w:r w:rsidRPr="00104A8D">
        <w:rPr>
          <w:rFonts w:ascii="Arial" w:hAnsi="Arial" w:cs="Arial"/>
          <w:color w:val="000000"/>
          <w:sz w:val="22"/>
          <w:szCs w:val="22"/>
          <w:lang w:val="en-US"/>
        </w:rPr>
        <w:t>To support the new IOC UNESCO European Union ECHO project, in particular the implementation of pilot Tsunami Ready</w:t>
      </w:r>
      <w:proofErr w:type="gramStart"/>
      <w:r w:rsidRPr="00104A8D">
        <w:rPr>
          <w:rFonts w:ascii="Arial" w:hAnsi="Arial" w:cs="Arial"/>
          <w:color w:val="000000"/>
          <w:sz w:val="22"/>
          <w:szCs w:val="22"/>
          <w:lang w:val="en-US"/>
        </w:rPr>
        <w:t xml:space="preserve">  </w:t>
      </w:r>
      <w:proofErr w:type="spellStart"/>
      <w:r w:rsidRPr="00104A8D">
        <w:rPr>
          <w:rFonts w:ascii="Arial" w:hAnsi="Arial" w:cs="Arial"/>
          <w:color w:val="000000"/>
          <w:sz w:val="22"/>
          <w:szCs w:val="22"/>
          <w:lang w:val="en-US"/>
        </w:rPr>
        <w:t>recognised</w:t>
      </w:r>
      <w:proofErr w:type="spellEnd"/>
      <w:proofErr w:type="gramEnd"/>
      <w:r w:rsidRPr="00104A8D">
        <w:rPr>
          <w:rFonts w:ascii="Arial" w:hAnsi="Arial" w:cs="Arial"/>
          <w:color w:val="000000"/>
          <w:sz w:val="22"/>
          <w:szCs w:val="22"/>
          <w:lang w:val="en-US"/>
        </w:rPr>
        <w:t xml:space="preserve"> communities in several countries. </w:t>
      </w:r>
    </w:p>
    <w:p w:rsidR="00104A8D" w:rsidRPr="00104A8D" w:rsidRDefault="00104A8D" w:rsidP="00104A8D">
      <w:pPr>
        <w:rPr>
          <w:lang w:val="en-US"/>
        </w:rPr>
      </w:pPr>
    </w:p>
    <w:p w:rsidR="00104A8D" w:rsidRPr="00104A8D" w:rsidRDefault="00104A8D" w:rsidP="00104A8D">
      <w:pPr>
        <w:pStyle w:val="ListParagraph"/>
        <w:numPr>
          <w:ilvl w:val="0"/>
          <w:numId w:val="21"/>
        </w:numPr>
        <w:rPr>
          <w:lang w:val="en-US"/>
        </w:rPr>
      </w:pPr>
      <w:r w:rsidRPr="00104A8D">
        <w:rPr>
          <w:rFonts w:ascii="Arial" w:hAnsi="Arial" w:cs="Arial"/>
          <w:color w:val="000000"/>
          <w:sz w:val="22"/>
          <w:szCs w:val="22"/>
          <w:lang w:val="en-US"/>
        </w:rPr>
        <w:t>To promote the Tsunami Ready initiative in the NEAM region using web sites, social media, videos and webinars.</w:t>
      </w:r>
    </w:p>
    <w:p w:rsidR="00104A8D" w:rsidRPr="00104A8D" w:rsidRDefault="00104A8D" w:rsidP="00104A8D">
      <w:pPr>
        <w:rPr>
          <w:lang w:val="en-US"/>
        </w:rPr>
      </w:pPr>
    </w:p>
    <w:p w:rsidR="00104A8D" w:rsidRPr="00104A8D" w:rsidRDefault="00104A8D" w:rsidP="00104A8D">
      <w:pPr>
        <w:pStyle w:val="ListParagraph"/>
        <w:numPr>
          <w:ilvl w:val="0"/>
          <w:numId w:val="21"/>
        </w:numPr>
        <w:rPr>
          <w:lang w:val="en-US"/>
        </w:rPr>
      </w:pPr>
      <w:r w:rsidRPr="00104A8D">
        <w:rPr>
          <w:rFonts w:ascii="Arial" w:hAnsi="Arial" w:cs="Arial"/>
          <w:color w:val="000000"/>
          <w:sz w:val="22"/>
          <w:szCs w:val="22"/>
          <w:lang w:val="en-US"/>
        </w:rPr>
        <w:t xml:space="preserve">To identify common best practice in order to facilitate the dissemination of TR </w:t>
      </w:r>
      <w:proofErr w:type="spellStart"/>
      <w:r w:rsidRPr="00104A8D">
        <w:rPr>
          <w:rFonts w:ascii="Arial" w:hAnsi="Arial" w:cs="Arial"/>
          <w:color w:val="000000"/>
          <w:sz w:val="22"/>
          <w:szCs w:val="22"/>
          <w:lang w:val="en-US"/>
        </w:rPr>
        <w:t>programme</w:t>
      </w:r>
      <w:proofErr w:type="spellEnd"/>
      <w:r w:rsidRPr="00104A8D">
        <w:rPr>
          <w:rFonts w:ascii="Arial" w:hAnsi="Arial" w:cs="Arial"/>
          <w:color w:val="000000"/>
          <w:sz w:val="22"/>
          <w:szCs w:val="22"/>
          <w:lang w:val="en-US"/>
        </w:rPr>
        <w:t xml:space="preserve"> in the NEAM Region.</w:t>
      </w:r>
    </w:p>
    <w:p w:rsidR="00104A8D" w:rsidRPr="00104A8D" w:rsidRDefault="00104A8D" w:rsidP="00104A8D">
      <w:pPr>
        <w:rPr>
          <w:lang w:val="en-US"/>
        </w:rPr>
      </w:pPr>
    </w:p>
    <w:p w:rsidR="00104A8D" w:rsidRPr="00104A8D" w:rsidRDefault="00104A8D" w:rsidP="00104A8D">
      <w:pPr>
        <w:pStyle w:val="ListParagraph"/>
        <w:numPr>
          <w:ilvl w:val="0"/>
          <w:numId w:val="21"/>
        </w:numPr>
        <w:rPr>
          <w:lang w:val="en-US"/>
        </w:rPr>
      </w:pPr>
      <w:r w:rsidRPr="00104A8D">
        <w:rPr>
          <w:rFonts w:ascii="Arial" w:hAnsi="Arial" w:cs="Arial"/>
          <w:color w:val="000000"/>
          <w:sz w:val="22"/>
          <w:szCs w:val="22"/>
          <w:lang w:val="en-US"/>
        </w:rPr>
        <w:t>To promote longitudinal studies assessing the knowledge gained by communities in which the TR program is implemented (SSH).</w:t>
      </w:r>
    </w:p>
    <w:p w:rsidR="00104A8D" w:rsidRPr="00104A8D" w:rsidRDefault="00104A8D" w:rsidP="00104A8D">
      <w:pPr>
        <w:rPr>
          <w:lang w:val="en-US"/>
        </w:rPr>
      </w:pPr>
    </w:p>
    <w:p w:rsidR="00104A8D" w:rsidRPr="00104A8D" w:rsidRDefault="00104A8D" w:rsidP="00104A8D">
      <w:pPr>
        <w:pStyle w:val="ListParagraph"/>
        <w:numPr>
          <w:ilvl w:val="0"/>
          <w:numId w:val="21"/>
        </w:numPr>
        <w:rPr>
          <w:lang w:val="en-US"/>
        </w:rPr>
      </w:pPr>
      <w:r w:rsidRPr="00104A8D">
        <w:rPr>
          <w:rFonts w:ascii="Arial" w:hAnsi="Arial" w:cs="Arial"/>
          <w:color w:val="000000"/>
          <w:sz w:val="22"/>
          <w:szCs w:val="22"/>
          <w:lang w:val="en-US"/>
        </w:rPr>
        <w:t>To share experience and knowledge with TOWS. </w:t>
      </w:r>
    </w:p>
    <w:p w:rsidR="00104A8D" w:rsidRPr="00104A8D" w:rsidRDefault="00104A8D" w:rsidP="00104A8D">
      <w:pPr>
        <w:rPr>
          <w:lang w:val="en-US"/>
        </w:rPr>
      </w:pPr>
    </w:p>
    <w:p w:rsidR="00104A8D" w:rsidRPr="00104A8D" w:rsidRDefault="00104A8D" w:rsidP="00104A8D">
      <w:pPr>
        <w:pStyle w:val="ListParagraph"/>
        <w:numPr>
          <w:ilvl w:val="0"/>
          <w:numId w:val="21"/>
        </w:numPr>
      </w:pPr>
      <w:proofErr w:type="spellStart"/>
      <w:r w:rsidRPr="00104A8D">
        <w:rPr>
          <w:rFonts w:ascii="Arial" w:hAnsi="Arial" w:cs="Arial"/>
          <w:color w:val="000000"/>
          <w:sz w:val="22"/>
          <w:szCs w:val="22"/>
        </w:rPr>
        <w:t>Adopt</w:t>
      </w:r>
      <w:proofErr w:type="spellEnd"/>
      <w:r w:rsidRPr="00104A8D">
        <w:rPr>
          <w:rFonts w:ascii="Arial" w:hAnsi="Arial" w:cs="Arial"/>
          <w:color w:val="000000"/>
          <w:sz w:val="22"/>
          <w:szCs w:val="22"/>
        </w:rPr>
        <w:t xml:space="preserve"> </w:t>
      </w:r>
      <w:proofErr w:type="spellStart"/>
      <w:r w:rsidRPr="00104A8D">
        <w:rPr>
          <w:rFonts w:ascii="Arial" w:hAnsi="Arial" w:cs="Arial"/>
          <w:color w:val="000000"/>
          <w:sz w:val="22"/>
          <w:szCs w:val="22"/>
        </w:rPr>
        <w:t>ToR</w:t>
      </w:r>
      <w:proofErr w:type="spellEnd"/>
    </w:p>
    <w:p w:rsidR="00104A8D" w:rsidRDefault="00104A8D" w:rsidP="0075491E">
      <w:pPr>
        <w:pStyle w:val="Standard1"/>
        <w:spacing w:before="360"/>
        <w:jc w:val="center"/>
        <w:rPr>
          <w:rStyle w:val="Absatz-Standardschriftart1"/>
          <w:rFonts w:ascii="Arial" w:hAnsi="Arial" w:cs="Arial"/>
          <w:b/>
          <w:color w:val="000000" w:themeColor="text1"/>
          <w:sz w:val="22"/>
          <w:szCs w:val="22"/>
        </w:rPr>
      </w:pPr>
    </w:p>
    <w:p w:rsidR="00104A8D" w:rsidRDefault="00104A8D" w:rsidP="0075491E">
      <w:pPr>
        <w:pStyle w:val="Standard1"/>
        <w:spacing w:before="360"/>
        <w:jc w:val="center"/>
        <w:rPr>
          <w:rStyle w:val="Absatz-Standardschriftart1"/>
          <w:rFonts w:ascii="Arial" w:hAnsi="Arial" w:cs="Arial"/>
          <w:b/>
          <w:color w:val="000000" w:themeColor="text1"/>
          <w:sz w:val="22"/>
          <w:szCs w:val="22"/>
        </w:rPr>
      </w:pPr>
    </w:p>
    <w:p w:rsidR="00EC0ED8" w:rsidRDefault="00EC0ED8" w:rsidP="0075491E">
      <w:pPr>
        <w:pStyle w:val="Standard1"/>
        <w:spacing w:before="360"/>
        <w:jc w:val="center"/>
        <w:rPr>
          <w:rStyle w:val="Absatz-Standardschriftart1"/>
          <w:rFonts w:ascii="Arial" w:hAnsi="Arial" w:cs="Arial"/>
          <w:b/>
          <w:color w:val="000000" w:themeColor="text1"/>
          <w:sz w:val="22"/>
          <w:szCs w:val="22"/>
        </w:rPr>
      </w:pPr>
      <w:bookmarkStart w:id="0" w:name="_GoBack"/>
      <w:bookmarkEnd w:id="0"/>
    </w:p>
    <w:p w:rsidR="0075491E" w:rsidRPr="000C057F" w:rsidRDefault="0075491E" w:rsidP="0075491E">
      <w:pPr>
        <w:pStyle w:val="Standard1"/>
        <w:spacing w:before="360"/>
        <w:jc w:val="center"/>
        <w:rPr>
          <w:rFonts w:ascii="Arial" w:hAnsi="Arial" w:cs="Arial"/>
          <w:b/>
          <w:bCs/>
          <w:color w:val="000000" w:themeColor="text1"/>
          <w:sz w:val="22"/>
          <w:szCs w:val="22"/>
        </w:rPr>
      </w:pPr>
      <w:proofErr w:type="spellStart"/>
      <w:r w:rsidRPr="000C057F">
        <w:rPr>
          <w:rStyle w:val="Absatz-Standardschriftart1"/>
          <w:rFonts w:ascii="Arial" w:hAnsi="Arial" w:cs="Arial"/>
          <w:b/>
          <w:color w:val="000000" w:themeColor="text1"/>
          <w:sz w:val="22"/>
          <w:szCs w:val="22"/>
        </w:rPr>
        <w:t>Recommendations</w:t>
      </w:r>
      <w:proofErr w:type="spellEnd"/>
      <w:r w:rsidRPr="000C057F">
        <w:rPr>
          <w:rStyle w:val="Absatz-Standardschriftart1"/>
          <w:rFonts w:ascii="Arial" w:hAnsi="Arial" w:cs="Arial"/>
          <w:b/>
          <w:color w:val="000000" w:themeColor="text1"/>
          <w:sz w:val="22"/>
          <w:szCs w:val="22"/>
        </w:rPr>
        <w:t xml:space="preserve"> of the Task Team on </w:t>
      </w:r>
      <w:proofErr w:type="spellStart"/>
      <w:r w:rsidRPr="000C057F">
        <w:rPr>
          <w:rStyle w:val="Absatz-Standardschriftart1"/>
          <w:rFonts w:ascii="Arial" w:hAnsi="Arial" w:cs="Arial"/>
          <w:b/>
          <w:color w:val="000000" w:themeColor="text1"/>
          <w:sz w:val="22"/>
          <w:szCs w:val="22"/>
        </w:rPr>
        <w:t>Operations</w:t>
      </w:r>
      <w:proofErr w:type="spellEnd"/>
    </w:p>
    <w:p w:rsidR="0075491E" w:rsidRPr="000C057F" w:rsidRDefault="0075491E" w:rsidP="0075491E">
      <w:pPr>
        <w:rPr>
          <w:rFonts w:ascii="Arial" w:hAnsi="Arial" w:cs="Arial"/>
          <w:color w:val="000000"/>
          <w:sz w:val="22"/>
          <w:szCs w:val="22"/>
          <w:lang w:val="en-US"/>
        </w:rPr>
      </w:pPr>
    </w:p>
    <w:p w:rsidR="00087973" w:rsidRDefault="00087973" w:rsidP="00087973">
      <w:pPr>
        <w:pStyle w:val="NormalWeb"/>
        <w:numPr>
          <w:ilvl w:val="0"/>
          <w:numId w:val="13"/>
        </w:numPr>
        <w:rPr>
          <w:rFonts w:ascii="Arial" w:hAnsi="Arial" w:cs="Arial"/>
          <w:sz w:val="22"/>
          <w:lang w:val="en-US"/>
        </w:rPr>
      </w:pPr>
      <w:r w:rsidRPr="00087973">
        <w:rPr>
          <w:rFonts w:ascii="Arial" w:hAnsi="Arial" w:cs="Arial"/>
          <w:sz w:val="22"/>
          <w:lang w:val="en-US"/>
        </w:rPr>
        <w:t>That each TSP continues to provide alert level information based on their best practices, including (possibly different) decision matrices, scenario databases or other methods, these methodologies needing to be documented in the NEA</w:t>
      </w:r>
      <w:r>
        <w:rPr>
          <w:rFonts w:ascii="Arial" w:hAnsi="Arial" w:cs="Arial"/>
          <w:sz w:val="22"/>
          <w:lang w:val="en-US"/>
        </w:rPr>
        <w:t xml:space="preserve">MTWS Operational Users Guide </w:t>
      </w:r>
      <w:r>
        <w:rPr>
          <w:rFonts w:ascii="Arial" w:hAnsi="Arial" w:cs="Arial"/>
          <w:sz w:val="22"/>
          <w:lang w:val="en-US"/>
        </w:rPr>
        <w:br/>
      </w:r>
    </w:p>
    <w:p w:rsidR="00087973" w:rsidRPr="00087973" w:rsidRDefault="00087973" w:rsidP="00087973">
      <w:pPr>
        <w:pStyle w:val="NormalWeb"/>
        <w:numPr>
          <w:ilvl w:val="0"/>
          <w:numId w:val="13"/>
        </w:numPr>
        <w:rPr>
          <w:rFonts w:ascii="Arial" w:hAnsi="Arial" w:cs="Arial"/>
          <w:sz w:val="22"/>
          <w:lang w:val="en-US"/>
        </w:rPr>
      </w:pPr>
      <w:r w:rsidRPr="00087973">
        <w:rPr>
          <w:rFonts w:ascii="Arial" w:hAnsi="Arial" w:cs="Arial"/>
          <w:sz w:val="22"/>
          <w:lang w:val="en-US"/>
        </w:rPr>
        <w:t>That each TSP continues to collaborate to develop the Tsunami Service Provider Inte</w:t>
      </w:r>
      <w:r>
        <w:rPr>
          <w:rFonts w:ascii="Arial" w:hAnsi="Arial" w:cs="Arial"/>
          <w:sz w:val="22"/>
          <w:lang w:val="en-US"/>
        </w:rPr>
        <w:t xml:space="preserve">r-Operability Tool (TSP-IOT) </w:t>
      </w:r>
      <w:r>
        <w:rPr>
          <w:rFonts w:ascii="Arial" w:hAnsi="Arial" w:cs="Arial"/>
          <w:sz w:val="22"/>
          <w:lang w:val="en-US"/>
        </w:rPr>
        <w:br/>
      </w:r>
    </w:p>
    <w:p w:rsidR="00087973" w:rsidRPr="00087973" w:rsidRDefault="00087973" w:rsidP="00087973">
      <w:pPr>
        <w:pStyle w:val="NormalWeb"/>
        <w:numPr>
          <w:ilvl w:val="0"/>
          <w:numId w:val="13"/>
        </w:numPr>
        <w:rPr>
          <w:rFonts w:ascii="Arial" w:hAnsi="Arial" w:cs="Arial"/>
          <w:sz w:val="22"/>
          <w:lang w:val="en-US"/>
        </w:rPr>
      </w:pPr>
      <w:proofErr w:type="gramStart"/>
      <w:r w:rsidRPr="00087973">
        <w:rPr>
          <w:rFonts w:ascii="Arial" w:hAnsi="Arial" w:cs="Arial"/>
          <w:sz w:val="22"/>
          <w:lang w:val="en-US"/>
        </w:rPr>
        <w:t>That</w:t>
      </w:r>
      <w:proofErr w:type="gramEnd"/>
      <w:r w:rsidRPr="00087973">
        <w:rPr>
          <w:rFonts w:ascii="Arial" w:hAnsi="Arial" w:cs="Arial"/>
          <w:sz w:val="22"/>
          <w:lang w:val="en-US"/>
        </w:rPr>
        <w:t xml:space="preserve"> TSPs agree on developing sea level readings procedures for NEAMTWS purposes and formalizing how non-instrumental information/observations can be includ</w:t>
      </w:r>
      <w:r>
        <w:rPr>
          <w:rFonts w:ascii="Arial" w:hAnsi="Arial" w:cs="Arial"/>
          <w:sz w:val="22"/>
          <w:lang w:val="en-US"/>
        </w:rPr>
        <w:t xml:space="preserve">ed in the ONGOING messages. </w:t>
      </w:r>
    </w:p>
    <w:p w:rsidR="00087973" w:rsidRPr="00087973" w:rsidRDefault="00087973" w:rsidP="00087973">
      <w:pPr>
        <w:pStyle w:val="NormalWeb"/>
        <w:numPr>
          <w:ilvl w:val="0"/>
          <w:numId w:val="13"/>
        </w:numPr>
        <w:rPr>
          <w:rFonts w:ascii="Arial" w:hAnsi="Arial" w:cs="Arial"/>
          <w:sz w:val="22"/>
          <w:lang w:val="en-US"/>
        </w:rPr>
      </w:pPr>
      <w:proofErr w:type="gramStart"/>
      <w:r w:rsidRPr="00087973">
        <w:rPr>
          <w:rFonts w:ascii="Arial" w:hAnsi="Arial" w:cs="Arial"/>
          <w:sz w:val="22"/>
          <w:lang w:val="en-US"/>
        </w:rPr>
        <w:t>That</w:t>
      </w:r>
      <w:proofErr w:type="gramEnd"/>
      <w:r w:rsidRPr="00087973">
        <w:rPr>
          <w:rFonts w:ascii="Arial" w:hAnsi="Arial" w:cs="Arial"/>
          <w:sz w:val="22"/>
          <w:lang w:val="en-US"/>
        </w:rPr>
        <w:t xml:space="preserve"> TSPs start defining a common TSU-CAP template to issue tsunami messages that may serve both NEAMTWS and national needs at t</w:t>
      </w:r>
      <w:r>
        <w:rPr>
          <w:rFonts w:ascii="Arial" w:hAnsi="Arial" w:cs="Arial"/>
          <w:sz w:val="22"/>
          <w:lang w:val="en-US"/>
        </w:rPr>
        <w:t xml:space="preserve">he same time. </w:t>
      </w:r>
      <w:r>
        <w:rPr>
          <w:rFonts w:ascii="Arial" w:hAnsi="Arial" w:cs="Arial"/>
          <w:sz w:val="22"/>
          <w:lang w:val="en-US"/>
        </w:rPr>
        <w:br/>
      </w:r>
    </w:p>
    <w:p w:rsidR="00087973" w:rsidRDefault="00087973" w:rsidP="00087973">
      <w:pPr>
        <w:pStyle w:val="NormalWeb"/>
        <w:numPr>
          <w:ilvl w:val="0"/>
          <w:numId w:val="13"/>
        </w:numPr>
        <w:rPr>
          <w:rFonts w:ascii="Arial" w:hAnsi="Arial" w:cs="Arial"/>
          <w:sz w:val="22"/>
          <w:lang w:val="en-US"/>
        </w:rPr>
      </w:pPr>
      <w:r w:rsidRPr="00087973">
        <w:rPr>
          <w:rFonts w:ascii="Arial" w:hAnsi="Arial" w:cs="Arial"/>
          <w:sz w:val="22"/>
          <w:lang w:val="en-US"/>
        </w:rPr>
        <w:t>That TT on Operations provide inputs to the TT on documentation to prepare/update the ICG/NE</w:t>
      </w:r>
      <w:r>
        <w:rPr>
          <w:rFonts w:ascii="Arial" w:hAnsi="Arial" w:cs="Arial"/>
          <w:sz w:val="22"/>
          <w:lang w:val="en-US"/>
        </w:rPr>
        <w:t xml:space="preserve">AMTWS Operational User Guide </w:t>
      </w:r>
      <w:r>
        <w:rPr>
          <w:rFonts w:ascii="Arial" w:hAnsi="Arial" w:cs="Arial"/>
          <w:sz w:val="22"/>
          <w:lang w:val="en-US"/>
        </w:rPr>
        <w:br/>
      </w:r>
    </w:p>
    <w:p w:rsidR="00087973" w:rsidRPr="00087973" w:rsidRDefault="00087973" w:rsidP="00087973">
      <w:pPr>
        <w:pStyle w:val="NormalWeb"/>
        <w:numPr>
          <w:ilvl w:val="0"/>
          <w:numId w:val="13"/>
        </w:numPr>
        <w:rPr>
          <w:rFonts w:ascii="Arial" w:hAnsi="Arial" w:cs="Arial"/>
          <w:sz w:val="20"/>
          <w:szCs w:val="22"/>
          <w:lang w:val="en-US"/>
        </w:rPr>
      </w:pPr>
      <w:r w:rsidRPr="00087973">
        <w:rPr>
          <w:rFonts w:ascii="Arial" w:hAnsi="Arial" w:cs="Arial"/>
          <w:sz w:val="22"/>
          <w:lang w:val="en-US"/>
        </w:rPr>
        <w:t xml:space="preserve">That all seismic and sea level data should be made available to the TSPs and NTWCs using bilateral agreements, between NTWCs whenever possible </w:t>
      </w:r>
      <w:r>
        <w:rPr>
          <w:rFonts w:ascii="Arial" w:hAnsi="Arial" w:cs="Arial"/>
          <w:sz w:val="20"/>
          <w:szCs w:val="22"/>
          <w:lang w:val="en-US"/>
        </w:rPr>
        <w:br/>
      </w:r>
    </w:p>
    <w:p w:rsidR="00087973" w:rsidRPr="00087973" w:rsidRDefault="00087973" w:rsidP="0075491E">
      <w:pPr>
        <w:pStyle w:val="NormalWeb"/>
        <w:numPr>
          <w:ilvl w:val="0"/>
          <w:numId w:val="13"/>
        </w:numPr>
        <w:rPr>
          <w:rFonts w:ascii="Arial" w:hAnsi="Arial" w:cs="Arial"/>
          <w:sz w:val="22"/>
          <w:lang w:val="en-US"/>
        </w:rPr>
      </w:pPr>
      <w:r w:rsidRPr="00087973">
        <w:rPr>
          <w:rFonts w:ascii="Arial" w:hAnsi="Arial" w:cs="Arial"/>
          <w:sz w:val="22"/>
          <w:lang w:val="en-US"/>
        </w:rPr>
        <w:t>To increase the number of seismic and sea level stations available especially in the North of Africa, and for sea level, considering tsunamis originated from non-subduction zones as well from non-seismic sources, to increase sampling rate (towards 1sps) and reduce the latency to 1 minute or less as far as possible.</w:t>
      </w:r>
    </w:p>
    <w:p w:rsidR="0075491E" w:rsidRPr="000C057F" w:rsidRDefault="0075491E" w:rsidP="0075491E">
      <w:pPr>
        <w:pStyle w:val="Standard1"/>
        <w:spacing w:before="360"/>
        <w:rPr>
          <w:rFonts w:ascii="Arial" w:hAnsi="Arial" w:cs="Arial"/>
          <w:b/>
          <w:bCs/>
          <w:sz w:val="22"/>
          <w:szCs w:val="22"/>
          <w:lang w:val="en-GB"/>
        </w:rPr>
      </w:pPr>
      <w:proofErr w:type="spellStart"/>
      <w:r w:rsidRPr="000C057F">
        <w:rPr>
          <w:rStyle w:val="Absatz-Standardschriftart1"/>
          <w:rFonts w:ascii="Arial" w:hAnsi="Arial" w:cs="Arial"/>
          <w:b/>
          <w:color w:val="000000" w:themeColor="text1"/>
          <w:sz w:val="22"/>
          <w:szCs w:val="22"/>
        </w:rPr>
        <w:t>Recommendations</w:t>
      </w:r>
      <w:proofErr w:type="spellEnd"/>
      <w:r w:rsidRPr="000C057F">
        <w:rPr>
          <w:rFonts w:ascii="Arial" w:hAnsi="Arial" w:cs="Arial"/>
          <w:b/>
          <w:bCs/>
          <w:sz w:val="22"/>
          <w:szCs w:val="22"/>
          <w:lang w:val="en-GB"/>
        </w:rPr>
        <w:t xml:space="preserve"> of the Task Team on Documentation</w:t>
      </w:r>
    </w:p>
    <w:p w:rsidR="0075491E" w:rsidRPr="000C057F" w:rsidRDefault="0075491E" w:rsidP="0075491E">
      <w:pPr>
        <w:pStyle w:val="Standard1"/>
        <w:spacing w:before="360"/>
        <w:rPr>
          <w:rFonts w:ascii="Arial" w:hAnsi="Arial" w:cs="Arial"/>
          <w:b/>
          <w:bCs/>
          <w:sz w:val="22"/>
          <w:szCs w:val="22"/>
          <w:lang w:val="en-GB"/>
        </w:rPr>
      </w:pPr>
    </w:p>
    <w:p w:rsidR="0075491E" w:rsidRPr="000C057F" w:rsidRDefault="0075491E" w:rsidP="0075491E">
      <w:pPr>
        <w:pStyle w:val="ListParagraph"/>
        <w:numPr>
          <w:ilvl w:val="0"/>
          <w:numId w:val="1"/>
        </w:numPr>
        <w:tabs>
          <w:tab w:val="clear" w:pos="709"/>
        </w:tabs>
        <w:ind w:left="567" w:hanging="567"/>
        <w:rPr>
          <w:rFonts w:ascii="Arial" w:hAnsi="Arial" w:cs="Arial"/>
          <w:color w:val="000000"/>
          <w:sz w:val="22"/>
          <w:szCs w:val="22"/>
        </w:rPr>
      </w:pPr>
      <w:r w:rsidRPr="000C057F">
        <w:rPr>
          <w:rFonts w:ascii="Arial" w:hAnsi="Arial" w:cs="Arial"/>
          <w:sz w:val="22"/>
          <w:szCs w:val="22"/>
          <w:lang w:val="en-US"/>
        </w:rPr>
        <w:t>Publish the NEAM Strategy Document 2021-2030 before the end of 2021.</w:t>
      </w:r>
    </w:p>
    <w:p w:rsidR="0075491E" w:rsidRPr="000C057F" w:rsidRDefault="0075491E" w:rsidP="0075491E">
      <w:pPr>
        <w:pStyle w:val="ListParagraph"/>
        <w:tabs>
          <w:tab w:val="clear" w:pos="709"/>
        </w:tabs>
        <w:ind w:left="567"/>
        <w:rPr>
          <w:rFonts w:ascii="Arial" w:hAnsi="Arial" w:cs="Arial"/>
          <w:color w:val="000000"/>
          <w:sz w:val="22"/>
          <w:szCs w:val="22"/>
        </w:rPr>
      </w:pPr>
    </w:p>
    <w:p w:rsidR="0075491E" w:rsidRPr="000C057F" w:rsidRDefault="0075491E" w:rsidP="0075491E">
      <w:pPr>
        <w:pStyle w:val="ListParagraph"/>
        <w:numPr>
          <w:ilvl w:val="0"/>
          <w:numId w:val="1"/>
        </w:numPr>
        <w:ind w:left="567" w:hanging="567"/>
        <w:rPr>
          <w:rFonts w:ascii="Arial" w:hAnsi="Arial" w:cs="Arial"/>
          <w:color w:val="000000"/>
          <w:sz w:val="22"/>
          <w:szCs w:val="22"/>
        </w:rPr>
      </w:pPr>
      <w:r w:rsidRPr="000C057F">
        <w:rPr>
          <w:rFonts w:ascii="Arial" w:hAnsi="Arial" w:cs="Arial"/>
          <w:sz w:val="22"/>
          <w:szCs w:val="22"/>
        </w:rPr>
        <w:t>Coordinate input from TSPs and the Task Team on Operations to prepare</w:t>
      </w:r>
      <w:r w:rsidRPr="000C057F">
        <w:rPr>
          <w:rFonts w:ascii="Arial" w:hAnsi="Arial" w:cs="Arial"/>
          <w:sz w:val="22"/>
          <w:szCs w:val="22"/>
          <w:lang w:val="en-IE"/>
        </w:rPr>
        <w:t xml:space="preserve"> a draft of the revised Operational Users Guide before the next SC meeting in the </w:t>
      </w:r>
      <w:proofErr w:type="gramStart"/>
      <w:r w:rsidRPr="000C057F">
        <w:rPr>
          <w:rFonts w:ascii="Arial" w:hAnsi="Arial" w:cs="Arial"/>
          <w:sz w:val="22"/>
          <w:szCs w:val="22"/>
          <w:lang w:val="en-IE"/>
        </w:rPr>
        <w:t>Spring</w:t>
      </w:r>
      <w:proofErr w:type="gramEnd"/>
      <w:r w:rsidRPr="000C057F">
        <w:rPr>
          <w:rFonts w:ascii="Arial" w:hAnsi="Arial" w:cs="Arial"/>
          <w:sz w:val="22"/>
          <w:szCs w:val="22"/>
          <w:lang w:val="en-IE"/>
        </w:rPr>
        <w:t xml:space="preserve"> of 2022.</w:t>
      </w:r>
    </w:p>
    <w:p w:rsidR="0075491E" w:rsidRPr="000C057F" w:rsidRDefault="0075491E" w:rsidP="0075491E">
      <w:pPr>
        <w:pStyle w:val="Standard1"/>
        <w:spacing w:before="360"/>
        <w:rPr>
          <w:rFonts w:ascii="Arial" w:hAnsi="Arial" w:cs="Arial"/>
          <w:b/>
          <w:bCs/>
          <w:sz w:val="22"/>
          <w:szCs w:val="22"/>
          <w:lang w:val="en-GB"/>
        </w:rPr>
      </w:pPr>
    </w:p>
    <w:p w:rsidR="0075491E" w:rsidRPr="000C057F" w:rsidRDefault="0075491E" w:rsidP="0075491E">
      <w:pPr>
        <w:jc w:val="center"/>
        <w:rPr>
          <w:rFonts w:ascii="Arial" w:hAnsi="Arial" w:cs="Arial"/>
          <w:b/>
          <w:bCs/>
          <w:sz w:val="22"/>
          <w:szCs w:val="22"/>
          <w:lang w:val="en-GB"/>
        </w:rPr>
      </w:pPr>
    </w:p>
    <w:p w:rsidR="0075491E" w:rsidRPr="000C057F" w:rsidRDefault="0075491E" w:rsidP="0075491E">
      <w:pPr>
        <w:pStyle w:val="ListParagraph"/>
        <w:rPr>
          <w:rFonts w:ascii="Arial" w:eastAsia="Arial" w:hAnsi="Arial" w:cs="Arial"/>
          <w:color w:val="000000"/>
          <w:sz w:val="22"/>
          <w:szCs w:val="22"/>
        </w:rPr>
      </w:pPr>
    </w:p>
    <w:p w:rsidR="0075491E" w:rsidRPr="000C057F" w:rsidRDefault="0075491E" w:rsidP="0075491E">
      <w:pPr>
        <w:suppressAutoHyphens/>
        <w:rPr>
          <w:rFonts w:ascii="Arial" w:eastAsia="Arial" w:hAnsi="Arial" w:cs="Arial"/>
          <w:color w:val="000000"/>
          <w:sz w:val="22"/>
          <w:szCs w:val="22"/>
          <w:lang w:val="en-US"/>
        </w:rPr>
      </w:pPr>
    </w:p>
    <w:p w:rsidR="0075491E" w:rsidRPr="000C057F" w:rsidRDefault="0075491E" w:rsidP="0075491E">
      <w:pPr>
        <w:suppressAutoHyphens/>
        <w:rPr>
          <w:rFonts w:ascii="Arial" w:eastAsia="Arial" w:hAnsi="Arial" w:cs="Arial"/>
          <w:color w:val="000000"/>
          <w:sz w:val="22"/>
          <w:szCs w:val="22"/>
          <w:lang w:val="en-US"/>
        </w:rPr>
      </w:pPr>
    </w:p>
    <w:p w:rsidR="0075491E" w:rsidRDefault="0075491E" w:rsidP="0075491E">
      <w:pPr>
        <w:suppressAutoHyphens/>
        <w:rPr>
          <w:rFonts w:ascii="Arial" w:eastAsia="Arial" w:hAnsi="Arial" w:cs="Arial"/>
          <w:color w:val="000000"/>
          <w:sz w:val="22"/>
          <w:szCs w:val="22"/>
          <w:lang w:val="en-US"/>
        </w:rPr>
      </w:pPr>
    </w:p>
    <w:p w:rsidR="000C057F" w:rsidRDefault="000C057F" w:rsidP="0075491E">
      <w:pPr>
        <w:suppressAutoHyphens/>
        <w:rPr>
          <w:rFonts w:ascii="Arial" w:eastAsia="Arial" w:hAnsi="Arial" w:cs="Arial"/>
          <w:color w:val="000000"/>
          <w:sz w:val="22"/>
          <w:szCs w:val="22"/>
          <w:lang w:val="en-US"/>
        </w:rPr>
      </w:pPr>
    </w:p>
    <w:p w:rsidR="00087973" w:rsidRDefault="00087973" w:rsidP="0075491E">
      <w:pPr>
        <w:suppressAutoHyphens/>
        <w:rPr>
          <w:rFonts w:ascii="Arial" w:eastAsia="Arial" w:hAnsi="Arial" w:cs="Arial"/>
          <w:color w:val="000000"/>
          <w:sz w:val="22"/>
          <w:szCs w:val="22"/>
          <w:lang w:val="en-US"/>
        </w:rPr>
      </w:pPr>
    </w:p>
    <w:p w:rsidR="000C057F" w:rsidRDefault="000C057F" w:rsidP="0075491E">
      <w:pPr>
        <w:suppressAutoHyphens/>
        <w:rPr>
          <w:rFonts w:ascii="Arial" w:eastAsia="Arial" w:hAnsi="Arial" w:cs="Arial"/>
          <w:color w:val="000000"/>
          <w:sz w:val="22"/>
          <w:szCs w:val="22"/>
          <w:lang w:val="en-US"/>
        </w:rPr>
      </w:pPr>
    </w:p>
    <w:p w:rsidR="00320EFA" w:rsidRDefault="00320EFA" w:rsidP="0075491E">
      <w:pPr>
        <w:suppressAutoHyphens/>
        <w:rPr>
          <w:rFonts w:ascii="Arial" w:eastAsia="Arial" w:hAnsi="Arial" w:cs="Arial"/>
          <w:color w:val="000000"/>
          <w:sz w:val="22"/>
          <w:szCs w:val="22"/>
          <w:lang w:val="en-US"/>
        </w:rPr>
      </w:pPr>
    </w:p>
    <w:p w:rsidR="00320EFA" w:rsidRDefault="00320EFA" w:rsidP="0075491E">
      <w:pPr>
        <w:suppressAutoHyphens/>
        <w:rPr>
          <w:rFonts w:ascii="Arial" w:eastAsia="Arial" w:hAnsi="Arial" w:cs="Arial"/>
          <w:color w:val="000000"/>
          <w:sz w:val="22"/>
          <w:szCs w:val="22"/>
          <w:lang w:val="en-US"/>
        </w:rPr>
      </w:pPr>
    </w:p>
    <w:p w:rsidR="00320EFA" w:rsidRDefault="00320EFA" w:rsidP="0075491E">
      <w:pPr>
        <w:suppressAutoHyphens/>
        <w:rPr>
          <w:rFonts w:ascii="Arial" w:eastAsia="Arial" w:hAnsi="Arial" w:cs="Arial"/>
          <w:color w:val="000000"/>
          <w:sz w:val="22"/>
          <w:szCs w:val="22"/>
          <w:lang w:val="en-US"/>
        </w:rPr>
      </w:pPr>
    </w:p>
    <w:p w:rsidR="00320EFA" w:rsidRDefault="00320EFA" w:rsidP="0075491E">
      <w:pPr>
        <w:suppressAutoHyphens/>
        <w:rPr>
          <w:rFonts w:ascii="Arial" w:eastAsia="Arial" w:hAnsi="Arial" w:cs="Arial"/>
          <w:color w:val="000000"/>
          <w:sz w:val="22"/>
          <w:szCs w:val="22"/>
          <w:lang w:val="en-US"/>
        </w:rPr>
      </w:pPr>
    </w:p>
    <w:p w:rsidR="00320EFA" w:rsidRDefault="00320EFA" w:rsidP="0075491E">
      <w:pPr>
        <w:suppressAutoHyphens/>
        <w:rPr>
          <w:rFonts w:ascii="Arial" w:eastAsia="Arial" w:hAnsi="Arial" w:cs="Arial"/>
          <w:color w:val="000000"/>
          <w:sz w:val="22"/>
          <w:szCs w:val="22"/>
          <w:lang w:val="en-US"/>
        </w:rPr>
      </w:pPr>
    </w:p>
    <w:p w:rsidR="00320EFA" w:rsidRDefault="00320EFA" w:rsidP="0075491E">
      <w:pPr>
        <w:suppressAutoHyphens/>
        <w:rPr>
          <w:rFonts w:ascii="Arial" w:eastAsia="Arial" w:hAnsi="Arial" w:cs="Arial"/>
          <w:color w:val="000000"/>
          <w:sz w:val="22"/>
          <w:szCs w:val="22"/>
          <w:lang w:val="en-US"/>
        </w:rPr>
      </w:pPr>
    </w:p>
    <w:p w:rsidR="000C057F" w:rsidRPr="000C057F" w:rsidRDefault="000C057F" w:rsidP="0075491E">
      <w:pPr>
        <w:suppressAutoHyphens/>
        <w:rPr>
          <w:rFonts w:ascii="Arial" w:eastAsia="Arial" w:hAnsi="Arial" w:cs="Arial"/>
          <w:color w:val="000000"/>
          <w:sz w:val="22"/>
          <w:szCs w:val="22"/>
          <w:lang w:val="en-US"/>
        </w:rPr>
      </w:pPr>
    </w:p>
    <w:p w:rsidR="0075491E" w:rsidRPr="00087973" w:rsidRDefault="0075491E" w:rsidP="0075491E">
      <w:pPr>
        <w:spacing w:after="240"/>
        <w:jc w:val="center"/>
        <w:rPr>
          <w:rFonts w:ascii="Arial" w:hAnsi="Arial" w:cs="Arial"/>
          <w:b/>
          <w:bCs/>
          <w:sz w:val="22"/>
          <w:szCs w:val="22"/>
          <w:lang w:val="en-US"/>
        </w:rPr>
      </w:pPr>
      <w:r w:rsidRPr="00087973">
        <w:rPr>
          <w:rFonts w:ascii="Arial" w:hAnsi="Arial" w:cs="Arial"/>
          <w:b/>
          <w:bCs/>
          <w:sz w:val="22"/>
          <w:szCs w:val="22"/>
          <w:lang w:val="en-US"/>
        </w:rPr>
        <w:t>Recommendations of the Task Team on Tsunami Exercises</w:t>
      </w:r>
    </w:p>
    <w:p w:rsidR="00087973" w:rsidRDefault="0075491E" w:rsidP="0075491E">
      <w:pPr>
        <w:pStyle w:val="ListParagraph"/>
        <w:numPr>
          <w:ilvl w:val="0"/>
          <w:numId w:val="2"/>
        </w:numPr>
        <w:tabs>
          <w:tab w:val="clear" w:pos="709"/>
        </w:tabs>
        <w:spacing w:line="276" w:lineRule="auto"/>
        <w:rPr>
          <w:rFonts w:ascii="Arial" w:hAnsi="Arial" w:cs="Arial"/>
          <w:sz w:val="22"/>
          <w:szCs w:val="22"/>
        </w:rPr>
      </w:pPr>
      <w:r w:rsidRPr="00087973">
        <w:rPr>
          <w:rFonts w:ascii="Arial" w:hAnsi="Arial" w:cs="Arial"/>
          <w:sz w:val="22"/>
          <w:szCs w:val="22"/>
        </w:rPr>
        <w:t xml:space="preserve">To plan and conduct the next </w:t>
      </w:r>
      <w:proofErr w:type="spellStart"/>
      <w:r w:rsidRPr="00087973">
        <w:rPr>
          <w:rFonts w:ascii="Arial" w:hAnsi="Arial" w:cs="Arial"/>
          <w:sz w:val="22"/>
          <w:szCs w:val="22"/>
        </w:rPr>
        <w:t>NEAMWave</w:t>
      </w:r>
      <w:proofErr w:type="spellEnd"/>
      <w:r w:rsidRPr="00087973">
        <w:rPr>
          <w:rFonts w:ascii="Arial" w:hAnsi="Arial" w:cs="Arial"/>
          <w:sz w:val="22"/>
          <w:szCs w:val="22"/>
        </w:rPr>
        <w:t xml:space="preserve"> tsunami exercise in 2023 (NEAMWave23);</w:t>
      </w:r>
    </w:p>
    <w:p w:rsidR="0075491E" w:rsidRPr="00087973" w:rsidRDefault="0075491E" w:rsidP="00087973">
      <w:pPr>
        <w:pStyle w:val="ListParagraph"/>
        <w:tabs>
          <w:tab w:val="clear" w:pos="709"/>
        </w:tabs>
        <w:spacing w:line="276" w:lineRule="auto"/>
        <w:rPr>
          <w:rFonts w:ascii="Arial" w:hAnsi="Arial" w:cs="Arial"/>
          <w:sz w:val="22"/>
          <w:szCs w:val="22"/>
        </w:rPr>
      </w:pPr>
      <w:r w:rsidRPr="00087973">
        <w:rPr>
          <w:rFonts w:ascii="Arial" w:hAnsi="Arial" w:cs="Arial"/>
          <w:sz w:val="22"/>
          <w:szCs w:val="22"/>
        </w:rPr>
        <w:t xml:space="preserve"> </w:t>
      </w:r>
    </w:p>
    <w:p w:rsidR="0075491E" w:rsidRDefault="0075491E" w:rsidP="0075491E">
      <w:pPr>
        <w:pStyle w:val="ListParagraph"/>
        <w:numPr>
          <w:ilvl w:val="0"/>
          <w:numId w:val="2"/>
        </w:numPr>
        <w:tabs>
          <w:tab w:val="clear" w:pos="709"/>
        </w:tabs>
        <w:spacing w:line="276" w:lineRule="auto"/>
        <w:rPr>
          <w:rFonts w:ascii="Arial" w:hAnsi="Arial" w:cs="Arial"/>
          <w:sz w:val="22"/>
          <w:szCs w:val="22"/>
        </w:rPr>
      </w:pPr>
      <w:r w:rsidRPr="00087973">
        <w:rPr>
          <w:rFonts w:ascii="Arial" w:hAnsi="Arial" w:cs="Arial"/>
          <w:sz w:val="22"/>
          <w:szCs w:val="22"/>
        </w:rPr>
        <w:t xml:space="preserve">To revise </w:t>
      </w:r>
      <w:proofErr w:type="spellStart"/>
      <w:r w:rsidRPr="00087973">
        <w:rPr>
          <w:rFonts w:ascii="Arial" w:hAnsi="Arial" w:cs="Arial"/>
          <w:sz w:val="22"/>
          <w:szCs w:val="22"/>
        </w:rPr>
        <w:t>NEAMWave</w:t>
      </w:r>
      <w:proofErr w:type="spellEnd"/>
      <w:r w:rsidRPr="00087973">
        <w:rPr>
          <w:rFonts w:ascii="Arial" w:hAnsi="Arial" w:cs="Arial"/>
          <w:sz w:val="22"/>
          <w:szCs w:val="22"/>
        </w:rPr>
        <w:t xml:space="preserve"> Exercise Manual, Part II – Exercise Supplements. </w:t>
      </w:r>
      <w:proofErr w:type="spellStart"/>
      <w:r w:rsidRPr="00087973">
        <w:rPr>
          <w:rFonts w:ascii="Arial" w:hAnsi="Arial" w:cs="Arial"/>
          <w:sz w:val="22"/>
          <w:szCs w:val="22"/>
          <w:lang w:val="el-GR"/>
        </w:rPr>
        <w:t>Part</w:t>
      </w:r>
      <w:proofErr w:type="spellEnd"/>
      <w:r w:rsidRPr="00087973">
        <w:rPr>
          <w:rFonts w:ascii="Arial" w:hAnsi="Arial" w:cs="Arial"/>
          <w:sz w:val="22"/>
          <w:szCs w:val="22"/>
          <w:lang w:val="el-GR"/>
        </w:rPr>
        <w:t xml:space="preserve"> I – </w:t>
      </w:r>
      <w:r w:rsidRPr="00087973">
        <w:rPr>
          <w:rFonts w:ascii="Arial" w:hAnsi="Arial" w:cs="Arial"/>
          <w:sz w:val="22"/>
          <w:szCs w:val="22"/>
        </w:rPr>
        <w:t>Exercise</w:t>
      </w:r>
      <w:r w:rsidRPr="00087973">
        <w:rPr>
          <w:rFonts w:ascii="Arial" w:hAnsi="Arial" w:cs="Arial"/>
          <w:sz w:val="22"/>
          <w:szCs w:val="22"/>
          <w:lang w:val="el-GR"/>
        </w:rPr>
        <w:t xml:space="preserve"> </w:t>
      </w:r>
      <w:r w:rsidRPr="00087973">
        <w:rPr>
          <w:rFonts w:ascii="Arial" w:hAnsi="Arial" w:cs="Arial"/>
          <w:sz w:val="22"/>
          <w:szCs w:val="22"/>
        </w:rPr>
        <w:t>Instructions might be also updated, only if needed;</w:t>
      </w:r>
    </w:p>
    <w:p w:rsidR="00087973" w:rsidRPr="00087973" w:rsidRDefault="00087973" w:rsidP="00087973">
      <w:pPr>
        <w:pStyle w:val="ListParagraph"/>
        <w:rPr>
          <w:rFonts w:ascii="Arial" w:hAnsi="Arial" w:cs="Arial"/>
          <w:sz w:val="22"/>
          <w:szCs w:val="22"/>
        </w:rPr>
      </w:pPr>
    </w:p>
    <w:p w:rsidR="00087973" w:rsidRPr="00087973" w:rsidRDefault="00087973" w:rsidP="00087973">
      <w:pPr>
        <w:pStyle w:val="ListParagraph"/>
        <w:tabs>
          <w:tab w:val="clear" w:pos="709"/>
        </w:tabs>
        <w:spacing w:line="276" w:lineRule="auto"/>
        <w:rPr>
          <w:rFonts w:ascii="Arial" w:hAnsi="Arial" w:cs="Arial"/>
          <w:sz w:val="22"/>
          <w:szCs w:val="22"/>
        </w:rPr>
      </w:pPr>
    </w:p>
    <w:p w:rsidR="0075491E" w:rsidRDefault="0075491E" w:rsidP="0075491E">
      <w:pPr>
        <w:pStyle w:val="ListParagraph"/>
        <w:numPr>
          <w:ilvl w:val="0"/>
          <w:numId w:val="2"/>
        </w:numPr>
        <w:tabs>
          <w:tab w:val="clear" w:pos="709"/>
        </w:tabs>
        <w:spacing w:line="276" w:lineRule="auto"/>
        <w:rPr>
          <w:rFonts w:ascii="Arial" w:hAnsi="Arial" w:cs="Arial"/>
          <w:sz w:val="22"/>
          <w:szCs w:val="22"/>
        </w:rPr>
      </w:pPr>
      <w:r w:rsidRPr="00087973">
        <w:rPr>
          <w:rFonts w:ascii="Arial" w:hAnsi="Arial" w:cs="Arial"/>
          <w:sz w:val="22"/>
          <w:szCs w:val="22"/>
        </w:rPr>
        <w:t>To revise the online tools (subscription and evaluation) to become more user friendly. Subscription mechanism should become more clear in regard to TPSs ordinary recipients and subscribers to the exercise;</w:t>
      </w:r>
    </w:p>
    <w:p w:rsidR="00087973" w:rsidRPr="00087973" w:rsidRDefault="00087973" w:rsidP="00087973">
      <w:pPr>
        <w:pStyle w:val="ListParagraph"/>
        <w:tabs>
          <w:tab w:val="clear" w:pos="709"/>
        </w:tabs>
        <w:spacing w:line="276" w:lineRule="auto"/>
        <w:rPr>
          <w:rFonts w:ascii="Arial" w:hAnsi="Arial" w:cs="Arial"/>
          <w:sz w:val="22"/>
          <w:szCs w:val="22"/>
        </w:rPr>
      </w:pPr>
    </w:p>
    <w:p w:rsidR="0075491E" w:rsidRDefault="0075491E" w:rsidP="0075491E">
      <w:pPr>
        <w:pStyle w:val="ListParagraph"/>
        <w:numPr>
          <w:ilvl w:val="0"/>
          <w:numId w:val="2"/>
        </w:numPr>
        <w:tabs>
          <w:tab w:val="clear" w:pos="709"/>
        </w:tabs>
        <w:spacing w:line="276" w:lineRule="auto"/>
        <w:rPr>
          <w:rFonts w:ascii="Arial" w:hAnsi="Arial" w:cs="Arial"/>
          <w:sz w:val="22"/>
          <w:szCs w:val="22"/>
        </w:rPr>
      </w:pPr>
      <w:r w:rsidRPr="00087973">
        <w:rPr>
          <w:rFonts w:ascii="Arial" w:hAnsi="Arial" w:cs="Arial"/>
          <w:sz w:val="22"/>
          <w:szCs w:val="22"/>
        </w:rPr>
        <w:t xml:space="preserve">To share the </w:t>
      </w:r>
      <w:proofErr w:type="spellStart"/>
      <w:r w:rsidRPr="00087973">
        <w:rPr>
          <w:rFonts w:ascii="Arial" w:hAnsi="Arial" w:cs="Arial"/>
          <w:sz w:val="22"/>
          <w:szCs w:val="22"/>
        </w:rPr>
        <w:t>NEAMWave</w:t>
      </w:r>
      <w:proofErr w:type="spellEnd"/>
      <w:r w:rsidRPr="00087973">
        <w:rPr>
          <w:rFonts w:ascii="Arial" w:hAnsi="Arial" w:cs="Arial"/>
          <w:sz w:val="22"/>
          <w:szCs w:val="22"/>
        </w:rPr>
        <w:t xml:space="preserve"> Exercise Manual with the exercise participants early to  facilitate the necessary preparations and organizations;</w:t>
      </w:r>
    </w:p>
    <w:p w:rsidR="00087973" w:rsidRPr="00087973" w:rsidRDefault="00087973" w:rsidP="00087973">
      <w:pPr>
        <w:pStyle w:val="ListParagraph"/>
        <w:tabs>
          <w:tab w:val="clear" w:pos="709"/>
        </w:tabs>
        <w:spacing w:line="276" w:lineRule="auto"/>
        <w:rPr>
          <w:rFonts w:ascii="Arial" w:hAnsi="Arial" w:cs="Arial"/>
          <w:sz w:val="22"/>
          <w:szCs w:val="22"/>
        </w:rPr>
      </w:pPr>
    </w:p>
    <w:p w:rsidR="0075491E" w:rsidRDefault="0075491E" w:rsidP="0075491E">
      <w:pPr>
        <w:pStyle w:val="ListParagraph"/>
        <w:numPr>
          <w:ilvl w:val="0"/>
          <w:numId w:val="2"/>
        </w:numPr>
        <w:tabs>
          <w:tab w:val="clear" w:pos="709"/>
        </w:tabs>
        <w:spacing w:line="276" w:lineRule="auto"/>
        <w:rPr>
          <w:rFonts w:ascii="Arial" w:hAnsi="Arial" w:cs="Arial"/>
          <w:sz w:val="22"/>
          <w:szCs w:val="22"/>
        </w:rPr>
      </w:pPr>
      <w:r w:rsidRPr="00087973">
        <w:rPr>
          <w:rFonts w:ascii="Arial" w:hAnsi="Arial" w:cs="Arial"/>
          <w:sz w:val="22"/>
          <w:szCs w:val="22"/>
        </w:rPr>
        <w:t xml:space="preserve">To organize regular online meetings between the TT-TE team (including the secretariat) and targeted participant groups, like TSPs, TWFPs, CPAs etc. for discussing on the progress of </w:t>
      </w:r>
      <w:proofErr w:type="spellStart"/>
      <w:r w:rsidRPr="00087973">
        <w:rPr>
          <w:rFonts w:ascii="Arial" w:hAnsi="Arial" w:cs="Arial"/>
          <w:sz w:val="22"/>
          <w:szCs w:val="22"/>
        </w:rPr>
        <w:t>NEAMWave</w:t>
      </w:r>
      <w:proofErr w:type="spellEnd"/>
      <w:r w:rsidRPr="00087973">
        <w:rPr>
          <w:rFonts w:ascii="Arial" w:hAnsi="Arial" w:cs="Arial"/>
          <w:sz w:val="22"/>
          <w:szCs w:val="22"/>
        </w:rPr>
        <w:t xml:space="preserve"> activities;</w:t>
      </w:r>
    </w:p>
    <w:p w:rsidR="00087973" w:rsidRPr="00087973" w:rsidRDefault="00087973" w:rsidP="00087973">
      <w:pPr>
        <w:pStyle w:val="ListParagraph"/>
        <w:tabs>
          <w:tab w:val="clear" w:pos="709"/>
        </w:tabs>
        <w:spacing w:line="276" w:lineRule="auto"/>
        <w:rPr>
          <w:rFonts w:ascii="Arial" w:hAnsi="Arial" w:cs="Arial"/>
          <w:sz w:val="22"/>
          <w:szCs w:val="22"/>
        </w:rPr>
      </w:pPr>
    </w:p>
    <w:p w:rsidR="0075491E" w:rsidRDefault="0075491E" w:rsidP="0075491E">
      <w:pPr>
        <w:pStyle w:val="ListParagraph"/>
        <w:numPr>
          <w:ilvl w:val="0"/>
          <w:numId w:val="2"/>
        </w:numPr>
        <w:tabs>
          <w:tab w:val="clear" w:pos="709"/>
        </w:tabs>
        <w:spacing w:line="276" w:lineRule="auto"/>
        <w:rPr>
          <w:rFonts w:ascii="Arial" w:hAnsi="Arial" w:cs="Arial"/>
          <w:sz w:val="22"/>
          <w:szCs w:val="22"/>
        </w:rPr>
      </w:pPr>
      <w:r w:rsidRPr="00087973">
        <w:rPr>
          <w:rFonts w:ascii="Arial" w:hAnsi="Arial" w:cs="Arial"/>
          <w:sz w:val="22"/>
          <w:szCs w:val="22"/>
        </w:rPr>
        <w:t xml:space="preserve">To organize online meetings with ERCC and representatives of Civil Protection Authorities before implementing </w:t>
      </w:r>
      <w:proofErr w:type="spellStart"/>
      <w:r w:rsidRPr="00087973">
        <w:rPr>
          <w:rFonts w:ascii="Arial" w:hAnsi="Arial" w:cs="Arial"/>
          <w:sz w:val="22"/>
          <w:szCs w:val="22"/>
        </w:rPr>
        <w:t>NEAMWave</w:t>
      </w:r>
      <w:proofErr w:type="spellEnd"/>
      <w:r w:rsidRPr="00087973">
        <w:rPr>
          <w:rFonts w:ascii="Arial" w:hAnsi="Arial" w:cs="Arial"/>
          <w:sz w:val="22"/>
          <w:szCs w:val="22"/>
        </w:rPr>
        <w:t xml:space="preserve"> exercises in order to encourage them to participate in the exercises;</w:t>
      </w:r>
    </w:p>
    <w:p w:rsidR="00087973" w:rsidRPr="00087973" w:rsidRDefault="00087973" w:rsidP="00087973">
      <w:pPr>
        <w:pStyle w:val="ListParagraph"/>
        <w:tabs>
          <w:tab w:val="clear" w:pos="709"/>
        </w:tabs>
        <w:spacing w:line="276" w:lineRule="auto"/>
        <w:rPr>
          <w:rFonts w:ascii="Arial" w:hAnsi="Arial" w:cs="Arial"/>
          <w:sz w:val="22"/>
          <w:szCs w:val="22"/>
        </w:rPr>
      </w:pPr>
    </w:p>
    <w:p w:rsidR="0075491E" w:rsidRDefault="0075491E" w:rsidP="0075491E">
      <w:pPr>
        <w:pStyle w:val="ListParagraph"/>
        <w:numPr>
          <w:ilvl w:val="0"/>
          <w:numId w:val="2"/>
        </w:numPr>
        <w:tabs>
          <w:tab w:val="clear" w:pos="709"/>
        </w:tabs>
        <w:spacing w:line="276" w:lineRule="auto"/>
        <w:rPr>
          <w:rFonts w:ascii="Arial" w:hAnsi="Arial" w:cs="Arial"/>
          <w:sz w:val="22"/>
          <w:szCs w:val="22"/>
        </w:rPr>
      </w:pPr>
      <w:r w:rsidRPr="00087973">
        <w:rPr>
          <w:rFonts w:ascii="Arial" w:hAnsi="Arial" w:cs="Arial"/>
          <w:sz w:val="22"/>
          <w:szCs w:val="22"/>
        </w:rPr>
        <w:t xml:space="preserve">The TNC of Member States to encourage Civil Protection Authorities in their country to participate in future </w:t>
      </w:r>
      <w:proofErr w:type="spellStart"/>
      <w:r w:rsidRPr="00087973">
        <w:rPr>
          <w:rFonts w:ascii="Arial" w:hAnsi="Arial" w:cs="Arial"/>
          <w:sz w:val="22"/>
          <w:szCs w:val="22"/>
        </w:rPr>
        <w:t>NEAMWave</w:t>
      </w:r>
      <w:proofErr w:type="spellEnd"/>
      <w:r w:rsidRPr="00087973">
        <w:rPr>
          <w:rFonts w:ascii="Arial" w:hAnsi="Arial" w:cs="Arial"/>
          <w:sz w:val="22"/>
          <w:szCs w:val="22"/>
        </w:rPr>
        <w:t xml:space="preserve"> exercises;</w:t>
      </w:r>
    </w:p>
    <w:p w:rsidR="00087973" w:rsidRPr="00087973" w:rsidRDefault="00087973" w:rsidP="00087973">
      <w:pPr>
        <w:pStyle w:val="ListParagraph"/>
        <w:tabs>
          <w:tab w:val="clear" w:pos="709"/>
        </w:tabs>
        <w:spacing w:line="276" w:lineRule="auto"/>
        <w:rPr>
          <w:rFonts w:ascii="Arial" w:hAnsi="Arial" w:cs="Arial"/>
          <w:sz w:val="22"/>
          <w:szCs w:val="22"/>
        </w:rPr>
      </w:pPr>
    </w:p>
    <w:p w:rsidR="0075491E" w:rsidRDefault="0075491E" w:rsidP="0075491E">
      <w:pPr>
        <w:pStyle w:val="ListParagraph"/>
        <w:numPr>
          <w:ilvl w:val="0"/>
          <w:numId w:val="2"/>
        </w:numPr>
        <w:tabs>
          <w:tab w:val="clear" w:pos="709"/>
        </w:tabs>
        <w:spacing w:line="276" w:lineRule="auto"/>
        <w:rPr>
          <w:rFonts w:ascii="Arial" w:hAnsi="Arial" w:cs="Arial"/>
          <w:sz w:val="22"/>
          <w:szCs w:val="22"/>
        </w:rPr>
      </w:pPr>
      <w:r w:rsidRPr="00087973">
        <w:rPr>
          <w:rFonts w:ascii="Arial" w:hAnsi="Arial" w:cs="Arial"/>
          <w:sz w:val="22"/>
          <w:szCs w:val="22"/>
        </w:rPr>
        <w:t>Tsunami Service Providers to continue sending exercise messages to their regular message recipients as default;</w:t>
      </w:r>
    </w:p>
    <w:p w:rsidR="00087973" w:rsidRPr="00087973" w:rsidRDefault="00087973" w:rsidP="00087973">
      <w:pPr>
        <w:pStyle w:val="ListParagraph"/>
        <w:tabs>
          <w:tab w:val="clear" w:pos="709"/>
        </w:tabs>
        <w:spacing w:line="276" w:lineRule="auto"/>
        <w:rPr>
          <w:rFonts w:ascii="Arial" w:hAnsi="Arial" w:cs="Arial"/>
          <w:sz w:val="22"/>
          <w:szCs w:val="22"/>
        </w:rPr>
      </w:pPr>
    </w:p>
    <w:p w:rsidR="0075491E" w:rsidRDefault="0075491E" w:rsidP="0075491E">
      <w:pPr>
        <w:pStyle w:val="ListParagraph"/>
        <w:numPr>
          <w:ilvl w:val="0"/>
          <w:numId w:val="2"/>
        </w:numPr>
        <w:tabs>
          <w:tab w:val="clear" w:pos="709"/>
        </w:tabs>
        <w:spacing w:line="276" w:lineRule="auto"/>
        <w:rPr>
          <w:rFonts w:ascii="Arial" w:hAnsi="Arial" w:cs="Arial"/>
          <w:sz w:val="22"/>
          <w:szCs w:val="22"/>
        </w:rPr>
      </w:pPr>
      <w:r w:rsidRPr="00087973">
        <w:rPr>
          <w:rFonts w:ascii="Arial" w:hAnsi="Arial" w:cs="Arial"/>
          <w:sz w:val="22"/>
          <w:szCs w:val="22"/>
        </w:rPr>
        <w:t>IOC Secretariat to continue updating Member States tsunami contact points (TNC &amp; TWFP) through circular letters;</w:t>
      </w:r>
    </w:p>
    <w:p w:rsidR="00087973" w:rsidRPr="00087973" w:rsidRDefault="00087973" w:rsidP="00087973">
      <w:pPr>
        <w:pStyle w:val="ListParagraph"/>
        <w:tabs>
          <w:tab w:val="clear" w:pos="709"/>
        </w:tabs>
        <w:spacing w:line="276" w:lineRule="auto"/>
        <w:rPr>
          <w:rFonts w:ascii="Arial" w:hAnsi="Arial" w:cs="Arial"/>
          <w:sz w:val="22"/>
          <w:szCs w:val="22"/>
        </w:rPr>
      </w:pPr>
    </w:p>
    <w:p w:rsidR="0075491E" w:rsidRDefault="0075491E" w:rsidP="0075491E">
      <w:pPr>
        <w:pStyle w:val="ListParagraph"/>
        <w:numPr>
          <w:ilvl w:val="0"/>
          <w:numId w:val="2"/>
        </w:numPr>
        <w:tabs>
          <w:tab w:val="clear" w:pos="709"/>
        </w:tabs>
        <w:spacing w:line="276" w:lineRule="auto"/>
        <w:rPr>
          <w:rFonts w:ascii="Arial" w:hAnsi="Arial" w:cs="Arial"/>
          <w:sz w:val="22"/>
          <w:szCs w:val="22"/>
        </w:rPr>
      </w:pPr>
      <w:r w:rsidRPr="00087973">
        <w:rPr>
          <w:rFonts w:ascii="Arial" w:hAnsi="Arial" w:cs="Arial"/>
          <w:sz w:val="22"/>
          <w:szCs w:val="22"/>
        </w:rPr>
        <w:t xml:space="preserve">To request Civil Protection Authorities with exercises experience to prepare a one-page guiding document to share with other non-experienced CPAs, describing their experience in implementing Phase B of </w:t>
      </w:r>
      <w:proofErr w:type="spellStart"/>
      <w:r w:rsidRPr="00087973">
        <w:rPr>
          <w:rFonts w:ascii="Arial" w:hAnsi="Arial" w:cs="Arial"/>
          <w:sz w:val="22"/>
          <w:szCs w:val="22"/>
        </w:rPr>
        <w:t>NEAMWave</w:t>
      </w:r>
      <w:proofErr w:type="spellEnd"/>
      <w:r w:rsidRPr="00087973">
        <w:rPr>
          <w:rFonts w:ascii="Arial" w:hAnsi="Arial" w:cs="Arial"/>
          <w:sz w:val="22"/>
          <w:szCs w:val="22"/>
        </w:rPr>
        <w:t xml:space="preserve"> Exercises;</w:t>
      </w:r>
    </w:p>
    <w:p w:rsidR="00087973" w:rsidRPr="00087973" w:rsidRDefault="00087973" w:rsidP="00087973">
      <w:pPr>
        <w:pStyle w:val="ListParagraph"/>
        <w:tabs>
          <w:tab w:val="clear" w:pos="709"/>
        </w:tabs>
        <w:spacing w:line="276" w:lineRule="auto"/>
        <w:rPr>
          <w:rFonts w:ascii="Arial" w:hAnsi="Arial" w:cs="Arial"/>
          <w:sz w:val="22"/>
          <w:szCs w:val="22"/>
        </w:rPr>
      </w:pPr>
    </w:p>
    <w:p w:rsidR="0075491E" w:rsidRPr="00087973" w:rsidRDefault="0075491E" w:rsidP="0075491E">
      <w:pPr>
        <w:pStyle w:val="ListParagraph"/>
        <w:numPr>
          <w:ilvl w:val="0"/>
          <w:numId w:val="2"/>
        </w:numPr>
        <w:tabs>
          <w:tab w:val="clear" w:pos="709"/>
        </w:tabs>
        <w:spacing w:line="276" w:lineRule="auto"/>
        <w:rPr>
          <w:rFonts w:ascii="Arial" w:hAnsi="Arial" w:cs="Arial"/>
          <w:sz w:val="22"/>
          <w:szCs w:val="22"/>
        </w:rPr>
      </w:pPr>
      <w:r w:rsidRPr="00087973">
        <w:rPr>
          <w:rFonts w:ascii="Arial" w:hAnsi="Arial" w:cs="Arial"/>
          <w:sz w:val="22"/>
          <w:szCs w:val="22"/>
        </w:rPr>
        <w:t>Secretariat to prepare a concept information paper to inform CPAs about the general concept of NEAMWave20; TSPs to co-operate and prepare joint exercise scenarios.</w:t>
      </w:r>
    </w:p>
    <w:p w:rsidR="0075491E" w:rsidRPr="000C057F" w:rsidRDefault="0075491E">
      <w:pPr>
        <w:rPr>
          <w:rFonts w:ascii="Arial" w:hAnsi="Arial" w:cs="Arial"/>
          <w:sz w:val="22"/>
          <w:szCs w:val="22"/>
          <w:lang w:val="en-GB"/>
        </w:rPr>
      </w:pPr>
    </w:p>
    <w:sectPr w:rsidR="0075491E" w:rsidRPr="000C057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6CF" w:rsidRDefault="003306CF" w:rsidP="00320EFA">
      <w:r>
        <w:separator/>
      </w:r>
    </w:p>
  </w:endnote>
  <w:endnote w:type="continuationSeparator" w:id="0">
    <w:p w:rsidR="003306CF" w:rsidRDefault="003306CF" w:rsidP="0032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BoldMT">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75422"/>
      <w:docPartObj>
        <w:docPartGallery w:val="Page Numbers (Bottom of Page)"/>
        <w:docPartUnique/>
      </w:docPartObj>
    </w:sdtPr>
    <w:sdtContent>
      <w:p w:rsidR="00320EFA" w:rsidRDefault="00320EFA">
        <w:pPr>
          <w:pStyle w:val="Footer"/>
          <w:jc w:val="center"/>
        </w:pPr>
        <w:r>
          <w:fldChar w:fldCharType="begin"/>
        </w:r>
        <w:r>
          <w:instrText>PAGE   \* MERGEFORMAT</w:instrText>
        </w:r>
        <w:r>
          <w:fldChar w:fldCharType="separate"/>
        </w:r>
        <w:r w:rsidR="00EC0ED8">
          <w:rPr>
            <w:noProof/>
          </w:rPr>
          <w:t>5</w:t>
        </w:r>
        <w:r>
          <w:fldChar w:fldCharType="end"/>
        </w:r>
      </w:p>
    </w:sdtContent>
  </w:sdt>
  <w:p w:rsidR="00320EFA" w:rsidRDefault="00320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6CF" w:rsidRDefault="003306CF" w:rsidP="00320EFA">
      <w:r>
        <w:separator/>
      </w:r>
    </w:p>
  </w:footnote>
  <w:footnote w:type="continuationSeparator" w:id="0">
    <w:p w:rsidR="003306CF" w:rsidRDefault="003306CF" w:rsidP="00320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3D99"/>
    <w:multiLevelType w:val="hybridMultilevel"/>
    <w:tmpl w:val="A8600782"/>
    <w:lvl w:ilvl="0" w:tplc="D786EC34">
      <w:start w:val="1"/>
      <w:numFmt w:val="lowerRoman"/>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E970D7"/>
    <w:multiLevelType w:val="hybridMultilevel"/>
    <w:tmpl w:val="86FA8C5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5173FBC"/>
    <w:multiLevelType w:val="hybridMultilevel"/>
    <w:tmpl w:val="C58C0006"/>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E711C5F"/>
    <w:multiLevelType w:val="hybridMultilevel"/>
    <w:tmpl w:val="607A7CF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F716DF3"/>
    <w:multiLevelType w:val="hybridMultilevel"/>
    <w:tmpl w:val="24A4F15E"/>
    <w:lvl w:ilvl="0" w:tplc="040C001B">
      <w:start w:val="1"/>
      <w:numFmt w:val="lowerRoman"/>
      <w:lvlText w:val="%1."/>
      <w:lvlJc w:val="right"/>
      <w:pPr>
        <w:ind w:left="720" w:hanging="360"/>
      </w:pPr>
    </w:lvl>
    <w:lvl w:ilvl="1" w:tplc="38DCCF32">
      <w:numFmt w:val="bullet"/>
      <w:lvlText w:val="-"/>
      <w:lvlJc w:val="left"/>
      <w:pPr>
        <w:ind w:left="1440" w:hanging="360"/>
      </w:pPr>
      <w:rPr>
        <w:rFonts w:ascii="Times New Roman" w:eastAsiaTheme="minorHAnsi" w:hAnsi="Times New Roman"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7FF18C4"/>
    <w:multiLevelType w:val="hybridMultilevel"/>
    <w:tmpl w:val="99142868"/>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BD711CF"/>
    <w:multiLevelType w:val="hybridMultilevel"/>
    <w:tmpl w:val="C85A9B56"/>
    <w:lvl w:ilvl="0" w:tplc="D786EC34">
      <w:start w:val="1"/>
      <w:numFmt w:val="lowerRoman"/>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F686DFD"/>
    <w:multiLevelType w:val="hybridMultilevel"/>
    <w:tmpl w:val="B32297C8"/>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FB034C0"/>
    <w:multiLevelType w:val="hybridMultilevel"/>
    <w:tmpl w:val="725CC8E2"/>
    <w:lvl w:ilvl="0" w:tplc="E36ADCD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42B0C2B"/>
    <w:multiLevelType w:val="hybridMultilevel"/>
    <w:tmpl w:val="1F88FCD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78F2A6B"/>
    <w:multiLevelType w:val="hybridMultilevel"/>
    <w:tmpl w:val="FBE8B9E2"/>
    <w:lvl w:ilvl="0" w:tplc="35EA9858">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DBF0F92"/>
    <w:multiLevelType w:val="hybridMultilevel"/>
    <w:tmpl w:val="186EBC64"/>
    <w:lvl w:ilvl="0" w:tplc="F1DC28DE">
      <w:start w:val="1"/>
      <w:numFmt w:val="lowerRoman"/>
      <w:lvlText w:val="%1."/>
      <w:lvlJc w:val="right"/>
      <w:pPr>
        <w:ind w:left="720" w:hanging="360"/>
      </w:pPr>
      <w:rPr>
        <w:b w:val="0"/>
      </w:rPr>
    </w:lvl>
    <w:lvl w:ilvl="1" w:tplc="C54C9C3E">
      <w:start w:val="1"/>
      <w:numFmt w:val="lowerRoman"/>
      <w:lvlText w:val="%2."/>
      <w:lvlJc w:val="left"/>
      <w:pPr>
        <w:ind w:left="1440" w:hanging="360"/>
      </w:pPr>
      <w:rPr>
        <w:rFonts w:ascii="Arial" w:hAnsi="Arial" w:cs="Arial" w:hint="default"/>
        <w:b w:val="0"/>
        <w:sz w:val="22"/>
        <w:szCs w:val="22"/>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0C57595"/>
    <w:multiLevelType w:val="hybridMultilevel"/>
    <w:tmpl w:val="848C644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2336774"/>
    <w:multiLevelType w:val="hybridMultilevel"/>
    <w:tmpl w:val="1B8069FE"/>
    <w:lvl w:ilvl="0" w:tplc="D786EC34">
      <w:start w:val="1"/>
      <w:numFmt w:val="lowerRoman"/>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7710B47"/>
    <w:multiLevelType w:val="hybridMultilevel"/>
    <w:tmpl w:val="8F84614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15A3FDE"/>
    <w:multiLevelType w:val="multilevel"/>
    <w:tmpl w:val="BDCA73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2803762"/>
    <w:multiLevelType w:val="hybridMultilevel"/>
    <w:tmpl w:val="E6A4CA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964B5F"/>
    <w:multiLevelType w:val="hybridMultilevel"/>
    <w:tmpl w:val="5BFEAC08"/>
    <w:lvl w:ilvl="0" w:tplc="C54C9C3E">
      <w:start w:val="1"/>
      <w:numFmt w:val="lowerRoman"/>
      <w:lvlText w:val="%1."/>
      <w:lvlJc w:val="left"/>
      <w:pPr>
        <w:ind w:left="720" w:hanging="360"/>
      </w:pPr>
      <w:rPr>
        <w:rFonts w:ascii="Arial" w:hAnsi="Arial" w:cs="Arial" w:hint="default"/>
        <w:b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FAF0163"/>
    <w:multiLevelType w:val="hybridMultilevel"/>
    <w:tmpl w:val="A246E268"/>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0123433"/>
    <w:multiLevelType w:val="hybridMultilevel"/>
    <w:tmpl w:val="7FB60308"/>
    <w:lvl w:ilvl="0" w:tplc="0409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7B53B42"/>
    <w:multiLevelType w:val="multilevel"/>
    <w:tmpl w:val="186EBC64"/>
    <w:lvl w:ilvl="0">
      <w:start w:val="1"/>
      <w:numFmt w:val="lowerRoman"/>
      <w:lvlText w:val="%1."/>
      <w:lvlJc w:val="right"/>
      <w:pPr>
        <w:ind w:left="720" w:hanging="360"/>
      </w:pPr>
      <w:rPr>
        <w:b w:val="0"/>
      </w:rPr>
    </w:lvl>
    <w:lvl w:ilvl="1">
      <w:start w:val="1"/>
      <w:numFmt w:val="lowerRoman"/>
      <w:lvlText w:val="%2."/>
      <w:lvlJc w:val="left"/>
      <w:pPr>
        <w:ind w:left="1440" w:hanging="360"/>
      </w:pPr>
      <w:rPr>
        <w:rFonts w:ascii="Arial" w:hAnsi="Arial" w:cs="Arial" w:hint="default"/>
        <w:b w:val="0"/>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6"/>
  </w:num>
  <w:num w:numId="3">
    <w:abstractNumId w:val="6"/>
  </w:num>
  <w:num w:numId="4">
    <w:abstractNumId w:val="8"/>
  </w:num>
  <w:num w:numId="5">
    <w:abstractNumId w:val="10"/>
  </w:num>
  <w:num w:numId="6">
    <w:abstractNumId w:val="11"/>
  </w:num>
  <w:num w:numId="7">
    <w:abstractNumId w:val="13"/>
  </w:num>
  <w:num w:numId="8">
    <w:abstractNumId w:val="17"/>
  </w:num>
  <w:num w:numId="9">
    <w:abstractNumId w:val="20"/>
  </w:num>
  <w:num w:numId="10">
    <w:abstractNumId w:val="15"/>
  </w:num>
  <w:num w:numId="11">
    <w:abstractNumId w:val="12"/>
  </w:num>
  <w:num w:numId="12">
    <w:abstractNumId w:val="4"/>
  </w:num>
  <w:num w:numId="13">
    <w:abstractNumId w:val="5"/>
  </w:num>
  <w:num w:numId="14">
    <w:abstractNumId w:val="2"/>
  </w:num>
  <w:num w:numId="15">
    <w:abstractNumId w:val="7"/>
  </w:num>
  <w:num w:numId="16">
    <w:abstractNumId w:val="3"/>
  </w:num>
  <w:num w:numId="17">
    <w:abstractNumId w:val="19"/>
  </w:num>
  <w:num w:numId="18">
    <w:abstractNumId w:val="14"/>
  </w:num>
  <w:num w:numId="19">
    <w:abstractNumId w:val="18"/>
  </w:num>
  <w:num w:numId="20">
    <w:abstractNumId w:val="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91E"/>
    <w:rsid w:val="00087973"/>
    <w:rsid w:val="000C057F"/>
    <w:rsid w:val="00104A8D"/>
    <w:rsid w:val="002B092A"/>
    <w:rsid w:val="00320EFA"/>
    <w:rsid w:val="003306CF"/>
    <w:rsid w:val="00342335"/>
    <w:rsid w:val="00373F80"/>
    <w:rsid w:val="00495887"/>
    <w:rsid w:val="00682E72"/>
    <w:rsid w:val="0075491E"/>
    <w:rsid w:val="00795987"/>
    <w:rsid w:val="0096741E"/>
    <w:rsid w:val="00B81C91"/>
    <w:rsid w:val="00CF751B"/>
    <w:rsid w:val="00EC0ED8"/>
    <w:rsid w:val="00FD44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41774"/>
  <w15:chartTrackingRefBased/>
  <w15:docId w15:val="{92AD2241-5250-451A-AD26-90183E4FE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91E"/>
    <w:pPr>
      <w:spacing w:after="0" w:line="240" w:lineRule="auto"/>
    </w:pPr>
    <w:rPr>
      <w:rFonts w:ascii="Times New Roman" w:eastAsia="Times New Roman" w:hAnsi="Times New Roman" w:cs="Times New Roman"/>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91E"/>
    <w:pPr>
      <w:tabs>
        <w:tab w:val="left" w:pos="709"/>
      </w:tabs>
      <w:ind w:left="720"/>
      <w:contextualSpacing/>
      <w:jc w:val="both"/>
    </w:pPr>
    <w:rPr>
      <w:szCs w:val="20"/>
      <w:lang w:val="en-GB" w:eastAsia="en-US"/>
    </w:rPr>
  </w:style>
  <w:style w:type="paragraph" w:customStyle="1" w:styleId="Standard1">
    <w:name w:val="Standard1"/>
    <w:rsid w:val="0075491E"/>
    <w:pPr>
      <w:suppressAutoHyphens/>
      <w:autoSpaceDN w:val="0"/>
      <w:spacing w:after="0" w:line="240" w:lineRule="auto"/>
      <w:textAlignment w:val="baseline"/>
    </w:pPr>
    <w:rPr>
      <w:rFonts w:ascii="Liberation Serif" w:eastAsia="SimSun" w:hAnsi="Liberation Serif" w:cs="Mangal"/>
      <w:kern w:val="3"/>
      <w:sz w:val="24"/>
      <w:szCs w:val="24"/>
      <w:lang w:val="de-DE" w:eastAsia="zh-CN" w:bidi="hi-IN"/>
    </w:rPr>
  </w:style>
  <w:style w:type="character" w:customStyle="1" w:styleId="Absatz-Standardschriftart1">
    <w:name w:val="Absatz-Standardschriftart1"/>
    <w:rsid w:val="0075491E"/>
  </w:style>
  <w:style w:type="paragraph" w:styleId="NormalWeb">
    <w:name w:val="Normal (Web)"/>
    <w:basedOn w:val="Normal"/>
    <w:uiPriority w:val="99"/>
    <w:unhideWhenUsed/>
    <w:rsid w:val="0075491E"/>
    <w:pPr>
      <w:spacing w:before="100" w:beforeAutospacing="1" w:after="100" w:afterAutospacing="1"/>
    </w:pPr>
    <w:rPr>
      <w:rFonts w:eastAsiaTheme="minorHAnsi"/>
    </w:rPr>
  </w:style>
  <w:style w:type="paragraph" w:styleId="Header">
    <w:name w:val="header"/>
    <w:basedOn w:val="Normal"/>
    <w:link w:val="HeaderChar"/>
    <w:uiPriority w:val="99"/>
    <w:unhideWhenUsed/>
    <w:rsid w:val="00320EFA"/>
    <w:pPr>
      <w:tabs>
        <w:tab w:val="center" w:pos="4536"/>
        <w:tab w:val="right" w:pos="9072"/>
      </w:tabs>
    </w:pPr>
  </w:style>
  <w:style w:type="character" w:customStyle="1" w:styleId="HeaderChar">
    <w:name w:val="Header Char"/>
    <w:basedOn w:val="DefaultParagraphFont"/>
    <w:link w:val="Header"/>
    <w:uiPriority w:val="99"/>
    <w:rsid w:val="00320EFA"/>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rsid w:val="00320EFA"/>
    <w:pPr>
      <w:tabs>
        <w:tab w:val="center" w:pos="4536"/>
        <w:tab w:val="right" w:pos="9072"/>
      </w:tabs>
    </w:pPr>
  </w:style>
  <w:style w:type="character" w:customStyle="1" w:styleId="FooterChar">
    <w:name w:val="Footer Char"/>
    <w:basedOn w:val="DefaultParagraphFont"/>
    <w:link w:val="Footer"/>
    <w:uiPriority w:val="99"/>
    <w:rsid w:val="00320EFA"/>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273905">
      <w:bodyDiv w:val="1"/>
      <w:marLeft w:val="0"/>
      <w:marRight w:val="0"/>
      <w:marTop w:val="0"/>
      <w:marBottom w:val="0"/>
      <w:divBdr>
        <w:top w:val="none" w:sz="0" w:space="0" w:color="auto"/>
        <w:left w:val="none" w:sz="0" w:space="0" w:color="auto"/>
        <w:bottom w:val="none" w:sz="0" w:space="0" w:color="auto"/>
        <w:right w:val="none" w:sz="0" w:space="0" w:color="auto"/>
      </w:divBdr>
    </w:div>
    <w:div w:id="1054499311">
      <w:bodyDiv w:val="1"/>
      <w:marLeft w:val="0"/>
      <w:marRight w:val="0"/>
      <w:marTop w:val="0"/>
      <w:marBottom w:val="0"/>
      <w:divBdr>
        <w:top w:val="none" w:sz="0" w:space="0" w:color="auto"/>
        <w:left w:val="none" w:sz="0" w:space="0" w:color="auto"/>
        <w:bottom w:val="none" w:sz="0" w:space="0" w:color="auto"/>
        <w:right w:val="none" w:sz="0" w:space="0" w:color="auto"/>
      </w:divBdr>
    </w:div>
    <w:div w:id="165711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maritimeforum/en/node/4510" TargetMode="External"/><Relationship Id="rId3" Type="http://schemas.openxmlformats.org/officeDocument/2006/relationships/settings" Target="settings.xml"/><Relationship Id="rId7" Type="http://schemas.openxmlformats.org/officeDocument/2006/relationships/hyperlink" Target="http://www.ioc-tsunami.org/index.php?option=com_oe&amp;task=viewDocumentRecord&amp;docID=259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1311</Words>
  <Characters>7211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Seng, Denis</dc:creator>
  <cp:keywords/>
  <dc:description/>
  <cp:lastModifiedBy>Chang Seng, Denis</cp:lastModifiedBy>
  <cp:revision>4</cp:revision>
  <dcterms:created xsi:type="dcterms:W3CDTF">2021-11-23T15:57:00Z</dcterms:created>
  <dcterms:modified xsi:type="dcterms:W3CDTF">2021-11-23T15:59:00Z</dcterms:modified>
</cp:coreProperties>
</file>