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ook w:val="04A0" w:firstRow="1" w:lastRow="0" w:firstColumn="1" w:lastColumn="0" w:noHBand="0" w:noVBand="1"/>
      </w:tblPr>
      <w:tblGrid>
        <w:gridCol w:w="8359"/>
      </w:tblGrid>
      <w:tr w:rsidR="00FA68D9" w:rsidRPr="0079265E" w14:paraId="4595CD1C" w14:textId="77777777" w:rsidTr="00E35CD7">
        <w:trPr>
          <w:trHeight w:val="5617"/>
          <w:jc w:val="center"/>
        </w:trPr>
        <w:tc>
          <w:tcPr>
            <w:tcW w:w="8359" w:type="dxa"/>
          </w:tcPr>
          <w:p w14:paraId="38412389" w14:textId="77777777" w:rsidR="001B5075" w:rsidRPr="004F11EA" w:rsidRDefault="001B5075" w:rsidP="007A68F1">
            <w:pPr>
              <w:tabs>
                <w:tab w:val="clear" w:pos="567"/>
              </w:tabs>
              <w:snapToGrid/>
              <w:spacing w:before="240" w:after="240"/>
              <w:ind w:left="174" w:right="318"/>
              <w:jc w:val="center"/>
              <w:rPr>
                <w:rFonts w:ascii="Arial" w:hAnsi="Arial" w:cs="Arial"/>
                <w:bCs/>
                <w:sz w:val="22"/>
                <w:szCs w:val="22"/>
                <w:u w:val="single"/>
              </w:rPr>
            </w:pPr>
            <w:r w:rsidRPr="004F11EA">
              <w:rPr>
                <w:rFonts w:ascii="Arial" w:hAnsi="Arial" w:cs="Arial"/>
                <w:bCs/>
                <w:sz w:val="22"/>
                <w:szCs w:val="22"/>
                <w:u w:val="single"/>
              </w:rPr>
              <w:t>Резюме</w:t>
            </w:r>
          </w:p>
          <w:p w14:paraId="35FD1A42" w14:textId="77777777" w:rsidR="00B84469" w:rsidRPr="004F11EA" w:rsidRDefault="00FA68D9" w:rsidP="007A68F1">
            <w:pPr>
              <w:tabs>
                <w:tab w:val="clear" w:pos="567"/>
              </w:tabs>
              <w:snapToGrid/>
              <w:spacing w:before="240" w:after="240"/>
              <w:ind w:left="174" w:right="318"/>
              <w:jc w:val="both"/>
              <w:rPr>
                <w:rFonts w:ascii="Arial" w:eastAsia="Times New Roman" w:hAnsi="Arial" w:cs="Arial"/>
                <w:sz w:val="22"/>
                <w:szCs w:val="22"/>
              </w:rPr>
            </w:pPr>
            <w:r w:rsidRPr="004F11EA">
              <w:rPr>
                <w:rFonts w:ascii="Arial" w:hAnsi="Arial" w:cs="Arial"/>
                <w:sz w:val="22"/>
                <w:szCs w:val="22"/>
              </w:rPr>
              <w:t>В первой части доклада Исполнительного секретаря представлен стратегический анализ текущего положения дел и наиболее значимых аспектов деятельности МОК.</w:t>
            </w:r>
          </w:p>
          <w:p w14:paraId="49E52780" w14:textId="77777777" w:rsidR="001B5075" w:rsidRPr="004F11EA" w:rsidRDefault="007C4C1D" w:rsidP="007A68F1">
            <w:pPr>
              <w:tabs>
                <w:tab w:val="clear" w:pos="567"/>
              </w:tabs>
              <w:snapToGrid/>
              <w:spacing w:before="240" w:after="240"/>
              <w:ind w:left="174" w:right="318"/>
              <w:jc w:val="both"/>
              <w:rPr>
                <w:rFonts w:ascii="Arial" w:hAnsi="Arial" w:cs="Arial"/>
                <w:sz w:val="22"/>
                <w:szCs w:val="22"/>
              </w:rPr>
            </w:pPr>
            <w:r w:rsidRPr="004F11EA">
              <w:rPr>
                <w:rFonts w:ascii="Arial" w:hAnsi="Arial" w:cs="Arial"/>
                <w:sz w:val="22"/>
                <w:szCs w:val="22"/>
              </w:rPr>
              <w:t>Кроме того, в нем содержится Аналитический доклад о выполнении программы (АДВП) за 2022 г., охватывающий полный четырехлетний цикл (с</w:t>
            </w:r>
            <w:r w:rsidR="007F05DF">
              <w:rPr>
                <w:rFonts w:ascii="Arial" w:hAnsi="Arial" w:cs="Arial"/>
                <w:sz w:val="22"/>
                <w:szCs w:val="22"/>
                <w:lang w:val="en-US"/>
              </w:rPr>
              <w:t> </w:t>
            </w:r>
            <w:r w:rsidRPr="004F11EA">
              <w:rPr>
                <w:rFonts w:ascii="Arial" w:hAnsi="Arial" w:cs="Arial"/>
                <w:sz w:val="22"/>
                <w:szCs w:val="22"/>
              </w:rPr>
              <w:t>1</w:t>
            </w:r>
            <w:r w:rsidR="007F05DF">
              <w:rPr>
                <w:rFonts w:ascii="Arial" w:hAnsi="Arial" w:cs="Arial"/>
                <w:sz w:val="22"/>
                <w:szCs w:val="22"/>
                <w:lang w:val="en-US"/>
              </w:rPr>
              <w:t> </w:t>
            </w:r>
            <w:r w:rsidRPr="004F11EA">
              <w:rPr>
                <w:rFonts w:ascii="Arial" w:hAnsi="Arial" w:cs="Arial"/>
                <w:sz w:val="22"/>
                <w:szCs w:val="22"/>
              </w:rPr>
              <w:t>января 2018 г. по 31 декабря 2021 г.), а также оценка результативности достижения плановых показателей и показателей эффективности, предусмотренных в утвержденной матричной таблице ожидаемых результатов.</w:t>
            </w:r>
          </w:p>
          <w:p w14:paraId="772924F3" w14:textId="77777777" w:rsidR="00B84469" w:rsidRPr="004F11EA" w:rsidRDefault="007C4C1D" w:rsidP="007A68F1">
            <w:pPr>
              <w:tabs>
                <w:tab w:val="clear" w:pos="567"/>
              </w:tabs>
              <w:snapToGrid/>
              <w:spacing w:before="240" w:after="240"/>
              <w:ind w:left="174" w:right="318"/>
              <w:jc w:val="both"/>
              <w:rPr>
                <w:rFonts w:ascii="Arial" w:eastAsia="Times New Roman" w:hAnsi="Arial" w:cs="Arial"/>
                <w:sz w:val="22"/>
                <w:szCs w:val="22"/>
              </w:rPr>
            </w:pPr>
            <w:r w:rsidRPr="004F11EA">
              <w:rPr>
                <w:rFonts w:ascii="Arial" w:hAnsi="Arial" w:cs="Arial"/>
                <w:sz w:val="22"/>
                <w:szCs w:val="22"/>
              </w:rPr>
              <w:t>В добавлении к документу представлена (только на английском языке) развернутая и актуализированная информация о работе, проделанной в период с июня 2021 г. по май 2022 г., в разбивке по функциональным областям деятельности МОК.</w:t>
            </w:r>
          </w:p>
          <w:p w14:paraId="007B7B1D" w14:textId="77777777" w:rsidR="00B84469" w:rsidRPr="004F11EA" w:rsidRDefault="00FA68D9" w:rsidP="007A68F1">
            <w:pPr>
              <w:tabs>
                <w:tab w:val="clear" w:pos="567"/>
              </w:tabs>
              <w:snapToGrid/>
              <w:spacing w:before="240" w:after="240"/>
              <w:ind w:left="174" w:right="318"/>
              <w:jc w:val="both"/>
              <w:rPr>
                <w:rFonts w:ascii="Arial" w:eastAsia="Times New Roman" w:hAnsi="Arial" w:cs="Arial"/>
                <w:sz w:val="22"/>
                <w:szCs w:val="22"/>
              </w:rPr>
            </w:pPr>
            <w:r w:rsidRPr="004F11EA">
              <w:rPr>
                <w:rFonts w:ascii="Arial" w:hAnsi="Arial" w:cs="Arial"/>
                <w:sz w:val="22"/>
                <w:szCs w:val="22"/>
              </w:rPr>
              <w:t>Дополнением к устному докладу Исполнительного секретаря на пленарном заседании Исполнительного совета МОК являются также следующие документы: «Доклад об исполнении бюджета на 2020-2021 гг. (40 С/5) по состоянию на 31 декабря 2021 г.» (документ IOC/EC-55/3.1.Doc(2)) и «Доклад о финансовом положении специального счета МОК по состоянию на конец 2021 г. и прогноз на 2022 г.» (документ IOC/EC-55/3.1.Doc(3))</w:t>
            </w:r>
            <w:r w:rsidR="00CB0011" w:rsidRPr="004F11EA">
              <w:rPr>
                <w:rFonts w:ascii="Arial" w:hAnsi="Arial" w:cs="Arial"/>
                <w:sz w:val="22"/>
                <w:szCs w:val="22"/>
              </w:rPr>
              <w:t>.</w:t>
            </w:r>
          </w:p>
          <w:p w14:paraId="1C2EAC54" w14:textId="77777777" w:rsidR="00FA68D9" w:rsidRPr="0079265E" w:rsidRDefault="00FA68D9" w:rsidP="007A68F1">
            <w:pPr>
              <w:tabs>
                <w:tab w:val="clear" w:pos="567"/>
              </w:tabs>
              <w:snapToGrid/>
              <w:spacing w:before="240" w:after="240"/>
              <w:ind w:left="174" w:right="318"/>
              <w:jc w:val="both"/>
              <w:rPr>
                <w:rFonts w:ascii="Arial" w:hAnsi="Arial" w:cs="Arial"/>
                <w:b/>
                <w:bCs/>
                <w:sz w:val="22"/>
                <w:szCs w:val="22"/>
              </w:rPr>
            </w:pPr>
            <w:r w:rsidRPr="004F11EA">
              <w:rPr>
                <w:rFonts w:ascii="Arial" w:hAnsi="Arial" w:cs="Arial"/>
                <w:sz w:val="22"/>
                <w:szCs w:val="22"/>
                <w:u w:val="single"/>
              </w:rPr>
              <w:t>Предлагаемое решение</w:t>
            </w:r>
            <w:r w:rsidRPr="004F11EA">
              <w:rPr>
                <w:rFonts w:ascii="Arial" w:hAnsi="Arial" w:cs="Arial"/>
                <w:sz w:val="22"/>
                <w:szCs w:val="22"/>
              </w:rPr>
              <w:t>: Исполнительному совету предлагается принять к сведению настоящий доклад и рассмотреть проект решения, упоминаемый в предварительном документе о принятых и предлагаемых мерах (IOC/EC-XLIX/2 Prov.) как Реш. EC-55/3.1.</w:t>
            </w:r>
          </w:p>
        </w:tc>
      </w:tr>
    </w:tbl>
    <w:p w14:paraId="1EEA922A" w14:textId="77777777" w:rsidR="00FA68D9" w:rsidRPr="0079265E" w:rsidRDefault="00FA68D9" w:rsidP="007A68F1">
      <w:pPr>
        <w:tabs>
          <w:tab w:val="clear" w:pos="567"/>
        </w:tabs>
        <w:snapToGrid/>
        <w:rPr>
          <w:rFonts w:ascii="Arial" w:hAnsi="Arial" w:cs="Arial"/>
          <w:b/>
          <w:bCs/>
          <w:sz w:val="22"/>
          <w:szCs w:val="22"/>
        </w:rPr>
      </w:pPr>
      <w:r w:rsidRPr="0079265E">
        <w:rPr>
          <w:rFonts w:ascii="Arial" w:hAnsi="Arial" w:cs="Arial"/>
        </w:rPr>
        <w:br w:type="page"/>
      </w:r>
    </w:p>
    <w:p w14:paraId="27F60F1B" w14:textId="77777777" w:rsidR="00025A88" w:rsidRPr="0079265E" w:rsidRDefault="00025A88" w:rsidP="0006116C">
      <w:pPr>
        <w:keepNext/>
        <w:keepLines/>
        <w:widowControl w:val="0"/>
        <w:tabs>
          <w:tab w:val="clear" w:pos="567"/>
        </w:tabs>
        <w:adjustRightInd w:val="0"/>
        <w:textAlignment w:val="baseline"/>
        <w:outlineLvl w:val="1"/>
        <w:rPr>
          <w:rFonts w:ascii="Arial" w:eastAsia="Times New Roman" w:hAnsi="Arial" w:cs="Arial"/>
          <w:b/>
          <w:bCs/>
          <w:caps/>
          <w:sz w:val="22"/>
          <w:szCs w:val="22"/>
        </w:rPr>
      </w:pPr>
      <w:r w:rsidRPr="0079265E">
        <w:rPr>
          <w:rFonts w:ascii="Arial" w:hAnsi="Arial" w:cs="Arial"/>
          <w:b/>
          <w:bCs/>
          <w:caps/>
          <w:sz w:val="22"/>
          <w:szCs w:val="22"/>
        </w:rPr>
        <w:lastRenderedPageBreak/>
        <w:t>ВСТУПИТЕЛЬН</w:t>
      </w:r>
      <w:r w:rsidR="00CB0011" w:rsidRPr="0079265E">
        <w:rPr>
          <w:rFonts w:ascii="Arial" w:hAnsi="Arial" w:cs="Arial"/>
          <w:b/>
          <w:bCs/>
          <w:caps/>
          <w:sz w:val="22"/>
          <w:szCs w:val="22"/>
        </w:rPr>
        <w:t>Ы</w:t>
      </w:r>
      <w:r w:rsidRPr="0079265E">
        <w:rPr>
          <w:rFonts w:ascii="Arial" w:hAnsi="Arial" w:cs="Arial"/>
          <w:b/>
          <w:bCs/>
          <w:caps/>
          <w:sz w:val="22"/>
          <w:szCs w:val="22"/>
        </w:rPr>
        <w:t>Е ЗАМЕЧАНИ</w:t>
      </w:r>
      <w:r w:rsidR="00CB0011" w:rsidRPr="0079265E">
        <w:rPr>
          <w:rFonts w:ascii="Arial" w:hAnsi="Arial" w:cs="Arial"/>
          <w:b/>
          <w:bCs/>
          <w:caps/>
          <w:sz w:val="22"/>
          <w:szCs w:val="22"/>
        </w:rPr>
        <w:t>Я</w:t>
      </w:r>
      <w:r w:rsidRPr="0079265E">
        <w:rPr>
          <w:rFonts w:ascii="Arial" w:hAnsi="Arial" w:cs="Arial"/>
          <w:b/>
          <w:bCs/>
          <w:caps/>
          <w:sz w:val="22"/>
          <w:szCs w:val="22"/>
        </w:rPr>
        <w:t xml:space="preserve"> ИСПОЛНИТЕЛЬНОГО СЕКРЕТАРЯ МОК – СТРАТИГИЧЕСКИЙ АНАЛИЗ ТЕКУЩЕГО ПОЛОЖЕНИЯ ДЕЛ И НАИБОЛЕЕ ЗНАЧИМЫХ АСПЕКТОВ ДЕЯТЕЛЬНОСТИ КОМИССИИ</w:t>
      </w:r>
    </w:p>
    <w:p w14:paraId="25AE3AFA" w14:textId="77777777" w:rsidR="00C51DE8" w:rsidRPr="0079265E" w:rsidRDefault="00025A88" w:rsidP="007A68F1">
      <w:pPr>
        <w:widowControl w:val="0"/>
        <w:tabs>
          <w:tab w:val="clear" w:pos="567"/>
        </w:tabs>
        <w:adjustRightInd w:val="0"/>
        <w:spacing w:before="240" w:after="240"/>
        <w:jc w:val="both"/>
        <w:textAlignment w:val="baseline"/>
        <w:rPr>
          <w:rFonts w:ascii="Arial" w:eastAsia="Times New Roman" w:hAnsi="Arial" w:cs="Arial"/>
          <w:b/>
          <w:bCs/>
          <w:i/>
          <w:iCs/>
          <w:sz w:val="22"/>
        </w:rPr>
      </w:pPr>
      <w:r w:rsidRPr="0079265E">
        <w:rPr>
          <w:rFonts w:ascii="Arial" w:eastAsia="Times New Roman" w:hAnsi="Arial" w:cs="Arial"/>
          <w:noProof/>
          <w:snapToGrid/>
          <w:sz w:val="22"/>
          <w:lang w:val="fr-FR" w:eastAsia="fr-FR"/>
        </w:rPr>
        <mc:AlternateContent>
          <mc:Choice Requires="wps">
            <w:drawing>
              <wp:anchor distT="0" distB="0" distL="114300" distR="114300" simplePos="0" relativeHeight="251659264" behindDoc="0" locked="0" layoutInCell="1" allowOverlap="1" wp14:anchorId="41F7A442" wp14:editId="5465599B">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5B583FE"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" strokecolor="#4a7ebb"/>
            </w:pict>
          </mc:Fallback>
        </mc:AlternateContent>
      </w:r>
      <w:r w:rsidR="00C51DE8" w:rsidRPr="0079265E">
        <w:rPr>
          <w:rFonts w:ascii="Arial" w:hAnsi="Arial" w:cs="Arial"/>
          <w:b/>
          <w:bCs/>
          <w:i/>
          <w:iCs/>
          <w:sz w:val="22"/>
        </w:rPr>
        <w:t xml:space="preserve">Сохранение взятого курса </w:t>
      </w:r>
      <w:r w:rsidR="00CB0011" w:rsidRPr="0079265E">
        <w:rPr>
          <w:rFonts w:ascii="Arial" w:hAnsi="Arial" w:cs="Arial"/>
          <w:b/>
          <w:bCs/>
          <w:i/>
          <w:iCs/>
          <w:sz w:val="22"/>
        </w:rPr>
        <w:t xml:space="preserve">в период </w:t>
      </w:r>
      <w:r w:rsidR="00C51DE8" w:rsidRPr="0079265E">
        <w:rPr>
          <w:rFonts w:ascii="Arial" w:hAnsi="Arial" w:cs="Arial"/>
          <w:b/>
          <w:bCs/>
          <w:i/>
          <w:iCs/>
          <w:sz w:val="22"/>
        </w:rPr>
        <w:t xml:space="preserve">после </w:t>
      </w:r>
      <w:r w:rsidR="00CB0011" w:rsidRPr="0079265E">
        <w:rPr>
          <w:rFonts w:ascii="Arial" w:hAnsi="Arial" w:cs="Arial"/>
          <w:b/>
          <w:bCs/>
          <w:i/>
          <w:iCs/>
          <w:sz w:val="22"/>
        </w:rPr>
        <w:t>31-й</w:t>
      </w:r>
      <w:r w:rsidR="00C51DE8" w:rsidRPr="0079265E">
        <w:rPr>
          <w:rFonts w:ascii="Arial" w:hAnsi="Arial" w:cs="Arial"/>
          <w:b/>
          <w:bCs/>
          <w:i/>
          <w:iCs/>
          <w:sz w:val="22"/>
        </w:rPr>
        <w:t xml:space="preserve"> сессии Ассамблеи МОК</w:t>
      </w:r>
    </w:p>
    <w:p w14:paraId="28195D31"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Основные положения стратегического анализа, представленного Исполнительным секретарем МОК в его докладе на 31-й сессии Ассамблеи МОК в июне 2021 г. (документ </w:t>
      </w:r>
      <w:hyperlink r:id="rId7" w:history="1">
        <w:r w:rsidRPr="0079265E">
          <w:rPr>
            <w:rStyle w:val="Hyperlink"/>
            <w:rFonts w:ascii="Arial" w:hAnsi="Arial" w:cs="Arial"/>
            <w:sz w:val="22"/>
            <w:szCs w:val="22"/>
          </w:rPr>
          <w:t>IOC/A</w:t>
        </w:r>
        <w:r w:rsidR="007A68F1">
          <w:rPr>
            <w:rStyle w:val="Hyperlink"/>
            <w:rFonts w:ascii="Arial" w:hAnsi="Arial" w:cs="Arial"/>
            <w:sz w:val="22"/>
            <w:szCs w:val="22"/>
          </w:rPr>
          <w:noBreakHyphen/>
        </w:r>
        <w:r w:rsidRPr="0079265E">
          <w:rPr>
            <w:rStyle w:val="Hyperlink"/>
            <w:rFonts w:ascii="Arial" w:hAnsi="Arial" w:cs="Arial"/>
            <w:sz w:val="22"/>
            <w:szCs w:val="22"/>
          </w:rPr>
          <w:t>31/3.2.Doc(1)</w:t>
        </w:r>
      </w:hyperlink>
      <w:r w:rsidRPr="0079265E">
        <w:rPr>
          <w:rFonts w:ascii="Arial" w:hAnsi="Arial" w:cs="Arial"/>
          <w:sz w:val="22"/>
          <w:szCs w:val="22"/>
        </w:rPr>
        <w:t xml:space="preserve">), остаются в силе, в связи с чем ниже на </w:t>
      </w:r>
      <w:r w:rsidR="00CB0011" w:rsidRPr="0079265E">
        <w:rPr>
          <w:rFonts w:ascii="Arial" w:hAnsi="Arial" w:cs="Arial"/>
          <w:sz w:val="22"/>
          <w:szCs w:val="22"/>
        </w:rPr>
        <w:t>семи</w:t>
      </w:r>
      <w:r w:rsidRPr="0079265E">
        <w:rPr>
          <w:rFonts w:ascii="Arial" w:hAnsi="Arial" w:cs="Arial"/>
          <w:sz w:val="22"/>
          <w:szCs w:val="22"/>
        </w:rPr>
        <w:t xml:space="preserve"> страницах приводится дополнительная обновленная информация по этому вопросу.</w:t>
      </w:r>
    </w:p>
    <w:p w14:paraId="7018E881"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Несмотря на сложную международную ситуацию, сложившуюся на фоне пандемии COVID-19, а также геополитическую напряженность, вызванную, в частности, военным конфликтом на Украине, ожидается, что 2022 г. станет, как и планировалось, «годом океана». Его начало ознаменовалось проведением 9-11 февраля 2022 г. при поддержке ООН в Бресте (Франция) </w:t>
      </w:r>
      <w:r w:rsidR="0006116C">
        <w:rPr>
          <w:rFonts w:ascii="Arial" w:hAnsi="Arial" w:cs="Arial"/>
          <w:sz w:val="22"/>
          <w:szCs w:val="22"/>
        </w:rPr>
        <w:t xml:space="preserve">в </w:t>
      </w:r>
      <w:r w:rsidRPr="0079265E">
        <w:rPr>
          <w:rFonts w:ascii="Arial" w:hAnsi="Arial" w:cs="Arial"/>
          <w:sz w:val="22"/>
          <w:szCs w:val="22"/>
        </w:rPr>
        <w:t xml:space="preserve">рамках французского председательства в Совете Европейского союза саммита «Единый океан» – первого из серии саммитов «Единая планета», полностью посвященного проблематике Мирового океана. В ходе организованного в рамках саммита заседания высокого уровня с участием глав государств и правительств многих стран выступила Генеральный директор ЮНЕСКО. МОК </w:t>
      </w:r>
      <w:r w:rsidR="00CB0011" w:rsidRPr="0079265E">
        <w:rPr>
          <w:rFonts w:ascii="Arial" w:hAnsi="Arial" w:cs="Arial"/>
          <w:sz w:val="22"/>
          <w:szCs w:val="22"/>
        </w:rPr>
        <w:t>поощряла</w:t>
      </w:r>
      <w:r w:rsidRPr="0079265E">
        <w:rPr>
          <w:rFonts w:ascii="Arial" w:hAnsi="Arial" w:cs="Arial"/>
          <w:sz w:val="22"/>
          <w:szCs w:val="22"/>
        </w:rPr>
        <w:t xml:space="preserve"> активное участие ЮНЕСКО в саммите, став при этом организатором и/или участником основных его мероприятий.</w:t>
      </w:r>
    </w:p>
    <w:p w14:paraId="069C968D"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Состоявшаяся в Палау 13-14 апреля 2022 г. седьмая конференция «Наш океан» придала дополнительный импульс усилиям </w:t>
      </w:r>
      <w:proofErr w:type="spellStart"/>
      <w:r w:rsidRPr="0079265E">
        <w:rPr>
          <w:rFonts w:ascii="Arial" w:hAnsi="Arial" w:cs="Arial"/>
          <w:sz w:val="22"/>
          <w:szCs w:val="22"/>
        </w:rPr>
        <w:t>морепользовательского</w:t>
      </w:r>
      <w:proofErr w:type="spellEnd"/>
      <w:r w:rsidRPr="0079265E">
        <w:rPr>
          <w:rFonts w:ascii="Arial" w:hAnsi="Arial" w:cs="Arial"/>
          <w:sz w:val="22"/>
          <w:szCs w:val="22"/>
        </w:rPr>
        <w:t xml:space="preserve"> сообщества, в частности в том, что касается связанных с океаном обязательств в отношении МОСРГ и стран Тихоокеанского региона. В числе других, предстоящих в 2022 г. мероприятий по тематике Мирового океана можно упомянуть следующие: Всеафриканское совещание, которое пройдет 10-12 мая 2022 г. в Каире (Египет) и будет посвящено утверждению регионального плана мероприятий Десятилетия науки об океане; 22-е совещание в рамках Открытого процесса неофициальных консультаций Организации Объединенных Наций по вопросам Мирового океана и морского права, посвященное проблематике наблюдений за океаном (6-10 июня 2022 г.); «Диалог по вопросам климата и океана» под эгидой Вспомогательного органа РКИКООН (июнь 2022 г.). Сразу по завершении 55-й сессии Исполнительного совета МОК Комиссия сосредоточит свои </w:t>
      </w:r>
      <w:r w:rsidR="0006116C">
        <w:rPr>
          <w:rFonts w:ascii="Arial" w:hAnsi="Arial" w:cs="Arial"/>
          <w:sz w:val="22"/>
          <w:szCs w:val="22"/>
        </w:rPr>
        <w:t xml:space="preserve">усилия на предстоящей 27 июня – </w:t>
      </w:r>
      <w:r w:rsidRPr="0079265E">
        <w:rPr>
          <w:rFonts w:ascii="Arial" w:hAnsi="Arial" w:cs="Arial"/>
          <w:sz w:val="22"/>
          <w:szCs w:val="22"/>
        </w:rPr>
        <w:t xml:space="preserve">1 июля 2022 г. критически значимой Конференции ООН по Мировому океану, организуемой совместно Португалией и Кенией в Лиссабоне. Решения и обязательства, принятые в ходе вышеперечисленных мероприятий, определят содержание «океанического компонента» 15-й сессии Конференции сторон Конвенции о биологическом разнообразии (КС-15 КБР, Часть 2, </w:t>
      </w:r>
      <w:proofErr w:type="spellStart"/>
      <w:r w:rsidRPr="0079265E">
        <w:rPr>
          <w:rFonts w:ascii="Arial" w:hAnsi="Arial" w:cs="Arial"/>
          <w:sz w:val="22"/>
          <w:szCs w:val="22"/>
        </w:rPr>
        <w:t>Куньмин</w:t>
      </w:r>
      <w:proofErr w:type="spellEnd"/>
      <w:r w:rsidRPr="0079265E">
        <w:rPr>
          <w:rFonts w:ascii="Arial" w:hAnsi="Arial" w:cs="Arial"/>
          <w:sz w:val="22"/>
          <w:szCs w:val="22"/>
        </w:rPr>
        <w:t>, Китай), проведение которой запланировано в третьем квартале 2022 г. и будет посвящено формированию глобальной повестки дня в области биоразнообразия на период после 2020 г. В конце текущего года в Египте (7-18 ноября 2022 г.</w:t>
      </w:r>
      <w:r w:rsidR="00CB0011" w:rsidRPr="0079265E">
        <w:rPr>
          <w:rFonts w:ascii="Arial" w:hAnsi="Arial" w:cs="Arial"/>
          <w:sz w:val="22"/>
          <w:szCs w:val="22"/>
        </w:rPr>
        <w:t>, Шарм-эш-Шейх</w:t>
      </w:r>
      <w:r w:rsidRPr="0079265E">
        <w:rPr>
          <w:rFonts w:ascii="Arial" w:hAnsi="Arial" w:cs="Arial"/>
          <w:sz w:val="22"/>
          <w:szCs w:val="22"/>
        </w:rPr>
        <w:t>) пройдет Конференция ООН по изменению климата (КС-27 РКИКООН), призванная сыграть важную роль в углублении понимания взаимосвязи между океаном и климатом, стимулировании связанных с океаном мер по противодействию изменени</w:t>
      </w:r>
      <w:r w:rsidR="00CB0011" w:rsidRPr="0079265E">
        <w:rPr>
          <w:rFonts w:ascii="Arial" w:hAnsi="Arial" w:cs="Arial"/>
          <w:sz w:val="22"/>
          <w:szCs w:val="22"/>
        </w:rPr>
        <w:t>ю</w:t>
      </w:r>
      <w:r w:rsidRPr="0079265E">
        <w:rPr>
          <w:rFonts w:ascii="Arial" w:hAnsi="Arial" w:cs="Arial"/>
          <w:sz w:val="22"/>
          <w:szCs w:val="22"/>
        </w:rPr>
        <w:t xml:space="preserve"> климата, и </w:t>
      </w:r>
      <w:r w:rsidR="00CB0011" w:rsidRPr="0079265E">
        <w:rPr>
          <w:rFonts w:ascii="Arial" w:hAnsi="Arial" w:cs="Arial"/>
          <w:sz w:val="22"/>
          <w:szCs w:val="22"/>
        </w:rPr>
        <w:t xml:space="preserve">в </w:t>
      </w:r>
      <w:r w:rsidRPr="0079265E">
        <w:rPr>
          <w:rFonts w:ascii="Arial" w:hAnsi="Arial" w:cs="Arial"/>
          <w:sz w:val="22"/>
          <w:szCs w:val="22"/>
        </w:rPr>
        <w:t>определении согласованной позиции в отношении плана действий по повышению устойчивости к изменению климата в Африке.</w:t>
      </w:r>
    </w:p>
    <w:p w14:paraId="40485219" w14:textId="77777777" w:rsidR="00C51DE8"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Согласно недавнему заявлению Специального посланника Генерального секретаря по вопросам океана Питера Томсона, «несмотря на продолжающееся ухудшение состояния морской среды, человеческое сообщество предпринимает все более активные </w:t>
      </w:r>
      <w:r w:rsidR="00CB0011" w:rsidRPr="0079265E">
        <w:rPr>
          <w:rFonts w:ascii="Arial" w:hAnsi="Arial" w:cs="Arial"/>
          <w:sz w:val="22"/>
          <w:szCs w:val="22"/>
        </w:rPr>
        <w:t>усилия</w:t>
      </w:r>
      <w:r w:rsidRPr="0079265E">
        <w:rPr>
          <w:rFonts w:ascii="Arial" w:hAnsi="Arial" w:cs="Arial"/>
          <w:sz w:val="22"/>
          <w:szCs w:val="22"/>
        </w:rPr>
        <w:t xml:space="preserve"> с целью противодействия этой тенденции». В рамках Всемирной торговой организации ведутся сложные переговоры о запрете практики субсидирования крупных рыболовецких флотов </w:t>
      </w:r>
      <w:r w:rsidR="00CB0011" w:rsidRPr="0079265E">
        <w:rPr>
          <w:rFonts w:ascii="Arial" w:hAnsi="Arial" w:cs="Arial"/>
          <w:sz w:val="22"/>
          <w:szCs w:val="22"/>
        </w:rPr>
        <w:t>в отношении</w:t>
      </w:r>
      <w:r w:rsidRPr="0079265E">
        <w:rPr>
          <w:rFonts w:ascii="Arial" w:hAnsi="Arial" w:cs="Arial"/>
          <w:sz w:val="22"/>
          <w:szCs w:val="22"/>
        </w:rPr>
        <w:t xml:space="preserve"> наносящих вред государств. В начале марта 2022 г. в ходе пятой сессии Ассамблеи Организации Объединенных Наций по окружающей среде (АОС ООН) была принята резолюция, положившая начало процессу разработки международного юридически обязательного документа, направленного на прекращение загрязнения окружающей среды, в том числе морских экосистем, пластиковым мусором. Имеются основания предполагать, что обязательства, </w:t>
      </w:r>
      <w:r w:rsidRPr="0079265E">
        <w:rPr>
          <w:rFonts w:ascii="Arial" w:hAnsi="Arial" w:cs="Arial"/>
          <w:sz w:val="22"/>
          <w:szCs w:val="22"/>
        </w:rPr>
        <w:lastRenderedPageBreak/>
        <w:t xml:space="preserve">взятые на себя государствами и местными сообществами в отношении противодействия глобальному потеплению климата, утрате биоразнообразия и загрязнению окружающей среды, приобретут более масштабный характер и активизируются в плане принятия практических мер. Отмечается положительная динамика в деле создания новых особо охраняемых </w:t>
      </w:r>
      <w:r w:rsidR="00CB0011" w:rsidRPr="0079265E">
        <w:rPr>
          <w:rFonts w:ascii="Arial" w:hAnsi="Arial" w:cs="Arial"/>
          <w:sz w:val="22"/>
          <w:szCs w:val="22"/>
        </w:rPr>
        <w:t xml:space="preserve">морских </w:t>
      </w:r>
      <w:r w:rsidRPr="0079265E">
        <w:rPr>
          <w:rFonts w:ascii="Arial" w:hAnsi="Arial" w:cs="Arial"/>
          <w:sz w:val="22"/>
          <w:szCs w:val="22"/>
        </w:rPr>
        <w:t xml:space="preserve">природных территорий, причем как на прилегающих к суше </w:t>
      </w:r>
      <w:r w:rsidR="00CB0011" w:rsidRPr="0079265E">
        <w:rPr>
          <w:rFonts w:ascii="Arial" w:hAnsi="Arial" w:cs="Arial"/>
          <w:sz w:val="22"/>
          <w:szCs w:val="22"/>
        </w:rPr>
        <w:t>участках</w:t>
      </w:r>
      <w:r w:rsidRPr="0079265E">
        <w:rPr>
          <w:rFonts w:ascii="Arial" w:hAnsi="Arial" w:cs="Arial"/>
          <w:sz w:val="22"/>
          <w:szCs w:val="22"/>
        </w:rPr>
        <w:t>, так и в акватории океана, в частности в рамках «Инициативы 30 x 30» (предусматривающей включение к 2030 г. не менее 30% поверхности нашей планеты, в том числе Мирового океана, в число охраняемых территорий).</w:t>
      </w:r>
    </w:p>
    <w:p w14:paraId="31826FBC"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Исполнительный секретарь выразил</w:t>
      </w:r>
      <w:r w:rsidR="00FE14B4">
        <w:rPr>
          <w:rFonts w:ascii="Arial" w:hAnsi="Arial" w:cs="Arial"/>
          <w:sz w:val="22"/>
          <w:szCs w:val="22"/>
        </w:rPr>
        <w:t xml:space="preserve"> надежду на то, что государства – </w:t>
      </w:r>
      <w:r w:rsidRPr="0079265E">
        <w:rPr>
          <w:rFonts w:ascii="Arial" w:hAnsi="Arial" w:cs="Arial"/>
          <w:sz w:val="22"/>
          <w:szCs w:val="22"/>
        </w:rPr>
        <w:t xml:space="preserve">члены МОК положительно оценят подготовленный на экспериментальной основе </w:t>
      </w:r>
      <w:r w:rsidRPr="0079265E">
        <w:rPr>
          <w:rFonts w:ascii="Arial" w:hAnsi="Arial" w:cs="Arial"/>
          <w:i/>
          <w:sz w:val="22"/>
          <w:szCs w:val="22"/>
        </w:rPr>
        <w:t>Доклад о состоянии Мирового океана (ДСМО)</w:t>
      </w:r>
      <w:r w:rsidRPr="0079265E">
        <w:rPr>
          <w:rFonts w:ascii="Arial" w:hAnsi="Arial" w:cs="Arial"/>
          <w:sz w:val="22"/>
          <w:szCs w:val="22"/>
        </w:rPr>
        <w:t xml:space="preserve"> в соответствии </w:t>
      </w:r>
      <w:r w:rsidR="00722602">
        <w:rPr>
          <w:rFonts w:ascii="Arial" w:hAnsi="Arial" w:cs="Arial"/>
          <w:sz w:val="22"/>
          <w:szCs w:val="22"/>
        </w:rPr>
        <w:t xml:space="preserve">с </w:t>
      </w:r>
      <w:r w:rsidRPr="0079265E">
        <w:rPr>
          <w:rFonts w:ascii="Arial" w:hAnsi="Arial" w:cs="Arial"/>
          <w:sz w:val="22"/>
          <w:szCs w:val="22"/>
        </w:rPr>
        <w:t xml:space="preserve">предложением, которое было впервые озвучено им в устном докладе Исполнительному совету на 53-й сессии Совета в феврале 2021 г. При подготовке пилотной версии доклада были использованы данные финансируемых МОК программ и аффилированных сетевых структур. В Секретариате МОК надеются, что информационное участие в подготовке будущих изданий доклада примут и другие учреждения системы ООН, а также основные заинтересованные стороны, не входящие в систему ООН. Благодаря этому международное сообщество сможет получать информацию не только о наиболее важных изменениях, происходящих в морской среде, но и о соответствующей деятельности в этой </w:t>
      </w:r>
      <w:r w:rsidR="00CB0011" w:rsidRPr="0079265E">
        <w:rPr>
          <w:rFonts w:ascii="Arial" w:hAnsi="Arial" w:cs="Arial"/>
          <w:sz w:val="22"/>
          <w:szCs w:val="22"/>
        </w:rPr>
        <w:t xml:space="preserve">сфере. </w:t>
      </w:r>
      <w:r w:rsidRPr="0079265E">
        <w:rPr>
          <w:rFonts w:ascii="Arial" w:hAnsi="Arial" w:cs="Arial"/>
          <w:sz w:val="22"/>
          <w:szCs w:val="22"/>
        </w:rPr>
        <w:t>Ежегодная публикация такого доклада, в идеале накануне 8 июня (Всемирный день океанов), мо</w:t>
      </w:r>
      <w:r w:rsidR="00CB0011" w:rsidRPr="0079265E">
        <w:rPr>
          <w:rFonts w:ascii="Arial" w:hAnsi="Arial" w:cs="Arial"/>
          <w:sz w:val="22"/>
          <w:szCs w:val="22"/>
        </w:rPr>
        <w:t>гла бы</w:t>
      </w:r>
      <w:r w:rsidRPr="0079265E">
        <w:rPr>
          <w:rFonts w:ascii="Arial" w:hAnsi="Arial" w:cs="Arial"/>
          <w:sz w:val="22"/>
          <w:szCs w:val="22"/>
        </w:rPr>
        <w:t xml:space="preserve"> способствовать повышению глобальной осведомленности и стимулировать принятие практических мер, направленных на рациональное освоение и защиту ресурсов Мирового океана, в интересах сохранения его живых экосистем, регуляции климата и в конечном итоге обеспечения благополучия людей.</w:t>
      </w:r>
    </w:p>
    <w:p w14:paraId="7405534A" w14:textId="77777777" w:rsidR="00B84469" w:rsidRPr="0079265E" w:rsidRDefault="00C51DE8" w:rsidP="007A68F1">
      <w:pPr>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Глобальная система наблюдений за океаном (ГСНО) позволяет получать океанографическую информацию, необходимую для мониторинга и прогнозирования изменения климата, экологического состояния океана, его фауны и флоры, а для составления прогнозов погоды и передачи предупреждений об опасных природных явлениях. В настоящее время система наблюдений </w:t>
      </w:r>
      <w:proofErr w:type="spellStart"/>
      <w:r w:rsidRPr="0079265E">
        <w:rPr>
          <w:rFonts w:ascii="Arial" w:hAnsi="Arial" w:cs="Arial"/>
          <w:i/>
          <w:sz w:val="22"/>
          <w:szCs w:val="22"/>
        </w:rPr>
        <w:t>in</w:t>
      </w:r>
      <w:proofErr w:type="spellEnd"/>
      <w:r w:rsidR="0079020B" w:rsidRPr="0079265E">
        <w:rPr>
          <w:rFonts w:ascii="Arial" w:hAnsi="Arial" w:cs="Arial"/>
          <w:i/>
          <w:sz w:val="22"/>
          <w:szCs w:val="22"/>
        </w:rPr>
        <w:t> </w:t>
      </w:r>
      <w:proofErr w:type="spellStart"/>
      <w:r w:rsidRPr="0079265E">
        <w:rPr>
          <w:rFonts w:ascii="Arial" w:hAnsi="Arial" w:cs="Arial"/>
          <w:i/>
          <w:sz w:val="22"/>
          <w:szCs w:val="22"/>
        </w:rPr>
        <w:t>situ</w:t>
      </w:r>
      <w:proofErr w:type="spellEnd"/>
      <w:r w:rsidRPr="0079265E">
        <w:rPr>
          <w:rFonts w:ascii="Arial" w:hAnsi="Arial" w:cs="Arial"/>
          <w:sz w:val="22"/>
          <w:szCs w:val="22"/>
        </w:rPr>
        <w:t xml:space="preserve"> насчитывает около 10 тыс. океанографических измерительных платформ, развернутых в рамках 12 глобальных сетей наблюдения за океаном, участие в деятельности которых принимают 84 страны. В опубликованном недавно в журнале </w:t>
      </w:r>
      <w:proofErr w:type="spellStart"/>
      <w:r w:rsidRPr="0079265E">
        <w:rPr>
          <w:rFonts w:ascii="Arial" w:hAnsi="Arial" w:cs="Arial"/>
          <w:i/>
          <w:sz w:val="22"/>
          <w:szCs w:val="22"/>
        </w:rPr>
        <w:t>Frontiers</w:t>
      </w:r>
      <w:proofErr w:type="spellEnd"/>
      <w:r w:rsidRPr="0079265E">
        <w:rPr>
          <w:rFonts w:ascii="Arial" w:hAnsi="Arial" w:cs="Arial"/>
          <w:i/>
          <w:sz w:val="22"/>
          <w:szCs w:val="22"/>
        </w:rPr>
        <w:t xml:space="preserve"> </w:t>
      </w:r>
      <w:proofErr w:type="spellStart"/>
      <w:r w:rsidRPr="0079265E">
        <w:rPr>
          <w:rFonts w:ascii="Arial" w:hAnsi="Arial" w:cs="Arial"/>
          <w:i/>
          <w:sz w:val="22"/>
          <w:szCs w:val="22"/>
        </w:rPr>
        <w:t>in</w:t>
      </w:r>
      <w:proofErr w:type="spellEnd"/>
      <w:r w:rsidRPr="0079265E">
        <w:rPr>
          <w:rFonts w:ascii="Arial" w:hAnsi="Arial" w:cs="Arial"/>
          <w:i/>
          <w:sz w:val="22"/>
          <w:szCs w:val="22"/>
        </w:rPr>
        <w:t xml:space="preserve"> Marine Science</w:t>
      </w:r>
      <w:r w:rsidRPr="0079265E">
        <w:rPr>
          <w:rFonts w:ascii="Arial" w:hAnsi="Arial" w:cs="Arial"/>
          <w:sz w:val="22"/>
          <w:szCs w:val="22"/>
        </w:rPr>
        <w:t xml:space="preserve"> исследовании было подчеркнуто, что постоянными биологическими наблюдениями охвачено всего 7% поверхности Мирового океана, при этом в ряде случаев наибольший дефицит данных касается районов, характеризующихся богатым биоразнообразием и высокой антропогенной нагрузкой. Тем не менее, следует отметить, что в рамках 12 сетей океанографических наблюдений в настоящее время проводится укрепление биологического и экосистемного компонентов. Проведение Десятилетия Организации Объединенных Наций, посвященного науке об океане в интересах устойчивого развития (2021-2030), открывает </w:t>
      </w:r>
      <w:r w:rsidR="0079020B" w:rsidRPr="0079265E">
        <w:rPr>
          <w:rFonts w:ascii="Arial" w:hAnsi="Arial" w:cs="Arial"/>
          <w:sz w:val="22"/>
          <w:szCs w:val="22"/>
        </w:rPr>
        <w:t xml:space="preserve">в этом смысле </w:t>
      </w:r>
      <w:r w:rsidRPr="0079265E">
        <w:rPr>
          <w:rFonts w:ascii="Arial" w:hAnsi="Arial" w:cs="Arial"/>
          <w:sz w:val="22"/>
          <w:szCs w:val="22"/>
        </w:rPr>
        <w:t>благоприятные возможности. Более половины мероприятий текущего Десятилетия посвящены важн</w:t>
      </w:r>
      <w:r w:rsidR="0079020B" w:rsidRPr="0079265E">
        <w:rPr>
          <w:rFonts w:ascii="Arial" w:hAnsi="Arial" w:cs="Arial"/>
          <w:sz w:val="22"/>
          <w:szCs w:val="22"/>
        </w:rPr>
        <w:t>ейше</w:t>
      </w:r>
      <w:r w:rsidRPr="0079265E">
        <w:rPr>
          <w:rFonts w:ascii="Arial" w:hAnsi="Arial" w:cs="Arial"/>
          <w:sz w:val="22"/>
          <w:szCs w:val="22"/>
        </w:rPr>
        <w:t>й задаче Десятилетия, связанной с созданием интегрированной системы наблюдений за океаном. Обеспечение благодаря этим инициативам скоординированного взаимодействия систем наблюдений является важн</w:t>
      </w:r>
      <w:r w:rsidR="0079020B" w:rsidRPr="0079265E">
        <w:rPr>
          <w:rFonts w:ascii="Arial" w:hAnsi="Arial" w:cs="Arial"/>
          <w:sz w:val="22"/>
          <w:szCs w:val="22"/>
        </w:rPr>
        <w:t>ым</w:t>
      </w:r>
      <w:r w:rsidRPr="0079265E">
        <w:rPr>
          <w:rFonts w:ascii="Arial" w:hAnsi="Arial" w:cs="Arial"/>
          <w:sz w:val="22"/>
          <w:szCs w:val="22"/>
        </w:rPr>
        <w:t xml:space="preserve"> условием реализации коренных преобразований, предусмотренных в программе Десятилетия науки об океане. Для содействия этим усилиям МОК в лице ГСНО предложила создать бюро по координации проведения Десятилетия в поддержку океанографических наблюдений.</w:t>
      </w:r>
    </w:p>
    <w:p w14:paraId="0B592F7A" w14:textId="77777777" w:rsidR="00C51DE8" w:rsidRPr="0079265E" w:rsidRDefault="00396C9C"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hyperlink r:id="rId8" w:history="1">
        <w:r w:rsidR="000D2DFF" w:rsidRPr="0079265E">
          <w:rPr>
            <w:rFonts w:ascii="Arial" w:hAnsi="Arial" w:cs="Arial"/>
            <w:sz w:val="22"/>
            <w:szCs w:val="22"/>
          </w:rPr>
          <w:t>С момента принятия в 2021 г. своей</w:t>
        </w:r>
      </w:hyperlink>
      <w:r w:rsidR="000D2DFF" w:rsidRPr="0079265E">
        <w:rPr>
          <w:rFonts w:ascii="Arial" w:hAnsi="Arial" w:cs="Arial"/>
          <w:sz w:val="22"/>
          <w:szCs w:val="22"/>
        </w:rPr>
        <w:t xml:space="preserve"> </w:t>
      </w:r>
      <w:hyperlink r:id="rId9" w:history="1">
        <w:r w:rsidR="000D2DFF" w:rsidRPr="0079265E">
          <w:rPr>
            <w:rStyle w:val="Hyperlink"/>
            <w:rFonts w:ascii="Arial" w:hAnsi="Arial" w:cs="Arial"/>
            <w:sz w:val="22"/>
            <w:szCs w:val="22"/>
          </w:rPr>
          <w:t>Рекомендации по открытой науке</w:t>
        </w:r>
      </w:hyperlink>
      <w:r w:rsidR="000D2DFF" w:rsidRPr="0079265E">
        <w:rPr>
          <w:rFonts w:ascii="Arial" w:hAnsi="Arial" w:cs="Arial"/>
          <w:sz w:val="22"/>
          <w:szCs w:val="22"/>
        </w:rPr>
        <w:t xml:space="preserve"> ЮНЕСКО призывает государства активизировать научное сотрудничество и обмен информацией и обеспечить открытый характер, доступность и возможность многократного использования всех научных данных и знаний</w:t>
      </w:r>
      <w:r w:rsidR="0079020B" w:rsidRPr="0079265E">
        <w:rPr>
          <w:rFonts w:ascii="Arial" w:hAnsi="Arial" w:cs="Arial"/>
          <w:sz w:val="22"/>
          <w:szCs w:val="22"/>
        </w:rPr>
        <w:t xml:space="preserve"> на благо общества</w:t>
      </w:r>
      <w:r w:rsidR="000D2DFF" w:rsidRPr="0079265E">
        <w:rPr>
          <w:rFonts w:ascii="Arial" w:hAnsi="Arial" w:cs="Arial"/>
          <w:sz w:val="22"/>
          <w:szCs w:val="22"/>
        </w:rPr>
        <w:t xml:space="preserve">. Подход открытого доступа к научным знаниям, дополненный новой </w:t>
      </w:r>
      <w:hyperlink r:id="rId10" w:tgtFrame="_blank" w:history="1">
        <w:r w:rsidR="000D2DFF" w:rsidRPr="0079265E">
          <w:rPr>
            <w:rFonts w:ascii="Arial" w:hAnsi="Arial" w:cs="Arial"/>
            <w:sz w:val="22"/>
            <w:szCs w:val="22"/>
          </w:rPr>
          <w:t>единой политикой ВМО в области данных</w:t>
        </w:r>
      </w:hyperlink>
      <w:r w:rsidR="000D2DFF" w:rsidRPr="0079265E">
        <w:rPr>
          <w:rFonts w:ascii="Arial" w:hAnsi="Arial" w:cs="Arial"/>
          <w:sz w:val="22"/>
          <w:szCs w:val="22"/>
        </w:rPr>
        <w:t>, открывает возможности для сокращения цифрового, технологического и информационного неравенства. В ходе текущей сессии Исполнительный совет рассмотрит</w:t>
      </w:r>
      <w:r w:rsidR="00CB0011" w:rsidRPr="0079265E">
        <w:rPr>
          <w:rFonts w:ascii="Arial" w:hAnsi="Arial" w:cs="Arial"/>
          <w:sz w:val="22"/>
          <w:szCs w:val="22"/>
        </w:rPr>
        <w:t xml:space="preserve"> </w:t>
      </w:r>
      <w:r w:rsidR="000D2DFF" w:rsidRPr="0079265E">
        <w:rPr>
          <w:rFonts w:ascii="Arial" w:hAnsi="Arial" w:cs="Arial"/>
          <w:sz w:val="22"/>
          <w:szCs w:val="22"/>
        </w:rPr>
        <w:t xml:space="preserve">подготовленный недавно по итогам межучрежденческого рабочего совещания доклад, в котором сформулирован ряд практических подходов </w:t>
      </w:r>
      <w:r w:rsidR="0079020B" w:rsidRPr="0079265E">
        <w:rPr>
          <w:rFonts w:ascii="Arial" w:hAnsi="Arial" w:cs="Arial"/>
          <w:sz w:val="22"/>
          <w:szCs w:val="22"/>
        </w:rPr>
        <w:t xml:space="preserve">в </w:t>
      </w:r>
      <w:r w:rsidR="0079020B" w:rsidRPr="0079265E">
        <w:rPr>
          <w:rFonts w:ascii="Arial" w:hAnsi="Arial" w:cs="Arial"/>
          <w:sz w:val="22"/>
          <w:szCs w:val="22"/>
        </w:rPr>
        <w:lastRenderedPageBreak/>
        <w:t>вопросе</w:t>
      </w:r>
      <w:r w:rsidR="000D2DFF" w:rsidRPr="0079265E">
        <w:rPr>
          <w:rFonts w:ascii="Arial" w:hAnsi="Arial" w:cs="Arial"/>
          <w:sz w:val="22"/>
          <w:szCs w:val="22"/>
        </w:rPr>
        <w:t xml:space="preserve"> расширени</w:t>
      </w:r>
      <w:r w:rsidR="0079020B" w:rsidRPr="0079265E">
        <w:rPr>
          <w:rFonts w:ascii="Arial" w:hAnsi="Arial" w:cs="Arial"/>
          <w:sz w:val="22"/>
          <w:szCs w:val="22"/>
        </w:rPr>
        <w:t>я</w:t>
      </w:r>
      <w:r w:rsidR="000D2DFF" w:rsidRPr="0079265E">
        <w:rPr>
          <w:rFonts w:ascii="Arial" w:hAnsi="Arial" w:cs="Arial"/>
          <w:sz w:val="22"/>
          <w:szCs w:val="22"/>
        </w:rPr>
        <w:t xml:space="preserve"> океанографических наблюдений в районах, находящихся под национальной юрисдикцией, в частности в ИЭЗ, которые предполагается реализовать с помощью учреждений системы ООН (пункт 3.4 повестки дня).</w:t>
      </w:r>
    </w:p>
    <w:p w14:paraId="777F1CE1"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В области прогнозирования состояния морской среды существует огромный потенциал для создания новых востребованных информационных продуктов в цифровом формате. Кроме того, необходимо существенно расширить использование данных спутниковых наблюдений в комбинации с данными </w:t>
      </w:r>
      <w:proofErr w:type="spellStart"/>
      <w:r w:rsidRPr="0079265E">
        <w:rPr>
          <w:rFonts w:ascii="Arial" w:hAnsi="Arial" w:cs="Arial"/>
          <w:i/>
          <w:sz w:val="22"/>
          <w:szCs w:val="22"/>
        </w:rPr>
        <w:t>in</w:t>
      </w:r>
      <w:proofErr w:type="spellEnd"/>
      <w:r w:rsidR="0079020B" w:rsidRPr="0079265E">
        <w:rPr>
          <w:rFonts w:ascii="Arial" w:hAnsi="Arial" w:cs="Arial"/>
          <w:i/>
          <w:sz w:val="22"/>
          <w:szCs w:val="22"/>
        </w:rPr>
        <w:t> </w:t>
      </w:r>
      <w:proofErr w:type="spellStart"/>
      <w:r w:rsidRPr="0079265E">
        <w:rPr>
          <w:rFonts w:ascii="Arial" w:hAnsi="Arial" w:cs="Arial"/>
          <w:i/>
          <w:sz w:val="22"/>
          <w:szCs w:val="22"/>
        </w:rPr>
        <w:t>situ</w:t>
      </w:r>
      <w:proofErr w:type="spellEnd"/>
      <w:r w:rsidRPr="0079265E">
        <w:rPr>
          <w:rFonts w:ascii="Arial" w:hAnsi="Arial" w:cs="Arial"/>
          <w:sz w:val="22"/>
          <w:szCs w:val="22"/>
        </w:rPr>
        <w:t xml:space="preserve">, расширить практику повторного анализа океанографических данных, а также упростить возможности для сопоставления результатов моделирования состояния океана. В ходе недавних дискуссий, проходивших в рамках сообщества специалистов </w:t>
      </w:r>
      <w:r w:rsidR="0079020B" w:rsidRPr="0079265E">
        <w:rPr>
          <w:rFonts w:ascii="Arial" w:hAnsi="Arial" w:cs="Arial"/>
          <w:sz w:val="22"/>
          <w:szCs w:val="22"/>
        </w:rPr>
        <w:t>с</w:t>
      </w:r>
      <w:r w:rsidRPr="0079265E">
        <w:rPr>
          <w:rFonts w:ascii="Arial" w:hAnsi="Arial" w:cs="Arial"/>
          <w:sz w:val="22"/>
          <w:szCs w:val="22"/>
        </w:rPr>
        <w:t xml:space="preserve">истемы наблюдений за глубоководными участками Мирового океана, была отмечена актуальность получения в близком к реальному режиме времени прогнозов в отношении подводных тепловых волн, эпизодов </w:t>
      </w:r>
      <w:proofErr w:type="spellStart"/>
      <w:r w:rsidRPr="0079265E">
        <w:rPr>
          <w:rFonts w:ascii="Arial" w:hAnsi="Arial" w:cs="Arial"/>
          <w:sz w:val="22"/>
          <w:szCs w:val="22"/>
        </w:rPr>
        <w:t>деоксигенации</w:t>
      </w:r>
      <w:proofErr w:type="spellEnd"/>
      <w:r w:rsidRPr="0079265E">
        <w:rPr>
          <w:rFonts w:ascii="Arial" w:hAnsi="Arial" w:cs="Arial"/>
          <w:sz w:val="22"/>
          <w:szCs w:val="22"/>
        </w:rPr>
        <w:t xml:space="preserve"> и закисления </w:t>
      </w:r>
      <w:r w:rsidR="0079020B" w:rsidRPr="0079265E">
        <w:rPr>
          <w:rFonts w:ascii="Arial" w:hAnsi="Arial" w:cs="Arial"/>
          <w:sz w:val="22"/>
          <w:szCs w:val="22"/>
        </w:rPr>
        <w:t>морской среды</w:t>
      </w:r>
      <w:r w:rsidRPr="0079265E">
        <w:rPr>
          <w:rFonts w:ascii="Arial" w:hAnsi="Arial" w:cs="Arial"/>
          <w:sz w:val="22"/>
          <w:szCs w:val="22"/>
        </w:rPr>
        <w:t xml:space="preserve">. Недавнее </w:t>
      </w:r>
      <w:proofErr w:type="spellStart"/>
      <w:r w:rsidRPr="0079265E">
        <w:rPr>
          <w:rFonts w:ascii="Arial" w:hAnsi="Arial" w:cs="Arial"/>
          <w:sz w:val="22"/>
          <w:szCs w:val="22"/>
        </w:rPr>
        <w:t>выбеливание</w:t>
      </w:r>
      <w:proofErr w:type="spellEnd"/>
      <w:r w:rsidRPr="0079265E">
        <w:rPr>
          <w:rFonts w:ascii="Arial" w:hAnsi="Arial" w:cs="Arial"/>
          <w:sz w:val="22"/>
          <w:szCs w:val="22"/>
        </w:rPr>
        <w:t xml:space="preserve"> кораллов в Карибском бассейне, вызванное, судя по всему, </w:t>
      </w:r>
      <w:r w:rsidR="0079020B" w:rsidRPr="0079265E">
        <w:rPr>
          <w:rFonts w:ascii="Arial" w:hAnsi="Arial" w:cs="Arial"/>
          <w:sz w:val="22"/>
          <w:szCs w:val="22"/>
        </w:rPr>
        <w:t xml:space="preserve">их </w:t>
      </w:r>
      <w:r w:rsidRPr="0079265E">
        <w:rPr>
          <w:rFonts w:ascii="Arial" w:hAnsi="Arial" w:cs="Arial"/>
          <w:sz w:val="22"/>
          <w:szCs w:val="22"/>
        </w:rPr>
        <w:t>болезн</w:t>
      </w:r>
      <w:r w:rsidR="0079020B" w:rsidRPr="0079265E">
        <w:rPr>
          <w:rFonts w:ascii="Arial" w:hAnsi="Arial" w:cs="Arial"/>
          <w:sz w:val="22"/>
          <w:szCs w:val="22"/>
        </w:rPr>
        <w:t>ями</w:t>
      </w:r>
      <w:r w:rsidRPr="0079265E">
        <w:rPr>
          <w:rFonts w:ascii="Arial" w:hAnsi="Arial" w:cs="Arial"/>
          <w:sz w:val="22"/>
          <w:szCs w:val="22"/>
        </w:rPr>
        <w:t xml:space="preserve">, указывает на неотложный характер создания в рамках существующей системы прогнозирования состояния океана отдельного компонента по оценке жизнеспособности экосистем, охватывающего основные множественные стресс-факторы. В ходе проходившего в Бресте саммита «Единый океан» прозвучало важное заявление-обязательство, касающееся создания на базе некоммерческой структуры </w:t>
      </w:r>
      <w:proofErr w:type="spellStart"/>
      <w:r w:rsidRPr="0079265E">
        <w:rPr>
          <w:rFonts w:ascii="Arial" w:hAnsi="Arial" w:cs="Arial"/>
          <w:i/>
          <w:sz w:val="22"/>
          <w:szCs w:val="22"/>
        </w:rPr>
        <w:t>Mercator</w:t>
      </w:r>
      <w:proofErr w:type="spellEnd"/>
      <w:r w:rsidRPr="0079265E">
        <w:rPr>
          <w:rFonts w:ascii="Arial" w:hAnsi="Arial" w:cs="Arial"/>
          <w:i/>
          <w:sz w:val="22"/>
          <w:szCs w:val="22"/>
        </w:rPr>
        <w:t xml:space="preserve"> Ocean International</w:t>
      </w:r>
      <w:r w:rsidRPr="0079265E">
        <w:rPr>
          <w:rFonts w:ascii="Arial" w:hAnsi="Arial" w:cs="Arial"/>
          <w:sz w:val="22"/>
          <w:szCs w:val="22"/>
        </w:rPr>
        <w:t xml:space="preserve"> европейской межправительственной организации, которая будет стимулировать деятельность, связанную с обработкой океанографических данных и составлением прогнозов. Указанная организация может стать еще одним значимым участником процесса реализации целевых установок МОК благодаря своей способности обеспечить предоставление в режиме реального времени и в режиме запаздывания больших объемов обработанных океанографических данных, а также выступить в качестве центра сотрудничества в рамках Десятилетия.</w:t>
      </w:r>
    </w:p>
    <w:p w14:paraId="6283E177"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Успешно продвигается работа, связанная с развитием Системы океанографических данных и информации (ОДИС) и ее ключевого компонента, – проекта «</w:t>
      </w:r>
      <w:proofErr w:type="spellStart"/>
      <w:r w:rsidRPr="0079265E">
        <w:rPr>
          <w:rFonts w:ascii="Arial" w:hAnsi="Arial" w:cs="Arial"/>
          <w:sz w:val="22"/>
          <w:szCs w:val="22"/>
        </w:rPr>
        <w:t>Инфохаб</w:t>
      </w:r>
      <w:proofErr w:type="spellEnd"/>
      <w:r w:rsidRPr="0079265E">
        <w:rPr>
          <w:rFonts w:ascii="Arial" w:hAnsi="Arial" w:cs="Arial"/>
          <w:sz w:val="22"/>
          <w:szCs w:val="22"/>
        </w:rPr>
        <w:t>-Океан». Вопрос наличия океанографических данных, их открытости и доступности станов</w:t>
      </w:r>
      <w:r w:rsidR="0079020B" w:rsidRPr="0079265E">
        <w:rPr>
          <w:rFonts w:ascii="Arial" w:hAnsi="Arial" w:cs="Arial"/>
          <w:sz w:val="22"/>
          <w:szCs w:val="22"/>
        </w:rPr>
        <w:t>и</w:t>
      </w:r>
      <w:r w:rsidRPr="0079265E">
        <w:rPr>
          <w:rFonts w:ascii="Arial" w:hAnsi="Arial" w:cs="Arial"/>
          <w:sz w:val="22"/>
          <w:szCs w:val="22"/>
        </w:rPr>
        <w:t xml:space="preserve">тся крайне актуальным, в связи с чем многочисленные новые заинтересованные стороны и партнеры включаются в процесс сбора таких данных. Важным для МОК событием стало успешное проведение в феврале 2022 г. в Сопоте (Польша) Международной конференции по океанографическим данным. Благодаря осуществляемым в рамках Десятилетия науки об океане крупным программам и </w:t>
      </w:r>
      <w:r w:rsidR="0079020B" w:rsidRPr="0079265E">
        <w:rPr>
          <w:rFonts w:ascii="Arial" w:hAnsi="Arial" w:cs="Arial"/>
          <w:sz w:val="22"/>
          <w:szCs w:val="22"/>
        </w:rPr>
        <w:t>другим</w:t>
      </w:r>
      <w:r w:rsidRPr="0079265E">
        <w:rPr>
          <w:rFonts w:ascii="Arial" w:hAnsi="Arial" w:cs="Arial"/>
          <w:sz w:val="22"/>
          <w:szCs w:val="22"/>
        </w:rPr>
        <w:t xml:space="preserve"> мероприятиям формируются благоприятные условия для создания цифровой экосистемы научных знаний об океане, или «виртуальной копии Мирового океана», которая обеспечит возможности для прозрачного и грамотного управления морскими ресурсами.</w:t>
      </w:r>
    </w:p>
    <w:p w14:paraId="786D8AA3"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В течение нескольких лет Генеральный директорат Европейской комиссии по вопросам морской политики и рыболовства (DG MARE) и МОК-ЮНЕСКО сотрудничают в целях повсеместного продвижения программ морского пространственного планирования. С 2017 г. это сотрудничество осуществляется на основе совместного плана действий – Дорожной карты в области МПП. </w:t>
      </w:r>
      <w:hyperlink r:id="rId11" w:history="1">
        <w:r w:rsidRPr="0079265E">
          <w:rPr>
            <w:rFonts w:ascii="Arial" w:hAnsi="Arial" w:cs="Arial"/>
            <w:sz w:val="22"/>
            <w:szCs w:val="22"/>
          </w:rPr>
          <w:t xml:space="preserve">В октябре 2021 г. МОК успешно завершила реализацию </w:t>
        </w:r>
        <w:proofErr w:type="spellStart"/>
        <w:r w:rsidRPr="0079265E">
          <w:rPr>
            <w:rFonts w:ascii="Arial" w:hAnsi="Arial" w:cs="Arial"/>
            <w:sz w:val="22"/>
            <w:szCs w:val="22"/>
          </w:rPr>
          <w:t>финансировавшегося</w:t>
        </w:r>
        <w:proofErr w:type="spellEnd"/>
        <w:r w:rsidRPr="0079265E">
          <w:rPr>
            <w:rFonts w:ascii="Arial" w:hAnsi="Arial" w:cs="Arial"/>
            <w:sz w:val="22"/>
            <w:szCs w:val="22"/>
          </w:rPr>
          <w:t xml:space="preserve"> Еврокомиссией проекта «МПП Глобал», итогом которого в числе прочего стала публикация обновленного Международного руководства «МПП Глобал» по вопросам прибрежно-морского пространственного планирования.</w:t>
        </w:r>
      </w:hyperlink>
      <w:r w:rsidRPr="0079265E">
        <w:rPr>
          <w:rFonts w:ascii="Arial" w:hAnsi="Arial" w:cs="Arial"/>
          <w:sz w:val="22"/>
          <w:szCs w:val="22"/>
        </w:rPr>
        <w:t xml:space="preserve"> В январе 2021 г. Европейская комиссия заявила о </w:t>
      </w:r>
      <w:r w:rsidR="0079020B" w:rsidRPr="0079265E">
        <w:rPr>
          <w:rFonts w:ascii="Arial" w:hAnsi="Arial" w:cs="Arial"/>
          <w:sz w:val="22"/>
          <w:szCs w:val="22"/>
        </w:rPr>
        <w:t>готовности</w:t>
      </w:r>
      <w:r w:rsidRPr="0079265E">
        <w:rPr>
          <w:rFonts w:ascii="Arial" w:hAnsi="Arial" w:cs="Arial"/>
          <w:sz w:val="22"/>
          <w:szCs w:val="22"/>
        </w:rPr>
        <w:t xml:space="preserve"> финансировать </w:t>
      </w:r>
      <w:r w:rsidR="0079020B" w:rsidRPr="0079265E">
        <w:rPr>
          <w:rFonts w:ascii="Arial" w:hAnsi="Arial" w:cs="Arial"/>
          <w:sz w:val="22"/>
          <w:szCs w:val="22"/>
        </w:rPr>
        <w:t>следующий</w:t>
      </w:r>
      <w:r w:rsidRPr="0079265E">
        <w:rPr>
          <w:rFonts w:ascii="Arial" w:hAnsi="Arial" w:cs="Arial"/>
          <w:sz w:val="22"/>
          <w:szCs w:val="22"/>
        </w:rPr>
        <w:t xml:space="preserve"> этап проекта «МПП Глобал», предусматривающий дальнейшее расширение практики морского пространственного планирования по всему миру в поддержку реализации новой Дорожной карты в области МПП, рассчитанной на период 2023-2028 гг. В 2022 г. началась реализация еще одного проекта, финансируемого по линии ГД ЕК по вопросам морской политики и рыболовства. Продолжается многолетнее плодотворное сотрудничество МОК-ЮНЕСКО с Глобальным экологическим фондом (ГЭФ), ПРООН и ЮНЕП в рамках сетевого информационно-образовательного проекта ГЭФ «Международные воды». В настоящее время осуществляется новая 4-летняя фаза указанного проекта, а также два новых региональных проекта, касающихся крупных морских экосистем в Саргассовом и Черном морях.</w:t>
      </w:r>
    </w:p>
    <w:p w14:paraId="1D6C8B73" w14:textId="77777777" w:rsidR="00B84469" w:rsidRPr="0079265E" w:rsidRDefault="00C51DE8" w:rsidP="007A68F1">
      <w:pPr>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lastRenderedPageBreak/>
        <w:t xml:space="preserve">Председатель МОК, председатель ИОСИНДИО, заместитель председателя МОК по четвертой избирательной группе и Исполнительный секретарь МОК приняли активное участие в учреждении и </w:t>
      </w:r>
      <w:r w:rsidR="0079020B" w:rsidRPr="0079265E">
        <w:rPr>
          <w:rFonts w:ascii="Arial" w:hAnsi="Arial" w:cs="Arial"/>
          <w:sz w:val="22"/>
          <w:szCs w:val="22"/>
        </w:rPr>
        <w:t>начале</w:t>
      </w:r>
      <w:r w:rsidRPr="0079265E">
        <w:rPr>
          <w:rFonts w:ascii="Arial" w:hAnsi="Arial" w:cs="Arial"/>
          <w:sz w:val="22"/>
          <w:szCs w:val="22"/>
        </w:rPr>
        <w:t xml:space="preserve"> практической деятельности межсессионной рабочей группы открытого состава по вопросу статуса ИОСИНДИО. К концу марта 2022 г. состоялось два онлайновых совещания. </w:t>
      </w:r>
      <w:r w:rsidR="0079020B" w:rsidRPr="0079265E">
        <w:rPr>
          <w:rFonts w:ascii="Arial" w:hAnsi="Arial" w:cs="Arial"/>
          <w:sz w:val="22"/>
          <w:szCs w:val="22"/>
        </w:rPr>
        <w:t>Членами группы в</w:t>
      </w:r>
      <w:r w:rsidRPr="0079265E">
        <w:rPr>
          <w:rFonts w:ascii="Arial" w:hAnsi="Arial" w:cs="Arial"/>
          <w:sz w:val="22"/>
          <w:szCs w:val="22"/>
        </w:rPr>
        <w:t xml:space="preserve">едется активное обсуждение круга ведения будущей подкомиссии и региональных аспектов ее работы. Особое внимание при этом уделяется определению путей конструктивного взаимодействия/сотрудничества с МОКАФРИКА и ВЕСТПАК, которое исключало бы дублирование или ослабление мандатов двух </w:t>
      </w:r>
      <w:r w:rsidR="0079020B" w:rsidRPr="0079265E">
        <w:rPr>
          <w:rFonts w:ascii="Arial" w:hAnsi="Arial" w:cs="Arial"/>
          <w:sz w:val="22"/>
          <w:szCs w:val="22"/>
        </w:rPr>
        <w:t>этих</w:t>
      </w:r>
      <w:r w:rsidRPr="0079265E">
        <w:rPr>
          <w:rFonts w:ascii="Arial" w:hAnsi="Arial" w:cs="Arial"/>
          <w:sz w:val="22"/>
          <w:szCs w:val="22"/>
        </w:rPr>
        <w:t xml:space="preserve"> подкомиссий МОК.</w:t>
      </w:r>
    </w:p>
    <w:p w14:paraId="682E748C"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Продолжается укрепление программы МОК по цунами благодаря </w:t>
      </w:r>
      <w:r w:rsidR="0079020B" w:rsidRPr="0079265E">
        <w:rPr>
          <w:rFonts w:ascii="Arial" w:hAnsi="Arial" w:cs="Arial"/>
          <w:sz w:val="22"/>
          <w:szCs w:val="22"/>
        </w:rPr>
        <w:t>весьма</w:t>
      </w:r>
      <w:r w:rsidRPr="0079265E">
        <w:rPr>
          <w:rFonts w:ascii="Arial" w:hAnsi="Arial" w:cs="Arial"/>
          <w:sz w:val="22"/>
          <w:szCs w:val="22"/>
        </w:rPr>
        <w:t xml:space="preserve"> ценной методологической поддержке экспертного сообщества, включая рабочую группу по системам предупреждения о цунами и других опасных явлениях, связанных с изменением уровня моря, и смягчения их последствий (РГ-СПЦО), а также </w:t>
      </w:r>
      <w:r w:rsidR="0079020B" w:rsidRPr="0079265E">
        <w:rPr>
          <w:rFonts w:ascii="Arial" w:hAnsi="Arial" w:cs="Arial"/>
          <w:sz w:val="22"/>
          <w:szCs w:val="22"/>
        </w:rPr>
        <w:t xml:space="preserve">благодаря </w:t>
      </w:r>
      <w:r w:rsidRPr="0079265E">
        <w:rPr>
          <w:rFonts w:ascii="Arial" w:hAnsi="Arial" w:cs="Arial"/>
          <w:sz w:val="22"/>
          <w:szCs w:val="22"/>
        </w:rPr>
        <w:t>эффективному содействию со стороны сотрудников группы МОК по цунами. В планах наращивание научно-технического потенциала этой программы, расширение зоны ее охвата, идея разработки системы предупреждения о цунами несейсмического происхождения. Перспективная программа сертификации готовности к цунами предусматривает достижение к 2030 г</w:t>
      </w:r>
      <w:r w:rsidR="0079020B" w:rsidRPr="0079265E">
        <w:rPr>
          <w:rFonts w:ascii="Arial" w:hAnsi="Arial" w:cs="Arial"/>
          <w:sz w:val="22"/>
          <w:szCs w:val="22"/>
        </w:rPr>
        <w:t>.</w:t>
      </w:r>
      <w:r w:rsidRPr="0079265E">
        <w:rPr>
          <w:rFonts w:ascii="Arial" w:hAnsi="Arial" w:cs="Arial"/>
          <w:sz w:val="22"/>
          <w:szCs w:val="22"/>
        </w:rPr>
        <w:t xml:space="preserve"> цели обеспечения подтвержденной сертификатом готовности всех прибрежных муниципальных образований к цунами.</w:t>
      </w:r>
    </w:p>
    <w:p w14:paraId="5939FA6C"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hAnsi="Arial" w:cs="Arial"/>
          <w:color w:val="000000"/>
          <w:sz w:val="22"/>
          <w:szCs w:val="22"/>
        </w:rPr>
      </w:pPr>
      <w:r w:rsidRPr="0079265E">
        <w:rPr>
          <w:rFonts w:ascii="Arial" w:hAnsi="Arial" w:cs="Arial"/>
          <w:sz w:val="22"/>
          <w:szCs w:val="22"/>
        </w:rPr>
        <w:t xml:space="preserve">15 января 2022 г. произошло событие, ставшее серьезной проверкой на эффективность создаваемой МОК системы предупреждения о цунами. Мощный взрыв на вулканическом острове </w:t>
      </w:r>
      <w:proofErr w:type="spellStart"/>
      <w:r w:rsidRPr="0079265E">
        <w:rPr>
          <w:rFonts w:ascii="Arial" w:hAnsi="Arial" w:cs="Arial"/>
          <w:sz w:val="22"/>
          <w:szCs w:val="22"/>
        </w:rPr>
        <w:t>Хунга</w:t>
      </w:r>
      <w:proofErr w:type="spellEnd"/>
      <w:r w:rsidRPr="0079265E">
        <w:rPr>
          <w:rFonts w:ascii="Arial" w:hAnsi="Arial" w:cs="Arial"/>
          <w:sz w:val="22"/>
          <w:szCs w:val="22"/>
        </w:rPr>
        <w:t>-Тонга-</w:t>
      </w:r>
      <w:proofErr w:type="spellStart"/>
      <w:r w:rsidRPr="0079265E">
        <w:rPr>
          <w:rFonts w:ascii="Arial" w:hAnsi="Arial" w:cs="Arial"/>
          <w:sz w:val="22"/>
          <w:szCs w:val="22"/>
        </w:rPr>
        <w:t>Хунга</w:t>
      </w:r>
      <w:proofErr w:type="spellEnd"/>
      <w:r w:rsidRPr="0079265E">
        <w:rPr>
          <w:rFonts w:ascii="Arial" w:hAnsi="Arial" w:cs="Arial"/>
          <w:sz w:val="22"/>
          <w:szCs w:val="22"/>
        </w:rPr>
        <w:t>-</w:t>
      </w:r>
      <w:proofErr w:type="spellStart"/>
      <w:r w:rsidRPr="0079265E">
        <w:rPr>
          <w:rFonts w:ascii="Arial" w:hAnsi="Arial" w:cs="Arial"/>
          <w:sz w:val="22"/>
          <w:szCs w:val="22"/>
        </w:rPr>
        <w:t>Хаапай</w:t>
      </w:r>
      <w:proofErr w:type="spellEnd"/>
      <w:r w:rsidRPr="0079265E">
        <w:rPr>
          <w:rFonts w:ascii="Arial" w:hAnsi="Arial" w:cs="Arial"/>
          <w:sz w:val="22"/>
          <w:szCs w:val="22"/>
        </w:rPr>
        <w:t xml:space="preserve">, расположенном примерно в 30 км к юго-востоку от острова </w:t>
      </w:r>
      <w:proofErr w:type="spellStart"/>
      <w:r w:rsidRPr="0079265E">
        <w:rPr>
          <w:rFonts w:ascii="Arial" w:hAnsi="Arial" w:cs="Arial"/>
          <w:sz w:val="22"/>
          <w:szCs w:val="22"/>
        </w:rPr>
        <w:t>Фонуафоу</w:t>
      </w:r>
      <w:proofErr w:type="spellEnd"/>
      <w:r w:rsidRPr="0079265E">
        <w:rPr>
          <w:rFonts w:ascii="Arial" w:hAnsi="Arial" w:cs="Arial"/>
          <w:sz w:val="22"/>
          <w:szCs w:val="22"/>
        </w:rPr>
        <w:t xml:space="preserve"> в Тонге, вызвал цунами, приведшее к человеческим жертвам и материальному ущербу как на местном и региональном уровнях, так и </w:t>
      </w:r>
      <w:r w:rsidR="00732DDC" w:rsidRPr="0079265E">
        <w:rPr>
          <w:rFonts w:ascii="Arial" w:hAnsi="Arial" w:cs="Arial"/>
          <w:sz w:val="22"/>
          <w:szCs w:val="22"/>
        </w:rPr>
        <w:t>п</w:t>
      </w:r>
      <w:r w:rsidRPr="0079265E">
        <w:rPr>
          <w:rFonts w:ascii="Arial" w:hAnsi="Arial" w:cs="Arial"/>
          <w:sz w:val="22"/>
          <w:szCs w:val="22"/>
        </w:rPr>
        <w:t>о всем</w:t>
      </w:r>
      <w:r w:rsidR="00732DDC" w:rsidRPr="0079265E">
        <w:rPr>
          <w:rFonts w:ascii="Arial" w:hAnsi="Arial" w:cs="Arial"/>
          <w:sz w:val="22"/>
          <w:szCs w:val="22"/>
        </w:rPr>
        <w:t>у</w:t>
      </w:r>
      <w:r w:rsidRPr="0079265E">
        <w:rPr>
          <w:rFonts w:ascii="Arial" w:hAnsi="Arial" w:cs="Arial"/>
          <w:sz w:val="22"/>
          <w:szCs w:val="22"/>
        </w:rPr>
        <w:t xml:space="preserve"> Тихоокеанском</w:t>
      </w:r>
      <w:r w:rsidR="00732DDC" w:rsidRPr="0079265E">
        <w:rPr>
          <w:rFonts w:ascii="Arial" w:hAnsi="Arial" w:cs="Arial"/>
          <w:sz w:val="22"/>
          <w:szCs w:val="22"/>
        </w:rPr>
        <w:t>у</w:t>
      </w:r>
      <w:r w:rsidRPr="0079265E">
        <w:rPr>
          <w:rFonts w:ascii="Arial" w:hAnsi="Arial" w:cs="Arial"/>
          <w:sz w:val="22"/>
          <w:szCs w:val="22"/>
        </w:rPr>
        <w:t xml:space="preserve"> регион</w:t>
      </w:r>
      <w:r w:rsidR="00732DDC" w:rsidRPr="0079265E">
        <w:rPr>
          <w:rFonts w:ascii="Arial" w:hAnsi="Arial" w:cs="Arial"/>
          <w:sz w:val="22"/>
          <w:szCs w:val="22"/>
        </w:rPr>
        <w:t>у</w:t>
      </w:r>
      <w:r w:rsidRPr="0079265E">
        <w:rPr>
          <w:rFonts w:ascii="Arial" w:hAnsi="Arial" w:cs="Arial"/>
          <w:sz w:val="22"/>
          <w:szCs w:val="22"/>
        </w:rPr>
        <w:t xml:space="preserve">. </w:t>
      </w:r>
      <w:r w:rsidRPr="0079265E">
        <w:rPr>
          <w:rFonts w:ascii="Arial" w:hAnsi="Arial" w:cs="Arial"/>
          <w:snapToGrid/>
          <w:color w:val="000000"/>
          <w:sz w:val="22"/>
          <w:szCs w:val="22"/>
        </w:rPr>
        <w:t xml:space="preserve">Это был первый случай, когда Тихоокеанскому центру предупреждения о цунами (ТЦПЦ) пришлось практически </w:t>
      </w:r>
      <w:r w:rsidR="00732DDC" w:rsidRPr="0079265E">
        <w:rPr>
          <w:rFonts w:ascii="Arial" w:hAnsi="Arial" w:cs="Arial"/>
          <w:snapToGrid/>
          <w:color w:val="000000"/>
          <w:sz w:val="22"/>
          <w:szCs w:val="22"/>
        </w:rPr>
        <w:t>в режиме реального времени</w:t>
      </w:r>
      <w:r w:rsidRPr="0079265E">
        <w:rPr>
          <w:rFonts w:ascii="Arial" w:hAnsi="Arial" w:cs="Arial"/>
          <w:snapToGrid/>
          <w:color w:val="000000"/>
          <w:sz w:val="22"/>
          <w:szCs w:val="22"/>
        </w:rPr>
        <w:t xml:space="preserve"> реагировать на подобное происшествие, поскольку его система ориентирована в основном на предупреждение о цунами, вызванные землетрясениями, которые составляют почти 90% имевших место в мировой истории случаев возникновения цунами. Несмотря на серьезные технические трудности команд</w:t>
      </w:r>
      <w:r w:rsidR="00732DDC" w:rsidRPr="0079265E">
        <w:rPr>
          <w:rFonts w:ascii="Arial" w:hAnsi="Arial" w:cs="Arial"/>
          <w:snapToGrid/>
          <w:color w:val="000000"/>
          <w:sz w:val="22"/>
          <w:szCs w:val="22"/>
        </w:rPr>
        <w:t>е</w:t>
      </w:r>
      <w:r w:rsidRPr="0079265E">
        <w:rPr>
          <w:rFonts w:ascii="Arial" w:hAnsi="Arial" w:cs="Arial"/>
          <w:snapToGrid/>
          <w:color w:val="000000"/>
          <w:sz w:val="22"/>
          <w:szCs w:val="22"/>
        </w:rPr>
        <w:t xml:space="preserve"> ТЦПЦ </w:t>
      </w:r>
      <w:r w:rsidR="00732DDC" w:rsidRPr="0079265E">
        <w:rPr>
          <w:rFonts w:ascii="Arial" w:hAnsi="Arial" w:cs="Arial"/>
          <w:snapToGrid/>
          <w:color w:val="000000"/>
          <w:sz w:val="22"/>
          <w:szCs w:val="22"/>
        </w:rPr>
        <w:t>удалось</w:t>
      </w:r>
      <w:r w:rsidRPr="0079265E">
        <w:rPr>
          <w:rFonts w:ascii="Arial" w:hAnsi="Arial" w:cs="Arial"/>
          <w:snapToGrid/>
          <w:color w:val="000000"/>
          <w:sz w:val="22"/>
          <w:szCs w:val="22"/>
        </w:rPr>
        <w:t xml:space="preserve"> распространить сообщение об угрозе цунами, действуя совместно с национальными центрами предупреждения о цунами и национальными управлениями по чрезвычайным ситуациям, которые объявили предупреждение и дали распоряжение об эвакуации, что помогло спасти </w:t>
      </w:r>
      <w:r w:rsidR="00732DDC" w:rsidRPr="0079265E">
        <w:rPr>
          <w:rFonts w:ascii="Arial" w:hAnsi="Arial" w:cs="Arial"/>
          <w:snapToGrid/>
          <w:color w:val="000000"/>
          <w:sz w:val="22"/>
          <w:szCs w:val="22"/>
        </w:rPr>
        <w:t xml:space="preserve">многие </w:t>
      </w:r>
      <w:r w:rsidRPr="0079265E">
        <w:rPr>
          <w:rFonts w:ascii="Arial" w:hAnsi="Arial" w:cs="Arial"/>
          <w:snapToGrid/>
          <w:color w:val="000000"/>
          <w:sz w:val="22"/>
          <w:szCs w:val="22"/>
        </w:rPr>
        <w:t xml:space="preserve">человеческие жизни. </w:t>
      </w:r>
      <w:r w:rsidRPr="0079265E">
        <w:rPr>
          <w:rFonts w:ascii="Arial" w:hAnsi="Arial" w:cs="Arial"/>
          <w:color w:val="000000"/>
          <w:sz w:val="22"/>
          <w:szCs w:val="22"/>
        </w:rPr>
        <w:t xml:space="preserve">После случившегося МОК провела экспертную оценку последствий извержения вулкана </w:t>
      </w:r>
      <w:proofErr w:type="spellStart"/>
      <w:r w:rsidRPr="0079265E">
        <w:rPr>
          <w:rFonts w:ascii="Arial" w:hAnsi="Arial" w:cs="Arial"/>
          <w:color w:val="000000"/>
          <w:sz w:val="22"/>
          <w:szCs w:val="22"/>
        </w:rPr>
        <w:t>Хунга</w:t>
      </w:r>
      <w:proofErr w:type="spellEnd"/>
      <w:r w:rsidRPr="0079265E">
        <w:rPr>
          <w:rFonts w:ascii="Arial" w:hAnsi="Arial" w:cs="Arial"/>
          <w:color w:val="000000"/>
          <w:sz w:val="22"/>
          <w:szCs w:val="22"/>
        </w:rPr>
        <w:t>-Тонга-</w:t>
      </w:r>
      <w:proofErr w:type="spellStart"/>
      <w:r w:rsidRPr="0079265E">
        <w:rPr>
          <w:rFonts w:ascii="Arial" w:hAnsi="Arial" w:cs="Arial"/>
          <w:color w:val="000000"/>
          <w:sz w:val="22"/>
          <w:szCs w:val="22"/>
        </w:rPr>
        <w:t>Хунга</w:t>
      </w:r>
      <w:proofErr w:type="spellEnd"/>
      <w:r w:rsidRPr="0079265E">
        <w:rPr>
          <w:rFonts w:ascii="Arial" w:hAnsi="Arial" w:cs="Arial"/>
          <w:color w:val="000000"/>
          <w:sz w:val="22"/>
          <w:szCs w:val="22"/>
        </w:rPr>
        <w:t>-</w:t>
      </w:r>
      <w:proofErr w:type="spellStart"/>
      <w:r w:rsidRPr="0079265E">
        <w:rPr>
          <w:rFonts w:ascii="Arial" w:hAnsi="Arial" w:cs="Arial"/>
          <w:color w:val="000000"/>
          <w:sz w:val="22"/>
          <w:szCs w:val="22"/>
        </w:rPr>
        <w:t>Хаапай</w:t>
      </w:r>
      <w:proofErr w:type="spellEnd"/>
      <w:r w:rsidRPr="0079265E">
        <w:rPr>
          <w:rFonts w:ascii="Arial" w:hAnsi="Arial" w:cs="Arial"/>
          <w:color w:val="000000"/>
          <w:sz w:val="22"/>
          <w:szCs w:val="22"/>
        </w:rPr>
        <w:t xml:space="preserve"> и вызванного им цунами. Кроме того, Межправительственная координационная группа (МКГ) по Системе предупреждения о цунами и смягчения их последствий в Тихом океане (СПЦСТО) создала целевую группу по мерам реагирования в случае опасности цунами и поручила ей подготовить план мероприятий СПЦСТО по реализации временных мер в связи с цунами, вызванным извержением вулкана </w:t>
      </w:r>
      <w:proofErr w:type="spellStart"/>
      <w:r w:rsidRPr="0079265E">
        <w:rPr>
          <w:rFonts w:ascii="Arial" w:hAnsi="Arial" w:cs="Arial"/>
          <w:color w:val="000000"/>
          <w:sz w:val="22"/>
          <w:szCs w:val="22"/>
        </w:rPr>
        <w:t>Хунга</w:t>
      </w:r>
      <w:proofErr w:type="spellEnd"/>
      <w:r w:rsidRPr="0079265E">
        <w:rPr>
          <w:rFonts w:ascii="Arial" w:hAnsi="Arial" w:cs="Arial"/>
          <w:color w:val="000000"/>
          <w:sz w:val="22"/>
          <w:szCs w:val="22"/>
        </w:rPr>
        <w:t>-Тонга-</w:t>
      </w:r>
      <w:proofErr w:type="spellStart"/>
      <w:r w:rsidRPr="0079265E">
        <w:rPr>
          <w:rFonts w:ascii="Arial" w:hAnsi="Arial" w:cs="Arial"/>
          <w:color w:val="000000"/>
          <w:sz w:val="22"/>
          <w:szCs w:val="22"/>
        </w:rPr>
        <w:t>Хунга</w:t>
      </w:r>
      <w:proofErr w:type="spellEnd"/>
      <w:r w:rsidRPr="0079265E">
        <w:rPr>
          <w:rFonts w:ascii="Arial" w:hAnsi="Arial" w:cs="Arial"/>
          <w:color w:val="000000"/>
          <w:sz w:val="22"/>
          <w:szCs w:val="22"/>
        </w:rPr>
        <w:t>-</w:t>
      </w:r>
      <w:proofErr w:type="spellStart"/>
      <w:r w:rsidRPr="0079265E">
        <w:rPr>
          <w:rFonts w:ascii="Arial" w:hAnsi="Arial" w:cs="Arial"/>
          <w:color w:val="000000"/>
          <w:sz w:val="22"/>
          <w:szCs w:val="22"/>
        </w:rPr>
        <w:t>Хаапай</w:t>
      </w:r>
      <w:proofErr w:type="spellEnd"/>
      <w:r w:rsidRPr="0079265E">
        <w:rPr>
          <w:rFonts w:ascii="Arial" w:hAnsi="Arial" w:cs="Arial"/>
          <w:color w:val="000000"/>
          <w:sz w:val="22"/>
          <w:szCs w:val="22"/>
        </w:rPr>
        <w:t>.</w:t>
      </w:r>
    </w:p>
    <w:p w14:paraId="2048D9BA"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hAnsi="Arial" w:cs="Arial"/>
          <w:color w:val="000000"/>
          <w:sz w:val="22"/>
          <w:szCs w:val="22"/>
        </w:rPr>
      </w:pPr>
      <w:r w:rsidRPr="0079265E">
        <w:rPr>
          <w:rFonts w:ascii="Arial" w:hAnsi="Arial" w:cs="Arial"/>
          <w:sz w:val="22"/>
          <w:szCs w:val="22"/>
        </w:rPr>
        <w:t>МОК продолжает содействовать укреплению научного и институционального потенциала всех своих контрагентов посредством передачи морской технологии, просветительской работы и подготовки кадров.</w:t>
      </w:r>
      <w:r w:rsidRPr="0079265E">
        <w:rPr>
          <w:rFonts w:ascii="Arial" w:hAnsi="Arial" w:cs="Arial"/>
          <w:color w:val="000000"/>
          <w:sz w:val="22"/>
          <w:szCs w:val="22"/>
        </w:rPr>
        <w:t xml:space="preserve"> Группа экспертов МОК по развитию потенциала задействовала опыт ведущих экспертов для разработки стратегии МОК в области развития потенциала на 2023-2030 гг. Ключевой подход состоит при этом в планировании соответствующих мероприятий, направленных на оказание помощи государствам-членам в вопросах создания и наращивания потенциала в области неистощительного использования ресурсов Мирового океана. В период с июня по декабрь 2021 г. глобальная сеть из 17 региональных и специализированных учебных центров по океанографии (Глобальная академия «Океан-инструктор», ГАОИ) организовала 24 онлайновых учебных курса. В первой половине 2022 г. центры ГАОИ в Бельгии, Норвегии, Аргентине, Мозамбике и Португалии планируют организовать еще восемь подобных онлайновых курсов. Региональные учебно-исследовательские центры ВЕСТПАК провели тренинги по широкому </w:t>
      </w:r>
      <w:r w:rsidR="00732DDC" w:rsidRPr="0079265E">
        <w:rPr>
          <w:rFonts w:ascii="Arial" w:hAnsi="Arial" w:cs="Arial"/>
          <w:color w:val="000000"/>
          <w:sz w:val="22"/>
          <w:szCs w:val="22"/>
        </w:rPr>
        <w:t>спектру</w:t>
      </w:r>
      <w:r w:rsidRPr="0079265E">
        <w:rPr>
          <w:rFonts w:ascii="Arial" w:hAnsi="Arial" w:cs="Arial"/>
          <w:color w:val="000000"/>
          <w:sz w:val="22"/>
          <w:szCs w:val="22"/>
        </w:rPr>
        <w:t xml:space="preserve"> </w:t>
      </w:r>
      <w:r w:rsidR="00732DDC" w:rsidRPr="0079265E">
        <w:rPr>
          <w:rFonts w:ascii="Arial" w:hAnsi="Arial" w:cs="Arial"/>
          <w:color w:val="000000"/>
          <w:sz w:val="22"/>
          <w:szCs w:val="22"/>
        </w:rPr>
        <w:t>тем</w:t>
      </w:r>
      <w:r w:rsidRPr="0079265E">
        <w:rPr>
          <w:rFonts w:ascii="Arial" w:hAnsi="Arial" w:cs="Arial"/>
          <w:color w:val="000000"/>
          <w:sz w:val="22"/>
          <w:szCs w:val="22"/>
        </w:rPr>
        <w:t>, таких как: «Морское биоразнообразие и жизнеспособность экосистем» (РУИЦ-</w:t>
      </w:r>
      <w:proofErr w:type="spellStart"/>
      <w:r w:rsidRPr="0079265E">
        <w:rPr>
          <w:rFonts w:ascii="Arial" w:hAnsi="Arial" w:cs="Arial"/>
          <w:color w:val="000000"/>
          <w:sz w:val="22"/>
          <w:szCs w:val="22"/>
        </w:rPr>
        <w:t>МарБЕСТ</w:t>
      </w:r>
      <w:proofErr w:type="spellEnd"/>
      <w:r w:rsidRPr="0079265E">
        <w:rPr>
          <w:rFonts w:ascii="Arial" w:hAnsi="Arial" w:cs="Arial"/>
          <w:color w:val="000000"/>
          <w:sz w:val="22"/>
          <w:szCs w:val="22"/>
        </w:rPr>
        <w:t>),</w:t>
      </w:r>
      <w:r w:rsidR="00CB0011" w:rsidRPr="0079265E">
        <w:rPr>
          <w:rFonts w:ascii="Arial" w:hAnsi="Arial" w:cs="Arial"/>
          <w:color w:val="000000"/>
          <w:sz w:val="22"/>
          <w:szCs w:val="22"/>
        </w:rPr>
        <w:t xml:space="preserve"> </w:t>
      </w:r>
      <w:r w:rsidRPr="0079265E">
        <w:rPr>
          <w:rFonts w:ascii="Arial" w:hAnsi="Arial" w:cs="Arial"/>
          <w:color w:val="000000"/>
          <w:sz w:val="22"/>
          <w:szCs w:val="22"/>
        </w:rPr>
        <w:t>«Динамика и климат океана» (РУИЦ-ДКО), «Рациональное использование и восстановление коралловых рифов», «Морские токсины и безопасность море</w:t>
      </w:r>
      <w:r w:rsidRPr="0079265E">
        <w:rPr>
          <w:rFonts w:ascii="Arial" w:hAnsi="Arial" w:cs="Arial"/>
          <w:color w:val="000000"/>
          <w:sz w:val="22"/>
          <w:szCs w:val="22"/>
        </w:rPr>
        <w:lastRenderedPageBreak/>
        <w:t>продуктов», «Загрязнение морской среды пластиковым мусором и микрочастицами пластмасс». К участию в программах и тренингах региональных учебно-исследовательских центров были привлечены также начинающие специалисты-</w:t>
      </w:r>
      <w:proofErr w:type="spellStart"/>
      <w:r w:rsidRPr="0079265E">
        <w:rPr>
          <w:rFonts w:ascii="Arial" w:hAnsi="Arial" w:cs="Arial"/>
          <w:color w:val="000000"/>
          <w:sz w:val="22"/>
          <w:szCs w:val="22"/>
        </w:rPr>
        <w:t>мореведы</w:t>
      </w:r>
      <w:proofErr w:type="spellEnd"/>
      <w:r w:rsidRPr="0079265E">
        <w:rPr>
          <w:rFonts w:ascii="Arial" w:hAnsi="Arial" w:cs="Arial"/>
          <w:color w:val="000000"/>
          <w:sz w:val="22"/>
          <w:szCs w:val="22"/>
        </w:rPr>
        <w:t xml:space="preserve">, что позволило им получить дополнительные знания, а также </w:t>
      </w:r>
      <w:r w:rsidR="00732DDC" w:rsidRPr="0079265E">
        <w:rPr>
          <w:rFonts w:ascii="Arial" w:hAnsi="Arial" w:cs="Arial"/>
          <w:color w:val="000000"/>
          <w:sz w:val="22"/>
          <w:szCs w:val="22"/>
        </w:rPr>
        <w:t>дало</w:t>
      </w:r>
      <w:r w:rsidRPr="0079265E">
        <w:rPr>
          <w:rFonts w:ascii="Arial" w:hAnsi="Arial" w:cs="Arial"/>
          <w:color w:val="000000"/>
          <w:sz w:val="22"/>
          <w:szCs w:val="22"/>
        </w:rPr>
        <w:t xml:space="preserve"> возможность</w:t>
      </w:r>
      <w:r w:rsidR="00732DDC" w:rsidRPr="0079265E">
        <w:rPr>
          <w:rFonts w:ascii="Arial" w:hAnsi="Arial" w:cs="Arial"/>
          <w:color w:val="000000"/>
          <w:sz w:val="22"/>
          <w:szCs w:val="22"/>
        </w:rPr>
        <w:t xml:space="preserve"> наладить </w:t>
      </w:r>
      <w:r w:rsidRPr="0079265E">
        <w:rPr>
          <w:rFonts w:ascii="Arial" w:hAnsi="Arial" w:cs="Arial"/>
          <w:color w:val="000000"/>
          <w:sz w:val="22"/>
          <w:szCs w:val="22"/>
        </w:rPr>
        <w:t>сотрудничеств</w:t>
      </w:r>
      <w:r w:rsidR="00732DDC" w:rsidRPr="0079265E">
        <w:rPr>
          <w:rFonts w:ascii="Arial" w:hAnsi="Arial" w:cs="Arial"/>
          <w:color w:val="000000"/>
          <w:sz w:val="22"/>
          <w:szCs w:val="22"/>
        </w:rPr>
        <w:t>о</w:t>
      </w:r>
      <w:r w:rsidRPr="0079265E">
        <w:rPr>
          <w:rFonts w:ascii="Arial" w:hAnsi="Arial" w:cs="Arial"/>
          <w:color w:val="000000"/>
          <w:sz w:val="22"/>
          <w:szCs w:val="22"/>
        </w:rPr>
        <w:t xml:space="preserve"> и </w:t>
      </w:r>
      <w:r w:rsidR="00732DDC" w:rsidRPr="0079265E">
        <w:rPr>
          <w:rFonts w:ascii="Arial" w:hAnsi="Arial" w:cs="Arial"/>
          <w:color w:val="000000"/>
          <w:sz w:val="22"/>
          <w:szCs w:val="22"/>
        </w:rPr>
        <w:t>завязать</w:t>
      </w:r>
      <w:r w:rsidRPr="0079265E">
        <w:rPr>
          <w:rFonts w:ascii="Arial" w:hAnsi="Arial" w:cs="Arial"/>
          <w:color w:val="000000"/>
          <w:sz w:val="22"/>
          <w:szCs w:val="22"/>
        </w:rPr>
        <w:t xml:space="preserve"> контакт</w:t>
      </w:r>
      <w:r w:rsidR="00732DDC" w:rsidRPr="0079265E">
        <w:rPr>
          <w:rFonts w:ascii="Arial" w:hAnsi="Arial" w:cs="Arial"/>
          <w:color w:val="000000"/>
          <w:sz w:val="22"/>
          <w:szCs w:val="22"/>
        </w:rPr>
        <w:t>ы</w:t>
      </w:r>
      <w:r w:rsidRPr="0079265E">
        <w:rPr>
          <w:rFonts w:ascii="Arial" w:hAnsi="Arial" w:cs="Arial"/>
          <w:color w:val="000000"/>
          <w:sz w:val="22"/>
          <w:szCs w:val="22"/>
        </w:rPr>
        <w:t xml:space="preserve"> с коллегами.</w:t>
      </w:r>
    </w:p>
    <w:p w14:paraId="25D57BE7" w14:textId="77777777" w:rsidR="00B84469" w:rsidRPr="0079265E" w:rsidRDefault="002E5A7D"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В рамках пункта 4.1 повестки дня будут рассмотрены </w:t>
      </w:r>
      <w:r w:rsidR="00732DDC" w:rsidRPr="0079265E">
        <w:rPr>
          <w:rFonts w:ascii="Arial" w:hAnsi="Arial" w:cs="Arial"/>
          <w:sz w:val="22"/>
          <w:szCs w:val="22"/>
        </w:rPr>
        <w:t>результаты</w:t>
      </w:r>
      <w:r w:rsidRPr="0079265E">
        <w:rPr>
          <w:rFonts w:ascii="Arial" w:hAnsi="Arial" w:cs="Arial"/>
          <w:sz w:val="22"/>
          <w:szCs w:val="22"/>
        </w:rPr>
        <w:t>, достигнутые в рамках проведения Десятилетия, посвященного науке об океане. Группа по координации проведения Десятилетия умело координирует беспрецедентный масштаб мероприятий, несмотря на то, что мобилизация ресурсов по-прежнему остается одной из наиболее сложных задач на этапе перехода от фазы планирования к фазе практической реализации. Мы констатируем результативное и на сегодняшний день массовое участие в</w:t>
      </w:r>
      <w:r w:rsidR="00CB0011" w:rsidRPr="0079265E">
        <w:rPr>
          <w:rFonts w:ascii="Arial" w:hAnsi="Arial" w:cs="Arial"/>
          <w:sz w:val="22"/>
          <w:szCs w:val="22"/>
        </w:rPr>
        <w:t xml:space="preserve"> </w:t>
      </w:r>
      <w:r w:rsidRPr="0079265E">
        <w:rPr>
          <w:rFonts w:ascii="Arial" w:hAnsi="Arial" w:cs="Arial"/>
          <w:sz w:val="22"/>
          <w:szCs w:val="22"/>
        </w:rPr>
        <w:t xml:space="preserve">мероприятиях Десятилетия частных лиц, сообществ, институтов, организаций и государств. Итогом проведения первого запроса предложений на осуществление связанной с Десятилетием деятельности стало включение в план проведения Десятилетия большого числа мероприятий, в том числе 31 программы. В ближайшее время по завершении изучения заявок, поступивших в рамках второго запроса предложений, будет представлена дополнительная информация. 15 апреля 2022 г. было объявлено о начале проведения третьего запроса предложений на осуществление связанной с Десятилетием деятельности, посвященного проблематике экологичного морского хозяйствования и </w:t>
      </w:r>
      <w:r w:rsidR="00732DDC" w:rsidRPr="0079265E">
        <w:rPr>
          <w:rFonts w:ascii="Arial" w:hAnsi="Arial" w:cs="Arial"/>
          <w:sz w:val="22"/>
          <w:szCs w:val="22"/>
        </w:rPr>
        <w:t>«</w:t>
      </w:r>
      <w:r w:rsidRPr="0079265E">
        <w:rPr>
          <w:rFonts w:ascii="Arial" w:hAnsi="Arial" w:cs="Arial"/>
          <w:sz w:val="22"/>
          <w:szCs w:val="22"/>
        </w:rPr>
        <w:t>морскому продовольствию</w:t>
      </w:r>
      <w:r w:rsidR="00732DDC" w:rsidRPr="0079265E">
        <w:rPr>
          <w:rFonts w:ascii="Arial" w:hAnsi="Arial" w:cs="Arial"/>
          <w:sz w:val="22"/>
          <w:szCs w:val="22"/>
        </w:rPr>
        <w:t>»</w:t>
      </w:r>
      <w:r w:rsidRPr="0079265E">
        <w:rPr>
          <w:rFonts w:ascii="Arial" w:hAnsi="Arial" w:cs="Arial"/>
          <w:sz w:val="22"/>
          <w:szCs w:val="22"/>
        </w:rPr>
        <w:t>. Набирает обороты деятельность Альянса в поддержку Десятилетия науки об океане, участие в котором принимают влиятельные представители мирового сообщества. В числе присоединившихся в последнее время к альянс</w:t>
      </w:r>
      <w:r w:rsidR="00732DDC" w:rsidRPr="0079265E">
        <w:rPr>
          <w:rFonts w:ascii="Arial" w:hAnsi="Arial" w:cs="Arial"/>
          <w:sz w:val="22"/>
          <w:szCs w:val="22"/>
        </w:rPr>
        <w:t>у</w:t>
      </w:r>
      <w:r w:rsidRPr="0079265E">
        <w:rPr>
          <w:rFonts w:ascii="Arial" w:hAnsi="Arial" w:cs="Arial"/>
          <w:sz w:val="22"/>
          <w:szCs w:val="22"/>
        </w:rPr>
        <w:t xml:space="preserve"> Его Превосходительство г-н Йонас </w:t>
      </w:r>
      <w:proofErr w:type="spellStart"/>
      <w:r w:rsidRPr="0079265E">
        <w:rPr>
          <w:rFonts w:ascii="Arial" w:hAnsi="Arial" w:cs="Arial"/>
          <w:sz w:val="22"/>
          <w:szCs w:val="22"/>
        </w:rPr>
        <w:t>Гар</w:t>
      </w:r>
      <w:proofErr w:type="spellEnd"/>
      <w:r w:rsidRPr="0079265E">
        <w:rPr>
          <w:rFonts w:ascii="Arial" w:hAnsi="Arial" w:cs="Arial"/>
          <w:sz w:val="22"/>
          <w:szCs w:val="22"/>
        </w:rPr>
        <w:t xml:space="preserve"> </w:t>
      </w:r>
      <w:proofErr w:type="spellStart"/>
      <w:r w:rsidRPr="0079265E">
        <w:rPr>
          <w:rFonts w:ascii="Arial" w:hAnsi="Arial" w:cs="Arial"/>
          <w:sz w:val="22"/>
          <w:szCs w:val="22"/>
        </w:rPr>
        <w:t>Стёре</w:t>
      </w:r>
      <w:proofErr w:type="spellEnd"/>
      <w:r w:rsidRPr="0079265E">
        <w:rPr>
          <w:rFonts w:ascii="Arial" w:hAnsi="Arial" w:cs="Arial"/>
          <w:sz w:val="22"/>
          <w:szCs w:val="22"/>
        </w:rPr>
        <w:t>, премьер-министр Норвегии, а</w:t>
      </w:r>
      <w:r w:rsidR="008348ED">
        <w:rPr>
          <w:rFonts w:ascii="Arial" w:hAnsi="Arial" w:cs="Arial"/>
          <w:sz w:val="22"/>
          <w:szCs w:val="22"/>
        </w:rPr>
        <w:t xml:space="preserve"> также Его Превосходительство г</w:t>
      </w:r>
      <w:r w:rsidR="008348ED">
        <w:rPr>
          <w:rFonts w:ascii="Arial" w:hAnsi="Arial" w:cs="Arial"/>
          <w:sz w:val="22"/>
          <w:szCs w:val="22"/>
        </w:rPr>
        <w:noBreakHyphen/>
      </w:r>
      <w:r w:rsidRPr="0079265E">
        <w:rPr>
          <w:rFonts w:ascii="Arial" w:hAnsi="Arial" w:cs="Arial"/>
          <w:sz w:val="22"/>
          <w:szCs w:val="22"/>
        </w:rPr>
        <w:t>н</w:t>
      </w:r>
      <w:r w:rsidR="008348ED">
        <w:rPr>
          <w:rFonts w:ascii="Arial" w:hAnsi="Arial" w:cs="Arial"/>
          <w:sz w:val="22"/>
          <w:szCs w:val="22"/>
        </w:rPr>
        <w:t> </w:t>
      </w:r>
      <w:proofErr w:type="spellStart"/>
      <w:r w:rsidRPr="0079265E">
        <w:rPr>
          <w:rFonts w:ascii="Arial" w:hAnsi="Arial" w:cs="Arial"/>
          <w:sz w:val="22"/>
          <w:szCs w:val="22"/>
        </w:rPr>
        <w:t>Вавел</w:t>
      </w:r>
      <w:proofErr w:type="spellEnd"/>
      <w:r w:rsidRPr="0079265E">
        <w:rPr>
          <w:rFonts w:ascii="Arial" w:hAnsi="Arial" w:cs="Arial"/>
          <w:sz w:val="22"/>
          <w:szCs w:val="22"/>
        </w:rPr>
        <w:t xml:space="preserve"> </w:t>
      </w:r>
      <w:proofErr w:type="spellStart"/>
      <w:r w:rsidRPr="0079265E">
        <w:rPr>
          <w:rFonts w:ascii="Arial" w:hAnsi="Arial" w:cs="Arial"/>
          <w:sz w:val="22"/>
          <w:szCs w:val="22"/>
        </w:rPr>
        <w:t>Рамкалаван</w:t>
      </w:r>
      <w:proofErr w:type="spellEnd"/>
      <w:r w:rsidRPr="0079265E">
        <w:rPr>
          <w:rFonts w:ascii="Arial" w:hAnsi="Arial" w:cs="Arial"/>
          <w:sz w:val="22"/>
          <w:szCs w:val="22"/>
        </w:rPr>
        <w:t>, президент Республики Сейшельские Острова.</w:t>
      </w:r>
      <w:r w:rsidR="00CB0011" w:rsidRPr="0079265E">
        <w:rPr>
          <w:rFonts w:ascii="Arial" w:hAnsi="Arial" w:cs="Arial"/>
          <w:sz w:val="22"/>
          <w:szCs w:val="22"/>
        </w:rPr>
        <w:t xml:space="preserve"> </w:t>
      </w:r>
      <w:r w:rsidRPr="0079265E">
        <w:rPr>
          <w:rFonts w:ascii="Arial" w:hAnsi="Arial" w:cs="Arial"/>
          <w:sz w:val="22"/>
          <w:szCs w:val="22"/>
        </w:rPr>
        <w:t xml:space="preserve">На сегодняшний день создано 25 (двадцать пять) национальных комитетов по проведению Десятилетия, еще некоторое число комитетов находятся в процессе создания. Консультативное содействие в коллективном планировании мероприятий и в реализации стратегии привлечения заинтересованных сторон оказывают </w:t>
      </w:r>
      <w:r w:rsidR="00732DDC" w:rsidRPr="0079265E">
        <w:rPr>
          <w:rFonts w:ascii="Arial" w:hAnsi="Arial" w:cs="Arial"/>
          <w:sz w:val="22"/>
          <w:szCs w:val="22"/>
        </w:rPr>
        <w:t>ф</w:t>
      </w:r>
      <w:r w:rsidRPr="0079265E">
        <w:rPr>
          <w:rFonts w:ascii="Arial" w:hAnsi="Arial" w:cs="Arial"/>
          <w:sz w:val="22"/>
          <w:szCs w:val="22"/>
        </w:rPr>
        <w:t>орум участников деятельности в рамках Десятилетия, большой пул экспертов и четыре неофициальные рабочие группы по междисциплинарным вопросам (океанографические данные, инновации и технологии, информационное сопровождение, мониторинг и оценка).</w:t>
      </w:r>
    </w:p>
    <w:p w14:paraId="09FF23C3" w14:textId="77777777" w:rsidR="00B84469" w:rsidRPr="0079265E" w:rsidRDefault="00C51DE8" w:rsidP="007A68F1">
      <w:pPr>
        <w:widowControl w:val="0"/>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Исполнительный секретарь хотел бы выделить три важных аспекта Десятилетия, которые будут определять успех его проведения. </w:t>
      </w:r>
      <w:r w:rsidRPr="0079265E">
        <w:rPr>
          <w:rFonts w:ascii="Arial" w:hAnsi="Arial" w:cs="Arial"/>
          <w:i/>
          <w:sz w:val="22"/>
          <w:szCs w:val="22"/>
        </w:rPr>
        <w:t>Во-первых</w:t>
      </w:r>
      <w:r w:rsidRPr="0079265E">
        <w:rPr>
          <w:rFonts w:ascii="Arial" w:hAnsi="Arial" w:cs="Arial"/>
          <w:sz w:val="22"/>
          <w:szCs w:val="22"/>
        </w:rPr>
        <w:t xml:space="preserve">, важно найти способ, который обеспечит, чтобы представляемые в децентрализованном порядке и включаемые после одобрения в программу Десятилетия мероприятия </w:t>
      </w:r>
      <w:r w:rsidR="00732DDC" w:rsidRPr="0079265E">
        <w:rPr>
          <w:rFonts w:ascii="Arial" w:hAnsi="Arial" w:cs="Arial"/>
          <w:sz w:val="22"/>
          <w:szCs w:val="22"/>
        </w:rPr>
        <w:t>служили</w:t>
      </w:r>
      <w:r w:rsidRPr="0079265E">
        <w:rPr>
          <w:rFonts w:ascii="Arial" w:hAnsi="Arial" w:cs="Arial"/>
          <w:sz w:val="22"/>
          <w:szCs w:val="22"/>
        </w:rPr>
        <w:t xml:space="preserve"> в совокупности фундамент</w:t>
      </w:r>
      <w:r w:rsidR="00732DDC" w:rsidRPr="0079265E">
        <w:rPr>
          <w:rFonts w:ascii="Arial" w:hAnsi="Arial" w:cs="Arial"/>
          <w:sz w:val="22"/>
          <w:szCs w:val="22"/>
        </w:rPr>
        <w:t>ом</w:t>
      </w:r>
      <w:r w:rsidRPr="0079265E">
        <w:rPr>
          <w:rFonts w:ascii="Arial" w:hAnsi="Arial" w:cs="Arial"/>
          <w:sz w:val="22"/>
          <w:szCs w:val="22"/>
        </w:rPr>
        <w:t xml:space="preserve"> для устойчивого управления ресурсами Мирового океана на основе планового и научного подхода. </w:t>
      </w:r>
      <w:r w:rsidR="00732DDC" w:rsidRPr="0079265E">
        <w:rPr>
          <w:rFonts w:ascii="Arial" w:hAnsi="Arial" w:cs="Arial"/>
          <w:sz w:val="22"/>
          <w:szCs w:val="22"/>
        </w:rPr>
        <w:t>Для э</w:t>
      </w:r>
      <w:r w:rsidRPr="0079265E">
        <w:rPr>
          <w:rFonts w:ascii="Arial" w:hAnsi="Arial" w:cs="Arial"/>
          <w:sz w:val="22"/>
          <w:szCs w:val="22"/>
        </w:rPr>
        <w:t>то</w:t>
      </w:r>
      <w:r w:rsidR="00732DDC" w:rsidRPr="0079265E">
        <w:rPr>
          <w:rFonts w:ascii="Arial" w:hAnsi="Arial" w:cs="Arial"/>
          <w:sz w:val="22"/>
          <w:szCs w:val="22"/>
        </w:rPr>
        <w:t>го</w:t>
      </w:r>
      <w:r w:rsidRPr="0079265E">
        <w:rPr>
          <w:rFonts w:ascii="Arial" w:hAnsi="Arial" w:cs="Arial"/>
          <w:sz w:val="22"/>
          <w:szCs w:val="22"/>
        </w:rPr>
        <w:t xml:space="preserve"> требует</w:t>
      </w:r>
      <w:r w:rsidR="00732DDC" w:rsidRPr="0079265E">
        <w:rPr>
          <w:rFonts w:ascii="Arial" w:hAnsi="Arial" w:cs="Arial"/>
          <w:sz w:val="22"/>
          <w:szCs w:val="22"/>
        </w:rPr>
        <w:t>ся</w:t>
      </w:r>
      <w:r w:rsidRPr="0079265E">
        <w:rPr>
          <w:rFonts w:ascii="Arial" w:hAnsi="Arial" w:cs="Arial"/>
          <w:sz w:val="22"/>
          <w:szCs w:val="22"/>
        </w:rPr>
        <w:t xml:space="preserve"> поддержк</w:t>
      </w:r>
      <w:r w:rsidR="00732DDC" w:rsidRPr="0079265E">
        <w:rPr>
          <w:rFonts w:ascii="Arial" w:hAnsi="Arial" w:cs="Arial"/>
          <w:sz w:val="22"/>
          <w:szCs w:val="22"/>
        </w:rPr>
        <w:t>а</w:t>
      </w:r>
      <w:r w:rsidRPr="0079265E">
        <w:rPr>
          <w:rFonts w:ascii="Arial" w:hAnsi="Arial" w:cs="Arial"/>
          <w:sz w:val="22"/>
          <w:szCs w:val="22"/>
        </w:rPr>
        <w:t xml:space="preserve"> со стороны государств-членов и финансирующих организаций, а также </w:t>
      </w:r>
      <w:r w:rsidR="00732DDC" w:rsidRPr="0079265E">
        <w:rPr>
          <w:rFonts w:ascii="Arial" w:hAnsi="Arial" w:cs="Arial"/>
          <w:sz w:val="22"/>
          <w:szCs w:val="22"/>
        </w:rPr>
        <w:t>формальный</w:t>
      </w:r>
      <w:r w:rsidRPr="0079265E">
        <w:rPr>
          <w:rFonts w:ascii="Arial" w:hAnsi="Arial" w:cs="Arial"/>
          <w:sz w:val="22"/>
          <w:szCs w:val="22"/>
        </w:rPr>
        <w:t xml:space="preserve"> процесс определения приоритетов и плановых показателей в отношении Десятилетия в целом и десяти текущих приоритетных задач Десятилетия в частности. Впечатляют потенциал и активность работы 15 членов созданного недавно </w:t>
      </w:r>
      <w:r w:rsidR="00732DDC" w:rsidRPr="0079265E">
        <w:rPr>
          <w:rFonts w:ascii="Arial" w:hAnsi="Arial" w:cs="Arial"/>
          <w:sz w:val="22"/>
          <w:szCs w:val="22"/>
        </w:rPr>
        <w:t>к</w:t>
      </w:r>
      <w:r w:rsidRPr="0079265E">
        <w:rPr>
          <w:rFonts w:ascii="Arial" w:hAnsi="Arial" w:cs="Arial"/>
          <w:sz w:val="22"/>
          <w:szCs w:val="22"/>
        </w:rPr>
        <w:t xml:space="preserve">онсультативного совета по вопросам проведения Десятилетия. Наряду с этим Исполнительный секретарь призывает все заинтересованные стороны поразмышлять о том, каким образом мы сможем обеспечить, чтобы общая отдача от проведения Десятилетие превзошла сумму всех его отдельных мероприятий и результатов деятельности его отдельных структур. </w:t>
      </w:r>
      <w:r w:rsidRPr="0079265E">
        <w:rPr>
          <w:rFonts w:ascii="Arial" w:hAnsi="Arial" w:cs="Arial"/>
          <w:i/>
          <w:sz w:val="22"/>
          <w:szCs w:val="22"/>
        </w:rPr>
        <w:t>Во-вторых</w:t>
      </w:r>
      <w:r w:rsidRPr="0079265E">
        <w:rPr>
          <w:rFonts w:ascii="Arial" w:hAnsi="Arial" w:cs="Arial"/>
          <w:sz w:val="22"/>
          <w:szCs w:val="22"/>
        </w:rPr>
        <w:t xml:space="preserve">, </w:t>
      </w:r>
      <w:r w:rsidR="00732DDC" w:rsidRPr="0079265E">
        <w:rPr>
          <w:rFonts w:ascii="Arial" w:hAnsi="Arial" w:cs="Arial"/>
          <w:sz w:val="22"/>
          <w:szCs w:val="22"/>
        </w:rPr>
        <w:t xml:space="preserve">как известно, </w:t>
      </w:r>
      <w:r w:rsidRPr="0079265E">
        <w:rPr>
          <w:rFonts w:ascii="Arial" w:hAnsi="Arial" w:cs="Arial"/>
          <w:sz w:val="22"/>
          <w:szCs w:val="22"/>
        </w:rPr>
        <w:t xml:space="preserve">идея проведения Десятилетия была предложена МОК, которая сегодня </w:t>
      </w:r>
      <w:r w:rsidR="00732DDC" w:rsidRPr="0079265E">
        <w:rPr>
          <w:rFonts w:ascii="Arial" w:hAnsi="Arial" w:cs="Arial"/>
          <w:sz w:val="22"/>
          <w:szCs w:val="22"/>
        </w:rPr>
        <w:t xml:space="preserve">обеспечивает </w:t>
      </w:r>
      <w:r w:rsidRPr="0079265E">
        <w:rPr>
          <w:rFonts w:ascii="Arial" w:hAnsi="Arial" w:cs="Arial"/>
          <w:sz w:val="22"/>
          <w:szCs w:val="22"/>
        </w:rPr>
        <w:t xml:space="preserve">необходимую координацию усилий. </w:t>
      </w:r>
      <w:r w:rsidR="00732DDC" w:rsidRPr="0079265E">
        <w:rPr>
          <w:rFonts w:ascii="Arial" w:hAnsi="Arial" w:cs="Arial"/>
          <w:sz w:val="22"/>
          <w:szCs w:val="22"/>
        </w:rPr>
        <w:t>Важно</w:t>
      </w:r>
      <w:r w:rsidRPr="0079265E">
        <w:rPr>
          <w:rFonts w:ascii="Arial" w:hAnsi="Arial" w:cs="Arial"/>
          <w:sz w:val="22"/>
          <w:szCs w:val="22"/>
        </w:rPr>
        <w:t xml:space="preserve">, чтобы проведение Десятилетия науки об океане и укрепление МОК </w:t>
      </w:r>
      <w:r w:rsidR="00732DDC" w:rsidRPr="0079265E">
        <w:rPr>
          <w:rFonts w:ascii="Arial" w:hAnsi="Arial" w:cs="Arial"/>
          <w:sz w:val="22"/>
          <w:szCs w:val="22"/>
        </w:rPr>
        <w:t>стали</w:t>
      </w:r>
      <w:r w:rsidRPr="0079265E">
        <w:rPr>
          <w:rFonts w:ascii="Arial" w:hAnsi="Arial" w:cs="Arial"/>
          <w:sz w:val="22"/>
          <w:szCs w:val="22"/>
        </w:rPr>
        <w:t xml:space="preserve"> взаимодополняющими процессами, чтобы благодаря Десятилетию МОК смогла трансформироваться и пре</w:t>
      </w:r>
      <w:r w:rsidR="00E82AFB" w:rsidRPr="0079265E">
        <w:rPr>
          <w:rFonts w:ascii="Arial" w:hAnsi="Arial" w:cs="Arial"/>
          <w:sz w:val="22"/>
          <w:szCs w:val="22"/>
        </w:rPr>
        <w:t>образоваться</w:t>
      </w:r>
      <w:r w:rsidRPr="0079265E">
        <w:rPr>
          <w:rFonts w:ascii="Arial" w:hAnsi="Arial" w:cs="Arial"/>
          <w:sz w:val="22"/>
          <w:szCs w:val="22"/>
        </w:rPr>
        <w:t xml:space="preserve"> в более эффективную и более действенную структуру, обеспечивающую результативность всех компонентов своей цепочки приращения стоимости. Необходимо добиваться того, чтобы, все функциональные подразделения </w:t>
      </w:r>
      <w:r w:rsidR="00E82AFB" w:rsidRPr="0079265E">
        <w:rPr>
          <w:rFonts w:ascii="Arial" w:hAnsi="Arial" w:cs="Arial"/>
          <w:sz w:val="22"/>
          <w:szCs w:val="22"/>
        </w:rPr>
        <w:t>Комиссии</w:t>
      </w:r>
      <w:r w:rsidRPr="0079265E">
        <w:rPr>
          <w:rFonts w:ascii="Arial" w:hAnsi="Arial" w:cs="Arial"/>
          <w:sz w:val="22"/>
          <w:szCs w:val="22"/>
        </w:rPr>
        <w:t xml:space="preserve"> начали работать как единая комплексная система. При этом Десятилетие науки об океане стало настолько узнаваемым, что может казаться спонсорам более привлекательным в сравнении с МОК вариантом инвестирования средств, </w:t>
      </w:r>
      <w:r w:rsidR="00E82AFB" w:rsidRPr="0079265E">
        <w:rPr>
          <w:rFonts w:ascii="Arial" w:hAnsi="Arial" w:cs="Arial"/>
          <w:sz w:val="22"/>
          <w:szCs w:val="22"/>
        </w:rPr>
        <w:t xml:space="preserve">а это чревато </w:t>
      </w:r>
      <w:r w:rsidRPr="0079265E">
        <w:rPr>
          <w:rFonts w:ascii="Arial" w:hAnsi="Arial" w:cs="Arial"/>
          <w:sz w:val="22"/>
          <w:szCs w:val="22"/>
        </w:rPr>
        <w:t>проблем</w:t>
      </w:r>
      <w:r w:rsidR="00E82AFB" w:rsidRPr="0079265E">
        <w:rPr>
          <w:rFonts w:ascii="Arial" w:hAnsi="Arial" w:cs="Arial"/>
          <w:sz w:val="22"/>
          <w:szCs w:val="22"/>
        </w:rPr>
        <w:t>ами</w:t>
      </w:r>
      <w:r w:rsidRPr="0079265E">
        <w:rPr>
          <w:rFonts w:ascii="Arial" w:hAnsi="Arial" w:cs="Arial"/>
          <w:sz w:val="22"/>
          <w:szCs w:val="22"/>
        </w:rPr>
        <w:t xml:space="preserve"> привлечения средств на реализацию основных программ</w:t>
      </w:r>
      <w:r w:rsidR="00E82AFB" w:rsidRPr="0079265E">
        <w:rPr>
          <w:rFonts w:ascii="Arial" w:hAnsi="Arial" w:cs="Arial"/>
          <w:sz w:val="22"/>
          <w:szCs w:val="22"/>
        </w:rPr>
        <w:t xml:space="preserve"> самой МОК</w:t>
      </w:r>
      <w:r w:rsidRPr="0079265E">
        <w:rPr>
          <w:rFonts w:ascii="Arial" w:hAnsi="Arial" w:cs="Arial"/>
          <w:sz w:val="22"/>
          <w:szCs w:val="22"/>
        </w:rPr>
        <w:t xml:space="preserve">. В связи с этим необходимо продолжить уделять внимание вопросам взаимодополняемости между мероприятиями </w:t>
      </w:r>
      <w:r w:rsidRPr="0079265E">
        <w:rPr>
          <w:rFonts w:ascii="Arial" w:hAnsi="Arial" w:cs="Arial"/>
          <w:sz w:val="22"/>
          <w:szCs w:val="22"/>
        </w:rPr>
        <w:lastRenderedPageBreak/>
        <w:t xml:space="preserve">Десятилетия и программами Комиссии. </w:t>
      </w:r>
      <w:r w:rsidRPr="0079265E">
        <w:rPr>
          <w:rFonts w:ascii="Arial" w:hAnsi="Arial" w:cs="Arial"/>
          <w:i/>
          <w:sz w:val="22"/>
          <w:szCs w:val="22"/>
        </w:rPr>
        <w:t>В-третьих</w:t>
      </w:r>
      <w:r w:rsidRPr="0079265E">
        <w:rPr>
          <w:rFonts w:ascii="Arial" w:hAnsi="Arial" w:cs="Arial"/>
          <w:sz w:val="22"/>
          <w:szCs w:val="22"/>
        </w:rPr>
        <w:t xml:space="preserve">, и это может быть ответом на </w:t>
      </w:r>
      <w:r w:rsidR="00E82AFB" w:rsidRPr="0079265E">
        <w:rPr>
          <w:rFonts w:ascii="Arial" w:hAnsi="Arial" w:cs="Arial"/>
          <w:sz w:val="22"/>
          <w:szCs w:val="22"/>
        </w:rPr>
        <w:t>затронутые</w:t>
      </w:r>
      <w:r w:rsidRPr="0079265E">
        <w:rPr>
          <w:rFonts w:ascii="Arial" w:hAnsi="Arial" w:cs="Arial"/>
          <w:sz w:val="22"/>
          <w:szCs w:val="22"/>
        </w:rPr>
        <w:t xml:space="preserve"> выше вопросы, необходимо обеспечить всеохватный характер программы Десятилетия, которая объединила бы воедино большинство направлений деятельности и превратила бы их в фактор, способствующий созданию условий для научно обоснованного планирования и управления деятельностью, связанной с океаном, как это было рекомендовано экспертной группой высокого уровня по вопросам устойчивости морской экономики.</w:t>
      </w:r>
    </w:p>
    <w:p w14:paraId="1C0BB753" w14:textId="77777777" w:rsidR="00B84469" w:rsidRPr="0079265E" w:rsidRDefault="00C51DE8" w:rsidP="007A68F1">
      <w:pPr>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Будучи главным оператором реализации морских научно-исследовательских программ в системе ООН, МОК может и должна взять на себя роль координатора деятельности в этой области и тем самым способствовать рациональному планированию деятельности, связанной с освоением ресурсов Мирового океана. Совместно с партнерами МОК создала условия для постепенно</w:t>
      </w:r>
      <w:r w:rsidR="00E82AFB" w:rsidRPr="0079265E">
        <w:rPr>
          <w:rFonts w:ascii="Arial" w:hAnsi="Arial" w:cs="Arial"/>
          <w:sz w:val="22"/>
          <w:szCs w:val="22"/>
        </w:rPr>
        <w:t>го</w:t>
      </w:r>
      <w:r w:rsidRPr="0079265E">
        <w:rPr>
          <w:rFonts w:ascii="Arial" w:hAnsi="Arial" w:cs="Arial"/>
          <w:sz w:val="22"/>
          <w:szCs w:val="22"/>
        </w:rPr>
        <w:t xml:space="preserve"> </w:t>
      </w:r>
      <w:r w:rsidR="00E82AFB" w:rsidRPr="0079265E">
        <w:rPr>
          <w:rFonts w:ascii="Arial" w:hAnsi="Arial" w:cs="Arial"/>
          <w:sz w:val="22"/>
          <w:szCs w:val="22"/>
        </w:rPr>
        <w:t>восстановления</w:t>
      </w:r>
      <w:r w:rsidRPr="0079265E">
        <w:rPr>
          <w:rFonts w:ascii="Arial" w:hAnsi="Arial" w:cs="Arial"/>
          <w:sz w:val="22"/>
          <w:szCs w:val="22"/>
        </w:rPr>
        <w:t xml:space="preserve"> экологического состояния океана посредством повышения уровня знаний об океане, поиска вариантов решения существующих проблем, укрепления участия и поддержки (см. подходы, сформулированные Исполнительным секретарем в его </w:t>
      </w:r>
      <w:hyperlink r:id="rId12" w:history="1">
        <w:r w:rsidRPr="0079265E">
          <w:rPr>
            <w:rStyle w:val="Hyperlink"/>
            <w:rFonts w:ascii="Arial" w:hAnsi="Arial" w:cs="Arial"/>
            <w:sz w:val="22"/>
            <w:szCs w:val="22"/>
          </w:rPr>
          <w:t>докладе на последней сессии Ассамблеи</w:t>
        </w:r>
      </w:hyperlink>
      <w:r w:rsidRPr="0079265E">
        <w:rPr>
          <w:rFonts w:ascii="Arial" w:hAnsi="Arial" w:cs="Arial"/>
          <w:sz w:val="22"/>
          <w:szCs w:val="22"/>
        </w:rPr>
        <w:t xml:space="preserve">). Исполнительный секретарь продолжает работу над концепцией «дееспособной» и «образцовой» МОК, которая будет представлена Ассамблее МОК на ее 32-й сессии в 2023 г. В этом отношении весьма полезным вкладом стало проведение </w:t>
      </w:r>
      <w:r w:rsidR="00E82AFB" w:rsidRPr="0079265E">
        <w:rPr>
          <w:rFonts w:ascii="Arial" w:hAnsi="Arial" w:cs="Arial"/>
          <w:sz w:val="22"/>
          <w:szCs w:val="22"/>
        </w:rPr>
        <w:t>с</w:t>
      </w:r>
      <w:r w:rsidRPr="0079265E">
        <w:rPr>
          <w:rFonts w:ascii="Arial" w:hAnsi="Arial" w:cs="Arial"/>
          <w:sz w:val="22"/>
          <w:szCs w:val="22"/>
        </w:rPr>
        <w:t xml:space="preserve">лужбой внутреннего надзора (IOS) оценки стратегического позиционирования МОК и сформулированные по ее итогам выводы (документ </w:t>
      </w:r>
      <w:hyperlink r:id="rId13" w:history="1">
        <w:r w:rsidRPr="0079265E">
          <w:rPr>
            <w:rStyle w:val="Hyperlink"/>
            <w:rFonts w:ascii="Arial" w:hAnsi="Arial" w:cs="Arial"/>
            <w:sz w:val="20"/>
            <w:szCs w:val="20"/>
          </w:rPr>
          <w:t>212 ЕХ/9</w:t>
        </w:r>
      </w:hyperlink>
      <w:r w:rsidRPr="0079265E">
        <w:rPr>
          <w:rFonts w:ascii="Arial" w:hAnsi="Arial" w:cs="Arial"/>
          <w:sz w:val="22"/>
          <w:szCs w:val="22"/>
        </w:rPr>
        <w:t>).</w:t>
      </w:r>
    </w:p>
    <w:p w14:paraId="0884A992" w14:textId="77777777" w:rsidR="00B84469" w:rsidRPr="0079265E" w:rsidRDefault="00C51DE8" w:rsidP="007A68F1">
      <w:pPr>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Исполнительный секретарь хотел бы поблагодарить Секретариат МОК за работу, проделанную им в условиях нехватки ресурсов, нередко сопряженную со стрессом, с запросами, поступавшими иногда в последний момент, </w:t>
      </w:r>
      <w:r w:rsidR="00E82AFB" w:rsidRPr="0079265E">
        <w:rPr>
          <w:rFonts w:ascii="Arial" w:hAnsi="Arial" w:cs="Arial"/>
          <w:sz w:val="22"/>
          <w:szCs w:val="22"/>
        </w:rPr>
        <w:t>а также</w:t>
      </w:r>
      <w:r w:rsidRPr="0079265E">
        <w:rPr>
          <w:rFonts w:ascii="Arial" w:hAnsi="Arial" w:cs="Arial"/>
          <w:sz w:val="22"/>
          <w:szCs w:val="22"/>
        </w:rPr>
        <w:t xml:space="preserve"> контексте все еще продолжающейся пандемии. Исполнительный секретарь горд тем, что является частью команды Секретариата МОК.</w:t>
      </w:r>
    </w:p>
    <w:p w14:paraId="646A0547" w14:textId="77777777" w:rsidR="00C51DE8" w:rsidRPr="0079265E" w:rsidRDefault="00C51DE8" w:rsidP="007A68F1">
      <w:pPr>
        <w:numPr>
          <w:ilvl w:val="0"/>
          <w:numId w:val="18"/>
        </w:numPr>
        <w:shd w:val="clear" w:color="auto" w:fill="FFFFFF"/>
        <w:tabs>
          <w:tab w:val="clear" w:pos="567"/>
        </w:tabs>
        <w:adjustRightInd w:val="0"/>
        <w:spacing w:after="240"/>
        <w:ind w:left="0" w:firstLine="0"/>
        <w:jc w:val="both"/>
        <w:textAlignment w:val="baseline"/>
        <w:rPr>
          <w:rFonts w:ascii="Arial" w:eastAsia="Times New Roman" w:hAnsi="Arial" w:cs="Arial"/>
          <w:sz w:val="22"/>
          <w:szCs w:val="22"/>
        </w:rPr>
      </w:pPr>
      <w:r w:rsidRPr="0079265E">
        <w:rPr>
          <w:rFonts w:ascii="Arial" w:hAnsi="Arial" w:cs="Arial"/>
          <w:sz w:val="22"/>
          <w:szCs w:val="22"/>
        </w:rPr>
        <w:t xml:space="preserve">От имени Секретариата МОК Исполнительный секретарь хотел бы поблагодарить Председателя МОК г-на Ариэля </w:t>
      </w:r>
      <w:proofErr w:type="spellStart"/>
      <w:r w:rsidRPr="0079265E">
        <w:rPr>
          <w:rFonts w:ascii="Arial" w:hAnsi="Arial" w:cs="Arial"/>
          <w:sz w:val="22"/>
          <w:szCs w:val="22"/>
        </w:rPr>
        <w:t>Троиси</w:t>
      </w:r>
      <w:proofErr w:type="spellEnd"/>
      <w:r w:rsidRPr="0079265E">
        <w:rPr>
          <w:rFonts w:ascii="Arial" w:hAnsi="Arial" w:cs="Arial"/>
          <w:sz w:val="22"/>
          <w:szCs w:val="22"/>
        </w:rPr>
        <w:t xml:space="preserve"> и всех должностных лиц Комиссии за их стратегическ</w:t>
      </w:r>
      <w:r w:rsidR="00E82AFB" w:rsidRPr="0079265E">
        <w:rPr>
          <w:rFonts w:ascii="Arial" w:hAnsi="Arial" w:cs="Arial"/>
          <w:sz w:val="22"/>
          <w:szCs w:val="22"/>
        </w:rPr>
        <w:t>ое видение</w:t>
      </w:r>
      <w:r w:rsidRPr="0079265E">
        <w:rPr>
          <w:rFonts w:ascii="Arial" w:hAnsi="Arial" w:cs="Arial"/>
          <w:sz w:val="22"/>
          <w:szCs w:val="22"/>
        </w:rPr>
        <w:t xml:space="preserve"> и </w:t>
      </w:r>
      <w:r w:rsidR="00E82AFB" w:rsidRPr="0079265E">
        <w:rPr>
          <w:rFonts w:ascii="Arial" w:hAnsi="Arial" w:cs="Arial"/>
          <w:sz w:val="22"/>
          <w:szCs w:val="22"/>
        </w:rPr>
        <w:t xml:space="preserve">умелое </w:t>
      </w:r>
      <w:r w:rsidRPr="0079265E">
        <w:rPr>
          <w:rFonts w:ascii="Arial" w:hAnsi="Arial" w:cs="Arial"/>
          <w:sz w:val="22"/>
          <w:szCs w:val="22"/>
        </w:rPr>
        <w:t xml:space="preserve">руководство работой МОК. </w:t>
      </w:r>
      <w:r w:rsidR="00E82AFB" w:rsidRPr="0079265E">
        <w:rPr>
          <w:rFonts w:ascii="Arial" w:hAnsi="Arial" w:cs="Arial"/>
          <w:sz w:val="22"/>
          <w:szCs w:val="22"/>
        </w:rPr>
        <w:t>Эти усилия являются</w:t>
      </w:r>
      <w:r w:rsidRPr="0079265E">
        <w:rPr>
          <w:rFonts w:ascii="Arial" w:hAnsi="Arial" w:cs="Arial"/>
          <w:sz w:val="22"/>
          <w:szCs w:val="22"/>
        </w:rPr>
        <w:t xml:space="preserve"> проявлением с их стороны доброй воли и беспрецедентной самоотверженности. В заключение следует подчеркнуть, что именно интерес и поддержка государств-членов, инициативная руководящая роль Председателя и должностных лиц</w:t>
      </w:r>
      <w:r w:rsidR="00E82AFB" w:rsidRPr="0079265E">
        <w:rPr>
          <w:rFonts w:ascii="Arial" w:hAnsi="Arial" w:cs="Arial"/>
          <w:sz w:val="22"/>
          <w:szCs w:val="22"/>
        </w:rPr>
        <w:t xml:space="preserve"> МОК</w:t>
      </w:r>
      <w:r w:rsidRPr="0079265E">
        <w:rPr>
          <w:rFonts w:ascii="Arial" w:hAnsi="Arial" w:cs="Arial"/>
          <w:sz w:val="22"/>
          <w:szCs w:val="22"/>
        </w:rPr>
        <w:t xml:space="preserve">, а также всесторонняя поддержка со стороны Секретариата </w:t>
      </w:r>
      <w:r w:rsidR="00E82AFB" w:rsidRPr="0079265E">
        <w:rPr>
          <w:rFonts w:ascii="Arial" w:hAnsi="Arial" w:cs="Arial"/>
          <w:sz w:val="22"/>
          <w:szCs w:val="22"/>
        </w:rPr>
        <w:t xml:space="preserve">Комиссии </w:t>
      </w:r>
      <w:r w:rsidRPr="0079265E">
        <w:rPr>
          <w:rFonts w:ascii="Arial" w:hAnsi="Arial" w:cs="Arial"/>
          <w:sz w:val="22"/>
          <w:szCs w:val="22"/>
        </w:rPr>
        <w:t>позволяют МОК, несмотря на все шторма, уверенно следовать курсом, который позволит воссоздать «океан, который нам нужен, в интересах будущего, которого мы хотим».</w:t>
      </w:r>
    </w:p>
    <w:p w14:paraId="52595A52" w14:textId="77777777" w:rsidR="00025A88" w:rsidRPr="0079265E" w:rsidRDefault="00025A88" w:rsidP="007A68F1">
      <w:pPr>
        <w:tabs>
          <w:tab w:val="clear" w:pos="567"/>
        </w:tabs>
        <w:snapToGrid/>
        <w:rPr>
          <w:rFonts w:ascii="Arial" w:eastAsia="Times New Roman" w:hAnsi="Arial" w:cs="Arial"/>
          <w:b/>
          <w:bCs/>
          <w:sz w:val="22"/>
          <w:szCs w:val="22"/>
        </w:rPr>
      </w:pPr>
      <w:r w:rsidRPr="0079265E">
        <w:rPr>
          <w:rFonts w:ascii="Arial" w:hAnsi="Arial" w:cs="Arial"/>
        </w:rPr>
        <w:br w:type="page"/>
      </w:r>
    </w:p>
    <w:p w14:paraId="48EADA59" w14:textId="77777777" w:rsidR="007C4C1D" w:rsidRPr="0079265E" w:rsidRDefault="00C51DE8" w:rsidP="007A68F1">
      <w:pPr>
        <w:keepNext/>
        <w:keepLines/>
        <w:widowControl w:val="0"/>
        <w:tabs>
          <w:tab w:val="clear" w:pos="567"/>
        </w:tabs>
        <w:adjustRightInd w:val="0"/>
        <w:ind w:left="567" w:hanging="567"/>
        <w:jc w:val="both"/>
        <w:textAlignment w:val="baseline"/>
        <w:outlineLvl w:val="1"/>
        <w:rPr>
          <w:rFonts w:ascii="Arial" w:eastAsia="Times New Roman" w:hAnsi="Arial" w:cs="Arial"/>
          <w:b/>
          <w:bCs/>
          <w:caps/>
          <w:sz w:val="20"/>
          <w:szCs w:val="20"/>
        </w:rPr>
      </w:pPr>
      <w:r w:rsidRPr="0079265E">
        <w:rPr>
          <w:rFonts w:ascii="Arial" w:hAnsi="Arial" w:cs="Arial"/>
          <w:b/>
          <w:bCs/>
          <w:caps/>
          <w:sz w:val="20"/>
          <w:szCs w:val="20"/>
        </w:rPr>
        <w:lastRenderedPageBreak/>
        <w:t>Аналитический доклад о выполнении программы в 2018-2021 гг.</w:t>
      </w:r>
    </w:p>
    <w:p w14:paraId="74C76B02" w14:textId="77777777" w:rsidR="00B84469" w:rsidRPr="0079265E" w:rsidRDefault="007C4C1D" w:rsidP="007A68F1">
      <w:pPr>
        <w:widowControl w:val="0"/>
        <w:tabs>
          <w:tab w:val="clear" w:pos="567"/>
        </w:tabs>
        <w:adjustRightInd w:val="0"/>
        <w:spacing w:before="240" w:after="240"/>
        <w:jc w:val="both"/>
        <w:textAlignment w:val="baseline"/>
        <w:rPr>
          <w:rFonts w:ascii="Arial" w:eastAsia="Times New Roman" w:hAnsi="Arial" w:cs="Arial"/>
          <w:i/>
          <w:sz w:val="20"/>
          <w:szCs w:val="20"/>
        </w:rPr>
      </w:pPr>
      <w:r w:rsidRPr="0079265E">
        <w:rPr>
          <w:rFonts w:ascii="Arial" w:eastAsia="Times New Roman" w:hAnsi="Arial" w:cs="Arial"/>
          <w:noProof/>
          <w:snapToGrid/>
          <w:sz w:val="20"/>
          <w:szCs w:val="20"/>
          <w:lang w:val="fr-FR" w:eastAsia="fr-FR"/>
        </w:rPr>
        <mc:AlternateContent>
          <mc:Choice Requires="wps">
            <w:drawing>
              <wp:anchor distT="0" distB="0" distL="114300" distR="114300" simplePos="0" relativeHeight="251661312" behindDoc="0" locked="0" layoutInCell="1" allowOverlap="1" wp14:anchorId="4F2B8326" wp14:editId="53531B99">
                <wp:simplePos x="0" y="0"/>
                <wp:positionH relativeFrom="column">
                  <wp:posOffset>12700</wp:posOffset>
                </wp:positionH>
                <wp:positionV relativeFrom="paragraph">
                  <wp:posOffset>6889</wp:posOffset>
                </wp:positionV>
                <wp:extent cx="61817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C2CE2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Gp/tKfhAQAApAMAAA4AAAAAAAAAAAAAAAAALgIAAGRycy9lMm9Eb2MueG1sUEsBAi0AFAAG&#10;AAgAAAAhABLSJ4LcAAAABQEAAA8AAAAAAAAAAAAAAAAAOwQAAGRycy9kb3ducmV2LnhtbFBLBQYA&#10;AAAABAAEAPMAAABEBQAAAAA=&#10;" strokecolor="#4a7ebb"/>
            </w:pict>
          </mc:Fallback>
        </mc:AlternateContent>
      </w:r>
      <w:r w:rsidRPr="0079265E">
        <w:rPr>
          <w:rFonts w:ascii="Arial" w:hAnsi="Arial" w:cs="Arial"/>
          <w:i/>
          <w:sz w:val="20"/>
          <w:szCs w:val="20"/>
        </w:rPr>
        <w:t>[Выдержка из документа 214 EX/</w:t>
      </w:r>
      <w:proofErr w:type="gramStart"/>
      <w:r w:rsidRPr="0079265E">
        <w:rPr>
          <w:rFonts w:ascii="Arial" w:hAnsi="Arial" w:cs="Arial"/>
          <w:i/>
          <w:sz w:val="20"/>
          <w:szCs w:val="20"/>
        </w:rPr>
        <w:t>4.I</w:t>
      </w:r>
      <w:proofErr w:type="gramEnd"/>
      <w:r w:rsidRPr="0079265E">
        <w:rPr>
          <w:rFonts w:ascii="Arial" w:hAnsi="Arial" w:cs="Arial"/>
          <w:i/>
          <w:sz w:val="20"/>
          <w:szCs w:val="20"/>
        </w:rPr>
        <w:t xml:space="preserve"> – Аналитический доклад о выполнении программы (АДВП) за 2022 г. (период с 1 января 2018 г. по 31 декабря 2021 г.)]</w:t>
      </w:r>
    </w:p>
    <w:p w14:paraId="39BD41D9" w14:textId="26518771" w:rsidR="00873972" w:rsidRPr="00E35CD7" w:rsidRDefault="00AD2FC9" w:rsidP="00873972">
      <w:pPr>
        <w:pStyle w:val="Marge"/>
        <w:spacing w:after="160"/>
        <w:jc w:val="left"/>
        <w:rPr>
          <w:rFonts w:asciiTheme="minorBidi" w:hAnsiTheme="minorBidi" w:cstheme="minorBidi"/>
          <w:b/>
          <w:bCs/>
          <w:sz w:val="20"/>
          <w:szCs w:val="20"/>
          <w:lang w:val="en-US"/>
        </w:rPr>
      </w:pPr>
      <w:r w:rsidRPr="00AD2FC9">
        <w:rPr>
          <w:rFonts w:asciiTheme="minorBidi" w:hAnsiTheme="minorBidi" w:cstheme="minorBidi"/>
          <w:b/>
          <w:bCs/>
          <w:sz w:val="20"/>
          <w:szCs w:val="20"/>
        </w:rPr>
        <w:t>Введение</w:t>
      </w:r>
      <w:r w:rsidR="00873972" w:rsidRPr="00E35CD7">
        <w:rPr>
          <w:rFonts w:asciiTheme="minorBidi" w:hAnsiTheme="minorBidi" w:cstheme="minorBidi"/>
          <w:b/>
          <w:bCs/>
          <w:sz w:val="20"/>
          <w:szCs w:val="20"/>
        </w:rPr>
        <w:t xml:space="preserve"> - </w:t>
      </w:r>
      <w:r w:rsidRPr="00AD2FC9">
        <w:rPr>
          <w:rFonts w:asciiTheme="minorBidi" w:hAnsiTheme="minorBidi" w:cstheme="minorBidi"/>
          <w:b/>
          <w:bCs/>
          <w:sz w:val="20"/>
          <w:szCs w:val="20"/>
        </w:rPr>
        <w:t>Основные достижения программы</w:t>
      </w:r>
    </w:p>
    <w:p w14:paraId="16F97C53" w14:textId="77777777" w:rsidR="00873972" w:rsidRPr="00873972" w:rsidRDefault="00873972" w:rsidP="00873972">
      <w:pPr>
        <w:pStyle w:val="ListParagraph"/>
        <w:numPr>
          <w:ilvl w:val="0"/>
          <w:numId w:val="23"/>
        </w:numPr>
        <w:adjustRightInd w:val="0"/>
        <w:spacing w:after="240"/>
        <w:ind w:left="-14" w:hanging="10"/>
        <w:contextualSpacing w:val="0"/>
        <w:jc w:val="both"/>
        <w:rPr>
          <w:rFonts w:asciiTheme="minorBidi" w:hAnsiTheme="minorBidi" w:cstheme="minorBidi"/>
          <w:color w:val="000000"/>
          <w:sz w:val="22"/>
          <w:szCs w:val="22"/>
        </w:rPr>
      </w:pPr>
      <w:bookmarkStart w:id="0" w:name="_Hlk96425690"/>
      <w:r w:rsidRPr="00873972">
        <w:rPr>
          <w:rFonts w:asciiTheme="minorBidi" w:hAnsiTheme="minorBidi" w:cstheme="minorBidi"/>
          <w:sz w:val="22"/>
          <w:szCs w:val="22"/>
        </w:rPr>
        <w:t>После принятия Генеральной Ассамблеей ООН плана проведения Десятилетия Организации Объединенных Наций, посвященного науке об океане в интересах устойчивого развития («Десятилетие океана») (</w:t>
      </w:r>
      <w:proofErr w:type="gramStart"/>
      <w:r w:rsidRPr="00873972">
        <w:rPr>
          <w:rFonts w:asciiTheme="minorBidi" w:hAnsiTheme="minorBidi" w:cstheme="minorBidi"/>
          <w:sz w:val="22"/>
          <w:szCs w:val="22"/>
        </w:rPr>
        <w:t>2021-2030</w:t>
      </w:r>
      <w:proofErr w:type="gramEnd"/>
      <w:r w:rsidRPr="00873972">
        <w:rPr>
          <w:rFonts w:asciiTheme="minorBidi" w:hAnsiTheme="minorBidi" w:cstheme="minorBidi"/>
          <w:sz w:val="22"/>
          <w:szCs w:val="22"/>
        </w:rPr>
        <w:t xml:space="preserve"> гг.), МОК приступила к полномасштабной координации деятельности в рамках Десятилетия. Она создала ряд глобальных и региональных координационных механизмов, которые при содействии таких партнеров, как НОРАД, Тихоокеанское сообщество (СТС) и Ассоциация стран </w:t>
      </w:r>
      <w:proofErr w:type="spellStart"/>
      <w:r w:rsidRPr="00873972">
        <w:rPr>
          <w:rFonts w:asciiTheme="minorBidi" w:hAnsiTheme="minorBidi" w:cstheme="minorBidi"/>
          <w:sz w:val="22"/>
          <w:szCs w:val="22"/>
        </w:rPr>
        <w:t>Индоокеанского</w:t>
      </w:r>
      <w:proofErr w:type="spellEnd"/>
      <w:r w:rsidRPr="00873972">
        <w:rPr>
          <w:rFonts w:asciiTheme="minorBidi" w:hAnsiTheme="minorBidi" w:cstheme="minorBidi"/>
          <w:sz w:val="22"/>
          <w:szCs w:val="22"/>
        </w:rPr>
        <w:t xml:space="preserve"> кольца (АСИК), призваны обеспечить мощное и самостоятельное развитие уникальных региональных подходов. По итогам первого конкурса заявок на проведение связанных с Десятилетием мероприятий было одобрено 31 предложение об осуществлении программ преобразований и других крупных инициатив. В рамках одобренных в 2021 г. мероприятий Десятилетия в течение следующих трех лет будут осуществлены инвестиции на общую сумму около 840 млн. долл. Несмотря на это, для полного раскрытия потенциала Десятилетия океана потребуются дополнительные ресурсы.</w:t>
      </w:r>
      <w:bookmarkEnd w:id="0"/>
    </w:p>
    <w:p w14:paraId="7C233937" w14:textId="77777777" w:rsidR="00873972" w:rsidRPr="00873972" w:rsidRDefault="00873972" w:rsidP="00873972">
      <w:pPr>
        <w:pStyle w:val="ListParagraph"/>
        <w:numPr>
          <w:ilvl w:val="0"/>
          <w:numId w:val="23"/>
        </w:numPr>
        <w:adjustRightInd w:val="0"/>
        <w:spacing w:after="240"/>
        <w:ind w:left="0" w:firstLine="0"/>
        <w:contextualSpacing w:val="0"/>
        <w:jc w:val="both"/>
        <w:rPr>
          <w:rFonts w:asciiTheme="minorBidi" w:hAnsiTheme="minorBidi" w:cstheme="minorBidi"/>
          <w:color w:val="000000"/>
          <w:sz w:val="22"/>
          <w:szCs w:val="22"/>
        </w:rPr>
      </w:pPr>
      <w:r w:rsidRPr="00873972">
        <w:rPr>
          <w:rFonts w:asciiTheme="minorBidi" w:hAnsiTheme="minorBidi" w:cstheme="minorBidi"/>
          <w:sz w:val="22"/>
          <w:szCs w:val="22"/>
        </w:rPr>
        <w:t>В рамках Десятилетия МОК создает десятки сообществ специалистов-практиков для обеспечения всех стран, в частности МОСРГ и НРС, соответствующими ресурсами в области науки об океане, эффективными институтами и возможностями для разработки и применения технологий и технических решений, открывающих доступ к преимуществам «нового океана». Была создана сеть благотворительных организаций, объединившая 20 международных фондов.</w:t>
      </w:r>
    </w:p>
    <w:p w14:paraId="6E56F49B" w14:textId="77777777" w:rsidR="00873972" w:rsidRPr="00873972" w:rsidRDefault="00873972" w:rsidP="00873972">
      <w:pPr>
        <w:pStyle w:val="ListParagraph"/>
        <w:numPr>
          <w:ilvl w:val="0"/>
          <w:numId w:val="23"/>
        </w:numPr>
        <w:adjustRightInd w:val="0"/>
        <w:spacing w:after="240"/>
        <w:ind w:left="0" w:firstLine="0"/>
        <w:contextualSpacing w:val="0"/>
        <w:jc w:val="both"/>
        <w:rPr>
          <w:rFonts w:asciiTheme="minorBidi" w:hAnsiTheme="minorBidi" w:cstheme="minorBidi"/>
          <w:color w:val="000000"/>
          <w:sz w:val="22"/>
          <w:szCs w:val="22"/>
        </w:rPr>
      </w:pPr>
      <w:r w:rsidRPr="00873972">
        <w:rPr>
          <w:rFonts w:asciiTheme="minorBidi" w:hAnsiTheme="minorBidi" w:cstheme="minorBidi"/>
          <w:sz w:val="22"/>
          <w:szCs w:val="22"/>
        </w:rPr>
        <w:t>Формируется альянс в поддержку Десятилетия океана, к которому присоединяются мировые лидеры и страны. Появляются первые активисты Десятилетия океана из числа организаций частного сектора: так, в рамках нового партнерства с компанией FUGRO (мировым лидером в области геоинформатики) ведется подготовка к осуществлению инициативы в области океанических данных, а во взаимодействии с Фондом океанических исследований AXA создается фонд океанических исследований в области устойчивости прибрежных районов. Была организована серия виртуальных мероприятий Десятилетия океана, направленных на формирование глобального сообщества в интересах женщин, занимающихся наукой об океане, в целях поддержки и расширения их прав и возможностей на всех ступенях профессиональной карьеры.</w:t>
      </w:r>
    </w:p>
    <w:p w14:paraId="18F2C171" w14:textId="77777777" w:rsidR="00873972" w:rsidRPr="00873972" w:rsidRDefault="00873972" w:rsidP="00873972">
      <w:pPr>
        <w:pStyle w:val="ListParagraph"/>
        <w:numPr>
          <w:ilvl w:val="0"/>
          <w:numId w:val="23"/>
        </w:numPr>
        <w:adjustRightInd w:val="0"/>
        <w:spacing w:after="240"/>
        <w:ind w:left="0" w:firstLine="0"/>
        <w:contextualSpacing w:val="0"/>
        <w:jc w:val="both"/>
        <w:rPr>
          <w:rFonts w:asciiTheme="minorBidi" w:hAnsiTheme="minorBidi" w:cstheme="minorBidi"/>
          <w:color w:val="000000"/>
          <w:sz w:val="22"/>
          <w:szCs w:val="22"/>
        </w:rPr>
      </w:pPr>
      <w:r w:rsidRPr="00873972">
        <w:rPr>
          <w:rFonts w:asciiTheme="minorBidi" w:hAnsiTheme="minorBidi" w:cstheme="minorBidi"/>
          <w:sz w:val="22"/>
          <w:szCs w:val="22"/>
        </w:rPr>
        <w:t xml:space="preserve">Комиссия успешно выполняет роль куратора разработки методологии для оказания государствам-членам поддержки в достижении целевых показателей 14.3.1 и 14.a.1 ЦУР и составлении соответствующей отчетности. Она приняла участие в информационном обеспечении переговоров о международном юридически обязывающем документе, посвященном сохранению и устойчивому использованию морского биологического разнообразия в районах, находящихся за пределами национальных юрисдикций. МОК способствовала дальнейшему повышению эффективности обмена океаническими данными и соответствующих услуг, развитию научных исследований в таких ключевых научных областях, как закисление и </w:t>
      </w:r>
      <w:proofErr w:type="spellStart"/>
      <w:r w:rsidRPr="00873972">
        <w:rPr>
          <w:rFonts w:asciiTheme="minorBidi" w:hAnsiTheme="minorBidi" w:cstheme="minorBidi"/>
          <w:sz w:val="22"/>
          <w:szCs w:val="22"/>
        </w:rPr>
        <w:t>деоксигенация</w:t>
      </w:r>
      <w:proofErr w:type="spellEnd"/>
      <w:r w:rsidRPr="00873972">
        <w:rPr>
          <w:rFonts w:asciiTheme="minorBidi" w:hAnsiTheme="minorBidi" w:cstheme="minorBidi"/>
          <w:sz w:val="22"/>
          <w:szCs w:val="22"/>
        </w:rPr>
        <w:t xml:space="preserve"> океана, расширению взаимодействия между наукой и политикой, укреплению потенциала в области науки об океане в своих государствах-членах, в первую очередь из числа стран Африки и МОСРГ, и поощрению гендерного равенства в области науки об океане. МОК также добилась </w:t>
      </w:r>
      <w:proofErr w:type="gramStart"/>
      <w:r w:rsidRPr="00873972">
        <w:rPr>
          <w:rFonts w:asciiTheme="minorBidi" w:hAnsiTheme="minorBidi" w:cstheme="minorBidi"/>
          <w:sz w:val="22"/>
          <w:szCs w:val="22"/>
        </w:rPr>
        <w:t>значительных результатов</w:t>
      </w:r>
      <w:proofErr w:type="gramEnd"/>
      <w:r w:rsidRPr="00873972">
        <w:rPr>
          <w:rFonts w:asciiTheme="minorBidi" w:hAnsiTheme="minorBidi" w:cstheme="minorBidi"/>
          <w:sz w:val="22"/>
          <w:szCs w:val="22"/>
        </w:rPr>
        <w:t xml:space="preserve"> в повышении уровня грамотности в связанных с океаном вопросах, способствуя тем самым выполнению задачи 7 ЦУР 4, касающейся качественного образования.</w:t>
      </w:r>
    </w:p>
    <w:p w14:paraId="33F3CB84" w14:textId="77777777" w:rsidR="00873972" w:rsidRPr="00873972" w:rsidRDefault="00873972" w:rsidP="00873972">
      <w:pPr>
        <w:pStyle w:val="ListParagraph"/>
        <w:numPr>
          <w:ilvl w:val="0"/>
          <w:numId w:val="23"/>
        </w:numPr>
        <w:adjustRightInd w:val="0"/>
        <w:spacing w:after="240"/>
        <w:ind w:left="0" w:firstLine="0"/>
        <w:contextualSpacing w:val="0"/>
        <w:jc w:val="both"/>
        <w:rPr>
          <w:rFonts w:asciiTheme="minorBidi" w:hAnsiTheme="minorBidi" w:cstheme="minorBidi"/>
          <w:color w:val="000000"/>
          <w:sz w:val="22"/>
          <w:szCs w:val="22"/>
        </w:rPr>
      </w:pPr>
      <w:r w:rsidRPr="00873972">
        <w:rPr>
          <w:rFonts w:asciiTheme="minorBidi" w:hAnsiTheme="minorBidi" w:cstheme="minorBidi"/>
          <w:sz w:val="22"/>
          <w:szCs w:val="22"/>
        </w:rPr>
        <w:t>Руководство такой масштабной и успешной глобальной программой, как Десятилетие океана, при одновременном усилении основных программ МОК требует значительных дополнительных ресурсов. Для обеспечения успеха необходимо укрепить ключевые стратегические партнерства и создать новые.</w:t>
      </w:r>
    </w:p>
    <w:p w14:paraId="4950B736" w14:textId="49842C94" w:rsidR="00873972" w:rsidRPr="00873972" w:rsidRDefault="00873972" w:rsidP="00873972">
      <w:pPr>
        <w:rPr>
          <w:rFonts w:ascii="Arial" w:hAnsi="Arial" w:cs="Arial"/>
          <w:snapToGrid/>
          <w:sz w:val="22"/>
          <w:szCs w:val="22"/>
          <w:lang w:val="en-US"/>
        </w:rPr>
      </w:pPr>
      <w:r w:rsidRPr="00873972">
        <w:rPr>
          <w:rFonts w:ascii="Arial" w:hAnsi="Arial" w:cs="Arial"/>
          <w:snapToGrid/>
          <w:sz w:val="22"/>
          <w:szCs w:val="22"/>
          <w:lang w:val="en-US"/>
        </w:rPr>
        <w:lastRenderedPageBreak/>
        <w:t>[…]</w:t>
      </w:r>
    </w:p>
    <w:p w14:paraId="1EAABBF6" w14:textId="08332B2F" w:rsidR="00873972" w:rsidRPr="00873972" w:rsidRDefault="00873972" w:rsidP="007A68F1">
      <w:pPr>
        <w:tabs>
          <w:tab w:val="clear" w:pos="567"/>
        </w:tabs>
        <w:snapToGrid/>
        <w:rPr>
          <w:rFonts w:ascii="Arial" w:eastAsia="Times New Roman" w:hAnsi="Arial" w:cs="Arial"/>
          <w:i/>
          <w:sz w:val="22"/>
          <w:szCs w:val="22"/>
          <w:lang w:eastAsia="en-US"/>
        </w:rPr>
      </w:pPr>
    </w:p>
    <w:p w14:paraId="079AC298" w14:textId="1C53EB2C" w:rsidR="00873972" w:rsidRPr="00873972" w:rsidRDefault="00873972" w:rsidP="00873972">
      <w:pPr>
        <w:spacing w:after="240"/>
        <w:rPr>
          <w:rFonts w:asciiTheme="minorBidi" w:hAnsiTheme="minorBidi" w:cstheme="minorBidi"/>
          <w:b/>
          <w:bCs/>
          <w:sz w:val="22"/>
          <w:szCs w:val="22"/>
        </w:rPr>
      </w:pPr>
      <w:r w:rsidRPr="00873972">
        <w:rPr>
          <w:rFonts w:asciiTheme="minorBidi" w:hAnsiTheme="minorBidi" w:cstheme="minorBidi"/>
          <w:b/>
          <w:bCs/>
          <w:sz w:val="22"/>
          <w:szCs w:val="22"/>
        </w:rPr>
        <w:t>Основные тенденции, задачи и возможности</w:t>
      </w:r>
    </w:p>
    <w:p w14:paraId="5727F272" w14:textId="77777777" w:rsidR="00873972" w:rsidRPr="00873972" w:rsidRDefault="00873972" w:rsidP="00873972">
      <w:pPr>
        <w:pStyle w:val="ListParagraph"/>
        <w:numPr>
          <w:ilvl w:val="0"/>
          <w:numId w:val="24"/>
        </w:numPr>
        <w:adjustRightInd w:val="0"/>
        <w:spacing w:after="240"/>
        <w:ind w:left="0" w:hanging="1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ходе четырехлетнего периода </w:t>
      </w:r>
      <w:proofErr w:type="gramStart"/>
      <w:r w:rsidRPr="00873972">
        <w:rPr>
          <w:rFonts w:asciiTheme="minorBidi" w:hAnsiTheme="minorBidi" w:cstheme="minorBidi"/>
          <w:sz w:val="22"/>
          <w:szCs w:val="22"/>
        </w:rPr>
        <w:t>2018-2021</w:t>
      </w:r>
      <w:proofErr w:type="gramEnd"/>
      <w:r w:rsidRPr="00873972">
        <w:rPr>
          <w:rFonts w:asciiTheme="minorBidi" w:hAnsiTheme="minorBidi" w:cstheme="minorBidi"/>
          <w:sz w:val="22"/>
          <w:szCs w:val="22"/>
        </w:rPr>
        <w:t xml:space="preserve"> гг., несмотря на определенные проблемы в области наблюдений за океаном и обмена данными, вызванные пандемией COVID-19, МОК удалось добиться дальнейшего развития международного сотрудничества в области науки об океане в интересах устойчивого управления морскими ресурсами.</w:t>
      </w:r>
    </w:p>
    <w:p w14:paraId="328CE638"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После принятия Генеральной Ассамблеей ООН плана проведения Десятилетия Организации Объединенных Наций, посвященного науке об океане в интересах устойчивого развития (именуемого далее «Десятилетие океана») (</w:t>
      </w:r>
      <w:proofErr w:type="gramStart"/>
      <w:r w:rsidRPr="00873972">
        <w:rPr>
          <w:rFonts w:asciiTheme="minorBidi" w:hAnsiTheme="minorBidi" w:cstheme="minorBidi"/>
          <w:sz w:val="22"/>
          <w:szCs w:val="22"/>
        </w:rPr>
        <w:t>2021-2030</w:t>
      </w:r>
      <w:proofErr w:type="gramEnd"/>
      <w:r w:rsidRPr="00873972">
        <w:rPr>
          <w:rFonts w:asciiTheme="minorBidi" w:hAnsiTheme="minorBidi" w:cstheme="minorBidi"/>
          <w:sz w:val="22"/>
          <w:szCs w:val="22"/>
        </w:rPr>
        <w:t xml:space="preserve"> гг.), МОК создала ряд глобальных и региональных координационных механизмов, включая десятки сообществ специалистов-практиков. По итогам первого запроса предложений о проведении связанных с Десятилетием мероприятий была одобрена 31 программа преобразований и другие крупные инициативы. Комиссия успешно выполняла свою роль куратора в разработке методологии для оказания государствам-членам поддержки в достижении целевых показателей 14.3.1 и 14.a.1 ЦУР. Она внесла вклад в информационное обеспечение процесса переговоров по международному юридически обязывающему документу о сохранении и устойчивом использовании морского биологического разнообразия в районах за пределами действия национальной юрисдикции и способствовала дальнейшему повышению эффективности обмена океаническими данными и услугами, развитию научных исследований в таких ключевых научных областях, как закисление и </w:t>
      </w:r>
      <w:proofErr w:type="spellStart"/>
      <w:r w:rsidRPr="00873972">
        <w:rPr>
          <w:rFonts w:asciiTheme="minorBidi" w:hAnsiTheme="minorBidi" w:cstheme="minorBidi"/>
          <w:sz w:val="22"/>
          <w:szCs w:val="22"/>
        </w:rPr>
        <w:t>деоксигенация</w:t>
      </w:r>
      <w:proofErr w:type="spellEnd"/>
      <w:r w:rsidRPr="00873972">
        <w:rPr>
          <w:rFonts w:asciiTheme="minorBidi" w:hAnsiTheme="minorBidi" w:cstheme="minorBidi"/>
          <w:sz w:val="22"/>
          <w:szCs w:val="22"/>
        </w:rPr>
        <w:t xml:space="preserve"> океана, расширению взаимодействия между наукой и политикой, укреплению потенциала в области науки об океане в своих государствах-членах, в частности в Африке и МОСРГ, и поощрению гендерного равенства в области науки об океане. МОК также добилась </w:t>
      </w:r>
      <w:proofErr w:type="gramStart"/>
      <w:r w:rsidRPr="00873972">
        <w:rPr>
          <w:rFonts w:asciiTheme="minorBidi" w:hAnsiTheme="minorBidi" w:cstheme="minorBidi"/>
          <w:sz w:val="22"/>
          <w:szCs w:val="22"/>
        </w:rPr>
        <w:t>значительных результатов</w:t>
      </w:r>
      <w:proofErr w:type="gramEnd"/>
      <w:r w:rsidRPr="00873972">
        <w:rPr>
          <w:rFonts w:asciiTheme="minorBidi" w:hAnsiTheme="minorBidi" w:cstheme="minorBidi"/>
          <w:sz w:val="22"/>
          <w:szCs w:val="22"/>
        </w:rPr>
        <w:t xml:space="preserve"> в повышении грамотности в связанных с океаном вопросах, способствуя тем самым выполнению задачи 7 ЦУР 4, касающейся качественного образования. Были организованы серии виртуальных мероприятий Десятилетия океана с целью формирования глобального сообщества в интересах женщин, занимающихся наукой об океане, для поддержки и расширения их прав и возможностей на всех уровнях профессиональной деятельности.</w:t>
      </w:r>
    </w:p>
    <w:p w14:paraId="6268ADE9"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рамках этой работы МОК продолжала укреплять свое сотрудничество с учреждениями системы ООН и другими организациями. Опираясь на широкую поддержку своих государств-членов, Комиссия продолжала развивать отношения с многосторонними партнерами, такими как ГЭФ, ЕК, Тихоокеанское сообщество и Ассоциация стран </w:t>
      </w:r>
      <w:proofErr w:type="spellStart"/>
      <w:r w:rsidRPr="00873972">
        <w:rPr>
          <w:rFonts w:asciiTheme="minorBidi" w:hAnsiTheme="minorBidi" w:cstheme="minorBidi"/>
          <w:sz w:val="22"/>
          <w:szCs w:val="22"/>
        </w:rPr>
        <w:t>Индоокеанского</w:t>
      </w:r>
      <w:proofErr w:type="spellEnd"/>
      <w:r w:rsidRPr="00873972">
        <w:rPr>
          <w:rFonts w:asciiTheme="minorBidi" w:hAnsiTheme="minorBidi" w:cstheme="minorBidi"/>
          <w:sz w:val="22"/>
          <w:szCs w:val="22"/>
        </w:rPr>
        <w:t xml:space="preserve"> кольца, а также с партнерами из частного сектора, такими как Фонд океанических исследований AXA, компании FUGRO, </w:t>
      </w:r>
      <w:proofErr w:type="spellStart"/>
      <w:r w:rsidRPr="00873972">
        <w:rPr>
          <w:rFonts w:asciiTheme="minorBidi" w:hAnsiTheme="minorBidi" w:cstheme="minorBidi"/>
          <w:sz w:val="22"/>
          <w:szCs w:val="22"/>
        </w:rPr>
        <w:t>Panerai</w:t>
      </w:r>
      <w:proofErr w:type="spellEnd"/>
      <w:r w:rsidRPr="00873972">
        <w:rPr>
          <w:rFonts w:asciiTheme="minorBidi" w:hAnsiTheme="minorBidi" w:cstheme="minorBidi"/>
          <w:sz w:val="22"/>
          <w:szCs w:val="22"/>
        </w:rPr>
        <w:t xml:space="preserve"> и Prada. Она продолжала принимать меры для стимулирования участия гражданского общества, в частности сообщества мореплавателей в рамках сотрудничества с Международной ассоциацией однокорпусных судов открытого класса. Начал набирать динамику Альянс в поддержку Десятилетия океана, к которому присоединились многие мировые лидеры и организации.</w:t>
      </w:r>
    </w:p>
    <w:p w14:paraId="64E4ACFE"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Благодаря принятым в ходе этого четырехлетнего периода мерам и достигнутым результатам МОК готова взаимодействовать со своими партнерами в целях успешной координации проведения Десятилетия океана и выполнения его амбициозной задачи по выработке научных решений, способных обратить вспять процесс ухудшения состояния океана и принести значительные выгоды для всего человечества.</w:t>
      </w:r>
    </w:p>
    <w:p w14:paraId="33CD74F3" w14:textId="2398C327" w:rsidR="00873972" w:rsidRPr="00873972" w:rsidRDefault="00873972" w:rsidP="00873972">
      <w:pPr>
        <w:pStyle w:val="Marge"/>
        <w:rPr>
          <w:rFonts w:asciiTheme="minorBidi" w:hAnsiTheme="minorBidi" w:cstheme="minorBidi"/>
          <w:b/>
          <w:bCs/>
          <w:sz w:val="22"/>
          <w:szCs w:val="22"/>
        </w:rPr>
      </w:pPr>
      <w:r w:rsidRPr="00873972">
        <w:rPr>
          <w:rFonts w:asciiTheme="minorBidi" w:hAnsiTheme="minorBidi" w:cstheme="minorBidi"/>
          <w:b/>
          <w:bCs/>
          <w:sz w:val="22"/>
          <w:szCs w:val="22"/>
        </w:rPr>
        <w:t>Основные результаты, достигнутые за четырехлетний период</w:t>
      </w:r>
    </w:p>
    <w:p w14:paraId="6C0C5E99"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По итогам возглавляемого МОК процесса широких консультаций в рамках Десятилетия океана ООН был разработан всеобъемлющий и основанный на вовлечении местных общин план проведения Десятилетия ООН, посвященного науке об океане в интересах устойчивого развития (</w:t>
      </w:r>
      <w:proofErr w:type="gramStart"/>
      <w:r w:rsidRPr="00873972">
        <w:rPr>
          <w:rFonts w:asciiTheme="minorBidi" w:hAnsiTheme="minorBidi" w:cstheme="minorBidi"/>
          <w:sz w:val="22"/>
          <w:szCs w:val="22"/>
        </w:rPr>
        <w:t>2021-2030</w:t>
      </w:r>
      <w:proofErr w:type="gramEnd"/>
      <w:r w:rsidRPr="00873972">
        <w:rPr>
          <w:rFonts w:asciiTheme="minorBidi" w:hAnsiTheme="minorBidi" w:cstheme="minorBidi"/>
          <w:sz w:val="22"/>
          <w:szCs w:val="22"/>
        </w:rPr>
        <w:t xml:space="preserve"> гг.), предполагающий конструктивное распределение обязанностей между всеми партнерами в рамках системы ООН. В июне 2021 г. Ассамблея МОК утвердила </w:t>
      </w:r>
      <w:r w:rsidRPr="00873972">
        <w:rPr>
          <w:rFonts w:asciiTheme="minorBidi" w:hAnsiTheme="minorBidi" w:cstheme="minorBidi"/>
          <w:sz w:val="22"/>
          <w:szCs w:val="22"/>
        </w:rPr>
        <w:lastRenderedPageBreak/>
        <w:t xml:space="preserve">круг ведения Консультативного совета по проведению Десятилетия, который был учрежден в декабре 2021 г. по итогам международного запроса о выдвижении кандидатур. В результате первого запроса предложений о проведении связанных с Десятилетием мероприятий было получено около 250 предложений потенциальных мероприятий в рамках Десятилетия. В их числе были представлены: 31 программа преобразований, 10 мероприятий Десятилетия под руководством ООН и более 40 предложений об оказании поддержки, охватывающих различные темы, такие как использование науки об океане для поддержки разработки политики в МОСРГ Тихого океана, повышение грамотности в связанных с океаном вопросах, исследования и управление глубоководными районами, управление экосистемами океана с учетом многочисленных </w:t>
      </w:r>
      <w:proofErr w:type="spellStart"/>
      <w:r w:rsidRPr="00873972">
        <w:rPr>
          <w:rFonts w:asciiTheme="minorBidi" w:hAnsiTheme="minorBidi" w:cstheme="minorBidi"/>
          <w:sz w:val="22"/>
          <w:szCs w:val="22"/>
        </w:rPr>
        <w:t>стрессогенных</w:t>
      </w:r>
      <w:proofErr w:type="spellEnd"/>
      <w:r w:rsidRPr="00873972">
        <w:rPr>
          <w:rFonts w:asciiTheme="minorBidi" w:hAnsiTheme="minorBidi" w:cstheme="minorBidi"/>
          <w:sz w:val="22"/>
          <w:szCs w:val="22"/>
        </w:rPr>
        <w:t xml:space="preserve"> факторов, подводное культурное наследие, наблюдения за океаном, устойчивость прибрежных районов и устойчивое рыболовство. Второй запрос предложений о проведении связанных с Десятилетием мероприятий в октябре 2021 г. был ориентирован на принятие научно обоснованных мер и выработку решений в области борьбы с загрязнением морской среды, устойчивости экосистем и взаимосвязи проблематик океана и климата. Помимо глобального мероприятия высокого уровня, посвященного началу Десятилетия, в котором приняли участие несколько глав государств и руководителей учреждений системы ООН, в 2021 г. МОК организовала приуроченные к началу Десятилетия океана ООН конференции для западной части Тихого океана и тропической зоны западной части Атлантического океана, а также приступила к подготовке крупной конференции по случаю начала Десятилетия, которая состоится во второй половине 2021 г. и будет посвящена океанографии на службе устойчивого развития Африки. Дальнейшие обязательства и партнерства, которые предстоит развивать в 2022 г., включают международный саммит «Единый океан» во Франции, конференцию «Наш океан», организуемую США и Палау, и Лиссабонскую конференцию ООН по океану, которую проведут Кения и Португалия.</w:t>
      </w:r>
    </w:p>
    <w:p w14:paraId="319608FF"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Руководство МОК принимало активное участие в процессе переговоров по международному юридически обязывающему документу о сохранении и устойчивом использовании морского биологического разнообразия в районах за пределами действия национальной юрисдикции. В октябре 2020 г. в рамках подготовки процесса переговоров Секретариат опубликовал неофициальный документ о нынешнем и потенциальном вкладе МОК ЮНЕСКО в процесс подготовки международного юридически обязывающего документа о сохранении и устойчивом использовании морского биологического разнообразия в районах за пределами действия национальной юрисдикции в областях морских исследований, данных, развития потенциала и передачи морской технологии (IOC/INF-1387). В ноябре 2021 г. специальная информационная сессия для государств – членов ООН была посвящена работе МОК в области создания информационно-координационного механизма по обмену океаническими данными и информацией, а также развития потенциала.</w:t>
      </w:r>
    </w:p>
    <w:p w14:paraId="63E3EA63"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четырехлетний период достигнут значительный прогресс в разработке методологии для оказания государствам-членам поддержки в достижении находящихся в ведении МОК целевых показателей 14.3.1 и 14.a.1 ЦУР, а также в представлении соответствующей отчетности. Был разработан специализированный портал для сбора </w:t>
      </w:r>
      <w:r w:rsidRPr="00873972">
        <w:rPr>
          <w:rFonts w:asciiTheme="minorBidi" w:hAnsiTheme="minorBidi" w:cstheme="minorBidi"/>
          <w:b/>
          <w:bCs/>
          <w:sz w:val="22"/>
          <w:szCs w:val="22"/>
        </w:rPr>
        <w:t xml:space="preserve">данных о закислении океана </w:t>
      </w:r>
      <w:r w:rsidRPr="00873972">
        <w:rPr>
          <w:rFonts w:asciiTheme="minorBidi" w:hAnsiTheme="minorBidi" w:cstheme="minorBidi"/>
          <w:sz w:val="22"/>
          <w:szCs w:val="22"/>
        </w:rPr>
        <w:t xml:space="preserve">и проведены соответствующие мероприятия по развитию потенциала на региональном уровне для обеспечения соблюдения требований к данным, предусмотренным в задаче 3.1 ЦУР 14. В связи с празднованием 60-летия МОК 14 декабря 2020 г. было представлено второе издание </w:t>
      </w:r>
      <w:r w:rsidRPr="00873972">
        <w:rPr>
          <w:rFonts w:asciiTheme="minorBidi" w:hAnsiTheme="minorBidi" w:cstheme="minorBidi"/>
          <w:b/>
          <w:bCs/>
          <w:sz w:val="22"/>
          <w:szCs w:val="22"/>
        </w:rPr>
        <w:t xml:space="preserve">Научного доклада о Мировом океане </w:t>
      </w:r>
      <w:r w:rsidRPr="00873972">
        <w:rPr>
          <w:rFonts w:asciiTheme="minorBidi" w:hAnsiTheme="minorBidi" w:cstheme="minorBidi"/>
          <w:sz w:val="22"/>
          <w:szCs w:val="22"/>
        </w:rPr>
        <w:t>(НДМО). Доклад не только предоставляет прочную основу для измерения прогресса в выполнении задачи ЦУР 14.a, но и содержит исходные показатели уровня потенциала в области наук об океане и соответствующих инвестиций, что позволит использовать его в качестве средства мониторинга в рамках Десятилетия ООН. Данные с разбивкой по полу, которые приводятся в НДМО, будут и далее использоваться в качестве одного из механизмов мониторинга прогресса.</w:t>
      </w:r>
    </w:p>
    <w:p w14:paraId="39A3CA4E"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апреле 2021 г. в рамках глобального мероприятия, на котором выступили представители МОК, была представлена вторая </w:t>
      </w:r>
      <w:r w:rsidRPr="00873972">
        <w:rPr>
          <w:rFonts w:asciiTheme="minorBidi" w:hAnsiTheme="minorBidi" w:cstheme="minorBidi"/>
          <w:b/>
          <w:bCs/>
          <w:sz w:val="22"/>
          <w:szCs w:val="22"/>
        </w:rPr>
        <w:t>Оценка состояния Мирового океана</w:t>
      </w:r>
      <w:r w:rsidRPr="00873972">
        <w:rPr>
          <w:rFonts w:asciiTheme="minorBidi" w:hAnsiTheme="minorBidi" w:cstheme="minorBidi"/>
          <w:sz w:val="22"/>
          <w:szCs w:val="22"/>
        </w:rPr>
        <w:t xml:space="preserve"> ООН, а также было объявлено о начале третьего цикла регулярного процесса ООН по оценке состояния </w:t>
      </w:r>
      <w:r w:rsidRPr="00873972">
        <w:rPr>
          <w:rFonts w:asciiTheme="minorBidi" w:hAnsiTheme="minorBidi" w:cstheme="minorBidi"/>
          <w:sz w:val="22"/>
          <w:szCs w:val="22"/>
        </w:rPr>
        <w:lastRenderedPageBreak/>
        <w:t>морской среды. В этом контексте МОК и ОВОМП определили конкретные направления сотрудничества в области взаимодействия между наукой и политикой, развития потенциала и синергии с деятельностью в рамках Десятилетия океана.</w:t>
      </w:r>
    </w:p>
    <w:p w14:paraId="5B94F338"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Используя взаимосвязь </w:t>
      </w:r>
      <w:r w:rsidRPr="00873972">
        <w:rPr>
          <w:rFonts w:asciiTheme="minorBidi" w:hAnsiTheme="minorBidi" w:cstheme="minorBidi"/>
          <w:b/>
          <w:bCs/>
          <w:sz w:val="22"/>
          <w:szCs w:val="22"/>
        </w:rPr>
        <w:t>науки и политики</w:t>
      </w:r>
      <w:r w:rsidRPr="00873972">
        <w:rPr>
          <w:rFonts w:asciiTheme="minorBidi" w:hAnsiTheme="minorBidi" w:cstheme="minorBidi"/>
          <w:sz w:val="22"/>
          <w:szCs w:val="22"/>
        </w:rPr>
        <w:t xml:space="preserve">, МОК смогла разработать консолидированную многостороннюю программу исследований и наблюдений за океаническим углеродом в поддержку осуществления Рамочной конвенции ООН об изменении климата (РКИКООН) и ее Парижского соглашения. В этой связи МОК приняла активное участие в исследовательских диалогах ВОКНТА РКИКООН, играла ведущую роль в инициативе «Океанический путь» </w:t>
      </w:r>
      <w:proofErr w:type="spellStart"/>
      <w:r w:rsidRPr="00873972">
        <w:rPr>
          <w:rFonts w:asciiTheme="minorBidi" w:hAnsiTheme="minorBidi" w:cstheme="minorBidi"/>
          <w:sz w:val="22"/>
          <w:szCs w:val="22"/>
        </w:rPr>
        <w:t>Марракешского</w:t>
      </w:r>
      <w:proofErr w:type="spellEnd"/>
      <w:r w:rsidRPr="00873972">
        <w:rPr>
          <w:rFonts w:asciiTheme="minorBidi" w:hAnsiTheme="minorBidi" w:cstheme="minorBidi"/>
          <w:sz w:val="22"/>
          <w:szCs w:val="22"/>
        </w:rPr>
        <w:t xml:space="preserve"> партнерства государств, не являющихся Сторонами Конвенции, а также внесла вклад в информационное обеспечение процесса планирования КС-26, в частности Дня действий в интересах океана. МОК активно участвовала в КС-26 и КС-27, организовав более десятка мероприятий, посвященных вкладу науки об океане в адаптацию к изменению климата и смягчение его последствий, освещая работу в рамках Десятилетия океана с акцентом на деятельность Комиссии в области подкисления океана, достижения ЦУР 14, голубого углерода, наблюдений за океаном и развития потенциала.</w:t>
      </w:r>
    </w:p>
    <w:p w14:paraId="7C437FDC"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Налаживание регулярного диалога по вопросам взаимосвязи между океаном и климатом в ходе КС-26 задало ориентацию для будущей работы МОК. МОК продолжала оказывать поддержку глобальной системе наблюдений за закислением океана, выступая одним из координаторов Инициативы по голубому углероду совместно с Международным фондом охраны природы и МСОП, а также руководила совместно с ФАО и СКОР процессом изучения и регулирования вредоносных водорослей. С 2020 г. в рамках МОК работает секретариат Международного партнерства по </w:t>
      </w:r>
      <w:r w:rsidRPr="00873972">
        <w:rPr>
          <w:rFonts w:asciiTheme="minorBidi" w:hAnsiTheme="minorBidi" w:cstheme="minorBidi"/>
          <w:b/>
          <w:bCs/>
          <w:sz w:val="22"/>
          <w:szCs w:val="22"/>
        </w:rPr>
        <w:t>голубому углероду</w:t>
      </w:r>
      <w:r w:rsidRPr="00873972">
        <w:rPr>
          <w:rFonts w:asciiTheme="minorBidi" w:hAnsiTheme="minorBidi" w:cstheme="minorBidi"/>
          <w:sz w:val="22"/>
          <w:szCs w:val="22"/>
        </w:rPr>
        <w:t xml:space="preserve">, финансируемый Австралией. В рамках работы </w:t>
      </w:r>
      <w:proofErr w:type="spellStart"/>
      <w:r w:rsidRPr="00873972">
        <w:rPr>
          <w:rFonts w:asciiTheme="minorBidi" w:hAnsiTheme="minorBidi" w:cstheme="minorBidi"/>
          <w:sz w:val="22"/>
          <w:szCs w:val="22"/>
        </w:rPr>
        <w:t>межучрежденческой</w:t>
      </w:r>
      <w:proofErr w:type="spellEnd"/>
      <w:r w:rsidRPr="00873972">
        <w:rPr>
          <w:rFonts w:asciiTheme="minorBidi" w:hAnsiTheme="minorBidi" w:cstheme="minorBidi"/>
          <w:sz w:val="22"/>
          <w:szCs w:val="22"/>
        </w:rPr>
        <w:t xml:space="preserve"> Группы экспертов ООН по научным аспектам защиты морской среды МОК совместно с ИМО приступила к разработке руководящих принципов по вопросам </w:t>
      </w:r>
      <w:proofErr w:type="spellStart"/>
      <w:r w:rsidRPr="00873972">
        <w:rPr>
          <w:rFonts w:asciiTheme="minorBidi" w:hAnsiTheme="minorBidi" w:cstheme="minorBidi"/>
          <w:sz w:val="22"/>
          <w:szCs w:val="22"/>
        </w:rPr>
        <w:t>биозагрязнения</w:t>
      </w:r>
      <w:proofErr w:type="spellEnd"/>
      <w:r w:rsidRPr="00873972">
        <w:rPr>
          <w:rFonts w:asciiTheme="minorBidi" w:hAnsiTheme="minorBidi" w:cstheme="minorBidi"/>
          <w:sz w:val="22"/>
          <w:szCs w:val="22"/>
        </w:rPr>
        <w:t xml:space="preserve"> и борьбы с распространением инвазивных морских видов. Работа экспертов по чужеродным видам составляет основное направление финансируемого Испанией проекта, осуществляемого в крупной морской экосистеме </w:t>
      </w:r>
      <w:proofErr w:type="spellStart"/>
      <w:r w:rsidRPr="00873972">
        <w:rPr>
          <w:rFonts w:asciiTheme="minorBidi" w:hAnsiTheme="minorBidi" w:cstheme="minorBidi"/>
          <w:sz w:val="22"/>
          <w:szCs w:val="22"/>
        </w:rPr>
        <w:t>Канарского</w:t>
      </w:r>
      <w:proofErr w:type="spellEnd"/>
      <w:r w:rsidRPr="00873972">
        <w:rPr>
          <w:rFonts w:asciiTheme="minorBidi" w:hAnsiTheme="minorBidi" w:cstheme="minorBidi"/>
          <w:sz w:val="22"/>
          <w:szCs w:val="22"/>
        </w:rPr>
        <w:t xml:space="preserve"> течения. Стремясь к повышению эффективности реагирования на потребности государств-членов, региональные вспомогательные органы МОК активизировали поддержку и предоставление услуг на региональном уровне и на уровне государств-членов.</w:t>
      </w:r>
    </w:p>
    <w:p w14:paraId="448D16EE"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Финансируемый ЕС глобальный проект «</w:t>
      </w:r>
      <w:r w:rsidRPr="00873972">
        <w:rPr>
          <w:rFonts w:asciiTheme="minorBidi" w:hAnsiTheme="minorBidi" w:cstheme="minorBidi"/>
          <w:b/>
          <w:bCs/>
          <w:sz w:val="22"/>
          <w:szCs w:val="22"/>
        </w:rPr>
        <w:t>Морское пространственное планирование</w:t>
      </w:r>
      <w:r w:rsidRPr="00873972">
        <w:rPr>
          <w:rFonts w:asciiTheme="minorBidi" w:hAnsiTheme="minorBidi" w:cstheme="minorBidi"/>
          <w:sz w:val="22"/>
          <w:szCs w:val="22"/>
        </w:rPr>
        <w:t>» (МПП Глобал) способствовал повышению уровня информированности и развитию потенциала государственных органов и заинтересованных сторон. Основным результатом проекта стала разработка нового комплекса международных руководящих принципов в области МПП, который был представлен в октябре 2021 г. на заключительной конференции проекта. Финансирование, предоставленное правительством Швеции, способствовало дальнейшему развитию МПП в Африке, Юго-Восточной Азии и странах Карибского бассейна. МОК активизировала свое сотрудничество с Глобальным экологическим фондом в рамках двух региональных проектов для крупных морских экосистем Черного и Саргассова морей в дополнение к новому международному глобальному учебному проекту, посвященному водным ресурсам. В январе 2021 г. МОК организовала 37-е совещание руководящего комитета ГЕБКО и симпозиум ГЕБКО, внеся свой вклад в проведение Десятилетия океана в области содействия кампаниям по составлению карт океана.</w:t>
      </w:r>
    </w:p>
    <w:p w14:paraId="73B5739C"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2019 г. МОК приняла стратегию </w:t>
      </w:r>
      <w:r w:rsidRPr="00873972">
        <w:rPr>
          <w:rFonts w:asciiTheme="minorBidi" w:hAnsiTheme="minorBidi" w:cstheme="minorBidi"/>
          <w:b/>
          <w:bCs/>
          <w:sz w:val="22"/>
          <w:szCs w:val="22"/>
        </w:rPr>
        <w:t>Глобальной системы наблюдений за океаном </w:t>
      </w:r>
      <w:r w:rsidRPr="00873972">
        <w:rPr>
          <w:rFonts w:asciiTheme="minorBidi" w:hAnsiTheme="minorBidi" w:cstheme="minorBidi"/>
          <w:sz w:val="22"/>
          <w:szCs w:val="22"/>
        </w:rPr>
        <w:t>(ГСНО) на период до 2030 г., которая в настоящее время лежит в основе работы основной группы ГСНО, состоящей из различных дискуссионных и координационных групп, а также групп экспертов. В 2020 г. ГСНО опубликовала дорожную карту, призванную помочь странам, партнерам и спонсорам определить совместные действия по осуществлению этой стратегии. Аналогичным образом, сообщество специалистов в области океанических данных мобилизовало свои ресурсы для активизации своей работы. В апреле 2020 г. началось осуществление проекта «</w:t>
      </w:r>
      <w:proofErr w:type="spellStart"/>
      <w:r w:rsidRPr="00873972">
        <w:rPr>
          <w:rFonts w:asciiTheme="minorBidi" w:hAnsiTheme="minorBidi" w:cstheme="minorBidi"/>
          <w:sz w:val="22"/>
          <w:szCs w:val="22"/>
        </w:rPr>
        <w:t>Инфоцентр</w:t>
      </w:r>
      <w:proofErr w:type="spellEnd"/>
      <w:r w:rsidRPr="00873972">
        <w:rPr>
          <w:rFonts w:asciiTheme="minorBidi" w:hAnsiTheme="minorBidi" w:cstheme="minorBidi"/>
          <w:sz w:val="22"/>
          <w:szCs w:val="22"/>
        </w:rPr>
        <w:t xml:space="preserve">-Океан», финансируемого правительством Фландрии (Бельгия), который стал первым этапом в создании Системы океанографических данных и информации (ОДИС). </w:t>
      </w:r>
      <w:r w:rsidRPr="00873972">
        <w:rPr>
          <w:rFonts w:asciiTheme="minorBidi" w:hAnsiTheme="minorBidi" w:cstheme="minorBidi"/>
          <w:sz w:val="22"/>
          <w:szCs w:val="22"/>
        </w:rPr>
        <w:lastRenderedPageBreak/>
        <w:t xml:space="preserve">На начальном этапе он сосредоточен на регионе Латинской Америки, Африке и тихоокеанских МОСРГ. Кроме того, началось осуществление двух других новых проектов: сеть оповещения тихоокеанских островов о морском </w:t>
      </w:r>
      <w:proofErr w:type="spellStart"/>
      <w:r w:rsidRPr="00873972">
        <w:rPr>
          <w:rFonts w:asciiTheme="minorBidi" w:hAnsiTheme="minorBidi" w:cstheme="minorBidi"/>
          <w:sz w:val="22"/>
          <w:szCs w:val="22"/>
        </w:rPr>
        <w:t>биовторжении</w:t>
      </w:r>
      <w:proofErr w:type="spellEnd"/>
      <w:r w:rsidRPr="00873972">
        <w:rPr>
          <w:rFonts w:asciiTheme="minorBidi" w:hAnsiTheme="minorBidi" w:cstheme="minorBidi"/>
          <w:sz w:val="22"/>
          <w:szCs w:val="22"/>
        </w:rPr>
        <w:t xml:space="preserve"> (</w:t>
      </w:r>
      <w:proofErr w:type="spellStart"/>
      <w:r w:rsidRPr="00873972">
        <w:rPr>
          <w:rFonts w:asciiTheme="minorBidi" w:hAnsiTheme="minorBidi" w:cstheme="minorBidi"/>
          <w:sz w:val="22"/>
          <w:szCs w:val="22"/>
        </w:rPr>
        <w:t>PacMAN</w:t>
      </w:r>
      <w:proofErr w:type="spellEnd"/>
      <w:r w:rsidRPr="00873972">
        <w:rPr>
          <w:rFonts w:asciiTheme="minorBidi" w:hAnsiTheme="minorBidi" w:cstheme="minorBidi"/>
          <w:sz w:val="22"/>
          <w:szCs w:val="22"/>
        </w:rPr>
        <w:t xml:space="preserve">) и вторая глобальная академия «Океан-инструктор». Информационная система по океаническому биоразнообразию, отметившая 20-летие своей работы, по-прежнему часто упоминается в научной литературе как инструмент поддержки исследователей и предоставляет статистические данные для глобальных и региональных оценок, проводимых, в частности, в рамках Регулярного процесса глобальной оценки состояния морской среды ООН (Оценка состояния Мирового океана) и Межправительственной платформы по биоразнообразию и экосистемным услугам (МПБЭУ), а также для недавно выпущенного глобального доклада о положении дел в области вредоносного цветения водорослей, подготовленного под руководством МОК. В рамках программы </w:t>
      </w:r>
      <w:proofErr w:type="spellStart"/>
      <w:r w:rsidRPr="00873972">
        <w:rPr>
          <w:rFonts w:asciiTheme="minorBidi" w:hAnsiTheme="minorBidi" w:cstheme="minorBidi"/>
          <w:sz w:val="22"/>
          <w:szCs w:val="22"/>
        </w:rPr>
        <w:t>PacMAN</w:t>
      </w:r>
      <w:proofErr w:type="spellEnd"/>
      <w:r w:rsidRPr="00873972">
        <w:rPr>
          <w:rFonts w:asciiTheme="minorBidi" w:hAnsiTheme="minorBidi" w:cstheme="minorBidi"/>
          <w:sz w:val="22"/>
          <w:szCs w:val="22"/>
        </w:rPr>
        <w:t xml:space="preserve"> и при поддержке ОБИС МОК способствует развитию научно-исследовательского потенциала тихоокеанских МОСРГ на местном уровне для создания системы раннего обнаружения/раннего предупреждения о распространении морских инвазивных видов с использованием молекулярных методов (экологическая ДНК).</w:t>
      </w:r>
    </w:p>
    <w:p w14:paraId="13212EFF"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Разработка и унификация </w:t>
      </w:r>
      <w:r w:rsidRPr="00873972">
        <w:rPr>
          <w:rFonts w:asciiTheme="minorBidi" w:hAnsiTheme="minorBidi" w:cstheme="minorBidi"/>
          <w:b/>
          <w:bCs/>
          <w:sz w:val="22"/>
          <w:szCs w:val="22"/>
        </w:rPr>
        <w:t>региональных систем предупреждения о цунами</w:t>
      </w:r>
      <w:r w:rsidRPr="00873972">
        <w:rPr>
          <w:rFonts w:asciiTheme="minorBidi" w:hAnsiTheme="minorBidi" w:cstheme="minorBidi"/>
          <w:sz w:val="22"/>
          <w:szCs w:val="22"/>
        </w:rPr>
        <w:t xml:space="preserve"> по-прежнему координировались в рамках четырех региональных межправительственных групп (СПЦСВАСМ, КАРИБ-СРП, СПЦТО и СПЦСПИО). К настоящему времени 139 государств-членов, в том числе 28 МОСРГ и девять стран Африки, создали национальные координационные механизмы/центры предупреждения о цунами. В регионе Южно-Китайского моря был открыт собственный консультативный центр по цунами. Национальные центры предупреждения о цунами в Греции, Италии, Португалии, Турции и Франции были аккредитованы в качестве региональных поставщиков услуг в связи с цунами. В настоящее время в трех регионах (Карибский бассейн, Тихий океан и Индийский океан) в экспериментальном порядке осуществляется основанная на показателях эффективности программа по сертификации готовности к цунами на уровне общин. Был организован Всемирный день распространения информации о проблеме цунами. В частности, в ноябре 2020 г. в рамках мероприятия, организованного в сотрудничестве с УСРБ ООН, была проведена 30-дневная онлайновая кампания с участием Генерального директора ЮНЕСКО.</w:t>
      </w:r>
    </w:p>
    <w:p w14:paraId="7B14A1E8"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МОК продолжала уделять особое внимание </w:t>
      </w:r>
      <w:r w:rsidRPr="00873972">
        <w:rPr>
          <w:rFonts w:asciiTheme="minorBidi" w:hAnsiTheme="minorBidi" w:cstheme="minorBidi"/>
          <w:b/>
          <w:bCs/>
          <w:sz w:val="22"/>
          <w:szCs w:val="22"/>
        </w:rPr>
        <w:t>развитию потенциала</w:t>
      </w:r>
      <w:r w:rsidRPr="00873972">
        <w:rPr>
          <w:rFonts w:asciiTheme="minorBidi" w:hAnsiTheme="minorBidi" w:cstheme="minorBidi"/>
          <w:sz w:val="22"/>
          <w:szCs w:val="22"/>
        </w:rPr>
        <w:t xml:space="preserve"> своих государств-членов при поддержке своих региональных вспомогательных органов – ВЕСТПАК, МОКАРИБ, МОКАФРИКА и ИОСИНДИО, – которые играют важнейшую роль в обеспечении стратегической и технической поддержки национальных и региональных мероприятий Десятилетия. В интересах разработки более целенаправленного подхода в феврале 2021 г. в режиме онлайн была проведена вторая обзорная оценка потребностей в развитии потенциала, в ходе которой было получено 1005 ответов из 118 стран. В рамках второй Международной экспедиции в Индийском океане более 50 ученых из африканских стран приняли участие в исследовательских экспедициях, организованных Южной Африкой. Значительный вклад в подготовку кадров внесли 16 региональных/специализированных учебных центров Глобальной академии «Океан-инструктор» (ГАОИ), а также региональные учебно-исследовательские центры ВЕСТПАК. Поддержка со стороны НОРАД придала новый импульс работе МОК по развитию потенциала и позволила начать осуществление двух проектов в Африке: (i) создание базы данных о возможностях обучения в Африке (в увязке с проектом «</w:t>
      </w:r>
      <w:proofErr w:type="spellStart"/>
      <w:r w:rsidRPr="00873972">
        <w:rPr>
          <w:rFonts w:asciiTheme="minorBidi" w:hAnsiTheme="minorBidi" w:cstheme="minorBidi"/>
          <w:sz w:val="22"/>
          <w:szCs w:val="22"/>
        </w:rPr>
        <w:t>Инфоцентр</w:t>
      </w:r>
      <w:proofErr w:type="spellEnd"/>
      <w:r w:rsidRPr="00873972">
        <w:rPr>
          <w:rFonts w:asciiTheme="minorBidi" w:hAnsiTheme="minorBidi" w:cstheme="minorBidi"/>
          <w:sz w:val="22"/>
          <w:szCs w:val="22"/>
        </w:rPr>
        <w:t>-Океан»); и (</w:t>
      </w:r>
      <w:proofErr w:type="spellStart"/>
      <w:r w:rsidRPr="00873972">
        <w:rPr>
          <w:rFonts w:asciiTheme="minorBidi" w:hAnsiTheme="minorBidi" w:cstheme="minorBidi"/>
          <w:sz w:val="22"/>
          <w:szCs w:val="22"/>
        </w:rPr>
        <w:t>ii</w:t>
      </w:r>
      <w:proofErr w:type="spellEnd"/>
      <w:r w:rsidRPr="00873972">
        <w:rPr>
          <w:rFonts w:asciiTheme="minorBidi" w:hAnsiTheme="minorBidi" w:cstheme="minorBidi"/>
          <w:sz w:val="22"/>
          <w:szCs w:val="22"/>
        </w:rPr>
        <w:t>) «Наука на службе управления в Африке: укрепление потенциала в целях расширения научно-исследовательской деятельности и наблюдений в области закисления океана, а также систем обнаружения и раннего предупреждения о вредоносных водорослях». При поддержке НОРАД и Австралийского агентства по международному развитию в странах Карибского бассейна начался процесс сертификации готовности к цунами шести населенных пунктов в Барбадосе, Доминиканской Республике, Гренаде, Тринидаде и Тобаго и на Ямайке.</w:t>
      </w:r>
    </w:p>
    <w:p w14:paraId="6194471A"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В плане проведения Десятилетия океана особое внимание уделяется </w:t>
      </w:r>
      <w:r w:rsidRPr="00873972">
        <w:rPr>
          <w:rFonts w:asciiTheme="minorBidi" w:hAnsiTheme="minorBidi" w:cstheme="minorBidi"/>
          <w:b/>
          <w:bCs/>
          <w:sz w:val="22"/>
          <w:szCs w:val="22"/>
        </w:rPr>
        <w:t>МОСРГ</w:t>
      </w:r>
      <w:r w:rsidRPr="00873972">
        <w:rPr>
          <w:rFonts w:asciiTheme="minorBidi" w:hAnsiTheme="minorBidi" w:cstheme="minorBidi"/>
          <w:sz w:val="22"/>
          <w:szCs w:val="22"/>
        </w:rPr>
        <w:t xml:space="preserve">, в том числе ценности </w:t>
      </w:r>
      <w:r w:rsidRPr="00873972">
        <w:rPr>
          <w:rFonts w:asciiTheme="minorBidi" w:hAnsiTheme="minorBidi" w:cstheme="minorBidi"/>
          <w:b/>
          <w:bCs/>
          <w:sz w:val="22"/>
          <w:szCs w:val="22"/>
        </w:rPr>
        <w:t>знаний коренных народов</w:t>
      </w:r>
      <w:r w:rsidRPr="00873972">
        <w:rPr>
          <w:rFonts w:asciiTheme="minorBidi" w:hAnsiTheme="minorBidi" w:cstheme="minorBidi"/>
          <w:sz w:val="22"/>
          <w:szCs w:val="22"/>
        </w:rPr>
        <w:t xml:space="preserve">. С учетом успешного опыта проведения в мае 2019 г. в Копенгагене первого совещания по глобальному планированию к участию в каждой </w:t>
      </w:r>
      <w:r w:rsidRPr="00873972">
        <w:rPr>
          <w:rFonts w:asciiTheme="minorBidi" w:hAnsiTheme="minorBidi" w:cstheme="minorBidi"/>
          <w:sz w:val="22"/>
          <w:szCs w:val="22"/>
        </w:rPr>
        <w:lastRenderedPageBreak/>
        <w:t xml:space="preserve">региональной консультации привлекаются </w:t>
      </w:r>
      <w:r w:rsidRPr="00873972">
        <w:rPr>
          <w:rFonts w:asciiTheme="minorBidi" w:hAnsiTheme="minorBidi" w:cstheme="minorBidi"/>
          <w:b/>
          <w:bCs/>
          <w:sz w:val="22"/>
          <w:szCs w:val="22"/>
        </w:rPr>
        <w:t>молодые специалисты в области науки об океане</w:t>
      </w:r>
      <w:r w:rsidRPr="00873972">
        <w:rPr>
          <w:rFonts w:asciiTheme="minorBidi" w:hAnsiTheme="minorBidi" w:cstheme="minorBidi"/>
          <w:sz w:val="22"/>
          <w:szCs w:val="22"/>
        </w:rPr>
        <w:t>. Поддержка, оказанная правительством Норвегии/НОРАД в 2020 г., имела решающее значение для дальнейшего укрепления потенциала государств-членов и содействия координации мероприятий в рамках Десятилетия на региональном уровне, в том числе в МОСРГ Тихоокеанского региона и Карибского бассейна, а также для создания глобальной сети начинающих специалистов-океанографов.</w:t>
      </w:r>
    </w:p>
    <w:p w14:paraId="10789A2C"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Предстоящее Десятилетие ООН, посвященное науке об океане в интересах устойчивого развития, предоставляет уникальную возможность для выявления потенциала и налаживания синергетического взаимодействия в работе по ЦУР 5 и ЦУР 14 и перехода от оценок, основанных на дезагрегированных по гендерному признаку данных о трудовых ресурсах в области науки об океане, к более согласованным рамкам действий. При поддержке правительства Канады были организованы серии виртуальных мероприятий Десятилетия океана с целью формирования глобального сообщества в интересах </w:t>
      </w:r>
      <w:r w:rsidRPr="00873972">
        <w:rPr>
          <w:rFonts w:asciiTheme="minorBidi" w:hAnsiTheme="minorBidi" w:cstheme="minorBidi"/>
          <w:b/>
          <w:bCs/>
          <w:sz w:val="22"/>
          <w:szCs w:val="22"/>
        </w:rPr>
        <w:t>женщин, занимающихся наукой об океане</w:t>
      </w:r>
      <w:r w:rsidRPr="00873972">
        <w:rPr>
          <w:rFonts w:asciiTheme="minorBidi" w:hAnsiTheme="minorBidi" w:cstheme="minorBidi"/>
          <w:sz w:val="22"/>
          <w:szCs w:val="22"/>
        </w:rPr>
        <w:t>, для поддержки и расширения их прав и возможностей на всех уровнях профессиональной деятельности. Регулярные оценки положения женщин в области науки об океане, проводимые в рамках НДМО, позволяют отслеживать изменения и наблюдать за результативностью новых инициатив и стратегий, учитывающих гендерные аспекты. Рекомендации проведенной IOS оценки стратегического позиционирования МОК ЮНЕСКО (документы IOS/EVS/PI 197 и 212 EX/9) позволят повысить эффективность будущей работы МОК в области гендерного равенства, а также во многих других областях.</w:t>
      </w:r>
    </w:p>
    <w:p w14:paraId="7DBF48C5"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Стремясь обеспечить все страны, в частности МОСРГ и НРС, соответствующим потенциалом в области науки об океане, эффективными институтами и возможностями разработки и применения технологий и технических решений, чтобы они могли использовать преимущества «нового океана», МОК ЮНЕСКО</w:t>
      </w:r>
      <w:r w:rsidRPr="00873972">
        <w:rPr>
          <w:rFonts w:asciiTheme="minorBidi" w:hAnsiTheme="minorBidi" w:cstheme="minorBidi"/>
          <w:b/>
          <w:bCs/>
          <w:sz w:val="22"/>
          <w:szCs w:val="22"/>
        </w:rPr>
        <w:t xml:space="preserve"> </w:t>
      </w:r>
      <w:r w:rsidRPr="00873972">
        <w:rPr>
          <w:rFonts w:asciiTheme="minorBidi" w:hAnsiTheme="minorBidi" w:cstheme="minorBidi"/>
          <w:sz w:val="22"/>
          <w:szCs w:val="22"/>
        </w:rPr>
        <w:t xml:space="preserve">создает в рамках Десятилетия несколько десятков </w:t>
      </w:r>
      <w:r w:rsidRPr="00873972">
        <w:rPr>
          <w:rFonts w:asciiTheme="minorBidi" w:hAnsiTheme="minorBidi" w:cstheme="minorBidi"/>
          <w:b/>
          <w:bCs/>
          <w:sz w:val="22"/>
          <w:szCs w:val="22"/>
        </w:rPr>
        <w:t>сообществ специалистов-практиков</w:t>
      </w:r>
      <w:r w:rsidRPr="00873972">
        <w:rPr>
          <w:rFonts w:asciiTheme="minorBidi" w:hAnsiTheme="minorBidi" w:cstheme="minorBidi"/>
          <w:sz w:val="22"/>
          <w:szCs w:val="22"/>
        </w:rPr>
        <w:t xml:space="preserve">. Соглашения с Тихоокеанским сообществом (СТС) и Ассоциацией стран </w:t>
      </w:r>
      <w:proofErr w:type="spellStart"/>
      <w:r w:rsidRPr="00873972">
        <w:rPr>
          <w:rFonts w:asciiTheme="minorBidi" w:hAnsiTheme="minorBidi" w:cstheme="minorBidi"/>
          <w:sz w:val="22"/>
          <w:szCs w:val="22"/>
        </w:rPr>
        <w:t>Индоокеанского</w:t>
      </w:r>
      <w:proofErr w:type="spellEnd"/>
      <w:r w:rsidRPr="00873972">
        <w:rPr>
          <w:rFonts w:asciiTheme="minorBidi" w:hAnsiTheme="minorBidi" w:cstheme="minorBidi"/>
          <w:sz w:val="22"/>
          <w:szCs w:val="22"/>
        </w:rPr>
        <w:t xml:space="preserve"> кольца (АСИК) призваны обеспечить мощное и самостоятельное развитие уникальных региональных подходов. Создание специализированной сети благотворительных организаций, объединяющей 20 международных фондов, является частью работы по привлечению средств для проведения Десятилетия, направленной на повышение координации и объемов финансирования со стороны благотворительных организаций и частного сектора. Формируется Альянс в поддержку Десятилетия океана, к которому присоединяются мировые лидеры и страны. Первые активисты из числа организаций частного сектора уже вносят свой вклад в Десятилетие океана – речь идет о развитии новых партнерских отношений с компанией FUGRO (мировым лидером в области </w:t>
      </w:r>
      <w:proofErr w:type="spellStart"/>
      <w:r w:rsidRPr="00873972">
        <w:rPr>
          <w:rFonts w:asciiTheme="minorBidi" w:hAnsiTheme="minorBidi" w:cstheme="minorBidi"/>
          <w:sz w:val="22"/>
          <w:szCs w:val="22"/>
        </w:rPr>
        <w:t>геосъемки</w:t>
      </w:r>
      <w:proofErr w:type="spellEnd"/>
      <w:r w:rsidRPr="00873972">
        <w:rPr>
          <w:rFonts w:asciiTheme="minorBidi" w:hAnsiTheme="minorBidi" w:cstheme="minorBidi"/>
          <w:sz w:val="22"/>
          <w:szCs w:val="22"/>
        </w:rPr>
        <w:t xml:space="preserve">) в области океанических данных, компанией </w:t>
      </w:r>
      <w:proofErr w:type="spellStart"/>
      <w:r w:rsidRPr="00873972">
        <w:rPr>
          <w:rFonts w:asciiTheme="minorBidi" w:hAnsiTheme="minorBidi" w:cstheme="minorBidi"/>
          <w:sz w:val="22"/>
          <w:szCs w:val="22"/>
        </w:rPr>
        <w:t>Panerai</w:t>
      </w:r>
      <w:proofErr w:type="spellEnd"/>
      <w:r w:rsidRPr="00873972">
        <w:rPr>
          <w:rFonts w:asciiTheme="minorBidi" w:hAnsiTheme="minorBidi" w:cstheme="minorBidi"/>
          <w:sz w:val="22"/>
          <w:szCs w:val="22"/>
        </w:rPr>
        <w:t xml:space="preserve"> в интересах повышения грамотности в связанных с океаном вопросах, а также с Фондом океанических исследований AXA в поддержку мероприятий Десятилетия по повышению устойчивости прибрежных районов.</w:t>
      </w:r>
    </w:p>
    <w:p w14:paraId="2E57B603" w14:textId="77777777" w:rsidR="00873972" w:rsidRPr="00873972" w:rsidRDefault="00873972" w:rsidP="00873972">
      <w:pPr>
        <w:pStyle w:val="ListParagraph"/>
        <w:numPr>
          <w:ilvl w:val="0"/>
          <w:numId w:val="24"/>
        </w:numPr>
        <w:adjustRightInd w:val="0"/>
        <w:spacing w:after="240"/>
        <w:ind w:left="0" w:firstLine="0"/>
        <w:contextualSpacing w:val="0"/>
        <w:jc w:val="both"/>
        <w:rPr>
          <w:rFonts w:asciiTheme="minorBidi" w:hAnsiTheme="minorBidi" w:cstheme="minorBidi"/>
          <w:sz w:val="22"/>
          <w:szCs w:val="22"/>
        </w:rPr>
      </w:pPr>
      <w:r w:rsidRPr="00873972">
        <w:rPr>
          <w:rFonts w:asciiTheme="minorBidi" w:hAnsiTheme="minorBidi" w:cstheme="minorBidi"/>
          <w:sz w:val="22"/>
          <w:szCs w:val="22"/>
        </w:rPr>
        <w:t xml:space="preserve">При поддержке правительства Швеции МОК создала </w:t>
      </w:r>
      <w:r w:rsidRPr="00873972">
        <w:rPr>
          <w:rFonts w:asciiTheme="minorBidi" w:hAnsiTheme="minorBidi" w:cstheme="minorBidi"/>
          <w:b/>
          <w:bCs/>
          <w:sz w:val="22"/>
          <w:szCs w:val="22"/>
        </w:rPr>
        <w:t xml:space="preserve">платформу для распространения знаний об океане </w:t>
      </w:r>
      <w:r w:rsidRPr="00873972">
        <w:rPr>
          <w:rFonts w:asciiTheme="minorBidi" w:hAnsiTheme="minorBidi" w:cstheme="minorBidi"/>
          <w:sz w:val="22"/>
          <w:szCs w:val="22"/>
        </w:rPr>
        <w:t>и подготовила комплект материалов, который на экспериментальной основе используется в школах 36 стран в рамках сети САШ. В июне 2021 г. Ассамблея МОК одобрила стратегию МОК по распространению знаний об океане в поддержку Десятилетия Организации Объединенных Наций, посвященного науке об океане. На первом совещании в ноябре 2020 г. Председатель и сотрудники МОК, а также эксперты КНТО Конвенции 2001 г. об охране подводного культурного наследия пришли к договоренности о совместной разработке стратегических рамок, определяющих приоритетные мероприятия для сообщества специалистов по подводному культурному наследию, которые могут стать примером и стимулом для мероприятий в рамках Десятилетия океана.</w:t>
      </w:r>
    </w:p>
    <w:p w14:paraId="0EA38CD2" w14:textId="77777777" w:rsidR="00873972" w:rsidRPr="00E35CD7" w:rsidRDefault="00873972" w:rsidP="00873972">
      <w:pPr>
        <w:tabs>
          <w:tab w:val="clear" w:pos="567"/>
        </w:tabs>
        <w:autoSpaceDE w:val="0"/>
        <w:autoSpaceDN w:val="0"/>
        <w:adjustRightInd w:val="0"/>
        <w:snapToGrid/>
        <w:spacing w:after="160"/>
        <w:jc w:val="both"/>
        <w:rPr>
          <w:rFonts w:asciiTheme="minorBidi" w:hAnsiTheme="minorBidi" w:cstheme="minorBidi"/>
          <w:snapToGrid/>
          <w:color w:val="000000"/>
          <w:sz w:val="20"/>
          <w:szCs w:val="20"/>
          <w:lang w:val="en-US"/>
        </w:rPr>
      </w:pPr>
      <w:r w:rsidRPr="00E35CD7">
        <w:rPr>
          <w:rFonts w:asciiTheme="minorBidi" w:hAnsiTheme="minorBidi" w:cstheme="minorBidi"/>
          <w:snapToGrid/>
          <w:color w:val="000000"/>
          <w:sz w:val="20"/>
          <w:szCs w:val="20"/>
          <w:lang w:val="en-US"/>
        </w:rPr>
        <w:t>[…]</w:t>
      </w:r>
    </w:p>
    <w:p w14:paraId="335E201E" w14:textId="2AFC00E7" w:rsidR="00873972" w:rsidRPr="00C30177" w:rsidRDefault="00C30177" w:rsidP="00873972">
      <w:pPr>
        <w:tabs>
          <w:tab w:val="clear" w:pos="567"/>
        </w:tabs>
        <w:autoSpaceDE w:val="0"/>
        <w:autoSpaceDN w:val="0"/>
        <w:adjustRightInd w:val="0"/>
        <w:snapToGrid/>
        <w:spacing w:after="160"/>
        <w:jc w:val="both"/>
        <w:rPr>
          <w:rFonts w:ascii="Arial" w:hAnsi="Arial" w:cs="Arial"/>
          <w:b/>
          <w:bCs/>
          <w:snapToGrid/>
          <w:color w:val="000000"/>
          <w:sz w:val="18"/>
          <w:szCs w:val="18"/>
          <w:lang w:val="fr-FR"/>
        </w:rPr>
      </w:pPr>
      <w:r w:rsidRPr="00C30177">
        <w:rPr>
          <w:rFonts w:ascii="Arial" w:hAnsi="Arial" w:cs="Arial"/>
          <w:b/>
          <w:bCs/>
          <w:color w:val="000000"/>
          <w:sz w:val="22"/>
          <w:szCs w:val="22"/>
          <w:shd w:val="clear" w:color="auto" w:fill="FFFFFF"/>
        </w:rPr>
        <w:t xml:space="preserve">Глобальный приоритет </w:t>
      </w:r>
      <w:proofErr w:type="gramStart"/>
      <w:r>
        <w:rPr>
          <w:rFonts w:ascii="Arial" w:hAnsi="Arial" w:cs="Arial"/>
          <w:b/>
          <w:bCs/>
          <w:color w:val="000000"/>
          <w:sz w:val="22"/>
          <w:szCs w:val="22"/>
          <w:shd w:val="clear" w:color="auto" w:fill="FFFFFF"/>
          <w:lang w:val="fr-FR"/>
        </w:rPr>
        <w:t>« </w:t>
      </w:r>
      <w:r w:rsidRPr="00C30177">
        <w:rPr>
          <w:rFonts w:ascii="Arial" w:hAnsi="Arial" w:cs="Arial"/>
          <w:b/>
          <w:bCs/>
          <w:color w:val="000000"/>
          <w:sz w:val="22"/>
          <w:szCs w:val="22"/>
          <w:shd w:val="clear" w:color="auto" w:fill="FFFFFF"/>
        </w:rPr>
        <w:t>Африка</w:t>
      </w:r>
      <w:proofErr w:type="gramEnd"/>
      <w:r>
        <w:rPr>
          <w:rFonts w:ascii="Arial" w:hAnsi="Arial" w:cs="Arial"/>
          <w:b/>
          <w:bCs/>
          <w:color w:val="000000"/>
          <w:sz w:val="22"/>
          <w:szCs w:val="22"/>
          <w:shd w:val="clear" w:color="auto" w:fill="FFFFFF"/>
          <w:lang w:val="fr-FR"/>
        </w:rPr>
        <w:t> »</w:t>
      </w:r>
    </w:p>
    <w:p w14:paraId="3D02F1D8" w14:textId="251765ED" w:rsidR="00873972" w:rsidRPr="00C30177" w:rsidRDefault="00C30177" w:rsidP="00873972">
      <w:pPr>
        <w:tabs>
          <w:tab w:val="clear" w:pos="567"/>
        </w:tabs>
        <w:autoSpaceDE w:val="0"/>
        <w:autoSpaceDN w:val="0"/>
        <w:adjustRightInd w:val="0"/>
        <w:snapToGrid/>
        <w:spacing w:after="160"/>
        <w:jc w:val="both"/>
        <w:rPr>
          <w:rFonts w:asciiTheme="minorBidi" w:hAnsiTheme="minorBidi" w:cstheme="minorBidi"/>
          <w:b/>
          <w:bCs/>
          <w:i/>
          <w:snapToGrid/>
          <w:color w:val="000000"/>
          <w:sz w:val="18"/>
          <w:szCs w:val="18"/>
        </w:rPr>
      </w:pPr>
      <w:r w:rsidRPr="00C30177">
        <w:rPr>
          <w:rFonts w:asciiTheme="minorBidi" w:hAnsiTheme="minorBidi" w:cstheme="minorBidi"/>
          <w:b/>
          <w:bCs/>
          <w:i/>
          <w:iCs/>
          <w:sz w:val="22"/>
          <w:szCs w:val="20"/>
        </w:rPr>
        <w:t>Флагманская программа 4 – Поощрение развития науки в целях устойчивого управления природными ресурсами Африки и снижения риска бедствий</w:t>
      </w:r>
    </w:p>
    <w:p w14:paraId="5ADE6BBC" w14:textId="532D2B94"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lastRenderedPageBreak/>
        <w:t>Развитие потенциала в области морских наук и технологий остается одним из ключевых направлений деятельности Подкомиссии МОК для Африки и прилегающих государств и работы трех региональных учебных центров, созданных в Кении, Мозамбике и Сенегале в рамках программы Глобальной академии «Океан-инструктор» (ГАОИ). Эти центры провели 12 учебных курсов, в которых приняли участие более 250 слушателей из 27 стран. Наличие платформы электронного обучения ГАОИ позволило оперативно внести необходимые корректировки и с середины 2020 г. организовать проведение онлайновых учебных курсов.</w:t>
      </w:r>
    </w:p>
    <w:p w14:paraId="21D7E67D"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Вторая Международная экспедиция в Индийском океане (</w:t>
      </w:r>
      <w:proofErr w:type="gramStart"/>
      <w:r w:rsidRPr="00B80201">
        <w:rPr>
          <w:rFonts w:asciiTheme="minorBidi" w:hAnsiTheme="minorBidi" w:cstheme="minorBidi"/>
          <w:sz w:val="22"/>
          <w:szCs w:val="22"/>
        </w:rPr>
        <w:t>2015-2020</w:t>
      </w:r>
      <w:proofErr w:type="gramEnd"/>
      <w:r w:rsidRPr="00B80201">
        <w:rPr>
          <w:rFonts w:asciiTheme="minorBidi" w:hAnsiTheme="minorBidi" w:cstheme="minorBidi"/>
          <w:sz w:val="22"/>
          <w:szCs w:val="22"/>
        </w:rPr>
        <w:t xml:space="preserve"> гг.) дала возможность государствам-членам из этого региона укрепить свой потенциал наблюдений за океаном. Правительство Южной Африки предоставило свое океанографическое научно-исследовательское судно «</w:t>
      </w:r>
      <w:proofErr w:type="spellStart"/>
      <w:r w:rsidRPr="00B80201">
        <w:rPr>
          <w:rFonts w:asciiTheme="minorBidi" w:hAnsiTheme="minorBidi" w:cstheme="minorBidi"/>
          <w:sz w:val="22"/>
          <w:szCs w:val="22"/>
        </w:rPr>
        <w:t>Агульяс</w:t>
      </w:r>
      <w:proofErr w:type="spellEnd"/>
      <w:r w:rsidRPr="00B80201">
        <w:rPr>
          <w:rFonts w:asciiTheme="minorBidi" w:hAnsiTheme="minorBidi" w:cstheme="minorBidi"/>
          <w:sz w:val="22"/>
          <w:szCs w:val="22"/>
        </w:rPr>
        <w:t xml:space="preserve"> II» для проведения двух рейсов, в которых приняли участие более 50 специалистов по морским наукам и студентов из Египта, Кении, Коморских Островов, Мадагаскара, Мозамбика, Нигерии и Объединенной Республики Танзания. В июне 2021 г. были организованы два онлайновых учебных семинара «Изучение преимуществ оперативных систем мониторинга и прогнозирования состояния океана» (ознакомительный семинар) и «Внедрение оперативных систем мониторинга и прогнозирования состояния океана» (практический семинар). Продукты оперативной системы мониторинга и прогнозирования состояния океана используются для морской навигации, управления портами, поиска и спасения, уменьшения опасности бедствий в прибрежной зоне, управления окружающей средой в прибрежных зонах, ликвидации разливов нефти и регулирования их последствий, а также в деятельности в области «голубой» экономики. В этих двух семинарах приняли участие 65 слушателей из Африки.</w:t>
      </w:r>
    </w:p>
    <w:p w14:paraId="72B1FF0E"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 xml:space="preserve">Было организовано пять региональных семинаров по морскому пространственному планированию на английском, португальском и французском языках для более чем 200 участников из 20 государств-членов. Затем при финансовой поддержке Швеции была проведена серия национальных семинаров по морскому пространственному планированию в Габоне, Гане, Камеруне, Кении, Коморских Островах, Маврикии, Мадагаскаре, Марокко, Мозамбике и Танзании. В Кении, Мадагаскаре и Танзании были проведены тематические исследования, посвященные гендерным аспектам и проблемам нищеты в контексте морского пространственного планирования. В ноябре 2019 г. в </w:t>
      </w:r>
      <w:proofErr w:type="spellStart"/>
      <w:r w:rsidRPr="00B80201">
        <w:rPr>
          <w:rFonts w:asciiTheme="minorBidi" w:hAnsiTheme="minorBidi" w:cstheme="minorBidi"/>
          <w:sz w:val="22"/>
          <w:szCs w:val="22"/>
        </w:rPr>
        <w:t>Либревиле</w:t>
      </w:r>
      <w:proofErr w:type="spellEnd"/>
      <w:r w:rsidRPr="00B80201">
        <w:rPr>
          <w:rFonts w:asciiTheme="minorBidi" w:hAnsiTheme="minorBidi" w:cstheme="minorBidi"/>
          <w:sz w:val="22"/>
          <w:szCs w:val="22"/>
        </w:rPr>
        <w:t xml:space="preserve"> (Габон) прошел технический семинар по вопросам уязвимости прибрежных районов с участием экспертов из Анголы, Габона, Демократической Республики Конго, Камеруна, Конго, Сан-Томе и Принсипи и Экваториальной Гвинеи, заложивший основу для разработки субрегионального проекта по уязвимости прибрежных районов. Благодаря предоставленному Испанией финансированию реализован проект, посвященный оценке воздействия изменения климата и стрессовых факторов в океане на естественную динамику </w:t>
      </w:r>
      <w:proofErr w:type="spellStart"/>
      <w:r w:rsidRPr="00B80201">
        <w:rPr>
          <w:rFonts w:asciiTheme="minorBidi" w:hAnsiTheme="minorBidi" w:cstheme="minorBidi"/>
          <w:sz w:val="22"/>
          <w:szCs w:val="22"/>
        </w:rPr>
        <w:t>Канарского</w:t>
      </w:r>
      <w:proofErr w:type="spellEnd"/>
      <w:r w:rsidRPr="00B80201">
        <w:rPr>
          <w:rFonts w:asciiTheme="minorBidi" w:hAnsiTheme="minorBidi" w:cstheme="minorBidi"/>
          <w:sz w:val="22"/>
          <w:szCs w:val="22"/>
        </w:rPr>
        <w:t xml:space="preserve"> течения. В нем приняли участие ученые из Гамбии, Гвинеи, Гвинеи-Бисау, Кабо-Верде, Испании (Канарские острова), Мавритании, Марокко и Сенегала, при этом в их числе было много женщин и начинающих ученых-океанологов.</w:t>
      </w:r>
    </w:p>
    <w:p w14:paraId="3192BE63"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Создание африканского регионального отделения Центра океанической информации (ЦОИ) началось в июне 2020 г. с проведения семинара для заинтересованных сторон, в котором приняли участие свыше 100 человек. МОК разработала и обновила шесть тематических баз данных по экспертам и учреждениям, возможностям для профессиональной подготовки и научно-исследовательской деятельности, документам и передовому опыту, пространственным данным и картам, платформам наблюдений за океаном в Африке и проектам, связанным с морской средой, в Африке.</w:t>
      </w:r>
    </w:p>
    <w:p w14:paraId="659EB102"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 xml:space="preserve">В рамках Системы предупреждения о цунами и смягчения их последствий в Индийском океане (СПЦСПИО) МОК ЮНЕСКО при координации МОК была организована подготовка для Коморских Островов, Кении, Маврикия, Мадагаскара, Мозамбика, Объединенной Республики Танзания, Сейшельских Островов и Южной Африки, а три аккредитованных региональных поставщика услуг в связи с цунами (Австралия, Индия и Индонезия) предоставляли им информацию об угрозе цунами. Следует особо отметить три инициативы. Оценка потенциала в области готовности к цунами стала показателем нынешнего состояния систем предупреждения </w:t>
      </w:r>
      <w:r w:rsidRPr="00B80201">
        <w:rPr>
          <w:rFonts w:asciiTheme="minorBidi" w:hAnsiTheme="minorBidi" w:cstheme="minorBidi"/>
          <w:sz w:val="22"/>
          <w:szCs w:val="22"/>
        </w:rPr>
        <w:lastRenderedPageBreak/>
        <w:t>о цунами и смягчения их последствий, позволив выявить пробелы и определить приоритетные потребности в области развития потенциала в 20 государствах-членах в Индийском океане (включая Кению, Маврикий, Мадагаскар, Мозамбик и Объединенную Республику Танзания). Все имеющие выход к Индийскому океану африканские государства-члены за исключением Сомали приняли участие в учениях по цунами в Индийском океане «Волна-18» и «Волна</w:t>
      </w:r>
      <w:r w:rsidRPr="00B80201">
        <w:rPr>
          <w:rFonts w:asciiTheme="minorBidi" w:hAnsiTheme="minorBidi" w:cstheme="minorBidi"/>
          <w:sz w:val="22"/>
          <w:szCs w:val="22"/>
        </w:rPr>
        <w:noBreakHyphen/>
        <w:t>20». Кроме того, в рамках учений «Волна-18» в Кении, Объединенной Республики Танзания и на Сейшельских Островах была проведена эвакуация населения. Несмотря на пандемию COVID-19, Кения, Маврикий, Мозамбик и Сейшельские Острова также смогли привлечь местные общины к участию в «Волне-20». Представители Коморских Островов, Кении, Мозамбика, Маврикия, Объединенной Республики Танзания, Сейшельских Островов и Южной Африки приняли участие в различных совещаниях и учебных семинарах (готовность к цунами, планирование эвакуации, симпозиум в Палу и Зондском проливе, цепочка предупреждения о цунами и критически важная инфраструктура, межсессионные совещания рабочих и целевых групп).</w:t>
      </w:r>
    </w:p>
    <w:p w14:paraId="13F979CA"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В рамках Системы раннего предупреждения о цунами и смягчения их последствий в Северо-Восточной Атлантике, Средиземном и прилегающих морях (СПЦСВАСМ) МОК ЮНЕСКО в ноябре 2018 г. в Рабате (Марокко) состоялся семинар «Подготовка к следующему цунами: сокращение потерь и ущерба в прибрежных районах западной части Средиземного моря». По случаю Всемирного дня распространения информации о проблеме цунами в 2020 г. и 2021 г. Национальный институт океанографии и рыболовства организовал в Каире (Египет) два онлайновых семинара. В марте 2021 г. Марокко и Египет приняли участие в учениях по цунами «СВАСМ/Волна-21», а в декабре 2021 г. – в онлайновом семинаре по случаю начала осуществления нового проекта МОК/ЕС/Бюро по гуманитарной помощи Европейской Комиссии «Прибрежная волна» в рамках СПЦСВАСМ. Обе страны являются непосредственными бенефициарами нового проекта, финансируемого ЕС, а одной из целей проекта является сертификация готовности к цунами Александрии (Египет) и Эль-Джадиды (Марокко) к концу 2023 г.</w:t>
      </w:r>
    </w:p>
    <w:p w14:paraId="64C1E89D" w14:textId="77777777" w:rsidR="00B80201" w:rsidRPr="00B80201" w:rsidRDefault="00B80201" w:rsidP="00B80201">
      <w:pPr>
        <w:pStyle w:val="ListParagraph"/>
        <w:numPr>
          <w:ilvl w:val="0"/>
          <w:numId w:val="25"/>
        </w:numPr>
        <w:adjustRightInd w:val="0"/>
        <w:spacing w:after="240"/>
        <w:ind w:left="0" w:hanging="10"/>
        <w:contextualSpacing w:val="0"/>
        <w:jc w:val="both"/>
        <w:rPr>
          <w:rFonts w:asciiTheme="minorBidi" w:hAnsiTheme="minorBidi" w:cstheme="minorBidi"/>
          <w:sz w:val="22"/>
          <w:szCs w:val="22"/>
        </w:rPr>
      </w:pPr>
      <w:r w:rsidRPr="00B80201">
        <w:rPr>
          <w:rFonts w:asciiTheme="minorBidi" w:hAnsiTheme="minorBidi" w:cstheme="minorBidi"/>
          <w:sz w:val="22"/>
          <w:szCs w:val="22"/>
        </w:rPr>
        <w:t>На основе результатов регионального консультативного семинара по проведению Десятилетия ООН, посвященного науке об океане в интересах устойчивого развития (2021-2030 гг.), для Африки и прилегающих островных государств, состоявшегося в Найроби (Кения) в январе 2020 г., МОК в сотрудничестве с Ассоциацией морских наук для западной части Индийского океана (ВИОМСА) провела в период с июля по декабрь 2021 г. региональный анализ пробелов в целях разработки на основе широкого участия краткого обзора приоритетных потребностей Африки в рамках Десятилетия океана и выявления основных препятствий, возможностей и мер для удовлетворения этих потребностей. Результаты регионального анализа пробелов будут подтверждены и представлены на Африканской региональной конференции по случаю начала Десятилетия ООН, посвященного науке об океане в интересах устойчивого развития, которую МОК и правительство Египта планируют провести в мае 2022 г. в Александрии (Египет).</w:t>
      </w:r>
    </w:p>
    <w:p w14:paraId="671ED616" w14:textId="2CA8E879" w:rsidR="00B80201" w:rsidRPr="00E35CD7" w:rsidRDefault="00C30177" w:rsidP="00B80201">
      <w:pPr>
        <w:tabs>
          <w:tab w:val="clear" w:pos="567"/>
        </w:tabs>
        <w:autoSpaceDE w:val="0"/>
        <w:autoSpaceDN w:val="0"/>
        <w:adjustRightInd w:val="0"/>
        <w:snapToGrid/>
        <w:jc w:val="both"/>
        <w:rPr>
          <w:rFonts w:asciiTheme="minorBidi" w:hAnsiTheme="minorBidi" w:cstheme="minorBidi"/>
          <w:b/>
          <w:sz w:val="20"/>
          <w:szCs w:val="20"/>
        </w:rPr>
      </w:pPr>
      <w:r w:rsidRPr="00C30177">
        <w:rPr>
          <w:rFonts w:asciiTheme="minorBidi" w:hAnsiTheme="minorBidi" w:cstheme="minorBidi"/>
          <w:b/>
          <w:sz w:val="20"/>
          <w:szCs w:val="20"/>
        </w:rPr>
        <w:t>Глобальный приоритет «Гендерное равенство»</w:t>
      </w:r>
    </w:p>
    <w:p w14:paraId="25080AF2" w14:textId="77777777" w:rsidR="00B80201" w:rsidRPr="00E35CD7" w:rsidRDefault="00B80201" w:rsidP="00B80201">
      <w:pPr>
        <w:tabs>
          <w:tab w:val="clear" w:pos="567"/>
        </w:tabs>
        <w:autoSpaceDE w:val="0"/>
        <w:autoSpaceDN w:val="0"/>
        <w:adjustRightInd w:val="0"/>
        <w:snapToGrid/>
        <w:jc w:val="both"/>
        <w:rPr>
          <w:rFonts w:asciiTheme="minorBidi" w:hAnsiTheme="minorBidi" w:cstheme="minorBidi"/>
          <w:sz w:val="20"/>
          <w:szCs w:val="20"/>
        </w:rPr>
      </w:pPr>
    </w:p>
    <w:p w14:paraId="3666314F" w14:textId="69289302" w:rsidR="00B80201" w:rsidRDefault="00B80201" w:rsidP="00B80201">
      <w:pPr>
        <w:tabs>
          <w:tab w:val="clear" w:pos="567"/>
        </w:tabs>
        <w:snapToGrid/>
        <w:spacing w:after="240"/>
        <w:jc w:val="both"/>
        <w:rPr>
          <w:rFonts w:asciiTheme="minorBidi" w:hAnsiTheme="minorBidi" w:cstheme="minorBidi"/>
          <w:sz w:val="22"/>
          <w:szCs w:val="22"/>
        </w:rPr>
      </w:pPr>
      <w:r w:rsidRPr="00B80201">
        <w:rPr>
          <w:rFonts w:asciiTheme="minorBidi" w:hAnsiTheme="minorBidi" w:cstheme="minorBidi"/>
          <w:sz w:val="22"/>
          <w:szCs w:val="22"/>
        </w:rPr>
        <w:t>336.</w:t>
      </w:r>
      <w:r w:rsidRPr="00B80201">
        <w:rPr>
          <w:rFonts w:asciiTheme="minorBidi" w:hAnsiTheme="minorBidi" w:cstheme="minorBidi"/>
          <w:sz w:val="22"/>
          <w:szCs w:val="22"/>
        </w:rPr>
        <w:tab/>
      </w:r>
      <w:r w:rsidRPr="00B80201">
        <w:rPr>
          <w:rFonts w:asciiTheme="minorBidi" w:hAnsiTheme="minorBidi" w:cstheme="minorBidi"/>
          <w:sz w:val="22"/>
          <w:szCs w:val="22"/>
        </w:rPr>
        <w:t xml:space="preserve">Согласно </w:t>
      </w:r>
      <w:hyperlink r:id="rId14" w:history="1">
        <w:r w:rsidRPr="00B80201">
          <w:rPr>
            <w:rStyle w:val="Hyperlink"/>
            <w:rFonts w:asciiTheme="minorBidi" w:hAnsiTheme="minorBidi" w:cstheme="minorBidi"/>
            <w:sz w:val="22"/>
            <w:szCs w:val="22"/>
          </w:rPr>
          <w:t>Научному докладу о Мировом океане</w:t>
        </w:r>
      </w:hyperlink>
      <w:r w:rsidRPr="00B80201">
        <w:rPr>
          <w:rFonts w:asciiTheme="minorBidi" w:hAnsiTheme="minorBidi" w:cstheme="minorBidi"/>
          <w:sz w:val="22"/>
          <w:szCs w:val="22"/>
        </w:rPr>
        <w:t xml:space="preserve"> (2020 г.), женщины составляют 38,6% от общего числа исследователей </w:t>
      </w:r>
      <w:r w:rsidRPr="00B80201">
        <w:rPr>
          <w:rFonts w:asciiTheme="minorBidi" w:hAnsiTheme="minorBidi" w:cstheme="minorBidi"/>
          <w:b/>
          <w:bCs/>
          <w:sz w:val="22"/>
          <w:szCs w:val="22"/>
        </w:rPr>
        <w:t>в области науки об океане</w:t>
      </w:r>
      <w:r w:rsidRPr="00B80201">
        <w:rPr>
          <w:rFonts w:asciiTheme="minorBidi" w:hAnsiTheme="minorBidi" w:cstheme="minorBidi"/>
          <w:sz w:val="22"/>
          <w:szCs w:val="22"/>
        </w:rPr>
        <w:t>, что примерно на 10% выше, чем доля женщин-исследователей в сфере естественных наук в целом. Ряд проблем по-прежнему сохраняет актуальность</w:t>
      </w:r>
      <w:proofErr w:type="gramStart"/>
      <w:r w:rsidRPr="00B80201">
        <w:rPr>
          <w:rFonts w:asciiTheme="minorBidi" w:hAnsiTheme="minorBidi" w:cstheme="minorBidi"/>
          <w:sz w:val="22"/>
          <w:szCs w:val="22"/>
        </w:rPr>
        <w:t>, особенно,</w:t>
      </w:r>
      <w:proofErr w:type="gramEnd"/>
      <w:r w:rsidRPr="00B80201">
        <w:rPr>
          <w:rFonts w:asciiTheme="minorBidi" w:hAnsiTheme="minorBidi" w:cstheme="minorBidi"/>
          <w:sz w:val="22"/>
          <w:szCs w:val="22"/>
        </w:rPr>
        <w:t xml:space="preserve"> когда речь идет о назначении женщин на руководящие позиции в области науки об океане и о преодолении </w:t>
      </w:r>
      <w:proofErr w:type="spellStart"/>
      <w:r w:rsidRPr="00B80201">
        <w:rPr>
          <w:rFonts w:asciiTheme="minorBidi" w:hAnsiTheme="minorBidi" w:cstheme="minorBidi"/>
          <w:sz w:val="22"/>
          <w:szCs w:val="22"/>
        </w:rPr>
        <w:t>недопредставленности</w:t>
      </w:r>
      <w:proofErr w:type="spellEnd"/>
      <w:r w:rsidRPr="00B80201">
        <w:rPr>
          <w:rFonts w:asciiTheme="minorBidi" w:hAnsiTheme="minorBidi" w:cstheme="minorBidi"/>
          <w:sz w:val="22"/>
          <w:szCs w:val="22"/>
        </w:rPr>
        <w:t xml:space="preserve"> женщин в высокотехнологичных океанографических дисциплинах. Десятилетие ООН, посвященное науке об океане в интересах устойчивого развития (</w:t>
      </w:r>
      <w:proofErr w:type="gramStart"/>
      <w:r w:rsidRPr="00B80201">
        <w:rPr>
          <w:rFonts w:asciiTheme="minorBidi" w:hAnsiTheme="minorBidi" w:cstheme="minorBidi"/>
          <w:sz w:val="22"/>
          <w:szCs w:val="22"/>
        </w:rPr>
        <w:t>2021-2030</w:t>
      </w:r>
      <w:proofErr w:type="gramEnd"/>
      <w:r w:rsidRPr="00B80201">
        <w:rPr>
          <w:rFonts w:asciiTheme="minorBidi" w:hAnsiTheme="minorBidi" w:cstheme="minorBidi"/>
          <w:sz w:val="22"/>
          <w:szCs w:val="22"/>
        </w:rPr>
        <w:t xml:space="preserve"> гг.), предоставляет уникальную возможность для принятия мер в целях решения этих проблем.</w:t>
      </w:r>
    </w:p>
    <w:p w14:paraId="10ACF70E" w14:textId="77777777" w:rsidR="00B80201" w:rsidRPr="00E35CD7" w:rsidRDefault="00B80201" w:rsidP="00B80201">
      <w:pPr>
        <w:tabs>
          <w:tab w:val="clear" w:pos="567"/>
        </w:tabs>
        <w:autoSpaceDE w:val="0"/>
        <w:autoSpaceDN w:val="0"/>
        <w:adjustRightInd w:val="0"/>
        <w:snapToGrid/>
        <w:spacing w:after="160"/>
        <w:jc w:val="both"/>
        <w:rPr>
          <w:rFonts w:asciiTheme="minorBidi" w:hAnsiTheme="minorBidi" w:cstheme="minorBidi"/>
          <w:snapToGrid/>
          <w:color w:val="000000"/>
          <w:sz w:val="20"/>
          <w:szCs w:val="20"/>
          <w:lang w:val="en-US"/>
        </w:rPr>
      </w:pPr>
      <w:r w:rsidRPr="00E35CD7">
        <w:rPr>
          <w:rFonts w:asciiTheme="minorBidi" w:hAnsiTheme="minorBidi" w:cstheme="minorBidi"/>
          <w:snapToGrid/>
          <w:color w:val="000000"/>
          <w:sz w:val="20"/>
          <w:szCs w:val="20"/>
          <w:lang w:val="en-US"/>
        </w:rPr>
        <w:t>[…]</w:t>
      </w:r>
    </w:p>
    <w:p w14:paraId="06665B3F" w14:textId="77777777" w:rsidR="00664087" w:rsidRDefault="00664087">
      <w:pPr>
        <w:tabs>
          <w:tab w:val="clear" w:pos="567"/>
        </w:tabs>
        <w:snapToGrid/>
        <w:rPr>
          <w:rFonts w:asciiTheme="minorBidi" w:hAnsiTheme="minorBidi" w:cstheme="minorBidi"/>
          <w:b/>
          <w:bCs/>
          <w:i/>
          <w:iCs/>
          <w:sz w:val="22"/>
          <w:szCs w:val="20"/>
        </w:rPr>
      </w:pPr>
      <w:r>
        <w:rPr>
          <w:rFonts w:asciiTheme="minorBidi" w:hAnsiTheme="minorBidi" w:cstheme="minorBidi"/>
          <w:b/>
          <w:bCs/>
          <w:i/>
          <w:iCs/>
          <w:sz w:val="22"/>
          <w:szCs w:val="20"/>
        </w:rPr>
        <w:br w:type="page"/>
      </w:r>
    </w:p>
    <w:p w14:paraId="6BF010B8" w14:textId="74CA0D1F" w:rsidR="00B80201" w:rsidRPr="00B80201" w:rsidRDefault="00B80201" w:rsidP="00B80201">
      <w:pPr>
        <w:spacing w:after="240"/>
        <w:rPr>
          <w:rFonts w:eastAsia="Times New Roman" w:cs="Arial"/>
          <w:b/>
          <w:bCs/>
          <w:i/>
          <w:iCs/>
          <w:sz w:val="22"/>
          <w:szCs w:val="20"/>
          <w:lang w:eastAsia="en-US"/>
        </w:rPr>
      </w:pPr>
      <w:r w:rsidRPr="00B80201">
        <w:rPr>
          <w:rFonts w:asciiTheme="minorBidi" w:hAnsiTheme="minorBidi" w:cstheme="minorBidi"/>
          <w:b/>
          <w:bCs/>
          <w:i/>
          <w:iCs/>
          <w:sz w:val="22"/>
          <w:szCs w:val="20"/>
        </w:rPr>
        <w:lastRenderedPageBreak/>
        <w:t>Основные достижения в решении проблем, связанных с пандемией COVID-19</w:t>
      </w:r>
    </w:p>
    <w:p w14:paraId="73BE49CB" w14:textId="7E495834" w:rsidR="00B80201" w:rsidRPr="00B80201" w:rsidRDefault="00B80201" w:rsidP="00B80201">
      <w:pPr>
        <w:pStyle w:val="ListParagraph"/>
        <w:numPr>
          <w:ilvl w:val="0"/>
          <w:numId w:val="26"/>
        </w:numPr>
        <w:adjustRightInd w:val="0"/>
        <w:spacing w:after="240"/>
        <w:ind w:left="0" w:hanging="10"/>
        <w:contextualSpacing w:val="0"/>
        <w:jc w:val="both"/>
        <w:rPr>
          <w:rFonts w:ascii="Arial" w:hAnsi="Arial" w:cs="Arial"/>
          <w:sz w:val="22"/>
          <w:szCs w:val="22"/>
        </w:rPr>
      </w:pPr>
      <w:r w:rsidRPr="00B80201">
        <w:rPr>
          <w:rFonts w:asciiTheme="minorBidi" w:hAnsiTheme="minorBidi" w:cstheme="minorBidi"/>
          <w:sz w:val="22"/>
          <w:szCs w:val="22"/>
        </w:rPr>
        <w:t>Во время пандемии в рамках своей деятельности по наблюдениям за океаном МОК столкнулась с особыми трудностями в связи с отменой исследовательских рейсов, невозможностью технического обслуживания оборудования для наблюдений, сокращением персонала и оперативных бюджетов. Однако МОК смогла адаптировать свои методы работы, в том числе путем: (i) подготовки руководящих принципов для служб предупреждения о цунами, эвакуации и предоставления укрытий в ходе пандемии COVID-19 и (</w:t>
      </w:r>
      <w:proofErr w:type="spellStart"/>
      <w:r w:rsidRPr="00B80201">
        <w:rPr>
          <w:rFonts w:asciiTheme="minorBidi" w:hAnsiTheme="minorBidi" w:cstheme="minorBidi"/>
          <w:sz w:val="22"/>
          <w:szCs w:val="22"/>
        </w:rPr>
        <w:t>ii</w:t>
      </w:r>
      <w:proofErr w:type="spellEnd"/>
      <w:r w:rsidRPr="00B80201">
        <w:rPr>
          <w:rFonts w:asciiTheme="minorBidi" w:hAnsiTheme="minorBidi" w:cstheme="minorBidi"/>
          <w:sz w:val="22"/>
          <w:szCs w:val="22"/>
        </w:rPr>
        <w:t>) проведения исследования для оценки воздействия пандемии COVID-19 на сети сейсмических мареографов и датчиков цунами, а также на деятельность поставщиков связанных с ними услуг. Наличие платформы электронного обучения Глобальной академии «Океан-инструктор» позволило уже в июне 2020 г. оперативно произвести необходимые корректировки и организовать онлайновые учебные курсы, чтобы поддерживать работу МОК по созданию потенциала на запланированном уровне. Региональные вспомогательные органы МОК продемонстрировали свой потенциал адаптации, постоянно содействуя развитию науки об океане и сотрудничеству между государствами-членами в различных регионах. Некоторые крупные совещания ООН пришлось отложить до конца 2021 г. или даже до 2022 г., как в случае со второй Конференцией ООН по океану или Международной конференцией по океаническим данным 2022 г.</w:t>
      </w:r>
    </w:p>
    <w:p w14:paraId="443403EB" w14:textId="615E1252" w:rsidR="00B80201" w:rsidRPr="00B80201" w:rsidRDefault="00B80201" w:rsidP="00B80201">
      <w:pPr>
        <w:spacing w:after="240"/>
        <w:rPr>
          <w:rFonts w:asciiTheme="minorBidi" w:hAnsiTheme="minorBidi" w:cstheme="minorBidi"/>
          <w:b/>
          <w:bCs/>
          <w:i/>
          <w:iCs/>
          <w:sz w:val="22"/>
          <w:szCs w:val="20"/>
        </w:rPr>
      </w:pPr>
      <w:r w:rsidRPr="00B80201">
        <w:rPr>
          <w:rFonts w:asciiTheme="minorBidi" w:hAnsiTheme="minorBidi" w:cstheme="minorBidi"/>
          <w:b/>
          <w:bCs/>
          <w:i/>
          <w:iCs/>
          <w:sz w:val="22"/>
          <w:szCs w:val="20"/>
        </w:rPr>
        <w:t>Привлечение средств и основные партнерства</w:t>
      </w:r>
    </w:p>
    <w:p w14:paraId="1A872C8F" w14:textId="77777777" w:rsidR="00B80201" w:rsidRPr="00AD2FC9" w:rsidRDefault="00B80201" w:rsidP="00AD2FC9">
      <w:pPr>
        <w:pStyle w:val="ListParagraph"/>
        <w:numPr>
          <w:ilvl w:val="0"/>
          <w:numId w:val="26"/>
        </w:numPr>
        <w:adjustRightInd w:val="0"/>
        <w:spacing w:after="240"/>
        <w:ind w:left="0" w:hanging="10"/>
        <w:contextualSpacing w:val="0"/>
        <w:jc w:val="both"/>
        <w:rPr>
          <w:rFonts w:asciiTheme="minorBidi" w:hAnsiTheme="minorBidi" w:cstheme="minorBidi"/>
          <w:sz w:val="22"/>
          <w:szCs w:val="22"/>
        </w:rPr>
      </w:pPr>
      <w:r w:rsidRPr="00AD2FC9">
        <w:rPr>
          <w:rFonts w:asciiTheme="minorBidi" w:hAnsiTheme="minorBidi" w:cstheme="minorBidi"/>
          <w:sz w:val="22"/>
          <w:szCs w:val="22"/>
        </w:rPr>
        <w:t>Глобальные и региональные консультации, проведенные в течение четырехлетнего периода для разработки плана проведения Десятилетия океана, предоставили МОК возможность укрепить существующие и наладить новые партнерские отношения с учреждениями ООН, двусторонними и межправительственными региональными партнерами, благотворительными организациями, частным сектором, а также организациями гражданского общества. Кроме того, по итогам этих консультаций был создан Альянс в поддержку Десятилетия океана. Укрепление сотрудничества с традиционными двусторонними донорами, в том числе финансирование с менее жесткой целевой привязкой, например, со стороны НОРАД, сыграло решающую роль в выполнении Комиссией своих обязательств и удовлетворении ожиданий государств-членов.</w:t>
      </w:r>
    </w:p>
    <w:p w14:paraId="4EC529CA" w14:textId="77777777" w:rsidR="00B80201" w:rsidRPr="00AD2FC9" w:rsidRDefault="00B80201" w:rsidP="00AD2FC9">
      <w:pPr>
        <w:pStyle w:val="ListParagraph"/>
        <w:numPr>
          <w:ilvl w:val="0"/>
          <w:numId w:val="26"/>
        </w:numPr>
        <w:adjustRightInd w:val="0"/>
        <w:spacing w:after="240"/>
        <w:ind w:left="0" w:hanging="10"/>
        <w:contextualSpacing w:val="0"/>
        <w:jc w:val="both"/>
        <w:rPr>
          <w:rFonts w:asciiTheme="minorBidi" w:hAnsiTheme="minorBidi" w:cstheme="minorBidi"/>
          <w:sz w:val="22"/>
          <w:szCs w:val="22"/>
        </w:rPr>
      </w:pPr>
      <w:r w:rsidRPr="00AD2FC9">
        <w:rPr>
          <w:rFonts w:asciiTheme="minorBidi" w:hAnsiTheme="minorBidi" w:cstheme="minorBidi"/>
          <w:sz w:val="22"/>
          <w:szCs w:val="22"/>
        </w:rPr>
        <w:t xml:space="preserve">Укреплено </w:t>
      </w:r>
      <w:proofErr w:type="spellStart"/>
      <w:r w:rsidRPr="00AD2FC9">
        <w:rPr>
          <w:rFonts w:asciiTheme="minorBidi" w:hAnsiTheme="minorBidi" w:cstheme="minorBidi"/>
          <w:sz w:val="22"/>
          <w:szCs w:val="22"/>
        </w:rPr>
        <w:t>межучрежденческое</w:t>
      </w:r>
      <w:proofErr w:type="spellEnd"/>
      <w:r w:rsidRPr="00AD2FC9">
        <w:rPr>
          <w:rFonts w:asciiTheme="minorBidi" w:hAnsiTheme="minorBidi" w:cstheme="minorBidi"/>
          <w:sz w:val="22"/>
          <w:szCs w:val="22"/>
        </w:rPr>
        <w:t xml:space="preserve"> сотрудничество, в частности, с ОВОМП, ИМО, ВМО, ФАО, ЮНЕП, ПРООН, РКИКООН, УСРБ ООН, ВОЗ, МАГАТЭ и МСОП. Например, эффективное предоставление климатических услуг и оперативное обслуживание обеспечивалось в тесном сотрудничестве с ВМО, было продолжено успешное сотрудничество с Глобальным экологическим фондом (ГЭФ), ПРООН и ЮНЕП. В частности, МОК была поручена реализация двух проектов ГЭФ по крупным морским экосистемам (в Черном и Саргассовом морях). С МАГАТЭ, ФАО и ВОЗ было заключено трехстороннее соглашение о борьбе с </w:t>
      </w:r>
      <w:proofErr w:type="spellStart"/>
      <w:r w:rsidRPr="00AD2FC9">
        <w:rPr>
          <w:rFonts w:asciiTheme="minorBidi" w:hAnsiTheme="minorBidi" w:cstheme="minorBidi"/>
          <w:sz w:val="22"/>
          <w:szCs w:val="22"/>
        </w:rPr>
        <w:t>сигуатерой</w:t>
      </w:r>
      <w:proofErr w:type="spellEnd"/>
      <w:r w:rsidRPr="00AD2FC9">
        <w:rPr>
          <w:rFonts w:asciiTheme="minorBidi" w:hAnsiTheme="minorBidi" w:cstheme="minorBidi"/>
          <w:sz w:val="22"/>
          <w:szCs w:val="22"/>
        </w:rPr>
        <w:t>.</w:t>
      </w:r>
    </w:p>
    <w:p w14:paraId="7CE0FAED" w14:textId="40E8CE3D" w:rsidR="00B80201" w:rsidRPr="00AD2FC9" w:rsidRDefault="00B80201" w:rsidP="00AD2FC9">
      <w:pPr>
        <w:pStyle w:val="ListParagraph"/>
        <w:numPr>
          <w:ilvl w:val="0"/>
          <w:numId w:val="26"/>
        </w:numPr>
        <w:adjustRightInd w:val="0"/>
        <w:spacing w:after="240"/>
        <w:ind w:left="0" w:hanging="10"/>
        <w:contextualSpacing w:val="0"/>
        <w:jc w:val="both"/>
        <w:rPr>
          <w:rFonts w:asciiTheme="minorBidi" w:hAnsiTheme="minorBidi" w:cstheme="minorBidi"/>
          <w:sz w:val="22"/>
          <w:szCs w:val="22"/>
        </w:rPr>
      </w:pPr>
      <w:r w:rsidRPr="00AD2FC9">
        <w:rPr>
          <w:rFonts w:asciiTheme="minorBidi" w:hAnsiTheme="minorBidi" w:cstheme="minorBidi"/>
          <w:sz w:val="22"/>
          <w:szCs w:val="22"/>
        </w:rPr>
        <w:t xml:space="preserve">Укрепление потенциала и работа на местах продолжали осуществляться при содействии региональных вспомогательных органов МОК, а также региональных учебных центров ГАОИ и специализированных учебных центров ГАОИ и региональных учебно-исследовательских центров ВЕСТПАК. В регионе ИОСИНДИО два центра категории 2, расположенные в Иране и Индии, внесли ценный вклад в осуществление программ и обеспечивали заинтересованное участие региона в их реализации. Благодаря проекту ГЕБКО «Морское дно – 2030» активизировалось сотрудничество на региональном уровне в области картирования океана, главным образом в рамках МОКАРИБ и МОКАФРИКА. Сотрудничество с компаниями Prada и </w:t>
      </w:r>
      <w:proofErr w:type="spellStart"/>
      <w:r w:rsidRPr="00AD2FC9">
        <w:rPr>
          <w:rFonts w:asciiTheme="minorBidi" w:hAnsiTheme="minorBidi" w:cstheme="minorBidi"/>
          <w:sz w:val="22"/>
          <w:szCs w:val="22"/>
        </w:rPr>
        <w:t>Panerai</w:t>
      </w:r>
      <w:proofErr w:type="spellEnd"/>
      <w:r w:rsidRPr="00AD2FC9">
        <w:rPr>
          <w:rFonts w:asciiTheme="minorBidi" w:hAnsiTheme="minorBidi" w:cstheme="minorBidi"/>
          <w:sz w:val="22"/>
          <w:szCs w:val="22"/>
        </w:rPr>
        <w:t xml:space="preserve"> сыграло решающую роль в достижении прогресса в рамках проекта по повышению грамотности в связанных с океаном вопросах, а новое партнерство с Европейской комиссией позволит </w:t>
      </w:r>
      <w:proofErr w:type="spellStart"/>
      <w:r w:rsidRPr="00AD2FC9">
        <w:rPr>
          <w:rFonts w:asciiTheme="minorBidi" w:hAnsiTheme="minorBidi" w:cstheme="minorBidi"/>
          <w:sz w:val="22"/>
          <w:szCs w:val="22"/>
        </w:rPr>
        <w:t>добиься</w:t>
      </w:r>
      <w:proofErr w:type="spellEnd"/>
      <w:r w:rsidRPr="00AD2FC9">
        <w:rPr>
          <w:rFonts w:asciiTheme="minorBidi" w:hAnsiTheme="minorBidi" w:cstheme="minorBidi"/>
          <w:sz w:val="22"/>
          <w:szCs w:val="22"/>
        </w:rPr>
        <w:t xml:space="preserve"> новых результатов в 2022 г.</w:t>
      </w:r>
    </w:p>
    <w:p w14:paraId="629F05EE" w14:textId="77777777" w:rsidR="00664087" w:rsidRDefault="00664087">
      <w:pPr>
        <w:tabs>
          <w:tab w:val="clear" w:pos="567"/>
        </w:tabs>
        <w:snapToGrid/>
        <w:rPr>
          <w:rFonts w:asciiTheme="minorBidi" w:hAnsiTheme="minorBidi" w:cstheme="minorBidi"/>
          <w:b/>
          <w:bCs/>
          <w:i/>
          <w:iCs/>
          <w:sz w:val="22"/>
          <w:szCs w:val="20"/>
        </w:rPr>
      </w:pPr>
      <w:r>
        <w:rPr>
          <w:rFonts w:asciiTheme="minorBidi" w:hAnsiTheme="minorBidi" w:cstheme="minorBidi"/>
          <w:b/>
          <w:bCs/>
          <w:i/>
          <w:iCs/>
          <w:sz w:val="22"/>
          <w:szCs w:val="20"/>
        </w:rPr>
        <w:br w:type="page"/>
      </w:r>
    </w:p>
    <w:p w14:paraId="5E07606A" w14:textId="6DA80A46" w:rsidR="00B80201" w:rsidRPr="00B80201" w:rsidRDefault="00B80201" w:rsidP="00B80201">
      <w:pPr>
        <w:spacing w:after="240"/>
        <w:rPr>
          <w:rFonts w:asciiTheme="minorBidi" w:hAnsiTheme="minorBidi" w:cstheme="minorBidi"/>
          <w:b/>
          <w:bCs/>
          <w:i/>
          <w:iCs/>
          <w:sz w:val="22"/>
          <w:szCs w:val="20"/>
        </w:rPr>
      </w:pPr>
      <w:r w:rsidRPr="00B80201">
        <w:rPr>
          <w:rFonts w:asciiTheme="minorBidi" w:hAnsiTheme="minorBidi" w:cstheme="minorBidi"/>
          <w:b/>
          <w:bCs/>
          <w:i/>
          <w:iCs/>
          <w:sz w:val="22"/>
          <w:szCs w:val="20"/>
        </w:rPr>
        <w:lastRenderedPageBreak/>
        <w:t>Основные проблемы и корректирующие меры (помимо связанных с пандемией COVID-19)</w:t>
      </w:r>
    </w:p>
    <w:p w14:paraId="5C0AA855" w14:textId="77777777" w:rsidR="00B80201" w:rsidRPr="00AD2FC9" w:rsidRDefault="00B80201" w:rsidP="00AD2FC9">
      <w:pPr>
        <w:pStyle w:val="ListParagraph"/>
        <w:numPr>
          <w:ilvl w:val="0"/>
          <w:numId w:val="26"/>
        </w:numPr>
        <w:adjustRightInd w:val="0"/>
        <w:spacing w:after="240"/>
        <w:ind w:left="0" w:hanging="10"/>
        <w:contextualSpacing w:val="0"/>
        <w:jc w:val="both"/>
        <w:rPr>
          <w:rFonts w:asciiTheme="minorBidi" w:hAnsiTheme="minorBidi" w:cstheme="minorBidi"/>
          <w:sz w:val="22"/>
          <w:szCs w:val="22"/>
        </w:rPr>
      </w:pPr>
      <w:r w:rsidRPr="00AD2FC9">
        <w:rPr>
          <w:rFonts w:asciiTheme="minorBidi" w:hAnsiTheme="minorBidi" w:cstheme="minorBidi"/>
          <w:sz w:val="22"/>
          <w:szCs w:val="22"/>
        </w:rPr>
        <w:t>Подготовка к проведению Десятилетия океана, а также все более широкое признание на глобальном уровне важного значения деятельности МОК по содействию устойчивому управлению морскими ресурсами существенно увеличили объем работы сотрудников МОК, что отразилось на ее возможностях осуществления основных программ. Необходимо укреплять основные стратегические партнерства и налаживать новые партнерские связи, в том числе в контексте Альянса в поддержку Десятилетия океана. Занимая ведущие позиции среди учреждений системы ООН по вопросам, связанным с океаном, и выполняя четко определенную роль в подготовке информационной основы в области науки об океане для программ работы различных учреждений, МОК нуждается в укреплении своего потенциала в качестве координатора Десятилетия путем активной мобилизации ресурсов. Эти тенденции сохранятся и далее, в ходе работы по документу 41 С/5.</w:t>
      </w:r>
    </w:p>
    <w:p w14:paraId="5EC9AE1D" w14:textId="77777777" w:rsidR="00B80201" w:rsidRPr="00B80201" w:rsidRDefault="00B80201" w:rsidP="00B80201">
      <w:pPr>
        <w:pStyle w:val="ListParagraph"/>
        <w:adjustRightInd w:val="0"/>
        <w:spacing w:after="240"/>
        <w:ind w:left="0"/>
        <w:contextualSpacing w:val="0"/>
        <w:jc w:val="both"/>
        <w:rPr>
          <w:rFonts w:ascii="Arial" w:hAnsi="Arial" w:cs="Arial"/>
          <w:sz w:val="22"/>
          <w:szCs w:val="22"/>
        </w:rPr>
      </w:pPr>
    </w:p>
    <w:p w14:paraId="2923EC85" w14:textId="77777777" w:rsidR="008B4407" w:rsidRPr="00B80201" w:rsidRDefault="008B4407" w:rsidP="007A68F1">
      <w:pPr>
        <w:tabs>
          <w:tab w:val="clear" w:pos="567"/>
        </w:tabs>
        <w:snapToGrid/>
        <w:rPr>
          <w:rFonts w:ascii="Arial" w:hAnsi="Arial" w:cs="Arial"/>
          <w:snapToGrid/>
          <w:color w:val="000000"/>
          <w:sz w:val="22"/>
          <w:szCs w:val="22"/>
        </w:rPr>
      </w:pPr>
      <w:r w:rsidRPr="00B80201">
        <w:rPr>
          <w:rFonts w:ascii="Arial" w:hAnsi="Arial" w:cs="Arial"/>
        </w:rPr>
        <w:br w:type="page"/>
      </w:r>
    </w:p>
    <w:p w14:paraId="62357E62" w14:textId="77777777" w:rsidR="00EF2790" w:rsidRPr="0079265E" w:rsidRDefault="00EF2790" w:rsidP="00B70D61">
      <w:pPr>
        <w:keepNext/>
        <w:keepLines/>
        <w:widowControl w:val="0"/>
        <w:tabs>
          <w:tab w:val="clear" w:pos="567"/>
        </w:tabs>
        <w:adjustRightInd w:val="0"/>
        <w:textAlignment w:val="baseline"/>
        <w:outlineLvl w:val="1"/>
        <w:rPr>
          <w:rFonts w:ascii="Arial" w:eastAsia="Times New Roman" w:hAnsi="Arial" w:cs="Arial"/>
          <w:b/>
          <w:bCs/>
          <w:caps/>
          <w:sz w:val="22"/>
          <w:szCs w:val="22"/>
        </w:rPr>
      </w:pPr>
      <w:r w:rsidRPr="0079265E">
        <w:rPr>
          <w:rFonts w:ascii="Arial" w:hAnsi="Arial" w:cs="Arial"/>
          <w:b/>
          <w:bCs/>
          <w:caps/>
          <w:sz w:val="22"/>
          <w:szCs w:val="22"/>
        </w:rPr>
        <w:lastRenderedPageBreak/>
        <w:t>Оценка результативности работы в сопоставлении с матрицей ожидаемых результатов</w:t>
      </w:r>
    </w:p>
    <w:p w14:paraId="393E6E29" w14:textId="77777777" w:rsidR="00EF2790" w:rsidRPr="0079265E" w:rsidRDefault="00EF2790" w:rsidP="007A68F1">
      <w:pPr>
        <w:widowControl w:val="0"/>
        <w:tabs>
          <w:tab w:val="clear" w:pos="567"/>
        </w:tabs>
        <w:adjustRightInd w:val="0"/>
        <w:jc w:val="both"/>
        <w:textAlignment w:val="baseline"/>
        <w:rPr>
          <w:rFonts w:ascii="Arial" w:eastAsia="Times New Roman" w:hAnsi="Arial" w:cs="Arial"/>
          <w:sz w:val="22"/>
        </w:rPr>
      </w:pPr>
      <w:r w:rsidRPr="0079265E">
        <w:rPr>
          <w:rFonts w:ascii="Arial" w:eastAsia="Times New Roman" w:hAnsi="Arial" w:cs="Arial"/>
          <w:noProof/>
          <w:snapToGrid/>
          <w:sz w:val="22"/>
          <w:lang w:val="fr-FR" w:eastAsia="fr-FR"/>
        </w:rPr>
        <mc:AlternateContent>
          <mc:Choice Requires="wps">
            <w:drawing>
              <wp:anchor distT="0" distB="0" distL="114300" distR="114300" simplePos="0" relativeHeight="251663360" behindDoc="0" locked="0" layoutInCell="1" allowOverlap="1" wp14:anchorId="3656B1C5" wp14:editId="36EEAFB4">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3DF427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PP7jRfhAQAApAMAAA4AAAAAAAAAAAAAAAAALgIAAGRycy9lMm9Eb2MueG1sUEsBAi0AFAAG&#10;AAgAAAAhABLSJ4LcAAAABQEAAA8AAAAAAAAAAAAAAAAAOwQAAGRycy9kb3ducmV2LnhtbFBLBQYA&#10;AAAABAAEAPMAAABEBQAAAAA=&#10;" strokecolor="#4a7ebb"/>
            </w:pict>
          </mc:Fallback>
        </mc:AlternateContent>
      </w:r>
    </w:p>
    <w:p w14:paraId="2B14FEB3" w14:textId="5FB66277" w:rsidR="00B84469" w:rsidRPr="00FF356C" w:rsidRDefault="00EF2790" w:rsidP="007A68F1">
      <w:pPr>
        <w:pStyle w:val="Marge"/>
        <w:tabs>
          <w:tab w:val="clear" w:pos="567"/>
        </w:tabs>
        <w:jc w:val="center"/>
        <w:rPr>
          <w:rFonts w:ascii="Arial" w:hAnsi="Arial" w:cs="Arial"/>
          <w:b/>
          <w:bCs/>
          <w:noProof/>
          <w:snapToGrid/>
          <w:sz w:val="22"/>
          <w:szCs w:val="22"/>
        </w:rPr>
      </w:pPr>
      <w:r w:rsidRPr="0079265E">
        <w:rPr>
          <w:rFonts w:ascii="Arial" w:hAnsi="Arial" w:cs="Arial"/>
          <w:bCs/>
          <w:i/>
          <w:sz w:val="22"/>
          <w:szCs w:val="22"/>
        </w:rPr>
        <w:t>(см. документ 214 EX/4.1.INF.)</w:t>
      </w:r>
      <w:r w:rsidR="00FF356C" w:rsidRPr="00FF356C">
        <w:rPr>
          <w:rFonts w:ascii="Arial" w:hAnsi="Arial" w:cs="Arial"/>
          <w:bCs/>
          <w:i/>
          <w:sz w:val="22"/>
          <w:szCs w:val="22"/>
        </w:rPr>
        <w:t xml:space="preserve"> </w:t>
      </w:r>
      <w:r w:rsidR="00FF356C" w:rsidRPr="00FF356C">
        <w:rPr>
          <w:rFonts w:ascii="Arial" w:hAnsi="Arial" w:cs="Arial"/>
          <w:bCs/>
          <w:i/>
          <w:sz w:val="22"/>
          <w:szCs w:val="22"/>
        </w:rPr>
        <w:t>Только английский</w:t>
      </w:r>
    </w:p>
    <w:p w14:paraId="062B43F5" w14:textId="77777777" w:rsidR="00FF356C" w:rsidRPr="00FF356C" w:rsidRDefault="00FF356C" w:rsidP="00FF356C">
      <w:pPr>
        <w:pStyle w:val="Heading2"/>
        <w:pBdr>
          <w:bottom w:val="single" w:sz="4" w:space="1" w:color="auto"/>
        </w:pBdr>
        <w:rPr>
          <w:rFonts w:ascii="Arial" w:hAnsi="Arial" w:cs="Arial"/>
          <w:sz w:val="22"/>
          <w:szCs w:val="20"/>
          <w:lang w:val="en-US"/>
        </w:rPr>
      </w:pPr>
      <w:r w:rsidRPr="00FF356C">
        <w:rPr>
          <w:rFonts w:ascii="Arial" w:hAnsi="Arial" w:cs="Arial"/>
          <w:sz w:val="22"/>
          <w:szCs w:val="20"/>
          <w:lang w:val="en-US"/>
        </w:rPr>
        <w:t>INTERGOVERNMENTAL OCEANOGRAPHIC COMMISSION</w:t>
      </w:r>
    </w:p>
    <w:p w14:paraId="44DABD49" w14:textId="6B4BE25D" w:rsidR="00FF356C" w:rsidRDefault="00FF356C" w:rsidP="00FF356C">
      <w:pPr>
        <w:ind w:right="140"/>
        <w:jc w:val="both"/>
        <w:rPr>
          <w:rFonts w:ascii="Arial" w:hAnsi="Arial" w:cs="Arial"/>
          <w:b/>
          <w:bCs/>
          <w:sz w:val="22"/>
          <w:szCs w:val="20"/>
          <w:lang w:val="en-US" w:eastAsia="en-CA"/>
        </w:rPr>
      </w:pPr>
      <w:r w:rsidRPr="00FF356C">
        <w:rPr>
          <w:rFonts w:ascii="Arial" w:hAnsi="Arial" w:cs="Arial"/>
          <w:b/>
          <w:bCs/>
          <w:sz w:val="22"/>
          <w:szCs w:val="20"/>
          <w:lang w:val="en-US" w:eastAsia="en-CA"/>
        </w:rPr>
        <w:t>IOC Expected Result 1: Science-informed policies for reduced vulnerability to ocean hazards, for the global conservation and sustainable use of oceans, seas and marine resources, and increased resilience and adaptation to climate change, developed and implemented by Member States, towards the realization of the 2030 Agenda</w:t>
      </w:r>
    </w:p>
    <w:p w14:paraId="5937F741" w14:textId="7636A4B8" w:rsidR="00FF356C" w:rsidRPr="00FF356C" w:rsidRDefault="00FF356C" w:rsidP="00FF356C">
      <w:pPr>
        <w:ind w:right="140"/>
        <w:jc w:val="both"/>
        <w:rPr>
          <w:rFonts w:ascii="Arial" w:hAnsi="Arial" w:cs="Arial"/>
          <w:b/>
          <w:bCs/>
          <w:sz w:val="22"/>
          <w:szCs w:val="20"/>
          <w:lang w:val="en-US" w:eastAsia="en-CA"/>
        </w:rPr>
      </w:pPr>
    </w:p>
    <w:tbl>
      <w:tblPr>
        <w:tblW w:w="5000" w:type="pct"/>
        <w:tblLayout w:type="fixed"/>
        <w:tblLook w:val="04A0" w:firstRow="1" w:lastRow="0" w:firstColumn="1" w:lastColumn="0" w:noHBand="0" w:noVBand="1"/>
      </w:tblPr>
      <w:tblGrid>
        <w:gridCol w:w="1697"/>
        <w:gridCol w:w="1479"/>
        <w:gridCol w:w="1781"/>
        <w:gridCol w:w="1550"/>
        <w:gridCol w:w="1567"/>
        <w:gridCol w:w="1554"/>
      </w:tblGrid>
      <w:tr w:rsidR="00FF356C" w:rsidRPr="00FF356C" w14:paraId="2832C51E" w14:textId="77777777" w:rsidTr="00817F9B">
        <w:trPr>
          <w:trHeight w:val="300"/>
        </w:trPr>
        <w:tc>
          <w:tcPr>
            <w:tcW w:w="3379" w:type="pct"/>
            <w:gridSpan w:val="4"/>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69C649A"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Integrated Budget Framework</w:t>
            </w:r>
            <w:r w:rsidRPr="001F08B6">
              <w:rPr>
                <w:rFonts w:asciiTheme="minorBidi" w:eastAsia="Times New Roman" w:hAnsiTheme="minorBidi" w:cstheme="minorBidi"/>
                <w:color w:val="000000"/>
                <w:sz w:val="19"/>
                <w:szCs w:val="19"/>
                <w:lang w:val="en-US"/>
              </w:rPr>
              <w:t xml:space="preserve"> </w:t>
            </w:r>
            <w:r w:rsidRPr="001F08B6">
              <w:rPr>
                <w:rFonts w:asciiTheme="minorBidi" w:eastAsia="Times New Roman" w:hAnsiTheme="minorBidi" w:cstheme="minorBidi"/>
                <w:b/>
                <w:bCs/>
                <w:color w:val="000000"/>
                <w:sz w:val="19"/>
                <w:szCs w:val="19"/>
                <w:lang w:val="en-US"/>
              </w:rPr>
              <w:t xml:space="preserve">(non-staff) </w:t>
            </w:r>
          </w:p>
          <w:p w14:paraId="08CC1B93"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color w:val="000000"/>
                <w:sz w:val="18"/>
                <w:szCs w:val="18"/>
                <w:lang w:val="en-US"/>
              </w:rPr>
              <w:t>(</w:t>
            </w:r>
            <w:proofErr w:type="gramStart"/>
            <w:r w:rsidRPr="001F08B6">
              <w:rPr>
                <w:rFonts w:asciiTheme="minorBidi" w:eastAsia="Times New Roman" w:hAnsiTheme="minorBidi" w:cstheme="minorBidi"/>
                <w:color w:val="000000"/>
                <w:sz w:val="18"/>
                <w:szCs w:val="18"/>
                <w:lang w:val="en-US"/>
              </w:rPr>
              <w:t>in</w:t>
            </w:r>
            <w:proofErr w:type="gramEnd"/>
            <w:r w:rsidRPr="001F08B6">
              <w:rPr>
                <w:rFonts w:asciiTheme="minorBidi" w:eastAsia="Times New Roman" w:hAnsiTheme="minorBidi" w:cstheme="minorBidi"/>
                <w:color w:val="000000"/>
                <w:sz w:val="18"/>
                <w:szCs w:val="18"/>
                <w:lang w:val="en-US"/>
              </w:rPr>
              <w:t xml:space="preserve"> USD </w:t>
            </w:r>
            <w:r>
              <w:rPr>
                <w:rFonts w:asciiTheme="minorBidi" w:eastAsia="Times New Roman" w:hAnsiTheme="minorBidi" w:cstheme="minorBidi"/>
                <w:color w:val="000000"/>
                <w:sz w:val="18"/>
                <w:szCs w:val="18"/>
                <w:lang w:val="en-US"/>
              </w:rPr>
              <w:t>’</w:t>
            </w:r>
            <w:r w:rsidRPr="001F08B6">
              <w:rPr>
                <w:rFonts w:asciiTheme="minorBidi" w:eastAsia="Times New Roman" w:hAnsiTheme="minorBidi" w:cstheme="minorBidi"/>
                <w:color w:val="000000"/>
                <w:sz w:val="18"/>
                <w:szCs w:val="18"/>
                <w:lang w:val="en-US"/>
              </w:rPr>
              <w:t>000s)</w:t>
            </w:r>
          </w:p>
        </w:tc>
        <w:tc>
          <w:tcPr>
            <w:tcW w:w="1621" w:type="pct"/>
            <w:gridSpan w:val="2"/>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194A8FA6"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 xml:space="preserve">Funds mobilized </w:t>
            </w:r>
          </w:p>
          <w:p w14:paraId="5C75A473"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color w:val="000000"/>
                <w:sz w:val="18"/>
                <w:szCs w:val="18"/>
                <w:lang w:val="en-US"/>
              </w:rPr>
              <w:t>(</w:t>
            </w:r>
            <w:proofErr w:type="gramStart"/>
            <w:r w:rsidRPr="001F08B6">
              <w:rPr>
                <w:rFonts w:asciiTheme="minorBidi" w:eastAsia="Times New Roman" w:hAnsiTheme="minorBidi" w:cstheme="minorBidi"/>
                <w:color w:val="000000"/>
                <w:sz w:val="18"/>
                <w:szCs w:val="18"/>
                <w:lang w:val="en-US"/>
              </w:rPr>
              <w:t>in</w:t>
            </w:r>
            <w:proofErr w:type="gramEnd"/>
            <w:r w:rsidRPr="001F08B6">
              <w:rPr>
                <w:rFonts w:asciiTheme="minorBidi" w:eastAsia="Times New Roman" w:hAnsiTheme="minorBidi" w:cstheme="minorBidi"/>
                <w:color w:val="000000"/>
                <w:sz w:val="18"/>
                <w:szCs w:val="18"/>
                <w:lang w:val="en-US"/>
              </w:rPr>
              <w:t xml:space="preserve"> USD </w:t>
            </w:r>
            <w:r>
              <w:rPr>
                <w:rFonts w:asciiTheme="minorBidi" w:eastAsia="Times New Roman" w:hAnsiTheme="minorBidi" w:cstheme="minorBidi"/>
                <w:color w:val="000000"/>
                <w:sz w:val="18"/>
                <w:szCs w:val="18"/>
                <w:lang w:val="en-US"/>
              </w:rPr>
              <w:t>’</w:t>
            </w:r>
            <w:r w:rsidRPr="001F08B6">
              <w:rPr>
                <w:rFonts w:asciiTheme="minorBidi" w:eastAsia="Times New Roman" w:hAnsiTheme="minorBidi" w:cstheme="minorBidi"/>
                <w:color w:val="000000"/>
                <w:sz w:val="18"/>
                <w:szCs w:val="18"/>
                <w:lang w:val="en-US"/>
              </w:rPr>
              <w:t>000s)</w:t>
            </w:r>
          </w:p>
        </w:tc>
      </w:tr>
      <w:tr w:rsidR="00FF356C" w:rsidRPr="001F08B6" w14:paraId="7AD0EEF0" w14:textId="77777777" w:rsidTr="00817F9B">
        <w:trPr>
          <w:trHeight w:val="300"/>
        </w:trPr>
        <w:tc>
          <w:tcPr>
            <w:tcW w:w="1649" w:type="pct"/>
            <w:gridSpan w:val="2"/>
            <w:tcBorders>
              <w:top w:val="nil"/>
              <w:left w:val="single" w:sz="4" w:space="0" w:color="auto"/>
              <w:bottom w:val="single" w:sz="4" w:space="0" w:color="auto"/>
              <w:right w:val="single" w:sz="4" w:space="0" w:color="auto"/>
            </w:tcBorders>
            <w:noWrap/>
            <w:vAlign w:val="center"/>
            <w:hideMark/>
          </w:tcPr>
          <w:p w14:paraId="3EC0D49C"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39 C/5 (2018-2019)</w:t>
            </w:r>
          </w:p>
        </w:tc>
        <w:tc>
          <w:tcPr>
            <w:tcW w:w="1730" w:type="pct"/>
            <w:gridSpan w:val="2"/>
            <w:tcBorders>
              <w:top w:val="single" w:sz="4" w:space="0" w:color="auto"/>
              <w:left w:val="nil"/>
              <w:bottom w:val="single" w:sz="4" w:space="0" w:color="auto"/>
              <w:right w:val="single" w:sz="4" w:space="0" w:color="auto"/>
            </w:tcBorders>
            <w:noWrap/>
            <w:vAlign w:val="center"/>
            <w:hideMark/>
          </w:tcPr>
          <w:p w14:paraId="06A92DCE"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 xml:space="preserve">40 C/5 (2020-2021) </w:t>
            </w:r>
          </w:p>
        </w:tc>
        <w:tc>
          <w:tcPr>
            <w:tcW w:w="814" w:type="pct"/>
            <w:vMerge w:val="restart"/>
            <w:tcBorders>
              <w:top w:val="single" w:sz="4" w:space="0" w:color="auto"/>
              <w:left w:val="nil"/>
              <w:bottom w:val="single" w:sz="4" w:space="0" w:color="auto"/>
              <w:right w:val="single" w:sz="4" w:space="0" w:color="auto"/>
            </w:tcBorders>
            <w:noWrap/>
            <w:vAlign w:val="center"/>
            <w:hideMark/>
          </w:tcPr>
          <w:p w14:paraId="234EF61A"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2018-2019</w:t>
            </w:r>
          </w:p>
        </w:tc>
        <w:tc>
          <w:tcPr>
            <w:tcW w:w="807" w:type="pct"/>
            <w:vMerge w:val="restart"/>
            <w:tcBorders>
              <w:top w:val="single" w:sz="4" w:space="0" w:color="auto"/>
              <w:left w:val="nil"/>
              <w:bottom w:val="single" w:sz="4" w:space="0" w:color="auto"/>
              <w:right w:val="single" w:sz="4" w:space="0" w:color="auto"/>
            </w:tcBorders>
            <w:noWrap/>
            <w:vAlign w:val="center"/>
            <w:hideMark/>
          </w:tcPr>
          <w:p w14:paraId="27441B1D"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 xml:space="preserve">2020-2021 </w:t>
            </w:r>
          </w:p>
        </w:tc>
      </w:tr>
      <w:tr w:rsidR="00FF356C" w:rsidRPr="001F08B6" w14:paraId="2016BC20" w14:textId="77777777" w:rsidTr="00817F9B">
        <w:trPr>
          <w:trHeight w:val="300"/>
        </w:trPr>
        <w:tc>
          <w:tcPr>
            <w:tcW w:w="881" w:type="pct"/>
            <w:tcBorders>
              <w:top w:val="single" w:sz="4" w:space="0" w:color="auto"/>
              <w:left w:val="single" w:sz="4" w:space="0" w:color="auto"/>
              <w:bottom w:val="single" w:sz="4" w:space="0" w:color="auto"/>
              <w:right w:val="single" w:sz="4" w:space="0" w:color="auto"/>
            </w:tcBorders>
            <w:noWrap/>
            <w:vAlign w:val="center"/>
            <w:hideMark/>
          </w:tcPr>
          <w:p w14:paraId="3C6B715D"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IBF as adjusted</w:t>
            </w:r>
          </w:p>
        </w:tc>
        <w:tc>
          <w:tcPr>
            <w:tcW w:w="768" w:type="pct"/>
            <w:tcBorders>
              <w:top w:val="single" w:sz="4" w:space="0" w:color="auto"/>
              <w:left w:val="single" w:sz="4" w:space="0" w:color="auto"/>
              <w:bottom w:val="single" w:sz="4" w:space="0" w:color="auto"/>
              <w:right w:val="single" w:sz="4" w:space="0" w:color="auto"/>
            </w:tcBorders>
            <w:vAlign w:val="center"/>
          </w:tcPr>
          <w:p w14:paraId="00E8C026"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Expenditures</w:t>
            </w:r>
          </w:p>
        </w:tc>
        <w:tc>
          <w:tcPr>
            <w:tcW w:w="925" w:type="pct"/>
            <w:tcBorders>
              <w:top w:val="single" w:sz="4" w:space="0" w:color="auto"/>
              <w:left w:val="nil"/>
              <w:bottom w:val="single" w:sz="4" w:space="0" w:color="auto"/>
              <w:right w:val="single" w:sz="4" w:space="0" w:color="auto"/>
            </w:tcBorders>
            <w:noWrap/>
            <w:vAlign w:val="center"/>
            <w:hideMark/>
          </w:tcPr>
          <w:p w14:paraId="7C203097"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IBF as adjusted</w:t>
            </w:r>
          </w:p>
        </w:tc>
        <w:tc>
          <w:tcPr>
            <w:tcW w:w="805" w:type="pct"/>
            <w:tcBorders>
              <w:top w:val="single" w:sz="4" w:space="0" w:color="auto"/>
              <w:left w:val="nil"/>
              <w:bottom w:val="single" w:sz="4" w:space="0" w:color="auto"/>
              <w:right w:val="single" w:sz="4" w:space="0" w:color="auto"/>
            </w:tcBorders>
            <w:vAlign w:val="center"/>
          </w:tcPr>
          <w:p w14:paraId="79F5194C"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r w:rsidRPr="001F08B6">
              <w:rPr>
                <w:rFonts w:asciiTheme="minorBidi" w:eastAsia="Times New Roman" w:hAnsiTheme="minorBidi" w:cstheme="minorBidi"/>
                <w:b/>
                <w:bCs/>
                <w:color w:val="000000"/>
                <w:sz w:val="19"/>
                <w:szCs w:val="19"/>
                <w:lang w:val="en-US"/>
              </w:rPr>
              <w:t>Expenditures</w:t>
            </w:r>
          </w:p>
        </w:tc>
        <w:tc>
          <w:tcPr>
            <w:tcW w:w="814" w:type="pct"/>
            <w:vMerge/>
            <w:tcBorders>
              <w:top w:val="single" w:sz="4" w:space="0" w:color="auto"/>
              <w:left w:val="nil"/>
              <w:bottom w:val="single" w:sz="4" w:space="0" w:color="auto"/>
              <w:right w:val="single" w:sz="4" w:space="0" w:color="auto"/>
            </w:tcBorders>
            <w:noWrap/>
            <w:vAlign w:val="center"/>
            <w:hideMark/>
          </w:tcPr>
          <w:p w14:paraId="4AD87B82" w14:textId="77777777" w:rsidR="00FF356C" w:rsidRPr="001F08B6" w:rsidRDefault="00FF356C" w:rsidP="00817F9B">
            <w:pPr>
              <w:jc w:val="center"/>
              <w:rPr>
                <w:rFonts w:asciiTheme="minorBidi" w:eastAsia="Times New Roman" w:hAnsiTheme="minorBidi" w:cstheme="minorBidi"/>
                <w:b/>
                <w:bCs/>
                <w:color w:val="000000"/>
                <w:sz w:val="19"/>
                <w:szCs w:val="19"/>
                <w:lang w:val="en-US"/>
              </w:rPr>
            </w:pPr>
          </w:p>
        </w:tc>
        <w:tc>
          <w:tcPr>
            <w:tcW w:w="807" w:type="pct"/>
            <w:vMerge/>
            <w:tcBorders>
              <w:top w:val="single" w:sz="4" w:space="0" w:color="auto"/>
              <w:left w:val="nil"/>
              <w:bottom w:val="single" w:sz="4" w:space="0" w:color="auto"/>
              <w:right w:val="single" w:sz="4" w:space="0" w:color="auto"/>
            </w:tcBorders>
            <w:noWrap/>
            <w:vAlign w:val="center"/>
            <w:hideMark/>
          </w:tcPr>
          <w:p w14:paraId="6E0710A7" w14:textId="77777777" w:rsidR="00FF356C" w:rsidRPr="001F08B6" w:rsidRDefault="00FF356C" w:rsidP="00817F9B">
            <w:pPr>
              <w:jc w:val="center"/>
              <w:rPr>
                <w:rFonts w:asciiTheme="minorBidi" w:eastAsia="Times New Roman" w:hAnsiTheme="minorBidi" w:cstheme="minorBidi"/>
                <w:color w:val="000000"/>
                <w:sz w:val="19"/>
                <w:szCs w:val="19"/>
                <w:lang w:val="en-US"/>
              </w:rPr>
            </w:pPr>
          </w:p>
        </w:tc>
      </w:tr>
      <w:tr w:rsidR="00FF356C" w:rsidRPr="00396C9C" w14:paraId="77EED954" w14:textId="77777777" w:rsidTr="00817F9B">
        <w:trPr>
          <w:trHeight w:val="300"/>
        </w:trPr>
        <w:tc>
          <w:tcPr>
            <w:tcW w:w="881" w:type="pct"/>
            <w:tcBorders>
              <w:top w:val="single" w:sz="4" w:space="0" w:color="auto"/>
              <w:left w:val="single" w:sz="4" w:space="0" w:color="auto"/>
              <w:bottom w:val="single" w:sz="4" w:space="0" w:color="auto"/>
              <w:right w:val="single" w:sz="4" w:space="0" w:color="auto"/>
            </w:tcBorders>
            <w:noWrap/>
            <w:vAlign w:val="center"/>
          </w:tcPr>
          <w:p w14:paraId="233BC901"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hAnsiTheme="minorBidi" w:cstheme="minorBidi"/>
                <w:color w:val="000000"/>
                <w:sz w:val="20"/>
                <w:szCs w:val="20"/>
                <w:lang w:val="en-US"/>
              </w:rPr>
              <w:t>20,351</w:t>
            </w:r>
          </w:p>
        </w:tc>
        <w:tc>
          <w:tcPr>
            <w:tcW w:w="768" w:type="pct"/>
            <w:tcBorders>
              <w:top w:val="single" w:sz="4" w:space="0" w:color="auto"/>
              <w:left w:val="single" w:sz="4" w:space="0" w:color="auto"/>
              <w:bottom w:val="single" w:sz="4" w:space="0" w:color="auto"/>
              <w:right w:val="single" w:sz="4" w:space="0" w:color="auto"/>
            </w:tcBorders>
            <w:vAlign w:val="center"/>
          </w:tcPr>
          <w:p w14:paraId="479AF9BD"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hAnsiTheme="minorBidi" w:cstheme="minorBidi"/>
                <w:color w:val="000000"/>
                <w:sz w:val="20"/>
                <w:szCs w:val="20"/>
                <w:lang w:val="en-US"/>
              </w:rPr>
              <w:t>16,544</w:t>
            </w:r>
          </w:p>
        </w:tc>
        <w:tc>
          <w:tcPr>
            <w:tcW w:w="925" w:type="pct"/>
            <w:tcBorders>
              <w:top w:val="single" w:sz="4" w:space="0" w:color="auto"/>
              <w:left w:val="nil"/>
              <w:bottom w:val="single" w:sz="4" w:space="0" w:color="auto"/>
              <w:right w:val="single" w:sz="4" w:space="0" w:color="auto"/>
            </w:tcBorders>
            <w:noWrap/>
            <w:vAlign w:val="center"/>
          </w:tcPr>
          <w:p w14:paraId="1F6BA15A"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hAnsiTheme="minorBidi" w:cstheme="minorBidi"/>
                <w:color w:val="000000"/>
                <w:sz w:val="20"/>
                <w:szCs w:val="20"/>
                <w:lang w:val="en-US"/>
              </w:rPr>
              <w:t>18,559</w:t>
            </w:r>
          </w:p>
        </w:tc>
        <w:tc>
          <w:tcPr>
            <w:tcW w:w="805" w:type="pct"/>
            <w:tcBorders>
              <w:top w:val="single" w:sz="4" w:space="0" w:color="auto"/>
              <w:left w:val="nil"/>
              <w:bottom w:val="single" w:sz="4" w:space="0" w:color="auto"/>
              <w:right w:val="single" w:sz="4" w:space="0" w:color="auto"/>
            </w:tcBorders>
            <w:vAlign w:val="center"/>
          </w:tcPr>
          <w:p w14:paraId="7F19BD6D"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hAnsiTheme="minorBidi" w:cstheme="minorBidi"/>
                <w:color w:val="000000"/>
                <w:sz w:val="20"/>
                <w:szCs w:val="20"/>
                <w:lang w:val="en-US"/>
              </w:rPr>
              <w:t>12,042</w:t>
            </w:r>
          </w:p>
        </w:tc>
        <w:tc>
          <w:tcPr>
            <w:tcW w:w="814" w:type="pct"/>
            <w:tcBorders>
              <w:top w:val="single" w:sz="4" w:space="0" w:color="auto"/>
              <w:left w:val="nil"/>
              <w:bottom w:val="single" w:sz="4" w:space="0" w:color="auto"/>
              <w:right w:val="single" w:sz="4" w:space="0" w:color="auto"/>
            </w:tcBorders>
            <w:noWrap/>
            <w:vAlign w:val="center"/>
          </w:tcPr>
          <w:p w14:paraId="19850698"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eastAsia="Times New Roman" w:hAnsiTheme="minorBidi" w:cstheme="minorBidi"/>
                <w:color w:val="000000"/>
                <w:sz w:val="20"/>
                <w:szCs w:val="20"/>
                <w:lang w:val="en-US"/>
              </w:rPr>
              <w:t>9,066</w:t>
            </w:r>
          </w:p>
        </w:tc>
        <w:tc>
          <w:tcPr>
            <w:tcW w:w="807" w:type="pct"/>
            <w:tcBorders>
              <w:top w:val="single" w:sz="4" w:space="0" w:color="auto"/>
              <w:left w:val="nil"/>
              <w:bottom w:val="single" w:sz="4" w:space="0" w:color="auto"/>
              <w:right w:val="single" w:sz="4" w:space="0" w:color="auto"/>
            </w:tcBorders>
            <w:noWrap/>
            <w:vAlign w:val="center"/>
          </w:tcPr>
          <w:p w14:paraId="1F5AC2C6" w14:textId="77777777" w:rsidR="00FF356C" w:rsidRPr="00396C9C" w:rsidRDefault="00FF356C" w:rsidP="00817F9B">
            <w:pPr>
              <w:jc w:val="center"/>
              <w:rPr>
                <w:rFonts w:asciiTheme="minorBidi" w:eastAsia="Times New Roman" w:hAnsiTheme="minorBidi" w:cstheme="minorBidi"/>
                <w:color w:val="000000"/>
                <w:sz w:val="20"/>
                <w:szCs w:val="20"/>
                <w:lang w:val="en-US"/>
              </w:rPr>
            </w:pPr>
            <w:r w:rsidRPr="00396C9C">
              <w:rPr>
                <w:rFonts w:asciiTheme="minorBidi" w:eastAsia="Times New Roman" w:hAnsiTheme="minorBidi" w:cstheme="minorBidi"/>
                <w:color w:val="000000"/>
                <w:sz w:val="20"/>
                <w:szCs w:val="20"/>
                <w:lang w:val="en-US"/>
              </w:rPr>
              <w:t>18,279</w:t>
            </w:r>
          </w:p>
        </w:tc>
      </w:tr>
    </w:tbl>
    <w:p w14:paraId="21145C96" w14:textId="77777777" w:rsidR="00FF356C" w:rsidRPr="00396C9C" w:rsidRDefault="00FF356C" w:rsidP="00FF356C">
      <w:pPr>
        <w:ind w:right="958"/>
        <w:rPr>
          <w:rFonts w:asciiTheme="minorBidi" w:hAnsiTheme="minorBidi" w:cstheme="minorBidi"/>
          <w:bCs/>
          <w:snapToGrid/>
          <w:sz w:val="22"/>
          <w:szCs w:val="22"/>
          <w:lang w:val="en-US" w:eastAsia="en-CA"/>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FF356C" w:rsidRPr="00FF356C" w14:paraId="2C723721" w14:textId="77777777" w:rsidTr="00FF356C">
        <w:trPr>
          <w:tblHeader/>
        </w:trPr>
        <w:tc>
          <w:tcPr>
            <w:tcW w:w="2648"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25309DB7" w14:textId="77777777" w:rsidR="00FF356C" w:rsidRPr="001F08B6" w:rsidRDefault="00FF356C" w:rsidP="00817F9B">
            <w:pPr>
              <w:tabs>
                <w:tab w:val="clear" w:pos="567"/>
              </w:tabs>
              <w:snapToGrid/>
              <w:jc w:val="center"/>
              <w:rPr>
                <w:rFonts w:asciiTheme="minorBidi" w:hAnsiTheme="minorBidi" w:cstheme="minorBidi"/>
                <w:b/>
                <w:bCs/>
                <w:snapToGrid/>
                <w:sz w:val="20"/>
                <w:szCs w:val="20"/>
                <w:lang w:val="en-US"/>
              </w:rPr>
            </w:pPr>
            <w:r w:rsidRPr="001F08B6">
              <w:rPr>
                <w:rFonts w:asciiTheme="minorBidi" w:eastAsia="Arial Unicode MS" w:hAnsiTheme="minorBidi" w:cstheme="minorBidi"/>
                <w:b/>
                <w:bCs/>
                <w:sz w:val="20"/>
                <w:szCs w:val="20"/>
                <w:lang w:val="en-US"/>
              </w:rPr>
              <w:t>Performance Indicators (PI) and Targets (T)</w:t>
            </w:r>
          </w:p>
        </w:tc>
        <w:tc>
          <w:tcPr>
            <w:tcW w:w="2352"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551F4A4C" w14:textId="77777777" w:rsidR="00FF356C" w:rsidRPr="001F08B6" w:rsidRDefault="00FF356C" w:rsidP="00817F9B">
            <w:pPr>
              <w:tabs>
                <w:tab w:val="clear" w:pos="567"/>
              </w:tabs>
              <w:snapToGrid/>
              <w:jc w:val="center"/>
              <w:rPr>
                <w:rFonts w:asciiTheme="minorBidi" w:hAnsiTheme="minorBidi" w:cstheme="minorBidi"/>
                <w:b/>
                <w:bCs/>
                <w:snapToGrid/>
                <w:sz w:val="20"/>
                <w:szCs w:val="20"/>
                <w:lang w:val="en-US"/>
              </w:rPr>
            </w:pPr>
            <w:r w:rsidRPr="001F08B6">
              <w:rPr>
                <w:rFonts w:asciiTheme="minorBidi" w:hAnsiTheme="minorBidi" w:cstheme="minorBidi"/>
                <w:b/>
                <w:bCs/>
                <w:snapToGrid/>
                <w:sz w:val="20"/>
                <w:szCs w:val="20"/>
                <w:lang w:val="en-US"/>
              </w:rPr>
              <w:t>Assessment against Target as at 31/12/2021</w:t>
            </w:r>
          </w:p>
        </w:tc>
      </w:tr>
      <w:tr w:rsidR="00FF356C" w:rsidRPr="00FF356C" w14:paraId="7E0B8765"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34B9A795" w14:textId="77777777" w:rsidR="00FF356C" w:rsidRPr="001F08B6" w:rsidRDefault="00FF356C" w:rsidP="00817F9B">
            <w:pPr>
              <w:tabs>
                <w:tab w:val="clear" w:pos="567"/>
              </w:tabs>
              <w:snapToGrid/>
              <w:spacing w:after="120" w:line="252" w:lineRule="auto"/>
              <w:rPr>
                <w:rFonts w:asciiTheme="minorBidi" w:hAnsiTheme="minorBidi" w:cstheme="minorBidi"/>
                <w:color w:val="000000"/>
                <w:sz w:val="20"/>
                <w:szCs w:val="20"/>
                <w:lang w:val="en-US"/>
              </w:rPr>
            </w:pPr>
            <w:r w:rsidRPr="001F08B6">
              <w:rPr>
                <w:rFonts w:asciiTheme="minorBidi" w:hAnsiTheme="minorBidi" w:cstheme="minorBidi"/>
                <w:b/>
                <w:color w:val="000000"/>
                <w:sz w:val="20"/>
                <w:szCs w:val="20"/>
                <w:lang w:val="en-US"/>
              </w:rPr>
              <w:t>FUNCTION A PI:</w:t>
            </w:r>
            <w:r w:rsidRPr="001F08B6">
              <w:rPr>
                <w:rFonts w:asciiTheme="minorBidi" w:hAnsiTheme="minorBidi" w:cstheme="minorBidi"/>
                <w:color w:val="000000"/>
                <w:sz w:val="20"/>
                <w:szCs w:val="20"/>
                <w:lang w:val="en-US"/>
              </w:rPr>
              <w:t xml:space="preserve"> Number of supported Member States which have conducted up-to-date ocean research to address specific challenges of the ocean and human impacts on coastal areas</w:t>
            </w:r>
          </w:p>
          <w:p w14:paraId="515EDA9E" w14:textId="77777777" w:rsidR="00FF356C" w:rsidRPr="001F08B6" w:rsidRDefault="00FF356C" w:rsidP="00817F9B">
            <w:pPr>
              <w:tabs>
                <w:tab w:val="clear" w:pos="567"/>
              </w:tabs>
              <w:snapToGrid/>
              <w:spacing w:before="120" w:line="252" w:lineRule="auto"/>
              <w:rPr>
                <w:rFonts w:asciiTheme="minorBidi" w:hAnsiTheme="minorBidi" w:cstheme="minorBidi"/>
                <w:sz w:val="20"/>
                <w:szCs w:val="20"/>
                <w:lang w:val="en-US"/>
              </w:rPr>
            </w:pPr>
            <w:r w:rsidRPr="001F08B6">
              <w:rPr>
                <w:rFonts w:asciiTheme="minorBidi" w:hAnsiTheme="minorBidi" w:cstheme="minorBidi"/>
                <w:b/>
                <w:sz w:val="20"/>
                <w:szCs w:val="20"/>
                <w:lang w:val="en-US"/>
              </w:rPr>
              <w:t xml:space="preserve">T 2018-2021: </w:t>
            </w:r>
            <w:r w:rsidRPr="001F08B6">
              <w:rPr>
                <w:rFonts w:asciiTheme="minorBidi" w:hAnsiTheme="minorBidi" w:cstheme="minorBidi"/>
                <w:b/>
                <w:sz w:val="20"/>
                <w:szCs w:val="20"/>
                <w:lang w:val="en-US"/>
              </w:rPr>
              <w:br/>
            </w:r>
            <w:r w:rsidRPr="001F08B6">
              <w:rPr>
                <w:rFonts w:asciiTheme="minorBidi" w:hAnsiTheme="minorBidi" w:cstheme="minorBidi"/>
                <w:sz w:val="20"/>
                <w:szCs w:val="20"/>
                <w:lang w:val="en-US"/>
              </w:rPr>
              <w:t>(i) 54 Member States, of which 7 from Africa and 8</w:t>
            </w:r>
            <w:r>
              <w:rPr>
                <w:rFonts w:asciiTheme="minorBidi" w:hAnsiTheme="minorBidi" w:cstheme="minorBidi"/>
                <w:sz w:val="20"/>
                <w:szCs w:val="20"/>
                <w:lang w:val="en-US"/>
              </w:rPr>
              <w:t> </w:t>
            </w:r>
            <w:r w:rsidRPr="001F08B6">
              <w:rPr>
                <w:rFonts w:asciiTheme="minorBidi" w:hAnsiTheme="minorBidi" w:cstheme="minorBidi"/>
                <w:sz w:val="20"/>
                <w:szCs w:val="20"/>
                <w:lang w:val="en-US"/>
              </w:rPr>
              <w:t>SIDS, participate in international research initiatives under the WCRP</w:t>
            </w:r>
          </w:p>
          <w:p w14:paraId="3EF5B0EC" w14:textId="77777777" w:rsidR="00FF356C" w:rsidRPr="001F08B6" w:rsidRDefault="00FF356C" w:rsidP="00817F9B">
            <w:pPr>
              <w:tabs>
                <w:tab w:val="clear" w:pos="567"/>
              </w:tabs>
              <w:snapToGrid/>
              <w:spacing w:before="120" w:line="252" w:lineRule="auto"/>
              <w:rPr>
                <w:rFonts w:asciiTheme="minorBidi" w:hAnsiTheme="minorBidi" w:cstheme="minorBidi"/>
                <w:sz w:val="20"/>
                <w:szCs w:val="20"/>
                <w:lang w:val="en-US"/>
              </w:rPr>
            </w:pPr>
            <w:r w:rsidRPr="001F08B6">
              <w:rPr>
                <w:rFonts w:asciiTheme="minorBidi" w:hAnsiTheme="minorBidi" w:cstheme="minorBidi"/>
                <w:sz w:val="20"/>
                <w:szCs w:val="20"/>
                <w:lang w:val="en-US"/>
              </w:rPr>
              <w:t>(ii) 94 Member States, of which 23 from Africa and 17</w:t>
            </w:r>
            <w:r>
              <w:rPr>
                <w:rFonts w:asciiTheme="minorBidi" w:hAnsiTheme="minorBidi" w:cstheme="minorBidi"/>
                <w:sz w:val="20"/>
                <w:szCs w:val="20"/>
                <w:lang w:val="en-US"/>
              </w:rPr>
              <w:t> </w:t>
            </w:r>
            <w:r w:rsidRPr="001F08B6">
              <w:rPr>
                <w:rFonts w:asciiTheme="minorBidi" w:hAnsiTheme="minorBidi" w:cstheme="minorBidi"/>
                <w:sz w:val="20"/>
                <w:szCs w:val="20"/>
                <w:lang w:val="en-US"/>
              </w:rPr>
              <w:t xml:space="preserve">SIDS, integrate best practices, </w:t>
            </w:r>
            <w:proofErr w:type="gramStart"/>
            <w:r w:rsidRPr="001F08B6">
              <w:rPr>
                <w:rFonts w:asciiTheme="minorBidi" w:hAnsiTheme="minorBidi" w:cstheme="minorBidi"/>
                <w:sz w:val="20"/>
                <w:szCs w:val="20"/>
                <w:lang w:val="en-US"/>
              </w:rPr>
              <w:t>standards</w:t>
            </w:r>
            <w:proofErr w:type="gramEnd"/>
            <w:r w:rsidRPr="001F08B6">
              <w:rPr>
                <w:rFonts w:asciiTheme="minorBidi" w:hAnsiTheme="minorBidi" w:cstheme="minorBidi"/>
                <w:sz w:val="20"/>
                <w:szCs w:val="20"/>
                <w:lang w:val="en-US"/>
              </w:rPr>
              <w:t xml:space="preserve"> and methodologies to observe ocean acidification and blue carbon ecosystems</w:t>
            </w:r>
          </w:p>
          <w:p w14:paraId="7291192F" w14:textId="77777777" w:rsidR="00FF356C" w:rsidRPr="001F08B6" w:rsidRDefault="00FF356C" w:rsidP="00817F9B">
            <w:pPr>
              <w:spacing w:line="30" w:lineRule="atLeast"/>
              <w:rPr>
                <w:rFonts w:asciiTheme="minorBidi" w:hAnsiTheme="minorBidi" w:cstheme="minorBidi"/>
                <w:b/>
                <w:bCs/>
                <w:sz w:val="20"/>
                <w:szCs w:val="20"/>
                <w:lang w:val="en-US"/>
              </w:rPr>
            </w:pPr>
            <w:r w:rsidRPr="001F08B6">
              <w:rPr>
                <w:rFonts w:asciiTheme="minorBidi" w:hAnsiTheme="minorBidi" w:cstheme="minorBidi"/>
                <w:sz w:val="20"/>
                <w:szCs w:val="20"/>
                <w:lang w:val="en-US"/>
              </w:rPr>
              <w:t>(iii) 83 Member States of which 9 from Africa and 5 SIDS contribute to improving understanding of marine ecosystem functioning and the impacts of change on ecosystem services</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43801CE8"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 19 Member States, of which 1 in Africa </w:t>
            </w:r>
          </w:p>
          <w:p w14:paraId="24E1BB70"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(ii) 104 Member States, of which 24 in Africa and 19 SIDS </w:t>
            </w:r>
          </w:p>
          <w:p w14:paraId="02E07249" w14:textId="77777777" w:rsidR="00FF356C" w:rsidRPr="001F08B6" w:rsidRDefault="00FF356C" w:rsidP="00817F9B">
            <w:pPr>
              <w:spacing w:after="120" w:line="244" w:lineRule="auto"/>
              <w:ind w:right="957"/>
              <w:rPr>
                <w:rFonts w:asciiTheme="minorBidi" w:hAnsiTheme="minorBidi" w:cstheme="minorBidi"/>
                <w:sz w:val="20"/>
                <w:szCs w:val="20"/>
                <w:lang w:val="en-US"/>
              </w:rPr>
            </w:pPr>
            <w:r w:rsidRPr="001F08B6">
              <w:rPr>
                <w:rFonts w:asciiTheme="minorBidi" w:hAnsiTheme="minorBidi" w:cstheme="minorBidi"/>
                <w:sz w:val="20"/>
                <w:szCs w:val="20"/>
                <w:lang w:val="en-US"/>
              </w:rPr>
              <w:t>(iii) 95 Member States, of which 21</w:t>
            </w:r>
            <w:r>
              <w:rPr>
                <w:rFonts w:asciiTheme="minorBidi" w:hAnsiTheme="minorBidi" w:cstheme="minorBidi"/>
                <w:sz w:val="20"/>
                <w:szCs w:val="20"/>
                <w:lang w:val="en-US"/>
              </w:rPr>
              <w:t> </w:t>
            </w:r>
            <w:r w:rsidRPr="001F08B6">
              <w:rPr>
                <w:rFonts w:asciiTheme="minorBidi" w:hAnsiTheme="minorBidi" w:cstheme="minorBidi"/>
                <w:sz w:val="20"/>
                <w:szCs w:val="20"/>
                <w:lang w:val="en-US"/>
              </w:rPr>
              <w:t xml:space="preserve">from Africa and 18 SIDS. </w:t>
            </w:r>
          </w:p>
          <w:p w14:paraId="778D0FA4" w14:textId="77777777" w:rsidR="00FF356C" w:rsidRPr="001F08B6" w:rsidRDefault="00FF356C" w:rsidP="00817F9B">
            <w:pPr>
              <w:spacing w:before="120" w:after="120" w:line="244" w:lineRule="auto"/>
              <w:ind w:right="957"/>
              <w:rPr>
                <w:rFonts w:asciiTheme="minorBidi" w:hAnsiTheme="minorBidi" w:cstheme="minorBidi"/>
                <w:sz w:val="20"/>
                <w:szCs w:val="20"/>
                <w:lang w:val="en-US"/>
              </w:rPr>
            </w:pPr>
          </w:p>
          <w:p w14:paraId="799DFE76" w14:textId="77777777" w:rsidR="00FF356C" w:rsidRPr="001F08B6" w:rsidRDefault="00FF356C" w:rsidP="00817F9B">
            <w:pPr>
              <w:spacing w:before="120" w:after="120" w:line="244" w:lineRule="auto"/>
              <w:ind w:right="957"/>
              <w:rPr>
                <w:rFonts w:asciiTheme="minorBidi" w:hAnsiTheme="minorBidi" w:cstheme="minorBidi"/>
                <w:sz w:val="20"/>
                <w:szCs w:val="20"/>
                <w:lang w:val="en-US"/>
              </w:rPr>
            </w:pPr>
          </w:p>
          <w:p w14:paraId="3D37FDC3" w14:textId="77777777" w:rsidR="00FF356C" w:rsidRPr="001F08B6" w:rsidRDefault="00FF356C" w:rsidP="00817F9B">
            <w:pPr>
              <w:spacing w:before="120" w:after="120" w:line="244" w:lineRule="auto"/>
              <w:ind w:right="957"/>
              <w:rPr>
                <w:rFonts w:asciiTheme="minorBidi" w:hAnsiTheme="minorBidi" w:cstheme="minorBidi"/>
                <w:sz w:val="20"/>
                <w:szCs w:val="20"/>
                <w:lang w:val="en-US"/>
              </w:rPr>
            </w:pPr>
          </w:p>
          <w:p w14:paraId="280EF649" w14:textId="77777777" w:rsidR="00FF356C" w:rsidRPr="001F08B6" w:rsidRDefault="00FF356C" w:rsidP="00817F9B">
            <w:pPr>
              <w:spacing w:before="120" w:after="120" w:line="244" w:lineRule="auto"/>
              <w:ind w:right="957"/>
              <w:rPr>
                <w:rFonts w:asciiTheme="minorBidi" w:hAnsiTheme="minorBidi" w:cstheme="minorBidi"/>
                <w:sz w:val="20"/>
                <w:szCs w:val="20"/>
                <w:lang w:val="en-US"/>
              </w:rPr>
            </w:pPr>
          </w:p>
          <w:p w14:paraId="610B1D31" w14:textId="77777777" w:rsidR="00FF356C" w:rsidRPr="001F08B6" w:rsidRDefault="00FF356C" w:rsidP="00817F9B">
            <w:pPr>
              <w:spacing w:before="120" w:after="120" w:line="244" w:lineRule="auto"/>
              <w:ind w:right="957"/>
              <w:rPr>
                <w:rFonts w:asciiTheme="minorBidi" w:hAnsiTheme="minorBidi" w:cstheme="minorBidi"/>
                <w:sz w:val="20"/>
                <w:szCs w:val="20"/>
                <w:lang w:val="en-US"/>
              </w:rPr>
            </w:pPr>
          </w:p>
          <w:p w14:paraId="026BD65E" w14:textId="77777777" w:rsidR="00FF356C" w:rsidRPr="001F08B6" w:rsidRDefault="00FF356C" w:rsidP="00817F9B">
            <w:pPr>
              <w:spacing w:before="120" w:after="120" w:line="244" w:lineRule="auto"/>
              <w:ind w:right="957"/>
              <w:rPr>
                <w:rFonts w:asciiTheme="minorBidi" w:hAnsiTheme="minorBidi" w:cstheme="minorBidi"/>
                <w:b/>
                <w:bCs/>
                <w:snapToGrid/>
                <w:sz w:val="20"/>
                <w:szCs w:val="20"/>
                <w:lang w:val="en-US"/>
              </w:rPr>
            </w:pPr>
          </w:p>
        </w:tc>
      </w:tr>
      <w:tr w:rsidR="00FF356C" w:rsidRPr="00FF356C" w14:paraId="2D34A495"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1B563731" w14:textId="77777777" w:rsidR="00FF356C" w:rsidRPr="001F08B6" w:rsidRDefault="00FF356C" w:rsidP="00817F9B">
            <w:pPr>
              <w:tabs>
                <w:tab w:val="clear" w:pos="567"/>
              </w:tabs>
              <w:snapToGrid/>
              <w:spacing w:after="120" w:line="252" w:lineRule="auto"/>
              <w:ind w:right="50"/>
              <w:rPr>
                <w:rFonts w:asciiTheme="minorBidi" w:hAnsiTheme="minorBidi" w:cstheme="minorBidi"/>
                <w:color w:val="000000"/>
                <w:sz w:val="20"/>
                <w:szCs w:val="20"/>
                <w:lang w:val="en-US"/>
              </w:rPr>
            </w:pPr>
            <w:r w:rsidRPr="001F08B6">
              <w:rPr>
                <w:rFonts w:asciiTheme="minorBidi" w:hAnsiTheme="minorBidi" w:cstheme="minorBidi"/>
                <w:b/>
                <w:color w:val="000000"/>
                <w:sz w:val="20"/>
                <w:szCs w:val="20"/>
                <w:lang w:val="en-US"/>
              </w:rPr>
              <w:t>FUNCTION B PI:</w:t>
            </w:r>
            <w:r w:rsidRPr="001F08B6">
              <w:rPr>
                <w:rFonts w:asciiTheme="minorBidi" w:hAnsiTheme="minorBidi" w:cstheme="minorBidi"/>
                <w:color w:val="000000"/>
                <w:sz w:val="20"/>
                <w:szCs w:val="20"/>
                <w:lang w:val="en-US"/>
              </w:rPr>
              <w:t xml:space="preserve"> Number of supported Member States which maintained, </w:t>
            </w:r>
            <w:proofErr w:type="gramStart"/>
            <w:r w:rsidRPr="001F08B6">
              <w:rPr>
                <w:rFonts w:asciiTheme="minorBidi" w:hAnsiTheme="minorBidi" w:cstheme="minorBidi"/>
                <w:color w:val="000000"/>
                <w:sz w:val="20"/>
                <w:szCs w:val="20"/>
                <w:lang w:val="en-US"/>
              </w:rPr>
              <w:t>strengthened</w:t>
            </w:r>
            <w:proofErr w:type="gramEnd"/>
            <w:r w:rsidRPr="001F08B6">
              <w:rPr>
                <w:rFonts w:asciiTheme="minorBidi" w:hAnsiTheme="minorBidi" w:cstheme="minorBidi"/>
                <w:color w:val="000000"/>
                <w:sz w:val="20"/>
                <w:szCs w:val="20"/>
                <w:lang w:val="en-US"/>
              </w:rPr>
              <w:t xml:space="preserve"> and integrated global ocean observing, data and information systems to reduce vulnerability to ocean hazards and benefit from their outputs</w:t>
            </w:r>
          </w:p>
          <w:p w14:paraId="559002D4" w14:textId="77777777" w:rsidR="00FF356C" w:rsidRPr="001F08B6" w:rsidRDefault="00FF356C" w:rsidP="00817F9B">
            <w:pPr>
              <w:tabs>
                <w:tab w:val="clear" w:pos="567"/>
              </w:tabs>
              <w:snapToGrid/>
              <w:spacing w:line="252" w:lineRule="auto"/>
              <w:ind w:right="50"/>
              <w:rPr>
                <w:rFonts w:asciiTheme="minorBidi" w:hAnsiTheme="minorBidi" w:cstheme="minorBidi"/>
                <w:sz w:val="20"/>
                <w:szCs w:val="20"/>
                <w:lang w:val="en-US"/>
              </w:rPr>
            </w:pPr>
            <w:r w:rsidRPr="001F08B6">
              <w:rPr>
                <w:rFonts w:asciiTheme="minorBidi" w:hAnsiTheme="minorBidi" w:cstheme="minorBidi"/>
                <w:b/>
                <w:color w:val="000000"/>
                <w:sz w:val="20"/>
                <w:szCs w:val="20"/>
                <w:lang w:val="en-US"/>
              </w:rPr>
              <w:t>T 2018-2021:</w:t>
            </w:r>
            <w:r w:rsidRPr="001F08B6">
              <w:rPr>
                <w:rFonts w:asciiTheme="minorBidi" w:hAnsiTheme="minorBidi" w:cstheme="minorBidi"/>
                <w:b/>
                <w:color w:val="000000"/>
                <w:sz w:val="20"/>
                <w:szCs w:val="20"/>
                <w:lang w:val="en-US"/>
              </w:rPr>
              <w:br/>
            </w:r>
            <w:r w:rsidRPr="001F08B6">
              <w:rPr>
                <w:rFonts w:asciiTheme="minorBidi" w:hAnsiTheme="minorBidi" w:cstheme="minorBidi"/>
                <w:sz w:val="20"/>
                <w:szCs w:val="20"/>
                <w:lang w:val="en-US"/>
              </w:rPr>
              <w:t>(i) Good level of participation and engagement in GOOS regional alliances of 68 Member States (out of 104 GOOS Member States), of which 12 in Africa and 9 SIDS</w:t>
            </w:r>
          </w:p>
          <w:p w14:paraId="10C9696B" w14:textId="77777777" w:rsidR="00FF356C" w:rsidRPr="001F08B6" w:rsidRDefault="00FF356C" w:rsidP="00817F9B">
            <w:pPr>
              <w:tabs>
                <w:tab w:val="clear" w:pos="567"/>
              </w:tabs>
              <w:snapToGrid/>
              <w:spacing w:line="252" w:lineRule="auto"/>
              <w:ind w:right="50"/>
              <w:rPr>
                <w:rFonts w:asciiTheme="minorBidi" w:hAnsiTheme="minorBidi" w:cstheme="minorBidi"/>
                <w:sz w:val="20"/>
                <w:szCs w:val="20"/>
                <w:lang w:val="en-US"/>
              </w:rPr>
            </w:pPr>
            <w:r w:rsidRPr="001F08B6">
              <w:rPr>
                <w:rFonts w:asciiTheme="minorBidi" w:hAnsiTheme="minorBidi" w:cstheme="minorBidi"/>
                <w:sz w:val="20"/>
                <w:szCs w:val="20"/>
                <w:lang w:val="en-US"/>
              </w:rPr>
              <w:t>(ii) 13 Member States, of which 5 in Africa and 1 SIDS, participate in IOGOOS, as an indicator of involvement in IIOE-2</w:t>
            </w:r>
          </w:p>
          <w:p w14:paraId="19DDDEA7" w14:textId="77777777" w:rsidR="00FF356C" w:rsidRPr="001F08B6" w:rsidRDefault="00FF356C" w:rsidP="00817F9B">
            <w:pPr>
              <w:tabs>
                <w:tab w:val="clear" w:pos="567"/>
              </w:tabs>
              <w:snapToGrid/>
              <w:spacing w:line="252" w:lineRule="auto"/>
              <w:ind w:right="50"/>
              <w:rPr>
                <w:rFonts w:asciiTheme="minorBidi" w:hAnsiTheme="minorBidi" w:cstheme="minorBidi"/>
                <w:sz w:val="20"/>
                <w:szCs w:val="20"/>
                <w:lang w:val="en-US"/>
              </w:rPr>
            </w:pPr>
            <w:r w:rsidRPr="001F08B6">
              <w:rPr>
                <w:rFonts w:asciiTheme="minorBidi" w:hAnsiTheme="minorBidi" w:cstheme="minorBidi"/>
                <w:sz w:val="20"/>
                <w:szCs w:val="20"/>
                <w:lang w:val="en-US"/>
              </w:rPr>
              <w:t>(iii) 20 Member States contribute to JCOMMOPS</w:t>
            </w:r>
          </w:p>
          <w:p w14:paraId="6FB369A8" w14:textId="77777777" w:rsidR="00FF356C" w:rsidRPr="001F08B6" w:rsidRDefault="00FF356C" w:rsidP="00817F9B">
            <w:pPr>
              <w:spacing w:line="30" w:lineRule="atLeast"/>
              <w:rPr>
                <w:rFonts w:asciiTheme="minorBidi" w:hAnsiTheme="minorBidi" w:cstheme="minorBidi"/>
                <w:b/>
                <w:bCs/>
                <w:sz w:val="20"/>
                <w:szCs w:val="20"/>
                <w:lang w:val="en-US"/>
              </w:rPr>
            </w:pPr>
            <w:r w:rsidRPr="001F08B6">
              <w:rPr>
                <w:rFonts w:asciiTheme="minorBidi" w:hAnsiTheme="minorBidi" w:cstheme="minorBidi"/>
                <w:sz w:val="20"/>
                <w:szCs w:val="20"/>
                <w:lang w:val="en-US"/>
              </w:rPr>
              <w:t xml:space="preserve">(iv) 100 Member States have established </w:t>
            </w:r>
            <w:proofErr w:type="gramStart"/>
            <w:r w:rsidRPr="001F08B6">
              <w:rPr>
                <w:rFonts w:asciiTheme="minorBidi" w:hAnsiTheme="minorBidi" w:cstheme="minorBidi"/>
                <w:sz w:val="20"/>
                <w:szCs w:val="20"/>
                <w:lang w:val="en-US"/>
              </w:rPr>
              <w:t>NODCs</w:t>
            </w:r>
            <w:proofErr w:type="gramEnd"/>
            <w:r w:rsidRPr="001F08B6">
              <w:rPr>
                <w:rFonts w:asciiTheme="minorBidi" w:hAnsiTheme="minorBidi" w:cstheme="minorBidi"/>
                <w:sz w:val="20"/>
                <w:szCs w:val="20"/>
                <w:lang w:val="en-US"/>
              </w:rPr>
              <w:t xml:space="preserve"> or Associate Data Units (of these 25 in Africa) and 10</w:t>
            </w:r>
            <w:r>
              <w:rPr>
                <w:rFonts w:asciiTheme="minorBidi" w:hAnsiTheme="minorBidi" w:cstheme="minorBidi"/>
                <w:sz w:val="20"/>
                <w:szCs w:val="20"/>
                <w:lang w:val="en-US"/>
              </w:rPr>
              <w:t> </w:t>
            </w:r>
            <w:r w:rsidRPr="001F08B6">
              <w:rPr>
                <w:rFonts w:asciiTheme="minorBidi" w:hAnsiTheme="minorBidi" w:cstheme="minorBidi"/>
                <w:sz w:val="20"/>
                <w:szCs w:val="20"/>
                <w:lang w:val="en-US"/>
              </w:rPr>
              <w:t>Member States have established Associate Information Units Member States (of which 3 in Africa)</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50E94CB0"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(i) 66 Member States of which 12 in Africa and 9</w:t>
            </w:r>
            <w:r>
              <w:rPr>
                <w:rFonts w:asciiTheme="minorBidi" w:hAnsiTheme="minorBidi" w:cstheme="minorBidi"/>
                <w:sz w:val="20"/>
                <w:szCs w:val="20"/>
                <w:lang w:val="en-US"/>
              </w:rPr>
              <w:t> </w:t>
            </w:r>
            <w:r w:rsidRPr="001F08B6">
              <w:rPr>
                <w:rFonts w:asciiTheme="minorBidi" w:hAnsiTheme="minorBidi" w:cstheme="minorBidi"/>
                <w:sz w:val="20"/>
                <w:szCs w:val="20"/>
                <w:lang w:val="en-US"/>
              </w:rPr>
              <w:t xml:space="preserve">SIDS </w:t>
            </w:r>
          </w:p>
          <w:p w14:paraId="212FE31E"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(ii) 13 Member States of which 8 in Africa and 2</w:t>
            </w:r>
            <w:r>
              <w:rPr>
                <w:rFonts w:asciiTheme="minorBidi" w:hAnsiTheme="minorBidi" w:cstheme="minorBidi"/>
                <w:sz w:val="20"/>
                <w:szCs w:val="20"/>
                <w:lang w:val="en-US"/>
              </w:rPr>
              <w:t> </w:t>
            </w:r>
            <w:r w:rsidRPr="001F08B6">
              <w:rPr>
                <w:rFonts w:asciiTheme="minorBidi" w:hAnsiTheme="minorBidi" w:cstheme="minorBidi"/>
                <w:sz w:val="20"/>
                <w:szCs w:val="20"/>
                <w:lang w:val="en-US"/>
              </w:rPr>
              <w:t xml:space="preserve">SIDS </w:t>
            </w:r>
          </w:p>
          <w:p w14:paraId="4528ADF2"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(iii) 20 Member States</w:t>
            </w:r>
          </w:p>
          <w:p w14:paraId="44A5F1A8" w14:textId="77777777" w:rsidR="00FF356C" w:rsidRPr="001F08B6" w:rsidRDefault="00FF356C" w:rsidP="00817F9B">
            <w:pPr>
              <w:tabs>
                <w:tab w:val="clear" w:pos="567"/>
              </w:tabs>
              <w:snapToGrid/>
              <w:spacing w:after="120"/>
              <w:rPr>
                <w:rFonts w:asciiTheme="minorBidi" w:eastAsia="Arial Unicode MS" w:hAnsiTheme="minorBidi" w:cstheme="minorBidi"/>
                <w:sz w:val="20"/>
                <w:szCs w:val="20"/>
                <w:lang w:val="en-US"/>
              </w:rPr>
            </w:pPr>
            <w:r w:rsidRPr="001F08B6">
              <w:rPr>
                <w:rFonts w:asciiTheme="minorBidi" w:hAnsiTheme="minorBidi" w:cstheme="minorBidi"/>
                <w:sz w:val="20"/>
                <w:szCs w:val="20"/>
                <w:lang w:val="en-US"/>
              </w:rPr>
              <w:t xml:space="preserve">(iv) NODCs or Associate data units: 93 data </w:t>
            </w:r>
            <w:proofErr w:type="spellStart"/>
            <w:r w:rsidRPr="001F08B6">
              <w:rPr>
                <w:rFonts w:asciiTheme="minorBidi" w:hAnsiTheme="minorBidi" w:cstheme="minorBidi"/>
                <w:sz w:val="20"/>
                <w:szCs w:val="20"/>
                <w:lang w:val="en-US"/>
              </w:rPr>
              <w:t>centres</w:t>
            </w:r>
            <w:proofErr w:type="spellEnd"/>
            <w:r w:rsidRPr="001F08B6">
              <w:rPr>
                <w:rFonts w:asciiTheme="minorBidi" w:hAnsiTheme="minorBidi" w:cstheme="minorBidi"/>
                <w:sz w:val="20"/>
                <w:szCs w:val="20"/>
                <w:lang w:val="en-US"/>
              </w:rPr>
              <w:t xml:space="preserve"> in 68 Member States of which 18 data </w:t>
            </w:r>
            <w:proofErr w:type="spellStart"/>
            <w:r w:rsidRPr="001F08B6">
              <w:rPr>
                <w:rFonts w:asciiTheme="minorBidi" w:hAnsiTheme="minorBidi" w:cstheme="minorBidi"/>
                <w:sz w:val="20"/>
                <w:szCs w:val="20"/>
                <w:lang w:val="en-US"/>
              </w:rPr>
              <w:t>centres</w:t>
            </w:r>
            <w:proofErr w:type="spellEnd"/>
            <w:r w:rsidRPr="001F08B6">
              <w:rPr>
                <w:rFonts w:asciiTheme="minorBidi" w:hAnsiTheme="minorBidi" w:cstheme="minorBidi"/>
                <w:sz w:val="20"/>
                <w:szCs w:val="20"/>
                <w:lang w:val="en-US"/>
              </w:rPr>
              <w:t xml:space="preserve"> in Africa; AIUs: 5 established, 1 in Africa (less than previous period due to extensive review and closures; re-activation campaign started June 2021)</w:t>
            </w:r>
          </w:p>
        </w:tc>
      </w:tr>
      <w:tr w:rsidR="00FF356C" w:rsidRPr="00FF356C" w14:paraId="483E31B4"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579AA6D8" w14:textId="77777777" w:rsidR="00FF356C" w:rsidRPr="001F08B6" w:rsidRDefault="00FF356C" w:rsidP="00817F9B">
            <w:pPr>
              <w:spacing w:after="120"/>
              <w:rPr>
                <w:rFonts w:asciiTheme="minorBidi" w:hAnsiTheme="minorBidi" w:cstheme="minorBidi"/>
                <w:color w:val="000000"/>
                <w:sz w:val="20"/>
                <w:szCs w:val="20"/>
                <w:lang w:val="en-US"/>
              </w:rPr>
            </w:pPr>
            <w:r w:rsidRPr="001F08B6">
              <w:rPr>
                <w:rFonts w:asciiTheme="minorBidi" w:hAnsiTheme="minorBidi" w:cstheme="minorBidi"/>
                <w:b/>
                <w:color w:val="000000"/>
                <w:sz w:val="20"/>
                <w:szCs w:val="20"/>
                <w:lang w:val="en-US"/>
              </w:rPr>
              <w:lastRenderedPageBreak/>
              <w:t>FUNCTION C PI:</w:t>
            </w:r>
            <w:r w:rsidRPr="001F08B6">
              <w:rPr>
                <w:rFonts w:asciiTheme="minorBidi" w:hAnsiTheme="minorBidi" w:cstheme="minorBidi"/>
                <w:color w:val="000000"/>
                <w:sz w:val="20"/>
                <w:szCs w:val="20"/>
                <w:lang w:val="en-US"/>
              </w:rPr>
              <w:t xml:space="preserve"> Number of supported Member States which have developed early warning systems and preparedness to mitigate the risks of tsunamis and other ocean-related hazards towards increased resilience</w:t>
            </w:r>
          </w:p>
          <w:p w14:paraId="62FF8794"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b/>
                <w:color w:val="000000"/>
                <w:sz w:val="20"/>
                <w:szCs w:val="20"/>
                <w:lang w:val="en-US"/>
              </w:rPr>
              <w:t>T 2018-2021:</w:t>
            </w:r>
            <w:r w:rsidRPr="001F08B6">
              <w:rPr>
                <w:rFonts w:asciiTheme="minorBidi" w:hAnsiTheme="minorBidi" w:cstheme="minorBidi"/>
                <w:b/>
                <w:color w:val="000000"/>
                <w:sz w:val="20"/>
                <w:szCs w:val="20"/>
                <w:lang w:val="en-US"/>
              </w:rPr>
              <w:br/>
            </w:r>
            <w:r w:rsidRPr="001F08B6">
              <w:rPr>
                <w:rFonts w:asciiTheme="minorBidi" w:hAnsiTheme="minorBidi" w:cstheme="minorBidi"/>
                <w:sz w:val="20"/>
                <w:szCs w:val="20"/>
                <w:lang w:val="en-US"/>
              </w:rPr>
              <w:t xml:space="preserve">(i) 139 Member States, of which 28 SIDS and 9 in Africa, have National Tsunami Warning </w:t>
            </w:r>
            <w:proofErr w:type="spellStart"/>
            <w:r w:rsidRPr="001F08B6">
              <w:rPr>
                <w:rFonts w:asciiTheme="minorBidi" w:hAnsiTheme="minorBidi" w:cstheme="minorBidi"/>
                <w:sz w:val="20"/>
                <w:szCs w:val="20"/>
                <w:lang w:val="en-US"/>
              </w:rPr>
              <w:t>Centres</w:t>
            </w:r>
            <w:proofErr w:type="spellEnd"/>
          </w:p>
          <w:p w14:paraId="0001342D"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(ii) 16 Member States, of which 6 SIDS, have increased communities</w:t>
            </w:r>
            <w:r>
              <w:rPr>
                <w:rFonts w:asciiTheme="minorBidi" w:hAnsiTheme="minorBidi" w:cstheme="minorBidi"/>
                <w:sz w:val="20"/>
                <w:szCs w:val="20"/>
                <w:lang w:val="en-US"/>
              </w:rPr>
              <w:t>’</w:t>
            </w:r>
            <w:r w:rsidRPr="001F08B6">
              <w:rPr>
                <w:rFonts w:asciiTheme="minorBidi" w:hAnsiTheme="minorBidi" w:cstheme="minorBidi"/>
                <w:sz w:val="20"/>
                <w:szCs w:val="20"/>
                <w:lang w:val="en-US"/>
              </w:rPr>
              <w:t xml:space="preserve"> preparedness</w:t>
            </w:r>
          </w:p>
          <w:p w14:paraId="493B5C0B"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(iii) 15 Member States, of which 7 SIDS, developed capacities for tsunami and other coastal hazard assessment</w:t>
            </w:r>
          </w:p>
          <w:p w14:paraId="0546E698"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(iv) 14 Member States actively participate in operational ocean forecast system, of which 2 in Africa and 2 SIDS</w:t>
            </w:r>
          </w:p>
          <w:p w14:paraId="0C091955" w14:textId="77777777" w:rsidR="00FF356C" w:rsidRPr="001F08B6" w:rsidRDefault="00FF356C" w:rsidP="00817F9B">
            <w:pPr>
              <w:rPr>
                <w:rFonts w:asciiTheme="minorBidi" w:hAnsiTheme="minorBidi" w:cstheme="minorBidi"/>
                <w:b/>
                <w:bCs/>
                <w:sz w:val="20"/>
                <w:szCs w:val="20"/>
                <w:lang w:val="en-US"/>
              </w:rPr>
            </w:pPr>
            <w:r w:rsidRPr="001F08B6">
              <w:rPr>
                <w:rFonts w:asciiTheme="minorBidi" w:hAnsiTheme="minorBidi" w:cstheme="minorBidi"/>
                <w:sz w:val="20"/>
                <w:szCs w:val="20"/>
                <w:lang w:val="en-US"/>
              </w:rPr>
              <w:t>(v) 47 Member States developed capacities for research and management of harmful algae, of which 6 in Africa and 5 SIDS</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541D89A0"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 138 Member States of which 12 in Africa and 36 SIDS </w:t>
            </w:r>
          </w:p>
          <w:p w14:paraId="0C359E5D"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(ii) 16 Member States, of which 6 SIDS </w:t>
            </w:r>
          </w:p>
          <w:p w14:paraId="00090418"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(iii) 17 Member States of which 7 SIDS </w:t>
            </w:r>
          </w:p>
          <w:p w14:paraId="74EEC9EF"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(iv) 14 of which 2 in Africa and 2 SIDS </w:t>
            </w:r>
          </w:p>
          <w:p w14:paraId="07C5BF07" w14:textId="77777777" w:rsidR="00FF356C" w:rsidRPr="001F08B6" w:rsidRDefault="00FF356C" w:rsidP="00817F9B">
            <w:pPr>
              <w:tabs>
                <w:tab w:val="clear" w:pos="567"/>
              </w:tabs>
              <w:snapToGrid/>
              <w:spacing w:after="120"/>
              <w:rPr>
                <w:rFonts w:asciiTheme="minorBidi" w:eastAsia="Arial Unicode MS" w:hAnsiTheme="minorBidi" w:cstheme="minorBidi"/>
                <w:sz w:val="20"/>
                <w:szCs w:val="20"/>
                <w:lang w:val="en-US"/>
              </w:rPr>
            </w:pPr>
            <w:r w:rsidRPr="001F08B6">
              <w:rPr>
                <w:rFonts w:asciiTheme="minorBidi" w:hAnsiTheme="minorBidi" w:cstheme="minorBidi"/>
                <w:sz w:val="20"/>
                <w:szCs w:val="20"/>
                <w:lang w:val="en-US"/>
              </w:rPr>
              <w:t>(v) 50 Member States, of which 7 in Africa and 6</w:t>
            </w:r>
            <w:r>
              <w:rPr>
                <w:rFonts w:asciiTheme="minorBidi" w:hAnsiTheme="minorBidi" w:cstheme="minorBidi"/>
                <w:sz w:val="20"/>
                <w:szCs w:val="20"/>
                <w:lang w:val="en-US"/>
              </w:rPr>
              <w:t> </w:t>
            </w:r>
            <w:r w:rsidRPr="001F08B6">
              <w:rPr>
                <w:rFonts w:asciiTheme="minorBidi" w:hAnsiTheme="minorBidi" w:cstheme="minorBidi"/>
                <w:sz w:val="20"/>
                <w:szCs w:val="20"/>
                <w:lang w:val="en-US"/>
              </w:rPr>
              <w:t>SIDS</w:t>
            </w:r>
          </w:p>
        </w:tc>
      </w:tr>
      <w:tr w:rsidR="00FF356C" w:rsidRPr="00FF356C" w14:paraId="356DA304"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1505AF25"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b/>
                <w:bCs/>
                <w:sz w:val="20"/>
                <w:szCs w:val="20"/>
                <w:lang w:val="en-US"/>
              </w:rPr>
              <w:t>FUNCTION D PI:</w:t>
            </w:r>
            <w:r w:rsidRPr="001F08B6">
              <w:rPr>
                <w:rFonts w:asciiTheme="minorBidi" w:hAnsiTheme="minorBidi" w:cstheme="minorBidi"/>
                <w:sz w:val="20"/>
                <w:szCs w:val="20"/>
                <w:lang w:val="en-US"/>
              </w:rPr>
              <w:t xml:space="preserve"> Number of supported Member States that have ocean science and policy interface mechanisms in support of healthy ocean ecosystems in accordance with Agenda 2030</w:t>
            </w:r>
          </w:p>
          <w:p w14:paraId="161CCF5F"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b/>
                <w:bCs/>
                <w:sz w:val="20"/>
                <w:szCs w:val="20"/>
                <w:lang w:val="en-US"/>
              </w:rPr>
              <w:t>T 2018-2021:</w:t>
            </w:r>
            <w:r w:rsidRPr="001F08B6">
              <w:rPr>
                <w:rFonts w:asciiTheme="minorBidi" w:hAnsiTheme="minorBidi" w:cstheme="minorBidi"/>
                <w:b/>
                <w:bCs/>
                <w:sz w:val="20"/>
                <w:szCs w:val="20"/>
                <w:lang w:val="en-US"/>
              </w:rPr>
              <w:br/>
            </w:r>
            <w:r w:rsidRPr="001F08B6">
              <w:rPr>
                <w:rFonts w:asciiTheme="minorBidi" w:hAnsiTheme="minorBidi" w:cstheme="minorBidi"/>
                <w:sz w:val="20"/>
                <w:szCs w:val="20"/>
                <w:lang w:val="en-US"/>
              </w:rPr>
              <w:t>(i) 40 Member States contribute to and use Bathymetric datasets through GEBCO</w:t>
            </w:r>
          </w:p>
          <w:p w14:paraId="6A4C3A70"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(ii) 757 experts have been nominated by 72 Member States to the WOA Pool of Expert, with 21 from Africa and 5 from SIDS</w:t>
            </w:r>
          </w:p>
          <w:p w14:paraId="096ACD1B"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(iii) 48 Member States manage data sets relevant to ocean acidification (7 in Africa)</w:t>
            </w:r>
          </w:p>
          <w:p w14:paraId="614B464B" w14:textId="77777777" w:rsidR="00FF356C" w:rsidRPr="001F08B6" w:rsidRDefault="00FF356C" w:rsidP="00817F9B">
            <w:pPr>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(iv) 35 Member States, of which 7 in Africa and 5 SIDS, participate in science and capacity development </w:t>
            </w:r>
            <w:proofErr w:type="spellStart"/>
            <w:r w:rsidRPr="001F08B6">
              <w:rPr>
                <w:rFonts w:asciiTheme="minorBidi" w:hAnsiTheme="minorBidi" w:cstheme="minorBidi"/>
                <w:sz w:val="20"/>
                <w:szCs w:val="20"/>
                <w:lang w:val="en-US"/>
              </w:rPr>
              <w:t>programmes</w:t>
            </w:r>
            <w:proofErr w:type="spellEnd"/>
            <w:r w:rsidRPr="001F08B6">
              <w:rPr>
                <w:rFonts w:asciiTheme="minorBidi" w:hAnsiTheme="minorBidi" w:cstheme="minorBidi"/>
                <w:sz w:val="20"/>
                <w:szCs w:val="20"/>
                <w:lang w:val="en-US"/>
              </w:rPr>
              <w:t xml:space="preserve"> on nutrients assessment and management</w:t>
            </w:r>
          </w:p>
          <w:p w14:paraId="1FD4A202" w14:textId="77777777" w:rsidR="00FF356C" w:rsidRPr="001F08B6" w:rsidRDefault="00FF356C" w:rsidP="00817F9B">
            <w:pPr>
              <w:rPr>
                <w:rFonts w:asciiTheme="minorBidi" w:hAnsiTheme="minorBidi" w:cstheme="minorBidi"/>
                <w:b/>
                <w:bCs/>
                <w:sz w:val="20"/>
                <w:szCs w:val="20"/>
                <w:lang w:val="en-US"/>
              </w:rPr>
            </w:pPr>
            <w:r w:rsidRPr="001F08B6">
              <w:rPr>
                <w:rFonts w:asciiTheme="minorBidi" w:hAnsiTheme="minorBidi" w:cstheme="minorBidi"/>
                <w:sz w:val="20"/>
                <w:szCs w:val="20"/>
                <w:lang w:val="en-US"/>
              </w:rPr>
              <w:t>(v) 11 Member States, of which 5 from Africa and 2</w:t>
            </w:r>
            <w:r>
              <w:rPr>
                <w:rFonts w:asciiTheme="minorBidi" w:hAnsiTheme="minorBidi" w:cstheme="minorBidi"/>
                <w:sz w:val="20"/>
                <w:szCs w:val="20"/>
                <w:lang w:val="en-US"/>
              </w:rPr>
              <w:t> </w:t>
            </w:r>
            <w:r w:rsidRPr="001F08B6">
              <w:rPr>
                <w:rFonts w:asciiTheme="minorBidi" w:hAnsiTheme="minorBidi" w:cstheme="minorBidi"/>
                <w:sz w:val="20"/>
                <w:szCs w:val="20"/>
                <w:lang w:val="en-US"/>
              </w:rPr>
              <w:t>SIDS, have held a regional workshop on coastal vulnerability aimed at developing a regional project on climate change adaptation.</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3B57FCBF"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Pr>
                <w:rFonts w:asciiTheme="minorBidi" w:hAnsiTheme="minorBidi" w:cstheme="minorBidi"/>
                <w:sz w:val="20"/>
                <w:szCs w:val="20"/>
                <w:lang w:val="en-US"/>
              </w:rPr>
              <w:t>(</w:t>
            </w:r>
            <w:r w:rsidRPr="001F08B6">
              <w:rPr>
                <w:rFonts w:asciiTheme="minorBidi" w:hAnsiTheme="minorBidi" w:cstheme="minorBidi"/>
                <w:sz w:val="20"/>
                <w:szCs w:val="20"/>
                <w:lang w:val="en-US"/>
              </w:rPr>
              <w:t xml:space="preserve">i) Over 95 Member States accessing datasets and 35 contributing datasets </w:t>
            </w:r>
          </w:p>
          <w:p w14:paraId="3987F2F2"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Pr>
                <w:rFonts w:asciiTheme="minorBidi" w:hAnsiTheme="minorBidi" w:cstheme="minorBidi"/>
                <w:sz w:val="20"/>
                <w:szCs w:val="20"/>
                <w:lang w:val="en-US"/>
              </w:rPr>
              <w:t>(</w:t>
            </w:r>
            <w:r w:rsidRPr="001F08B6">
              <w:rPr>
                <w:rFonts w:asciiTheme="minorBidi" w:hAnsiTheme="minorBidi" w:cstheme="minorBidi"/>
                <w:sz w:val="20"/>
                <w:szCs w:val="20"/>
                <w:lang w:val="en-US"/>
              </w:rPr>
              <w:t>ii) 796 experts including 87 experts from the African Group are now nominated to the Pool of Expert. The WOA was completed and released in April 2021</w:t>
            </w:r>
          </w:p>
          <w:p w14:paraId="2F7FF34D" w14:textId="77777777" w:rsidR="00FF356C" w:rsidRPr="001F08B6" w:rsidRDefault="00FF356C" w:rsidP="00817F9B">
            <w:pPr>
              <w:tabs>
                <w:tab w:val="clear" w:pos="567"/>
              </w:tabs>
              <w:snapToGrid/>
              <w:spacing w:after="120"/>
              <w:rPr>
                <w:rFonts w:asciiTheme="minorBidi" w:hAnsiTheme="minorBidi" w:cstheme="minorBidi"/>
                <w:color w:val="000000" w:themeColor="text1"/>
                <w:sz w:val="20"/>
                <w:szCs w:val="20"/>
                <w:lang w:val="en-US"/>
              </w:rPr>
            </w:pPr>
            <w:r>
              <w:rPr>
                <w:rFonts w:asciiTheme="minorBidi" w:hAnsiTheme="minorBidi" w:cstheme="minorBidi"/>
                <w:color w:val="000000" w:themeColor="text1"/>
                <w:sz w:val="20"/>
                <w:szCs w:val="20"/>
                <w:lang w:val="en-US"/>
              </w:rPr>
              <w:t>(</w:t>
            </w:r>
            <w:r w:rsidRPr="001F08B6">
              <w:rPr>
                <w:rFonts w:asciiTheme="minorBidi" w:hAnsiTheme="minorBidi" w:cstheme="minorBidi"/>
                <w:color w:val="000000" w:themeColor="text1"/>
                <w:sz w:val="20"/>
                <w:szCs w:val="20"/>
                <w:lang w:val="en-US"/>
              </w:rPr>
              <w:t xml:space="preserve">iii) 30 Member States, of which 5 in Africa </w:t>
            </w:r>
          </w:p>
          <w:p w14:paraId="5AA58C17"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Pr>
                <w:rFonts w:asciiTheme="minorBidi" w:hAnsiTheme="minorBidi" w:cstheme="minorBidi"/>
                <w:color w:val="000000" w:themeColor="text1"/>
                <w:sz w:val="20"/>
                <w:szCs w:val="20"/>
                <w:lang w:val="en-US"/>
              </w:rPr>
              <w:t>(</w:t>
            </w:r>
            <w:r w:rsidRPr="001F08B6">
              <w:rPr>
                <w:rFonts w:asciiTheme="minorBidi" w:hAnsiTheme="minorBidi" w:cstheme="minorBidi"/>
                <w:color w:val="000000" w:themeColor="text1"/>
                <w:sz w:val="20"/>
                <w:szCs w:val="20"/>
                <w:lang w:val="en-US"/>
              </w:rPr>
              <w:t>iv) 30 Member States, of which 7 in Africa and 1</w:t>
            </w:r>
            <w:r>
              <w:rPr>
                <w:rFonts w:asciiTheme="minorBidi" w:hAnsiTheme="minorBidi" w:cstheme="minorBidi"/>
                <w:color w:val="000000" w:themeColor="text1"/>
                <w:sz w:val="20"/>
                <w:szCs w:val="20"/>
                <w:lang w:val="en-US"/>
              </w:rPr>
              <w:t> </w:t>
            </w:r>
            <w:r w:rsidRPr="001F08B6">
              <w:rPr>
                <w:rFonts w:asciiTheme="minorBidi" w:hAnsiTheme="minorBidi" w:cstheme="minorBidi"/>
                <w:color w:val="000000" w:themeColor="text1"/>
                <w:sz w:val="20"/>
                <w:szCs w:val="20"/>
                <w:lang w:val="en-US"/>
              </w:rPr>
              <w:t xml:space="preserve">SIDS </w:t>
            </w:r>
            <w:r w:rsidRPr="001F08B6">
              <w:rPr>
                <w:rFonts w:asciiTheme="minorBidi" w:hAnsiTheme="minorBidi" w:cstheme="minorBidi"/>
                <w:sz w:val="20"/>
                <w:szCs w:val="20"/>
                <w:lang w:val="en-US"/>
              </w:rPr>
              <w:t>(through Global Partnership on Nutrient Management (GPNM))</w:t>
            </w:r>
          </w:p>
          <w:p w14:paraId="1BFC3443" w14:textId="77777777" w:rsidR="00FF356C" w:rsidRPr="001F08B6" w:rsidRDefault="00FF356C" w:rsidP="00817F9B">
            <w:pPr>
              <w:tabs>
                <w:tab w:val="clear" w:pos="567"/>
              </w:tabs>
              <w:snapToGrid/>
              <w:spacing w:after="120"/>
              <w:rPr>
                <w:rFonts w:asciiTheme="minorBidi" w:eastAsia="Arial Unicode MS" w:hAnsiTheme="minorBidi" w:cstheme="minorBidi"/>
                <w:sz w:val="20"/>
                <w:szCs w:val="20"/>
                <w:lang w:val="en-US"/>
              </w:rPr>
            </w:pPr>
            <w:r>
              <w:rPr>
                <w:rFonts w:asciiTheme="minorBidi" w:hAnsiTheme="minorBidi" w:cstheme="minorBidi"/>
                <w:sz w:val="20"/>
                <w:szCs w:val="20"/>
                <w:lang w:val="en-US"/>
              </w:rPr>
              <w:t>(</w:t>
            </w:r>
            <w:r w:rsidRPr="001F08B6">
              <w:rPr>
                <w:rFonts w:asciiTheme="minorBidi" w:hAnsiTheme="minorBidi" w:cstheme="minorBidi"/>
                <w:sz w:val="20"/>
                <w:szCs w:val="20"/>
                <w:lang w:val="en-US"/>
              </w:rPr>
              <w:t>v) 5 Member States from Africa participating in a regional scoping workshop on coastal vulnerability, 6 Member States from Africa conducting national expert consultations in coastal and environmental pressures; National practices in coastal risks management published for 10 Member States, including 4 from Africa, 4</w:t>
            </w:r>
            <w:r>
              <w:rPr>
                <w:rFonts w:asciiTheme="minorBidi" w:hAnsiTheme="minorBidi" w:cstheme="minorBidi"/>
                <w:sz w:val="20"/>
                <w:szCs w:val="20"/>
                <w:lang w:val="en-US"/>
              </w:rPr>
              <w:t> </w:t>
            </w:r>
            <w:r w:rsidRPr="001F08B6">
              <w:rPr>
                <w:rFonts w:asciiTheme="minorBidi" w:hAnsiTheme="minorBidi" w:cstheme="minorBidi"/>
                <w:sz w:val="20"/>
                <w:szCs w:val="20"/>
                <w:lang w:val="en-US"/>
              </w:rPr>
              <w:t xml:space="preserve">National workshops in preparation. </w:t>
            </w:r>
          </w:p>
        </w:tc>
      </w:tr>
      <w:tr w:rsidR="00FF356C" w:rsidRPr="00FF356C" w14:paraId="7ACAD7BC"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4A139E87" w14:textId="77777777" w:rsidR="00FF356C" w:rsidRPr="001F08B6" w:rsidRDefault="00FF356C" w:rsidP="00817F9B">
            <w:pPr>
              <w:spacing w:after="120"/>
              <w:rPr>
                <w:rFonts w:asciiTheme="minorBidi" w:hAnsiTheme="minorBidi" w:cstheme="minorBidi"/>
                <w:color w:val="000000"/>
                <w:sz w:val="20"/>
                <w:szCs w:val="20"/>
                <w:lang w:val="en-US"/>
              </w:rPr>
            </w:pPr>
            <w:r w:rsidRPr="001F08B6">
              <w:rPr>
                <w:rFonts w:asciiTheme="minorBidi" w:hAnsiTheme="minorBidi" w:cstheme="minorBidi"/>
                <w:b/>
                <w:color w:val="000000"/>
                <w:sz w:val="20"/>
                <w:szCs w:val="20"/>
                <w:lang w:val="en-US"/>
              </w:rPr>
              <w:t>FUNCTION E PI:</w:t>
            </w:r>
            <w:r w:rsidRPr="001F08B6">
              <w:rPr>
                <w:rFonts w:asciiTheme="minorBidi" w:hAnsiTheme="minorBidi" w:cstheme="minorBidi"/>
                <w:color w:val="000000"/>
                <w:sz w:val="20"/>
                <w:szCs w:val="20"/>
                <w:lang w:val="en-US"/>
              </w:rPr>
              <w:t xml:space="preserve"> Number of supported Member States which implement science-based ecosystem management and measure progress on SDG 14 implementation</w:t>
            </w:r>
          </w:p>
          <w:p w14:paraId="6DB58538" w14:textId="77777777" w:rsidR="00FF356C" w:rsidRPr="001F08B6" w:rsidRDefault="00FF356C" w:rsidP="00817F9B">
            <w:pPr>
              <w:spacing w:after="120"/>
              <w:rPr>
                <w:rFonts w:asciiTheme="minorBidi" w:hAnsiTheme="minorBidi" w:cstheme="minorBidi"/>
                <w:b/>
                <w:color w:val="000000"/>
                <w:sz w:val="20"/>
                <w:szCs w:val="20"/>
                <w:lang w:val="en-US"/>
              </w:rPr>
            </w:pPr>
            <w:r w:rsidRPr="001F08B6">
              <w:rPr>
                <w:rFonts w:asciiTheme="minorBidi" w:hAnsiTheme="minorBidi" w:cstheme="minorBidi"/>
                <w:b/>
                <w:color w:val="000000"/>
                <w:sz w:val="20"/>
                <w:szCs w:val="20"/>
                <w:lang w:val="en-US"/>
              </w:rPr>
              <w:t>T 2018-2021:</w:t>
            </w:r>
          </w:p>
          <w:p w14:paraId="67C4AFED"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(i) 108 Member States, of which 28 Africa and 10 SIDS, contribute to the implementation of workplans of IOC governing and regional subsidiary bodies</w:t>
            </w:r>
          </w:p>
          <w:p w14:paraId="7F9DF73A"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(ii) experts from 50 Member States, including 8 from Africa and 5 from SIDS, participating in MSP international forum and training activities and applying knowledge towards the development of MSP national plans</w:t>
            </w:r>
          </w:p>
          <w:p w14:paraId="6A226DFE" w14:textId="77777777" w:rsidR="00FF356C" w:rsidRPr="001F08B6" w:rsidRDefault="00FF356C" w:rsidP="00817F9B">
            <w:pPr>
              <w:rPr>
                <w:rFonts w:asciiTheme="minorBidi" w:hAnsiTheme="minorBidi" w:cstheme="minorBidi"/>
                <w:b/>
                <w:bCs/>
                <w:sz w:val="20"/>
                <w:szCs w:val="20"/>
                <w:lang w:val="en-US"/>
              </w:rPr>
            </w:pPr>
            <w:r w:rsidRPr="001F08B6">
              <w:rPr>
                <w:rFonts w:asciiTheme="minorBidi" w:hAnsiTheme="minorBidi" w:cstheme="minorBidi"/>
                <w:sz w:val="20"/>
                <w:szCs w:val="20"/>
                <w:lang w:val="en-US"/>
              </w:rPr>
              <w:t>(iii) 17 Member States, of which 5 SIDS, participated in UN outreach activities, through Side events at BBNJ meeting, Our Ocean, UNFCCC</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45E2A847" w14:textId="77777777" w:rsidR="00FF356C" w:rsidRPr="001F08B6" w:rsidRDefault="00FF356C" w:rsidP="00817F9B">
            <w:pPr>
              <w:tabs>
                <w:tab w:val="left" w:pos="0"/>
              </w:tabs>
              <w:spacing w:after="120"/>
              <w:rPr>
                <w:rFonts w:asciiTheme="minorBidi" w:hAnsiTheme="minorBidi" w:cstheme="minorBidi"/>
                <w:color w:val="FF0000"/>
                <w:sz w:val="20"/>
                <w:szCs w:val="20"/>
                <w:lang w:val="en-US"/>
              </w:rPr>
            </w:pPr>
            <w:r w:rsidRPr="001F08B6">
              <w:rPr>
                <w:rFonts w:asciiTheme="minorBidi" w:hAnsiTheme="minorBidi" w:cstheme="minorBidi"/>
                <w:sz w:val="20"/>
                <w:szCs w:val="20"/>
                <w:lang w:val="en-US"/>
              </w:rPr>
              <w:t xml:space="preserve">(i) 114 Member States, of which 29 in Africa and 19 SIDS </w:t>
            </w:r>
          </w:p>
          <w:p w14:paraId="235E8110" w14:textId="77777777" w:rsidR="00FF356C" w:rsidRPr="001F08B6" w:rsidRDefault="00FF356C" w:rsidP="00817F9B">
            <w:pPr>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(ii) 125 Member States, of which 13 in Africa, and 8 from SIDS </w:t>
            </w:r>
          </w:p>
          <w:p w14:paraId="7B8A1169" w14:textId="77777777" w:rsidR="00FF356C" w:rsidRPr="001F08B6" w:rsidRDefault="00FF356C" w:rsidP="00817F9B">
            <w:pPr>
              <w:spacing w:after="120"/>
              <w:rPr>
                <w:rFonts w:asciiTheme="minorBidi" w:hAnsiTheme="minorBidi" w:cstheme="minorBidi"/>
                <w:sz w:val="20"/>
                <w:szCs w:val="20"/>
                <w:lang w:val="en-US"/>
              </w:rPr>
            </w:pPr>
            <w:r>
              <w:rPr>
                <w:rFonts w:asciiTheme="minorBidi" w:hAnsiTheme="minorBidi" w:cstheme="minorBidi"/>
                <w:sz w:val="20"/>
                <w:szCs w:val="20"/>
                <w:lang w:val="en-US"/>
              </w:rPr>
              <w:t>(</w:t>
            </w:r>
            <w:r w:rsidRPr="001F08B6">
              <w:rPr>
                <w:rFonts w:asciiTheme="minorBidi" w:hAnsiTheme="minorBidi" w:cstheme="minorBidi"/>
                <w:sz w:val="20"/>
                <w:szCs w:val="20"/>
                <w:lang w:val="en-US"/>
              </w:rPr>
              <w:t xml:space="preserve">iii) 70 Member States, of which 10 SIDS took part in the Decade </w:t>
            </w:r>
            <w:r>
              <w:rPr>
                <w:rFonts w:asciiTheme="minorBidi" w:hAnsiTheme="minorBidi" w:cstheme="minorBidi"/>
                <w:sz w:val="20"/>
                <w:szCs w:val="20"/>
                <w:lang w:val="en-US"/>
              </w:rPr>
              <w:t>‘</w:t>
            </w:r>
            <w:r w:rsidRPr="001F08B6">
              <w:rPr>
                <w:rFonts w:asciiTheme="minorBidi" w:hAnsiTheme="minorBidi" w:cstheme="minorBidi"/>
                <w:sz w:val="20"/>
                <w:szCs w:val="20"/>
                <w:lang w:val="en-US"/>
              </w:rPr>
              <w:t>Brave New Ocean</w:t>
            </w:r>
            <w:r>
              <w:rPr>
                <w:rFonts w:asciiTheme="minorBidi" w:hAnsiTheme="minorBidi" w:cstheme="minorBidi"/>
                <w:sz w:val="20"/>
                <w:szCs w:val="20"/>
                <w:lang w:val="en-US"/>
              </w:rPr>
              <w:t>’</w:t>
            </w:r>
            <w:r w:rsidRPr="001F08B6">
              <w:rPr>
                <w:rFonts w:asciiTheme="minorBidi" w:hAnsiTheme="minorBidi" w:cstheme="minorBidi"/>
                <w:sz w:val="20"/>
                <w:szCs w:val="20"/>
                <w:lang w:val="en-US"/>
              </w:rPr>
              <w:t xml:space="preserve"> event in February and Global Launch event on 1 June; 60</w:t>
            </w:r>
            <w:r>
              <w:rPr>
                <w:rFonts w:asciiTheme="minorBidi" w:hAnsiTheme="minorBidi" w:cstheme="minorBidi"/>
                <w:sz w:val="20"/>
                <w:szCs w:val="20"/>
                <w:lang w:val="en-US"/>
              </w:rPr>
              <w:t> </w:t>
            </w:r>
            <w:r w:rsidRPr="001F08B6">
              <w:rPr>
                <w:rFonts w:asciiTheme="minorBidi" w:hAnsiTheme="minorBidi" w:cstheme="minorBidi"/>
                <w:sz w:val="20"/>
                <w:szCs w:val="20"/>
                <w:lang w:val="en-US"/>
              </w:rPr>
              <w:t>Member States, of which 9 SIDS, took part in the UNGA President</w:t>
            </w:r>
            <w:r>
              <w:rPr>
                <w:rFonts w:asciiTheme="minorBidi" w:hAnsiTheme="minorBidi" w:cstheme="minorBidi"/>
                <w:sz w:val="20"/>
                <w:szCs w:val="20"/>
                <w:lang w:val="en-US"/>
              </w:rPr>
              <w:t>’</w:t>
            </w:r>
            <w:r w:rsidRPr="001F08B6">
              <w:rPr>
                <w:rFonts w:asciiTheme="minorBidi" w:hAnsiTheme="minorBidi" w:cstheme="minorBidi"/>
                <w:sz w:val="20"/>
                <w:szCs w:val="20"/>
                <w:lang w:val="en-US"/>
              </w:rPr>
              <w:t>s event on the SDG</w:t>
            </w:r>
            <w:r>
              <w:rPr>
                <w:rFonts w:asciiTheme="minorBidi" w:hAnsiTheme="minorBidi" w:cstheme="minorBidi"/>
                <w:sz w:val="20"/>
                <w:szCs w:val="20"/>
                <w:lang w:val="en-US"/>
              </w:rPr>
              <w:t> </w:t>
            </w:r>
            <w:r w:rsidRPr="001F08B6">
              <w:rPr>
                <w:rFonts w:asciiTheme="minorBidi" w:hAnsiTheme="minorBidi" w:cstheme="minorBidi"/>
                <w:sz w:val="20"/>
                <w:szCs w:val="20"/>
                <w:lang w:val="en-US"/>
              </w:rPr>
              <w:t>14 where ADG/IOC presented the Ocean Decade. 55 UN Member States took part in the IOC information session on BBNJ.</w:t>
            </w:r>
          </w:p>
        </w:tc>
      </w:tr>
      <w:tr w:rsidR="00FF356C" w:rsidRPr="00FF356C" w14:paraId="7ABF865A" w14:textId="77777777" w:rsidTr="00817F9B">
        <w:tc>
          <w:tcPr>
            <w:tcW w:w="2648" w:type="pct"/>
            <w:tcBorders>
              <w:top w:val="single" w:sz="8" w:space="0" w:color="auto"/>
              <w:left w:val="single" w:sz="8" w:space="0" w:color="auto"/>
              <w:bottom w:val="single" w:sz="8" w:space="0" w:color="auto"/>
              <w:right w:val="single" w:sz="8" w:space="0" w:color="auto"/>
            </w:tcBorders>
            <w:shd w:val="clear" w:color="auto" w:fill="auto"/>
          </w:tcPr>
          <w:p w14:paraId="52C34B65" w14:textId="77777777" w:rsidR="00FF356C" w:rsidRPr="001F08B6" w:rsidRDefault="00FF356C" w:rsidP="00817F9B">
            <w:pPr>
              <w:spacing w:after="120"/>
              <w:rPr>
                <w:rFonts w:asciiTheme="minorBidi" w:hAnsiTheme="minorBidi" w:cstheme="minorBidi"/>
                <w:color w:val="000000"/>
                <w:sz w:val="20"/>
                <w:szCs w:val="20"/>
                <w:lang w:val="en-US"/>
              </w:rPr>
            </w:pPr>
            <w:r w:rsidRPr="001F08B6">
              <w:rPr>
                <w:rFonts w:asciiTheme="minorBidi" w:hAnsiTheme="minorBidi" w:cstheme="minorBidi"/>
                <w:b/>
                <w:color w:val="000000"/>
                <w:sz w:val="20"/>
                <w:szCs w:val="20"/>
                <w:lang w:val="en-US"/>
              </w:rPr>
              <w:lastRenderedPageBreak/>
              <w:t>FUNCTION F PI:</w:t>
            </w:r>
            <w:r w:rsidRPr="001F08B6">
              <w:rPr>
                <w:rFonts w:asciiTheme="minorBidi" w:hAnsiTheme="minorBidi" w:cstheme="minorBidi"/>
                <w:color w:val="000000"/>
                <w:sz w:val="20"/>
                <w:szCs w:val="20"/>
                <w:lang w:val="en-US"/>
              </w:rPr>
              <w:t xml:space="preserve"> Number of supported Member States which have developed institutional capacity and used it towards IOC</w:t>
            </w:r>
            <w:r>
              <w:rPr>
                <w:rFonts w:asciiTheme="minorBidi" w:hAnsiTheme="minorBidi" w:cstheme="minorBidi"/>
                <w:color w:val="000000"/>
                <w:sz w:val="20"/>
                <w:szCs w:val="20"/>
                <w:lang w:val="en-US"/>
              </w:rPr>
              <w:t>’</w:t>
            </w:r>
            <w:r w:rsidRPr="001F08B6">
              <w:rPr>
                <w:rFonts w:asciiTheme="minorBidi" w:hAnsiTheme="minorBidi" w:cstheme="minorBidi"/>
                <w:color w:val="000000"/>
                <w:sz w:val="20"/>
                <w:szCs w:val="20"/>
                <w:lang w:val="en-US"/>
              </w:rPr>
              <w:t>s high-level Objectives</w:t>
            </w:r>
          </w:p>
          <w:p w14:paraId="29304486" w14:textId="77777777" w:rsidR="00FF356C" w:rsidRPr="001F08B6" w:rsidRDefault="00FF356C" w:rsidP="00817F9B">
            <w:pPr>
              <w:spacing w:after="120"/>
              <w:rPr>
                <w:rFonts w:asciiTheme="minorBidi" w:hAnsiTheme="minorBidi" w:cstheme="minorBidi"/>
                <w:b/>
                <w:color w:val="000000"/>
                <w:sz w:val="20"/>
                <w:szCs w:val="20"/>
                <w:lang w:val="en-US"/>
              </w:rPr>
            </w:pPr>
            <w:r w:rsidRPr="001F08B6">
              <w:rPr>
                <w:rFonts w:asciiTheme="minorBidi" w:hAnsiTheme="minorBidi" w:cstheme="minorBidi"/>
                <w:b/>
                <w:color w:val="000000"/>
                <w:sz w:val="20"/>
                <w:szCs w:val="20"/>
                <w:lang w:val="en-US"/>
              </w:rPr>
              <w:t>T 2018-2021:</w:t>
            </w:r>
          </w:p>
          <w:p w14:paraId="3BC1928F"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(i) 52 Member States participated in the needs assessment survey, of which 12 from Africa and 11 were SIDS.</w:t>
            </w:r>
          </w:p>
          <w:p w14:paraId="0C20558A"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(ii) 62 Member States, of which 8 SIDS and 8 from Africa, contributing to 2nd GOSR</w:t>
            </w:r>
          </w:p>
          <w:p w14:paraId="4F7E3D96"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(iii) (a) CD plans implemented in 24 Member States in IOCARIBE region, 18 in IOCAFRICA, 16 in WESTPAC</w:t>
            </w:r>
          </w:p>
          <w:p w14:paraId="390D9502" w14:textId="77777777" w:rsidR="00FF356C" w:rsidRPr="001F08B6" w:rsidRDefault="00FF356C" w:rsidP="00817F9B">
            <w:pPr>
              <w:tabs>
                <w:tab w:val="clear" w:pos="567"/>
              </w:tabs>
              <w:snapToGrid/>
              <w:rPr>
                <w:rFonts w:asciiTheme="minorBidi" w:hAnsiTheme="minorBidi" w:cstheme="minorBidi"/>
                <w:sz w:val="20"/>
                <w:szCs w:val="20"/>
                <w:lang w:val="en-US"/>
              </w:rPr>
            </w:pPr>
            <w:r w:rsidRPr="001F08B6">
              <w:rPr>
                <w:rFonts w:asciiTheme="minorBidi" w:hAnsiTheme="minorBidi" w:cstheme="minorBidi"/>
                <w:sz w:val="20"/>
                <w:szCs w:val="20"/>
                <w:lang w:val="en-US"/>
              </w:rPr>
              <w:t xml:space="preserve"> (b) 150 practitioners, of which 30 from Africa and 7</w:t>
            </w:r>
            <w:r>
              <w:rPr>
                <w:rFonts w:asciiTheme="minorBidi" w:hAnsiTheme="minorBidi" w:cstheme="minorBidi"/>
                <w:sz w:val="20"/>
                <w:szCs w:val="20"/>
                <w:lang w:val="en-US"/>
              </w:rPr>
              <w:t> </w:t>
            </w:r>
            <w:r w:rsidRPr="001F08B6">
              <w:rPr>
                <w:rFonts w:asciiTheme="minorBidi" w:hAnsiTheme="minorBidi" w:cstheme="minorBidi"/>
                <w:sz w:val="20"/>
                <w:szCs w:val="20"/>
                <w:lang w:val="en-US"/>
              </w:rPr>
              <w:t>from SIDS trained in priority topics identified by regional subsidiary bodies</w:t>
            </w:r>
          </w:p>
          <w:p w14:paraId="591A4EAF" w14:textId="77777777" w:rsidR="00FF356C" w:rsidRPr="001F08B6" w:rsidRDefault="00FF356C" w:rsidP="00817F9B">
            <w:pPr>
              <w:rPr>
                <w:rFonts w:asciiTheme="minorBidi" w:hAnsiTheme="minorBidi" w:cstheme="minorBidi"/>
                <w:b/>
                <w:bCs/>
                <w:sz w:val="20"/>
                <w:szCs w:val="20"/>
                <w:lang w:val="en-US"/>
              </w:rPr>
            </w:pPr>
            <w:r w:rsidRPr="001F08B6">
              <w:rPr>
                <w:rFonts w:asciiTheme="minorBidi" w:hAnsiTheme="minorBidi" w:cstheme="minorBidi"/>
                <w:sz w:val="20"/>
                <w:szCs w:val="20"/>
                <w:lang w:val="en-US"/>
              </w:rPr>
              <w:t>(iv) 150 practitioners trained, of which 40 from Africa and 3 from SIDS, with a gender target of 40% women (5</w:t>
            </w:r>
            <w:r>
              <w:rPr>
                <w:rFonts w:asciiTheme="minorBidi" w:hAnsiTheme="minorBidi" w:cstheme="minorBidi"/>
                <w:sz w:val="20"/>
                <w:szCs w:val="20"/>
                <w:lang w:val="en-US"/>
              </w:rPr>
              <w:t> </w:t>
            </w:r>
            <w:r w:rsidRPr="001F08B6">
              <w:rPr>
                <w:rFonts w:asciiTheme="minorBidi" w:hAnsiTheme="minorBidi" w:cstheme="minorBidi"/>
                <w:sz w:val="20"/>
                <w:szCs w:val="20"/>
                <w:lang w:val="en-US"/>
              </w:rPr>
              <w:t>RTCs established)</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61496B0F"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 89 Member States, of which 28 in Africa and 6 SIDS </w:t>
            </w:r>
          </w:p>
          <w:p w14:paraId="589D1655"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(ii) 45 Member States submitted data to the GOSR2020 questionnaire, of which 11 in Africa and 2 SIDS; 52 Member States contributed to the GOSR Portal, of which 13 in Africa and 4</w:t>
            </w:r>
            <w:r>
              <w:rPr>
                <w:rFonts w:asciiTheme="minorBidi" w:hAnsiTheme="minorBidi" w:cstheme="minorBidi"/>
                <w:sz w:val="20"/>
                <w:szCs w:val="20"/>
                <w:lang w:val="en-US"/>
              </w:rPr>
              <w:t> </w:t>
            </w:r>
            <w:r w:rsidRPr="001F08B6">
              <w:rPr>
                <w:rFonts w:asciiTheme="minorBidi" w:hAnsiTheme="minorBidi" w:cstheme="minorBidi"/>
                <w:sz w:val="20"/>
                <w:szCs w:val="20"/>
                <w:lang w:val="en-US"/>
              </w:rPr>
              <w:t>SIDS.</w:t>
            </w:r>
          </w:p>
          <w:p w14:paraId="1D6EACB3"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 xml:space="preserve">(iii) </w:t>
            </w:r>
            <w:r>
              <w:rPr>
                <w:rFonts w:asciiTheme="minorBidi" w:hAnsiTheme="minorBidi" w:cstheme="minorBidi"/>
                <w:sz w:val="20"/>
                <w:szCs w:val="20"/>
                <w:lang w:val="en-US"/>
              </w:rPr>
              <w:br/>
            </w:r>
            <w:r w:rsidRPr="001F08B6">
              <w:rPr>
                <w:rFonts w:asciiTheme="minorBidi" w:hAnsiTheme="minorBidi" w:cstheme="minorBidi"/>
                <w:sz w:val="20"/>
                <w:szCs w:val="20"/>
                <w:lang w:val="en-US"/>
              </w:rPr>
              <w:t>(a) CD implementation plans adopted by Sub-Commissions in 2021 and implementation started, largely dependent on XB: 24 Member States in IOCARIBE region, 25 in Africa (IOCAFRICA), 16 in WESTPAC</w:t>
            </w:r>
            <w:r w:rsidRPr="001F08B6">
              <w:rPr>
                <w:rFonts w:asciiTheme="minorBidi" w:hAnsiTheme="minorBidi" w:cstheme="minorBidi"/>
                <w:sz w:val="20"/>
                <w:szCs w:val="20"/>
                <w:lang w:val="en-US"/>
              </w:rPr>
              <w:br/>
            </w:r>
            <w:r w:rsidRPr="001F08B6">
              <w:rPr>
                <w:rFonts w:asciiTheme="minorBidi" w:hAnsiTheme="minorBidi" w:cstheme="minorBidi"/>
                <w:sz w:val="20"/>
                <w:szCs w:val="20"/>
                <w:lang w:val="en-US"/>
              </w:rPr>
              <w:br/>
              <w:t>(b) 1559 practitioners of which 255 from Africa, 335 from IOCARIBE, 520 from WESTPAC and 76 from SIDS.</w:t>
            </w:r>
          </w:p>
          <w:p w14:paraId="39E3FF22" w14:textId="77777777" w:rsidR="00FF356C" w:rsidRPr="001F08B6" w:rsidRDefault="00FF356C" w:rsidP="00817F9B">
            <w:pPr>
              <w:tabs>
                <w:tab w:val="clear" w:pos="567"/>
              </w:tabs>
              <w:snapToGrid/>
              <w:spacing w:after="120"/>
              <w:rPr>
                <w:rFonts w:asciiTheme="minorBidi" w:hAnsiTheme="minorBidi" w:cstheme="minorBidi"/>
                <w:sz w:val="20"/>
                <w:szCs w:val="20"/>
                <w:lang w:val="en-US"/>
              </w:rPr>
            </w:pPr>
            <w:r w:rsidRPr="001F08B6">
              <w:rPr>
                <w:rFonts w:asciiTheme="minorBidi" w:hAnsiTheme="minorBidi" w:cstheme="minorBidi"/>
                <w:sz w:val="20"/>
                <w:szCs w:val="20"/>
                <w:lang w:val="en-US"/>
              </w:rPr>
              <w:t>(iv) 1559 practitioners trained, of which 255 from Africa, 335 from IOCARIBE, 520 from WESTPAC and 76 from SIDS with a gender ratio of 44% women (16 RTCs established) </w:t>
            </w:r>
          </w:p>
        </w:tc>
      </w:tr>
    </w:tbl>
    <w:p w14:paraId="20922415" w14:textId="77777777" w:rsidR="00FF356C" w:rsidRPr="001F08B6" w:rsidRDefault="00FF356C" w:rsidP="00FF356C">
      <w:pPr>
        <w:tabs>
          <w:tab w:val="clear" w:pos="567"/>
        </w:tabs>
        <w:snapToGrid/>
        <w:rPr>
          <w:rFonts w:cs="Arial"/>
          <w:sz w:val="18"/>
          <w:szCs w:val="18"/>
          <w:lang w:val="en-US"/>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FF356C" w:rsidRPr="00FF356C" w14:paraId="1ED66569" w14:textId="77777777" w:rsidTr="00817F9B">
        <w:trPr>
          <w:tblHeader/>
        </w:trPr>
        <w:tc>
          <w:tcPr>
            <w:tcW w:w="0" w:type="auto"/>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217EF6FF" w14:textId="77777777" w:rsidR="00FF356C" w:rsidRPr="00FF356C" w:rsidRDefault="00FF356C" w:rsidP="00817F9B">
            <w:pPr>
              <w:jc w:val="center"/>
              <w:rPr>
                <w:rFonts w:asciiTheme="minorBidi" w:eastAsiaTheme="minorHAnsi" w:hAnsiTheme="minorBidi" w:cstheme="minorBidi"/>
                <w:b/>
                <w:bCs/>
                <w:sz w:val="20"/>
                <w:szCs w:val="20"/>
                <w:lang w:val="en-US"/>
              </w:rPr>
            </w:pPr>
            <w:r w:rsidRPr="00FF356C">
              <w:rPr>
                <w:rFonts w:asciiTheme="minorBidi" w:eastAsia="Arial Unicode MS" w:hAnsiTheme="minorBidi" w:cstheme="minorBidi"/>
                <w:b/>
                <w:bCs/>
                <w:sz w:val="20"/>
                <w:szCs w:val="20"/>
                <w:lang w:val="en-US"/>
              </w:rPr>
              <w:t>Contribution of key partners</w:t>
            </w:r>
          </w:p>
        </w:tc>
      </w:tr>
      <w:tr w:rsidR="00FF356C" w:rsidRPr="00FF356C" w14:paraId="591A1F8B" w14:textId="77777777" w:rsidTr="00817F9B">
        <w:tc>
          <w:tcPr>
            <w:tcW w:w="0" w:type="auto"/>
            <w:tcBorders>
              <w:top w:val="single" w:sz="8" w:space="0" w:color="auto"/>
              <w:left w:val="single" w:sz="8" w:space="0" w:color="auto"/>
              <w:bottom w:val="single" w:sz="8" w:space="0" w:color="auto"/>
              <w:right w:val="single" w:sz="8" w:space="0" w:color="auto"/>
            </w:tcBorders>
            <w:vAlign w:val="center"/>
          </w:tcPr>
          <w:p w14:paraId="21FD3FA5" w14:textId="77777777" w:rsidR="00FF356C" w:rsidRPr="00FF356C" w:rsidRDefault="00FF356C" w:rsidP="00817F9B">
            <w:pPr>
              <w:tabs>
                <w:tab w:val="clear" w:pos="567"/>
              </w:tabs>
              <w:spacing w:after="120"/>
              <w:rPr>
                <w:rFonts w:asciiTheme="minorBidi" w:hAnsiTheme="minorBidi" w:cstheme="minorBidi"/>
                <w:snapToGrid/>
                <w:sz w:val="20"/>
                <w:szCs w:val="20"/>
                <w:lang w:val="en-US"/>
              </w:rPr>
            </w:pPr>
            <w:r w:rsidRPr="00FF356C">
              <w:rPr>
                <w:rFonts w:asciiTheme="minorBidi" w:hAnsiTheme="minorBidi" w:cstheme="minorBidi"/>
                <w:snapToGrid/>
                <w:sz w:val="20"/>
                <w:szCs w:val="20"/>
                <w:lang w:val="en-US"/>
              </w:rPr>
              <w:t xml:space="preserve">Partnerships are critical to the successful delivery by the Commission of its consistently increasing mandate. Effective and efficient division of labor between UN Oceans partners takes a particular importance in the context of the UN Ocean Decade. Through global and regional consultations over the biennium, thousands of stakeholders from governments, science and technology, business, civil </w:t>
            </w:r>
            <w:proofErr w:type="gramStart"/>
            <w:r w:rsidRPr="00FF356C">
              <w:rPr>
                <w:rFonts w:asciiTheme="minorBidi" w:hAnsiTheme="minorBidi" w:cstheme="minorBidi"/>
                <w:snapToGrid/>
                <w:sz w:val="20"/>
                <w:szCs w:val="20"/>
                <w:lang w:val="en-US"/>
              </w:rPr>
              <w:t>society</w:t>
            </w:r>
            <w:proofErr w:type="gramEnd"/>
            <w:r w:rsidRPr="00FF356C">
              <w:rPr>
                <w:rFonts w:asciiTheme="minorBidi" w:hAnsiTheme="minorBidi" w:cstheme="minorBidi"/>
                <w:snapToGrid/>
                <w:sz w:val="20"/>
                <w:szCs w:val="20"/>
                <w:lang w:val="en-US"/>
              </w:rPr>
              <w:t xml:space="preserve"> and international organizations have contributed to the formulation of the Decade Implementation Plan. New partnerships have been established with philanthropic organizations, the private sector (</w:t>
            </w:r>
            <w:proofErr w:type="spellStart"/>
            <w:r w:rsidRPr="00FF356C">
              <w:rPr>
                <w:rFonts w:asciiTheme="minorBidi" w:hAnsiTheme="minorBidi" w:cstheme="minorBidi"/>
                <w:snapToGrid/>
                <w:sz w:val="20"/>
                <w:szCs w:val="20"/>
                <w:lang w:val="en-US"/>
              </w:rPr>
              <w:t>Axa</w:t>
            </w:r>
            <w:proofErr w:type="spellEnd"/>
            <w:r w:rsidRPr="00FF356C">
              <w:rPr>
                <w:rFonts w:asciiTheme="minorBidi" w:hAnsiTheme="minorBidi" w:cstheme="minorBidi"/>
                <w:snapToGrid/>
                <w:sz w:val="20"/>
                <w:szCs w:val="20"/>
                <w:lang w:val="en-US"/>
              </w:rPr>
              <w:t xml:space="preserve">, </w:t>
            </w:r>
            <w:proofErr w:type="spellStart"/>
            <w:r w:rsidRPr="00FF356C">
              <w:rPr>
                <w:rFonts w:asciiTheme="minorBidi" w:hAnsiTheme="minorBidi" w:cstheme="minorBidi"/>
                <w:snapToGrid/>
                <w:sz w:val="20"/>
                <w:szCs w:val="20"/>
                <w:lang w:val="en-US"/>
              </w:rPr>
              <w:t>Panerai</w:t>
            </w:r>
            <w:proofErr w:type="spellEnd"/>
            <w:r w:rsidRPr="00FF356C">
              <w:rPr>
                <w:rFonts w:asciiTheme="minorBidi" w:hAnsiTheme="minorBidi" w:cstheme="minorBidi"/>
                <w:snapToGrid/>
                <w:sz w:val="20"/>
                <w:szCs w:val="20"/>
                <w:lang w:val="en-US"/>
              </w:rPr>
              <w:t xml:space="preserve">, FUGRO), as well as regional intergovernmental partners. </w:t>
            </w:r>
          </w:p>
          <w:p w14:paraId="0B7F4FE5" w14:textId="77777777" w:rsidR="00FF356C" w:rsidRPr="00FF356C" w:rsidRDefault="00FF356C" w:rsidP="00817F9B">
            <w:pPr>
              <w:tabs>
                <w:tab w:val="clear" w:pos="567"/>
              </w:tabs>
              <w:spacing w:after="120"/>
              <w:rPr>
                <w:rFonts w:asciiTheme="minorBidi" w:hAnsiTheme="minorBidi" w:cstheme="minorBidi"/>
                <w:snapToGrid/>
                <w:sz w:val="20"/>
                <w:szCs w:val="20"/>
                <w:lang w:val="en-US"/>
              </w:rPr>
            </w:pPr>
            <w:r w:rsidRPr="00FF356C">
              <w:rPr>
                <w:rFonts w:asciiTheme="minorBidi" w:hAnsiTheme="minorBidi" w:cstheme="minorBidi"/>
                <w:snapToGrid/>
                <w:sz w:val="20"/>
                <w:szCs w:val="20"/>
                <w:lang w:val="en-US"/>
              </w:rPr>
              <w:t xml:space="preserve">Successful delivery of climate and operational services is ensured in close cooperation with WMO, including through </w:t>
            </w:r>
            <w:proofErr w:type="spellStart"/>
            <w:r w:rsidRPr="00FF356C">
              <w:rPr>
                <w:rFonts w:asciiTheme="minorBidi" w:hAnsiTheme="minorBidi" w:cstheme="minorBidi"/>
                <w:snapToGrid/>
                <w:sz w:val="20"/>
                <w:szCs w:val="20"/>
                <w:lang w:val="en-US"/>
              </w:rPr>
              <w:t>programme</w:t>
            </w:r>
            <w:proofErr w:type="spellEnd"/>
            <w:r w:rsidRPr="00FF356C">
              <w:rPr>
                <w:rFonts w:asciiTheme="minorBidi" w:hAnsiTheme="minorBidi" w:cstheme="minorBidi"/>
                <w:snapToGrid/>
                <w:sz w:val="20"/>
                <w:szCs w:val="20"/>
                <w:lang w:val="en-US"/>
              </w:rPr>
              <w:t xml:space="preserve"> co-sponsorship. Cooperation with the Global Environmental Facility (GEF) and UNDP and UNEP continues successfully and IOC was entrusted by the GEF to deliver the next phase of the </w:t>
            </w:r>
            <w:proofErr w:type="spellStart"/>
            <w:proofErr w:type="gramStart"/>
            <w:r w:rsidRPr="00FF356C">
              <w:rPr>
                <w:rFonts w:asciiTheme="minorBidi" w:hAnsiTheme="minorBidi" w:cstheme="minorBidi"/>
                <w:snapToGrid/>
                <w:sz w:val="20"/>
                <w:szCs w:val="20"/>
                <w:lang w:val="en-US"/>
              </w:rPr>
              <w:t>IW:Learn</w:t>
            </w:r>
            <w:proofErr w:type="spellEnd"/>
            <w:proofErr w:type="gramEnd"/>
            <w:r w:rsidRPr="00FF356C">
              <w:rPr>
                <w:rFonts w:asciiTheme="minorBidi" w:hAnsiTheme="minorBidi" w:cstheme="minorBidi"/>
                <w:snapToGrid/>
                <w:sz w:val="20"/>
                <w:szCs w:val="20"/>
                <w:lang w:val="en-US"/>
              </w:rPr>
              <w:t xml:space="preserve">+ project (2022-2025) as well as two GEF Large Marine Ecosystems projects (Black Sea and Sargasso Sea). A tripartite agreement was concluded with IAEA, FAO and WHO on Ciguatera Poisoning. </w:t>
            </w:r>
          </w:p>
          <w:p w14:paraId="2E28CB73" w14:textId="77777777" w:rsidR="00FF356C" w:rsidRPr="00FF356C" w:rsidRDefault="00FF356C" w:rsidP="00817F9B">
            <w:pPr>
              <w:tabs>
                <w:tab w:val="clear" w:pos="567"/>
              </w:tabs>
              <w:spacing w:after="120"/>
              <w:rPr>
                <w:rFonts w:asciiTheme="minorBidi" w:hAnsiTheme="minorBidi" w:cstheme="minorBidi"/>
                <w:snapToGrid/>
                <w:sz w:val="20"/>
                <w:szCs w:val="20"/>
                <w:lang w:val="en-US"/>
              </w:rPr>
            </w:pPr>
            <w:r w:rsidRPr="00FF356C">
              <w:rPr>
                <w:rFonts w:asciiTheme="minorBidi" w:hAnsiTheme="minorBidi" w:cstheme="minorBidi"/>
                <w:snapToGrid/>
                <w:sz w:val="20"/>
                <w:szCs w:val="20"/>
                <w:lang w:val="en-US"/>
              </w:rPr>
              <w:t xml:space="preserve">The IOC Assembly and WMO Executive Council adopted in June 2021 a WMO-IOC Collaborative Strategy, which identifies ways of mutually reinforcing </w:t>
            </w:r>
            <w:proofErr w:type="spellStart"/>
            <w:r w:rsidRPr="00FF356C">
              <w:rPr>
                <w:rFonts w:asciiTheme="minorBidi" w:hAnsiTheme="minorBidi" w:cstheme="minorBidi"/>
                <w:snapToGrid/>
                <w:sz w:val="20"/>
                <w:szCs w:val="20"/>
                <w:lang w:val="en-US"/>
              </w:rPr>
              <w:t>programmes</w:t>
            </w:r>
            <w:proofErr w:type="spellEnd"/>
            <w:r w:rsidRPr="00FF356C">
              <w:rPr>
                <w:rFonts w:asciiTheme="minorBidi" w:hAnsiTheme="minorBidi" w:cstheme="minorBidi"/>
                <w:snapToGrid/>
                <w:sz w:val="20"/>
                <w:szCs w:val="20"/>
                <w:lang w:val="en-US"/>
              </w:rPr>
              <w:t xml:space="preserve"> that focus on both operational and science-policy value chains covering oceans, climate, and disaster risk reduction. WMO has pledged to substantially increased its co-sponsorship commitment to the Global Ocean Observing System (GOOS).</w:t>
            </w:r>
          </w:p>
          <w:p w14:paraId="6E11CAA6" w14:textId="77777777" w:rsidR="00FF356C" w:rsidRPr="00FF356C" w:rsidRDefault="00FF356C" w:rsidP="00817F9B">
            <w:pPr>
              <w:tabs>
                <w:tab w:val="clear" w:pos="567"/>
              </w:tabs>
              <w:spacing w:after="120"/>
              <w:rPr>
                <w:rFonts w:asciiTheme="minorBidi" w:hAnsiTheme="minorBidi" w:cstheme="minorBidi"/>
                <w:snapToGrid/>
                <w:sz w:val="20"/>
                <w:szCs w:val="20"/>
                <w:lang w:val="en-US"/>
              </w:rPr>
            </w:pPr>
            <w:r w:rsidRPr="00FF356C">
              <w:rPr>
                <w:rFonts w:asciiTheme="minorBidi" w:hAnsiTheme="minorBidi" w:cstheme="minorBidi"/>
                <w:snapToGrid/>
                <w:sz w:val="20"/>
                <w:szCs w:val="20"/>
                <w:lang w:val="en-US"/>
              </w:rPr>
              <w:t xml:space="preserve">Capacity development and work at field level is facilitated by IOC Regional Subsidiary Bodies as well as the OTGA Regional Training </w:t>
            </w:r>
            <w:proofErr w:type="spellStart"/>
            <w:r w:rsidRPr="00FF356C">
              <w:rPr>
                <w:rFonts w:asciiTheme="minorBidi" w:hAnsiTheme="minorBidi" w:cstheme="minorBidi"/>
                <w:snapToGrid/>
                <w:sz w:val="20"/>
                <w:szCs w:val="20"/>
                <w:lang w:val="en-US"/>
              </w:rPr>
              <w:t>Centres</w:t>
            </w:r>
            <w:proofErr w:type="spellEnd"/>
            <w:r w:rsidRPr="00FF356C">
              <w:rPr>
                <w:rFonts w:asciiTheme="minorBidi" w:hAnsiTheme="minorBidi" w:cstheme="minorBidi"/>
                <w:snapToGrid/>
                <w:sz w:val="20"/>
                <w:szCs w:val="20"/>
                <w:lang w:val="en-US"/>
              </w:rPr>
              <w:t xml:space="preserve"> and OTGA Specialized Training </w:t>
            </w:r>
            <w:proofErr w:type="spellStart"/>
            <w:r w:rsidRPr="00FF356C">
              <w:rPr>
                <w:rFonts w:asciiTheme="minorBidi" w:hAnsiTheme="minorBidi" w:cstheme="minorBidi"/>
                <w:snapToGrid/>
                <w:sz w:val="20"/>
                <w:szCs w:val="20"/>
                <w:lang w:val="en-US"/>
              </w:rPr>
              <w:t>Centres</w:t>
            </w:r>
            <w:proofErr w:type="spellEnd"/>
            <w:r w:rsidRPr="00FF356C">
              <w:rPr>
                <w:rFonts w:asciiTheme="minorBidi" w:hAnsiTheme="minorBidi" w:cstheme="minorBidi"/>
                <w:snapToGrid/>
                <w:sz w:val="20"/>
                <w:szCs w:val="20"/>
                <w:lang w:val="en-US"/>
              </w:rPr>
              <w:t xml:space="preserve">, and the WESTPAC Regional Training and Research </w:t>
            </w:r>
            <w:proofErr w:type="spellStart"/>
            <w:r w:rsidRPr="00FF356C">
              <w:rPr>
                <w:rFonts w:asciiTheme="minorBidi" w:hAnsiTheme="minorBidi" w:cstheme="minorBidi"/>
                <w:snapToGrid/>
                <w:sz w:val="20"/>
                <w:szCs w:val="20"/>
                <w:lang w:val="en-US"/>
              </w:rPr>
              <w:t>Centres</w:t>
            </w:r>
            <w:proofErr w:type="spellEnd"/>
            <w:r w:rsidRPr="00FF356C">
              <w:rPr>
                <w:rFonts w:asciiTheme="minorBidi" w:hAnsiTheme="minorBidi" w:cstheme="minorBidi"/>
                <w:snapToGrid/>
                <w:sz w:val="20"/>
                <w:szCs w:val="20"/>
                <w:lang w:val="en-US"/>
              </w:rPr>
              <w:t xml:space="preserve">. In the IOCINDIO region, the two category 2 </w:t>
            </w:r>
            <w:proofErr w:type="spellStart"/>
            <w:r w:rsidRPr="00FF356C">
              <w:rPr>
                <w:rFonts w:asciiTheme="minorBidi" w:hAnsiTheme="minorBidi" w:cstheme="minorBidi"/>
                <w:snapToGrid/>
                <w:sz w:val="20"/>
                <w:szCs w:val="20"/>
                <w:lang w:val="en-US"/>
              </w:rPr>
              <w:t>centres</w:t>
            </w:r>
            <w:proofErr w:type="spellEnd"/>
            <w:r w:rsidRPr="00FF356C">
              <w:rPr>
                <w:rFonts w:asciiTheme="minorBidi" w:hAnsiTheme="minorBidi" w:cstheme="minorBidi"/>
                <w:snapToGrid/>
                <w:sz w:val="20"/>
                <w:szCs w:val="20"/>
                <w:lang w:val="en-US"/>
              </w:rPr>
              <w:t xml:space="preserve">, in Iran and in India, provide valuable contributions and ensure regional ownership of </w:t>
            </w:r>
            <w:proofErr w:type="spellStart"/>
            <w:r w:rsidRPr="00FF356C">
              <w:rPr>
                <w:rFonts w:asciiTheme="minorBidi" w:hAnsiTheme="minorBidi" w:cstheme="minorBidi"/>
                <w:snapToGrid/>
                <w:sz w:val="20"/>
                <w:szCs w:val="20"/>
                <w:lang w:val="en-US"/>
              </w:rPr>
              <w:t>programmes</w:t>
            </w:r>
            <w:proofErr w:type="spellEnd"/>
            <w:r w:rsidRPr="00FF356C">
              <w:rPr>
                <w:rFonts w:asciiTheme="minorBidi" w:hAnsiTheme="minorBidi" w:cstheme="minorBidi"/>
                <w:snapToGrid/>
                <w:sz w:val="20"/>
                <w:szCs w:val="20"/>
                <w:lang w:val="en-US"/>
              </w:rPr>
              <w:t xml:space="preserve">. Agreements under negotiation with the South Pacific Community and the Indian Ocean Rim Association will be an important step in this regard. The IOC CD strategy has enabled an across regions common approach to CD outputs. Cooperation at regional level, mainly in IOCARIBE and IOCAFRICA, was increased </w:t>
            </w:r>
            <w:proofErr w:type="gramStart"/>
            <w:r w:rsidRPr="00FF356C">
              <w:rPr>
                <w:rFonts w:asciiTheme="minorBidi" w:hAnsiTheme="minorBidi" w:cstheme="minorBidi"/>
                <w:snapToGrid/>
                <w:sz w:val="20"/>
                <w:szCs w:val="20"/>
                <w:lang w:val="en-US"/>
              </w:rPr>
              <w:t>in the area of</w:t>
            </w:r>
            <w:proofErr w:type="gramEnd"/>
            <w:r w:rsidRPr="00FF356C">
              <w:rPr>
                <w:rFonts w:asciiTheme="minorBidi" w:hAnsiTheme="minorBidi" w:cstheme="minorBidi"/>
                <w:snapToGrid/>
                <w:sz w:val="20"/>
                <w:szCs w:val="20"/>
                <w:lang w:val="en-US"/>
              </w:rPr>
              <w:t xml:space="preserve"> ocean mapping through the GEBCO Seabed 2030 project.</w:t>
            </w:r>
          </w:p>
          <w:p w14:paraId="3B983445" w14:textId="77777777" w:rsidR="00FF356C" w:rsidRPr="00FF356C" w:rsidRDefault="00FF356C" w:rsidP="00817F9B">
            <w:pPr>
              <w:rPr>
                <w:rFonts w:asciiTheme="minorBidi" w:eastAsia="Arial Unicode MS" w:hAnsiTheme="minorBidi" w:cstheme="minorBidi"/>
                <w:sz w:val="20"/>
                <w:szCs w:val="20"/>
                <w:lang w:val="en-US"/>
              </w:rPr>
            </w:pPr>
            <w:r w:rsidRPr="00FF356C">
              <w:rPr>
                <w:rFonts w:asciiTheme="minorBidi" w:hAnsiTheme="minorBidi" w:cstheme="minorBidi"/>
                <w:snapToGrid/>
                <w:sz w:val="20"/>
                <w:szCs w:val="20"/>
                <w:lang w:val="en-US"/>
              </w:rPr>
              <w:t xml:space="preserve">Civil society partners are key in raising the awareness of the socio-economic value of the ocean and IOC’s efforts in supporting the sustainable ocean economy and addressing major challenges and opportunities from the ocean. In the context of IOC’s partnership with the International Monohull Open Class Association, Vendee Globe skippers collected vital observations, including from the least-visited areas of our global ocean, supporting the Global Ocean Observing System, within the framework of the Ocean Decade and under the leadership of </w:t>
            </w:r>
            <w:proofErr w:type="spellStart"/>
            <w:r w:rsidRPr="00FF356C">
              <w:rPr>
                <w:rFonts w:asciiTheme="minorBidi" w:hAnsiTheme="minorBidi" w:cstheme="minorBidi"/>
                <w:snapToGrid/>
                <w:sz w:val="20"/>
                <w:szCs w:val="20"/>
                <w:lang w:val="en-US"/>
              </w:rPr>
              <w:t>OceanOPS</w:t>
            </w:r>
            <w:proofErr w:type="spellEnd"/>
            <w:r w:rsidRPr="00FF356C">
              <w:rPr>
                <w:rFonts w:asciiTheme="minorBidi" w:hAnsiTheme="minorBidi" w:cstheme="minorBidi"/>
                <w:snapToGrid/>
                <w:sz w:val="20"/>
                <w:szCs w:val="20"/>
                <w:lang w:val="en-US"/>
              </w:rPr>
              <w:t>.</w:t>
            </w:r>
          </w:p>
        </w:tc>
      </w:tr>
    </w:tbl>
    <w:p w14:paraId="5A390796" w14:textId="77777777" w:rsidR="00FF356C" w:rsidRPr="00FF356C" w:rsidRDefault="00FF356C" w:rsidP="00FF356C">
      <w:pPr>
        <w:tabs>
          <w:tab w:val="clear" w:pos="567"/>
        </w:tabs>
        <w:snapToGrid/>
        <w:rPr>
          <w:rFonts w:asciiTheme="minorBidi" w:hAnsiTheme="minorBidi" w:cstheme="minorBidi"/>
          <w:b/>
          <w:bCs/>
          <w:color w:val="000000" w:themeColor="text1"/>
          <w:sz w:val="20"/>
          <w:szCs w:val="20"/>
          <w:lang w:val="en-US"/>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FF356C" w:rsidRPr="00FF356C" w14:paraId="5B402E80" w14:textId="77777777" w:rsidTr="00817F9B">
        <w:trPr>
          <w:tblHeader/>
        </w:trPr>
        <w:tc>
          <w:tcPr>
            <w:tcW w:w="2648"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58E4FB81" w14:textId="77777777" w:rsidR="00FF356C" w:rsidRPr="00FF356C" w:rsidRDefault="00FF356C" w:rsidP="00817F9B">
            <w:pPr>
              <w:jc w:val="center"/>
              <w:rPr>
                <w:rFonts w:asciiTheme="minorBidi" w:eastAsia="Arial Unicode MS" w:hAnsiTheme="minorBidi" w:cstheme="minorBidi"/>
                <w:b/>
                <w:bCs/>
                <w:sz w:val="20"/>
                <w:szCs w:val="20"/>
                <w:lang w:val="en-US"/>
              </w:rPr>
            </w:pPr>
            <w:r w:rsidRPr="00FF356C">
              <w:rPr>
                <w:rFonts w:asciiTheme="minorBidi" w:eastAsia="Arial Unicode MS" w:hAnsiTheme="minorBidi" w:cstheme="minorBidi"/>
                <w:b/>
                <w:bCs/>
                <w:sz w:val="20"/>
                <w:szCs w:val="20"/>
                <w:lang w:val="en-US"/>
              </w:rPr>
              <w:lastRenderedPageBreak/>
              <w:t>Key challenges</w:t>
            </w:r>
          </w:p>
        </w:tc>
        <w:tc>
          <w:tcPr>
            <w:tcW w:w="2352"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639160EC" w14:textId="77777777" w:rsidR="00FF356C" w:rsidRPr="00FF356C" w:rsidRDefault="00FF356C" w:rsidP="00817F9B">
            <w:pPr>
              <w:jc w:val="center"/>
              <w:rPr>
                <w:rFonts w:asciiTheme="minorBidi" w:eastAsia="Arial Unicode MS" w:hAnsiTheme="minorBidi" w:cstheme="minorBidi"/>
                <w:b/>
                <w:bCs/>
                <w:sz w:val="20"/>
                <w:szCs w:val="20"/>
                <w:lang w:val="en-US"/>
              </w:rPr>
            </w:pPr>
            <w:r w:rsidRPr="00FF356C">
              <w:rPr>
                <w:rFonts w:asciiTheme="minorBidi" w:eastAsia="Arial Unicode MS" w:hAnsiTheme="minorBidi" w:cstheme="minorBidi"/>
                <w:b/>
                <w:bCs/>
                <w:sz w:val="20"/>
                <w:szCs w:val="20"/>
                <w:lang w:val="en-US"/>
              </w:rPr>
              <w:t>Remedial actions</w:t>
            </w:r>
          </w:p>
        </w:tc>
      </w:tr>
      <w:tr w:rsidR="00FF356C" w:rsidRPr="00FF356C" w14:paraId="2A6C54BD" w14:textId="77777777" w:rsidTr="00817F9B">
        <w:tc>
          <w:tcPr>
            <w:tcW w:w="2648" w:type="pct"/>
            <w:tcBorders>
              <w:top w:val="single" w:sz="8" w:space="0" w:color="auto"/>
              <w:left w:val="single" w:sz="8" w:space="0" w:color="auto"/>
              <w:bottom w:val="single" w:sz="8" w:space="0" w:color="auto"/>
              <w:right w:val="single" w:sz="8" w:space="0" w:color="auto"/>
            </w:tcBorders>
          </w:tcPr>
          <w:p w14:paraId="4844CC80" w14:textId="77777777" w:rsidR="00FF356C" w:rsidRPr="00FF356C" w:rsidRDefault="00FF356C" w:rsidP="00817F9B">
            <w:pPr>
              <w:spacing w:after="120"/>
              <w:rPr>
                <w:rFonts w:asciiTheme="minorBidi" w:hAnsiTheme="minorBidi" w:cstheme="minorBidi"/>
                <w:sz w:val="20"/>
                <w:szCs w:val="20"/>
                <w:lang w:val="en-US"/>
              </w:rPr>
            </w:pPr>
            <w:r w:rsidRPr="00FF356C">
              <w:rPr>
                <w:rFonts w:asciiTheme="minorBidi" w:hAnsiTheme="minorBidi" w:cstheme="minorBidi"/>
                <w:sz w:val="20"/>
                <w:szCs w:val="20"/>
                <w:lang w:val="en-US"/>
              </w:rPr>
              <w:t xml:space="preserve">The preparation of the Decade increased substantially the workload of the Secretariat, impacting its capacity to deliver on core </w:t>
            </w:r>
            <w:proofErr w:type="spellStart"/>
            <w:r w:rsidRPr="00FF356C">
              <w:rPr>
                <w:rFonts w:asciiTheme="minorBidi" w:hAnsiTheme="minorBidi" w:cstheme="minorBidi"/>
                <w:sz w:val="20"/>
                <w:szCs w:val="20"/>
                <w:lang w:val="en-US"/>
              </w:rPr>
              <w:t>programmes</w:t>
            </w:r>
            <w:proofErr w:type="spellEnd"/>
            <w:r w:rsidRPr="00FF356C">
              <w:rPr>
                <w:rFonts w:asciiTheme="minorBidi" w:hAnsiTheme="minorBidi" w:cstheme="minorBidi"/>
                <w:sz w:val="20"/>
                <w:szCs w:val="20"/>
                <w:lang w:val="en-US"/>
              </w:rPr>
              <w:t>. A sustained and well-staffed coordination unit will need to be established to match and support the level of ambition of the Decade during the next ten years. Emerging role for IOC might also need to be considered in the context of UNCLOS and the BBNJ negotiations, which could further exacerbate this aspect.</w:t>
            </w:r>
          </w:p>
          <w:p w14:paraId="126628D6" w14:textId="77777777" w:rsidR="00FF356C" w:rsidRPr="00FF356C" w:rsidRDefault="00FF356C" w:rsidP="00817F9B">
            <w:pPr>
              <w:spacing w:after="120"/>
              <w:rPr>
                <w:rFonts w:asciiTheme="minorBidi" w:eastAsia="Arial Unicode MS" w:hAnsiTheme="minorBidi" w:cstheme="minorBidi"/>
                <w:sz w:val="20"/>
                <w:szCs w:val="20"/>
                <w:lang w:val="en-US"/>
              </w:rPr>
            </w:pPr>
            <w:r w:rsidRPr="00FF356C">
              <w:rPr>
                <w:rFonts w:asciiTheme="minorBidi" w:hAnsiTheme="minorBidi" w:cstheme="minorBidi"/>
                <w:sz w:val="20"/>
                <w:szCs w:val="20"/>
                <w:lang w:val="en-US"/>
              </w:rPr>
              <w:t>Key partnerships need to be established so that GOOS - with ocean observing at the beginning of a value chain that connects to data management, analysis and forecasting systems, and on to scientific information of relevance for policy and individual safety and decision-making - can grow to be a responsive system, with advocates ensuring its sustainability.</w:t>
            </w:r>
          </w:p>
        </w:tc>
        <w:tc>
          <w:tcPr>
            <w:tcW w:w="2352" w:type="pct"/>
            <w:tcBorders>
              <w:top w:val="single" w:sz="8" w:space="0" w:color="auto"/>
              <w:left w:val="single" w:sz="8" w:space="0" w:color="auto"/>
              <w:bottom w:val="single" w:sz="8" w:space="0" w:color="auto"/>
              <w:right w:val="single" w:sz="8" w:space="0" w:color="auto"/>
            </w:tcBorders>
          </w:tcPr>
          <w:p w14:paraId="74396784" w14:textId="77777777" w:rsidR="00FF356C" w:rsidRPr="00FF356C" w:rsidRDefault="00FF356C" w:rsidP="00817F9B">
            <w:pPr>
              <w:spacing w:after="120"/>
              <w:rPr>
                <w:rFonts w:asciiTheme="minorBidi" w:hAnsiTheme="minorBidi" w:cstheme="minorBidi"/>
                <w:sz w:val="20"/>
                <w:szCs w:val="20"/>
                <w:lang w:val="en-US"/>
              </w:rPr>
            </w:pPr>
            <w:r w:rsidRPr="00FF356C">
              <w:rPr>
                <w:rFonts w:asciiTheme="minorBidi" w:eastAsia="DengXian" w:hAnsiTheme="minorBidi" w:cstheme="minorBidi"/>
                <w:snapToGrid/>
                <w:sz w:val="20"/>
                <w:szCs w:val="20"/>
                <w:lang w:val="en-US" w:eastAsia="fr-FR"/>
              </w:rPr>
              <w:t>A fund</w:t>
            </w:r>
            <w:r w:rsidRPr="00FF356C">
              <w:rPr>
                <w:rFonts w:asciiTheme="minorBidi" w:hAnsiTheme="minorBidi" w:cstheme="minorBidi"/>
                <w:sz w:val="20"/>
                <w:szCs w:val="20"/>
                <w:lang w:val="en-US"/>
              </w:rPr>
              <w:t xml:space="preserve">raising campaign is being implemented to catalyze further extrabudgetary investments in the Decade. A Decade Alliance was launched to bring in new donors and partnership agreement signed with several leading philanthropic institutions. </w:t>
            </w:r>
          </w:p>
          <w:p w14:paraId="5945219F" w14:textId="77777777" w:rsidR="00FF356C" w:rsidRPr="00FF356C" w:rsidRDefault="00FF356C" w:rsidP="00817F9B">
            <w:pPr>
              <w:spacing w:after="120"/>
              <w:rPr>
                <w:rFonts w:asciiTheme="minorBidi" w:hAnsiTheme="minorBidi" w:cstheme="minorBidi"/>
                <w:sz w:val="20"/>
                <w:szCs w:val="20"/>
                <w:lang w:val="en-US"/>
              </w:rPr>
            </w:pPr>
            <w:r w:rsidRPr="00FF356C">
              <w:rPr>
                <w:rFonts w:asciiTheme="minorBidi" w:hAnsiTheme="minorBidi" w:cstheme="minorBidi"/>
                <w:sz w:val="20"/>
                <w:szCs w:val="20"/>
                <w:lang w:val="en-US"/>
              </w:rPr>
              <w:t xml:space="preserve">The co-sponsor role of WMO is key for the successful delivery </w:t>
            </w:r>
            <w:proofErr w:type="gramStart"/>
            <w:r w:rsidRPr="00FF356C">
              <w:rPr>
                <w:rFonts w:asciiTheme="minorBidi" w:hAnsiTheme="minorBidi" w:cstheme="minorBidi"/>
                <w:sz w:val="20"/>
                <w:szCs w:val="20"/>
                <w:lang w:val="en-US"/>
              </w:rPr>
              <w:t>in the area of</w:t>
            </w:r>
            <w:proofErr w:type="gramEnd"/>
            <w:r w:rsidRPr="00FF356C">
              <w:rPr>
                <w:rFonts w:asciiTheme="minorBidi" w:hAnsiTheme="minorBidi" w:cstheme="minorBidi"/>
                <w:sz w:val="20"/>
                <w:szCs w:val="20"/>
                <w:lang w:val="en-US"/>
              </w:rPr>
              <w:t xml:space="preserve"> climate and operational weather services, and engagement has yielded a positive result. </w:t>
            </w:r>
          </w:p>
          <w:p w14:paraId="4C27B58A" w14:textId="77777777" w:rsidR="00FF356C" w:rsidRPr="00FF356C" w:rsidRDefault="00FF356C" w:rsidP="00817F9B">
            <w:pPr>
              <w:spacing w:after="120"/>
              <w:rPr>
                <w:rFonts w:asciiTheme="minorBidi" w:hAnsiTheme="minorBidi" w:cstheme="minorBidi"/>
                <w:sz w:val="20"/>
                <w:szCs w:val="20"/>
                <w:lang w:val="en-US"/>
              </w:rPr>
            </w:pPr>
            <w:r w:rsidRPr="00FF356C">
              <w:rPr>
                <w:rFonts w:asciiTheme="minorBidi" w:hAnsiTheme="minorBidi" w:cstheme="minorBidi"/>
                <w:sz w:val="20"/>
                <w:szCs w:val="20"/>
                <w:lang w:val="en-US"/>
              </w:rPr>
              <w:t>The Ocean Decade will also be a transformative moment that GOOS intends to contribute to, with stronger delivery and fit for purpose as key objectives</w:t>
            </w:r>
          </w:p>
        </w:tc>
      </w:tr>
    </w:tbl>
    <w:p w14:paraId="18FB95D4" w14:textId="77777777" w:rsidR="00FF356C" w:rsidRPr="00FF356C" w:rsidRDefault="00FF356C" w:rsidP="00FF356C">
      <w:pPr>
        <w:ind w:right="958"/>
        <w:rPr>
          <w:rFonts w:asciiTheme="minorBidi" w:hAnsiTheme="minorBidi" w:cstheme="minorBidi"/>
          <w:b/>
          <w:bCs/>
          <w:color w:val="000000" w:themeColor="text1"/>
          <w:sz w:val="20"/>
          <w:szCs w:val="20"/>
          <w:lang w:val="en-US"/>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FF356C" w:rsidRPr="00FF356C" w14:paraId="1A55604D" w14:textId="77777777" w:rsidTr="00817F9B">
        <w:trPr>
          <w:tblHeader/>
        </w:trPr>
        <w:tc>
          <w:tcPr>
            <w:tcW w:w="0" w:type="auto"/>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14:paraId="06AF9E37" w14:textId="77777777" w:rsidR="00FF356C" w:rsidRPr="00FF356C" w:rsidRDefault="00FF356C" w:rsidP="00817F9B">
            <w:pPr>
              <w:pStyle w:val="NormalWeb"/>
              <w:jc w:val="center"/>
              <w:rPr>
                <w:rFonts w:asciiTheme="minorBidi" w:eastAsia="Arial Unicode MS" w:hAnsiTheme="minorBidi" w:cstheme="minorBidi"/>
                <w:b/>
                <w:bCs/>
                <w:sz w:val="20"/>
                <w:szCs w:val="20"/>
                <w:lang w:val="en-US"/>
              </w:rPr>
            </w:pPr>
            <w:r w:rsidRPr="00FF356C">
              <w:rPr>
                <w:rFonts w:asciiTheme="minorBidi" w:hAnsiTheme="minorBidi" w:cstheme="minorBidi"/>
                <w:b/>
                <w:bCs/>
                <w:sz w:val="20"/>
                <w:szCs w:val="20"/>
                <w:lang w:val="en-US"/>
              </w:rPr>
              <w:t>Impact of the COVID-19 pandemic on the achievement of the Expected result</w:t>
            </w:r>
          </w:p>
        </w:tc>
      </w:tr>
      <w:tr w:rsidR="00FF356C" w:rsidRPr="00FF356C" w14:paraId="622767D5" w14:textId="77777777" w:rsidTr="00817F9B">
        <w:tc>
          <w:tcPr>
            <w:tcW w:w="0" w:type="auto"/>
            <w:tcBorders>
              <w:top w:val="single" w:sz="8" w:space="0" w:color="auto"/>
              <w:left w:val="single" w:sz="8" w:space="0" w:color="auto"/>
              <w:bottom w:val="single" w:sz="8" w:space="0" w:color="auto"/>
              <w:right w:val="single" w:sz="8" w:space="0" w:color="auto"/>
            </w:tcBorders>
            <w:vAlign w:val="center"/>
          </w:tcPr>
          <w:p w14:paraId="585C25EA" w14:textId="77777777" w:rsidR="00FF356C" w:rsidRPr="00FF356C" w:rsidRDefault="00FF356C" w:rsidP="00817F9B">
            <w:pPr>
              <w:spacing w:after="120"/>
              <w:rPr>
                <w:rFonts w:asciiTheme="minorBidi" w:hAnsiTheme="minorBidi" w:cstheme="minorBidi"/>
                <w:sz w:val="20"/>
                <w:szCs w:val="20"/>
                <w:lang w:val="en-US"/>
              </w:rPr>
            </w:pPr>
            <w:r w:rsidRPr="00FF356C">
              <w:rPr>
                <w:rFonts w:asciiTheme="minorBidi" w:eastAsia="Arial Unicode MS" w:hAnsiTheme="minorBidi" w:cstheme="minorBidi"/>
                <w:sz w:val="20"/>
                <w:szCs w:val="20"/>
                <w:lang w:val="en-US"/>
              </w:rPr>
              <w:t xml:space="preserve">The impact of the COVID-19-related lockdown was of a particular concern for the Commission’s operational </w:t>
            </w:r>
            <w:proofErr w:type="spellStart"/>
            <w:r w:rsidRPr="00FF356C">
              <w:rPr>
                <w:rFonts w:asciiTheme="minorBidi" w:eastAsia="Arial Unicode MS" w:hAnsiTheme="minorBidi" w:cstheme="minorBidi"/>
                <w:sz w:val="20"/>
                <w:szCs w:val="20"/>
                <w:lang w:val="en-US"/>
              </w:rPr>
              <w:t>programmes</w:t>
            </w:r>
            <w:proofErr w:type="spellEnd"/>
            <w:r w:rsidRPr="00FF356C">
              <w:rPr>
                <w:rFonts w:asciiTheme="minorBidi" w:eastAsia="Arial Unicode MS" w:hAnsiTheme="minorBidi" w:cstheme="minorBidi"/>
                <w:sz w:val="20"/>
                <w:szCs w:val="20"/>
                <w:lang w:val="en-US"/>
              </w:rPr>
              <w:t xml:space="preserve"> – the Global Ocean Observing System and the International Oceanographic Data and Information Exchange - delivering the essential information needed in marine, climate and weather forecasts and warnings. The IOC-coordinated Global Ocean Observing System was found vulnerable to the impacts of COVID-19 in some cases, but resilient in many others – proving the value of international cooperation. Some activities, particularly linked to research vessel operations and the servicing of moorings, taking surface CO2 measurements, and the deployment of autonomous platforms like Argo floats and surface drifters, remained restricted, with the implementing community slowly adapting, finding new ways of cooperating, and operating under new restrictions. IOC conducted </w:t>
            </w:r>
            <w:proofErr w:type="gramStart"/>
            <w:r w:rsidRPr="00FF356C">
              <w:rPr>
                <w:rFonts w:asciiTheme="minorBidi" w:eastAsia="Arial Unicode MS" w:hAnsiTheme="minorBidi" w:cstheme="minorBidi"/>
                <w:sz w:val="20"/>
                <w:szCs w:val="20"/>
                <w:lang w:val="en-US"/>
              </w:rPr>
              <w:t>a number of</w:t>
            </w:r>
            <w:proofErr w:type="gramEnd"/>
            <w:r w:rsidRPr="00FF356C">
              <w:rPr>
                <w:rFonts w:asciiTheme="minorBidi" w:eastAsia="Arial Unicode MS" w:hAnsiTheme="minorBidi" w:cstheme="minorBidi"/>
                <w:sz w:val="20"/>
                <w:szCs w:val="20"/>
                <w:lang w:val="en-US"/>
              </w:rPr>
              <w:t xml:space="preserve"> surveys and will continue to work closely with its partners in the relevant communities to assess the complete impact through 2021, with reallocation of resources from cancelled activities and reduced travel. It is, however, becoming increasingly clear that data gaps will be created in the global ocean data archives due to cancelled research cruises, lack of maintenance of observing equipment during the pandemic, reduction in staff during and possibly after the pandemic and possibly reductions in operational budgets, which will be monitored through the GOSR Data Portal. The intergovernmental coordination of the Global Tsunami Warning System activities </w:t>
            </w:r>
            <w:proofErr w:type="gramStart"/>
            <w:r w:rsidRPr="00FF356C">
              <w:rPr>
                <w:rFonts w:asciiTheme="minorBidi" w:eastAsia="Arial Unicode MS" w:hAnsiTheme="minorBidi" w:cstheme="minorBidi"/>
                <w:sz w:val="20"/>
                <w:szCs w:val="20"/>
                <w:lang w:val="en-US"/>
              </w:rPr>
              <w:t>were</w:t>
            </w:r>
            <w:proofErr w:type="gramEnd"/>
            <w:r w:rsidRPr="00FF356C">
              <w:rPr>
                <w:rFonts w:asciiTheme="minorBidi" w:eastAsia="Arial Unicode MS" w:hAnsiTheme="minorBidi" w:cstheme="minorBidi"/>
                <w:sz w:val="20"/>
                <w:szCs w:val="20"/>
                <w:lang w:val="en-US"/>
              </w:rPr>
              <w:t xml:space="preserve"> limited to mostly online meetings, with governance meetings postponed to a later date in online mode, where necessary. Activities were quickly adapted to the new “working normal”, including through: (i) preparation of guidelines for tsunami warning services, evacuation and sheltering during COVID-19 and (ii) survey on the impact assessment of COVID-19 pandemic on Seismic Tide Gauge and </w:t>
            </w:r>
            <w:proofErr w:type="spellStart"/>
            <w:r w:rsidRPr="00FF356C">
              <w:rPr>
                <w:rFonts w:asciiTheme="minorBidi" w:eastAsia="Arial Unicode MS" w:hAnsiTheme="minorBidi" w:cstheme="minorBidi"/>
                <w:sz w:val="20"/>
                <w:szCs w:val="20"/>
                <w:lang w:val="en-US"/>
              </w:rPr>
              <w:t>Tsunameter</w:t>
            </w:r>
            <w:proofErr w:type="spellEnd"/>
            <w:r w:rsidRPr="00FF356C">
              <w:rPr>
                <w:rFonts w:asciiTheme="minorBidi" w:eastAsia="Arial Unicode MS" w:hAnsiTheme="minorBidi" w:cstheme="minorBidi"/>
                <w:sz w:val="20"/>
                <w:szCs w:val="20"/>
                <w:lang w:val="en-US"/>
              </w:rPr>
              <w:t xml:space="preserve"> Networks, and operations of Tsunami Service Providers. The availability of the </w:t>
            </w:r>
            <w:proofErr w:type="spellStart"/>
            <w:r w:rsidRPr="00FF356C">
              <w:rPr>
                <w:rFonts w:asciiTheme="minorBidi" w:eastAsia="Arial Unicode MS" w:hAnsiTheme="minorBidi" w:cstheme="minorBidi"/>
                <w:sz w:val="20"/>
                <w:szCs w:val="20"/>
                <w:lang w:val="en-US"/>
              </w:rPr>
              <w:t>OceanTeacher</w:t>
            </w:r>
            <w:proofErr w:type="spellEnd"/>
            <w:r w:rsidRPr="00FF356C">
              <w:rPr>
                <w:rFonts w:asciiTheme="minorBidi" w:eastAsia="Arial Unicode MS" w:hAnsiTheme="minorBidi" w:cstheme="minorBidi"/>
                <w:sz w:val="20"/>
                <w:szCs w:val="20"/>
                <w:lang w:val="en-US"/>
              </w:rPr>
              <w:t xml:space="preserve"> Global Academy e-learning platform allowed a quick re-orientation and organization of online courses as from June 2020, thus maintaining the IOC capacity development efforts at the planned level. IOC Regional Subsidiary Bodies demonstrated their adaptability by continuously advancing marine science development and cooperation among Member States in different regions. Some of the major UN meetings had to be postponed to the end of 2021 or even 2022, as is the case of the second UN Conference on the Ocean and International Ocean Data Conference 2022 - The Data We Need for the Ocean We Want. Alternative actions to sustain the engagement of stakeholders were identified, such as the Kick-off Conference for the Ocean Decade, with the support of the Government of Germany, which has been redesigned into a series of </w:t>
            </w:r>
            <w:proofErr w:type="gramStart"/>
            <w:r w:rsidRPr="00FF356C">
              <w:rPr>
                <w:rFonts w:asciiTheme="minorBidi" w:eastAsia="Arial Unicode MS" w:hAnsiTheme="minorBidi" w:cstheme="minorBidi"/>
                <w:sz w:val="20"/>
                <w:szCs w:val="20"/>
                <w:lang w:val="en-US"/>
              </w:rPr>
              <w:t>high level</w:t>
            </w:r>
            <w:proofErr w:type="gramEnd"/>
            <w:r w:rsidRPr="00FF356C">
              <w:rPr>
                <w:rFonts w:asciiTheme="minorBidi" w:eastAsia="Arial Unicode MS" w:hAnsiTheme="minorBidi" w:cstheme="minorBidi"/>
                <w:sz w:val="20"/>
                <w:szCs w:val="20"/>
                <w:lang w:val="en-US"/>
              </w:rPr>
              <w:t xml:space="preserve"> events and Decade laboratories over the course of 2021.</w:t>
            </w:r>
          </w:p>
        </w:tc>
      </w:tr>
    </w:tbl>
    <w:p w14:paraId="1CC750D0" w14:textId="77777777" w:rsidR="00FF356C" w:rsidRPr="00FF356C" w:rsidRDefault="00FF356C" w:rsidP="00FF356C">
      <w:pPr>
        <w:spacing w:after="120"/>
        <w:rPr>
          <w:rFonts w:asciiTheme="minorBidi" w:eastAsia="Arial Unicode MS" w:hAnsiTheme="minorBidi" w:cstheme="minorBidi"/>
          <w:vanish/>
          <w:sz w:val="20"/>
          <w:szCs w:val="20"/>
          <w:lang w:val="en-US"/>
        </w:rPr>
      </w:pPr>
    </w:p>
    <w:p w14:paraId="25740DC3" w14:textId="77777777" w:rsidR="00FF356C" w:rsidRPr="00FF356C" w:rsidRDefault="00FF356C" w:rsidP="00FF356C">
      <w:pPr>
        <w:pStyle w:val="Default"/>
        <w:spacing w:after="120"/>
        <w:rPr>
          <w:rFonts w:asciiTheme="minorBidi" w:hAnsiTheme="minorBidi" w:cstheme="minorBidi"/>
          <w:sz w:val="22"/>
          <w:szCs w:val="22"/>
          <w:u w:val="single"/>
          <w:lang w:val="en-US"/>
        </w:rPr>
      </w:pPr>
      <w:r w:rsidRPr="00FF356C">
        <w:rPr>
          <w:rFonts w:asciiTheme="minorBidi" w:hAnsiTheme="minorBidi" w:cstheme="minorBidi"/>
          <w:b/>
          <w:bCs/>
          <w:sz w:val="22"/>
          <w:szCs w:val="22"/>
          <w:u w:val="single"/>
          <w:lang w:val="en-US"/>
        </w:rPr>
        <w:t xml:space="preserve">Assessment of the achievement of the expected result </w:t>
      </w:r>
    </w:p>
    <w:p w14:paraId="5F7BF0C4" w14:textId="62921BE3" w:rsidR="00EF2790" w:rsidRPr="00FF356C" w:rsidRDefault="00FF356C" w:rsidP="00FF356C">
      <w:pPr>
        <w:pStyle w:val="Marge"/>
        <w:tabs>
          <w:tab w:val="clear" w:pos="567"/>
        </w:tabs>
        <w:jc w:val="left"/>
        <w:rPr>
          <w:rFonts w:asciiTheme="minorBidi" w:hAnsiTheme="minorBidi" w:cstheme="minorBidi"/>
          <w:b/>
          <w:bCs/>
          <w:sz w:val="20"/>
          <w:szCs w:val="20"/>
          <w:lang w:val="en-GB"/>
        </w:rPr>
      </w:pPr>
      <w:r w:rsidRPr="00FF356C">
        <w:rPr>
          <w:rFonts w:asciiTheme="minorBidi" w:hAnsiTheme="minorBidi" w:cstheme="minorBidi"/>
          <w:sz w:val="22"/>
          <w:szCs w:val="20"/>
          <w:lang w:val="en-US"/>
        </w:rPr>
        <w:t xml:space="preserve">The expected result has been achieved: </w:t>
      </w:r>
      <w:r w:rsidRPr="00FF356C">
        <w:rPr>
          <w:rFonts w:ascii="Arial" w:hAnsi="Arial" w:cs="Arial"/>
          <w:sz w:val="22"/>
          <w:szCs w:val="20"/>
          <w:lang w:val="en-US"/>
        </w:rPr>
        <w:t>Fully</w:t>
      </w:r>
      <w:r w:rsidRPr="00FF356C">
        <w:rPr>
          <w:sz w:val="22"/>
          <w:szCs w:val="20"/>
          <w:lang w:val="en-US"/>
        </w:rPr>
        <w:t xml:space="preserve"> </w:t>
      </w:r>
      <w:r w:rsidRPr="001F08B6">
        <w:rPr>
          <w:rFonts w:ascii="Wingdings 2" w:hAnsi="Wingdings 2" w:cs="Wingdings 2"/>
          <w:szCs w:val="22"/>
          <w:lang w:val="en-US"/>
        </w:rPr>
        <w:t></w:t>
      </w:r>
      <w:r w:rsidRPr="00FF356C">
        <w:rPr>
          <w:rFonts w:asciiTheme="minorBidi" w:hAnsiTheme="minorBidi" w:cstheme="minorBidi"/>
          <w:sz w:val="22"/>
          <w:szCs w:val="20"/>
          <w:lang w:val="en-US"/>
        </w:rPr>
        <w:t xml:space="preserve"> Partially </w:t>
      </w:r>
      <w:r w:rsidRPr="00FF356C">
        <w:rPr>
          <w:rFonts w:asciiTheme="minorBidi" w:hAnsiTheme="minorBidi" w:cstheme="minorBidi"/>
          <w:sz w:val="22"/>
          <w:szCs w:val="20"/>
          <w:lang w:val="en-US"/>
        </w:rPr>
        <w:t xml:space="preserve"> Not achieved </w:t>
      </w:r>
      <w:r w:rsidRPr="00FF356C">
        <w:rPr>
          <w:rFonts w:asciiTheme="minorBidi" w:hAnsiTheme="minorBidi" w:cstheme="minorBidi"/>
          <w:sz w:val="22"/>
          <w:szCs w:val="20"/>
          <w:lang w:val="en-US"/>
        </w:rPr>
        <w:t></w:t>
      </w:r>
    </w:p>
    <w:sectPr w:rsidR="00EF2790" w:rsidRPr="00FF356C" w:rsidSect="004B7754">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DB0F" w14:textId="77777777" w:rsidR="009F7662" w:rsidRDefault="009F7662">
      <w:r>
        <w:separator/>
      </w:r>
    </w:p>
  </w:endnote>
  <w:endnote w:type="continuationSeparator" w:id="0">
    <w:p w14:paraId="4C0AFA12" w14:textId="77777777" w:rsidR="009F7662" w:rsidRDefault="009F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8755" w14:textId="77777777" w:rsidR="00FD57C0" w:rsidRDefault="00FD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039B" w14:textId="77777777" w:rsidR="00FD57C0" w:rsidRDefault="00FD5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B924" w14:textId="77777777" w:rsidR="00FD57C0" w:rsidRDefault="00FD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5DC2" w14:textId="77777777" w:rsidR="009F7662" w:rsidRDefault="009F7662">
      <w:r>
        <w:separator/>
      </w:r>
    </w:p>
  </w:footnote>
  <w:footnote w:type="continuationSeparator" w:id="0">
    <w:p w14:paraId="6A5DA2A0" w14:textId="77777777" w:rsidR="009F7662" w:rsidRDefault="009F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FC50" w14:textId="77777777" w:rsidR="003B6FC5" w:rsidRPr="007A68F1" w:rsidRDefault="00352423">
    <w:pPr>
      <w:pStyle w:val="Header"/>
      <w:rPr>
        <w:rFonts w:ascii="Arial" w:hAnsi="Arial" w:cs="Arial"/>
        <w:bCs/>
        <w:sz w:val="22"/>
        <w:szCs w:val="22"/>
      </w:rPr>
    </w:pPr>
    <w:r>
      <w:rPr>
        <w:rFonts w:ascii="Arial" w:hAnsi="Arial"/>
        <w:bCs/>
        <w:sz w:val="22"/>
        <w:szCs w:val="22"/>
      </w:rPr>
      <w:t>IOC/EC-55/3.1.Doc</w:t>
    </w:r>
    <w:sdt>
      <w:sdtPr>
        <w:rPr>
          <w:rFonts w:ascii="Arial" w:hAnsi="Arial" w:cs="Arial"/>
          <w:bCs/>
          <w:sz w:val="22"/>
          <w:szCs w:val="22"/>
        </w:rPr>
        <w:id w:val="554519101"/>
        <w:docPartObj>
          <w:docPartGallery w:val="Page Numbers (Top of Page)"/>
          <w:docPartUnique/>
        </w:docPartObj>
      </w:sdtPr>
      <w:sdtEndPr/>
      <w:sdtContent>
        <w:r>
          <w:rPr>
            <w:rFonts w:ascii="Arial" w:hAnsi="Arial"/>
            <w:bCs/>
            <w:sz w:val="22"/>
            <w:szCs w:val="22"/>
          </w:rPr>
          <w:t xml:space="preserve">(1) – </w:t>
        </w:r>
        <w:proofErr w:type="spellStart"/>
        <w:r>
          <w:rPr>
            <w:rFonts w:ascii="Arial" w:hAnsi="Arial"/>
            <w:bCs/>
            <w:sz w:val="22"/>
            <w:szCs w:val="22"/>
          </w:rPr>
          <w:t>page</w:t>
        </w:r>
        <w:proofErr w:type="spellEnd"/>
        <w:r>
          <w:rPr>
            <w:rFonts w:ascii="Arial" w:hAnsi="Arial"/>
            <w:bCs/>
            <w:sz w:val="22"/>
            <w:szCs w:val="22"/>
          </w:rPr>
          <w:t xml:space="preserv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CC42D8">
          <w:rPr>
            <w:rFonts w:ascii="Arial" w:hAnsi="Arial" w:cs="Arial"/>
            <w:bCs/>
            <w:noProof/>
            <w:sz w:val="22"/>
            <w:szCs w:val="22"/>
          </w:rPr>
          <w:t>8</w:t>
        </w:r>
        <w:r w:rsidR="00BC135C" w:rsidRPr="00BC135C">
          <w:rPr>
            <w:rFonts w:ascii="Arial" w:hAnsi="Arial" w:cs="Arial"/>
            <w:bCs/>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84E1" w14:textId="77777777" w:rsidR="00FF54F5" w:rsidRPr="007A68F1" w:rsidRDefault="00E01FDA" w:rsidP="007A68F1">
    <w:pPr>
      <w:pStyle w:val="Header"/>
      <w:jc w:val="right"/>
      <w:rPr>
        <w:rFonts w:ascii="Arial" w:hAnsi="Arial" w:cs="Arial"/>
        <w:bCs/>
        <w:sz w:val="22"/>
        <w:szCs w:val="22"/>
      </w:rPr>
    </w:pPr>
    <w:r>
      <w:rPr>
        <w:rFonts w:ascii="Arial" w:hAnsi="Arial"/>
        <w:bCs/>
        <w:sz w:val="22"/>
        <w:szCs w:val="22"/>
      </w:rPr>
      <w:t xml:space="preserve">IOC/EC-55/3.1.Doc(1) – </w:t>
    </w:r>
    <w:proofErr w:type="spellStart"/>
    <w:r>
      <w:rPr>
        <w:rFonts w:ascii="Arial" w:hAnsi="Arial"/>
        <w:bCs/>
        <w:sz w:val="22"/>
        <w:szCs w:val="22"/>
      </w:rPr>
      <w:t>page</w:t>
    </w:r>
    <w:proofErr w:type="spellEnd"/>
    <w:r>
      <w:rPr>
        <w:rFonts w:ascii="Arial" w:hAnsi="Arial"/>
        <w:bCs/>
        <w:sz w:val="22"/>
        <w:szCs w:val="22"/>
      </w:rPr>
      <w:t xml:space="preserve"> </w:t>
    </w:r>
    <w:r w:rsidR="00A14C22" w:rsidRPr="00A14C22">
      <w:rPr>
        <w:rFonts w:ascii="Arial" w:hAnsi="Arial" w:cs="Arial"/>
        <w:bCs/>
        <w:sz w:val="22"/>
        <w:szCs w:val="22"/>
      </w:rPr>
      <w:fldChar w:fldCharType="begin"/>
    </w:r>
    <w:r w:rsidR="00A14C22" w:rsidRPr="00A14C22">
      <w:rPr>
        <w:rFonts w:ascii="Arial" w:hAnsi="Arial" w:cs="Arial"/>
        <w:bCs/>
        <w:sz w:val="22"/>
        <w:szCs w:val="22"/>
      </w:rPr>
      <w:instrText xml:space="preserve"> PAGE   \* MERGEFORMAT </w:instrText>
    </w:r>
    <w:r w:rsidR="00A14C22" w:rsidRPr="00A14C22">
      <w:rPr>
        <w:rFonts w:ascii="Arial" w:hAnsi="Arial" w:cs="Arial"/>
        <w:bCs/>
        <w:sz w:val="22"/>
        <w:szCs w:val="22"/>
      </w:rPr>
      <w:fldChar w:fldCharType="separate"/>
    </w:r>
    <w:r w:rsidR="00CC42D8">
      <w:rPr>
        <w:rFonts w:ascii="Arial" w:hAnsi="Arial" w:cs="Arial"/>
        <w:bCs/>
        <w:noProof/>
        <w:sz w:val="22"/>
        <w:szCs w:val="22"/>
      </w:rPr>
      <w:t>9</w:t>
    </w:r>
    <w:r w:rsidR="00A14C22" w:rsidRPr="00A14C22">
      <w:rPr>
        <w:rFonts w:ascii="Arial" w:hAnsi="Arial" w:cs="Arial"/>
        <w:bCs/>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0C95" w14:textId="77777777" w:rsidR="00F62C19" w:rsidRPr="00B84469" w:rsidRDefault="008B77EB" w:rsidP="00705F29">
    <w:pPr>
      <w:pStyle w:val="Marge"/>
      <w:tabs>
        <w:tab w:val="left" w:pos="5921"/>
        <w:tab w:val="left" w:pos="7088"/>
      </w:tabs>
      <w:spacing w:after="0"/>
      <w:rPr>
        <w:rFonts w:ascii="Arial" w:hAnsi="Arial" w:cs="Arial"/>
        <w:b/>
        <w:sz w:val="36"/>
        <w:szCs w:val="36"/>
      </w:rPr>
    </w:pPr>
    <w:r>
      <w:rPr>
        <w:rFonts w:ascii="Arial" w:hAnsi="Arial"/>
        <w:b/>
        <w:sz w:val="22"/>
        <w:szCs w:val="36"/>
      </w:rPr>
      <w:t>Рассылается по списку</w:t>
    </w:r>
    <w:r>
      <w:rPr>
        <w:rFonts w:ascii="Arial" w:hAnsi="Arial"/>
        <w:b/>
        <w:sz w:val="22"/>
        <w:szCs w:val="22"/>
      </w:rPr>
      <w:tab/>
    </w:r>
    <w:bookmarkStart w:id="1" w:name="_Hlk54263549"/>
    <w:r>
      <w:rPr>
        <w:rFonts w:ascii="Arial" w:hAnsi="Arial"/>
        <w:b/>
        <w:sz w:val="36"/>
        <w:szCs w:val="36"/>
      </w:rPr>
      <w:t>IOC/EC-55/3.1.Doc(1)</w:t>
    </w:r>
    <w:bookmarkEnd w:id="1"/>
  </w:p>
  <w:p w14:paraId="31237870" w14:textId="77777777" w:rsidR="00B84469" w:rsidRPr="00217236" w:rsidRDefault="008B77EB" w:rsidP="00705F29">
    <w:pPr>
      <w:pStyle w:val="Marge"/>
      <w:tabs>
        <w:tab w:val="left" w:pos="5921"/>
      </w:tabs>
      <w:spacing w:after="0"/>
      <w:rPr>
        <w:rFonts w:ascii="Arial" w:hAnsi="Arial" w:cs="Arial"/>
        <w:sz w:val="22"/>
        <w:szCs w:val="22"/>
      </w:rPr>
    </w:pPr>
    <w:r w:rsidRPr="00B84469">
      <w:rPr>
        <w:rFonts w:ascii="Arial" w:hAnsi="Arial" w:cs="Arial"/>
        <w:b/>
        <w:noProof/>
        <w:snapToGrid/>
        <w:szCs w:val="22"/>
        <w:lang w:val="fr-FR" w:eastAsia="fr-FR"/>
      </w:rPr>
      <w:drawing>
        <wp:anchor distT="0" distB="0" distL="114300" distR="114300" simplePos="0" relativeHeight="251658240" behindDoc="0" locked="0" layoutInCell="1" allowOverlap="1" wp14:anchorId="36EB0180" wp14:editId="70A55800">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Cs w:val="22"/>
      </w:rPr>
      <w:tab/>
    </w:r>
    <w:r w:rsidRPr="00217236">
      <w:rPr>
        <w:rFonts w:ascii="Arial" w:hAnsi="Arial"/>
        <w:sz w:val="22"/>
        <w:szCs w:val="22"/>
      </w:rPr>
      <w:t>Париж, 25 апреля 2022 г.</w:t>
    </w:r>
  </w:p>
  <w:p w14:paraId="38D01F07" w14:textId="77777777" w:rsidR="004B7754" w:rsidRPr="00217236" w:rsidRDefault="0079199E" w:rsidP="00705F29">
    <w:pPr>
      <w:pStyle w:val="Marge"/>
      <w:tabs>
        <w:tab w:val="left" w:pos="5921"/>
      </w:tabs>
      <w:rPr>
        <w:rFonts w:ascii="Arial" w:hAnsi="Arial" w:cs="Arial"/>
        <w:sz w:val="22"/>
        <w:szCs w:val="22"/>
      </w:rPr>
    </w:pPr>
    <w:r w:rsidRPr="00217236">
      <w:rPr>
        <w:rFonts w:ascii="Arial" w:hAnsi="Arial"/>
        <w:sz w:val="22"/>
        <w:szCs w:val="22"/>
      </w:rPr>
      <w:tab/>
    </w:r>
    <w:r w:rsidR="004B7754" w:rsidRPr="00217236">
      <w:rPr>
        <w:rFonts w:ascii="Arial" w:hAnsi="Arial"/>
        <w:sz w:val="22"/>
        <w:szCs w:val="22"/>
      </w:rPr>
      <w:t>Оригинал: английский</w:t>
    </w:r>
  </w:p>
  <w:p w14:paraId="23432E2E" w14:textId="77777777" w:rsidR="004B7754" w:rsidRPr="00B84469"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rPr>
    </w:pPr>
  </w:p>
  <w:p w14:paraId="634F5DFF" w14:textId="77777777" w:rsidR="00B17054" w:rsidRPr="00B84469"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rPr>
    </w:pPr>
  </w:p>
  <w:p w14:paraId="76D5DDD2" w14:textId="77777777" w:rsidR="00B17054" w:rsidRPr="00B84469"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rPr>
    </w:pPr>
  </w:p>
  <w:p w14:paraId="05ABA77F" w14:textId="77777777" w:rsidR="008B77EB" w:rsidRPr="00B84469"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rPr>
    </w:pPr>
  </w:p>
  <w:p w14:paraId="25455D53" w14:textId="77777777" w:rsidR="00B17054" w:rsidRPr="00B84469"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rPr>
    </w:pPr>
  </w:p>
  <w:p w14:paraId="7119F6BE" w14:textId="77777777" w:rsidR="004B7754" w:rsidRPr="00217236"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217236">
      <w:rPr>
        <w:rFonts w:ascii="Arial" w:hAnsi="Arial"/>
        <w:b/>
        <w:sz w:val="22"/>
        <w:szCs w:val="22"/>
      </w:rPr>
      <w:t>МЕЖПРАВИТЕЛЬСТВЕННАЯ ОКЕАНОГРАФИЧЕСКАЯ КОМИССИЯ</w:t>
    </w:r>
  </w:p>
  <w:p w14:paraId="0C1BBCB4" w14:textId="77777777" w:rsidR="004B7754" w:rsidRPr="00217236" w:rsidRDefault="004B7754" w:rsidP="004F11EA">
    <w:pPr>
      <w:tabs>
        <w:tab w:val="left" w:pos="-1440"/>
        <w:tab w:val="left" w:pos="-720"/>
        <w:tab w:val="left" w:pos="720"/>
        <w:tab w:val="left" w:pos="2160"/>
        <w:tab w:val="left" w:pos="3600"/>
        <w:tab w:val="left" w:pos="4320"/>
        <w:tab w:val="left" w:pos="5040"/>
        <w:tab w:val="left" w:pos="5523"/>
        <w:tab w:val="left" w:pos="6480"/>
      </w:tabs>
      <w:spacing w:after="240"/>
      <w:jc w:val="center"/>
      <w:rPr>
        <w:rFonts w:ascii="Arial" w:hAnsi="Arial" w:cs="Arial"/>
        <w:bCs/>
        <w:sz w:val="22"/>
        <w:szCs w:val="22"/>
      </w:rPr>
    </w:pPr>
    <w:r w:rsidRPr="00217236">
      <w:rPr>
        <w:rFonts w:ascii="Arial" w:hAnsi="Arial"/>
        <w:bCs/>
        <w:sz w:val="22"/>
        <w:szCs w:val="22"/>
      </w:rPr>
      <w:t>(ЮНЕСКО)</w:t>
    </w:r>
  </w:p>
  <w:p w14:paraId="1F230B9A" w14:textId="77777777" w:rsidR="004B7754" w:rsidRPr="00217236"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sidRPr="00217236">
      <w:rPr>
        <w:rFonts w:ascii="Arial" w:hAnsi="Arial"/>
        <w:b/>
        <w:sz w:val="22"/>
        <w:szCs w:val="22"/>
      </w:rPr>
      <w:t>Пятьдесят пятая сессия Исполнительного совета</w:t>
    </w:r>
  </w:p>
  <w:p w14:paraId="1E80CDFE" w14:textId="77777777" w:rsidR="004B7754" w:rsidRPr="00217236" w:rsidRDefault="004B7754" w:rsidP="007A68F1">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480"/>
      <w:jc w:val="center"/>
      <w:rPr>
        <w:rFonts w:ascii="Arial" w:hAnsi="Arial" w:cs="Arial"/>
        <w:b/>
        <w:sz w:val="22"/>
        <w:szCs w:val="22"/>
      </w:rPr>
    </w:pPr>
    <w:r w:rsidRPr="00217236">
      <w:rPr>
        <w:rFonts w:ascii="Arial" w:hAnsi="Arial"/>
        <w:bCs/>
        <w:sz w:val="22"/>
        <w:szCs w:val="22"/>
      </w:rPr>
      <w:t>ЮНЕСКО, Париж, 14-17 июня 2022 г.</w:t>
    </w:r>
  </w:p>
  <w:p w14:paraId="4E6B41D8" w14:textId="77777777" w:rsidR="00FA68D9" w:rsidRPr="00217236" w:rsidRDefault="00FA68D9" w:rsidP="004F11EA">
    <w:pPr>
      <w:keepNext/>
      <w:widowControl w:val="0"/>
      <w:tabs>
        <w:tab w:val="right" w:pos="9540"/>
      </w:tabs>
      <w:adjustRightInd w:val="0"/>
      <w:spacing w:after="360"/>
      <w:jc w:val="both"/>
      <w:textAlignment w:val="baseline"/>
      <w:outlineLvl w:val="6"/>
      <w:rPr>
        <w:rFonts w:ascii="Arial" w:eastAsia="Times New Roman" w:hAnsi="Arial" w:cs="Arial"/>
        <w:sz w:val="22"/>
        <w:szCs w:val="22"/>
      </w:rPr>
    </w:pPr>
    <w:r w:rsidRPr="00217236">
      <w:rPr>
        <w:rFonts w:ascii="Arial" w:hAnsi="Arial"/>
        <w:sz w:val="22"/>
        <w:szCs w:val="22"/>
        <w:u w:val="single"/>
      </w:rPr>
      <w:t xml:space="preserve">Пункт </w:t>
    </w:r>
    <w:r w:rsidRPr="00217236">
      <w:rPr>
        <w:rFonts w:ascii="Arial" w:hAnsi="Arial"/>
        <w:b/>
        <w:sz w:val="22"/>
        <w:szCs w:val="22"/>
        <w:u w:val="single"/>
      </w:rPr>
      <w:t>3.1</w:t>
    </w:r>
    <w:r w:rsidRPr="00217236">
      <w:rPr>
        <w:rFonts w:ascii="Arial" w:hAnsi="Arial"/>
        <w:sz w:val="22"/>
        <w:szCs w:val="22"/>
        <w:u w:val="single"/>
      </w:rPr>
      <w:t xml:space="preserve"> предварительной повестки дня</w:t>
    </w:r>
  </w:p>
  <w:p w14:paraId="03C9DAA2" w14:textId="77777777" w:rsidR="004B7754" w:rsidRPr="00CB0011" w:rsidRDefault="00FA68D9" w:rsidP="004F11EA">
    <w:pPr>
      <w:pStyle w:val="b"/>
      <w:spacing w:after="360"/>
      <w:ind w:left="567" w:firstLine="0"/>
      <w:jc w:val="center"/>
      <w:rPr>
        <w:rFonts w:ascii="Arial" w:hAnsi="Arial" w:cs="Arial"/>
      </w:rPr>
    </w:pPr>
    <w:r w:rsidRPr="00217236">
      <w:rPr>
        <w:rFonts w:ascii="Arial" w:hAnsi="Arial"/>
        <w:b/>
        <w:sz w:val="28"/>
        <w:szCs w:val="28"/>
      </w:rPr>
      <w:t xml:space="preserve">Доклад Исполнительного секретаря о работе, </w:t>
    </w:r>
    <w:r w:rsidR="004F11EA">
      <w:rPr>
        <w:rFonts w:ascii="Arial" w:hAnsi="Arial"/>
        <w:b/>
        <w:sz w:val="28"/>
        <w:szCs w:val="28"/>
      </w:rPr>
      <w:br/>
    </w:r>
    <w:r w:rsidRPr="00217236">
      <w:rPr>
        <w:rFonts w:ascii="Arial" w:hAnsi="Arial"/>
        <w:b/>
        <w:sz w:val="28"/>
        <w:szCs w:val="28"/>
      </w:rPr>
      <w:t xml:space="preserve">проделанной после тридцать первой сессии Ассамблеи </w:t>
    </w:r>
    <w:r w:rsidR="004F11EA">
      <w:rPr>
        <w:rFonts w:ascii="Arial" w:hAnsi="Arial"/>
        <w:b/>
        <w:sz w:val="28"/>
        <w:szCs w:val="28"/>
      </w:rPr>
      <w:br/>
    </w:r>
    <w:r w:rsidRPr="00217236">
      <w:rPr>
        <w:rFonts w:ascii="Arial" w:hAnsi="Arial"/>
        <w:b/>
        <w:sz w:val="28"/>
        <w:szCs w:val="28"/>
      </w:rPr>
      <w:t xml:space="preserve">(июль 2021 г. – июнь 2022 г.)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433BA"/>
    <w:multiLevelType w:val="hybridMultilevel"/>
    <w:tmpl w:val="4EF22F36"/>
    <w:lvl w:ilvl="0" w:tplc="85AC960A">
      <w:start w:val="1"/>
      <w:numFmt w:val="decimal"/>
      <w:lvlText w:val="%1."/>
      <w:lvlJc w:val="left"/>
      <w:pPr>
        <w:ind w:left="1353" w:hanging="360"/>
      </w:pPr>
      <w:rPr>
        <w:b w:val="0"/>
        <w:bCs w:val="0"/>
        <w:i w:val="0"/>
        <w:i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231356AB"/>
    <w:multiLevelType w:val="hybridMultilevel"/>
    <w:tmpl w:val="59F0AC02"/>
    <w:lvl w:ilvl="0" w:tplc="82382A46">
      <w:start w:val="126"/>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CD778A5"/>
    <w:multiLevelType w:val="hybridMultilevel"/>
    <w:tmpl w:val="6C6262A2"/>
    <w:lvl w:ilvl="0" w:tplc="6D245EC2">
      <w:start w:val="108"/>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500CF6"/>
    <w:multiLevelType w:val="hybridMultilevel"/>
    <w:tmpl w:val="B9241180"/>
    <w:lvl w:ilvl="0" w:tplc="C7882F80">
      <w:start w:val="16"/>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4859B8"/>
    <w:multiLevelType w:val="hybridMultilevel"/>
    <w:tmpl w:val="3DAC6AC2"/>
    <w:lvl w:ilvl="0" w:tplc="BCCC675E">
      <w:start w:val="310"/>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15"/>
  </w:num>
  <w:num w:numId="12">
    <w:abstractNumId w:val="7"/>
  </w:num>
  <w:num w:numId="13">
    <w:abstractNumId w:val="5"/>
  </w:num>
  <w:num w:numId="14">
    <w:abstractNumId w:val="8"/>
  </w:num>
  <w:num w:numId="15">
    <w:abstractNumId w:val="2"/>
  </w:num>
  <w:num w:numId="16">
    <w:abstractNumId w:val="9"/>
  </w:num>
  <w:num w:numId="17">
    <w:abstractNumId w:val="6"/>
  </w:num>
  <w:num w:numId="18">
    <w:abstractNumId w:val="1"/>
  </w:num>
  <w:num w:numId="19">
    <w:abstractNumId w:val="10"/>
  </w:num>
  <w:num w:numId="20">
    <w:abstractNumId w:val="13"/>
  </w:num>
  <w:num w:numId="21">
    <w:abstractNumId w:val="0"/>
  </w:num>
  <w:num w:numId="22">
    <w:abstractNumId w:val="3"/>
  </w:num>
  <w:num w:numId="23">
    <w:abstractNumId w:val="12"/>
  </w:num>
  <w:num w:numId="24">
    <w:abstractNumId w:val="11"/>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ru-RU" w:vendorID="64" w:dllVersion="0" w:nlCheck="1" w:checkStyle="0"/>
  <w:activeWritingStyle w:appName="MSWord" w:lang="ru-RU"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1426"/>
    <w:rsid w:val="00025A88"/>
    <w:rsid w:val="00026782"/>
    <w:rsid w:val="00027122"/>
    <w:rsid w:val="000319A1"/>
    <w:rsid w:val="00032C8E"/>
    <w:rsid w:val="00033544"/>
    <w:rsid w:val="00034C53"/>
    <w:rsid w:val="00034C70"/>
    <w:rsid w:val="000431C5"/>
    <w:rsid w:val="000445B8"/>
    <w:rsid w:val="0004582F"/>
    <w:rsid w:val="00060399"/>
    <w:rsid w:val="00060718"/>
    <w:rsid w:val="0006116C"/>
    <w:rsid w:val="000658F2"/>
    <w:rsid w:val="00065DEB"/>
    <w:rsid w:val="0006619A"/>
    <w:rsid w:val="0006675E"/>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3517"/>
    <w:rsid w:val="00097CDF"/>
    <w:rsid w:val="000A6D08"/>
    <w:rsid w:val="000B1B44"/>
    <w:rsid w:val="000B40F3"/>
    <w:rsid w:val="000C3BB5"/>
    <w:rsid w:val="000D2DFF"/>
    <w:rsid w:val="000D6EB3"/>
    <w:rsid w:val="000D719C"/>
    <w:rsid w:val="000E0533"/>
    <w:rsid w:val="000E05C8"/>
    <w:rsid w:val="000E188E"/>
    <w:rsid w:val="000E55FB"/>
    <w:rsid w:val="000E7E22"/>
    <w:rsid w:val="000F27B0"/>
    <w:rsid w:val="000F4768"/>
    <w:rsid w:val="000F4DDB"/>
    <w:rsid w:val="000F7203"/>
    <w:rsid w:val="000F78B3"/>
    <w:rsid w:val="001002FF"/>
    <w:rsid w:val="001026BE"/>
    <w:rsid w:val="00104894"/>
    <w:rsid w:val="00104EE2"/>
    <w:rsid w:val="001056F8"/>
    <w:rsid w:val="00105E15"/>
    <w:rsid w:val="00105EA4"/>
    <w:rsid w:val="00110568"/>
    <w:rsid w:val="00110D3A"/>
    <w:rsid w:val="00113090"/>
    <w:rsid w:val="00113F97"/>
    <w:rsid w:val="0012374E"/>
    <w:rsid w:val="00123F7E"/>
    <w:rsid w:val="00131529"/>
    <w:rsid w:val="0013238B"/>
    <w:rsid w:val="00134711"/>
    <w:rsid w:val="0013649D"/>
    <w:rsid w:val="00143B1A"/>
    <w:rsid w:val="001444BC"/>
    <w:rsid w:val="0014529C"/>
    <w:rsid w:val="0015046B"/>
    <w:rsid w:val="001524A3"/>
    <w:rsid w:val="0015561D"/>
    <w:rsid w:val="001579AB"/>
    <w:rsid w:val="0016028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C18CF"/>
    <w:rsid w:val="001C20FE"/>
    <w:rsid w:val="001C4F30"/>
    <w:rsid w:val="001C6221"/>
    <w:rsid w:val="001C6842"/>
    <w:rsid w:val="001C6D83"/>
    <w:rsid w:val="001D11E8"/>
    <w:rsid w:val="001D69B3"/>
    <w:rsid w:val="001E441E"/>
    <w:rsid w:val="001E5FF2"/>
    <w:rsid w:val="001E6958"/>
    <w:rsid w:val="001F65B3"/>
    <w:rsid w:val="001F65D5"/>
    <w:rsid w:val="001F6CF5"/>
    <w:rsid w:val="001F7EF6"/>
    <w:rsid w:val="00200519"/>
    <w:rsid w:val="0020169B"/>
    <w:rsid w:val="00203E48"/>
    <w:rsid w:val="0020573A"/>
    <w:rsid w:val="00207581"/>
    <w:rsid w:val="00215B28"/>
    <w:rsid w:val="00216228"/>
    <w:rsid w:val="00217236"/>
    <w:rsid w:val="00225B52"/>
    <w:rsid w:val="00231994"/>
    <w:rsid w:val="00232596"/>
    <w:rsid w:val="00232FAE"/>
    <w:rsid w:val="0023308D"/>
    <w:rsid w:val="00237FCC"/>
    <w:rsid w:val="00243536"/>
    <w:rsid w:val="0025576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623"/>
    <w:rsid w:val="002A364B"/>
    <w:rsid w:val="002A3D8C"/>
    <w:rsid w:val="002B0438"/>
    <w:rsid w:val="002B0B65"/>
    <w:rsid w:val="002B2FB7"/>
    <w:rsid w:val="002B58F5"/>
    <w:rsid w:val="002C6A49"/>
    <w:rsid w:val="002D2062"/>
    <w:rsid w:val="002D41F6"/>
    <w:rsid w:val="002D4B35"/>
    <w:rsid w:val="002E0A07"/>
    <w:rsid w:val="002E3B10"/>
    <w:rsid w:val="002E524A"/>
    <w:rsid w:val="002E558B"/>
    <w:rsid w:val="002E5A7D"/>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0F32"/>
    <w:rsid w:val="00366C04"/>
    <w:rsid w:val="003774D6"/>
    <w:rsid w:val="00382463"/>
    <w:rsid w:val="00393704"/>
    <w:rsid w:val="0039512E"/>
    <w:rsid w:val="00395A11"/>
    <w:rsid w:val="00396C9C"/>
    <w:rsid w:val="003B2CC9"/>
    <w:rsid w:val="003B3349"/>
    <w:rsid w:val="003B390E"/>
    <w:rsid w:val="003B64CB"/>
    <w:rsid w:val="003B6DA1"/>
    <w:rsid w:val="003B6ECA"/>
    <w:rsid w:val="003B6FC5"/>
    <w:rsid w:val="003C15F6"/>
    <w:rsid w:val="003C240D"/>
    <w:rsid w:val="003C309A"/>
    <w:rsid w:val="003C4A99"/>
    <w:rsid w:val="003D31F1"/>
    <w:rsid w:val="003D4548"/>
    <w:rsid w:val="003E26AB"/>
    <w:rsid w:val="003E331B"/>
    <w:rsid w:val="003E5A89"/>
    <w:rsid w:val="003E7B79"/>
    <w:rsid w:val="003F5299"/>
    <w:rsid w:val="003F74E5"/>
    <w:rsid w:val="004032DB"/>
    <w:rsid w:val="00403EB2"/>
    <w:rsid w:val="004047AA"/>
    <w:rsid w:val="00404945"/>
    <w:rsid w:val="00405201"/>
    <w:rsid w:val="004119A8"/>
    <w:rsid w:val="00417106"/>
    <w:rsid w:val="00425E51"/>
    <w:rsid w:val="0042612F"/>
    <w:rsid w:val="00431123"/>
    <w:rsid w:val="00437DB1"/>
    <w:rsid w:val="00441F29"/>
    <w:rsid w:val="00441FE3"/>
    <w:rsid w:val="00450AA6"/>
    <w:rsid w:val="00452512"/>
    <w:rsid w:val="00452CFD"/>
    <w:rsid w:val="00453CE0"/>
    <w:rsid w:val="00463AB2"/>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A202F"/>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11EA"/>
    <w:rsid w:val="004F4AC5"/>
    <w:rsid w:val="004F5686"/>
    <w:rsid w:val="005066B5"/>
    <w:rsid w:val="00514AC0"/>
    <w:rsid w:val="00515020"/>
    <w:rsid w:val="00523B29"/>
    <w:rsid w:val="00523DF2"/>
    <w:rsid w:val="00524D94"/>
    <w:rsid w:val="00530113"/>
    <w:rsid w:val="00534733"/>
    <w:rsid w:val="0053720B"/>
    <w:rsid w:val="005462A1"/>
    <w:rsid w:val="00554688"/>
    <w:rsid w:val="00555D7F"/>
    <w:rsid w:val="00556410"/>
    <w:rsid w:val="005616DE"/>
    <w:rsid w:val="00561F53"/>
    <w:rsid w:val="00561F97"/>
    <w:rsid w:val="00562F4C"/>
    <w:rsid w:val="0056655B"/>
    <w:rsid w:val="00570881"/>
    <w:rsid w:val="00572116"/>
    <w:rsid w:val="00574F2F"/>
    <w:rsid w:val="0057500A"/>
    <w:rsid w:val="00575B63"/>
    <w:rsid w:val="00576EF7"/>
    <w:rsid w:val="005829FE"/>
    <w:rsid w:val="0058628A"/>
    <w:rsid w:val="00587822"/>
    <w:rsid w:val="005878F6"/>
    <w:rsid w:val="00593EC9"/>
    <w:rsid w:val="00596959"/>
    <w:rsid w:val="005A1B75"/>
    <w:rsid w:val="005A7E87"/>
    <w:rsid w:val="005B0510"/>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2B83"/>
    <w:rsid w:val="005F39DB"/>
    <w:rsid w:val="005F55BE"/>
    <w:rsid w:val="00600999"/>
    <w:rsid w:val="00602C02"/>
    <w:rsid w:val="0060360F"/>
    <w:rsid w:val="006122F2"/>
    <w:rsid w:val="00612A3E"/>
    <w:rsid w:val="00613F3F"/>
    <w:rsid w:val="006140DB"/>
    <w:rsid w:val="00615D71"/>
    <w:rsid w:val="00615F33"/>
    <w:rsid w:val="00625EE0"/>
    <w:rsid w:val="00625FE6"/>
    <w:rsid w:val="006327B2"/>
    <w:rsid w:val="006331C8"/>
    <w:rsid w:val="00637621"/>
    <w:rsid w:val="006408BF"/>
    <w:rsid w:val="00645699"/>
    <w:rsid w:val="00646F26"/>
    <w:rsid w:val="006502B2"/>
    <w:rsid w:val="00650A87"/>
    <w:rsid w:val="00654AA1"/>
    <w:rsid w:val="00657AC1"/>
    <w:rsid w:val="00657EB5"/>
    <w:rsid w:val="00664087"/>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48C7"/>
    <w:rsid w:val="006C6875"/>
    <w:rsid w:val="006C6EB1"/>
    <w:rsid w:val="006C7AE8"/>
    <w:rsid w:val="006E0BCF"/>
    <w:rsid w:val="006E33FC"/>
    <w:rsid w:val="006E3403"/>
    <w:rsid w:val="006E3CA0"/>
    <w:rsid w:val="006E5A90"/>
    <w:rsid w:val="006F53F4"/>
    <w:rsid w:val="006F6B09"/>
    <w:rsid w:val="0070039C"/>
    <w:rsid w:val="00702EB4"/>
    <w:rsid w:val="007033D9"/>
    <w:rsid w:val="00704AD8"/>
    <w:rsid w:val="00705DFD"/>
    <w:rsid w:val="00705F29"/>
    <w:rsid w:val="007069A8"/>
    <w:rsid w:val="00713AE4"/>
    <w:rsid w:val="007156EF"/>
    <w:rsid w:val="007169AF"/>
    <w:rsid w:val="007206CD"/>
    <w:rsid w:val="00722602"/>
    <w:rsid w:val="00727C74"/>
    <w:rsid w:val="00727EEF"/>
    <w:rsid w:val="00731536"/>
    <w:rsid w:val="00732AF2"/>
    <w:rsid w:val="00732DDC"/>
    <w:rsid w:val="007331F8"/>
    <w:rsid w:val="00735534"/>
    <w:rsid w:val="00735E52"/>
    <w:rsid w:val="007443CA"/>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20B"/>
    <w:rsid w:val="00790644"/>
    <w:rsid w:val="0079161F"/>
    <w:rsid w:val="0079199E"/>
    <w:rsid w:val="0079265E"/>
    <w:rsid w:val="00795D13"/>
    <w:rsid w:val="007A0D56"/>
    <w:rsid w:val="007A264F"/>
    <w:rsid w:val="007A2976"/>
    <w:rsid w:val="007A4866"/>
    <w:rsid w:val="007A68F1"/>
    <w:rsid w:val="007B032D"/>
    <w:rsid w:val="007B267F"/>
    <w:rsid w:val="007B4E4D"/>
    <w:rsid w:val="007B5C46"/>
    <w:rsid w:val="007B70CA"/>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E331D"/>
    <w:rsid w:val="007E3BE2"/>
    <w:rsid w:val="007E6267"/>
    <w:rsid w:val="007E6585"/>
    <w:rsid w:val="007F05DF"/>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48ED"/>
    <w:rsid w:val="00835997"/>
    <w:rsid w:val="00835F4D"/>
    <w:rsid w:val="008426CA"/>
    <w:rsid w:val="00843E81"/>
    <w:rsid w:val="00845462"/>
    <w:rsid w:val="00851937"/>
    <w:rsid w:val="00856ABB"/>
    <w:rsid w:val="008608E0"/>
    <w:rsid w:val="0086422A"/>
    <w:rsid w:val="00864ABF"/>
    <w:rsid w:val="00866274"/>
    <w:rsid w:val="00866366"/>
    <w:rsid w:val="00867B04"/>
    <w:rsid w:val="0087160D"/>
    <w:rsid w:val="00873972"/>
    <w:rsid w:val="00873AFD"/>
    <w:rsid w:val="00873C36"/>
    <w:rsid w:val="0087409D"/>
    <w:rsid w:val="00876067"/>
    <w:rsid w:val="008840C0"/>
    <w:rsid w:val="00884332"/>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2B7"/>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05FF"/>
    <w:rsid w:val="00922194"/>
    <w:rsid w:val="00923FC3"/>
    <w:rsid w:val="009263CA"/>
    <w:rsid w:val="00926737"/>
    <w:rsid w:val="009278CB"/>
    <w:rsid w:val="0093392C"/>
    <w:rsid w:val="00935F8E"/>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8096C"/>
    <w:rsid w:val="00980AA0"/>
    <w:rsid w:val="00981A92"/>
    <w:rsid w:val="009827C6"/>
    <w:rsid w:val="009832EB"/>
    <w:rsid w:val="00985E78"/>
    <w:rsid w:val="0098794B"/>
    <w:rsid w:val="009905D6"/>
    <w:rsid w:val="009911AA"/>
    <w:rsid w:val="0099674A"/>
    <w:rsid w:val="009A03DB"/>
    <w:rsid w:val="009A1DDC"/>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7662"/>
    <w:rsid w:val="00A02887"/>
    <w:rsid w:val="00A02E57"/>
    <w:rsid w:val="00A03BA7"/>
    <w:rsid w:val="00A057C4"/>
    <w:rsid w:val="00A05A4D"/>
    <w:rsid w:val="00A05AB4"/>
    <w:rsid w:val="00A070D7"/>
    <w:rsid w:val="00A12E09"/>
    <w:rsid w:val="00A14C22"/>
    <w:rsid w:val="00A220B7"/>
    <w:rsid w:val="00A25EB2"/>
    <w:rsid w:val="00A265E3"/>
    <w:rsid w:val="00A30AC2"/>
    <w:rsid w:val="00A403AD"/>
    <w:rsid w:val="00A40E60"/>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2FC9"/>
    <w:rsid w:val="00AD64A4"/>
    <w:rsid w:val="00AD6B3B"/>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70D61"/>
    <w:rsid w:val="00B75F3E"/>
    <w:rsid w:val="00B777B1"/>
    <w:rsid w:val="00B80201"/>
    <w:rsid w:val="00B820A7"/>
    <w:rsid w:val="00B84469"/>
    <w:rsid w:val="00B84521"/>
    <w:rsid w:val="00B848E4"/>
    <w:rsid w:val="00B87A2E"/>
    <w:rsid w:val="00B905CA"/>
    <w:rsid w:val="00B91EC7"/>
    <w:rsid w:val="00B961F7"/>
    <w:rsid w:val="00BA0180"/>
    <w:rsid w:val="00BA1457"/>
    <w:rsid w:val="00BA3009"/>
    <w:rsid w:val="00BA6559"/>
    <w:rsid w:val="00BB080A"/>
    <w:rsid w:val="00BB37B9"/>
    <w:rsid w:val="00BB3C67"/>
    <w:rsid w:val="00BB3D08"/>
    <w:rsid w:val="00BB66E8"/>
    <w:rsid w:val="00BB7EC3"/>
    <w:rsid w:val="00BC07E0"/>
    <w:rsid w:val="00BC135C"/>
    <w:rsid w:val="00BC5A68"/>
    <w:rsid w:val="00BC7AE6"/>
    <w:rsid w:val="00BE1951"/>
    <w:rsid w:val="00BE2960"/>
    <w:rsid w:val="00BE4A26"/>
    <w:rsid w:val="00BE76AB"/>
    <w:rsid w:val="00C01CF5"/>
    <w:rsid w:val="00C021AC"/>
    <w:rsid w:val="00C0560F"/>
    <w:rsid w:val="00C073F3"/>
    <w:rsid w:val="00C161F8"/>
    <w:rsid w:val="00C16A4A"/>
    <w:rsid w:val="00C200DD"/>
    <w:rsid w:val="00C23624"/>
    <w:rsid w:val="00C26F58"/>
    <w:rsid w:val="00C30177"/>
    <w:rsid w:val="00C34EE6"/>
    <w:rsid w:val="00C373AB"/>
    <w:rsid w:val="00C37980"/>
    <w:rsid w:val="00C40B1F"/>
    <w:rsid w:val="00C4149E"/>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A49"/>
    <w:rsid w:val="00C74028"/>
    <w:rsid w:val="00C742E6"/>
    <w:rsid w:val="00C7577A"/>
    <w:rsid w:val="00C75E37"/>
    <w:rsid w:val="00C818D1"/>
    <w:rsid w:val="00C81A70"/>
    <w:rsid w:val="00C849C1"/>
    <w:rsid w:val="00C90C4E"/>
    <w:rsid w:val="00C96485"/>
    <w:rsid w:val="00C96BBC"/>
    <w:rsid w:val="00CA03C6"/>
    <w:rsid w:val="00CA2306"/>
    <w:rsid w:val="00CA2BE4"/>
    <w:rsid w:val="00CA3640"/>
    <w:rsid w:val="00CA5EBC"/>
    <w:rsid w:val="00CA69F1"/>
    <w:rsid w:val="00CA7799"/>
    <w:rsid w:val="00CB0011"/>
    <w:rsid w:val="00CB0FC2"/>
    <w:rsid w:val="00CB1845"/>
    <w:rsid w:val="00CB2350"/>
    <w:rsid w:val="00CB30FB"/>
    <w:rsid w:val="00CB5F9B"/>
    <w:rsid w:val="00CB6E5F"/>
    <w:rsid w:val="00CB74DA"/>
    <w:rsid w:val="00CC42D8"/>
    <w:rsid w:val="00CC7C0D"/>
    <w:rsid w:val="00CD31B6"/>
    <w:rsid w:val="00CD50AB"/>
    <w:rsid w:val="00CD7729"/>
    <w:rsid w:val="00CE11E4"/>
    <w:rsid w:val="00CE43C1"/>
    <w:rsid w:val="00CE4E66"/>
    <w:rsid w:val="00CF2D0C"/>
    <w:rsid w:val="00D02605"/>
    <w:rsid w:val="00D110FE"/>
    <w:rsid w:val="00D12711"/>
    <w:rsid w:val="00D1662F"/>
    <w:rsid w:val="00D204B7"/>
    <w:rsid w:val="00D2050E"/>
    <w:rsid w:val="00D330AB"/>
    <w:rsid w:val="00D36C3E"/>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6D5E"/>
    <w:rsid w:val="00D90453"/>
    <w:rsid w:val="00D922B1"/>
    <w:rsid w:val="00D923CC"/>
    <w:rsid w:val="00DA5F08"/>
    <w:rsid w:val="00DB22A5"/>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2AFB"/>
    <w:rsid w:val="00E83E68"/>
    <w:rsid w:val="00E84A3B"/>
    <w:rsid w:val="00E903F8"/>
    <w:rsid w:val="00E913BA"/>
    <w:rsid w:val="00E94F30"/>
    <w:rsid w:val="00E95B86"/>
    <w:rsid w:val="00E95F76"/>
    <w:rsid w:val="00E97813"/>
    <w:rsid w:val="00EA4749"/>
    <w:rsid w:val="00EA7FE0"/>
    <w:rsid w:val="00EB362B"/>
    <w:rsid w:val="00EB56CD"/>
    <w:rsid w:val="00EC22AC"/>
    <w:rsid w:val="00EC2B26"/>
    <w:rsid w:val="00EC5BB8"/>
    <w:rsid w:val="00EC5F29"/>
    <w:rsid w:val="00ED1508"/>
    <w:rsid w:val="00ED324B"/>
    <w:rsid w:val="00ED39AD"/>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90174"/>
    <w:rsid w:val="00F9085A"/>
    <w:rsid w:val="00F91FD6"/>
    <w:rsid w:val="00F92D39"/>
    <w:rsid w:val="00F92EBD"/>
    <w:rsid w:val="00F94A51"/>
    <w:rsid w:val="00F95414"/>
    <w:rsid w:val="00FA1BE4"/>
    <w:rsid w:val="00FA5456"/>
    <w:rsid w:val="00FA5B2A"/>
    <w:rsid w:val="00FA68D9"/>
    <w:rsid w:val="00FA6FB3"/>
    <w:rsid w:val="00FB44DD"/>
    <w:rsid w:val="00FB4EDC"/>
    <w:rsid w:val="00FC2702"/>
    <w:rsid w:val="00FC2BEC"/>
    <w:rsid w:val="00FC58B3"/>
    <w:rsid w:val="00FC65BB"/>
    <w:rsid w:val="00FD08CC"/>
    <w:rsid w:val="00FD12DC"/>
    <w:rsid w:val="00FD57C0"/>
    <w:rsid w:val="00FD65AE"/>
    <w:rsid w:val="00FE0520"/>
    <w:rsid w:val="00FE14B4"/>
    <w:rsid w:val="00FE33E1"/>
    <w:rsid w:val="00FE6ADA"/>
    <w:rsid w:val="00FF2C58"/>
    <w:rsid w:val="00FF356C"/>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5B8A6"/>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uiPriority w:val="99"/>
    <w:qFormat/>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ru-RU"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ru-RU"/>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ru-RU"/>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ru-RU"/>
    </w:rPr>
  </w:style>
  <w:style w:type="paragraph" w:customStyle="1" w:styleId="Default">
    <w:name w:val="Default"/>
    <w:rsid w:val="00D76E20"/>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Colorful List - Accent 11,列出段落1"/>
    <w:basedOn w:val="Normal"/>
    <w:link w:val="ListParagraphChar"/>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locked/>
    <w:rsid w:val="00873972"/>
    <w:rPr>
      <w:snapToGrid w:val="0"/>
      <w:sz w:val="24"/>
      <w:szCs w:val="24"/>
    </w:rPr>
  </w:style>
  <w:style w:type="character" w:customStyle="1" w:styleId="MargeChar">
    <w:name w:val="Marge Char"/>
    <w:link w:val="Marge"/>
    <w:uiPriority w:val="99"/>
    <w:rsid w:val="00873972"/>
    <w:rPr>
      <w:rFonts w:eastAsia="Times New Roman"/>
      <w:snapToGrid w:val="0"/>
      <w:sz w:val="24"/>
      <w:szCs w:val="24"/>
      <w:lang w:eastAsia="en-US"/>
    </w:rPr>
  </w:style>
  <w:style w:type="character" w:styleId="PageNumber">
    <w:name w:val="page number"/>
    <w:basedOn w:val="DefaultParagraphFont"/>
    <w:rsid w:val="00FF356C"/>
  </w:style>
  <w:style w:type="paragraph" w:styleId="NormalWeb">
    <w:name w:val="Normal (Web)"/>
    <w:basedOn w:val="Normal"/>
    <w:uiPriority w:val="99"/>
    <w:unhideWhenUsed/>
    <w:rsid w:val="00FF356C"/>
    <w:pPr>
      <w:tabs>
        <w:tab w:val="clear" w:pos="567"/>
      </w:tabs>
      <w:snapToGrid/>
    </w:pPr>
    <w:rPr>
      <w:rFonts w:eastAsiaTheme="minorHAnsi"/>
      <w:snapToGrid/>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news/new-wave-elephant-seals-becomes-animal-oceanographers" TargetMode="External"/><Relationship Id="rId13" Type="http://schemas.openxmlformats.org/officeDocument/2006/relationships/hyperlink" Target="https://unesdoc.unesco.org/ark:/48223/pf0000378557_r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ceanexpert.org/document/28078" TargetMode="External"/><Relationship Id="rId12" Type="http://schemas.openxmlformats.org/officeDocument/2006/relationships/hyperlink" Target="https://unesdoc.unesco.org/ark:/48223/pf0000378557_r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9196.locale=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lic.wmo.int/en/our-mandate/what-we-do/observations/Unified-WMO-Data-Policy-Resolu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nesdoc.unesco.org/ark:/48223/pf0000379949.locale=en" TargetMode="External"/><Relationship Id="rId14" Type="http://schemas.openxmlformats.org/officeDocument/2006/relationships/hyperlink" Target="https://unesdoc.unesco.org/ark:/48223/pf0000375147/PDF/375147eng.pdf.mult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10159</Words>
  <Characters>67777</Characters>
  <Application>Microsoft Office Word</Application>
  <DocSecurity>0</DocSecurity>
  <Lines>564</Lines>
  <Paragraphs>155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Доклад Исполнительного секретаря о работе, проделанной после тридцать первой сессии Ассамблеи (июль 2021 г. – июнь 2022 г.)</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77781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Исполнительного секретаря о работе, проделанной после тридцать первой сессии Ассамблеи (июль 2021 г. – июнь 2022 г.)</dc:title>
  <dc:subject>IOC/EC-55/3.1.Doc (1)</dc:subject>
  <dc:creator>UNESCO</dc:creator>
  <cp:keywords>1210.14E</cp:keywords>
  <dc:description/>
  <cp:lastModifiedBy>Boned, Patrice</cp:lastModifiedBy>
  <cp:revision>7</cp:revision>
  <cp:lastPrinted>2020-03-09T11:40:00Z</cp:lastPrinted>
  <dcterms:created xsi:type="dcterms:W3CDTF">2022-05-03T21:55:00Z</dcterms:created>
  <dcterms:modified xsi:type="dcterms:W3CDTF">2022-05-03T22:44:00Z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JobDCPMS">
    <vt:lpwstr>2201330</vt:lpwstr>
  </property>
</Properties>
</file>