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7938" w:type="dxa"/>
        <w:jc w:val="center"/>
        <w:tblLayout w:type="fixed"/>
        <w:tblLook w:val="04A0" w:firstRow="1" w:lastRow="0" w:firstColumn="1" w:lastColumn="0" w:noHBand="0" w:noVBand="1"/>
      </w:tblPr>
      <w:tblGrid>
        <w:gridCol w:w="7938"/>
      </w:tblGrid>
      <w:tr w:rsidR="006A5AED" w14:paraId="1A4612E9" w14:textId="77777777" w:rsidTr="00733BDE">
        <w:trPr>
          <w:trHeight w:val="5617"/>
          <w:jc w:val="center"/>
        </w:trPr>
        <w:tc>
          <w:tcPr>
            <w:tcW w:w="7938" w:type="dxa"/>
          </w:tcPr>
          <w:p w14:paraId="1B888B8D" w14:textId="77777777" w:rsidR="006A5AED" w:rsidRPr="001B5075" w:rsidRDefault="006A5AED" w:rsidP="00206BC1">
            <w:pPr>
              <w:tabs>
                <w:tab w:val="clear" w:pos="567"/>
              </w:tabs>
              <w:snapToGrid/>
              <w:spacing w:before="120" w:after="240"/>
              <w:jc w:val="center"/>
              <w:rPr>
                <w:rFonts w:cs="Arial"/>
                <w:bCs/>
                <w:szCs w:val="22"/>
                <w:u w:val="single"/>
              </w:rPr>
            </w:pPr>
            <w:r>
              <w:rPr>
                <w:u w:val="single"/>
              </w:rPr>
              <w:t>Résumé</w:t>
            </w:r>
          </w:p>
          <w:p w14:paraId="06570339" w14:textId="1976F9F3" w:rsidR="00182E13" w:rsidRPr="00AC3EB4" w:rsidRDefault="00182E13" w:rsidP="00182E13">
            <w:pPr>
              <w:tabs>
                <w:tab w:val="clear" w:pos="567"/>
              </w:tabs>
              <w:snapToGrid/>
              <w:spacing w:after="240"/>
              <w:ind w:left="283" w:right="283"/>
              <w:jc w:val="both"/>
              <w:rPr>
                <w:rFonts w:cs="Arial"/>
                <w:szCs w:val="22"/>
              </w:rPr>
            </w:pPr>
            <w:r w:rsidRPr="00182E13">
              <w:rPr>
                <w:rFonts w:cs="Arial"/>
                <w:szCs w:val="22"/>
              </w:rPr>
              <w:t>Le présent document fournit des informations sur les principaux résultats de la mise en œuvre de la Décennie de l</w:t>
            </w:r>
            <w:r w:rsidR="009B1FBB">
              <w:rPr>
                <w:rFonts w:cs="Arial"/>
                <w:szCs w:val="22"/>
              </w:rPr>
              <w:t>’</w:t>
            </w:r>
            <w:r w:rsidRPr="00182E13">
              <w:rPr>
                <w:rFonts w:cs="Arial"/>
                <w:szCs w:val="22"/>
              </w:rPr>
              <w:t xml:space="preserve">Océan </w:t>
            </w:r>
            <w:r w:rsidR="00F37A90">
              <w:rPr>
                <w:rFonts w:cs="Arial"/>
                <w:szCs w:val="22"/>
              </w:rPr>
              <w:t>dans</w:t>
            </w:r>
            <w:r w:rsidRPr="00182E13">
              <w:rPr>
                <w:rFonts w:cs="Arial"/>
                <w:szCs w:val="22"/>
              </w:rPr>
              <w:t xml:space="preserve"> quatre grands domaines d</w:t>
            </w:r>
            <w:r w:rsidR="009B1FBB">
              <w:rPr>
                <w:rFonts w:cs="Arial"/>
                <w:szCs w:val="22"/>
              </w:rPr>
              <w:t>’</w:t>
            </w:r>
            <w:r w:rsidRPr="00182E13">
              <w:rPr>
                <w:rFonts w:cs="Arial"/>
                <w:szCs w:val="22"/>
              </w:rPr>
              <w:t>action</w:t>
            </w:r>
            <w:r w:rsidR="009B1FBB">
              <w:rPr>
                <w:rFonts w:cs="Arial"/>
                <w:szCs w:val="22"/>
              </w:rPr>
              <w:t> </w:t>
            </w:r>
            <w:r>
              <w:rPr>
                <w:rFonts w:cs="Arial"/>
                <w:szCs w:val="22"/>
              </w:rPr>
              <w:t>–</w:t>
            </w:r>
            <w:r w:rsidR="009B1FBB">
              <w:rPr>
                <w:rFonts w:cs="Arial"/>
                <w:szCs w:val="22"/>
              </w:rPr>
              <w:t> </w:t>
            </w:r>
            <w:r w:rsidRPr="00182E13">
              <w:rPr>
                <w:rFonts w:cs="Arial"/>
                <w:szCs w:val="22"/>
              </w:rPr>
              <w:t>(i)</w:t>
            </w:r>
            <w:r w:rsidR="009B1FBB">
              <w:rPr>
                <w:rFonts w:cs="Arial"/>
                <w:szCs w:val="22"/>
              </w:rPr>
              <w:t> </w:t>
            </w:r>
            <w:r>
              <w:rPr>
                <w:rFonts w:cs="Arial"/>
                <w:szCs w:val="22"/>
              </w:rPr>
              <w:t xml:space="preserve">les </w:t>
            </w:r>
            <w:r w:rsidRPr="00182E13">
              <w:rPr>
                <w:rFonts w:cs="Arial"/>
                <w:szCs w:val="22"/>
              </w:rPr>
              <w:t>actions de la Décennie</w:t>
            </w:r>
            <w:r>
              <w:rPr>
                <w:rFonts w:cs="Arial"/>
                <w:szCs w:val="22"/>
              </w:rPr>
              <w:t> ;</w:t>
            </w:r>
            <w:r w:rsidRPr="00182E13">
              <w:rPr>
                <w:rFonts w:cs="Arial"/>
                <w:szCs w:val="22"/>
              </w:rPr>
              <w:t xml:space="preserve"> (ii)</w:t>
            </w:r>
            <w:r w:rsidR="009B1FBB">
              <w:rPr>
                <w:rFonts w:cs="Arial"/>
                <w:szCs w:val="22"/>
              </w:rPr>
              <w:t> </w:t>
            </w:r>
            <w:r>
              <w:rPr>
                <w:rFonts w:cs="Arial"/>
                <w:szCs w:val="22"/>
              </w:rPr>
              <w:t xml:space="preserve">les </w:t>
            </w:r>
            <w:r w:rsidRPr="00182E13">
              <w:rPr>
                <w:rFonts w:cs="Arial"/>
                <w:szCs w:val="22"/>
              </w:rPr>
              <w:t>structures de gouvernance et de coordination</w:t>
            </w:r>
            <w:r>
              <w:rPr>
                <w:rFonts w:cs="Arial"/>
                <w:szCs w:val="22"/>
              </w:rPr>
              <w:t> ;</w:t>
            </w:r>
            <w:r w:rsidRPr="00182E13">
              <w:rPr>
                <w:rFonts w:cs="Arial"/>
                <w:szCs w:val="22"/>
              </w:rPr>
              <w:t xml:space="preserve"> (iii)</w:t>
            </w:r>
            <w:r w:rsidR="009B1FBB">
              <w:rPr>
                <w:rFonts w:cs="Arial"/>
                <w:szCs w:val="22"/>
              </w:rPr>
              <w:t> </w:t>
            </w:r>
            <w:r>
              <w:rPr>
                <w:rFonts w:cs="Arial"/>
                <w:szCs w:val="22"/>
              </w:rPr>
              <w:t xml:space="preserve">la </w:t>
            </w:r>
            <w:r w:rsidRPr="00182E13">
              <w:rPr>
                <w:rFonts w:cs="Arial"/>
                <w:szCs w:val="22"/>
              </w:rPr>
              <w:t>mobilisation de ressources</w:t>
            </w:r>
            <w:r>
              <w:rPr>
                <w:rFonts w:cs="Arial"/>
                <w:szCs w:val="22"/>
              </w:rPr>
              <w:t> ;</w:t>
            </w:r>
            <w:r w:rsidRPr="00182E13">
              <w:rPr>
                <w:rFonts w:cs="Arial"/>
                <w:szCs w:val="22"/>
              </w:rPr>
              <w:t xml:space="preserve"> (iv)</w:t>
            </w:r>
            <w:r w:rsidR="009B1FBB">
              <w:rPr>
                <w:rFonts w:cs="Arial"/>
                <w:szCs w:val="22"/>
              </w:rPr>
              <w:t> </w:t>
            </w:r>
            <w:r>
              <w:rPr>
                <w:rFonts w:cs="Arial"/>
                <w:szCs w:val="22"/>
              </w:rPr>
              <w:t>la participation</w:t>
            </w:r>
            <w:r w:rsidRPr="00182E13">
              <w:rPr>
                <w:rFonts w:cs="Arial"/>
                <w:szCs w:val="22"/>
              </w:rPr>
              <w:t xml:space="preserve"> et </w:t>
            </w:r>
            <w:r>
              <w:rPr>
                <w:rFonts w:cs="Arial"/>
                <w:szCs w:val="22"/>
              </w:rPr>
              <w:t xml:space="preserve">la </w:t>
            </w:r>
            <w:r w:rsidRPr="00182E13">
              <w:rPr>
                <w:rFonts w:cs="Arial"/>
                <w:szCs w:val="22"/>
              </w:rPr>
              <w:t>sensibilisation des parties prenantes</w:t>
            </w:r>
            <w:r w:rsidR="009B1FBB">
              <w:rPr>
                <w:rFonts w:cs="Arial"/>
                <w:szCs w:val="22"/>
              </w:rPr>
              <w:t> </w:t>
            </w:r>
            <w:r>
              <w:rPr>
                <w:rFonts w:cs="Arial"/>
                <w:szCs w:val="22"/>
              </w:rPr>
              <w:t>–</w:t>
            </w:r>
            <w:r w:rsidR="009B1FBB">
              <w:rPr>
                <w:rFonts w:cs="Arial"/>
                <w:szCs w:val="22"/>
              </w:rPr>
              <w:t> </w:t>
            </w:r>
            <w:r>
              <w:rPr>
                <w:rFonts w:cs="Arial"/>
                <w:szCs w:val="22"/>
              </w:rPr>
              <w:t>au cours de la période allant de</w:t>
            </w:r>
            <w:r w:rsidRPr="00182E13">
              <w:rPr>
                <w:rFonts w:cs="Arial"/>
                <w:szCs w:val="22"/>
              </w:rPr>
              <w:t xml:space="preserve"> juin</w:t>
            </w:r>
            <w:r w:rsidR="009B1FBB">
              <w:rPr>
                <w:rFonts w:cs="Arial"/>
                <w:szCs w:val="22"/>
              </w:rPr>
              <w:t> </w:t>
            </w:r>
            <w:r w:rsidRPr="00182E13">
              <w:rPr>
                <w:rFonts w:cs="Arial"/>
                <w:szCs w:val="22"/>
              </w:rPr>
              <w:t xml:space="preserve">2021 </w:t>
            </w:r>
            <w:r>
              <w:rPr>
                <w:rFonts w:cs="Arial"/>
                <w:szCs w:val="22"/>
              </w:rPr>
              <w:t>à</w:t>
            </w:r>
            <w:r w:rsidRPr="00182E13">
              <w:rPr>
                <w:rFonts w:cs="Arial"/>
                <w:szCs w:val="22"/>
              </w:rPr>
              <w:t xml:space="preserve"> mai</w:t>
            </w:r>
            <w:r w:rsidR="009B1FBB">
              <w:rPr>
                <w:rFonts w:cs="Arial"/>
                <w:szCs w:val="22"/>
              </w:rPr>
              <w:t> </w:t>
            </w:r>
            <w:r w:rsidRPr="00182E13">
              <w:rPr>
                <w:rFonts w:cs="Arial"/>
                <w:szCs w:val="22"/>
              </w:rPr>
              <w:t xml:space="preserve">2022. Il établit les défis et les possibilités qui restent à </w:t>
            </w:r>
            <w:r>
              <w:rPr>
                <w:rFonts w:cs="Arial"/>
                <w:szCs w:val="22"/>
              </w:rPr>
              <w:t>examiner</w:t>
            </w:r>
            <w:r w:rsidRPr="00182E13">
              <w:rPr>
                <w:rFonts w:cs="Arial"/>
                <w:szCs w:val="22"/>
              </w:rPr>
              <w:t xml:space="preserve"> dans </w:t>
            </w:r>
            <w:r>
              <w:rPr>
                <w:rFonts w:cs="Arial"/>
                <w:szCs w:val="22"/>
              </w:rPr>
              <w:t>chaque</w:t>
            </w:r>
            <w:r w:rsidRPr="00182E13">
              <w:rPr>
                <w:rFonts w:cs="Arial"/>
                <w:szCs w:val="22"/>
              </w:rPr>
              <w:t xml:space="preserve"> domaine d</w:t>
            </w:r>
            <w:r w:rsidR="009B1FBB">
              <w:rPr>
                <w:rFonts w:cs="Arial"/>
                <w:szCs w:val="22"/>
              </w:rPr>
              <w:t>’</w:t>
            </w:r>
            <w:r w:rsidRPr="00182E13">
              <w:rPr>
                <w:rFonts w:cs="Arial"/>
                <w:szCs w:val="22"/>
              </w:rPr>
              <w:t>action et conclut en proposant une vision et des perspectives pour 202</w:t>
            </w:r>
            <w:r w:rsidRPr="00AC3EB4">
              <w:rPr>
                <w:rFonts w:cs="Arial"/>
                <w:szCs w:val="22"/>
              </w:rPr>
              <w:t>2-2023 et au-delà.</w:t>
            </w:r>
          </w:p>
          <w:p w14:paraId="53236212" w14:textId="5799733E" w:rsidR="00182E13" w:rsidRPr="00182E13" w:rsidRDefault="00182E13" w:rsidP="00182E13">
            <w:pPr>
              <w:tabs>
                <w:tab w:val="clear" w:pos="567"/>
              </w:tabs>
              <w:snapToGrid/>
              <w:spacing w:after="240"/>
              <w:ind w:left="283" w:right="283"/>
              <w:jc w:val="both"/>
              <w:rPr>
                <w:rFonts w:cs="Arial"/>
                <w:szCs w:val="22"/>
              </w:rPr>
            </w:pPr>
            <w:r w:rsidRPr="00AC3EB4">
              <w:rPr>
                <w:rFonts w:cs="Arial"/>
                <w:szCs w:val="22"/>
              </w:rPr>
              <w:t>Un addendum au présent document contient les résultats du 2</w:t>
            </w:r>
            <w:r w:rsidRPr="00AC3EB4">
              <w:rPr>
                <w:rFonts w:cs="Arial"/>
                <w:szCs w:val="22"/>
                <w:vertAlign w:val="superscript"/>
              </w:rPr>
              <w:t>e</w:t>
            </w:r>
            <w:r w:rsidR="009B1FBB" w:rsidRPr="00AC3EB4">
              <w:rPr>
                <w:rFonts w:cs="Arial"/>
                <w:szCs w:val="22"/>
              </w:rPr>
              <w:t> </w:t>
            </w:r>
            <w:r w:rsidRPr="00AC3EB4">
              <w:rPr>
                <w:rFonts w:cs="Arial"/>
                <w:szCs w:val="22"/>
              </w:rPr>
              <w:t>Appel à l</w:t>
            </w:r>
            <w:r w:rsidR="009B1FBB" w:rsidRPr="00AC3EB4">
              <w:rPr>
                <w:rFonts w:cs="Arial"/>
                <w:szCs w:val="22"/>
              </w:rPr>
              <w:t>’</w:t>
            </w:r>
            <w:r w:rsidRPr="00AC3EB4">
              <w:rPr>
                <w:rFonts w:cs="Arial"/>
                <w:szCs w:val="22"/>
              </w:rPr>
              <w:t xml:space="preserve">action de la Décennie et précise </w:t>
            </w:r>
            <w:r w:rsidR="00F37A90" w:rsidRPr="00AC3EB4">
              <w:rPr>
                <w:rFonts w:cs="Arial"/>
                <w:szCs w:val="22"/>
              </w:rPr>
              <w:t>la portée</w:t>
            </w:r>
            <w:r w:rsidRPr="00AC3EB4">
              <w:rPr>
                <w:rFonts w:cs="Arial"/>
                <w:szCs w:val="22"/>
              </w:rPr>
              <w:t xml:space="preserve"> du 3</w:t>
            </w:r>
            <w:r w:rsidRPr="00AC3EB4">
              <w:rPr>
                <w:rFonts w:cs="Arial"/>
                <w:szCs w:val="22"/>
                <w:vertAlign w:val="superscript"/>
              </w:rPr>
              <w:t>e</w:t>
            </w:r>
            <w:r w:rsidR="009B1FBB" w:rsidRPr="00AC3EB4">
              <w:rPr>
                <w:rFonts w:cs="Arial"/>
                <w:szCs w:val="22"/>
              </w:rPr>
              <w:t> </w:t>
            </w:r>
            <w:r w:rsidRPr="00AC3EB4">
              <w:rPr>
                <w:rFonts w:cs="Arial"/>
                <w:szCs w:val="22"/>
              </w:rPr>
              <w:t>Appel, actuellement ouvert jusqu</w:t>
            </w:r>
            <w:r w:rsidR="009B1FBB" w:rsidRPr="00AC3EB4">
              <w:rPr>
                <w:rFonts w:cs="Arial"/>
                <w:szCs w:val="22"/>
              </w:rPr>
              <w:t>’</w:t>
            </w:r>
            <w:r w:rsidRPr="00AC3EB4">
              <w:rPr>
                <w:rFonts w:cs="Arial"/>
                <w:szCs w:val="22"/>
              </w:rPr>
              <w:t>en août</w:t>
            </w:r>
            <w:r w:rsidR="009B1FBB" w:rsidRPr="00AC3EB4">
              <w:rPr>
                <w:rFonts w:cs="Arial"/>
                <w:szCs w:val="22"/>
              </w:rPr>
              <w:t> </w:t>
            </w:r>
            <w:r w:rsidRPr="00AC3EB4">
              <w:rPr>
                <w:rFonts w:cs="Arial"/>
                <w:szCs w:val="22"/>
              </w:rPr>
              <w:t>2022.</w:t>
            </w:r>
          </w:p>
          <w:p w14:paraId="0F762781" w14:textId="28424C64" w:rsidR="00182E13" w:rsidRPr="00182E13" w:rsidRDefault="00182E13" w:rsidP="00182E13">
            <w:pPr>
              <w:tabs>
                <w:tab w:val="clear" w:pos="567"/>
              </w:tabs>
              <w:snapToGrid/>
              <w:spacing w:after="240"/>
              <w:ind w:left="283" w:right="283"/>
              <w:jc w:val="both"/>
              <w:rPr>
                <w:rFonts w:cs="Arial"/>
                <w:szCs w:val="22"/>
              </w:rPr>
            </w:pPr>
            <w:r w:rsidRPr="00182E13">
              <w:rPr>
                <w:rFonts w:cs="Arial"/>
                <w:szCs w:val="22"/>
                <w:u w:val="single"/>
              </w:rPr>
              <w:t>Incidences financières</w:t>
            </w:r>
            <w:r>
              <w:rPr>
                <w:rFonts w:cs="Arial"/>
                <w:szCs w:val="22"/>
              </w:rPr>
              <w:t> :</w:t>
            </w:r>
            <w:r w:rsidRPr="00182E13">
              <w:rPr>
                <w:rFonts w:cs="Arial"/>
                <w:szCs w:val="22"/>
              </w:rPr>
              <w:t xml:space="preserve"> </w:t>
            </w:r>
            <w:r>
              <w:rPr>
                <w:rFonts w:cs="Arial"/>
                <w:szCs w:val="22"/>
              </w:rPr>
              <w:t>L</w:t>
            </w:r>
            <w:r w:rsidRPr="00182E13">
              <w:rPr>
                <w:rFonts w:cs="Arial"/>
                <w:szCs w:val="22"/>
              </w:rPr>
              <w:t xml:space="preserve">es questions relatives à la mobilisation de ressources et aux incidences financières </w:t>
            </w:r>
            <w:r>
              <w:rPr>
                <w:rFonts w:cs="Arial"/>
                <w:szCs w:val="22"/>
              </w:rPr>
              <w:t>font l</w:t>
            </w:r>
            <w:r w:rsidR="009B1FBB">
              <w:rPr>
                <w:rFonts w:cs="Arial"/>
                <w:szCs w:val="22"/>
              </w:rPr>
              <w:t>’</w:t>
            </w:r>
            <w:r>
              <w:rPr>
                <w:rFonts w:cs="Arial"/>
                <w:szCs w:val="22"/>
              </w:rPr>
              <w:t>objet des</w:t>
            </w:r>
            <w:r w:rsidRPr="00182E13">
              <w:rPr>
                <w:rFonts w:cs="Arial"/>
                <w:szCs w:val="22"/>
              </w:rPr>
              <w:t xml:space="preserve"> paragraphes</w:t>
            </w:r>
            <w:r w:rsidR="009B1FBB">
              <w:rPr>
                <w:rFonts w:cs="Arial"/>
                <w:szCs w:val="22"/>
              </w:rPr>
              <w:t> </w:t>
            </w:r>
            <w:r w:rsidRPr="00182E13">
              <w:rPr>
                <w:rFonts w:cs="Arial"/>
                <w:szCs w:val="22"/>
              </w:rPr>
              <w:t>21</w:t>
            </w:r>
            <w:r>
              <w:rPr>
                <w:rFonts w:cs="Arial"/>
                <w:szCs w:val="22"/>
              </w:rPr>
              <w:t xml:space="preserve"> à</w:t>
            </w:r>
            <w:r w:rsidR="009B1FBB">
              <w:rPr>
                <w:rFonts w:cs="Arial"/>
                <w:szCs w:val="22"/>
              </w:rPr>
              <w:t> </w:t>
            </w:r>
            <w:r w:rsidRPr="00182E13">
              <w:rPr>
                <w:rFonts w:cs="Arial"/>
                <w:szCs w:val="22"/>
              </w:rPr>
              <w:t>28.</w:t>
            </w:r>
          </w:p>
          <w:p w14:paraId="40410ABF" w14:textId="2EA11EC0" w:rsidR="006A5AED" w:rsidRDefault="00182E13" w:rsidP="00182E13">
            <w:pPr>
              <w:tabs>
                <w:tab w:val="clear" w:pos="567"/>
              </w:tabs>
              <w:snapToGrid/>
              <w:spacing w:after="240"/>
              <w:ind w:left="283" w:right="283"/>
              <w:jc w:val="both"/>
              <w:rPr>
                <w:rFonts w:cs="Arial"/>
                <w:b/>
                <w:bCs/>
                <w:szCs w:val="22"/>
              </w:rPr>
            </w:pPr>
            <w:r w:rsidRPr="00182E13">
              <w:rPr>
                <w:rFonts w:cs="Arial"/>
                <w:szCs w:val="22"/>
                <w:u w:val="single"/>
              </w:rPr>
              <w:t>Décision proposée</w:t>
            </w:r>
            <w:r>
              <w:rPr>
                <w:rFonts w:cs="Arial"/>
                <w:szCs w:val="22"/>
              </w:rPr>
              <w:t> :</w:t>
            </w:r>
            <w:r w:rsidRPr="00182E13">
              <w:rPr>
                <w:rFonts w:cs="Arial"/>
                <w:szCs w:val="22"/>
              </w:rPr>
              <w:t xml:space="preserve"> Le Conseil exécutif</w:t>
            </w:r>
            <w:r>
              <w:rPr>
                <w:rFonts w:cs="Arial"/>
                <w:szCs w:val="22"/>
              </w:rPr>
              <w:t xml:space="preserve"> de la COI</w:t>
            </w:r>
            <w:r w:rsidRPr="00182E13">
              <w:rPr>
                <w:rFonts w:cs="Arial"/>
                <w:szCs w:val="22"/>
              </w:rPr>
              <w:t xml:space="preserve"> est invité à examiner le projet de décision portant la référence Déc., EC-55/4.1 dans le Document provisoire relatif aux décisions à adopter (document IOC/EC-55/AP).</w:t>
            </w:r>
          </w:p>
        </w:tc>
      </w:tr>
    </w:tbl>
    <w:p w14:paraId="0D50401A" w14:textId="77777777" w:rsidR="006A5AED" w:rsidRDefault="006A5AED" w:rsidP="006A5AED">
      <w:pPr>
        <w:tabs>
          <w:tab w:val="clear" w:pos="567"/>
        </w:tabs>
        <w:snapToGrid/>
        <w:rPr>
          <w:rFonts w:cs="Arial"/>
          <w:b/>
          <w:bCs/>
          <w:szCs w:val="22"/>
        </w:rPr>
      </w:pPr>
      <w:r>
        <w:rPr>
          <w:rFonts w:cs="Arial"/>
          <w:b/>
          <w:bCs/>
          <w:szCs w:val="22"/>
        </w:rPr>
        <w:br w:type="page"/>
      </w:r>
    </w:p>
    <w:p w14:paraId="4937E466" w14:textId="4A43ABC3" w:rsidR="001007FE" w:rsidRPr="00597D9A" w:rsidRDefault="001007FE" w:rsidP="00733BDE">
      <w:pPr>
        <w:pStyle w:val="Marge"/>
        <w:rPr>
          <w:rFonts w:eastAsia="Arial" w:cs="Arial"/>
        </w:rPr>
      </w:pPr>
      <w:r>
        <w:lastRenderedPageBreak/>
        <w:t>1.</w:t>
      </w:r>
      <w:r>
        <w:tab/>
        <w:t>En décembre</w:t>
      </w:r>
      <w:r w:rsidR="009B1FBB">
        <w:t> </w:t>
      </w:r>
      <w:r>
        <w:t>2017, faisant fond sur les efforts des États membres et du Secrétariat de la COI, l</w:t>
      </w:r>
      <w:r w:rsidR="009B1FBB">
        <w:t>’</w:t>
      </w:r>
      <w:r>
        <w:t xml:space="preserve">Assemblée générale des </w:t>
      </w:r>
      <w:r w:rsidR="009D3378">
        <w:t>Nations Unies</w:t>
      </w:r>
      <w:r>
        <w:t xml:space="preserve"> a proclamé la Décennie des </w:t>
      </w:r>
      <w:r w:rsidR="009D3378">
        <w:t>Nations Unies</w:t>
      </w:r>
      <w:r>
        <w:t xml:space="preserve"> pour les sciences océaniques au service du développement durable (2021-2030) (ci-après « la Décennie »). La Décennie représente une occasion unique d</w:t>
      </w:r>
      <w:r w:rsidR="009B1FBB">
        <w:t>’</w:t>
      </w:r>
      <w:r>
        <w:t>opérer un changement radical dans la production et l</w:t>
      </w:r>
      <w:r w:rsidR="009B1FBB">
        <w:t>’</w:t>
      </w:r>
      <w:r>
        <w:t>utilisation des sciences océaniques. Elle influencera la façon dont les pays investissent dans la science et l</w:t>
      </w:r>
      <w:r w:rsidR="009B1FBB">
        <w:t>’</w:t>
      </w:r>
      <w:r>
        <w:t>innovation et y participent, pour les amener à se fixer des objectifs sociétaux et à adapter leurs investissements dans la recherche en vue de contribuer à la réalisation d</w:t>
      </w:r>
      <w:r w:rsidR="009B1FBB">
        <w:t>’</w:t>
      </w:r>
      <w:r>
        <w:t xml:space="preserve">objectifs communs, notamment ceux du Programme 2030. </w:t>
      </w:r>
    </w:p>
    <w:p w14:paraId="0041FC4B" w14:textId="700541A6" w:rsidR="001007FE" w:rsidRPr="002A33EB" w:rsidRDefault="001007FE" w:rsidP="00733BDE">
      <w:pPr>
        <w:pStyle w:val="Marge"/>
        <w:rPr>
          <w:rFonts w:cs="Arial"/>
        </w:rPr>
      </w:pPr>
      <w:r>
        <w:t>2.</w:t>
      </w:r>
      <w:r>
        <w:tab/>
        <w:t>Conformément à la résolution A/RES/72/73 de l</w:t>
      </w:r>
      <w:r w:rsidR="009B1FBB">
        <w:t>’</w:t>
      </w:r>
      <w:r>
        <w:t xml:space="preserve">Assemblée générale des </w:t>
      </w:r>
      <w:r w:rsidR="009D3378">
        <w:t>Nations Unies</w:t>
      </w:r>
      <w:r>
        <w:t xml:space="preserve"> et à la résolution EC-LI.1 de la COI, après la phase préparatoire de la Décennie des </w:t>
      </w:r>
      <w:r w:rsidR="009D3378">
        <w:t>Nations Unies</w:t>
      </w:r>
      <w:r>
        <w:t xml:space="preserve"> pour les sciences océaniques au service du développement durable (2021-2030)</w:t>
      </w:r>
      <w:r w:rsidR="001C5DA3">
        <w:t>,</w:t>
      </w:r>
      <w:r>
        <w:t xml:space="preserve"> dont rendent</w:t>
      </w:r>
      <w:r w:rsidR="009B1FBB">
        <w:t> </w:t>
      </w:r>
      <w:r>
        <w:t xml:space="preserve">compte les documents </w:t>
      </w:r>
      <w:hyperlink r:id="rId8" w:history="1">
        <w:r w:rsidRPr="00127188">
          <w:rPr>
            <w:rStyle w:val="Lienhypertexte"/>
          </w:rPr>
          <w:t>IOC-XXX/2 Annexe</w:t>
        </w:r>
        <w:r w:rsidR="009B1FBB">
          <w:rPr>
            <w:rStyle w:val="Lienhypertexte"/>
          </w:rPr>
          <w:t> </w:t>
        </w:r>
        <w:r w:rsidRPr="00127188">
          <w:rPr>
            <w:rStyle w:val="Lienhypertexte"/>
          </w:rPr>
          <w:t>3</w:t>
        </w:r>
      </w:hyperlink>
      <w:r>
        <w:t xml:space="preserve"> (2019), </w:t>
      </w:r>
      <w:hyperlink r:id="rId9" w:history="1">
        <w:r w:rsidRPr="00127188">
          <w:rPr>
            <w:rStyle w:val="Lienhypertexte"/>
          </w:rPr>
          <w:t>IOC/EC-53/4.1.Doc(1)Rev.</w:t>
        </w:r>
      </w:hyperlink>
      <w:r>
        <w:t xml:space="preserve"> (2020) et </w:t>
      </w:r>
      <w:hyperlink r:id="rId10" w:history="1">
        <w:r w:rsidRPr="00127188">
          <w:rPr>
            <w:rStyle w:val="Lienhypertexte"/>
          </w:rPr>
          <w:t>IOC/A</w:t>
        </w:r>
        <w:r w:rsidR="009B1FBB">
          <w:rPr>
            <w:rStyle w:val="Lienhypertexte"/>
          </w:rPr>
          <w:noBreakHyphen/>
        </w:r>
        <w:r w:rsidRPr="00127188">
          <w:rPr>
            <w:rStyle w:val="Lienhypertexte"/>
          </w:rPr>
          <w:t>31/3.7.Doc(2)</w:t>
        </w:r>
      </w:hyperlink>
      <w:r>
        <w:t xml:space="preserve"> (2021), la période s</w:t>
      </w:r>
      <w:r w:rsidR="009B1FBB">
        <w:t>’</w:t>
      </w:r>
      <w:r>
        <w:t>étendant de juin 2021 à mai 2022 a continué à connaître une intense activité liée à la mise en œuvre de la Décennie de l</w:t>
      </w:r>
      <w:r w:rsidR="009B1FBB">
        <w:t>’</w:t>
      </w:r>
      <w:r>
        <w:t xml:space="preserve">Océan.  </w:t>
      </w:r>
    </w:p>
    <w:p w14:paraId="7E78778C" w14:textId="7E28C810" w:rsidR="001007FE" w:rsidRPr="001B7DE0" w:rsidRDefault="001007FE" w:rsidP="001C5DA3">
      <w:pPr>
        <w:pStyle w:val="Titre3"/>
        <w:rPr>
          <w:rFonts w:cs="Arial"/>
        </w:rPr>
      </w:pPr>
      <w:r>
        <w:t xml:space="preserve">Actions de la Décennie </w:t>
      </w:r>
    </w:p>
    <w:p w14:paraId="6E8F3FCD" w14:textId="248443BF" w:rsidR="001007FE" w:rsidRPr="001B7DE0" w:rsidRDefault="008D044B" w:rsidP="00DF4459">
      <w:pPr>
        <w:pStyle w:val="Marge"/>
        <w:rPr>
          <w:rFonts w:cs="Arial"/>
        </w:rPr>
      </w:pPr>
      <w:r>
        <w:t>3.</w:t>
      </w:r>
      <w:r>
        <w:tab/>
      </w:r>
      <w:r w:rsidR="001007FE">
        <w:t>En juin</w:t>
      </w:r>
      <w:r w:rsidR="009B1FBB">
        <w:t> </w:t>
      </w:r>
      <w:r w:rsidR="001007FE">
        <w:t xml:space="preserve">2021, </w:t>
      </w:r>
      <w:r>
        <w:t xml:space="preserve">ont été annoncés </w:t>
      </w:r>
      <w:r w:rsidR="001007FE">
        <w:t>les premiers résultats du premier Appel à l</w:t>
      </w:r>
      <w:r w:rsidR="009B1FBB">
        <w:t>’</w:t>
      </w:r>
      <w:r w:rsidR="001007FE">
        <w:t>action de la Décennie (n°</w:t>
      </w:r>
      <w:r>
        <w:t> </w:t>
      </w:r>
      <w:r w:rsidR="001007FE">
        <w:t>01/2020), qui sollicitait près de 250 initiatives potentielles</w:t>
      </w:r>
      <w:r>
        <w:t>.</w:t>
      </w:r>
      <w:r w:rsidR="001007FE">
        <w:t xml:space="preserve"> </w:t>
      </w:r>
      <w:r>
        <w:t>Ces résultats ont été</w:t>
      </w:r>
      <w:r w:rsidR="001007FE">
        <w:t xml:space="preserve"> suivis d</w:t>
      </w:r>
      <w:r w:rsidR="009B1FBB">
        <w:t>’</w:t>
      </w:r>
      <w:r w:rsidR="001007FE">
        <w:t xml:space="preserve">autres annonces tout au long de la période au cours de laquelle les </w:t>
      </w:r>
      <w:r>
        <w:t>propositions ont été</w:t>
      </w:r>
      <w:r w:rsidR="001007FE">
        <w:t xml:space="preserve"> analysées et les décisions d</w:t>
      </w:r>
      <w:r w:rsidR="009B1FBB">
        <w:t>’</w:t>
      </w:r>
      <w:r w:rsidR="001007FE">
        <w:t>approbation prises. À ce jour, plus de 170</w:t>
      </w:r>
      <w:r w:rsidR="009B1FBB">
        <w:t> </w:t>
      </w:r>
      <w:r w:rsidR="001007FE">
        <w:t>actions de la Décennie ont été approuvées. Cela comprend 31</w:t>
      </w:r>
      <w:r w:rsidR="009B1FBB">
        <w:t> </w:t>
      </w:r>
      <w:r w:rsidR="001007FE">
        <w:t>programmes mondiaux de la Décennie, 98</w:t>
      </w:r>
      <w:r w:rsidR="009B1FBB">
        <w:t> </w:t>
      </w:r>
      <w:r w:rsidR="001007FE">
        <w:t>projets de la Décennie et 42</w:t>
      </w:r>
      <w:r w:rsidR="009B1FBB">
        <w:t> </w:t>
      </w:r>
      <w:r w:rsidR="001007FE">
        <w:t>contributions. En outre, 15</w:t>
      </w:r>
      <w:r w:rsidR="009B1FBB">
        <w:t> </w:t>
      </w:r>
      <w:r w:rsidR="001007FE">
        <w:t xml:space="preserve">actions de la Décennie menées par des partenaires des </w:t>
      </w:r>
      <w:r w:rsidR="009D3378">
        <w:t>Nations Unies</w:t>
      </w:r>
      <w:r w:rsidR="001007FE">
        <w:t xml:space="preserve"> ont été enregistrées</w:t>
      </w:r>
      <w:r>
        <w:t>.</w:t>
      </w:r>
      <w:r w:rsidR="001007FE">
        <w:t xml:space="preserve"> </w:t>
      </w:r>
      <w:r>
        <w:t>L</w:t>
      </w:r>
      <w:r w:rsidR="001007FE">
        <w:t>es actions de la Décennie menées par la COI sont décrites dans le document IOC/INF-1418.</w:t>
      </w:r>
      <w:bookmarkStart w:id="0" w:name="x__Hlk103103452"/>
      <w:bookmarkEnd w:id="0"/>
    </w:p>
    <w:p w14:paraId="088F9323" w14:textId="0690BD42" w:rsidR="001007FE" w:rsidRPr="00646E7B" w:rsidRDefault="008D044B" w:rsidP="00DF4459">
      <w:pPr>
        <w:pStyle w:val="Marge"/>
        <w:rPr>
          <w:rFonts w:cs="Arial"/>
        </w:rPr>
      </w:pPr>
      <w:r>
        <w:t>4.</w:t>
      </w:r>
      <w:r>
        <w:tab/>
      </w:r>
      <w:r w:rsidR="001007FE">
        <w:t>Les actions approuvées couvrent l</w:t>
      </w:r>
      <w:r w:rsidR="009B1FBB">
        <w:t>’</w:t>
      </w:r>
      <w:r w:rsidR="00297311">
        <w:t>ensemble d</w:t>
      </w:r>
      <w:r w:rsidR="001007FE">
        <w:t xml:space="preserve">es </w:t>
      </w:r>
      <w:r w:rsidR="00646E7B">
        <w:t>10 </w:t>
      </w:r>
      <w:r w:rsidR="001007FE">
        <w:t>défis de la Décennie des océans et sont mises en œuvre par des partenaires chef</w:t>
      </w:r>
      <w:r w:rsidR="00297311">
        <w:t>s</w:t>
      </w:r>
      <w:r w:rsidR="001007FE">
        <w:t xml:space="preserve"> de file de plus de 40</w:t>
      </w:r>
      <w:r w:rsidR="009B1FBB">
        <w:t> </w:t>
      </w:r>
      <w:r w:rsidR="001007FE">
        <w:t xml:space="preserve">pays. </w:t>
      </w:r>
      <w:r w:rsidR="00297311">
        <w:t>Bien que</w:t>
      </w:r>
      <w:r w:rsidR="001007FE">
        <w:t xml:space="preserve"> la </w:t>
      </w:r>
      <w:r w:rsidR="00297311">
        <w:t>portée</w:t>
      </w:r>
      <w:r w:rsidR="001007FE">
        <w:t xml:space="preserve"> géographique de la mise en œuvre des actions de la Décennie </w:t>
      </w:r>
      <w:r w:rsidR="00297311">
        <w:t>soit</w:t>
      </w:r>
      <w:r w:rsidR="001007FE">
        <w:t xml:space="preserve"> </w:t>
      </w:r>
      <w:r w:rsidR="00297311">
        <w:t>vaste</w:t>
      </w:r>
      <w:r w:rsidR="001007FE">
        <w:t xml:space="preserve">, </w:t>
      </w:r>
      <w:r w:rsidR="00297311">
        <w:t>on observe que les</w:t>
      </w:r>
      <w:r w:rsidR="001007FE">
        <w:t xml:space="preserve"> responsabilités confiées aux partenaires des pays les moins avancés, en particulier d</w:t>
      </w:r>
      <w:r w:rsidR="009B1FBB">
        <w:t>’</w:t>
      </w:r>
      <w:r w:rsidR="001007FE">
        <w:t>Afrique et des petits États insulaires en développement, s</w:t>
      </w:r>
      <w:r w:rsidR="001007FE" w:rsidRPr="00646E7B">
        <w:t xml:space="preserve">ont insuffisantes. </w:t>
      </w:r>
    </w:p>
    <w:p w14:paraId="070C5C57" w14:textId="1D32E3A3" w:rsidR="001007FE" w:rsidRPr="00597D9A" w:rsidRDefault="008D044B" w:rsidP="00DF4459">
      <w:pPr>
        <w:pStyle w:val="Marge"/>
        <w:rPr>
          <w:rFonts w:eastAsia="Arial" w:cs="Arial"/>
          <w:color w:val="000000" w:themeColor="text1"/>
        </w:rPr>
      </w:pPr>
      <w:r w:rsidRPr="00646E7B">
        <w:t>5.</w:t>
      </w:r>
      <w:r w:rsidRPr="00646E7B">
        <w:tab/>
      </w:r>
      <w:r w:rsidR="001007FE" w:rsidRPr="00646E7B">
        <w:t>Le deuxième Appel à l</w:t>
      </w:r>
      <w:r w:rsidR="009B1FBB" w:rsidRPr="00646E7B">
        <w:t>’</w:t>
      </w:r>
      <w:r w:rsidR="001007FE" w:rsidRPr="00646E7B">
        <w:t>action de la Décennie (n</w:t>
      </w:r>
      <w:r w:rsidR="00297311" w:rsidRPr="00646E7B">
        <w:t>° </w:t>
      </w:r>
      <w:r w:rsidR="001007FE" w:rsidRPr="00646E7B">
        <w:t>02/202</w:t>
      </w:r>
      <w:r w:rsidR="00646E7B" w:rsidRPr="00646E7B">
        <w:t>1</w:t>
      </w:r>
      <w:r w:rsidR="001007FE" w:rsidRPr="00646E7B">
        <w:t>) a été</w:t>
      </w:r>
      <w:r w:rsidR="001007FE">
        <w:t xml:space="preserve"> lancé en octobre</w:t>
      </w:r>
      <w:r w:rsidR="009B1FBB">
        <w:t> </w:t>
      </w:r>
      <w:r w:rsidR="001007FE">
        <w:t>2021 et a été clôturé le 31</w:t>
      </w:r>
      <w:r w:rsidR="009B1FBB">
        <w:t> </w:t>
      </w:r>
      <w:r w:rsidR="001007FE">
        <w:t>janvier 2022. La portée de cet Appel a été définie d</w:t>
      </w:r>
      <w:r w:rsidR="009B1FBB">
        <w:t>’</w:t>
      </w:r>
      <w:r w:rsidR="001007FE">
        <w:t>après l</w:t>
      </w:r>
      <w:r w:rsidR="009B1FBB">
        <w:t>’</w:t>
      </w:r>
      <w:r w:rsidR="001007FE">
        <w:t xml:space="preserve">avis du Comité consultatif intérimaire de la Décennie. Il </w:t>
      </w:r>
      <w:r w:rsidR="007A2064">
        <w:t>s</w:t>
      </w:r>
      <w:r w:rsidR="009B1FBB">
        <w:t>’</w:t>
      </w:r>
      <w:r w:rsidR="007A2064">
        <w:t>agissait de</w:t>
      </w:r>
      <w:r w:rsidR="00297311">
        <w:t> :</w:t>
      </w:r>
      <w:r w:rsidR="001007FE">
        <w:t xml:space="preserve"> (i)</w:t>
      </w:r>
      <w:r w:rsidR="009B1FBB">
        <w:t> </w:t>
      </w:r>
      <w:r w:rsidR="001007FE">
        <w:t xml:space="preserve">combler les lacunes </w:t>
      </w:r>
      <w:r w:rsidR="00297311">
        <w:t>concernant les</w:t>
      </w:r>
      <w:r w:rsidR="001007FE">
        <w:t xml:space="preserve"> défis de la Décennie de l</w:t>
      </w:r>
      <w:r w:rsidR="009B1FBB">
        <w:t>’</w:t>
      </w:r>
      <w:r w:rsidR="001007FE">
        <w:t xml:space="preserve">Océan </w:t>
      </w:r>
      <w:r w:rsidR="007A2064">
        <w:t>pour lesquels</w:t>
      </w:r>
      <w:r w:rsidR="001007FE">
        <w:t xml:space="preserve"> moins d</w:t>
      </w:r>
      <w:r w:rsidR="009B1FBB">
        <w:t>’</w:t>
      </w:r>
      <w:r w:rsidR="001007FE">
        <w:t>actions de la Décennie avaient été approuvées ; (ii)</w:t>
      </w:r>
      <w:r w:rsidR="009B1FBB">
        <w:t> </w:t>
      </w:r>
      <w:r w:rsidR="007A2064">
        <w:t>contribuer</w:t>
      </w:r>
      <w:r w:rsidR="00646E7B">
        <w:t>,</w:t>
      </w:r>
      <w:r w:rsidR="007A2064">
        <w:t xml:space="preserve"> par</w:t>
      </w:r>
      <w:r w:rsidR="001007FE">
        <w:t xml:space="preserve"> des connaissances</w:t>
      </w:r>
      <w:r w:rsidR="00646E7B">
        <w:t>,</w:t>
      </w:r>
      <w:r w:rsidR="001007FE">
        <w:t xml:space="preserve"> aux processus politiques mondiaux pertinents</w:t>
      </w:r>
      <w:r w:rsidR="007A2064">
        <w:t> ;</w:t>
      </w:r>
      <w:r w:rsidR="001007FE">
        <w:t xml:space="preserve"> (iii)</w:t>
      </w:r>
      <w:r w:rsidR="009B1FBB">
        <w:t> </w:t>
      </w:r>
      <w:r w:rsidR="001007FE">
        <w:t xml:space="preserve">solliciter de nouveaux projets et partenaires </w:t>
      </w:r>
      <w:r w:rsidR="007A2064">
        <w:t>dans le cadre d</w:t>
      </w:r>
      <w:r w:rsidR="001007FE">
        <w:t>es programmes approuvés de la Décennie existants. L</w:t>
      </w:r>
      <w:r w:rsidR="009B1FBB">
        <w:t>’</w:t>
      </w:r>
      <w:r w:rsidR="007A2064">
        <w:t>A</w:t>
      </w:r>
      <w:r w:rsidR="001007FE">
        <w:t>ppel à l</w:t>
      </w:r>
      <w:r w:rsidR="009B1FBB">
        <w:t>’</w:t>
      </w:r>
      <w:r w:rsidR="001007FE">
        <w:t>action de la Décennie n°</w:t>
      </w:r>
      <w:r w:rsidR="007A2064">
        <w:t> </w:t>
      </w:r>
      <w:r w:rsidR="001007FE">
        <w:t>02/2021 sollicitait des programmes contribuant aux défis de la Décennie relatifs à la pollution marine, à la gestion et à la restauration des écosystèmes et au lien océan-climat, ainsi que des projets s</w:t>
      </w:r>
      <w:r w:rsidR="009B1FBB">
        <w:t>’</w:t>
      </w:r>
      <w:r w:rsidR="001007FE">
        <w:t>inscrivant dans le cadre des 25</w:t>
      </w:r>
      <w:r w:rsidR="009B1FBB">
        <w:t> </w:t>
      </w:r>
      <w:r w:rsidR="001007FE">
        <w:t xml:space="preserve">programmes approuvés. </w:t>
      </w:r>
    </w:p>
    <w:p w14:paraId="003F390C" w14:textId="2238BD32" w:rsidR="001007FE" w:rsidRPr="00597D9A" w:rsidRDefault="008D044B" w:rsidP="00DF4459">
      <w:pPr>
        <w:pStyle w:val="Marge"/>
        <w:rPr>
          <w:rFonts w:eastAsia="Arial" w:cs="Arial"/>
          <w:color w:val="000000" w:themeColor="text1"/>
        </w:rPr>
      </w:pPr>
      <w:r>
        <w:t>6.</w:t>
      </w:r>
      <w:r>
        <w:tab/>
      </w:r>
      <w:r w:rsidR="001007FE">
        <w:t>En outre, l</w:t>
      </w:r>
      <w:r w:rsidR="009B1FBB">
        <w:t>’</w:t>
      </w:r>
      <w:r w:rsidR="001007FE">
        <w:t>Appel à l</w:t>
      </w:r>
      <w:r w:rsidR="009B1FBB">
        <w:t>’</w:t>
      </w:r>
      <w:r w:rsidR="001007FE">
        <w:t>action de la Décennie n°</w:t>
      </w:r>
      <w:r w:rsidR="007A2064">
        <w:t> </w:t>
      </w:r>
      <w:r w:rsidR="001007FE">
        <w:t xml:space="preserve">02/2021 a </w:t>
      </w:r>
      <w:r w:rsidR="007A2064">
        <w:t>expérimenté</w:t>
      </w:r>
      <w:r w:rsidR="001007FE">
        <w:t xml:space="preserve"> </w:t>
      </w:r>
      <w:r w:rsidR="007A2064">
        <w:t xml:space="preserve">un nouveau mécanisme de mobilisation de ressources pour la Décennie, </w:t>
      </w:r>
      <w:r w:rsidR="00F97E8F">
        <w:t>sous la forme de</w:t>
      </w:r>
      <w:r w:rsidR="007A2064">
        <w:t xml:space="preserve"> </w:t>
      </w:r>
      <w:r w:rsidR="001007FE">
        <w:t xml:space="preserve">deux </w:t>
      </w:r>
      <w:r w:rsidR="00A8289A">
        <w:t>a</w:t>
      </w:r>
      <w:r w:rsidR="001007FE">
        <w:t>ppels à l</w:t>
      </w:r>
      <w:r w:rsidR="009B1FBB">
        <w:t>’</w:t>
      </w:r>
      <w:r w:rsidR="001007FE">
        <w:t xml:space="preserve">action </w:t>
      </w:r>
      <w:r w:rsidR="007A2064">
        <w:t xml:space="preserve">parrainés </w:t>
      </w:r>
      <w:r w:rsidR="001007FE">
        <w:t>de la Décennie. Il s</w:t>
      </w:r>
      <w:r w:rsidR="009B1FBB">
        <w:t>’</w:t>
      </w:r>
      <w:r w:rsidR="001007FE">
        <w:t>agissait d</w:t>
      </w:r>
      <w:r w:rsidR="009B1FBB">
        <w:t>’</w:t>
      </w:r>
      <w:r w:rsidR="001007FE">
        <w:t>intégrer les flux de financement provenant du Fonds de recherche AXA, consacré à la résilience côtière, et de l</w:t>
      </w:r>
      <w:r w:rsidR="009B1FBB">
        <w:t>’</w:t>
      </w:r>
      <w:r w:rsidR="001007FE">
        <w:t xml:space="preserve">initiative MeerWissen pour des partenariats </w:t>
      </w:r>
      <w:r w:rsidR="007A2064">
        <w:t>afro</w:t>
      </w:r>
      <w:r w:rsidR="00646E7B">
        <w:noBreakHyphen/>
      </w:r>
      <w:r w:rsidR="007A2064">
        <w:t>allemands</w:t>
      </w:r>
      <w:r w:rsidR="001007FE">
        <w:t xml:space="preserve"> favorisant les connaissances marines, financée par l</w:t>
      </w:r>
      <w:r w:rsidR="009B1FBB">
        <w:t>’</w:t>
      </w:r>
      <w:r w:rsidR="007A2064">
        <w:t>Allemagne,</w:t>
      </w:r>
      <w:r w:rsidR="001007FE">
        <w:t xml:space="preserve"> et </w:t>
      </w:r>
      <w:r w:rsidR="00F97E8F">
        <w:t>s</w:t>
      </w:r>
      <w:r w:rsidR="009B1FBB">
        <w:t>’</w:t>
      </w:r>
      <w:r w:rsidR="00F97E8F">
        <w:t>intéressant aux</w:t>
      </w:r>
      <w:r w:rsidR="001007FE">
        <w:t xml:space="preserve"> solutions fondées sur la nature en Afrique. </w:t>
      </w:r>
    </w:p>
    <w:p w14:paraId="147C20C2" w14:textId="22A899DC" w:rsidR="001007FE" w:rsidRPr="00597D9A" w:rsidRDefault="008D044B" w:rsidP="00DF4459">
      <w:pPr>
        <w:pStyle w:val="Marge"/>
        <w:rPr>
          <w:rFonts w:eastAsia="Arial" w:cs="Arial"/>
          <w:color w:val="000000" w:themeColor="text1"/>
        </w:rPr>
      </w:pPr>
      <w:r>
        <w:t>7.</w:t>
      </w:r>
      <w:r>
        <w:tab/>
      </w:r>
      <w:r w:rsidR="00F97E8F">
        <w:t xml:space="preserve">En réponse à cet Appel, </w:t>
      </w:r>
      <w:r w:rsidR="001007FE">
        <w:t>38</w:t>
      </w:r>
      <w:r w:rsidR="00646E7B">
        <w:t> </w:t>
      </w:r>
      <w:r w:rsidR="001007FE">
        <w:t>propositions de programmes et 134</w:t>
      </w:r>
      <w:r w:rsidR="009B1FBB">
        <w:t> </w:t>
      </w:r>
      <w:r w:rsidR="001007FE">
        <w:t>propositions de projets ont été soumises par les partenaires chefs de file dans 33</w:t>
      </w:r>
      <w:r w:rsidR="009B1FBB">
        <w:t> </w:t>
      </w:r>
      <w:r w:rsidR="001007FE">
        <w:t>pays. Environ 70</w:t>
      </w:r>
      <w:r w:rsidR="009B1FBB">
        <w:t> </w:t>
      </w:r>
      <w:r w:rsidR="001007FE">
        <w:t>propositions supplémentaires ont été reçues en réponse aux volets parrainés de l</w:t>
      </w:r>
      <w:r w:rsidR="009B1FBB">
        <w:t>’</w:t>
      </w:r>
      <w:r w:rsidR="001007FE">
        <w:t>Appel. Les propositions sont en cours d</w:t>
      </w:r>
      <w:r w:rsidR="009B1FBB">
        <w:t>’</w:t>
      </w:r>
      <w:r w:rsidR="001007FE">
        <w:t>examen</w:t>
      </w:r>
      <w:r w:rsidR="00F97E8F">
        <w:t> :</w:t>
      </w:r>
      <w:r w:rsidR="001007FE">
        <w:t xml:space="preserve"> un premier ensemble de propositions de programmes a notamment été soumis à l</w:t>
      </w:r>
      <w:r w:rsidR="009B1FBB">
        <w:t>’</w:t>
      </w:r>
      <w:r w:rsidR="001007FE">
        <w:t>examen du Comité consultatif de la Décennie et une première série de décisions d</w:t>
      </w:r>
      <w:r w:rsidR="009B1FBB">
        <w:t>’</w:t>
      </w:r>
      <w:r w:rsidR="001007FE">
        <w:t xml:space="preserve">approbation sera annoncée </w:t>
      </w:r>
      <w:r w:rsidR="00F97E8F">
        <w:t>à l</w:t>
      </w:r>
      <w:r w:rsidR="009B1FBB">
        <w:t>’</w:t>
      </w:r>
      <w:r w:rsidR="00F97E8F">
        <w:t>occasion</w:t>
      </w:r>
      <w:r w:rsidR="001007FE">
        <w:t xml:space="preserve"> de la Journée mondiale de l</w:t>
      </w:r>
      <w:r w:rsidR="009B1FBB">
        <w:t>’</w:t>
      </w:r>
      <w:r w:rsidR="001007FE">
        <w:t>océan, le 8</w:t>
      </w:r>
      <w:r w:rsidR="009B1FBB">
        <w:t> </w:t>
      </w:r>
      <w:r w:rsidR="001007FE">
        <w:t>juin 2022.</w:t>
      </w:r>
    </w:p>
    <w:p w14:paraId="79016A12" w14:textId="699252F1" w:rsidR="001007FE" w:rsidRPr="00597D9A" w:rsidRDefault="00F97E8F" w:rsidP="00DF4459">
      <w:pPr>
        <w:pStyle w:val="Marge"/>
        <w:rPr>
          <w:rFonts w:eastAsia="Arial" w:cs="Arial"/>
          <w:color w:val="000000" w:themeColor="text1"/>
        </w:rPr>
      </w:pPr>
      <w:r>
        <w:lastRenderedPageBreak/>
        <w:t>8.</w:t>
      </w:r>
      <w:r>
        <w:tab/>
      </w:r>
      <w:r w:rsidR="00526F91">
        <w:t>La portée du</w:t>
      </w:r>
      <w:r w:rsidR="001007FE">
        <w:t xml:space="preserve"> troisième Appel à l</w:t>
      </w:r>
      <w:r w:rsidR="009B1FBB">
        <w:t>’</w:t>
      </w:r>
      <w:r w:rsidR="001007FE">
        <w:t>action de la Décennie (n°</w:t>
      </w:r>
      <w:r w:rsidR="00526F91">
        <w:t> </w:t>
      </w:r>
      <w:r w:rsidR="001007FE">
        <w:t xml:space="preserve">03/2022) a </w:t>
      </w:r>
      <w:r w:rsidR="00526F91">
        <w:t>été définie par le</w:t>
      </w:r>
      <w:r w:rsidR="001007FE">
        <w:t xml:space="preserve"> Comité consultatif de la Décennie et l</w:t>
      </w:r>
      <w:r w:rsidR="009B1FBB">
        <w:t>’</w:t>
      </w:r>
      <w:r w:rsidR="001007FE">
        <w:t>Appel a été lancé le 15</w:t>
      </w:r>
      <w:r w:rsidR="009B1FBB">
        <w:t> </w:t>
      </w:r>
      <w:r w:rsidR="001007FE">
        <w:t>avril 2022. Cet appel sollicite des programmes contribuant aux défis de la Décennie de l</w:t>
      </w:r>
      <w:r w:rsidR="009B1FBB">
        <w:t>’</w:t>
      </w:r>
      <w:r w:rsidR="001007FE">
        <w:t>Océan relatifs à l</w:t>
      </w:r>
      <w:r w:rsidR="009B1FBB">
        <w:t>’</w:t>
      </w:r>
      <w:r w:rsidR="001007FE">
        <w:t>alimentation durable</w:t>
      </w:r>
      <w:r w:rsidR="00526F91">
        <w:t xml:space="preserve"> issue des océans</w:t>
      </w:r>
      <w:r w:rsidR="001007FE">
        <w:t xml:space="preserve"> et à l</w:t>
      </w:r>
      <w:r w:rsidR="009B1FBB">
        <w:t>’</w:t>
      </w:r>
      <w:r w:rsidR="001007FE">
        <w:t>économie durable des océans, ainsi que des projets s</w:t>
      </w:r>
      <w:r w:rsidR="009B1FBB">
        <w:t>’</w:t>
      </w:r>
      <w:r w:rsidR="001007FE">
        <w:t>inscrivant dans le cadre de 16</w:t>
      </w:r>
      <w:r w:rsidR="009B1FBB">
        <w:t> </w:t>
      </w:r>
      <w:r w:rsidR="001007FE">
        <w:t xml:space="preserve">programmes approuvés de la Décennie. Il sollicite également des contributions en nature ou financières </w:t>
      </w:r>
      <w:r w:rsidR="00526F91">
        <w:t>à l</w:t>
      </w:r>
      <w:r w:rsidR="009B1FBB">
        <w:t>’</w:t>
      </w:r>
      <w:r w:rsidR="00526F91">
        <w:t>appui des</w:t>
      </w:r>
      <w:r w:rsidR="001007FE">
        <w:t xml:space="preserve"> actions de la Décennie</w:t>
      </w:r>
      <w:r w:rsidR="00526F91">
        <w:t xml:space="preserve"> menées</w:t>
      </w:r>
      <w:r w:rsidR="001007FE">
        <w:t xml:space="preserve"> en Afrique et dans les PEID du Pacifique. L</w:t>
      </w:r>
      <w:r w:rsidR="009B1FBB">
        <w:t>’</w:t>
      </w:r>
      <w:r w:rsidR="001007FE">
        <w:t>Appel n°</w:t>
      </w:r>
      <w:r w:rsidR="00526F91">
        <w:t> </w:t>
      </w:r>
      <w:r w:rsidR="001007FE">
        <w:t xml:space="preserve">03/2022 sera </w:t>
      </w:r>
      <w:r w:rsidR="00526F91">
        <w:t>clos</w:t>
      </w:r>
      <w:r w:rsidR="001007FE">
        <w:t xml:space="preserve"> à la fin du mois d</w:t>
      </w:r>
      <w:r w:rsidR="009B1FBB">
        <w:t>’</w:t>
      </w:r>
      <w:r w:rsidR="001007FE">
        <w:t>août 2022 et les décisions d</w:t>
      </w:r>
      <w:r w:rsidR="009B1FBB">
        <w:t>’</w:t>
      </w:r>
      <w:r w:rsidR="001007FE">
        <w:t>approbation seront rendues publiques à la fin de l</w:t>
      </w:r>
      <w:r w:rsidR="009B1FBB">
        <w:t>’</w:t>
      </w:r>
      <w:r w:rsidR="001007FE">
        <w:t>année 2022 ou au début de 2023.</w:t>
      </w:r>
    </w:p>
    <w:p w14:paraId="464F3A91" w14:textId="180EA889" w:rsidR="001007FE" w:rsidRPr="00597D9A" w:rsidRDefault="00F97E8F" w:rsidP="00DF4459">
      <w:pPr>
        <w:pStyle w:val="Marge"/>
        <w:rPr>
          <w:rFonts w:eastAsia="Arial" w:cs="Arial"/>
          <w:color w:val="000000" w:themeColor="text1"/>
        </w:rPr>
      </w:pPr>
      <w:r>
        <w:t>9.</w:t>
      </w:r>
      <w:r>
        <w:tab/>
      </w:r>
      <w:r w:rsidR="001007FE">
        <w:t xml:space="preserve">Les </w:t>
      </w:r>
      <w:r w:rsidR="00526F91">
        <w:t>« </w:t>
      </w:r>
      <w:r w:rsidR="001007FE">
        <w:t>communautés de pratique</w:t>
      </w:r>
      <w:r w:rsidR="00526F91">
        <w:t> »</w:t>
      </w:r>
      <w:r w:rsidR="001007FE">
        <w:t xml:space="preserve"> </w:t>
      </w:r>
      <w:r w:rsidR="00D63503">
        <w:t xml:space="preserve">regroupent des </w:t>
      </w:r>
      <w:r w:rsidR="001007FE">
        <w:t>actions approuvées de la Décennie</w:t>
      </w:r>
      <w:r w:rsidR="00D63503">
        <w:t xml:space="preserve"> et</w:t>
      </w:r>
      <w:r w:rsidR="001007FE">
        <w:t xml:space="preserve"> s</w:t>
      </w:r>
      <w:r w:rsidR="009B1FBB">
        <w:t>’</w:t>
      </w:r>
      <w:r w:rsidR="001007FE">
        <w:t>articulent autour d</w:t>
      </w:r>
      <w:r w:rsidR="009B1FBB">
        <w:t>’</w:t>
      </w:r>
      <w:r w:rsidR="001007FE">
        <w:t>une thématique ou d</w:t>
      </w:r>
      <w:r w:rsidR="009B1FBB">
        <w:t>’</w:t>
      </w:r>
      <w:r w:rsidR="001007FE">
        <w:t xml:space="preserve">une zone géographique commune. </w:t>
      </w:r>
      <w:r w:rsidR="00526F91">
        <w:t>Elles</w:t>
      </w:r>
      <w:r w:rsidR="001007FE">
        <w:t xml:space="preserve"> visent à faciliter la collaboration et la conception </w:t>
      </w:r>
      <w:r w:rsidR="00526F91">
        <w:t>conjointe</w:t>
      </w:r>
      <w:r w:rsidR="001007FE">
        <w:t xml:space="preserve">, et à </w:t>
      </w:r>
      <w:r w:rsidR="00526F91">
        <w:t>identifier</w:t>
      </w:r>
      <w:r w:rsidR="001007FE">
        <w:t xml:space="preserve"> des synergies en faveur d</w:t>
      </w:r>
      <w:r w:rsidR="009B1FBB">
        <w:t>’</w:t>
      </w:r>
      <w:r w:rsidR="001007FE">
        <w:t xml:space="preserve">objectifs communs. Chaque communauté de pratique dispose </w:t>
      </w:r>
      <w:r w:rsidR="00526F91">
        <w:t>d</w:t>
      </w:r>
      <w:r w:rsidR="009B1FBB">
        <w:t>’</w:t>
      </w:r>
      <w:r w:rsidR="00526F91">
        <w:t>un</w:t>
      </w:r>
      <w:r w:rsidR="001007FE">
        <w:t xml:space="preserve"> espace numérique sur le Forum mondial des parties prenantes. Les discussions avec le Comité consultatif intérimaire de la Décennie ont abouti à une liste initiale d</w:t>
      </w:r>
      <w:r w:rsidR="009B1FBB">
        <w:t>’</w:t>
      </w:r>
      <w:r w:rsidR="001007FE">
        <w:t>une vingtaine de communautés de pratique thématiques et régionales</w:t>
      </w:r>
      <w:r w:rsidR="00526F91">
        <w:t>,</w:t>
      </w:r>
      <w:r w:rsidR="001007FE">
        <w:t xml:space="preserve"> destinées à constituer une plate</w:t>
      </w:r>
      <w:r w:rsidR="00CC1E5D">
        <w:noBreakHyphen/>
      </w:r>
      <w:r w:rsidR="001007FE">
        <w:t>forme d</w:t>
      </w:r>
      <w:r w:rsidR="009B1FBB">
        <w:t>’</w:t>
      </w:r>
      <w:r w:rsidR="001007FE">
        <w:t>échange et de collaboration entre les actions approuvées de la Décennie. La première communauté de pratique</w:t>
      </w:r>
      <w:r w:rsidR="009B1FBB">
        <w:t> </w:t>
      </w:r>
      <w:r w:rsidR="00526F91">
        <w:t>–</w:t>
      </w:r>
      <w:r w:rsidR="009B1FBB">
        <w:t> </w:t>
      </w:r>
      <w:r w:rsidR="001007FE">
        <w:t>résilience des communautés et des écosystèmes côtiers</w:t>
      </w:r>
      <w:r w:rsidR="009B1FBB">
        <w:t> </w:t>
      </w:r>
      <w:r w:rsidR="00526F91">
        <w:t>–</w:t>
      </w:r>
      <w:r w:rsidR="009B1FBB">
        <w:t> </w:t>
      </w:r>
      <w:r w:rsidR="001007FE">
        <w:t>a vu officiellement le jour en</w:t>
      </w:r>
      <w:r w:rsidR="009B1FBB">
        <w:t> </w:t>
      </w:r>
      <w:r w:rsidR="001007FE">
        <w:t xml:space="preserve">2021 et </w:t>
      </w:r>
      <w:r w:rsidR="00526F91">
        <w:t>d</w:t>
      </w:r>
      <w:r w:rsidR="009B1FBB">
        <w:t>’</w:t>
      </w:r>
      <w:r w:rsidR="001007FE">
        <w:t>autres communautés de pratique sont désormais actives</w:t>
      </w:r>
      <w:r w:rsidR="00526F91">
        <w:t> :</w:t>
      </w:r>
      <w:r w:rsidR="001007FE">
        <w:t xml:space="preserve"> recherche et gestion dans le domaine de la haute mer, développement des capacités et facteurs de stress océanique. </w:t>
      </w:r>
      <w:r w:rsidR="00D63503">
        <w:t>À mesure que</w:t>
      </w:r>
      <w:r w:rsidR="001007FE">
        <w:t xml:space="preserve"> </w:t>
      </w:r>
      <w:r w:rsidR="00526F91">
        <w:t>de nouvelles</w:t>
      </w:r>
      <w:r w:rsidR="001007FE">
        <w:t xml:space="preserve"> actions de la Décennie seront approuvées et qu</w:t>
      </w:r>
      <w:r w:rsidR="009B1FBB">
        <w:t>’</w:t>
      </w:r>
      <w:r w:rsidR="001007FE">
        <w:t xml:space="preserve">un soutien supplémentaire </w:t>
      </w:r>
      <w:r w:rsidR="00D63503">
        <w:t xml:space="preserve">en matière </w:t>
      </w:r>
      <w:r w:rsidR="001007FE">
        <w:t>de coordination</w:t>
      </w:r>
      <w:r w:rsidR="00D63503" w:rsidRPr="00D63503">
        <w:t xml:space="preserve"> </w:t>
      </w:r>
      <w:r w:rsidR="00D63503">
        <w:t>sera mis en place</w:t>
      </w:r>
      <w:r w:rsidR="001007FE">
        <w:t xml:space="preserve">, sous la forme de </w:t>
      </w:r>
      <w:r w:rsidR="00526F91">
        <w:t>partenariats</w:t>
      </w:r>
      <w:r w:rsidR="001007FE">
        <w:t xml:space="preserve"> d</w:t>
      </w:r>
      <w:r w:rsidR="009B1FBB">
        <w:t>’</w:t>
      </w:r>
      <w:r w:rsidR="001007FE">
        <w:t xml:space="preserve">exécution de la Décennie et de centres collaboratifs de la Décennie, de nouvelles communautés de pratique seront constituées. </w:t>
      </w:r>
    </w:p>
    <w:p w14:paraId="6886ACA8" w14:textId="7FE16700" w:rsidR="001007FE" w:rsidRPr="00597D9A" w:rsidRDefault="00D63503" w:rsidP="001007FE">
      <w:pPr>
        <w:pStyle w:val="Style2"/>
        <w:tabs>
          <w:tab w:val="clear" w:pos="1400"/>
          <w:tab w:val="left" w:pos="0"/>
        </w:tabs>
        <w:snapToGrid w:val="0"/>
        <w:ind w:left="0"/>
        <w:rPr>
          <w:rFonts w:eastAsia="Arial" w:cs="Arial"/>
          <w:b/>
          <w:bCs/>
          <w:color w:val="000000" w:themeColor="text1"/>
        </w:rPr>
      </w:pPr>
      <w:r>
        <w:rPr>
          <w:b/>
          <w:bCs/>
          <w:lang w:val="fr-FR"/>
        </w:rPr>
        <w:t>S</w:t>
      </w:r>
      <w:r w:rsidR="001007FE">
        <w:rPr>
          <w:b/>
          <w:bCs/>
          <w:lang w:val="fr-FR"/>
        </w:rPr>
        <w:t>tructures de gouvernance et de coordination</w:t>
      </w:r>
    </w:p>
    <w:p w14:paraId="119A9D06" w14:textId="338B166E" w:rsidR="001007FE" w:rsidRPr="00597D9A" w:rsidRDefault="00D63503" w:rsidP="00DF4459">
      <w:pPr>
        <w:pStyle w:val="Marge"/>
        <w:rPr>
          <w:rFonts w:eastAsia="Arial" w:cs="Arial"/>
          <w:color w:val="000000" w:themeColor="text1"/>
        </w:rPr>
      </w:pPr>
      <w:r>
        <w:t>10.</w:t>
      </w:r>
      <w:r>
        <w:tab/>
      </w:r>
      <w:r w:rsidR="001007FE">
        <w:t>Le Comité consultatif intérimaire de la Décennie s</w:t>
      </w:r>
      <w:r w:rsidR="009B1FBB">
        <w:t>’</w:t>
      </w:r>
      <w:r w:rsidR="001007FE">
        <w:t xml:space="preserve">est réuni à deux reprises au cours de </w:t>
      </w:r>
      <w:r>
        <w:t>la</w:t>
      </w:r>
      <w:r w:rsidR="001007FE">
        <w:t xml:space="preserve"> période</w:t>
      </w:r>
      <w:r>
        <w:t xml:space="preserve"> considérée</w:t>
      </w:r>
      <w:r w:rsidR="001007FE">
        <w:t>, en septembre et en décembre</w:t>
      </w:r>
      <w:r w:rsidR="009B1FBB">
        <w:t> </w:t>
      </w:r>
      <w:r w:rsidR="001007FE">
        <w:t>2021. Ces réunions ont permis d</w:t>
      </w:r>
      <w:r w:rsidR="009B1FBB">
        <w:t>’</w:t>
      </w:r>
      <w:r w:rsidR="001007FE">
        <w:t xml:space="preserve">examiner les programmes de la Décennie et de formuler des recommandations quant à leur approbation, tout en dispensant des conseils sur le cadre conceptuel </w:t>
      </w:r>
      <w:r>
        <w:t>de</w:t>
      </w:r>
      <w:r w:rsidR="001007FE">
        <w:t xml:space="preserve"> suivi et d</w:t>
      </w:r>
      <w:r w:rsidR="009B1FBB">
        <w:t>’</w:t>
      </w:r>
      <w:r w:rsidR="001007FE">
        <w:t xml:space="preserve">évaluation de la Décennie et en commençant à </w:t>
      </w:r>
      <w:r>
        <w:t>élaborer</w:t>
      </w:r>
      <w:r w:rsidR="001007FE">
        <w:t xml:space="preserve"> le deuxième Appel à l</w:t>
      </w:r>
      <w:r w:rsidR="009B1FBB">
        <w:t>’</w:t>
      </w:r>
      <w:r w:rsidR="001007FE">
        <w:t>action de la Décennie n°</w:t>
      </w:r>
      <w:r>
        <w:t> </w:t>
      </w:r>
      <w:r w:rsidR="001007FE">
        <w:t xml:space="preserve">02/2021. </w:t>
      </w:r>
    </w:p>
    <w:p w14:paraId="7386A98C" w14:textId="2A3A85EB" w:rsidR="001007FE" w:rsidRPr="00597D9A" w:rsidRDefault="00D63503" w:rsidP="00DF4459">
      <w:pPr>
        <w:pStyle w:val="Marge"/>
        <w:rPr>
          <w:rFonts w:eastAsia="Arial" w:cs="Arial"/>
          <w:color w:val="000000" w:themeColor="text1"/>
        </w:rPr>
      </w:pPr>
      <w:r>
        <w:t>11.</w:t>
      </w:r>
      <w:r>
        <w:tab/>
      </w:r>
      <w:r w:rsidR="001007FE">
        <w:t>L</w:t>
      </w:r>
      <w:r w:rsidR="009B1FBB">
        <w:t>’</w:t>
      </w:r>
      <w:r w:rsidR="001007FE">
        <w:t>Assemblée de la COI, à sa 31</w:t>
      </w:r>
      <w:r w:rsidR="001007FE" w:rsidRPr="00D63503">
        <w:rPr>
          <w:vertAlign w:val="superscript"/>
        </w:rPr>
        <w:t>e</w:t>
      </w:r>
      <w:r w:rsidR="009B1FBB">
        <w:t> </w:t>
      </w:r>
      <w:r w:rsidR="001007FE">
        <w:t xml:space="preserve">session, a approuvé le mandat du Comité consultatif de la Décennie sur la base du document </w:t>
      </w:r>
      <w:hyperlink r:id="rId11" w:history="1">
        <w:r w:rsidR="001007FE" w:rsidRPr="00D63503">
          <w:rPr>
            <w:rStyle w:val="Lienhypertexte"/>
          </w:rPr>
          <w:t>IOC-31/3.7.Doc(1)</w:t>
        </w:r>
      </w:hyperlink>
      <w:r w:rsidR="001007FE">
        <w:t xml:space="preserve">, précisant le processus de sélection de ses membres. </w:t>
      </w:r>
      <w:r w:rsidR="001007FE" w:rsidRPr="00CC1E5D">
        <w:t>Entre</w:t>
      </w:r>
      <w:r w:rsidR="001007FE">
        <w:t xml:space="preserve"> le 5</w:t>
      </w:r>
      <w:r w:rsidR="009B1FBB">
        <w:t> </w:t>
      </w:r>
      <w:r w:rsidR="001007FE">
        <w:t>juillet et le 22</w:t>
      </w:r>
      <w:r w:rsidR="009B1FBB">
        <w:t> </w:t>
      </w:r>
      <w:r w:rsidR="001007FE">
        <w:t>septembre 2021, un appel à candidatures a été lancé pour désigner les 15</w:t>
      </w:r>
      <w:r w:rsidR="009B1FBB">
        <w:t> </w:t>
      </w:r>
      <w:r w:rsidR="001007FE">
        <w:t>membres experts du Comité. À l</w:t>
      </w:r>
      <w:r w:rsidR="009B1FBB">
        <w:t>’</w:t>
      </w:r>
      <w:r w:rsidR="001007FE">
        <w:t>issue de ce processus, 243</w:t>
      </w:r>
      <w:r w:rsidR="009B1FBB">
        <w:t> </w:t>
      </w:r>
      <w:r w:rsidR="001007FE">
        <w:t xml:space="preserve">candidatures ont été présentées par des États membres de la COI-UNESCO, </w:t>
      </w:r>
      <w:r w:rsidR="00DD55CE">
        <w:t xml:space="preserve">de </w:t>
      </w:r>
      <w:r w:rsidR="001007FE">
        <w:t>l</w:t>
      </w:r>
      <w:r w:rsidR="009B1FBB">
        <w:t>’</w:t>
      </w:r>
      <w:r w:rsidR="001007FE">
        <w:t xml:space="preserve">ONU, des organismes des </w:t>
      </w:r>
      <w:r w:rsidR="009D3378">
        <w:t>Nations Unies</w:t>
      </w:r>
      <w:r w:rsidR="001007FE">
        <w:t xml:space="preserve"> ou des organisations intergouvernementales</w:t>
      </w:r>
      <w:r w:rsidR="00BB3AD3">
        <w:t>.</w:t>
      </w:r>
      <w:r w:rsidR="001007FE">
        <w:t xml:space="preserve"> </w:t>
      </w:r>
      <w:r w:rsidR="00BB3AD3">
        <w:t>D</w:t>
      </w:r>
      <w:r w:rsidR="001007FE">
        <w:t>es candidatures spontanées</w:t>
      </w:r>
      <w:r w:rsidR="00BB3AD3">
        <w:t xml:space="preserve"> ont également été reçues</w:t>
      </w:r>
      <w:r w:rsidR="001007FE">
        <w:t>. Un groupe de sélection, composé du Président et des membres du Bureau de la COI représentant les cinq groupes électoraux de la Commission, a été convoqué par le Secrétaire exécutif de la COI</w:t>
      </w:r>
      <w:r w:rsidR="00BB3AD3">
        <w:t xml:space="preserve"> et</w:t>
      </w:r>
      <w:r w:rsidR="001007FE">
        <w:t xml:space="preserve"> a sélectionné</w:t>
      </w:r>
      <w:r w:rsidR="00BB3AD3">
        <w:t>,</w:t>
      </w:r>
      <w:r w:rsidR="001007FE">
        <w:t xml:space="preserve"> </w:t>
      </w:r>
      <w:r w:rsidR="00BB3AD3">
        <w:t>avec l</w:t>
      </w:r>
      <w:r w:rsidR="009B1FBB">
        <w:t>’</w:t>
      </w:r>
      <w:r w:rsidR="00BB3AD3">
        <w:t>appui technique de l</w:t>
      </w:r>
      <w:r w:rsidR="009B1FBB">
        <w:t>’</w:t>
      </w:r>
      <w:r w:rsidR="00BB3AD3">
        <w:t xml:space="preserve">Unité de coordination de la Décennie, </w:t>
      </w:r>
      <w:r w:rsidR="001007FE">
        <w:t>15</w:t>
      </w:r>
      <w:r w:rsidR="009B1FBB">
        <w:t> </w:t>
      </w:r>
      <w:r w:rsidR="001007FE">
        <w:t>membres experts provenant de 13</w:t>
      </w:r>
      <w:r w:rsidR="009B1FBB">
        <w:t> </w:t>
      </w:r>
      <w:r w:rsidR="001007FE">
        <w:t xml:space="preserve">pays pour composer le Comité consultatif de la Décennie. </w:t>
      </w:r>
    </w:p>
    <w:p w14:paraId="10234CCF" w14:textId="39390DBA" w:rsidR="001007FE" w:rsidRPr="00597D9A" w:rsidRDefault="00BB3AD3" w:rsidP="00DF4459">
      <w:pPr>
        <w:pStyle w:val="Marge"/>
        <w:rPr>
          <w:rFonts w:eastAsia="Arial" w:cs="Arial"/>
          <w:color w:val="000000" w:themeColor="text1"/>
        </w:rPr>
      </w:pPr>
      <w:r>
        <w:t>12.</w:t>
      </w:r>
      <w:r>
        <w:tab/>
        <w:t>En menant</w:t>
      </w:r>
      <w:r w:rsidR="001007FE">
        <w:t xml:space="preserve"> son évaluation, le groupe s</w:t>
      </w:r>
      <w:r w:rsidR="009B1FBB">
        <w:t>’</w:t>
      </w:r>
      <w:r w:rsidR="001007FE">
        <w:t>est attaché à veiller à ce que les membres experts disposent des compétences, des connaissances, de l</w:t>
      </w:r>
      <w:r w:rsidR="009B1FBB">
        <w:t>’</w:t>
      </w:r>
      <w:r w:rsidR="001007FE">
        <w:t>influence et de l</w:t>
      </w:r>
      <w:r w:rsidR="009B1FBB">
        <w:t>’</w:t>
      </w:r>
      <w:r w:rsidR="001007FE">
        <w:t>impartialité suffisantes au regard de la vision et des objectifs de la Décennie, et à ce qu</w:t>
      </w:r>
      <w:r w:rsidR="009B1FBB">
        <w:t>’</w:t>
      </w:r>
      <w:r w:rsidR="001007FE">
        <w:t>ils soient en mesure d</w:t>
      </w:r>
      <w:r w:rsidR="009B1FBB">
        <w:t>’</w:t>
      </w:r>
      <w:r w:rsidR="001007FE">
        <w:t>entreprendre les travaux définis dans le mandat. La diversité des secteurs représentés a constitué un critère essentiel, notamment pour rassembler un éventail de membres issus de la communauté scientifique, du secteur privé, des organismes philanthropiques et des gouvernements. Les membres experts ont également été sélectionnés en fonction de leur expertise</w:t>
      </w:r>
      <w:r>
        <w:t>,</w:t>
      </w:r>
      <w:r w:rsidR="001007FE">
        <w:t xml:space="preserve"> </w:t>
      </w:r>
      <w:r>
        <w:t xml:space="preserve">tout </w:t>
      </w:r>
      <w:r w:rsidR="001007FE">
        <w:t>en veillant à respecter une véritable équité au niveau géographique et entre les générations, ainsi que la parité hommes</w:t>
      </w:r>
      <w:r w:rsidR="007D035F">
        <w:noBreakHyphen/>
      </w:r>
      <w:r w:rsidR="001007FE">
        <w:t>femmes.</w:t>
      </w:r>
    </w:p>
    <w:p w14:paraId="354658DF" w14:textId="6C62ACE5" w:rsidR="001007FE" w:rsidRPr="00597D9A" w:rsidRDefault="00BB3AD3" w:rsidP="00DF4459">
      <w:pPr>
        <w:pStyle w:val="Marge"/>
        <w:rPr>
          <w:rFonts w:eastAsia="Arial" w:cs="Arial"/>
          <w:color w:val="000000" w:themeColor="text1"/>
        </w:rPr>
      </w:pPr>
      <w:r>
        <w:t>13.</w:t>
      </w:r>
      <w:r>
        <w:tab/>
      </w:r>
      <w:r w:rsidR="001007FE">
        <w:t>Outre les 15</w:t>
      </w:r>
      <w:r w:rsidR="009B1FBB">
        <w:t> </w:t>
      </w:r>
      <w:r w:rsidR="001007FE">
        <w:t>membres experts, la Division des affaires maritimes et du droit de la mer du Bureau des affaires juridiques de l</w:t>
      </w:r>
      <w:r w:rsidR="009B1FBB">
        <w:t>’</w:t>
      </w:r>
      <w:r w:rsidR="001007FE">
        <w:t xml:space="preserve">Organisation des </w:t>
      </w:r>
      <w:r w:rsidR="009D3378">
        <w:t>Nations Unies</w:t>
      </w:r>
      <w:r w:rsidR="001007FE">
        <w:t xml:space="preserve"> (DOALOS), qui est le secrétariat et le point de con</w:t>
      </w:r>
      <w:r w:rsidR="001007FE" w:rsidRPr="009C5565">
        <w:t>tact d</w:t>
      </w:r>
      <w:r w:rsidR="009B1FBB" w:rsidRPr="009C5565">
        <w:t>’</w:t>
      </w:r>
      <w:r w:rsidR="001007FE" w:rsidRPr="009C5565">
        <w:t>ONU-Océans et de l</w:t>
      </w:r>
      <w:r w:rsidR="001007FE">
        <w:t xml:space="preserve">a Convention des </w:t>
      </w:r>
      <w:r w:rsidR="009D3378">
        <w:t>Nations Unies</w:t>
      </w:r>
      <w:r w:rsidR="001007FE">
        <w:t xml:space="preserve"> sur le droit </w:t>
      </w:r>
      <w:r w:rsidR="001007FE">
        <w:lastRenderedPageBreak/>
        <w:t>de la mer, disposera d</w:t>
      </w:r>
      <w:r w:rsidR="009B1FBB">
        <w:t>’</w:t>
      </w:r>
      <w:r w:rsidR="001007FE">
        <w:t xml:space="preserve">un siège permanent au sein du Comité consultatif de la Décennie. Le Secrétariat de </w:t>
      </w:r>
      <w:r>
        <w:t>l</w:t>
      </w:r>
      <w:r w:rsidR="001007FE">
        <w:t>a COI, en tant que coord</w:t>
      </w:r>
      <w:r w:rsidR="009C5565">
        <w:t>on</w:t>
      </w:r>
      <w:r w:rsidR="001007FE">
        <w:t>nateur de la Décennie, disposera également d</w:t>
      </w:r>
      <w:r w:rsidR="009B1FBB">
        <w:t>’</w:t>
      </w:r>
      <w:r w:rsidR="001007FE">
        <w:t xml:space="preserve">un siège permanent au Comité. Trois sièges supplémentaires ont été réservés aux organismes des </w:t>
      </w:r>
      <w:r w:rsidR="009D3378">
        <w:t>Nations Unies</w:t>
      </w:r>
      <w:r w:rsidR="001007FE">
        <w:t>. En janvier</w:t>
      </w:r>
      <w:r w:rsidR="009B1FBB">
        <w:t> </w:t>
      </w:r>
      <w:r w:rsidR="001007FE">
        <w:t>2022, à l</w:t>
      </w:r>
      <w:r w:rsidR="009B1FBB">
        <w:t>’</w:t>
      </w:r>
      <w:r w:rsidR="001007FE">
        <w:t>issue d</w:t>
      </w:r>
      <w:r w:rsidR="009B1FBB">
        <w:t>’</w:t>
      </w:r>
      <w:r w:rsidR="001007FE">
        <w:t xml:space="preserve">un processus convenu avec ONU-Océans </w:t>
      </w:r>
      <w:r>
        <w:t>invitant</w:t>
      </w:r>
      <w:r w:rsidR="001007FE">
        <w:t xml:space="preserve"> les organismes des </w:t>
      </w:r>
      <w:r w:rsidR="009D3378">
        <w:t>Nations Unies</w:t>
      </w:r>
      <w:r w:rsidR="001007FE">
        <w:t xml:space="preserve"> à manifester leur intérêt </w:t>
      </w:r>
      <w:r>
        <w:t xml:space="preserve">pour </w:t>
      </w:r>
      <w:r w:rsidR="001007FE">
        <w:t>un siège tournant au</w:t>
      </w:r>
      <w:r>
        <w:t xml:space="preserve"> sein du</w:t>
      </w:r>
      <w:r w:rsidR="001007FE">
        <w:t xml:space="preserve"> Comité, le Programme des </w:t>
      </w:r>
      <w:r w:rsidR="009D3378">
        <w:t>Nations Unies</w:t>
      </w:r>
      <w:r w:rsidR="001007FE">
        <w:t xml:space="preserve"> pour l</w:t>
      </w:r>
      <w:r w:rsidR="009B1FBB">
        <w:t>’</w:t>
      </w:r>
      <w:r w:rsidR="001007FE">
        <w:t>environnement, l</w:t>
      </w:r>
      <w:r w:rsidR="009B1FBB">
        <w:t>’</w:t>
      </w:r>
      <w:r w:rsidR="001007FE">
        <w:t>Organisation météorologique mondiale et l</w:t>
      </w:r>
      <w:r w:rsidR="009B1FBB">
        <w:t>’</w:t>
      </w:r>
      <w:r w:rsidR="001007FE">
        <w:t xml:space="preserve">Autorité internationale des fonds marins ont été désignés comme représentants des organismes des </w:t>
      </w:r>
      <w:r w:rsidR="009D3378">
        <w:t>Nations Unies</w:t>
      </w:r>
      <w:r w:rsidR="001007FE">
        <w:t xml:space="preserve"> pour</w:t>
      </w:r>
      <w:r w:rsidR="009B1FBB">
        <w:t> </w:t>
      </w:r>
      <w:r w:rsidR="001007FE">
        <w:t xml:space="preserve">2022. </w:t>
      </w:r>
    </w:p>
    <w:p w14:paraId="66CC3B46" w14:textId="0966EBEE" w:rsidR="001007FE" w:rsidRPr="00597D9A" w:rsidRDefault="00BB3AD3" w:rsidP="009B1FBB">
      <w:pPr>
        <w:pStyle w:val="Marge"/>
        <w:rPr>
          <w:rFonts w:eastAsia="Arial" w:cs="Arial"/>
          <w:color w:val="000000" w:themeColor="text1"/>
        </w:rPr>
      </w:pPr>
      <w:r>
        <w:t>14.</w:t>
      </w:r>
      <w:r>
        <w:tab/>
      </w:r>
      <w:r w:rsidR="001007FE">
        <w:t>Le Comité consultatif de la Décennie s</w:t>
      </w:r>
      <w:r w:rsidR="009B1FBB">
        <w:t>’</w:t>
      </w:r>
      <w:r w:rsidR="001007FE">
        <w:t>est réuni en janvier</w:t>
      </w:r>
      <w:r w:rsidR="009B1FBB">
        <w:t> </w:t>
      </w:r>
      <w:r w:rsidR="001007FE">
        <w:t>2022 pour une première séance d</w:t>
      </w:r>
      <w:r w:rsidR="009B1FBB">
        <w:t>’</w:t>
      </w:r>
      <w:r w:rsidR="001007FE">
        <w:t>information, puis a tenu sa première réunion opérationnelle</w:t>
      </w:r>
      <w:r w:rsidR="00124DAB" w:rsidRPr="00124DAB">
        <w:t xml:space="preserve"> </w:t>
      </w:r>
      <w:r w:rsidR="00124DAB">
        <w:t>en présentiel</w:t>
      </w:r>
      <w:r w:rsidR="001007FE">
        <w:t>, en mars</w:t>
      </w:r>
      <w:r w:rsidR="009B1FBB">
        <w:t> </w:t>
      </w:r>
      <w:r w:rsidR="001007FE">
        <w:t>2022 (</w:t>
      </w:r>
      <w:hyperlink r:id="rId12" w:history="1">
        <w:r w:rsidR="001007FE" w:rsidRPr="00124DAB">
          <w:rPr>
            <w:rStyle w:val="Lienhypertexte"/>
          </w:rPr>
          <w:t>IOC/2022/ODS/35</w:t>
        </w:r>
      </w:hyperlink>
      <w:r w:rsidR="001007FE">
        <w:t>). Lors de cette réunion, le Conseil a examiné les recommandations relatives à l</w:t>
      </w:r>
      <w:r w:rsidR="009B1FBB">
        <w:t>’</w:t>
      </w:r>
      <w:r w:rsidR="001007FE">
        <w:t>approbation des programmes de la Décennie présentés dans le cadre de l</w:t>
      </w:r>
      <w:r w:rsidR="009B1FBB">
        <w:t>’</w:t>
      </w:r>
      <w:r w:rsidR="001007FE">
        <w:t>Appel à l</w:t>
      </w:r>
      <w:r w:rsidR="009B1FBB">
        <w:t>’</w:t>
      </w:r>
      <w:r w:rsidR="001007FE">
        <w:t>action de la Décennie n°</w:t>
      </w:r>
      <w:r w:rsidR="00124DAB">
        <w:t> </w:t>
      </w:r>
      <w:r w:rsidR="001007FE">
        <w:t>02/2021, ainsi qu</w:t>
      </w:r>
      <w:r w:rsidR="009B1FBB">
        <w:t>’</w:t>
      </w:r>
      <w:r w:rsidR="001007FE">
        <w:t xml:space="preserve">une série de questions stratégiques liées à la mesure des progrès de la Décennie, à la mobilisation de ressources, </w:t>
      </w:r>
      <w:r w:rsidR="00124DAB">
        <w:t>à la place</w:t>
      </w:r>
      <w:r w:rsidR="001007FE">
        <w:t xml:space="preserve"> des savoirs locaux et autochtones dans la Décennie et aux moyens d</w:t>
      </w:r>
      <w:r w:rsidR="009B1FBB">
        <w:t>’</w:t>
      </w:r>
      <w:r w:rsidR="001007FE">
        <w:t>accroître la participation des petits États insulaires en développement et des pays les moins avancés. Un ensemble de règles et de procédures applicables au Comité est présenté dans le document IOC/INF-1414.</w:t>
      </w:r>
    </w:p>
    <w:p w14:paraId="440AEB95" w14:textId="18972E31" w:rsidR="001007FE" w:rsidRPr="00597D9A" w:rsidRDefault="00BB3AD3" w:rsidP="00DF4459">
      <w:pPr>
        <w:pStyle w:val="Marge"/>
        <w:rPr>
          <w:rFonts w:eastAsia="Arial" w:cs="Arial"/>
          <w:color w:val="000000" w:themeColor="text1"/>
        </w:rPr>
      </w:pPr>
      <w:r>
        <w:t>15.</w:t>
      </w:r>
      <w:r>
        <w:tab/>
      </w:r>
      <w:r w:rsidR="001007FE">
        <w:t>L</w:t>
      </w:r>
      <w:r w:rsidR="009B1FBB">
        <w:t>’</w:t>
      </w:r>
      <w:r w:rsidR="001007FE">
        <w:t>Unité de coordination de la Décennie, au sein du Secrétariat de la COI-UNESCO, continue de s</w:t>
      </w:r>
      <w:r w:rsidR="009B1FBB">
        <w:t>’</w:t>
      </w:r>
      <w:r w:rsidR="001007FE">
        <w:t>étoffer grâce à un nouveau détachement de la France et à un prêt de personnel de Fugro. Toutefois, d</w:t>
      </w:r>
      <w:r w:rsidR="009B1FBB">
        <w:t>’</w:t>
      </w:r>
      <w:r w:rsidR="001007FE">
        <w:t>importantes lacunes subsistent en matière de capacités et une grande partie du travail est effectuée par des consultants financés par des contributions extrabudgétaires. Un soutien supplémentaire est nécessaire pour que les besoins en effectifs de l</w:t>
      </w:r>
      <w:r w:rsidR="009B1FBB">
        <w:t>’</w:t>
      </w:r>
      <w:r w:rsidR="001007FE">
        <w:t xml:space="preserve">Unité soient </w:t>
      </w:r>
      <w:r w:rsidR="00124DAB">
        <w:t>comblés</w:t>
      </w:r>
      <w:r w:rsidR="001007FE">
        <w:t>, qu</w:t>
      </w:r>
      <w:r w:rsidR="009B1FBB">
        <w:t>’</w:t>
      </w:r>
      <w:r w:rsidR="001007FE">
        <w:t xml:space="preserve">elle </w:t>
      </w:r>
      <w:r w:rsidR="00124DAB">
        <w:t>reste en place</w:t>
      </w:r>
      <w:r w:rsidR="001007FE">
        <w:t xml:space="preserve"> pendant toute la durée de la Décennie et qu</w:t>
      </w:r>
      <w:r w:rsidR="009B1FBB">
        <w:t>’</w:t>
      </w:r>
      <w:r w:rsidR="001007FE">
        <w:t>elle puisse s</w:t>
      </w:r>
      <w:r w:rsidR="009B1FBB">
        <w:t>’</w:t>
      </w:r>
      <w:r w:rsidR="001007FE">
        <w:t xml:space="preserve">acquitter pleinement de ses responsabilités. </w:t>
      </w:r>
    </w:p>
    <w:p w14:paraId="71FC9655" w14:textId="3388388D" w:rsidR="001007FE" w:rsidRPr="00597D9A" w:rsidRDefault="00124DAB" w:rsidP="00DF4459">
      <w:pPr>
        <w:pStyle w:val="Marge"/>
        <w:rPr>
          <w:rFonts w:eastAsia="Arial" w:cs="Arial"/>
          <w:color w:val="000000" w:themeColor="text1"/>
        </w:rPr>
      </w:pPr>
      <w:r>
        <w:t>16.</w:t>
      </w:r>
      <w:r>
        <w:tab/>
      </w:r>
      <w:r w:rsidR="001007FE">
        <w:t>Au cours de cette période, des manifestations d</w:t>
      </w:r>
      <w:r w:rsidR="009B1FBB">
        <w:t>’</w:t>
      </w:r>
      <w:r w:rsidR="001007FE">
        <w:t>intérêt concernant sept centres collaboratifs de la Décennie et quatre partenaires d</w:t>
      </w:r>
      <w:r w:rsidR="009B1FBB">
        <w:t>’</w:t>
      </w:r>
      <w:r w:rsidR="001007FE">
        <w:t>exécution de la Décennie ont été reçues (IOC/INF</w:t>
      </w:r>
      <w:r w:rsidR="009B1FBB">
        <w:noBreakHyphen/>
      </w:r>
      <w:r w:rsidR="001007FE">
        <w:t xml:space="preserve">1413). Les candidatures </w:t>
      </w:r>
      <w:r>
        <w:t>relatives aux</w:t>
      </w:r>
      <w:r w:rsidR="001007FE">
        <w:t xml:space="preserve"> centres collaboratifs de la Décennie concernent à la fois des centres thématiques et géographiques. Ces demandes sont actuellement en cours d</w:t>
      </w:r>
      <w:r w:rsidR="009B1FBB">
        <w:t>’</w:t>
      </w:r>
      <w:r w:rsidR="001007FE">
        <w:t>examen, et font notamment l</w:t>
      </w:r>
      <w:r w:rsidR="009B1FBB">
        <w:t>’</w:t>
      </w:r>
      <w:r w:rsidR="001007FE">
        <w:t>objet d</w:t>
      </w:r>
      <w:r w:rsidR="009B1FBB">
        <w:t>’</w:t>
      </w:r>
      <w:r w:rsidR="001007FE">
        <w:t xml:space="preserve">une étude de faisabilité indépendante, conformément au processus établi dans le document </w:t>
      </w:r>
      <w:hyperlink r:id="rId13" w:history="1">
        <w:r w:rsidR="001007FE" w:rsidRPr="00124DAB">
          <w:rPr>
            <w:rStyle w:val="Lienhypertexte"/>
          </w:rPr>
          <w:t>IOC/2021/ODS/23Rev</w:t>
        </w:r>
      </w:hyperlink>
      <w:r w:rsidR="001007FE">
        <w:t>. Sur les quatre</w:t>
      </w:r>
      <w:r>
        <w:t xml:space="preserve"> candidatures de</w:t>
      </w:r>
      <w:r w:rsidR="001007FE">
        <w:t xml:space="preserve"> partenaires d</w:t>
      </w:r>
      <w:r w:rsidR="009B1FBB">
        <w:t>’</w:t>
      </w:r>
      <w:r w:rsidR="001007FE">
        <w:t>exécution de la Décennie, deux ont été approuvé</w:t>
      </w:r>
      <w:r>
        <w:t>e</w:t>
      </w:r>
      <w:r w:rsidR="001007FE">
        <w:t>s et deux sont e</w:t>
      </w:r>
      <w:r w:rsidR="001007FE" w:rsidRPr="009C5565">
        <w:t>n cours d</w:t>
      </w:r>
      <w:r w:rsidR="009B1FBB" w:rsidRPr="009C5565">
        <w:t>’</w:t>
      </w:r>
      <w:r w:rsidR="001007FE" w:rsidRPr="009C5565">
        <w:t>examen. La COI propose d</w:t>
      </w:r>
      <w:r w:rsidR="009B1FBB" w:rsidRPr="009C5565">
        <w:t>’</w:t>
      </w:r>
      <w:r w:rsidR="001007FE" w:rsidRPr="009C5565">
        <w:t>accueillir trois bureaux de coordination de la Décennie</w:t>
      </w:r>
      <w:r w:rsidRPr="009C5565">
        <w:t> :</w:t>
      </w:r>
      <w:r w:rsidR="001007FE" w:rsidRPr="009C5565">
        <w:t xml:space="preserve"> un bureau axé sur les observations </w:t>
      </w:r>
      <w:r w:rsidR="00B27611" w:rsidRPr="009C5565">
        <w:t>en lien avec le</w:t>
      </w:r>
      <w:r w:rsidR="001007FE" w:rsidRPr="009C5565">
        <w:t xml:space="preserve"> GOOS, un autre axé sur les données </w:t>
      </w:r>
      <w:r w:rsidR="00B27611" w:rsidRPr="009C5565">
        <w:t>en lien avec</w:t>
      </w:r>
      <w:r w:rsidR="001007FE" w:rsidRPr="009C5565">
        <w:t xml:space="preserve"> l</w:t>
      </w:r>
      <w:r w:rsidR="009B1FBB" w:rsidRPr="009C5565">
        <w:t>’</w:t>
      </w:r>
      <w:r w:rsidR="001007FE" w:rsidRPr="009C5565">
        <w:t>IODE, et un bureau de coordination régionale au sein de la WESTPAC. Ces structures sont décrites dans le d</w:t>
      </w:r>
      <w:r w:rsidR="001007FE">
        <w:t>ocument IOC/INF</w:t>
      </w:r>
      <w:r w:rsidR="009B1FBB">
        <w:noBreakHyphen/>
      </w:r>
      <w:r w:rsidR="001007FE">
        <w:t xml:space="preserve">1413, qui contient également des informations sur les ressources nécessaires </w:t>
      </w:r>
      <w:r w:rsidR="0004273D">
        <w:t>à leur fonctionnement</w:t>
      </w:r>
      <w:r w:rsidR="001007FE">
        <w:t>.</w:t>
      </w:r>
      <w:bookmarkStart w:id="1" w:name="_Hlk103076795"/>
      <w:bookmarkEnd w:id="1"/>
    </w:p>
    <w:p w14:paraId="0220279B" w14:textId="5B1A8805" w:rsidR="001007FE" w:rsidRPr="00597D9A" w:rsidRDefault="00544B5E" w:rsidP="00DF4459">
      <w:pPr>
        <w:pStyle w:val="Marge"/>
        <w:rPr>
          <w:rFonts w:eastAsia="Arial" w:cs="Arial"/>
          <w:color w:val="000000" w:themeColor="text1"/>
        </w:rPr>
      </w:pPr>
      <w:r>
        <w:t>17.</w:t>
      </w:r>
      <w:r>
        <w:tab/>
      </w:r>
      <w:r w:rsidR="001007FE">
        <w:t xml:space="preserve">Six initiatives régionales </w:t>
      </w:r>
      <w:r>
        <w:t>mobilisent</w:t>
      </w:r>
      <w:r w:rsidR="001007FE">
        <w:t xml:space="preserve"> des partenaires </w:t>
      </w:r>
      <w:r>
        <w:t>autour de l</w:t>
      </w:r>
      <w:r w:rsidR="009B1FBB">
        <w:t>’</w:t>
      </w:r>
      <w:r>
        <w:t>élaboration et de l</w:t>
      </w:r>
      <w:r w:rsidR="009B1FBB">
        <w:t>’</w:t>
      </w:r>
      <w:r>
        <w:t>application de</w:t>
      </w:r>
      <w:r w:rsidR="001007FE">
        <w:t xml:space="preserve"> programmes et de plans d</w:t>
      </w:r>
      <w:r w:rsidR="009B1FBB">
        <w:t>’</w:t>
      </w:r>
      <w:r w:rsidR="001007FE">
        <w:t>action ré</w:t>
      </w:r>
      <w:r w:rsidR="001007FE" w:rsidRPr="009C5565">
        <w:t xml:space="preserve">gionaux. Des équipes spéciales régionales </w:t>
      </w:r>
      <w:r w:rsidRPr="009C5565">
        <w:t>œuvrent</w:t>
      </w:r>
      <w:r w:rsidR="001007FE" w:rsidRPr="009C5565">
        <w:t xml:space="preserve"> dans l</w:t>
      </w:r>
      <w:r w:rsidR="009B1FBB" w:rsidRPr="009C5565">
        <w:t>’</w:t>
      </w:r>
      <w:r w:rsidR="001007FE" w:rsidRPr="009C5565">
        <w:t>Arctique, le Pacifique, la Méditerranée, l</w:t>
      </w:r>
      <w:r w:rsidR="009B1FBB" w:rsidRPr="009C5565">
        <w:t>’</w:t>
      </w:r>
      <w:r w:rsidR="001007FE" w:rsidRPr="009C5565">
        <w:t>océan Austral, l</w:t>
      </w:r>
      <w:r w:rsidR="009B1FBB" w:rsidRPr="009C5565">
        <w:t>’</w:t>
      </w:r>
      <w:r w:rsidR="001007FE" w:rsidRPr="009C5565">
        <w:t>Atla</w:t>
      </w:r>
      <w:r w:rsidR="001007FE">
        <w:t>ntique tropical occidental et le Pacifique occidental. Une équipe spéciale régionale africaine est en train d</w:t>
      </w:r>
      <w:r w:rsidR="009B1FBB">
        <w:t>’</w:t>
      </w:r>
      <w:r w:rsidR="001007FE">
        <w:t xml:space="preserve">être établie pour superviser la mise en œuvre de la </w:t>
      </w:r>
      <w:hyperlink r:id="rId14" w:history="1">
        <w:r w:rsidR="001007FE" w:rsidRPr="00544B5E">
          <w:rPr>
            <w:rStyle w:val="Lienhypertexte"/>
          </w:rPr>
          <w:t>Feuille de route régionale africaine</w:t>
        </w:r>
      </w:hyperlink>
      <w:r w:rsidR="001007FE">
        <w:t xml:space="preserve"> pour la Décennie, présentée en mai</w:t>
      </w:r>
      <w:r w:rsidR="009B1FBB">
        <w:t> </w:t>
      </w:r>
      <w:r w:rsidR="001007FE">
        <w:t>2022 à l</w:t>
      </w:r>
      <w:r w:rsidR="009B1FBB">
        <w:t>’</w:t>
      </w:r>
      <w:r w:rsidR="001007FE">
        <w:t>occasion de la Conférence africaine sur l</w:t>
      </w:r>
      <w:r w:rsidR="009B1FBB">
        <w:t>’</w:t>
      </w:r>
      <w:r w:rsidR="001007FE">
        <w:t>établissement de priorités et la constitution de partenariats en vue de la Décennie de l</w:t>
      </w:r>
      <w:r w:rsidR="009B1FBB">
        <w:t>’</w:t>
      </w:r>
      <w:r w:rsidR="001007FE">
        <w:t xml:space="preserve">Océan, </w:t>
      </w:r>
      <w:r>
        <w:t>organisée</w:t>
      </w:r>
      <w:r w:rsidR="001007FE">
        <w:t xml:space="preserve"> </w:t>
      </w:r>
      <w:r w:rsidR="00694C5C">
        <w:t xml:space="preserve">par </w:t>
      </w:r>
      <w:r w:rsidR="001007FE">
        <w:t xml:space="preserve">le Gouvernement égyptien. </w:t>
      </w:r>
    </w:p>
    <w:p w14:paraId="269C0801" w14:textId="2B02A7AC" w:rsidR="001007FE" w:rsidRPr="00597D9A" w:rsidRDefault="00544B5E" w:rsidP="00DF4459">
      <w:pPr>
        <w:pStyle w:val="Marge"/>
        <w:rPr>
          <w:rFonts w:eastAsia="Arial" w:cs="Arial"/>
          <w:color w:val="000000" w:themeColor="text1"/>
        </w:rPr>
      </w:pPr>
      <w:r>
        <w:t>18.</w:t>
      </w:r>
      <w:r>
        <w:tab/>
      </w:r>
      <w:r w:rsidR="001007FE">
        <w:t>Vingt-sept (27) comités nationaux de la Décennie ont été créés. Ces structures bénévoles essentielles rassemblent les parties prenantes nationales, établissent les priorités nationales, déclenchent les actions futures de la Décennie et mobilisent des ressources nationales pour la Décennie. Les comités nationaux de la Décennie étant moins nombreux dans les PMA et les PEID, des discussions sont en cours avec des comités plus établis pour réfléchir au rôle d</w:t>
      </w:r>
      <w:r w:rsidR="009B1FBB">
        <w:t>’</w:t>
      </w:r>
      <w:r w:rsidR="001007FE">
        <w:t>accompagnement ou de soutien qu</w:t>
      </w:r>
      <w:r w:rsidR="009B1FBB">
        <w:t>’</w:t>
      </w:r>
      <w:r w:rsidR="001007FE">
        <w:t xml:space="preserve">ils pourraient jouer pour encourager la création de nouveaux comités dans ces régions. Quarante et un (41) États membres ont répondu à une enquête recueillant des informations sur </w:t>
      </w:r>
      <w:r>
        <w:t>les</w:t>
      </w:r>
      <w:r w:rsidR="001007FE">
        <w:t xml:space="preserve"> mesures </w:t>
      </w:r>
      <w:r>
        <w:t>qu</w:t>
      </w:r>
      <w:r w:rsidR="009B1FBB">
        <w:t>’</w:t>
      </w:r>
      <w:r>
        <w:t>ils avaient prises</w:t>
      </w:r>
      <w:r w:rsidR="000F2EE2">
        <w:t xml:space="preserve"> concernant</w:t>
      </w:r>
      <w:r w:rsidR="001007FE">
        <w:t xml:space="preserve"> la Décennie de l</w:t>
      </w:r>
      <w:r w:rsidR="009B1FBB">
        <w:t>’</w:t>
      </w:r>
      <w:r w:rsidR="000F2EE2">
        <w:t>O</w:t>
      </w:r>
      <w:r w:rsidR="001007FE">
        <w:t>céan. Parmi eux, 23</w:t>
      </w:r>
      <w:r w:rsidR="009B1FBB">
        <w:t> </w:t>
      </w:r>
      <w:r w:rsidR="001007FE">
        <w:t>États membres ont répondu qu</w:t>
      </w:r>
      <w:r w:rsidR="009B1FBB">
        <w:t>’</w:t>
      </w:r>
      <w:r w:rsidR="001007FE">
        <w:t xml:space="preserve">ils </w:t>
      </w:r>
      <w:r w:rsidR="000F2EE2">
        <w:t>disposaient</w:t>
      </w:r>
      <w:r w:rsidR="001007FE">
        <w:t xml:space="preserve"> déjà </w:t>
      </w:r>
      <w:r w:rsidR="000F2EE2">
        <w:t>d</w:t>
      </w:r>
      <w:r w:rsidR="009B1FBB">
        <w:t>’</w:t>
      </w:r>
      <w:r w:rsidR="001007FE">
        <w:t xml:space="preserve">un comité national de </w:t>
      </w:r>
      <w:r w:rsidR="001007FE">
        <w:lastRenderedPageBreak/>
        <w:t xml:space="preserve">la Décennie et </w:t>
      </w:r>
      <w:r w:rsidR="009B1FBB">
        <w:t>huit</w:t>
      </w:r>
      <w:r w:rsidR="001007FE">
        <w:t xml:space="preserve"> ont indiqué qu</w:t>
      </w:r>
      <w:r w:rsidR="009B1FBB">
        <w:t>’</w:t>
      </w:r>
      <w:r w:rsidR="001007FE">
        <w:t>ils n</w:t>
      </w:r>
      <w:r w:rsidR="009B1FBB">
        <w:t>’</w:t>
      </w:r>
      <w:r w:rsidR="001007FE">
        <w:t>en avaient pas encore créé</w:t>
      </w:r>
      <w:r w:rsidR="000F2EE2">
        <w:t>,</w:t>
      </w:r>
      <w:r w:rsidR="001007FE">
        <w:t xml:space="preserve"> mais qu</w:t>
      </w:r>
      <w:r w:rsidR="009B1FBB">
        <w:t>’</w:t>
      </w:r>
      <w:r w:rsidR="001007FE">
        <w:t>ils avaient l</w:t>
      </w:r>
      <w:r w:rsidR="009B1FBB">
        <w:t>’</w:t>
      </w:r>
      <w:r w:rsidR="001007FE">
        <w:t>intention de le faire</w:t>
      </w:r>
      <w:r w:rsidR="009B1FBB">
        <w:t> ;</w:t>
      </w:r>
      <w:r w:rsidR="001007FE">
        <w:t xml:space="preserve"> 88</w:t>
      </w:r>
      <w:r w:rsidR="000F2EE2">
        <w:t> </w:t>
      </w:r>
      <w:r w:rsidR="001007FE">
        <w:t>% ont déclaré avoir communiqué activement autour de la Décennie</w:t>
      </w:r>
      <w:r w:rsidR="00694C5C">
        <w:t>,</w:t>
      </w:r>
      <w:r w:rsidR="001007FE">
        <w:t xml:space="preserve"> 68</w:t>
      </w:r>
      <w:r w:rsidR="009B1FBB">
        <w:t> </w:t>
      </w:r>
      <w:r w:rsidR="001007FE">
        <w:t>% ont mené des initiatives ayant trait à la Décennie de l</w:t>
      </w:r>
      <w:r w:rsidR="009B1FBB">
        <w:t>’</w:t>
      </w:r>
      <w:r w:rsidR="000F2EE2">
        <w:t>O</w:t>
      </w:r>
      <w:r w:rsidR="001007FE">
        <w:t xml:space="preserve">céan et 88 % ont initié de nouvelles actions de la Décennie, </w:t>
      </w:r>
      <w:r w:rsidR="00C725B8">
        <w:t xml:space="preserve">dont </w:t>
      </w:r>
      <w:r w:rsidR="001007FE">
        <w:t>40</w:t>
      </w:r>
      <w:r w:rsidR="00694C5C">
        <w:t> </w:t>
      </w:r>
      <w:r w:rsidR="001007FE">
        <w:t xml:space="preserve">% </w:t>
      </w:r>
      <w:r w:rsidR="00C725B8">
        <w:t>ont aidé</w:t>
      </w:r>
      <w:r w:rsidR="001007FE">
        <w:t xml:space="preserve"> à </w:t>
      </w:r>
      <w:r w:rsidR="000F2EE2">
        <w:t>relier</w:t>
      </w:r>
      <w:r w:rsidR="001007FE">
        <w:t xml:space="preserve"> les actions </w:t>
      </w:r>
      <w:r w:rsidR="00C725B8">
        <w:t>avec</w:t>
      </w:r>
      <w:r w:rsidR="001007FE">
        <w:t xml:space="preserve"> </w:t>
      </w:r>
      <w:r w:rsidR="00C725B8">
        <w:t>d</w:t>
      </w:r>
      <w:r w:rsidR="009B1FBB">
        <w:t>’</w:t>
      </w:r>
      <w:r w:rsidR="001007FE">
        <w:t xml:space="preserve">autres. Environ la moitié des pays interrogés ont </w:t>
      </w:r>
      <w:r w:rsidR="000F2EE2">
        <w:t>appuyé</w:t>
      </w:r>
      <w:r w:rsidR="001007FE">
        <w:t xml:space="preserve"> la mobilisation de ressources </w:t>
      </w:r>
      <w:r w:rsidR="000F2EE2">
        <w:t>en faveur de</w:t>
      </w:r>
      <w:r w:rsidR="001007FE">
        <w:t xml:space="preserve"> la Décennie et 45 % ont déclaré </w:t>
      </w:r>
      <w:r w:rsidR="000F2EE2">
        <w:t>s</w:t>
      </w:r>
      <w:r w:rsidR="009B1FBB">
        <w:t>’</w:t>
      </w:r>
      <w:r w:rsidR="000F2EE2">
        <w:t>être concertés</w:t>
      </w:r>
      <w:r w:rsidR="001007FE">
        <w:t xml:space="preserve"> avec les comités nationaux de la Décennie et les équipes spéciales régionales. Malgré ces efforts, plus de la moitié des répondants ont indiqué que la Décennie était peu connue au niveau national.</w:t>
      </w:r>
    </w:p>
    <w:p w14:paraId="4AEBC5AA" w14:textId="7DEA272F" w:rsidR="001007FE" w:rsidRPr="00597D9A" w:rsidRDefault="00E24332" w:rsidP="00DF4459">
      <w:pPr>
        <w:pStyle w:val="Marge"/>
        <w:rPr>
          <w:rFonts w:eastAsia="Arial" w:cs="Arial"/>
          <w:color w:val="000000" w:themeColor="text1"/>
        </w:rPr>
      </w:pPr>
      <w:r>
        <w:t>19.</w:t>
      </w:r>
      <w:r>
        <w:tab/>
      </w:r>
      <w:r w:rsidR="001007FE">
        <w:t>Les réunions des groupes de travail informels sur les communications, sur la technologie et l</w:t>
      </w:r>
      <w:r w:rsidR="009B1FBB">
        <w:t>’</w:t>
      </w:r>
      <w:r w:rsidR="001007FE">
        <w:t xml:space="preserve">innovation, </w:t>
      </w:r>
      <w:r w:rsidR="00C725B8">
        <w:t>ainsi que</w:t>
      </w:r>
      <w:r w:rsidR="001007FE">
        <w:t xml:space="preserve"> sur le suivi et l</w:t>
      </w:r>
      <w:r w:rsidR="009B1FBB">
        <w:t>’</w:t>
      </w:r>
      <w:r w:rsidR="001007FE">
        <w:t xml:space="preserve">évaluation ont apporté une contribution précieuse au cours de </w:t>
      </w:r>
      <w:r w:rsidR="00C725B8">
        <w:t>la</w:t>
      </w:r>
      <w:r w:rsidR="001007FE">
        <w:t xml:space="preserve"> période</w:t>
      </w:r>
      <w:r w:rsidR="00C725B8">
        <w:t xml:space="preserve"> considérée</w:t>
      </w:r>
      <w:r w:rsidR="001007FE">
        <w:t>. Un groupe de coordination des données a été créé dans le cadre de la plate</w:t>
      </w:r>
      <w:r w:rsidR="00694C5C">
        <w:noBreakHyphen/>
      </w:r>
      <w:r w:rsidR="001007FE">
        <w:t>forme de coordination des données, en décembre</w:t>
      </w:r>
      <w:r w:rsidR="009B1FBB">
        <w:t> </w:t>
      </w:r>
      <w:r w:rsidR="001007FE">
        <w:t>2021, pour soutenir l</w:t>
      </w:r>
      <w:r w:rsidR="009B1FBB">
        <w:t>’</w:t>
      </w:r>
      <w:r w:rsidR="001007FE">
        <w:t>élaboration et l</w:t>
      </w:r>
      <w:r w:rsidR="009B1FBB">
        <w:t>’</w:t>
      </w:r>
      <w:r w:rsidR="001007FE">
        <w:t>application de la stratégie</w:t>
      </w:r>
      <w:r w:rsidR="00C725B8">
        <w:t xml:space="preserve"> de la Décennie</w:t>
      </w:r>
      <w:r w:rsidR="001007FE">
        <w:t xml:space="preserve"> en matière de données, d</w:t>
      </w:r>
      <w:r w:rsidR="009B1FBB">
        <w:t>’</w:t>
      </w:r>
      <w:r w:rsidR="001007FE">
        <w:t>informations et de connaissances pour la Décennie. Un groupe sur les données industrielles relatives à l</w:t>
      </w:r>
      <w:r w:rsidR="009B1FBB">
        <w:t>’</w:t>
      </w:r>
      <w:r w:rsidR="001007FE">
        <w:t>océan est en cours de création dans le cadre de cette plate</w:t>
      </w:r>
      <w:r w:rsidR="00694C5C">
        <w:noBreakHyphen/>
      </w:r>
      <w:r w:rsidR="001007FE">
        <w:t>forme et devrait être opérationnel au second semestre de</w:t>
      </w:r>
      <w:r w:rsidR="009B1FBB">
        <w:t> </w:t>
      </w:r>
      <w:r w:rsidR="001007FE">
        <w:t>2022. Une équipe spéciale du secteur privé a été créé pour soutenir l</w:t>
      </w:r>
      <w:r w:rsidR="009B1FBB">
        <w:t>’</w:t>
      </w:r>
      <w:r w:rsidR="001007FE">
        <w:t>élaboration d</w:t>
      </w:r>
      <w:r w:rsidR="009B1FBB">
        <w:t>’</w:t>
      </w:r>
      <w:r w:rsidR="001007FE">
        <w:t xml:space="preserve">une approche stratégique de coopération avec les partenaires industriels et pour identifier de nouvelles possibilités de soutien en nature et financier, ainsi que pour amener le secteur industriel à participer activement à la conception </w:t>
      </w:r>
      <w:r w:rsidR="00C725B8">
        <w:t>conjointe</w:t>
      </w:r>
      <w:r w:rsidR="001007FE">
        <w:t xml:space="preserve"> des actions de la Décennie. </w:t>
      </w:r>
    </w:p>
    <w:p w14:paraId="520AD72F" w14:textId="60202825" w:rsidR="001007FE" w:rsidRPr="00597D9A" w:rsidRDefault="00E24332" w:rsidP="00DF4459">
      <w:pPr>
        <w:pStyle w:val="Marge"/>
        <w:rPr>
          <w:rFonts w:eastAsia="Arial" w:cs="Arial"/>
          <w:color w:val="000000" w:themeColor="text1"/>
        </w:rPr>
      </w:pPr>
      <w:r>
        <w:t>20.</w:t>
      </w:r>
      <w:r>
        <w:tab/>
      </w:r>
      <w:r w:rsidR="001007FE">
        <w:t>Une liste d</w:t>
      </w:r>
      <w:r w:rsidR="009B1FBB">
        <w:t>’</w:t>
      </w:r>
      <w:r w:rsidR="001007FE">
        <w:t>experts de la Décennie de l</w:t>
      </w:r>
      <w:r w:rsidR="009B1FBB">
        <w:t>’</w:t>
      </w:r>
      <w:r w:rsidR="001007FE">
        <w:t>Océan a été établie afin de disposer d</w:t>
      </w:r>
      <w:r w:rsidR="009B1FBB">
        <w:t>’</w:t>
      </w:r>
      <w:r w:rsidR="001007FE">
        <w:t>un vivier d</w:t>
      </w:r>
      <w:r w:rsidR="009B1FBB">
        <w:t>’</w:t>
      </w:r>
      <w:r w:rsidR="001007FE">
        <w:t>experts qui aideront le Secrétariat de la COI à établir les cibles stratégiques des défis de la Décennie de l</w:t>
      </w:r>
      <w:r w:rsidR="009B1FBB">
        <w:t>’</w:t>
      </w:r>
      <w:r w:rsidR="001007FE">
        <w:t>Océan, à examiner les propositions de programmes de la Décennie et à mener les processus d</w:t>
      </w:r>
      <w:r w:rsidR="009B1FBB">
        <w:t>’</w:t>
      </w:r>
      <w:r w:rsidR="001007FE">
        <w:t xml:space="preserve">examen </w:t>
      </w:r>
      <w:r w:rsidR="0051700F">
        <w:t>périodiques</w:t>
      </w:r>
      <w:r w:rsidR="001007FE">
        <w:t xml:space="preserve"> de la Décennie, tels que la deuxième Conférence internationale de la Décennie de l</w:t>
      </w:r>
      <w:r w:rsidR="009B1FBB">
        <w:t>’</w:t>
      </w:r>
      <w:r w:rsidR="001007FE">
        <w:t>Océan prévue en 2023/2024.</w:t>
      </w:r>
    </w:p>
    <w:p w14:paraId="04EE0A68" w14:textId="77777777" w:rsidR="001007FE" w:rsidRPr="00597D9A" w:rsidRDefault="001007FE" w:rsidP="00694C5C">
      <w:pPr>
        <w:pStyle w:val="Titre3"/>
        <w:rPr>
          <w:rFonts w:eastAsia="Arial" w:cs="Arial"/>
          <w:color w:val="000000" w:themeColor="text1"/>
        </w:rPr>
      </w:pPr>
      <w:r w:rsidRPr="00B27611">
        <w:t>Mobilisation de ressources et incidences financières</w:t>
      </w:r>
    </w:p>
    <w:p w14:paraId="3B11F393" w14:textId="3DC78F95" w:rsidR="001007FE" w:rsidRPr="00597D9A" w:rsidRDefault="0051700F" w:rsidP="00DF4459">
      <w:pPr>
        <w:pStyle w:val="Marge"/>
        <w:rPr>
          <w:rFonts w:eastAsia="Arial" w:cs="Arial"/>
          <w:color w:val="000000" w:themeColor="text1"/>
        </w:rPr>
      </w:pPr>
      <w:r>
        <w:t>21.</w:t>
      </w:r>
      <w:r>
        <w:tab/>
      </w:r>
      <w:r w:rsidR="001007FE">
        <w:t>Les États membres et organisations su</w:t>
      </w:r>
      <w:r w:rsidR="001007FE" w:rsidRPr="009C5565">
        <w:t xml:space="preserve">ivants ont versé des contributions financières spécifiques pour financer les activités de coordination de la Décennie au cours de </w:t>
      </w:r>
      <w:r w:rsidR="009778D5" w:rsidRPr="009C5565">
        <w:t>la</w:t>
      </w:r>
      <w:r w:rsidR="001007FE" w:rsidRPr="009C5565">
        <w:t xml:space="preserve"> période </w:t>
      </w:r>
      <w:r w:rsidR="009778D5" w:rsidRPr="009C5565">
        <w:t>considérée : la</w:t>
      </w:r>
      <w:r w:rsidR="001007FE" w:rsidRPr="009C5565">
        <w:t xml:space="preserve"> Belgique, </w:t>
      </w:r>
      <w:r w:rsidR="009778D5" w:rsidRPr="009C5565">
        <w:t xml:space="preserve">le </w:t>
      </w:r>
      <w:r w:rsidR="001007FE" w:rsidRPr="009C5565">
        <w:t xml:space="preserve">Canada, </w:t>
      </w:r>
      <w:r w:rsidR="009778D5" w:rsidRPr="009C5565">
        <w:t xml:space="preserve">le </w:t>
      </w:r>
      <w:r w:rsidR="001007FE" w:rsidRPr="009C5565">
        <w:t xml:space="preserve">Conseil norvégien de la recherche, </w:t>
      </w:r>
      <w:r w:rsidR="009778D5" w:rsidRPr="009C5565">
        <w:t xml:space="preserve">la </w:t>
      </w:r>
      <w:r w:rsidR="001007FE" w:rsidRPr="009C5565">
        <w:t>France,</w:t>
      </w:r>
      <w:r w:rsidR="009778D5" w:rsidRPr="009C5565">
        <w:t xml:space="preserve"> le</w:t>
      </w:r>
      <w:r w:rsidR="001007FE" w:rsidRPr="009C5565">
        <w:t xml:space="preserve"> Japon, </w:t>
      </w:r>
      <w:r w:rsidR="009778D5" w:rsidRPr="009C5565">
        <w:t>l</w:t>
      </w:r>
      <w:r w:rsidR="009B1FBB" w:rsidRPr="009C5565">
        <w:t>’</w:t>
      </w:r>
      <w:r w:rsidR="001007FE" w:rsidRPr="009C5565">
        <w:t xml:space="preserve">Inde, </w:t>
      </w:r>
      <w:r w:rsidR="009778D5" w:rsidRPr="009C5565">
        <w:t xml:space="preserve">la </w:t>
      </w:r>
      <w:r w:rsidR="001007FE" w:rsidRPr="009C5565">
        <w:t xml:space="preserve">Norvège, </w:t>
      </w:r>
      <w:r w:rsidR="009778D5" w:rsidRPr="009C5565">
        <w:t xml:space="preserve">le </w:t>
      </w:r>
      <w:r w:rsidR="001007FE" w:rsidRPr="009C5565">
        <w:t xml:space="preserve">Portugal, </w:t>
      </w:r>
      <w:r w:rsidR="009778D5" w:rsidRPr="009C5565">
        <w:t xml:space="preserve">la </w:t>
      </w:r>
      <w:r w:rsidR="001007FE" w:rsidRPr="009C5565">
        <w:t xml:space="preserve">République de Corée, </w:t>
      </w:r>
      <w:r w:rsidR="00B27611" w:rsidRPr="009C5565">
        <w:t xml:space="preserve">REV-Ocean et </w:t>
      </w:r>
      <w:r w:rsidR="009778D5" w:rsidRPr="009C5565">
        <w:t xml:space="preserve">la </w:t>
      </w:r>
      <w:r w:rsidR="001007FE" w:rsidRPr="009C5565">
        <w:t>Suèd</w:t>
      </w:r>
      <w:r w:rsidR="001007FE">
        <w:t>e.</w:t>
      </w:r>
    </w:p>
    <w:p w14:paraId="3ABA264B" w14:textId="1807B4BB" w:rsidR="001007FE" w:rsidRPr="00597D9A" w:rsidRDefault="0051700F" w:rsidP="00DF4459">
      <w:pPr>
        <w:pStyle w:val="Marge"/>
        <w:rPr>
          <w:rFonts w:eastAsia="Arial" w:cs="Arial"/>
          <w:color w:val="000000" w:themeColor="text1"/>
        </w:rPr>
      </w:pPr>
      <w:r>
        <w:t>22.</w:t>
      </w:r>
      <w:r>
        <w:tab/>
      </w:r>
      <w:r w:rsidR="001007FE">
        <w:t>La mobilisation de ressources en nature et financières reste un enjeu majeur pour la réussite de la mise en œuvre de la Décennie. Des ressources sont nécessaires pour financer les coûts de coordination aux niveaux central (l</w:t>
      </w:r>
      <w:r w:rsidR="009B1FBB">
        <w:t>’</w:t>
      </w:r>
      <w:r w:rsidR="001007FE">
        <w:t>Unité de coordination de la Décennie) et décentralisé (les bureaux de coordination de la Décennie et les centres collaboratifs de la Décennie), ainsi que pour les actions de la Décennie, qu</w:t>
      </w:r>
      <w:r w:rsidR="009B1FBB">
        <w:t>’</w:t>
      </w:r>
      <w:r w:rsidR="001007FE">
        <w:t>il s</w:t>
      </w:r>
      <w:r w:rsidR="009B1FBB">
        <w:t>’</w:t>
      </w:r>
      <w:r w:rsidR="001007FE">
        <w:t>agisse des actions approuvées ou à venir. Le document IOC/INF</w:t>
      </w:r>
      <w:r w:rsidR="009B1FBB">
        <w:noBreakHyphen/>
      </w:r>
      <w:r w:rsidR="001007FE">
        <w:t xml:space="preserve">1419 décrit les besoins actuels en ressources des actions de la Décennie. </w:t>
      </w:r>
    </w:p>
    <w:p w14:paraId="125BE790" w14:textId="793929D4" w:rsidR="001007FE" w:rsidRPr="00597D9A" w:rsidRDefault="0051700F" w:rsidP="00DF4459">
      <w:pPr>
        <w:pStyle w:val="Marge"/>
        <w:rPr>
          <w:rFonts w:eastAsia="Arial" w:cs="Arial"/>
          <w:color w:val="000000" w:themeColor="text1"/>
        </w:rPr>
      </w:pPr>
      <w:r>
        <w:t>23.</w:t>
      </w:r>
      <w:r>
        <w:tab/>
      </w:r>
      <w:r w:rsidR="001007FE">
        <w:t>L</w:t>
      </w:r>
      <w:r w:rsidR="009B1FBB">
        <w:t>’</w:t>
      </w:r>
      <w:hyperlink r:id="rId15" w:history="1">
        <w:r w:rsidR="001007FE" w:rsidRPr="00B27611">
          <w:rPr>
            <w:rStyle w:val="Lienhypertexte"/>
          </w:rPr>
          <w:t>Alliance pour la Décennie de l</w:t>
        </w:r>
        <w:r w:rsidR="009B1FBB">
          <w:rPr>
            <w:rStyle w:val="Lienhypertexte"/>
          </w:rPr>
          <w:t>’</w:t>
        </w:r>
        <w:r w:rsidR="001007FE" w:rsidRPr="00B27611">
          <w:rPr>
            <w:rStyle w:val="Lienhypertexte"/>
          </w:rPr>
          <w:t>Océan</w:t>
        </w:r>
      </w:hyperlink>
      <w:r w:rsidR="001007FE">
        <w:t xml:space="preserve"> s</w:t>
      </w:r>
      <w:r w:rsidR="009B1FBB">
        <w:t>’</w:t>
      </w:r>
      <w:r w:rsidR="001007FE">
        <w:t xml:space="preserve">est développée au cours de cette période et compte désormais </w:t>
      </w:r>
      <w:r w:rsidR="009B1FBB">
        <w:t>neuf</w:t>
      </w:r>
      <w:r w:rsidR="001007FE">
        <w:t xml:space="preserve"> mécènes et 15</w:t>
      </w:r>
      <w:r w:rsidR="009B1FBB">
        <w:t> </w:t>
      </w:r>
      <w:r w:rsidR="001007FE">
        <w:t>membres institutionnels. Les sherpas de l</w:t>
      </w:r>
      <w:r w:rsidR="009B1FBB">
        <w:t>’</w:t>
      </w:r>
      <w:r w:rsidR="001007FE">
        <w:t>Alliance se réunissent régulièrement pour élaborer un plan de travail pour l</w:t>
      </w:r>
      <w:r w:rsidR="009B1FBB">
        <w:t>’</w:t>
      </w:r>
      <w:r w:rsidR="001007FE">
        <w:t xml:space="preserve">Alliance et </w:t>
      </w:r>
      <w:r w:rsidR="00B27611">
        <w:t>faire en sorte que ce groupe bénéficie</w:t>
      </w:r>
      <w:r w:rsidR="001007FE">
        <w:t xml:space="preserve"> </w:t>
      </w:r>
      <w:r w:rsidR="00B27611">
        <w:t>d</w:t>
      </w:r>
      <w:r w:rsidR="009B1FBB">
        <w:t>’</w:t>
      </w:r>
      <w:r w:rsidR="001007FE">
        <w:t xml:space="preserve">une forte visibilité lors de la Conférence des </w:t>
      </w:r>
      <w:r w:rsidR="009D3378">
        <w:t>Nations Unies</w:t>
      </w:r>
      <w:r w:rsidR="001007FE">
        <w:t xml:space="preserve"> sur les océans (Lisbonne, juin 2022). </w:t>
      </w:r>
    </w:p>
    <w:p w14:paraId="6ACF2A65" w14:textId="3A57428E" w:rsidR="001007FE" w:rsidRPr="00597D9A" w:rsidRDefault="0051700F" w:rsidP="00DF4459">
      <w:pPr>
        <w:pStyle w:val="Marge"/>
        <w:rPr>
          <w:rFonts w:eastAsia="Arial" w:cs="Arial"/>
          <w:color w:val="000000" w:themeColor="text1"/>
        </w:rPr>
      </w:pPr>
      <w:r>
        <w:t>24.</w:t>
      </w:r>
      <w:r>
        <w:tab/>
      </w:r>
      <w:r w:rsidR="001007FE">
        <w:t xml:space="preserve">En plus des </w:t>
      </w:r>
      <w:r w:rsidR="00124DAB">
        <w:t>volets</w:t>
      </w:r>
      <w:r w:rsidR="001007FE">
        <w:t xml:space="preserve"> parrainés </w:t>
      </w:r>
      <w:r w:rsidR="00124DAB">
        <w:t>figurant</w:t>
      </w:r>
      <w:r w:rsidR="001007FE">
        <w:t xml:space="preserve"> dans l</w:t>
      </w:r>
      <w:r w:rsidR="009B1FBB">
        <w:t>’</w:t>
      </w:r>
      <w:r w:rsidR="001007FE">
        <w:t>Appel à l</w:t>
      </w:r>
      <w:r w:rsidR="009B1FBB">
        <w:t>’</w:t>
      </w:r>
      <w:r w:rsidR="001007FE">
        <w:t>action de la Décennie n°</w:t>
      </w:r>
      <w:r w:rsidR="00416371">
        <w:t> </w:t>
      </w:r>
      <w:r w:rsidR="001007FE">
        <w:t>02/2021, quatre appels parra</w:t>
      </w:r>
      <w:r w:rsidR="00124DAB">
        <w:t>i</w:t>
      </w:r>
      <w:r w:rsidR="001007FE">
        <w:t>nés ont été élaborés avec ArcticNet, Fisheries and Oceans Canada, JPI</w:t>
      </w:r>
      <w:r w:rsidR="009B1FBB">
        <w:t> </w:t>
      </w:r>
      <w:r w:rsidR="001007FE">
        <w:t>Oceans et le Gouvernement de l</w:t>
      </w:r>
      <w:r w:rsidR="009B1FBB">
        <w:t>’</w:t>
      </w:r>
      <w:r w:rsidR="001007FE">
        <w:t>Australie occidentale. Au total, ce sont près de 15</w:t>
      </w:r>
      <w:r w:rsidR="009B1FBB">
        <w:t> </w:t>
      </w:r>
      <w:r w:rsidR="001007FE">
        <w:t>millions de dollars qui ont été mobilisés pour les actions de la Décennie grâce à ce mécanisme, qui a prouvé son efficacité tant auprès des bailleurs de fonds qu</w:t>
      </w:r>
      <w:r w:rsidR="009B1FBB">
        <w:t>’</w:t>
      </w:r>
      <w:r w:rsidR="001007FE">
        <w:t>auprès des auteurs de propositions d</w:t>
      </w:r>
      <w:r w:rsidR="009B1FBB">
        <w:t>’</w:t>
      </w:r>
      <w:r w:rsidR="001007FE">
        <w:t>actions de la Décennie. De futurs appels à l</w:t>
      </w:r>
      <w:r w:rsidR="009B1FBB">
        <w:t>’</w:t>
      </w:r>
      <w:r w:rsidR="001007FE">
        <w:t>action parrainés de la Décennie commencent tout juste à être examinés, notamment des appels qui pourraient offrir une possibilité de financement commun et mixte pour plusieurs partenaires autour d</w:t>
      </w:r>
      <w:r w:rsidR="009B1FBB">
        <w:t>’</w:t>
      </w:r>
      <w:r w:rsidR="001007FE">
        <w:t>un thème ou d</w:t>
      </w:r>
      <w:r w:rsidR="009B1FBB">
        <w:t>’</w:t>
      </w:r>
      <w:r w:rsidR="001007FE">
        <w:t xml:space="preserve">une zone géographique </w:t>
      </w:r>
      <w:r w:rsidR="00416371" w:rsidRPr="00694C5C">
        <w:t>spécifique</w:t>
      </w:r>
      <w:r w:rsidR="001007FE">
        <w:t xml:space="preserve">. </w:t>
      </w:r>
    </w:p>
    <w:p w14:paraId="289A4F8A" w14:textId="4C10E87F" w:rsidR="001007FE" w:rsidRPr="00597D9A" w:rsidRDefault="00416371" w:rsidP="00DF4459">
      <w:pPr>
        <w:pStyle w:val="Marge"/>
        <w:rPr>
          <w:rFonts w:eastAsia="Arial" w:cs="Arial"/>
          <w:color w:val="000000" w:themeColor="text1"/>
        </w:rPr>
      </w:pPr>
      <w:r>
        <w:lastRenderedPageBreak/>
        <w:t>25.</w:t>
      </w:r>
      <w:r>
        <w:tab/>
      </w:r>
      <w:r w:rsidR="001007FE">
        <w:t>D</w:t>
      </w:r>
      <w:r w:rsidR="009B1FBB">
        <w:t>’</w:t>
      </w:r>
      <w:r w:rsidR="001007FE">
        <w:t xml:space="preserve">importants efforts ont été </w:t>
      </w:r>
      <w:r>
        <w:t>consentis</w:t>
      </w:r>
      <w:r w:rsidR="001007FE">
        <w:t xml:space="preserve"> </w:t>
      </w:r>
      <w:r>
        <w:t xml:space="preserve">au cours de la période considérée </w:t>
      </w:r>
      <w:r w:rsidR="001007FE">
        <w:t>pour mobiliser des</w:t>
      </w:r>
      <w:r w:rsidR="009B1FBB">
        <w:t> </w:t>
      </w:r>
      <w:r w:rsidR="001007FE">
        <w:t>fondations philanthropiques, et il est prévu que la Fondation Mohamed VI pour la protection de l</w:t>
      </w:r>
      <w:r w:rsidR="009B1FBB">
        <w:t>’</w:t>
      </w:r>
      <w:r w:rsidR="001007FE">
        <w:t>environnement accueille une réunion en présentiel du Dialogue avec les fondations du</w:t>
      </w:r>
      <w:r w:rsidR="009B1FBB">
        <w:t> </w:t>
      </w:r>
      <w:r w:rsidR="001007FE">
        <w:t>1</w:t>
      </w:r>
      <w:r w:rsidR="001007FE" w:rsidRPr="00416371">
        <w:rPr>
          <w:vertAlign w:val="superscript"/>
        </w:rPr>
        <w:t>er</w:t>
      </w:r>
      <w:r w:rsidR="009B1FBB">
        <w:t> </w:t>
      </w:r>
      <w:r w:rsidR="001007FE">
        <w:t>au</w:t>
      </w:r>
      <w:r w:rsidR="009B1FBB">
        <w:t> </w:t>
      </w:r>
      <w:r w:rsidR="001007FE">
        <w:t>3</w:t>
      </w:r>
      <w:r>
        <w:t> </w:t>
      </w:r>
      <w:r w:rsidR="001007FE">
        <w:t>juin</w:t>
      </w:r>
      <w:r w:rsidR="009B1FBB">
        <w:t> </w:t>
      </w:r>
      <w:r w:rsidR="001007FE">
        <w:t>2022 à Rabat</w:t>
      </w:r>
      <w:r w:rsidR="0003150B">
        <w:t xml:space="preserve"> (</w:t>
      </w:r>
      <w:r w:rsidR="001007FE">
        <w:t>Maroc</w:t>
      </w:r>
      <w:r w:rsidR="0003150B">
        <w:t>)</w:t>
      </w:r>
      <w:r w:rsidR="001007FE">
        <w:t>. Cette rencontre réunira environ 20</w:t>
      </w:r>
      <w:r w:rsidR="009D3378">
        <w:t> </w:t>
      </w:r>
      <w:r w:rsidR="001007FE">
        <w:t xml:space="preserve">fondations accordant des subventions et facilitera les discussions autour des nouvelles possibilités de financement ainsi que sur le rôle de la philanthropie dans la conception </w:t>
      </w:r>
      <w:r>
        <w:t>conjointe</w:t>
      </w:r>
      <w:r w:rsidR="001007FE">
        <w:t xml:space="preserve"> et l</w:t>
      </w:r>
      <w:r w:rsidR="009B1FBB">
        <w:t>’</w:t>
      </w:r>
      <w:r w:rsidR="001007FE">
        <w:t xml:space="preserve">interface entre sciences et politiques. </w:t>
      </w:r>
    </w:p>
    <w:p w14:paraId="42EA3BDF" w14:textId="0FC6B1D5" w:rsidR="001007FE" w:rsidRPr="00597D9A" w:rsidRDefault="00416371" w:rsidP="00DF4459">
      <w:pPr>
        <w:pStyle w:val="Marge"/>
        <w:rPr>
          <w:rFonts w:eastAsia="Arial" w:cs="Arial"/>
          <w:color w:val="000000" w:themeColor="text1"/>
        </w:rPr>
      </w:pPr>
      <w:r>
        <w:t>26.</w:t>
      </w:r>
      <w:r>
        <w:tab/>
      </w:r>
      <w:r w:rsidR="001007FE">
        <w:t xml:space="preserve">Les discussions au sein du Comité consultatif de la Décennie ont abouti à des recommandations </w:t>
      </w:r>
      <w:r>
        <w:t>visant à</w:t>
      </w:r>
      <w:r w:rsidR="001007FE">
        <w:t xml:space="preserve"> renforcer la collaboration avec des banques multilatérales de développement et des instruments de financement internationaux, </w:t>
      </w:r>
      <w:r>
        <w:t>ainsi qu</w:t>
      </w:r>
      <w:r w:rsidR="009B1FBB">
        <w:t>’</w:t>
      </w:r>
      <w:r>
        <w:t>à</w:t>
      </w:r>
      <w:r w:rsidR="001007FE">
        <w:t xml:space="preserve"> élaborer et </w:t>
      </w:r>
      <w:r>
        <w:t>à</w:t>
      </w:r>
      <w:r w:rsidR="001007FE">
        <w:t xml:space="preserve"> mettre en œuvre une stratégie de mobilisation de ressources plus systématique avec les États membres. </w:t>
      </w:r>
    </w:p>
    <w:p w14:paraId="2F07B294" w14:textId="0A625062" w:rsidR="001007FE" w:rsidRPr="00597D9A" w:rsidRDefault="00416371" w:rsidP="00DF4459">
      <w:pPr>
        <w:pStyle w:val="Marge"/>
        <w:rPr>
          <w:rFonts w:eastAsia="Arial" w:cs="Arial"/>
          <w:color w:val="000000" w:themeColor="text1"/>
        </w:rPr>
      </w:pPr>
      <w:r>
        <w:t>27.</w:t>
      </w:r>
      <w:r>
        <w:tab/>
      </w:r>
      <w:r w:rsidR="001007FE">
        <w:t>Pour conserver la dynamique et le niveau d</w:t>
      </w:r>
      <w:r w:rsidR="009B1FBB">
        <w:t>’</w:t>
      </w:r>
      <w:r w:rsidR="001007FE">
        <w:t>activité actuels, des ressources supplémentaires, financières ou en nature, doivent être mobilisées de toute urgence pour permettre à l</w:t>
      </w:r>
      <w:r w:rsidR="009B1FBB">
        <w:t>’</w:t>
      </w:r>
      <w:r w:rsidR="001007FE">
        <w:t>Unité de coordination de la Décennie de disposer de tous les moyens nécessaires et de fonctionner pleinement (IOC/INF-1418). D</w:t>
      </w:r>
      <w:r w:rsidR="009B1FBB">
        <w:t>’</w:t>
      </w:r>
      <w:r w:rsidR="001007FE">
        <w:t>importante ressources devront également être mobilisées à l</w:t>
      </w:r>
      <w:r w:rsidR="009B1FBB">
        <w:t>’</w:t>
      </w:r>
      <w:r w:rsidR="001007FE">
        <w:t>appui des actions de la Décennie</w:t>
      </w:r>
      <w:r>
        <w:t>.</w:t>
      </w:r>
      <w:r w:rsidR="001007FE">
        <w:t xml:space="preserve"> </w:t>
      </w:r>
      <w:r>
        <w:t>U</w:t>
      </w:r>
      <w:r w:rsidR="001007FE">
        <w:t>ne évaluation actualisée des besoins en ressources des actions de la Décennie est présentée dans le document IOC/INF-1419.</w:t>
      </w:r>
    </w:p>
    <w:p w14:paraId="555AA611" w14:textId="64B89B11" w:rsidR="001007FE" w:rsidRPr="00597D9A" w:rsidRDefault="001007FE" w:rsidP="0003150B">
      <w:pPr>
        <w:pStyle w:val="Titre3"/>
        <w:rPr>
          <w:rFonts w:eastAsia="Arial" w:cs="Arial"/>
          <w:color w:val="000000" w:themeColor="text1"/>
        </w:rPr>
      </w:pPr>
      <w:r>
        <w:t xml:space="preserve">Parties prenantes : </w:t>
      </w:r>
      <w:r w:rsidR="00416371">
        <w:t>participation</w:t>
      </w:r>
      <w:r>
        <w:t>, communication et sensibilisation</w:t>
      </w:r>
    </w:p>
    <w:p w14:paraId="11A1ACE6" w14:textId="73F78420" w:rsidR="001007FE" w:rsidRPr="00597D9A" w:rsidRDefault="00416371" w:rsidP="00DF4459">
      <w:pPr>
        <w:pStyle w:val="Marge"/>
        <w:rPr>
          <w:rFonts w:cs="Arial"/>
          <w:color w:val="000000" w:themeColor="text1"/>
        </w:rPr>
      </w:pPr>
      <w:r>
        <w:t>28.</w:t>
      </w:r>
      <w:r>
        <w:tab/>
      </w:r>
      <w:r w:rsidR="001007FE">
        <w:t xml:space="preserve">La coopération avec les partenaires des </w:t>
      </w:r>
      <w:r w:rsidR="009D3378">
        <w:t>Nations Unies</w:t>
      </w:r>
      <w:r w:rsidR="001007FE">
        <w:t xml:space="preserve"> s</w:t>
      </w:r>
      <w:r w:rsidR="009B1FBB">
        <w:t>’</w:t>
      </w:r>
      <w:r w:rsidR="001007FE">
        <w:t xml:space="preserve">est poursuivie tout au long de la période considérée, </w:t>
      </w:r>
      <w:r>
        <w:t>à travers leur</w:t>
      </w:r>
      <w:r w:rsidR="001007FE">
        <w:t xml:space="preserve"> participation aux réunions périodiques d</w:t>
      </w:r>
      <w:r w:rsidR="009B1FBB">
        <w:t>’</w:t>
      </w:r>
      <w:r w:rsidR="001007FE">
        <w:t>ONU-Océans et à une manifestation parallèle d</w:t>
      </w:r>
      <w:r w:rsidR="009B1FBB">
        <w:t>’</w:t>
      </w:r>
      <w:r w:rsidR="001007FE">
        <w:t>ONU-Océans lors de la 26</w:t>
      </w:r>
      <w:r w:rsidR="001007FE" w:rsidRPr="00416371">
        <w:rPr>
          <w:vertAlign w:val="superscript"/>
        </w:rPr>
        <w:t>e</w:t>
      </w:r>
      <w:r w:rsidR="009D3378">
        <w:t> </w:t>
      </w:r>
      <w:r w:rsidR="001007FE">
        <w:t>Conférence de</w:t>
      </w:r>
      <w:r w:rsidR="0003150B">
        <w:t>s</w:t>
      </w:r>
      <w:r w:rsidR="001007FE">
        <w:t xml:space="preserve"> Parties à la CCNUCC (COP</w:t>
      </w:r>
      <w:r w:rsidR="009B1FBB">
        <w:noBreakHyphen/>
      </w:r>
      <w:r w:rsidR="001007FE">
        <w:t>26, Glasgow, novembre</w:t>
      </w:r>
      <w:r w:rsidR="009B1FBB">
        <w:t> </w:t>
      </w:r>
      <w:r w:rsidR="001007FE">
        <w:t xml:space="preserve">2021). Comme indiqué, trois organismes des </w:t>
      </w:r>
      <w:r w:rsidR="009D3378">
        <w:t>Nations Unies</w:t>
      </w:r>
      <w:r w:rsidR="001007FE">
        <w:t xml:space="preserve"> (le PNUE, l</w:t>
      </w:r>
      <w:r w:rsidR="009B1FBB">
        <w:t>’</w:t>
      </w:r>
      <w:r w:rsidR="001007FE">
        <w:t>AIFM et l</w:t>
      </w:r>
      <w:r w:rsidR="009B1FBB">
        <w:t>’</w:t>
      </w:r>
      <w:r w:rsidR="001007FE">
        <w:t xml:space="preserve">OMM) </w:t>
      </w:r>
      <w:r>
        <w:t>sont membres</w:t>
      </w:r>
      <w:r w:rsidR="001007FE">
        <w:t xml:space="preserve"> du Comité en</w:t>
      </w:r>
      <w:r w:rsidR="009B1FBB">
        <w:t> </w:t>
      </w:r>
      <w:r w:rsidR="001007FE">
        <w:t>2022. L</w:t>
      </w:r>
      <w:r w:rsidR="009B1FBB">
        <w:t>’</w:t>
      </w:r>
      <w:r w:rsidR="001007FE">
        <w:t xml:space="preserve">intensification de la coopération avec </w:t>
      </w:r>
      <w:r>
        <w:t>l</w:t>
      </w:r>
      <w:r w:rsidR="001007FE">
        <w:t xml:space="preserve">es organismes des </w:t>
      </w:r>
      <w:r w:rsidR="009D3378">
        <w:t>Nations Unies</w:t>
      </w:r>
      <w:r w:rsidR="001007FE">
        <w:t xml:space="preserve"> sera au </w:t>
      </w:r>
      <w:r>
        <w:t>cœur</w:t>
      </w:r>
      <w:r w:rsidR="001007FE">
        <w:t xml:space="preserve"> des efforts menés au cours de la prochaine période.</w:t>
      </w:r>
    </w:p>
    <w:p w14:paraId="0272BB6A" w14:textId="6A91AE40" w:rsidR="001007FE" w:rsidRPr="00597D9A" w:rsidRDefault="00416371" w:rsidP="00DF4459">
      <w:pPr>
        <w:pStyle w:val="Marge"/>
        <w:rPr>
          <w:rFonts w:cs="Arial"/>
          <w:color w:val="000000" w:themeColor="text1"/>
        </w:rPr>
      </w:pPr>
      <w:r>
        <w:t>29.</w:t>
      </w:r>
      <w:r>
        <w:tab/>
      </w:r>
      <w:r w:rsidR="001007FE">
        <w:t>Une proposition de cadre favorisant la coopération avec les détenteurs de savoirs locaux et autochtones fait actuellement l</w:t>
      </w:r>
      <w:r w:rsidR="009B1FBB">
        <w:t>’</w:t>
      </w:r>
      <w:r w:rsidR="001007FE">
        <w:t>objet de discussions avec les partenaires, les parties prenantes et les détenteurs de droits concernés. Ce cadre comprend la mise au point d</w:t>
      </w:r>
      <w:r w:rsidR="009B1FBB">
        <w:t>’</w:t>
      </w:r>
      <w:r w:rsidR="001007FE">
        <w:t>une approche fondé</w:t>
      </w:r>
      <w:r w:rsidR="003D51F2">
        <w:t>e</w:t>
      </w:r>
      <w:r w:rsidR="001007FE">
        <w:t xml:space="preserve"> sur un </w:t>
      </w:r>
      <w:r w:rsidR="00FF69DB">
        <w:t>« </w:t>
      </w:r>
      <w:r w:rsidR="001007FE">
        <w:t>réseau de réseaux</w:t>
      </w:r>
      <w:r w:rsidR="00FF69DB">
        <w:t> »</w:t>
      </w:r>
      <w:r w:rsidR="001007FE">
        <w:t xml:space="preserve"> et d</w:t>
      </w:r>
      <w:r w:rsidR="009B1FBB">
        <w:t>’</w:t>
      </w:r>
      <w:r w:rsidR="001007FE">
        <w:t>une communauté de pratique dédiée. Il propose également des principes directeurs clés en vue d</w:t>
      </w:r>
      <w:r w:rsidR="009B1FBB">
        <w:t>’</w:t>
      </w:r>
      <w:r w:rsidR="001007FE">
        <w:t>une coopération éthique avec les peuples autochtones et les populations locales tout au long de la Décennie de l</w:t>
      </w:r>
      <w:r w:rsidR="009B1FBB">
        <w:t>’</w:t>
      </w:r>
      <w:r w:rsidR="001007FE">
        <w:t>Océan. Les comités nationaux de la Décennie ont été associés à cette concertation et joueront un rôle important à l</w:t>
      </w:r>
      <w:r w:rsidR="009B1FBB">
        <w:t>’</w:t>
      </w:r>
      <w:r w:rsidR="001007FE">
        <w:t>appui de cette initiative. Le réseau offrira davantage d</w:t>
      </w:r>
      <w:r w:rsidR="009B1FBB">
        <w:t>’</w:t>
      </w:r>
      <w:r w:rsidR="001007FE">
        <w:t>occasions de faire entendre la voix des peuples autochtones et les questions relatives à l</w:t>
      </w:r>
      <w:r w:rsidR="009B1FBB">
        <w:t>’</w:t>
      </w:r>
      <w:r w:rsidR="001007FE">
        <w:t>océan lors des différentes manifestions mondiales et régionales et il favorisera les synergies avec d</w:t>
      </w:r>
      <w:r w:rsidR="009B1FBB">
        <w:t>’</w:t>
      </w:r>
      <w:r w:rsidR="001007FE">
        <w:t xml:space="preserve">autres décennies des </w:t>
      </w:r>
      <w:r w:rsidR="009D3378">
        <w:t>Nations Unies</w:t>
      </w:r>
      <w:r w:rsidR="001007FE">
        <w:t>, telles que la Décennie internationale des langues autochtones (2022-2032).</w:t>
      </w:r>
    </w:p>
    <w:p w14:paraId="068C8C68" w14:textId="63312649" w:rsidR="001007FE" w:rsidRPr="00F63965" w:rsidRDefault="00416371" w:rsidP="00DF4459">
      <w:pPr>
        <w:pStyle w:val="Marge"/>
        <w:rPr>
          <w:rFonts w:cs="Arial"/>
          <w:color w:val="000000" w:themeColor="text1"/>
        </w:rPr>
      </w:pPr>
      <w:r>
        <w:t>30.</w:t>
      </w:r>
      <w:r>
        <w:tab/>
      </w:r>
      <w:r w:rsidR="001007FE">
        <w:t xml:space="preserve">Le solide engagement des jeunes spécialistes des océans </w:t>
      </w:r>
      <w:r w:rsidR="00FF69DB">
        <w:t>est maintenu</w:t>
      </w:r>
      <w:r w:rsidR="001007FE">
        <w:t xml:space="preserve"> tout au long de la Décennie. </w:t>
      </w:r>
      <w:r w:rsidR="001007FE" w:rsidRPr="00F63965">
        <w:t>La COI-UNESCO finance un coord</w:t>
      </w:r>
      <w:r w:rsidR="009C5565" w:rsidRPr="00F63965">
        <w:t>onna</w:t>
      </w:r>
      <w:r w:rsidR="001007FE" w:rsidRPr="00F63965">
        <w:t xml:space="preserve">teur à plein temps du programme de la Décennie des jeunes spécialistes des océans. Des </w:t>
      </w:r>
      <w:r w:rsidR="00FF69DB" w:rsidRPr="00F63965">
        <w:t>nœuds</w:t>
      </w:r>
      <w:r w:rsidR="001007FE" w:rsidRPr="00F63965">
        <w:t xml:space="preserve"> régionaux ont été mis en place en Afrique et en Asie et des cours de formation à l</w:t>
      </w:r>
      <w:r w:rsidR="009B1FBB" w:rsidRPr="00F63965">
        <w:t>’</w:t>
      </w:r>
      <w:r w:rsidR="001007FE" w:rsidRPr="00F63965">
        <w:t>intention des jeunes spécialistes des océans ont été dispensés pour répondre aux besoins prioritaires recensés dans une enquête mondiale menée en</w:t>
      </w:r>
      <w:r w:rsidR="009D3378" w:rsidRPr="00F63965">
        <w:t> </w:t>
      </w:r>
      <w:r w:rsidR="001007FE" w:rsidRPr="00F63965">
        <w:t xml:space="preserve">2019 auprès de </w:t>
      </w:r>
      <w:r w:rsidR="00FF69DB" w:rsidRPr="00F63965">
        <w:t>ce groupe</w:t>
      </w:r>
      <w:r w:rsidR="001007FE" w:rsidRPr="00F63965">
        <w:t xml:space="preserve">. </w:t>
      </w:r>
    </w:p>
    <w:p w14:paraId="58F31C6B" w14:textId="16B78A32" w:rsidR="001007FE" w:rsidRPr="00597D9A" w:rsidRDefault="00416371" w:rsidP="00DF4459">
      <w:pPr>
        <w:pStyle w:val="Marge"/>
        <w:rPr>
          <w:rFonts w:eastAsia="Arial" w:cs="Arial"/>
          <w:color w:val="000000" w:themeColor="text1"/>
        </w:rPr>
      </w:pPr>
      <w:r w:rsidRPr="00F63965">
        <w:t>31.</w:t>
      </w:r>
      <w:r w:rsidRPr="00F63965">
        <w:tab/>
      </w:r>
      <w:r w:rsidR="001007FE" w:rsidRPr="00F63965">
        <w:t>D</w:t>
      </w:r>
      <w:r w:rsidR="009B1FBB" w:rsidRPr="00F63965">
        <w:t>’</w:t>
      </w:r>
      <w:r w:rsidR="001007FE" w:rsidRPr="00F63965">
        <w:t xml:space="preserve">intenses efforts ont été déployés au cours de </w:t>
      </w:r>
      <w:r w:rsidR="00FF69DB" w:rsidRPr="00F63965">
        <w:t>la</w:t>
      </w:r>
      <w:r w:rsidR="001007FE" w:rsidRPr="00F63965">
        <w:t xml:space="preserve"> période</w:t>
      </w:r>
      <w:r w:rsidR="00FF69DB" w:rsidRPr="00F63965">
        <w:t xml:space="preserve"> considérée</w:t>
      </w:r>
      <w:r w:rsidR="001007FE" w:rsidRPr="00F63965">
        <w:t xml:space="preserve"> pour favoriser la participation et la sensibilisation des parties prenantes. Des manifestations en présentiel ou en format hybride portant sur différents aspects de la Décennie de l</w:t>
      </w:r>
      <w:r w:rsidR="009B1FBB" w:rsidRPr="00F63965">
        <w:t>’</w:t>
      </w:r>
      <w:r w:rsidR="001007FE" w:rsidRPr="00F63965">
        <w:t xml:space="preserve">Océan ont été organisées </w:t>
      </w:r>
      <w:r w:rsidR="00FF69DB" w:rsidRPr="00F63965">
        <w:t>dans le cadre</w:t>
      </w:r>
      <w:r w:rsidR="001007FE" w:rsidRPr="00F63965">
        <w:t xml:space="preserve"> du Congrès mondial de la nature de l</w:t>
      </w:r>
      <w:r w:rsidR="009B1FBB" w:rsidRPr="00F63965">
        <w:t>’</w:t>
      </w:r>
      <w:r w:rsidR="001007FE" w:rsidRPr="00F63965">
        <w:t>UICN (Marseille, septembre</w:t>
      </w:r>
      <w:r w:rsidR="009B1FBB" w:rsidRPr="00F63965">
        <w:t> </w:t>
      </w:r>
      <w:r w:rsidR="001007FE" w:rsidRPr="00F63965">
        <w:t>2021), de la 26</w:t>
      </w:r>
      <w:r w:rsidR="001007FE" w:rsidRPr="00F63965">
        <w:rPr>
          <w:vertAlign w:val="superscript"/>
        </w:rPr>
        <w:t>e</w:t>
      </w:r>
      <w:r w:rsidR="009D3378" w:rsidRPr="00F63965">
        <w:t> </w:t>
      </w:r>
      <w:r w:rsidR="001007FE" w:rsidRPr="00F63965">
        <w:t xml:space="preserve">Conférence des Parties à la CCNUCC (COP-26, Glasgow, novembre 2021) et de la </w:t>
      </w:r>
      <w:r w:rsidR="001007FE" w:rsidRPr="00F63965">
        <w:rPr>
          <w:i/>
        </w:rPr>
        <w:t>Monaco Ocean Week</w:t>
      </w:r>
      <w:r w:rsidR="001007FE" w:rsidRPr="00F63965">
        <w:t xml:space="preserve"> (Monaco, mars 2022). La Décennie de l</w:t>
      </w:r>
      <w:r w:rsidR="009B1FBB" w:rsidRPr="00F63965">
        <w:t>’</w:t>
      </w:r>
      <w:r w:rsidR="001007FE" w:rsidRPr="00F63965">
        <w:t>Océan a joué un rôle central dans le</w:t>
      </w:r>
      <w:r w:rsidR="001007FE" w:rsidRPr="00F63965">
        <w:rPr>
          <w:i/>
        </w:rPr>
        <w:t xml:space="preserve"> One Ocean Summit</w:t>
      </w:r>
      <w:r w:rsidR="001007FE" w:rsidRPr="00F63965">
        <w:t xml:space="preserve"> à Brest, en février 2022. Dans le cadre de la conférence </w:t>
      </w:r>
      <w:r w:rsidR="00FF69DB" w:rsidRPr="00F63965">
        <w:t>« </w:t>
      </w:r>
      <w:r w:rsidR="001007FE" w:rsidRPr="00F63965">
        <w:t>Notre océan</w:t>
      </w:r>
      <w:r w:rsidR="00FF69DB" w:rsidRPr="00F63965">
        <w:t> »</w:t>
      </w:r>
      <w:r w:rsidR="001007FE" w:rsidRPr="00F63965">
        <w:t xml:space="preserve"> (Palau, avril</w:t>
      </w:r>
      <w:r w:rsidR="009B1FBB" w:rsidRPr="00F63965">
        <w:t> </w:t>
      </w:r>
      <w:r w:rsidR="001007FE" w:rsidRPr="00F63965">
        <w:t>2022), la COI</w:t>
      </w:r>
      <w:r w:rsidR="00F63965" w:rsidRPr="00F63965">
        <w:t>-</w:t>
      </w:r>
      <w:r w:rsidR="001007FE" w:rsidRPr="00F63965">
        <w:t>UNESCO s</w:t>
      </w:r>
      <w:r w:rsidR="009B1FBB" w:rsidRPr="00F63965">
        <w:t>’</w:t>
      </w:r>
      <w:r w:rsidR="001007FE">
        <w:t xml:space="preserve">est engagée à mettre en place de nouveaux partenariats et à </w:t>
      </w:r>
      <w:r w:rsidR="001007FE">
        <w:lastRenderedPageBreak/>
        <w:t>mobiliser de nouvelles ressources pour soutenir la mise en œuvre de la Décennie de l</w:t>
      </w:r>
      <w:r w:rsidR="009B1FBB">
        <w:t>’</w:t>
      </w:r>
      <w:r w:rsidR="001007FE">
        <w:t>Océan dans la région des PEID du Pacifique. La série des «</w:t>
      </w:r>
      <w:r w:rsidR="009B1FBB">
        <w:t> </w:t>
      </w:r>
      <w:r w:rsidR="001007FE">
        <w:t>laboratoires de la Décennie</w:t>
      </w:r>
      <w:r w:rsidR="009B1FBB">
        <w:t> </w:t>
      </w:r>
      <w:r w:rsidR="001007FE">
        <w:t>» virtuels, soutenue par l</w:t>
      </w:r>
      <w:r w:rsidR="009B1FBB">
        <w:t>’</w:t>
      </w:r>
      <w:r w:rsidR="001007FE">
        <w:t>Allemagne dans le cadre de la première Conférence internationale de la Décennie de l</w:t>
      </w:r>
      <w:r w:rsidR="009B1FBB">
        <w:t>’</w:t>
      </w:r>
      <w:r w:rsidR="001007FE">
        <w:t xml:space="preserve">Océan, sera achevée début juin et il en sera rendu compte lors de la Conférence des </w:t>
      </w:r>
      <w:r w:rsidR="009D3378">
        <w:t>Nations Unies</w:t>
      </w:r>
      <w:r w:rsidR="001007FE">
        <w:t xml:space="preserve"> sur les océans (Lisbonne, juin 2022).</w:t>
      </w:r>
    </w:p>
    <w:p w14:paraId="01960CE8" w14:textId="38AFFB9A" w:rsidR="001007FE" w:rsidRPr="00597D9A" w:rsidRDefault="00416371" w:rsidP="00DF4459">
      <w:pPr>
        <w:pStyle w:val="Marge"/>
        <w:rPr>
          <w:rFonts w:cs="Arial"/>
          <w:color w:val="000000" w:themeColor="text1"/>
        </w:rPr>
      </w:pPr>
      <w:r>
        <w:t>32.</w:t>
      </w:r>
      <w:r>
        <w:tab/>
      </w:r>
      <w:r w:rsidR="001007FE">
        <w:t>En octobre</w:t>
      </w:r>
      <w:r w:rsidR="009B1FBB">
        <w:t> </w:t>
      </w:r>
      <w:r w:rsidR="001007FE">
        <w:t xml:space="preserve">2021, la COI-UNESCO a lancé un nouveau site </w:t>
      </w:r>
      <w:r w:rsidR="00FF69DB">
        <w:t>W</w:t>
      </w:r>
      <w:r w:rsidR="001007FE">
        <w:t>eb</w:t>
      </w:r>
      <w:r w:rsidR="00FF69DB">
        <w:t> :</w:t>
      </w:r>
      <w:r w:rsidR="001007FE">
        <w:t xml:space="preserve"> </w:t>
      </w:r>
      <w:hyperlink r:id="rId16" w:history="1">
        <w:r w:rsidR="00FF69DB" w:rsidRPr="00662B31">
          <w:rPr>
            <w:rStyle w:val="Lienhypertexte"/>
          </w:rPr>
          <w:t>www.oceandecade.org</w:t>
        </w:r>
      </w:hyperlink>
      <w:r w:rsidR="001007FE">
        <w:t xml:space="preserve">. Des sections consacrées aux actualités, aux manifestations et aux ressources sont régulièrement mises à jour par un éditeur </w:t>
      </w:r>
      <w:r w:rsidR="002F5731">
        <w:t>W</w:t>
      </w:r>
      <w:r w:rsidR="001007FE">
        <w:t>eb afin d</w:t>
      </w:r>
      <w:r w:rsidR="009B1FBB">
        <w:t>’</w:t>
      </w:r>
      <w:r w:rsidR="001007FE">
        <w:t>assurer une large promotion de toutes les activités. Le tableau</w:t>
      </w:r>
      <w:r w:rsidR="009D3378">
        <w:t> </w:t>
      </w:r>
      <w:r w:rsidR="001007FE">
        <w:t xml:space="preserve">1 </w:t>
      </w:r>
      <w:r w:rsidR="00FF69DB">
        <w:t>présente</w:t>
      </w:r>
      <w:r w:rsidR="001007FE">
        <w:t xml:space="preserve"> des informations </w:t>
      </w:r>
      <w:r w:rsidR="00FF69DB">
        <w:t>sur</w:t>
      </w:r>
      <w:r w:rsidR="001007FE">
        <w:t xml:space="preserve"> </w:t>
      </w:r>
      <w:r w:rsidR="00FF69DB">
        <w:t>la fréquentation</w:t>
      </w:r>
      <w:r w:rsidR="001007FE">
        <w:t xml:space="preserve"> </w:t>
      </w:r>
      <w:r w:rsidR="00FF69DB">
        <w:t>du</w:t>
      </w:r>
      <w:r w:rsidR="001007FE">
        <w:t xml:space="preserve"> site </w:t>
      </w:r>
      <w:r w:rsidR="00FF69DB">
        <w:t>W</w:t>
      </w:r>
      <w:r w:rsidR="001007FE">
        <w:t>eb.</w:t>
      </w:r>
    </w:p>
    <w:p w14:paraId="7479D4E1" w14:textId="2516603C" w:rsidR="001007FE" w:rsidRPr="00597D9A" w:rsidRDefault="001007FE" w:rsidP="00DF4459">
      <w:pPr>
        <w:spacing w:after="240"/>
        <w:jc w:val="center"/>
        <w:rPr>
          <w:rFonts w:cs="Arial"/>
          <w:b/>
          <w:bCs/>
        </w:rPr>
      </w:pPr>
      <w:r>
        <w:rPr>
          <w:b/>
          <w:bCs/>
        </w:rPr>
        <w:t>Tableau 1.</w:t>
      </w:r>
      <w:r>
        <w:t xml:space="preserve"> </w:t>
      </w:r>
      <w:r>
        <w:rPr>
          <w:b/>
          <w:bCs/>
        </w:rPr>
        <w:t xml:space="preserve">Analyse de la fréquentation du site </w:t>
      </w:r>
      <w:r w:rsidR="00FF69DB">
        <w:rPr>
          <w:b/>
          <w:bCs/>
        </w:rPr>
        <w:t>W</w:t>
      </w:r>
      <w:r>
        <w:rPr>
          <w:b/>
          <w:bCs/>
        </w:rPr>
        <w:t xml:space="preserve">eb </w:t>
      </w:r>
      <w:r w:rsidR="00DF4459">
        <w:rPr>
          <w:b/>
          <w:bCs/>
        </w:rPr>
        <w:br/>
      </w:r>
      <w:r>
        <w:rPr>
          <w:b/>
          <w:bCs/>
        </w:rPr>
        <w:t>pour la période du 1</w:t>
      </w:r>
      <w:r w:rsidRPr="00FF69DB">
        <w:rPr>
          <w:b/>
          <w:bCs/>
          <w:vertAlign w:val="superscript"/>
        </w:rPr>
        <w:t>er</w:t>
      </w:r>
      <w:r>
        <w:rPr>
          <w:b/>
          <w:bCs/>
        </w:rPr>
        <w:t xml:space="preserve"> janvier 2021 au 22 avril 2022</w:t>
      </w:r>
    </w:p>
    <w:tbl>
      <w:tblPr>
        <w:tblW w:w="902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256"/>
        <w:gridCol w:w="2256"/>
        <w:gridCol w:w="2257"/>
        <w:gridCol w:w="2257"/>
      </w:tblGrid>
      <w:tr w:rsidR="001007FE" w:rsidRPr="001B7DE0" w14:paraId="18709EB8" w14:textId="77777777" w:rsidTr="000A25C2">
        <w:trPr>
          <w:trHeight w:val="465"/>
          <w:jc w:val="center"/>
        </w:trPr>
        <w:tc>
          <w:tcPr>
            <w:tcW w:w="2256" w:type="dxa"/>
            <w:shd w:val="clear" w:color="auto" w:fill="auto"/>
            <w:tcMar>
              <w:top w:w="100" w:type="dxa"/>
              <w:left w:w="100" w:type="dxa"/>
              <w:bottom w:w="100" w:type="dxa"/>
              <w:right w:w="100" w:type="dxa"/>
            </w:tcMar>
            <w:vAlign w:val="center"/>
          </w:tcPr>
          <w:p w14:paraId="00E8A937" w14:textId="77777777" w:rsidR="001007FE" w:rsidRPr="00597D9A" w:rsidRDefault="001007FE" w:rsidP="002F5731">
            <w:pPr>
              <w:widowControl w:val="0"/>
              <w:pBdr>
                <w:top w:val="nil"/>
                <w:left w:val="nil"/>
                <w:bottom w:val="nil"/>
                <w:right w:val="nil"/>
                <w:between w:val="nil"/>
              </w:pBdr>
              <w:jc w:val="center"/>
              <w:rPr>
                <w:rFonts w:cs="Arial"/>
                <w:b/>
                <w:sz w:val="20"/>
                <w:szCs w:val="20"/>
              </w:rPr>
            </w:pPr>
            <w:r>
              <w:rPr>
                <w:b/>
                <w:bCs/>
              </w:rPr>
              <w:t>Visiteurs uniques</w:t>
            </w:r>
          </w:p>
        </w:tc>
        <w:tc>
          <w:tcPr>
            <w:tcW w:w="2256" w:type="dxa"/>
            <w:shd w:val="clear" w:color="auto" w:fill="auto"/>
            <w:tcMar>
              <w:top w:w="100" w:type="dxa"/>
              <w:left w:w="100" w:type="dxa"/>
              <w:bottom w:w="100" w:type="dxa"/>
              <w:right w:w="100" w:type="dxa"/>
            </w:tcMar>
            <w:vAlign w:val="center"/>
          </w:tcPr>
          <w:p w14:paraId="78B04A2A" w14:textId="55E8B54B" w:rsidR="001007FE" w:rsidRPr="0051700F" w:rsidRDefault="001007FE" w:rsidP="002F5731">
            <w:pPr>
              <w:widowControl w:val="0"/>
              <w:pBdr>
                <w:top w:val="nil"/>
                <w:left w:val="nil"/>
                <w:bottom w:val="nil"/>
                <w:right w:val="nil"/>
                <w:between w:val="nil"/>
              </w:pBdr>
              <w:jc w:val="center"/>
              <w:rPr>
                <w:rFonts w:cs="Arial"/>
                <w:b/>
                <w:bCs/>
                <w:sz w:val="20"/>
                <w:szCs w:val="20"/>
              </w:rPr>
            </w:pPr>
            <w:r w:rsidRPr="0051700F">
              <w:rPr>
                <w:b/>
                <w:bCs/>
              </w:rPr>
              <w:t>Nombre de vues</w:t>
            </w:r>
          </w:p>
        </w:tc>
        <w:tc>
          <w:tcPr>
            <w:tcW w:w="2256" w:type="dxa"/>
            <w:shd w:val="clear" w:color="auto" w:fill="auto"/>
            <w:tcMar>
              <w:top w:w="100" w:type="dxa"/>
              <w:left w:w="100" w:type="dxa"/>
              <w:bottom w:w="100" w:type="dxa"/>
              <w:right w:w="100" w:type="dxa"/>
            </w:tcMar>
            <w:vAlign w:val="center"/>
          </w:tcPr>
          <w:p w14:paraId="1E1A2D64" w14:textId="52540482" w:rsidR="001007FE" w:rsidRPr="00597D9A" w:rsidRDefault="001007FE" w:rsidP="002F5731">
            <w:pPr>
              <w:widowControl w:val="0"/>
              <w:pBdr>
                <w:top w:val="nil"/>
                <w:left w:val="nil"/>
                <w:bottom w:val="nil"/>
                <w:right w:val="nil"/>
                <w:between w:val="nil"/>
              </w:pBdr>
              <w:jc w:val="center"/>
              <w:rPr>
                <w:rFonts w:cs="Arial"/>
                <w:b/>
                <w:sz w:val="20"/>
                <w:szCs w:val="20"/>
              </w:rPr>
            </w:pPr>
            <w:r>
              <w:rPr>
                <w:b/>
                <w:bCs/>
              </w:rPr>
              <w:t xml:space="preserve">Durée moyenne </w:t>
            </w:r>
            <w:r w:rsidR="002F5731">
              <w:rPr>
                <w:b/>
                <w:bCs/>
              </w:rPr>
              <w:br/>
            </w:r>
            <w:r>
              <w:rPr>
                <w:b/>
                <w:bCs/>
              </w:rPr>
              <w:t>de la consultation</w:t>
            </w:r>
          </w:p>
        </w:tc>
        <w:tc>
          <w:tcPr>
            <w:tcW w:w="2256" w:type="dxa"/>
            <w:shd w:val="clear" w:color="auto" w:fill="auto"/>
            <w:tcMar>
              <w:top w:w="100" w:type="dxa"/>
              <w:left w:w="100" w:type="dxa"/>
              <w:bottom w:w="100" w:type="dxa"/>
              <w:right w:w="100" w:type="dxa"/>
            </w:tcMar>
            <w:vAlign w:val="center"/>
          </w:tcPr>
          <w:p w14:paraId="6D4C0534" w14:textId="77777777" w:rsidR="001007FE" w:rsidRPr="00597D9A" w:rsidRDefault="001007FE" w:rsidP="002F5731">
            <w:pPr>
              <w:widowControl w:val="0"/>
              <w:pBdr>
                <w:top w:val="nil"/>
                <w:left w:val="nil"/>
                <w:bottom w:val="nil"/>
                <w:right w:val="nil"/>
                <w:between w:val="nil"/>
              </w:pBdr>
              <w:jc w:val="center"/>
              <w:rPr>
                <w:rFonts w:cs="Arial"/>
                <w:b/>
                <w:sz w:val="20"/>
                <w:szCs w:val="20"/>
              </w:rPr>
            </w:pPr>
            <w:r>
              <w:rPr>
                <w:b/>
                <w:bCs/>
              </w:rPr>
              <w:t>Pays et territoires</w:t>
            </w:r>
          </w:p>
        </w:tc>
      </w:tr>
      <w:tr w:rsidR="001007FE" w:rsidRPr="001B7DE0" w14:paraId="53CAEBB0" w14:textId="77777777" w:rsidTr="000A25C2">
        <w:trPr>
          <w:jc w:val="center"/>
        </w:trPr>
        <w:tc>
          <w:tcPr>
            <w:tcW w:w="2256" w:type="dxa"/>
            <w:shd w:val="clear" w:color="auto" w:fill="auto"/>
            <w:tcMar>
              <w:top w:w="100" w:type="dxa"/>
              <w:left w:w="100" w:type="dxa"/>
              <w:bottom w:w="100" w:type="dxa"/>
              <w:right w:w="100" w:type="dxa"/>
            </w:tcMar>
          </w:tcPr>
          <w:p w14:paraId="3385B204" w14:textId="77777777" w:rsidR="001007FE" w:rsidRPr="00597D9A" w:rsidRDefault="001007FE" w:rsidP="002F5731">
            <w:pPr>
              <w:widowControl w:val="0"/>
              <w:pBdr>
                <w:top w:val="nil"/>
                <w:left w:val="nil"/>
                <w:bottom w:val="nil"/>
                <w:right w:val="nil"/>
                <w:between w:val="nil"/>
              </w:pBdr>
              <w:spacing w:before="60" w:after="60"/>
              <w:jc w:val="center"/>
              <w:rPr>
                <w:rFonts w:cs="Arial"/>
                <w:sz w:val="20"/>
                <w:szCs w:val="20"/>
              </w:rPr>
            </w:pPr>
            <w:r>
              <w:t>159 000</w:t>
            </w:r>
          </w:p>
        </w:tc>
        <w:tc>
          <w:tcPr>
            <w:tcW w:w="2256" w:type="dxa"/>
            <w:shd w:val="clear" w:color="auto" w:fill="auto"/>
            <w:tcMar>
              <w:top w:w="100" w:type="dxa"/>
              <w:left w:w="100" w:type="dxa"/>
              <w:bottom w:w="100" w:type="dxa"/>
              <w:right w:w="100" w:type="dxa"/>
            </w:tcMar>
          </w:tcPr>
          <w:p w14:paraId="2B0B0DA2" w14:textId="77777777" w:rsidR="001007FE" w:rsidRPr="00597D9A" w:rsidRDefault="001007FE" w:rsidP="002F5731">
            <w:pPr>
              <w:widowControl w:val="0"/>
              <w:pBdr>
                <w:top w:val="nil"/>
                <w:left w:val="nil"/>
                <w:bottom w:val="nil"/>
                <w:right w:val="nil"/>
                <w:between w:val="nil"/>
              </w:pBdr>
              <w:spacing w:before="60" w:after="60"/>
              <w:jc w:val="center"/>
              <w:rPr>
                <w:rFonts w:cs="Arial"/>
                <w:sz w:val="20"/>
                <w:szCs w:val="20"/>
              </w:rPr>
            </w:pPr>
            <w:r>
              <w:t>539 506</w:t>
            </w:r>
          </w:p>
        </w:tc>
        <w:tc>
          <w:tcPr>
            <w:tcW w:w="2256" w:type="dxa"/>
            <w:shd w:val="clear" w:color="auto" w:fill="auto"/>
            <w:tcMar>
              <w:top w:w="100" w:type="dxa"/>
              <w:left w:w="100" w:type="dxa"/>
              <w:bottom w:w="100" w:type="dxa"/>
              <w:right w:w="100" w:type="dxa"/>
            </w:tcMar>
          </w:tcPr>
          <w:p w14:paraId="6216D2F2" w14:textId="0EE7F282" w:rsidR="001007FE" w:rsidRPr="00597D9A" w:rsidRDefault="001007FE" w:rsidP="002F5731">
            <w:pPr>
              <w:widowControl w:val="0"/>
              <w:pBdr>
                <w:top w:val="nil"/>
                <w:left w:val="nil"/>
                <w:bottom w:val="nil"/>
                <w:right w:val="nil"/>
                <w:between w:val="nil"/>
              </w:pBdr>
              <w:spacing w:before="60" w:after="60"/>
              <w:jc w:val="center"/>
              <w:rPr>
                <w:rFonts w:cs="Arial"/>
                <w:sz w:val="20"/>
                <w:szCs w:val="20"/>
              </w:rPr>
            </w:pPr>
            <w:r>
              <w:t>±1min52</w:t>
            </w:r>
          </w:p>
        </w:tc>
        <w:tc>
          <w:tcPr>
            <w:tcW w:w="2256" w:type="dxa"/>
            <w:shd w:val="clear" w:color="auto" w:fill="auto"/>
            <w:tcMar>
              <w:top w:w="100" w:type="dxa"/>
              <w:left w:w="100" w:type="dxa"/>
              <w:bottom w:w="100" w:type="dxa"/>
              <w:right w:w="100" w:type="dxa"/>
            </w:tcMar>
          </w:tcPr>
          <w:p w14:paraId="20A7789D" w14:textId="77777777" w:rsidR="001007FE" w:rsidRPr="00597D9A" w:rsidRDefault="001007FE" w:rsidP="002F5731">
            <w:pPr>
              <w:widowControl w:val="0"/>
              <w:pBdr>
                <w:top w:val="nil"/>
                <w:left w:val="nil"/>
                <w:bottom w:val="nil"/>
                <w:right w:val="nil"/>
                <w:between w:val="nil"/>
              </w:pBdr>
              <w:spacing w:before="60" w:after="60"/>
              <w:jc w:val="center"/>
              <w:rPr>
                <w:rFonts w:cs="Arial"/>
                <w:sz w:val="20"/>
                <w:szCs w:val="20"/>
              </w:rPr>
            </w:pPr>
            <w:r>
              <w:t>233</w:t>
            </w:r>
          </w:p>
        </w:tc>
      </w:tr>
    </w:tbl>
    <w:p w14:paraId="2AC091CF" w14:textId="1B2B95C7" w:rsidR="001007FE" w:rsidRPr="00ED6A6C" w:rsidRDefault="001007FE" w:rsidP="000A25C2">
      <w:pPr>
        <w:pBdr>
          <w:top w:val="nil"/>
          <w:left w:val="nil"/>
          <w:bottom w:val="nil"/>
          <w:right w:val="nil"/>
          <w:between w:val="nil"/>
        </w:pBdr>
        <w:spacing w:before="40" w:after="240"/>
        <w:ind w:left="181"/>
        <w:rPr>
          <w:rFonts w:cs="Arial"/>
          <w:sz w:val="20"/>
          <w:szCs w:val="20"/>
        </w:rPr>
      </w:pPr>
      <w:r w:rsidRPr="00ED6A6C">
        <w:rPr>
          <w:i/>
          <w:iCs/>
          <w:sz w:val="20"/>
          <w:szCs w:val="20"/>
        </w:rPr>
        <w:t>Source</w:t>
      </w:r>
      <w:r w:rsidRPr="00ED6A6C">
        <w:rPr>
          <w:sz w:val="20"/>
          <w:szCs w:val="20"/>
        </w:rPr>
        <w:t> : COI-UNESCO</w:t>
      </w:r>
      <w:r w:rsidR="00ED6A6C" w:rsidRPr="00ED6A6C">
        <w:rPr>
          <w:sz w:val="20"/>
          <w:szCs w:val="20"/>
        </w:rPr>
        <w:t>.</w:t>
      </w:r>
    </w:p>
    <w:p w14:paraId="38A687FE" w14:textId="2E86FD1A" w:rsidR="001007FE" w:rsidRPr="00597D9A" w:rsidRDefault="00416371" w:rsidP="00DF4459">
      <w:pPr>
        <w:pStyle w:val="Marge"/>
        <w:rPr>
          <w:rFonts w:cs="Arial"/>
          <w:color w:val="000000" w:themeColor="text1"/>
        </w:rPr>
      </w:pPr>
      <w:r>
        <w:t>33.</w:t>
      </w:r>
      <w:r>
        <w:tab/>
      </w:r>
      <w:r w:rsidR="003428A7">
        <w:t>Dans le même temps</w:t>
      </w:r>
      <w:r w:rsidR="001007FE">
        <w:t>, une plate</w:t>
      </w:r>
      <w:r w:rsidR="00B04030">
        <w:noBreakHyphen/>
      </w:r>
      <w:r w:rsidR="001007FE">
        <w:t>forme interactive en ligne a été lancée sous le nom de Forum mondial des parties prenantes (forum.oceandecade.org), avec l</w:t>
      </w:r>
      <w:r w:rsidR="009B1FBB">
        <w:t>’</w:t>
      </w:r>
      <w:r w:rsidR="001007FE">
        <w:t>aide d</w:t>
      </w:r>
      <w:r w:rsidR="009B1FBB">
        <w:t>’</w:t>
      </w:r>
      <w:r w:rsidR="001007FE">
        <w:t>un gestionnaire de communauté</w:t>
      </w:r>
      <w:r w:rsidR="003428A7" w:rsidRPr="003428A7">
        <w:t xml:space="preserve"> </w:t>
      </w:r>
      <w:r w:rsidR="003428A7">
        <w:t>à plein temps</w:t>
      </w:r>
      <w:r w:rsidR="001007FE">
        <w:t xml:space="preserve">. Le Forum mondial des parties prenantes permet à des personnes du monde entier, issues de </w:t>
      </w:r>
      <w:r w:rsidR="003428A7">
        <w:t>différents</w:t>
      </w:r>
      <w:r w:rsidR="001007FE">
        <w:t xml:space="preserve"> groupes de </w:t>
      </w:r>
      <w:r w:rsidR="003428A7">
        <w:t xml:space="preserve">la </w:t>
      </w:r>
      <w:r w:rsidR="001007FE">
        <w:t>population, de participer activement à la Décennie de l</w:t>
      </w:r>
      <w:r w:rsidR="009B1FBB">
        <w:t>’</w:t>
      </w:r>
      <w:r w:rsidR="001007FE">
        <w:t xml:space="preserve">Océan. En avril 2022, il avait déjà attiré 4 060 visiteurs dans 139 pays. Il </w:t>
      </w:r>
      <w:r w:rsidR="003428A7">
        <w:t>tient lieu</w:t>
      </w:r>
      <w:r w:rsidR="001007FE">
        <w:t xml:space="preserve"> de portail pour soumettre des propositions dans le cadre des </w:t>
      </w:r>
      <w:r w:rsidR="001007FE" w:rsidRPr="00A8289A">
        <w:t>appels</w:t>
      </w:r>
      <w:r w:rsidR="001007FE">
        <w:t xml:space="preserve"> à l</w:t>
      </w:r>
      <w:r w:rsidR="009B1FBB">
        <w:t>’</w:t>
      </w:r>
      <w:r w:rsidR="001007FE">
        <w:t>action de la Décennie ainsi que les demandes d</w:t>
      </w:r>
      <w:r w:rsidR="009B1FBB">
        <w:t>’</w:t>
      </w:r>
      <w:r w:rsidR="001007FE">
        <w:t>approbation des contributions et activités de la Décennie. Il assure également l</w:t>
      </w:r>
      <w:r w:rsidR="009B1FBB">
        <w:t>’</w:t>
      </w:r>
      <w:r w:rsidR="001007FE">
        <w:t>hébergement numérique des communautés de pratique, des comités nationaux de la Décennie, des groupes de travail informels, ainsi que d</w:t>
      </w:r>
      <w:r w:rsidR="009B1FBB">
        <w:t>’</w:t>
      </w:r>
      <w:r w:rsidR="001007FE">
        <w:t xml:space="preserve">autres groupes de parties prenantes de la Décennie. </w:t>
      </w:r>
    </w:p>
    <w:p w14:paraId="67BBF449" w14:textId="76B13927" w:rsidR="001007FE" w:rsidRPr="00597D9A" w:rsidRDefault="00416371" w:rsidP="00DF4459">
      <w:pPr>
        <w:pStyle w:val="Marge"/>
        <w:rPr>
          <w:rFonts w:cs="Arial"/>
          <w:color w:val="000000" w:themeColor="text1"/>
        </w:rPr>
      </w:pPr>
      <w:r>
        <w:t>34.</w:t>
      </w:r>
      <w:r>
        <w:tab/>
      </w:r>
      <w:r w:rsidR="001007FE">
        <w:t>Au cours des 18</w:t>
      </w:r>
      <w:r w:rsidR="00B04030">
        <w:t> </w:t>
      </w:r>
      <w:r w:rsidR="001007FE">
        <w:t>premiers mois de sa mise en œuvre, la Décennie a attiré plus de 22</w:t>
      </w:r>
      <w:r w:rsidR="00B04030">
        <w:t> </w:t>
      </w:r>
      <w:r w:rsidR="001007FE">
        <w:t>500</w:t>
      </w:r>
      <w:r w:rsidR="00B04030">
        <w:t> </w:t>
      </w:r>
      <w:r w:rsidR="001007FE">
        <w:t xml:space="preserve">abonnés sur les médias sociaux, </w:t>
      </w:r>
      <w:r w:rsidR="003428A7">
        <w:t>issus du</w:t>
      </w:r>
      <w:r w:rsidR="001007FE">
        <w:t xml:space="preserve"> milieu scientifique, de gouvernements et </w:t>
      </w:r>
      <w:r w:rsidR="003428A7">
        <w:t>du</w:t>
      </w:r>
      <w:r w:rsidR="001007FE">
        <w:t xml:space="preserve"> secteur privé </w:t>
      </w:r>
      <w:r w:rsidR="003428A7">
        <w:t>mais aussi des</w:t>
      </w:r>
      <w:r w:rsidR="001007FE">
        <w:t xml:space="preserve"> philanthropes et </w:t>
      </w:r>
      <w:r w:rsidR="003428A7">
        <w:t>des</w:t>
      </w:r>
      <w:r w:rsidR="001007FE">
        <w:t xml:space="preserve"> citoyens, comme l</w:t>
      </w:r>
      <w:r w:rsidR="009B1FBB">
        <w:t>’</w:t>
      </w:r>
      <w:r w:rsidR="001007FE">
        <w:t>illustre le tableau</w:t>
      </w:r>
      <w:r w:rsidR="00B04030">
        <w:t> </w:t>
      </w:r>
      <w:r w:rsidR="001007FE">
        <w:t xml:space="preserve">2. Cinq partenariats avec des médias ont également été conclus, </w:t>
      </w:r>
      <w:r w:rsidR="003428A7">
        <w:t>donnant lieu à</w:t>
      </w:r>
      <w:r w:rsidR="001007FE">
        <w:t xml:space="preserve"> une couverture mondiale de la Décennie de l</w:t>
      </w:r>
      <w:r w:rsidR="009B1FBB">
        <w:t>’</w:t>
      </w:r>
      <w:r w:rsidR="001007FE">
        <w:t>Océan en ligne et dans la presse écrite.</w:t>
      </w:r>
      <w:bookmarkStart w:id="2" w:name="_heading=h.x262lmypw2mc" w:colFirst="0" w:colLast="0"/>
      <w:bookmarkEnd w:id="2"/>
    </w:p>
    <w:p w14:paraId="30978CA1" w14:textId="77777777" w:rsidR="001007FE" w:rsidRPr="00597D9A" w:rsidRDefault="001007FE" w:rsidP="001007FE">
      <w:pPr>
        <w:pStyle w:val="Style2"/>
        <w:tabs>
          <w:tab w:val="clear" w:pos="1400"/>
          <w:tab w:val="left" w:pos="0"/>
        </w:tabs>
        <w:snapToGrid w:val="0"/>
        <w:ind w:left="0"/>
        <w:jc w:val="center"/>
        <w:rPr>
          <w:rFonts w:cs="Arial"/>
          <w:color w:val="000000" w:themeColor="text1"/>
        </w:rPr>
      </w:pPr>
      <w:r>
        <w:rPr>
          <w:b/>
          <w:bCs/>
          <w:lang w:val="fr-FR"/>
        </w:rPr>
        <w:t>Tableau 2 : Analyse des médias sociaux au 22 avril 2022</w:t>
      </w:r>
    </w:p>
    <w:tbl>
      <w:tblPr>
        <w:tblW w:w="8850" w:type="dxa"/>
        <w:jc w:val="center"/>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117"/>
        <w:gridCol w:w="1701"/>
        <w:gridCol w:w="1701"/>
        <w:gridCol w:w="1606"/>
        <w:gridCol w:w="1725"/>
      </w:tblGrid>
      <w:tr w:rsidR="001007FE" w:rsidRPr="001B7DE0" w14:paraId="56D2CDA1" w14:textId="77777777" w:rsidTr="000A25C2">
        <w:trPr>
          <w:trHeight w:val="325"/>
          <w:jc w:val="center"/>
        </w:trPr>
        <w:tc>
          <w:tcPr>
            <w:tcW w:w="21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vAlign w:val="center"/>
          </w:tcPr>
          <w:p w14:paraId="40FADCD9" w14:textId="77777777" w:rsidR="001007FE" w:rsidRPr="00597D9A" w:rsidRDefault="001007FE" w:rsidP="00586E87">
            <w:pPr>
              <w:spacing w:line="268" w:lineRule="auto"/>
              <w:jc w:val="center"/>
              <w:rPr>
                <w:rFonts w:asciiTheme="minorBidi" w:hAnsiTheme="minorBidi" w:cstheme="minorBidi"/>
                <w:sz w:val="20"/>
                <w:szCs w:val="20"/>
              </w:rPr>
            </w:pPr>
          </w:p>
        </w:tc>
        <w:tc>
          <w:tcPr>
            <w:tcW w:w="1701"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vAlign w:val="center"/>
          </w:tcPr>
          <w:p w14:paraId="72F73AEF" w14:textId="77777777" w:rsidR="001007FE" w:rsidRPr="00597D9A" w:rsidRDefault="001007FE" w:rsidP="00586E87">
            <w:pPr>
              <w:spacing w:line="268" w:lineRule="auto"/>
              <w:jc w:val="center"/>
              <w:rPr>
                <w:rFonts w:asciiTheme="minorBidi" w:hAnsiTheme="minorBidi" w:cstheme="minorBidi"/>
                <w:b/>
                <w:sz w:val="20"/>
                <w:szCs w:val="20"/>
              </w:rPr>
            </w:pPr>
            <w:r>
              <w:rPr>
                <w:b/>
                <w:bCs/>
              </w:rPr>
              <w:t>Twitter</w:t>
            </w:r>
          </w:p>
        </w:tc>
        <w:tc>
          <w:tcPr>
            <w:tcW w:w="1701"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vAlign w:val="center"/>
          </w:tcPr>
          <w:p w14:paraId="119CD551" w14:textId="77777777" w:rsidR="001007FE" w:rsidRPr="00597D9A" w:rsidRDefault="001007FE" w:rsidP="00586E87">
            <w:pPr>
              <w:spacing w:line="268" w:lineRule="auto"/>
              <w:jc w:val="center"/>
              <w:rPr>
                <w:rFonts w:asciiTheme="minorBidi" w:hAnsiTheme="minorBidi" w:cstheme="minorBidi"/>
                <w:b/>
                <w:sz w:val="20"/>
                <w:szCs w:val="20"/>
              </w:rPr>
            </w:pPr>
            <w:r>
              <w:rPr>
                <w:b/>
                <w:bCs/>
              </w:rPr>
              <w:t>Facebook</w:t>
            </w:r>
          </w:p>
        </w:tc>
        <w:tc>
          <w:tcPr>
            <w:tcW w:w="1606"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vAlign w:val="center"/>
          </w:tcPr>
          <w:p w14:paraId="48B04CE2" w14:textId="77777777" w:rsidR="001007FE" w:rsidRPr="00597D9A" w:rsidRDefault="001007FE" w:rsidP="00586E87">
            <w:pPr>
              <w:spacing w:line="268" w:lineRule="auto"/>
              <w:jc w:val="center"/>
              <w:rPr>
                <w:rFonts w:asciiTheme="minorBidi" w:hAnsiTheme="minorBidi" w:cstheme="minorBidi"/>
                <w:b/>
                <w:sz w:val="20"/>
                <w:szCs w:val="20"/>
              </w:rPr>
            </w:pPr>
            <w:r>
              <w:rPr>
                <w:b/>
                <w:bCs/>
              </w:rPr>
              <w:t>LinkedIn</w:t>
            </w:r>
          </w:p>
        </w:tc>
        <w:tc>
          <w:tcPr>
            <w:tcW w:w="1725"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vAlign w:val="center"/>
          </w:tcPr>
          <w:p w14:paraId="2E824661" w14:textId="77777777" w:rsidR="001007FE" w:rsidRPr="00597D9A" w:rsidRDefault="001007FE" w:rsidP="00586E87">
            <w:pPr>
              <w:spacing w:line="268" w:lineRule="auto"/>
              <w:jc w:val="center"/>
              <w:rPr>
                <w:rFonts w:asciiTheme="minorBidi" w:hAnsiTheme="minorBidi" w:cstheme="minorBidi"/>
                <w:b/>
                <w:sz w:val="20"/>
                <w:szCs w:val="20"/>
              </w:rPr>
            </w:pPr>
            <w:r>
              <w:rPr>
                <w:b/>
                <w:bCs/>
              </w:rPr>
              <w:t>Instagram</w:t>
            </w:r>
          </w:p>
        </w:tc>
      </w:tr>
      <w:tr w:rsidR="001007FE" w:rsidRPr="001B7DE0" w14:paraId="4F9044F4" w14:textId="77777777" w:rsidTr="000A25C2">
        <w:trPr>
          <w:trHeight w:val="165"/>
          <w:jc w:val="center"/>
        </w:trPr>
        <w:tc>
          <w:tcPr>
            <w:tcW w:w="2117"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vAlign w:val="center"/>
          </w:tcPr>
          <w:p w14:paraId="702783E2" w14:textId="77777777" w:rsidR="001007FE" w:rsidRPr="00597D9A" w:rsidRDefault="001007FE" w:rsidP="00586E87">
            <w:pPr>
              <w:spacing w:before="60" w:after="60" w:line="268" w:lineRule="auto"/>
              <w:rPr>
                <w:rFonts w:asciiTheme="minorBidi" w:hAnsiTheme="minorBidi" w:cstheme="minorBidi"/>
                <w:b/>
                <w:sz w:val="20"/>
                <w:szCs w:val="20"/>
              </w:rPr>
            </w:pPr>
            <w:r>
              <w:rPr>
                <w:b/>
                <w:bCs/>
              </w:rPr>
              <w:t>Abonnés</w:t>
            </w:r>
          </w:p>
        </w:tc>
        <w:tc>
          <w:tcPr>
            <w:tcW w:w="1701"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6FB729B" w14:textId="77777777" w:rsidR="001007FE" w:rsidRPr="00597D9A" w:rsidRDefault="001007FE" w:rsidP="00586E87">
            <w:pPr>
              <w:spacing w:before="60" w:after="60" w:line="268" w:lineRule="auto"/>
              <w:jc w:val="center"/>
              <w:rPr>
                <w:rFonts w:asciiTheme="minorBidi" w:hAnsiTheme="minorBidi" w:cstheme="minorBidi"/>
                <w:sz w:val="20"/>
                <w:szCs w:val="20"/>
              </w:rPr>
            </w:pPr>
            <w:r>
              <w:t>8 842</w:t>
            </w:r>
          </w:p>
        </w:tc>
        <w:tc>
          <w:tcPr>
            <w:tcW w:w="1701"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02C38ED" w14:textId="52CB1427" w:rsidR="001007FE" w:rsidRPr="00597D9A" w:rsidRDefault="001007FE" w:rsidP="00586E87">
            <w:pPr>
              <w:spacing w:before="60" w:after="60" w:line="268" w:lineRule="auto"/>
              <w:jc w:val="center"/>
              <w:rPr>
                <w:rFonts w:asciiTheme="minorBidi" w:hAnsiTheme="minorBidi" w:cstheme="minorBidi"/>
                <w:sz w:val="20"/>
                <w:szCs w:val="20"/>
              </w:rPr>
            </w:pPr>
            <w:r>
              <w:t>2 565</w:t>
            </w:r>
          </w:p>
        </w:tc>
        <w:tc>
          <w:tcPr>
            <w:tcW w:w="160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2B9098B7" w14:textId="77777777" w:rsidR="001007FE" w:rsidRPr="00597D9A" w:rsidRDefault="001007FE" w:rsidP="00586E87">
            <w:pPr>
              <w:spacing w:before="60" w:after="60" w:line="268" w:lineRule="auto"/>
              <w:jc w:val="center"/>
              <w:rPr>
                <w:rFonts w:asciiTheme="minorBidi" w:hAnsiTheme="minorBidi" w:cstheme="minorBidi"/>
                <w:sz w:val="20"/>
                <w:szCs w:val="20"/>
              </w:rPr>
            </w:pPr>
            <w:r>
              <w:t>7 633</w:t>
            </w:r>
          </w:p>
        </w:tc>
        <w:tc>
          <w:tcPr>
            <w:tcW w:w="172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653F7C4B" w14:textId="77777777" w:rsidR="001007FE" w:rsidRPr="00597D9A" w:rsidRDefault="001007FE" w:rsidP="00586E87">
            <w:pPr>
              <w:spacing w:before="60" w:after="60" w:line="268" w:lineRule="auto"/>
              <w:jc w:val="center"/>
              <w:rPr>
                <w:rFonts w:asciiTheme="minorBidi" w:hAnsiTheme="minorBidi" w:cstheme="minorBidi"/>
                <w:sz w:val="20"/>
                <w:szCs w:val="20"/>
              </w:rPr>
            </w:pPr>
            <w:r>
              <w:t>3 914</w:t>
            </w:r>
          </w:p>
        </w:tc>
      </w:tr>
      <w:tr w:rsidR="001007FE" w:rsidRPr="001B7DE0" w14:paraId="7AE500D2" w14:textId="77777777" w:rsidTr="000A25C2">
        <w:trPr>
          <w:jc w:val="center"/>
        </w:trPr>
        <w:tc>
          <w:tcPr>
            <w:tcW w:w="2117"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7A44DBB" w14:textId="68F8871D" w:rsidR="001007FE" w:rsidRPr="00597D9A" w:rsidRDefault="001007FE" w:rsidP="002F5731">
            <w:pPr>
              <w:spacing w:line="268" w:lineRule="auto"/>
              <w:rPr>
                <w:rFonts w:asciiTheme="minorBidi" w:hAnsiTheme="minorBidi" w:cstheme="minorBidi"/>
                <w:b/>
                <w:sz w:val="20"/>
                <w:szCs w:val="20"/>
              </w:rPr>
            </w:pPr>
            <w:r>
              <w:rPr>
                <w:b/>
                <w:bCs/>
              </w:rPr>
              <w:t>Interactions</w:t>
            </w:r>
            <w:r w:rsidR="002F5731">
              <w:rPr>
                <w:b/>
                <w:bCs/>
              </w:rPr>
              <w:br/>
            </w:r>
            <w:r>
              <w:rPr>
                <w:b/>
                <w:bCs/>
              </w:rPr>
              <w:t>(réactions + clics)</w:t>
            </w:r>
          </w:p>
        </w:tc>
        <w:tc>
          <w:tcPr>
            <w:tcW w:w="1701"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4546B6C1" w14:textId="77777777" w:rsidR="001007FE" w:rsidRPr="00597D9A" w:rsidRDefault="001007FE" w:rsidP="002F5731">
            <w:pPr>
              <w:spacing w:before="60" w:after="60" w:line="268" w:lineRule="auto"/>
              <w:jc w:val="center"/>
              <w:rPr>
                <w:rFonts w:asciiTheme="minorBidi" w:hAnsiTheme="minorBidi" w:cstheme="minorBidi"/>
                <w:sz w:val="20"/>
                <w:szCs w:val="20"/>
              </w:rPr>
            </w:pPr>
            <w:r>
              <w:t>44 110</w:t>
            </w:r>
          </w:p>
        </w:tc>
        <w:tc>
          <w:tcPr>
            <w:tcW w:w="1701"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44DDF051" w14:textId="77777777" w:rsidR="001007FE" w:rsidRPr="00597D9A" w:rsidRDefault="001007FE" w:rsidP="002F5731">
            <w:pPr>
              <w:spacing w:before="60" w:after="60" w:line="268" w:lineRule="auto"/>
              <w:jc w:val="center"/>
              <w:rPr>
                <w:rFonts w:asciiTheme="minorBidi" w:hAnsiTheme="minorBidi" w:cstheme="minorBidi"/>
                <w:sz w:val="20"/>
                <w:szCs w:val="20"/>
              </w:rPr>
            </w:pPr>
            <w:r>
              <w:t>26 510</w:t>
            </w:r>
          </w:p>
        </w:tc>
        <w:tc>
          <w:tcPr>
            <w:tcW w:w="160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115923FA" w14:textId="77777777" w:rsidR="001007FE" w:rsidRPr="00597D9A" w:rsidRDefault="001007FE" w:rsidP="002F5731">
            <w:pPr>
              <w:spacing w:before="60" w:after="60" w:line="268" w:lineRule="auto"/>
              <w:jc w:val="center"/>
              <w:rPr>
                <w:rFonts w:asciiTheme="minorBidi" w:hAnsiTheme="minorBidi" w:cstheme="minorBidi"/>
                <w:sz w:val="20"/>
                <w:szCs w:val="20"/>
              </w:rPr>
            </w:pPr>
            <w:r>
              <w:t>68 022</w:t>
            </w:r>
          </w:p>
        </w:tc>
        <w:tc>
          <w:tcPr>
            <w:tcW w:w="172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23C5EB6A" w14:textId="77777777" w:rsidR="001007FE" w:rsidRPr="00597D9A" w:rsidRDefault="001007FE" w:rsidP="002F5731">
            <w:pPr>
              <w:spacing w:before="60" w:after="60" w:line="268" w:lineRule="auto"/>
              <w:jc w:val="center"/>
              <w:rPr>
                <w:rFonts w:asciiTheme="minorBidi" w:hAnsiTheme="minorBidi" w:cstheme="minorBidi"/>
                <w:sz w:val="20"/>
                <w:szCs w:val="20"/>
              </w:rPr>
            </w:pPr>
            <w:bookmarkStart w:id="3" w:name="_heading=h.kyqjg4d0ewb3"/>
            <w:bookmarkEnd w:id="3"/>
            <w:r>
              <w:t>N/D</w:t>
            </w:r>
          </w:p>
        </w:tc>
      </w:tr>
    </w:tbl>
    <w:p w14:paraId="3E5D64C9" w14:textId="721DB5E7" w:rsidR="001007FE" w:rsidRPr="00ED6A6C" w:rsidRDefault="001007FE" w:rsidP="000A25C2">
      <w:pPr>
        <w:spacing w:before="40" w:after="240"/>
        <w:ind w:left="284"/>
        <w:rPr>
          <w:rFonts w:cs="Arial"/>
          <w:sz w:val="20"/>
          <w:szCs w:val="20"/>
        </w:rPr>
      </w:pPr>
      <w:r w:rsidRPr="00ED6A6C">
        <w:rPr>
          <w:i/>
          <w:iCs/>
          <w:sz w:val="20"/>
          <w:szCs w:val="20"/>
        </w:rPr>
        <w:t>Source</w:t>
      </w:r>
      <w:r w:rsidR="003428A7" w:rsidRPr="00ED6A6C">
        <w:rPr>
          <w:sz w:val="20"/>
          <w:szCs w:val="20"/>
        </w:rPr>
        <w:t> :</w:t>
      </w:r>
      <w:r w:rsidRPr="00ED6A6C">
        <w:rPr>
          <w:sz w:val="20"/>
          <w:szCs w:val="20"/>
        </w:rPr>
        <w:t xml:space="preserve"> COI-UNESCO</w:t>
      </w:r>
      <w:r w:rsidR="00ED6A6C" w:rsidRPr="00ED6A6C">
        <w:rPr>
          <w:sz w:val="20"/>
          <w:szCs w:val="20"/>
        </w:rPr>
        <w:t>.</w:t>
      </w:r>
    </w:p>
    <w:p w14:paraId="1FF04D76" w14:textId="3D673A96" w:rsidR="001007FE" w:rsidRPr="00597D9A" w:rsidRDefault="00416371" w:rsidP="00DF4459">
      <w:pPr>
        <w:pStyle w:val="Marge"/>
        <w:rPr>
          <w:rFonts w:cs="Arial"/>
          <w:color w:val="000000" w:themeColor="text1"/>
        </w:rPr>
      </w:pPr>
      <w:bookmarkStart w:id="4" w:name="_heading=h.4v18ems62ufm" w:colFirst="0" w:colLast="0"/>
      <w:bookmarkEnd w:id="4"/>
      <w:r>
        <w:t>35.</w:t>
      </w:r>
      <w:r>
        <w:tab/>
      </w:r>
      <w:r w:rsidR="001007FE">
        <w:t xml:space="preserve">La campagne de communication </w:t>
      </w:r>
      <w:r w:rsidR="001007FE" w:rsidRPr="009C5565">
        <w:t>GenOcean</w:t>
      </w:r>
      <w:r w:rsidR="001007FE">
        <w:t xml:space="preserve">, </w:t>
      </w:r>
      <w:r w:rsidR="003428A7">
        <w:t>lancée le 4</w:t>
      </w:r>
      <w:r w:rsidR="009B1FBB">
        <w:t> </w:t>
      </w:r>
      <w:r w:rsidR="003428A7">
        <w:t xml:space="preserve">avril 2022, </w:t>
      </w:r>
      <w:r w:rsidR="001007FE">
        <w:t>s</w:t>
      </w:r>
      <w:r w:rsidR="009B1FBB">
        <w:t>’</w:t>
      </w:r>
      <w:r w:rsidR="001007FE">
        <w:t>adresse au grand public. Elle s</w:t>
      </w:r>
      <w:r w:rsidR="009B1FBB">
        <w:t>’</w:t>
      </w:r>
      <w:r w:rsidR="001007FE">
        <w:t>articule autour de trois axes</w:t>
      </w:r>
      <w:r w:rsidR="003428A7">
        <w:t> :</w:t>
      </w:r>
      <w:r w:rsidR="001007FE">
        <w:t xml:space="preserve"> les actions, les gens, les sciences. En présentant les histoires d</w:t>
      </w:r>
      <w:r w:rsidR="009B1FBB">
        <w:t>’</w:t>
      </w:r>
      <w:r w:rsidR="001007FE">
        <w:t>individus de différents horizons et la manière dont ils s</w:t>
      </w:r>
      <w:r w:rsidR="009B1FBB">
        <w:t>’</w:t>
      </w:r>
      <w:r w:rsidR="001007FE">
        <w:t>engagent pour l</w:t>
      </w:r>
      <w:r w:rsidR="009B1FBB">
        <w:t>’</w:t>
      </w:r>
      <w:r w:rsidR="001007FE">
        <w:t>océan, GenOcean aura recours au récit pour sensibiliser le grand public aux questions relatives à l</w:t>
      </w:r>
      <w:r w:rsidR="009B1FBB">
        <w:t>’</w:t>
      </w:r>
      <w:r w:rsidR="001007FE">
        <w:t>océan</w:t>
      </w:r>
      <w:r w:rsidR="0099176B">
        <w:t> </w:t>
      </w:r>
      <w:r w:rsidR="001007FE">
        <w:t xml:space="preserve">et </w:t>
      </w:r>
      <w:r w:rsidR="003428A7">
        <w:t>susciter</w:t>
      </w:r>
      <w:r w:rsidR="001007FE">
        <w:t xml:space="preserve"> un changement de comportement </w:t>
      </w:r>
      <w:r w:rsidR="003428A7">
        <w:t>fondé sur les</w:t>
      </w:r>
      <w:r w:rsidR="001007FE">
        <w:t xml:space="preserve"> connaissances et la recherche</w:t>
      </w:r>
      <w:r w:rsidR="0099176B">
        <w:t> </w:t>
      </w:r>
      <w:r w:rsidR="001007FE">
        <w:t>scientifiques. Depuis son lancement en avril</w:t>
      </w:r>
      <w:r w:rsidR="009B1FBB">
        <w:t> </w:t>
      </w:r>
      <w:r w:rsidR="001007FE">
        <w:t xml:space="preserve">2022, la campagne a fait gagner près de </w:t>
      </w:r>
      <w:r w:rsidR="009B1FBB">
        <w:t>7</w:t>
      </w:r>
      <w:r w:rsidR="0099176B">
        <w:t> </w:t>
      </w:r>
      <w:r w:rsidR="001007FE">
        <w:t>000</w:t>
      </w:r>
      <w:r w:rsidR="0099176B">
        <w:t> </w:t>
      </w:r>
      <w:r w:rsidR="001007FE">
        <w:t>abonnés sur différentes plate</w:t>
      </w:r>
      <w:r w:rsidR="0099176B">
        <w:t>s</w:t>
      </w:r>
      <w:r w:rsidR="0099176B">
        <w:noBreakHyphen/>
      </w:r>
      <w:r w:rsidR="001007FE">
        <w:t>formes de médias sociaux.</w:t>
      </w:r>
    </w:p>
    <w:p w14:paraId="60D8648F" w14:textId="5D1E1FD8" w:rsidR="001007FE" w:rsidRPr="00597D9A" w:rsidRDefault="003428A7" w:rsidP="0099176B">
      <w:pPr>
        <w:pStyle w:val="Titre3"/>
        <w:rPr>
          <w:rFonts w:eastAsia="Arial" w:cs="Arial"/>
          <w:color w:val="000000" w:themeColor="text1"/>
        </w:rPr>
      </w:pPr>
      <w:r>
        <w:lastRenderedPageBreak/>
        <w:t xml:space="preserve">Avenir, défis </w:t>
      </w:r>
      <w:r w:rsidR="001007FE">
        <w:t xml:space="preserve">et perspectives </w:t>
      </w:r>
    </w:p>
    <w:p w14:paraId="6896A0BB" w14:textId="3DC6F14A" w:rsidR="001007FE" w:rsidRPr="00597D9A" w:rsidRDefault="00416371" w:rsidP="009B1FBB">
      <w:pPr>
        <w:pStyle w:val="Marge"/>
        <w:rPr>
          <w:rFonts w:cs="Arial"/>
          <w:color w:val="000000" w:themeColor="text1"/>
        </w:rPr>
      </w:pPr>
      <w:r>
        <w:t>36.</w:t>
      </w:r>
      <w:r>
        <w:tab/>
      </w:r>
      <w:r w:rsidR="001007FE">
        <w:t xml:space="preserve">La Conférence des </w:t>
      </w:r>
      <w:r w:rsidR="009D3378">
        <w:t>Nations Unies</w:t>
      </w:r>
      <w:r w:rsidR="001007FE">
        <w:t xml:space="preserve"> sur les océans de</w:t>
      </w:r>
      <w:r w:rsidR="009B1FBB">
        <w:t> </w:t>
      </w:r>
      <w:r w:rsidR="001007FE">
        <w:t>2022 (Lisbonne, 27</w:t>
      </w:r>
      <w:r w:rsidR="009B1FBB">
        <w:t> </w:t>
      </w:r>
      <w:r w:rsidR="001007FE">
        <w:t>juin-1</w:t>
      </w:r>
      <w:r w:rsidR="001007FE" w:rsidRPr="00151E79">
        <w:rPr>
          <w:vertAlign w:val="superscript"/>
        </w:rPr>
        <w:t>er</w:t>
      </w:r>
      <w:r w:rsidR="009B1FBB">
        <w:t> </w:t>
      </w:r>
      <w:r w:rsidR="001007FE">
        <w:t>juillet 2022) offrira une tribune majeure qui permettra de renforcer l</w:t>
      </w:r>
      <w:r w:rsidR="009B1FBB">
        <w:t>’</w:t>
      </w:r>
      <w:r w:rsidR="001007FE">
        <w:t>engagement des partenaires en faveur de la Décennie, de présenter les actions de la Décennie et de formuler de nouvelles annonces et de nouveaux engagements. Plusieurs manifestations sont prévues tout au long de la semaine, notamment une réunion de haut niveau de l</w:t>
      </w:r>
      <w:r w:rsidR="009B1FBB">
        <w:t>’</w:t>
      </w:r>
      <w:r w:rsidR="001007FE">
        <w:t>Alliance pour la Décennie de l</w:t>
      </w:r>
      <w:r w:rsidR="009B1FBB">
        <w:t>’</w:t>
      </w:r>
      <w:r w:rsidR="001007FE">
        <w:t xml:space="preserve">Océan, qui sera accueillie conjointement par les </w:t>
      </w:r>
      <w:r w:rsidR="009C5565">
        <w:t>P</w:t>
      </w:r>
      <w:r w:rsidR="001007FE">
        <w:t xml:space="preserve">résidents du Portugal et du Kenya. </w:t>
      </w:r>
      <w:r w:rsidR="00151E79">
        <w:t>L</w:t>
      </w:r>
      <w:r w:rsidR="001007FE">
        <w:t>a Décennie de l</w:t>
      </w:r>
      <w:r w:rsidR="009B1FBB">
        <w:t>’</w:t>
      </w:r>
      <w:r w:rsidR="001007FE">
        <w:t>Océan sera également présente à une autre manifestation essentielle, la 27</w:t>
      </w:r>
      <w:r w:rsidR="001007FE" w:rsidRPr="00151E79">
        <w:rPr>
          <w:vertAlign w:val="superscript"/>
        </w:rPr>
        <w:t>e</w:t>
      </w:r>
      <w:r w:rsidR="009B1FBB">
        <w:t> </w:t>
      </w:r>
      <w:r w:rsidR="001007FE">
        <w:t>Conférence des Parties à la CCNUCC (COP</w:t>
      </w:r>
      <w:r w:rsidR="009B1FBB">
        <w:noBreakHyphen/>
      </w:r>
      <w:r w:rsidR="001007FE">
        <w:t>27, Charm el Cheikh, novembre 2022), pour appeler l</w:t>
      </w:r>
      <w:r w:rsidR="009B1FBB">
        <w:t>’</w:t>
      </w:r>
      <w:r w:rsidR="001007FE">
        <w:t>attention sur les défis et les solutions liés à l</w:t>
      </w:r>
      <w:r w:rsidR="009B1FBB">
        <w:t>’</w:t>
      </w:r>
      <w:r w:rsidR="001007FE">
        <w:t>océan et au climat en Afrique, et pour créer un lien avec les discussions qui se tiendront lors de la Conférence régionale africaine sur l</w:t>
      </w:r>
      <w:r w:rsidR="009B1FBB">
        <w:t>’</w:t>
      </w:r>
      <w:r w:rsidR="001007FE">
        <w:t>établissement de priorités (Le</w:t>
      </w:r>
      <w:r w:rsidR="009B1FBB">
        <w:t> </w:t>
      </w:r>
      <w:r w:rsidR="001007FE">
        <w:t>Caire, mai</w:t>
      </w:r>
      <w:r w:rsidR="009B1FBB">
        <w:t> </w:t>
      </w:r>
      <w:r w:rsidR="001007FE">
        <w:t>2022) sur les besoins prioritaires de l</w:t>
      </w:r>
      <w:r w:rsidR="009B1FBB">
        <w:t>’</w:t>
      </w:r>
      <w:r w:rsidR="001007FE">
        <w:t>Afrique dans le contexte de la Décennie de l</w:t>
      </w:r>
      <w:r w:rsidR="009B1FBB">
        <w:t>’</w:t>
      </w:r>
      <w:r w:rsidR="001007FE">
        <w:t>Océan. La planification de la deuxième Conférence internationale de la Décennie de l</w:t>
      </w:r>
      <w:r w:rsidR="009B1FBB">
        <w:t>’</w:t>
      </w:r>
      <w:r w:rsidR="001007FE">
        <w:t>Océan, grande conférence internationale prévue pour 2023 ou 2024, débutera au cours de la prochaine période. Les États membres sont actuellement appelés à manifester leur intérêt en vue d</w:t>
      </w:r>
      <w:r w:rsidR="009B1FBB">
        <w:t>’</w:t>
      </w:r>
      <w:r w:rsidR="001007FE">
        <w:t xml:space="preserve">accueillir la Conférence. </w:t>
      </w:r>
    </w:p>
    <w:p w14:paraId="75A11D84" w14:textId="4561E043" w:rsidR="001007FE" w:rsidRPr="00597D9A" w:rsidRDefault="00416371" w:rsidP="009B1FBB">
      <w:pPr>
        <w:pStyle w:val="Marge"/>
        <w:rPr>
          <w:rFonts w:cs="Arial"/>
          <w:color w:val="000000" w:themeColor="text1"/>
        </w:rPr>
      </w:pPr>
      <w:r>
        <w:t>37.</w:t>
      </w:r>
      <w:r>
        <w:tab/>
      </w:r>
      <w:r w:rsidR="001007FE">
        <w:t>Dans les mois à venir, l</w:t>
      </w:r>
      <w:r w:rsidR="009B1FBB">
        <w:t>’</w:t>
      </w:r>
      <w:r w:rsidR="001007FE">
        <w:t>Unité de coordination de la Décennie entamera un processus de collaboration avec les membres de la liste d</w:t>
      </w:r>
      <w:r w:rsidR="009B1FBB">
        <w:t>’</w:t>
      </w:r>
      <w:r w:rsidR="001007FE">
        <w:t>experts de la Décennie de l</w:t>
      </w:r>
      <w:r w:rsidR="009B1FBB">
        <w:t>’</w:t>
      </w:r>
      <w:r w:rsidR="001007FE">
        <w:t xml:space="preserve">Océan afin de définir progressivement des ambitions et des cibles stratégiques </w:t>
      </w:r>
      <w:r w:rsidR="00151E79">
        <w:t>pour</w:t>
      </w:r>
      <w:r w:rsidR="001007FE">
        <w:t xml:space="preserve"> chacun des défis de la Décennie. Le cadre de suivi et d</w:t>
      </w:r>
      <w:r w:rsidR="009B1FBB">
        <w:t>’</w:t>
      </w:r>
      <w:r w:rsidR="001007FE">
        <w:t>évaluation de la Décennie est en cours d</w:t>
      </w:r>
      <w:r w:rsidR="009B1FBB">
        <w:t>’</w:t>
      </w:r>
      <w:r w:rsidR="001007FE">
        <w:t>achèvement à l</w:t>
      </w:r>
      <w:r w:rsidR="009B1FBB">
        <w:t>’</w:t>
      </w:r>
      <w:r w:rsidR="001007FE">
        <w:t>issue de l</w:t>
      </w:r>
      <w:r w:rsidR="009B1FBB">
        <w:t>’</w:t>
      </w:r>
      <w:r w:rsidR="001007FE">
        <w:t xml:space="preserve">examen du Comité consultatif de la Décennie et sera appliqué à titre expérimental aux actions de la Décennie à partir de juillet. </w:t>
      </w:r>
    </w:p>
    <w:p w14:paraId="40F64D42" w14:textId="1539DDD8" w:rsidR="001007FE" w:rsidRPr="00597D9A" w:rsidRDefault="00416371" w:rsidP="00DF4459">
      <w:pPr>
        <w:pStyle w:val="Marge"/>
        <w:rPr>
          <w:rFonts w:cs="Arial"/>
          <w:color w:val="000000" w:themeColor="text1"/>
        </w:rPr>
      </w:pPr>
      <w:r>
        <w:t>38.</w:t>
      </w:r>
      <w:r>
        <w:tab/>
      </w:r>
      <w:r w:rsidR="001007FE">
        <w:t>L</w:t>
      </w:r>
      <w:r w:rsidR="009B1FBB">
        <w:t>’</w:t>
      </w:r>
      <w:r w:rsidR="001007FE">
        <w:t>année prochaine, une attention particulière continuera d</w:t>
      </w:r>
      <w:r w:rsidR="009B1FBB">
        <w:t>’</w:t>
      </w:r>
      <w:r w:rsidR="001007FE">
        <w:t>être accordée à la mobilisation de ressources, compte tenu des discussions du Comité consultatif de la Décennie sur la nécessité d</w:t>
      </w:r>
      <w:r w:rsidR="009B1FBB">
        <w:t>’</w:t>
      </w:r>
      <w:r w:rsidR="001007FE">
        <w:t>une coopération stratégique avec les banques multilatérales de développement et les États membres. Les travaux se poursuivront pour développer l</w:t>
      </w:r>
      <w:r w:rsidR="009B1FBB">
        <w:t>’</w:t>
      </w:r>
      <w:r w:rsidR="001007FE">
        <w:t>Alliance pour la Décennie de l</w:t>
      </w:r>
      <w:r w:rsidR="009B1FBB">
        <w:t>’</w:t>
      </w:r>
      <w:r w:rsidR="001007FE">
        <w:t>Océan, le Dialogue avec les fondations et l</w:t>
      </w:r>
      <w:r w:rsidR="009B1FBB">
        <w:t>’</w:t>
      </w:r>
      <w:r w:rsidR="001007FE">
        <w:t xml:space="preserve">équipe spéciale du secteur privé. La mobilisation de ressources </w:t>
      </w:r>
      <w:r w:rsidR="00151E79">
        <w:t>sera consacrée à soutenir</w:t>
      </w:r>
      <w:r w:rsidR="001007FE">
        <w:t xml:space="preserve"> la participation de la COI à la Décennie, </w:t>
      </w:r>
      <w:r w:rsidR="00151E79">
        <w:t>notamment</w:t>
      </w:r>
      <w:r w:rsidR="001007FE">
        <w:t xml:space="preserve"> </w:t>
      </w:r>
      <w:r w:rsidR="00151E79">
        <w:t>l</w:t>
      </w:r>
      <w:r w:rsidR="001007FE">
        <w:t xml:space="preserve">es bureaux de coordination de la Décennie et </w:t>
      </w:r>
      <w:r w:rsidR="00151E79">
        <w:t>l</w:t>
      </w:r>
      <w:r w:rsidR="001007FE">
        <w:t xml:space="preserve">es actions de la Décennie </w:t>
      </w:r>
      <w:r w:rsidR="00AC3EB4">
        <w:t>dirigés</w:t>
      </w:r>
      <w:r w:rsidR="001007FE">
        <w:t xml:space="preserve"> par la COI, et à susciter un soutien accru aux besoins de coordination et aux actions de la Décennie en Afrique et dans les PEID du Pacifique.</w:t>
      </w:r>
    </w:p>
    <w:p w14:paraId="43FEC401" w14:textId="77777777" w:rsidR="001007FE" w:rsidRPr="00597D9A" w:rsidRDefault="001007FE" w:rsidP="009B1FBB">
      <w:pPr>
        <w:pStyle w:val="Marge"/>
      </w:pPr>
    </w:p>
    <w:sectPr w:rsidR="001007FE" w:rsidRPr="00597D9A" w:rsidSect="00376476">
      <w:headerReference w:type="even" r:id="rId17"/>
      <w:headerReference w:type="default" r:id="rId18"/>
      <w:headerReference w:type="first" r:id="rId19"/>
      <w:pgSz w:w="11920" w:h="16840"/>
      <w:pgMar w:top="1216" w:right="1210" w:bottom="1152" w:left="1267" w:header="63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F7AE4" w14:textId="77777777" w:rsidR="00B22F43" w:rsidRDefault="00B22F43" w:rsidP="00200D03">
      <w:r>
        <w:separator/>
      </w:r>
    </w:p>
  </w:endnote>
  <w:endnote w:type="continuationSeparator" w:id="0">
    <w:p w14:paraId="6CF12D64" w14:textId="77777777" w:rsidR="00B22F43" w:rsidRDefault="00B22F43" w:rsidP="0020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Light">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3FDB9" w14:textId="77777777" w:rsidR="00B22F43" w:rsidRDefault="00B22F43" w:rsidP="00200D03">
      <w:r>
        <w:separator/>
      </w:r>
    </w:p>
  </w:footnote>
  <w:footnote w:type="continuationSeparator" w:id="0">
    <w:p w14:paraId="45F6DDE0" w14:textId="77777777" w:rsidR="00B22F43" w:rsidRDefault="00B22F43" w:rsidP="00200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0BA0" w14:textId="397E70B5" w:rsidR="00376476" w:rsidRPr="00376476" w:rsidRDefault="00376476" w:rsidP="00376476">
    <w:pPr>
      <w:pStyle w:val="En-tte"/>
      <w:rPr>
        <w:rFonts w:cs="Arial"/>
        <w:bCs/>
        <w:sz w:val="22"/>
        <w:szCs w:val="22"/>
      </w:rPr>
    </w:pPr>
    <w:r w:rsidRPr="00352423">
      <w:rPr>
        <w:rFonts w:cs="Arial"/>
        <w:bCs/>
        <w:sz w:val="22"/>
        <w:szCs w:val="22"/>
      </w:rPr>
      <w:t>IOC/EC-5</w:t>
    </w:r>
    <w:r>
      <w:rPr>
        <w:rFonts w:cs="Arial"/>
        <w:bCs/>
        <w:sz w:val="22"/>
        <w:szCs w:val="22"/>
      </w:rPr>
      <w:t>5/</w:t>
    </w:r>
    <w:r w:rsidR="00182E13">
      <w:rPr>
        <w:rFonts w:cs="Arial"/>
        <w:bCs/>
        <w:sz w:val="22"/>
        <w:szCs w:val="22"/>
      </w:rPr>
      <w:t>4</w:t>
    </w:r>
    <w:r w:rsidRPr="00352423">
      <w:rPr>
        <w:rFonts w:cs="Arial"/>
        <w:bCs/>
        <w:sz w:val="22"/>
        <w:szCs w:val="22"/>
      </w:rPr>
      <w:t>.1</w:t>
    </w:r>
    <w:r>
      <w:rPr>
        <w:rFonts w:cs="Arial"/>
        <w:bCs/>
        <w:sz w:val="22"/>
        <w:szCs w:val="22"/>
      </w:rPr>
      <w:t>.</w:t>
    </w:r>
    <w:r w:rsidRPr="00352423">
      <w:rPr>
        <w:rFonts w:cs="Arial"/>
        <w:bCs/>
        <w:sz w:val="22"/>
        <w:szCs w:val="22"/>
      </w:rPr>
      <w:t>Doc</w:t>
    </w:r>
    <w:sdt>
      <w:sdtPr>
        <w:rPr>
          <w:rFonts w:cs="Arial"/>
          <w:bCs/>
          <w:sz w:val="22"/>
          <w:szCs w:val="22"/>
        </w:rPr>
        <w:id w:val="497312836"/>
        <w:docPartObj>
          <w:docPartGallery w:val="Page Numbers (Top of Page)"/>
          <w:docPartUnique/>
        </w:docPartObj>
      </w:sdtPr>
      <w:sdtEndPr/>
      <w:sdtContent>
        <w:r>
          <w:rPr>
            <w:rFonts w:cs="Arial"/>
            <w:bCs/>
            <w:sz w:val="22"/>
            <w:szCs w:val="22"/>
          </w:rPr>
          <w:t xml:space="preserve">(1) – page </w:t>
        </w:r>
        <w:r w:rsidRPr="00BC135C">
          <w:rPr>
            <w:rFonts w:cs="Arial"/>
            <w:bCs/>
            <w:sz w:val="22"/>
            <w:szCs w:val="22"/>
          </w:rPr>
          <w:fldChar w:fldCharType="begin"/>
        </w:r>
        <w:r w:rsidRPr="00BC135C">
          <w:rPr>
            <w:rFonts w:cs="Arial"/>
            <w:bCs/>
            <w:sz w:val="22"/>
            <w:szCs w:val="22"/>
          </w:rPr>
          <w:instrText xml:space="preserve"> PAGE   \* MERGEFORMAT </w:instrText>
        </w:r>
        <w:r w:rsidRPr="00BC135C">
          <w:rPr>
            <w:rFonts w:cs="Arial"/>
            <w:bCs/>
            <w:sz w:val="22"/>
            <w:szCs w:val="22"/>
          </w:rPr>
          <w:fldChar w:fldCharType="separate"/>
        </w:r>
        <w:r>
          <w:rPr>
            <w:rFonts w:cs="Arial"/>
            <w:bCs/>
            <w:sz w:val="22"/>
            <w:szCs w:val="22"/>
          </w:rPr>
          <w:t>2</w:t>
        </w:r>
        <w:r w:rsidRPr="00BC135C">
          <w:rPr>
            <w:rFonts w:cs="Arial"/>
            <w:bCs/>
            <w:noProof/>
            <w:sz w:val="22"/>
            <w:szCs w:val="22"/>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7685" w14:textId="3FB3D16A" w:rsidR="00200D03" w:rsidRPr="00376476" w:rsidRDefault="00376476" w:rsidP="00DF4459">
    <w:pPr>
      <w:pStyle w:val="En-tte"/>
      <w:ind w:left="6096"/>
      <w:jc w:val="right"/>
      <w:rPr>
        <w:rFonts w:cs="Arial"/>
        <w:bCs/>
        <w:sz w:val="22"/>
        <w:szCs w:val="22"/>
      </w:rPr>
    </w:pPr>
    <w:r w:rsidRPr="00352423">
      <w:rPr>
        <w:rFonts w:cs="Arial"/>
        <w:bCs/>
        <w:sz w:val="22"/>
        <w:szCs w:val="22"/>
      </w:rPr>
      <w:t>IOC/EC-5</w:t>
    </w:r>
    <w:r>
      <w:rPr>
        <w:rFonts w:cs="Arial"/>
        <w:bCs/>
        <w:sz w:val="22"/>
        <w:szCs w:val="22"/>
      </w:rPr>
      <w:t>5/</w:t>
    </w:r>
    <w:r w:rsidR="001007FE">
      <w:rPr>
        <w:rFonts w:cs="Arial"/>
        <w:bCs/>
        <w:sz w:val="22"/>
        <w:szCs w:val="22"/>
      </w:rPr>
      <w:t>4</w:t>
    </w:r>
    <w:r w:rsidRPr="00352423">
      <w:rPr>
        <w:rFonts w:cs="Arial"/>
        <w:bCs/>
        <w:sz w:val="22"/>
        <w:szCs w:val="22"/>
      </w:rPr>
      <w:t>.1</w:t>
    </w:r>
    <w:r>
      <w:rPr>
        <w:rFonts w:cs="Arial"/>
        <w:bCs/>
        <w:sz w:val="22"/>
        <w:szCs w:val="22"/>
      </w:rPr>
      <w:t>.</w:t>
    </w:r>
    <w:r w:rsidRPr="00352423">
      <w:rPr>
        <w:rFonts w:cs="Arial"/>
        <w:bCs/>
        <w:sz w:val="22"/>
        <w:szCs w:val="22"/>
      </w:rPr>
      <w:t>Doc</w:t>
    </w:r>
    <w:sdt>
      <w:sdtPr>
        <w:rPr>
          <w:rFonts w:cs="Arial"/>
          <w:bCs/>
          <w:sz w:val="22"/>
          <w:szCs w:val="22"/>
        </w:rPr>
        <w:id w:val="554519101"/>
        <w:docPartObj>
          <w:docPartGallery w:val="Page Numbers (Top of Page)"/>
          <w:docPartUnique/>
        </w:docPartObj>
      </w:sdtPr>
      <w:sdtEndPr/>
      <w:sdtContent>
        <w:r>
          <w:rPr>
            <w:rFonts w:cs="Arial"/>
            <w:bCs/>
            <w:sz w:val="22"/>
            <w:szCs w:val="22"/>
          </w:rPr>
          <w:t xml:space="preserve">(1) – page </w:t>
        </w:r>
        <w:r w:rsidRPr="00BC135C">
          <w:rPr>
            <w:rFonts w:cs="Arial"/>
            <w:bCs/>
            <w:sz w:val="22"/>
            <w:szCs w:val="22"/>
          </w:rPr>
          <w:fldChar w:fldCharType="begin"/>
        </w:r>
        <w:r w:rsidRPr="00BC135C">
          <w:rPr>
            <w:rFonts w:cs="Arial"/>
            <w:bCs/>
            <w:sz w:val="22"/>
            <w:szCs w:val="22"/>
          </w:rPr>
          <w:instrText xml:space="preserve"> PAGE   \* MERGEFORMAT </w:instrText>
        </w:r>
        <w:r w:rsidRPr="00BC135C">
          <w:rPr>
            <w:rFonts w:cs="Arial"/>
            <w:bCs/>
            <w:sz w:val="22"/>
            <w:szCs w:val="22"/>
          </w:rPr>
          <w:fldChar w:fldCharType="separate"/>
        </w:r>
        <w:r>
          <w:rPr>
            <w:rFonts w:cs="Arial"/>
            <w:bCs/>
          </w:rPr>
          <w:t>2</w:t>
        </w:r>
        <w:r w:rsidRPr="00BC135C">
          <w:rPr>
            <w:rFonts w:cs="Arial"/>
            <w:bCs/>
            <w:noProof/>
            <w:sz w:val="22"/>
            <w:szCs w:val="22"/>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36EF" w14:textId="3A7BCFB7" w:rsidR="00E90F6F" w:rsidRPr="00665B6A" w:rsidRDefault="00971704" w:rsidP="00E872C7">
    <w:pPr>
      <w:tabs>
        <w:tab w:val="left" w:pos="5954"/>
      </w:tabs>
      <w:spacing w:before="120"/>
      <w:ind w:right="-196"/>
      <w:jc w:val="both"/>
      <w:rPr>
        <w:rFonts w:cs="Arial"/>
        <w:b/>
      </w:rPr>
    </w:pPr>
    <w:r>
      <w:rPr>
        <w:rFonts w:cs="Arial"/>
        <w:b/>
        <w:noProof/>
        <w:snapToGrid/>
        <w:szCs w:val="22"/>
        <w:lang w:eastAsia="fr-FR"/>
      </w:rPr>
      <w:drawing>
        <wp:anchor distT="0" distB="0" distL="114300" distR="114300" simplePos="0" relativeHeight="251661312" behindDoc="0" locked="0" layoutInCell="1" allowOverlap="1" wp14:anchorId="5B308F75" wp14:editId="269BBE6C">
          <wp:simplePos x="0" y="0"/>
          <wp:positionH relativeFrom="margin">
            <wp:posOffset>-98955</wp:posOffset>
          </wp:positionH>
          <wp:positionV relativeFrom="paragraph">
            <wp:posOffset>367030</wp:posOffset>
          </wp:positionV>
          <wp:extent cx="1578610" cy="1047115"/>
          <wp:effectExtent l="0" t="0" r="2540" b="635"/>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E90F6F" w:rsidRPr="00665B6A">
      <w:rPr>
        <w:rFonts w:cs="Arial"/>
      </w:rPr>
      <w:t xml:space="preserve">Distribution </w:t>
    </w:r>
    <w:r w:rsidR="00E90F6F" w:rsidRPr="00B32D34">
      <w:rPr>
        <w:rFonts w:cs="Arial"/>
      </w:rPr>
      <w:t>limitée</w:t>
    </w:r>
    <w:r w:rsidR="00E90F6F" w:rsidRPr="00665B6A">
      <w:rPr>
        <w:rFonts w:cs="Arial"/>
      </w:rPr>
      <w:tab/>
    </w:r>
    <w:r w:rsidR="00E90F6F">
      <w:rPr>
        <w:rFonts w:cs="Arial"/>
        <w:b/>
        <w:sz w:val="36"/>
        <w:szCs w:val="36"/>
      </w:rPr>
      <w:t>IOC/EC-55/</w:t>
    </w:r>
    <w:r w:rsidR="00182E13">
      <w:rPr>
        <w:rFonts w:cs="Arial"/>
        <w:b/>
        <w:sz w:val="36"/>
        <w:szCs w:val="36"/>
      </w:rPr>
      <w:t>4</w:t>
    </w:r>
    <w:r w:rsidR="00E90F6F">
      <w:rPr>
        <w:rFonts w:cs="Arial"/>
        <w:b/>
        <w:sz w:val="36"/>
        <w:szCs w:val="36"/>
      </w:rPr>
      <w:t>.1</w:t>
    </w:r>
    <w:r w:rsidR="00E872C7">
      <w:rPr>
        <w:rFonts w:cs="Arial"/>
        <w:b/>
        <w:sz w:val="36"/>
        <w:szCs w:val="36"/>
      </w:rPr>
      <w:t>.</w:t>
    </w:r>
    <w:r w:rsidR="00E90F6F">
      <w:rPr>
        <w:rFonts w:cs="Arial"/>
        <w:b/>
        <w:sz w:val="36"/>
        <w:szCs w:val="36"/>
      </w:rPr>
      <w:t>Doc(1)</w:t>
    </w:r>
  </w:p>
  <w:p w14:paraId="69EF4909" w14:textId="0DEF9034" w:rsidR="00E90F6F" w:rsidRPr="00665B6A" w:rsidRDefault="00E90F6F" w:rsidP="00E872C7">
    <w:pPr>
      <w:tabs>
        <w:tab w:val="left" w:pos="2295"/>
      </w:tabs>
      <w:ind w:left="5954"/>
      <w:jc w:val="both"/>
      <w:rPr>
        <w:rFonts w:cs="Arial"/>
      </w:rPr>
    </w:pPr>
    <w:r>
      <w:rPr>
        <w:rFonts w:cs="Arial"/>
      </w:rPr>
      <w:t xml:space="preserve">Paris, le </w:t>
    </w:r>
    <w:r w:rsidR="00182E13">
      <w:rPr>
        <w:rFonts w:cs="Arial"/>
      </w:rPr>
      <w:t>10 mai</w:t>
    </w:r>
    <w:r w:rsidRPr="00665B6A">
      <w:rPr>
        <w:rFonts w:cs="Arial"/>
      </w:rPr>
      <w:t xml:space="preserve"> 20</w:t>
    </w:r>
    <w:r>
      <w:rPr>
        <w:rFonts w:cs="Arial"/>
      </w:rPr>
      <w:t>22</w:t>
    </w:r>
  </w:p>
  <w:p w14:paraId="1BD1D2C9" w14:textId="0F220A39" w:rsidR="00E90F6F" w:rsidRPr="00665B6A" w:rsidRDefault="00E90F6F" w:rsidP="00E872C7">
    <w:pPr>
      <w:tabs>
        <w:tab w:val="left" w:pos="2295"/>
      </w:tabs>
      <w:spacing w:after="600"/>
      <w:ind w:left="5954"/>
      <w:jc w:val="both"/>
      <w:rPr>
        <w:rFonts w:cs="Arial"/>
      </w:rPr>
    </w:pPr>
    <w:r w:rsidRPr="00665B6A">
      <w:rPr>
        <w:rFonts w:cs="Arial"/>
      </w:rPr>
      <w:t>Original anglais</w:t>
    </w:r>
  </w:p>
  <w:p w14:paraId="115DCEC1" w14:textId="3C399E24" w:rsidR="00577CF2" w:rsidRDefault="00577CF2" w:rsidP="00967534">
    <w:pPr>
      <w:tabs>
        <w:tab w:val="left" w:pos="-1440"/>
        <w:tab w:val="left" w:pos="-720"/>
        <w:tab w:val="left" w:pos="720"/>
        <w:tab w:val="left" w:pos="2160"/>
        <w:tab w:val="left" w:pos="3600"/>
        <w:tab w:val="left" w:pos="4320"/>
        <w:tab w:val="left" w:pos="5040"/>
        <w:tab w:val="left" w:pos="5523"/>
        <w:tab w:val="left" w:pos="6480"/>
      </w:tabs>
      <w:spacing w:before="600"/>
      <w:ind w:right="458"/>
      <w:jc w:val="right"/>
      <w:rPr>
        <w:rFonts w:cs="Arial"/>
        <w:b/>
        <w:spacing w:val="-14"/>
        <w:sz w:val="24"/>
      </w:rPr>
    </w:pPr>
  </w:p>
  <w:p w14:paraId="09748E5E" w14:textId="77777777" w:rsidR="00577CF2" w:rsidRDefault="00577CF2" w:rsidP="00577CF2">
    <w:pPr>
      <w:tabs>
        <w:tab w:val="left" w:pos="-1440"/>
        <w:tab w:val="left" w:pos="-720"/>
        <w:tab w:val="left" w:pos="720"/>
        <w:tab w:val="left" w:pos="2160"/>
        <w:tab w:val="left" w:pos="3600"/>
        <w:tab w:val="left" w:pos="4320"/>
        <w:tab w:val="left" w:pos="5040"/>
        <w:tab w:val="left" w:pos="5523"/>
        <w:tab w:val="left" w:pos="6480"/>
      </w:tabs>
      <w:spacing w:after="240"/>
      <w:ind w:right="-22"/>
      <w:rPr>
        <w:rFonts w:cs="Arial"/>
        <w:b/>
        <w:spacing w:val="-14"/>
        <w:sz w:val="24"/>
      </w:rPr>
    </w:pPr>
  </w:p>
  <w:p w14:paraId="5B902DCD" w14:textId="745C3B5A" w:rsidR="00E90F6F" w:rsidRPr="00E31511" w:rsidRDefault="00E90F6F" w:rsidP="00577CF2">
    <w:pPr>
      <w:tabs>
        <w:tab w:val="clear" w:pos="567"/>
        <w:tab w:val="left" w:pos="-1440"/>
      </w:tabs>
      <w:spacing w:before="600"/>
      <w:ind w:right="-22"/>
      <w:jc w:val="center"/>
      <w:rPr>
        <w:rFonts w:cs="Arial"/>
        <w:b/>
        <w:szCs w:val="22"/>
      </w:rPr>
    </w:pPr>
    <w:r w:rsidRPr="00E31511">
      <w:rPr>
        <w:rFonts w:cs="Arial"/>
        <w:b/>
        <w:szCs w:val="22"/>
      </w:rPr>
      <w:t>COMMISSION OCÉANOGRAPHIQUE INTERGOUVERNEMENTALE</w:t>
    </w:r>
  </w:p>
  <w:p w14:paraId="453A07EF" w14:textId="02B384E6" w:rsidR="00E90F6F" w:rsidRPr="00FC4C71" w:rsidRDefault="00E90F6F" w:rsidP="00577CF2">
    <w:pPr>
      <w:tabs>
        <w:tab w:val="left" w:pos="-1440"/>
        <w:tab w:val="left" w:pos="-720"/>
        <w:tab w:val="left" w:pos="720"/>
        <w:tab w:val="left" w:pos="2160"/>
        <w:tab w:val="left" w:pos="3600"/>
        <w:tab w:val="left" w:pos="4320"/>
        <w:tab w:val="left" w:pos="5040"/>
        <w:tab w:val="left" w:pos="5523"/>
        <w:tab w:val="left" w:pos="6480"/>
      </w:tabs>
      <w:spacing w:after="240"/>
      <w:jc w:val="center"/>
      <w:rPr>
        <w:rFonts w:cs="Arial"/>
        <w:bCs/>
        <w:szCs w:val="22"/>
      </w:rPr>
    </w:pPr>
    <w:r w:rsidRPr="00FC4C71">
      <w:rPr>
        <w:rFonts w:cs="Arial"/>
        <w:bCs/>
        <w:szCs w:val="22"/>
      </w:rPr>
      <w:t>(de l</w:t>
    </w:r>
    <w:r w:rsidR="009B1FBB">
      <w:rPr>
        <w:rFonts w:cs="Arial"/>
        <w:bCs/>
        <w:szCs w:val="22"/>
      </w:rPr>
      <w:t>’</w:t>
    </w:r>
    <w:r w:rsidRPr="00FC4C71">
      <w:rPr>
        <w:rFonts w:cs="Arial"/>
        <w:bCs/>
        <w:szCs w:val="22"/>
      </w:rPr>
      <w:t>UNESCO)</w:t>
    </w:r>
  </w:p>
  <w:p w14:paraId="5E4F3C55" w14:textId="77777777" w:rsidR="00E90F6F" w:rsidRPr="00FC4C71" w:rsidRDefault="00E90F6F" w:rsidP="00577CF2">
    <w:pPr>
      <w:tabs>
        <w:tab w:val="clear" w:pos="567"/>
        <w:tab w:val="left" w:pos="-1440"/>
        <w:tab w:val="left" w:pos="-720"/>
        <w:tab w:val="left" w:pos="3600"/>
        <w:tab w:val="left" w:pos="4320"/>
        <w:tab w:val="left" w:pos="5040"/>
        <w:tab w:val="left" w:pos="5523"/>
        <w:tab w:val="left" w:pos="6480"/>
      </w:tabs>
      <w:jc w:val="center"/>
      <w:rPr>
        <w:rFonts w:cs="Arial"/>
        <w:b/>
        <w:szCs w:val="22"/>
      </w:rPr>
    </w:pPr>
    <w:r w:rsidRPr="00FC4C71">
      <w:rPr>
        <w:rFonts w:cs="Arial"/>
        <w:b/>
        <w:szCs w:val="22"/>
      </w:rPr>
      <w:t>Cinquante-cinquième session du Conseil exécutif</w:t>
    </w:r>
  </w:p>
  <w:p w14:paraId="20CA60EC" w14:textId="69C2AEDF" w:rsidR="00E90F6F" w:rsidRPr="00FC4C71" w:rsidRDefault="00E90F6F" w:rsidP="00577CF2">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600"/>
      <w:jc w:val="center"/>
      <w:rPr>
        <w:rFonts w:cs="Arial"/>
        <w:szCs w:val="22"/>
      </w:rPr>
    </w:pPr>
    <w:r w:rsidRPr="00FC4C71">
      <w:rPr>
        <w:rFonts w:cs="Arial"/>
        <w:szCs w:val="22"/>
      </w:rPr>
      <w:t>UNESCO, Paris, 14-17 juin 2022</w:t>
    </w:r>
  </w:p>
  <w:p w14:paraId="0EF5019F" w14:textId="1EA8CB34" w:rsidR="00E90F6F" w:rsidRPr="00FC4C71" w:rsidRDefault="00E90F6F" w:rsidP="00577CF2">
    <w:pPr>
      <w:tabs>
        <w:tab w:val="clear" w:pos="567"/>
        <w:tab w:val="left" w:pos="-1440"/>
        <w:tab w:val="left" w:pos="-720"/>
        <w:tab w:val="left" w:pos="2160"/>
        <w:tab w:val="left" w:pos="2880"/>
        <w:tab w:val="left" w:pos="3600"/>
        <w:tab w:val="left" w:pos="4320"/>
        <w:tab w:val="left" w:pos="5040"/>
        <w:tab w:val="left" w:pos="5523"/>
        <w:tab w:val="left" w:pos="6480"/>
      </w:tabs>
      <w:spacing w:after="600"/>
      <w:jc w:val="both"/>
      <w:rPr>
        <w:rFonts w:cs="Arial"/>
        <w:szCs w:val="22"/>
        <w:u w:val="single"/>
      </w:rPr>
    </w:pPr>
    <w:r w:rsidRPr="00FC4C71">
      <w:rPr>
        <w:rFonts w:cs="Arial"/>
        <w:szCs w:val="22"/>
        <w:u w:val="single"/>
      </w:rPr>
      <w:t xml:space="preserve">Point </w:t>
    </w:r>
    <w:r w:rsidR="00182E13">
      <w:rPr>
        <w:rFonts w:cs="Arial"/>
        <w:b/>
        <w:bCs/>
        <w:szCs w:val="22"/>
        <w:u w:val="single"/>
      </w:rPr>
      <w:t>4</w:t>
    </w:r>
    <w:r w:rsidRPr="00FC4C71">
      <w:rPr>
        <w:rFonts w:cs="Arial"/>
        <w:b/>
        <w:bCs/>
        <w:szCs w:val="22"/>
        <w:u w:val="single"/>
      </w:rPr>
      <w:t>.1</w:t>
    </w:r>
    <w:r w:rsidRPr="00FC4C71">
      <w:rPr>
        <w:rFonts w:cs="Arial"/>
        <w:szCs w:val="22"/>
        <w:u w:val="single"/>
      </w:rPr>
      <w:t xml:space="preserve"> de l</w:t>
    </w:r>
    <w:r w:rsidR="009B1FBB">
      <w:rPr>
        <w:rFonts w:cs="Arial"/>
        <w:szCs w:val="22"/>
        <w:u w:val="single"/>
      </w:rPr>
      <w:t>’</w:t>
    </w:r>
    <w:r w:rsidRPr="00FC4C71">
      <w:rPr>
        <w:rFonts w:cs="Arial"/>
        <w:szCs w:val="22"/>
        <w:u w:val="single"/>
      </w:rPr>
      <w:t>ordre du jour provisoire</w:t>
    </w:r>
  </w:p>
  <w:p w14:paraId="684BF9F7" w14:textId="1C358888" w:rsidR="00E90F6F" w:rsidRPr="00FC4C71" w:rsidRDefault="00182E13" w:rsidP="00AC3EB4">
    <w:pPr>
      <w:tabs>
        <w:tab w:val="clear" w:pos="567"/>
        <w:tab w:val="left" w:pos="-1440"/>
        <w:tab w:val="left" w:pos="-720"/>
        <w:tab w:val="left" w:pos="2160"/>
        <w:tab w:val="left" w:pos="2880"/>
        <w:tab w:val="left" w:pos="3600"/>
        <w:tab w:val="left" w:pos="4320"/>
        <w:tab w:val="left" w:pos="5040"/>
        <w:tab w:val="left" w:pos="5523"/>
        <w:tab w:val="left" w:pos="6480"/>
      </w:tabs>
      <w:spacing w:after="480"/>
      <w:jc w:val="center"/>
      <w:rPr>
        <w:rFonts w:cs="Arial"/>
        <w:b/>
        <w:bCs/>
        <w:szCs w:val="22"/>
      </w:rPr>
    </w:pPr>
    <w:r w:rsidRPr="00182E13">
      <w:rPr>
        <w:rFonts w:cs="Arial"/>
        <w:b/>
        <w:bCs/>
        <w:szCs w:val="22"/>
      </w:rPr>
      <w:t xml:space="preserve">ÉTAT DE LA MISE EN ŒUVRE DE LA DÉCENNIE </w:t>
    </w:r>
    <w:r w:rsidR="00733BDE">
      <w:rPr>
        <w:rFonts w:cs="Arial"/>
        <w:b/>
        <w:bCs/>
        <w:szCs w:val="22"/>
      </w:rPr>
      <w:br/>
    </w:r>
    <w:r w:rsidRPr="00182E13">
      <w:rPr>
        <w:rFonts w:cs="Arial"/>
        <w:b/>
        <w:bCs/>
        <w:szCs w:val="22"/>
      </w:rPr>
      <w:t>DES NATIONS UNIES</w:t>
    </w:r>
    <w:r w:rsidR="00733BDE">
      <w:rPr>
        <w:rFonts w:cs="Arial"/>
        <w:b/>
        <w:bCs/>
        <w:szCs w:val="22"/>
      </w:rPr>
      <w:t xml:space="preserve"> </w:t>
    </w:r>
    <w:r w:rsidRPr="00182E13">
      <w:rPr>
        <w:rFonts w:cs="Arial"/>
        <w:b/>
        <w:bCs/>
        <w:szCs w:val="22"/>
      </w:rPr>
      <w:t xml:space="preserve">POUR LES SCIENCES OCÉANIQUES </w:t>
    </w:r>
    <w:r w:rsidR="00733BDE">
      <w:rPr>
        <w:rFonts w:cs="Arial"/>
        <w:b/>
        <w:bCs/>
        <w:szCs w:val="22"/>
      </w:rPr>
      <w:br/>
    </w:r>
    <w:r w:rsidRPr="00182E13">
      <w:rPr>
        <w:rFonts w:cs="Arial"/>
        <w:b/>
        <w:bCs/>
        <w:szCs w:val="22"/>
      </w:rPr>
      <w:t>AU SERVICE DU DÉVELOPPEMENT DURABLE (2021-2030)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4FB"/>
    <w:multiLevelType w:val="multilevel"/>
    <w:tmpl w:val="9660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72F00"/>
    <w:multiLevelType w:val="hybridMultilevel"/>
    <w:tmpl w:val="DEE6BD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63ACE"/>
    <w:multiLevelType w:val="hybridMultilevel"/>
    <w:tmpl w:val="58DECD4E"/>
    <w:lvl w:ilvl="0" w:tplc="977AC3F6">
      <w:start w:val="1"/>
      <w:numFmt w:val="bullet"/>
      <w:lvlText w:val=""/>
      <w:lvlJc w:val="left"/>
      <w:pPr>
        <w:ind w:left="720" w:hanging="360"/>
      </w:pPr>
      <w:rPr>
        <w:rFonts w:ascii="Symbol" w:hAnsi="Symbol" w:hint="default"/>
        <w:color w:val="29887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002B1"/>
    <w:multiLevelType w:val="hybridMultilevel"/>
    <w:tmpl w:val="75B63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14BF5"/>
    <w:multiLevelType w:val="multilevel"/>
    <w:tmpl w:val="5AC46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E966CB"/>
    <w:multiLevelType w:val="hybridMultilevel"/>
    <w:tmpl w:val="AAC8336E"/>
    <w:lvl w:ilvl="0" w:tplc="CC7E8070">
      <w:numFmt w:val="bullet"/>
      <w:lvlText w:val="-"/>
      <w:lvlJc w:val="left"/>
      <w:pPr>
        <w:ind w:left="720" w:hanging="360"/>
      </w:pPr>
      <w:rPr>
        <w:rFonts w:ascii="Fira Sans Light" w:eastAsiaTheme="minorHAnsi" w:hAnsi="Fira Sans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C44B0"/>
    <w:multiLevelType w:val="hybridMultilevel"/>
    <w:tmpl w:val="BCB4E4FE"/>
    <w:lvl w:ilvl="0" w:tplc="977AC3F6">
      <w:start w:val="1"/>
      <w:numFmt w:val="bullet"/>
      <w:lvlText w:val=""/>
      <w:lvlJc w:val="left"/>
      <w:pPr>
        <w:ind w:left="720" w:hanging="360"/>
      </w:pPr>
      <w:rPr>
        <w:rFonts w:ascii="Symbol" w:hAnsi="Symbol" w:hint="default"/>
        <w:color w:val="29887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00789"/>
    <w:multiLevelType w:val="hybridMultilevel"/>
    <w:tmpl w:val="0704798C"/>
    <w:lvl w:ilvl="0" w:tplc="6A1871F0">
      <w:start w:val="1"/>
      <w:numFmt w:val="decimal"/>
      <w:lvlText w:val="%1."/>
      <w:lvlJc w:val="left"/>
      <w:pPr>
        <w:ind w:left="1440" w:hanging="360"/>
      </w:pPr>
      <w:rPr>
        <w:rFonts w:ascii="Arial" w:hAnsi="Arial" w:cs="Arial" w:hint="default"/>
        <w:b w:val="0"/>
        <w:i w:val="0"/>
        <w:sz w:val="22"/>
        <w:szCs w:val="2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163804E1"/>
    <w:multiLevelType w:val="hybridMultilevel"/>
    <w:tmpl w:val="98440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1F0F15"/>
    <w:multiLevelType w:val="hybridMultilevel"/>
    <w:tmpl w:val="6714EB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DE87F39"/>
    <w:multiLevelType w:val="hybridMultilevel"/>
    <w:tmpl w:val="1E6C6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BB2319"/>
    <w:multiLevelType w:val="multilevel"/>
    <w:tmpl w:val="684A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B14D83"/>
    <w:multiLevelType w:val="singleLevel"/>
    <w:tmpl w:val="CD9EBCE6"/>
    <w:lvl w:ilvl="0">
      <w:start w:val="1"/>
      <w:numFmt w:val="bullet"/>
      <w:pStyle w:val="TIRETbul1cm"/>
      <w:lvlText w:val=""/>
      <w:lvlJc w:val="left"/>
      <w:pPr>
        <w:tabs>
          <w:tab w:val="num" w:pos="644"/>
        </w:tabs>
        <w:ind w:left="284" w:firstLine="0"/>
      </w:pPr>
      <w:rPr>
        <w:rFonts w:ascii="Symbol" w:hAnsi="Symbol" w:hint="default"/>
      </w:rPr>
    </w:lvl>
  </w:abstractNum>
  <w:abstractNum w:abstractNumId="13" w15:restartNumberingAfterBreak="0">
    <w:nsid w:val="34251CFF"/>
    <w:multiLevelType w:val="hybridMultilevel"/>
    <w:tmpl w:val="36688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4C3D98"/>
    <w:multiLevelType w:val="hybridMultilevel"/>
    <w:tmpl w:val="27E61A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8948A7"/>
    <w:multiLevelType w:val="hybridMultilevel"/>
    <w:tmpl w:val="E822F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F3234B"/>
    <w:multiLevelType w:val="hybridMultilevel"/>
    <w:tmpl w:val="A9A80BD6"/>
    <w:lvl w:ilvl="0" w:tplc="624EB1E4">
      <w:start w:val="1"/>
      <w:numFmt w:val="decimal"/>
      <w:lvlText w:val="%1."/>
      <w:lvlJc w:val="left"/>
      <w:pPr>
        <w:ind w:left="720" w:hanging="360"/>
      </w:pPr>
      <w:rPr>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BB562E"/>
    <w:multiLevelType w:val="hybridMultilevel"/>
    <w:tmpl w:val="E8548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B65CB"/>
    <w:multiLevelType w:val="hybridMultilevel"/>
    <w:tmpl w:val="E2A0A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A26082"/>
    <w:multiLevelType w:val="hybridMultilevel"/>
    <w:tmpl w:val="413276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3B7281"/>
    <w:multiLevelType w:val="hybridMultilevel"/>
    <w:tmpl w:val="F4447522"/>
    <w:lvl w:ilvl="0" w:tplc="8EFCE1BC">
      <w:start w:val="1"/>
      <w:numFmt w:val="decimal"/>
      <w:lvlText w:val="%1."/>
      <w:lvlJc w:val="left"/>
      <w:pPr>
        <w:ind w:left="720" w:hanging="360"/>
      </w:pPr>
      <w:rPr>
        <w:color w:val="5B9BD5" w:themeColor="accent1"/>
      </w:rPr>
    </w:lvl>
    <w:lvl w:ilvl="1" w:tplc="1504BD6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5D6079"/>
    <w:multiLevelType w:val="hybridMultilevel"/>
    <w:tmpl w:val="31282664"/>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5A38FD"/>
    <w:multiLevelType w:val="hybridMultilevel"/>
    <w:tmpl w:val="F5625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3058B1"/>
    <w:multiLevelType w:val="hybridMultilevel"/>
    <w:tmpl w:val="A7109C38"/>
    <w:lvl w:ilvl="0" w:tplc="B72EFA38">
      <w:start w:val="1"/>
      <w:numFmt w:val="bullet"/>
      <w:lvlText w:val="•"/>
      <w:lvlJc w:val="left"/>
      <w:pPr>
        <w:tabs>
          <w:tab w:val="num" w:pos="720"/>
        </w:tabs>
        <w:ind w:left="720" w:hanging="360"/>
      </w:pPr>
      <w:rPr>
        <w:rFonts w:ascii="Times New Roman" w:hAnsi="Times New Roman" w:hint="default"/>
      </w:rPr>
    </w:lvl>
    <w:lvl w:ilvl="1" w:tplc="F20E9858" w:tentative="1">
      <w:start w:val="1"/>
      <w:numFmt w:val="bullet"/>
      <w:lvlText w:val="•"/>
      <w:lvlJc w:val="left"/>
      <w:pPr>
        <w:tabs>
          <w:tab w:val="num" w:pos="1440"/>
        </w:tabs>
        <w:ind w:left="1440" w:hanging="360"/>
      </w:pPr>
      <w:rPr>
        <w:rFonts w:ascii="Times New Roman" w:hAnsi="Times New Roman" w:hint="default"/>
      </w:rPr>
    </w:lvl>
    <w:lvl w:ilvl="2" w:tplc="D7A6A040" w:tentative="1">
      <w:start w:val="1"/>
      <w:numFmt w:val="bullet"/>
      <w:lvlText w:val="•"/>
      <w:lvlJc w:val="left"/>
      <w:pPr>
        <w:tabs>
          <w:tab w:val="num" w:pos="2160"/>
        </w:tabs>
        <w:ind w:left="2160" w:hanging="360"/>
      </w:pPr>
      <w:rPr>
        <w:rFonts w:ascii="Times New Roman" w:hAnsi="Times New Roman" w:hint="default"/>
      </w:rPr>
    </w:lvl>
    <w:lvl w:ilvl="3" w:tplc="297CE6E2" w:tentative="1">
      <w:start w:val="1"/>
      <w:numFmt w:val="bullet"/>
      <w:lvlText w:val="•"/>
      <w:lvlJc w:val="left"/>
      <w:pPr>
        <w:tabs>
          <w:tab w:val="num" w:pos="2880"/>
        </w:tabs>
        <w:ind w:left="2880" w:hanging="360"/>
      </w:pPr>
      <w:rPr>
        <w:rFonts w:ascii="Times New Roman" w:hAnsi="Times New Roman" w:hint="default"/>
      </w:rPr>
    </w:lvl>
    <w:lvl w:ilvl="4" w:tplc="0D4446A4" w:tentative="1">
      <w:start w:val="1"/>
      <w:numFmt w:val="bullet"/>
      <w:lvlText w:val="•"/>
      <w:lvlJc w:val="left"/>
      <w:pPr>
        <w:tabs>
          <w:tab w:val="num" w:pos="3600"/>
        </w:tabs>
        <w:ind w:left="3600" w:hanging="360"/>
      </w:pPr>
      <w:rPr>
        <w:rFonts w:ascii="Times New Roman" w:hAnsi="Times New Roman" w:hint="default"/>
      </w:rPr>
    </w:lvl>
    <w:lvl w:ilvl="5" w:tplc="5A2CD964" w:tentative="1">
      <w:start w:val="1"/>
      <w:numFmt w:val="bullet"/>
      <w:lvlText w:val="•"/>
      <w:lvlJc w:val="left"/>
      <w:pPr>
        <w:tabs>
          <w:tab w:val="num" w:pos="4320"/>
        </w:tabs>
        <w:ind w:left="4320" w:hanging="360"/>
      </w:pPr>
      <w:rPr>
        <w:rFonts w:ascii="Times New Roman" w:hAnsi="Times New Roman" w:hint="default"/>
      </w:rPr>
    </w:lvl>
    <w:lvl w:ilvl="6" w:tplc="64382214" w:tentative="1">
      <w:start w:val="1"/>
      <w:numFmt w:val="bullet"/>
      <w:lvlText w:val="•"/>
      <w:lvlJc w:val="left"/>
      <w:pPr>
        <w:tabs>
          <w:tab w:val="num" w:pos="5040"/>
        </w:tabs>
        <w:ind w:left="5040" w:hanging="360"/>
      </w:pPr>
      <w:rPr>
        <w:rFonts w:ascii="Times New Roman" w:hAnsi="Times New Roman" w:hint="default"/>
      </w:rPr>
    </w:lvl>
    <w:lvl w:ilvl="7" w:tplc="B064839E" w:tentative="1">
      <w:start w:val="1"/>
      <w:numFmt w:val="bullet"/>
      <w:lvlText w:val="•"/>
      <w:lvlJc w:val="left"/>
      <w:pPr>
        <w:tabs>
          <w:tab w:val="num" w:pos="5760"/>
        </w:tabs>
        <w:ind w:left="5760" w:hanging="360"/>
      </w:pPr>
      <w:rPr>
        <w:rFonts w:ascii="Times New Roman" w:hAnsi="Times New Roman" w:hint="default"/>
      </w:rPr>
    </w:lvl>
    <w:lvl w:ilvl="8" w:tplc="B584178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7DB300E"/>
    <w:multiLevelType w:val="multilevel"/>
    <w:tmpl w:val="A64EA12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80468F2"/>
    <w:multiLevelType w:val="hybridMultilevel"/>
    <w:tmpl w:val="8E00335C"/>
    <w:lvl w:ilvl="0" w:tplc="AEFA53E6">
      <w:start w:val="1"/>
      <w:numFmt w:val="bullet"/>
      <w:lvlText w:val="•"/>
      <w:lvlJc w:val="left"/>
      <w:pPr>
        <w:tabs>
          <w:tab w:val="num" w:pos="720"/>
        </w:tabs>
        <w:ind w:left="720" w:hanging="360"/>
      </w:pPr>
      <w:rPr>
        <w:rFonts w:ascii="Arial" w:hAnsi="Arial" w:hint="default"/>
      </w:rPr>
    </w:lvl>
    <w:lvl w:ilvl="1" w:tplc="0DA01FEC" w:tentative="1">
      <w:start w:val="1"/>
      <w:numFmt w:val="bullet"/>
      <w:lvlText w:val="•"/>
      <w:lvlJc w:val="left"/>
      <w:pPr>
        <w:tabs>
          <w:tab w:val="num" w:pos="1440"/>
        </w:tabs>
        <w:ind w:left="1440" w:hanging="360"/>
      </w:pPr>
      <w:rPr>
        <w:rFonts w:ascii="Arial" w:hAnsi="Arial" w:hint="default"/>
      </w:rPr>
    </w:lvl>
    <w:lvl w:ilvl="2" w:tplc="275A1FA6" w:tentative="1">
      <w:start w:val="1"/>
      <w:numFmt w:val="bullet"/>
      <w:lvlText w:val="•"/>
      <w:lvlJc w:val="left"/>
      <w:pPr>
        <w:tabs>
          <w:tab w:val="num" w:pos="2160"/>
        </w:tabs>
        <w:ind w:left="2160" w:hanging="360"/>
      </w:pPr>
      <w:rPr>
        <w:rFonts w:ascii="Arial" w:hAnsi="Arial" w:hint="default"/>
      </w:rPr>
    </w:lvl>
    <w:lvl w:ilvl="3" w:tplc="77FECEDE" w:tentative="1">
      <w:start w:val="1"/>
      <w:numFmt w:val="bullet"/>
      <w:lvlText w:val="•"/>
      <w:lvlJc w:val="left"/>
      <w:pPr>
        <w:tabs>
          <w:tab w:val="num" w:pos="2880"/>
        </w:tabs>
        <w:ind w:left="2880" w:hanging="360"/>
      </w:pPr>
      <w:rPr>
        <w:rFonts w:ascii="Arial" w:hAnsi="Arial" w:hint="default"/>
      </w:rPr>
    </w:lvl>
    <w:lvl w:ilvl="4" w:tplc="D4EAD0C2" w:tentative="1">
      <w:start w:val="1"/>
      <w:numFmt w:val="bullet"/>
      <w:lvlText w:val="•"/>
      <w:lvlJc w:val="left"/>
      <w:pPr>
        <w:tabs>
          <w:tab w:val="num" w:pos="3600"/>
        </w:tabs>
        <w:ind w:left="3600" w:hanging="360"/>
      </w:pPr>
      <w:rPr>
        <w:rFonts w:ascii="Arial" w:hAnsi="Arial" w:hint="default"/>
      </w:rPr>
    </w:lvl>
    <w:lvl w:ilvl="5" w:tplc="176021E0" w:tentative="1">
      <w:start w:val="1"/>
      <w:numFmt w:val="bullet"/>
      <w:lvlText w:val="•"/>
      <w:lvlJc w:val="left"/>
      <w:pPr>
        <w:tabs>
          <w:tab w:val="num" w:pos="4320"/>
        </w:tabs>
        <w:ind w:left="4320" w:hanging="360"/>
      </w:pPr>
      <w:rPr>
        <w:rFonts w:ascii="Arial" w:hAnsi="Arial" w:hint="default"/>
      </w:rPr>
    </w:lvl>
    <w:lvl w:ilvl="6" w:tplc="F6B8746E" w:tentative="1">
      <w:start w:val="1"/>
      <w:numFmt w:val="bullet"/>
      <w:lvlText w:val="•"/>
      <w:lvlJc w:val="left"/>
      <w:pPr>
        <w:tabs>
          <w:tab w:val="num" w:pos="5040"/>
        </w:tabs>
        <w:ind w:left="5040" w:hanging="360"/>
      </w:pPr>
      <w:rPr>
        <w:rFonts w:ascii="Arial" w:hAnsi="Arial" w:hint="default"/>
      </w:rPr>
    </w:lvl>
    <w:lvl w:ilvl="7" w:tplc="3F1431A0" w:tentative="1">
      <w:start w:val="1"/>
      <w:numFmt w:val="bullet"/>
      <w:lvlText w:val="•"/>
      <w:lvlJc w:val="left"/>
      <w:pPr>
        <w:tabs>
          <w:tab w:val="num" w:pos="5760"/>
        </w:tabs>
        <w:ind w:left="5760" w:hanging="360"/>
      </w:pPr>
      <w:rPr>
        <w:rFonts w:ascii="Arial" w:hAnsi="Arial" w:hint="default"/>
      </w:rPr>
    </w:lvl>
    <w:lvl w:ilvl="8" w:tplc="0DC485C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B3F540F"/>
    <w:multiLevelType w:val="hybridMultilevel"/>
    <w:tmpl w:val="2850E8C0"/>
    <w:lvl w:ilvl="0" w:tplc="35AEE4B6">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F77EAE"/>
    <w:multiLevelType w:val="hybridMultilevel"/>
    <w:tmpl w:val="9FC82602"/>
    <w:lvl w:ilvl="0" w:tplc="E450955C">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B91722"/>
    <w:multiLevelType w:val="hybridMultilevel"/>
    <w:tmpl w:val="4B7C51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3882130"/>
    <w:multiLevelType w:val="hybridMultilevel"/>
    <w:tmpl w:val="EF122A08"/>
    <w:lvl w:ilvl="0" w:tplc="C59A53EE">
      <w:start w:val="1"/>
      <w:numFmt w:val="bullet"/>
      <w:lvlText w:val="•"/>
      <w:lvlJc w:val="left"/>
      <w:pPr>
        <w:tabs>
          <w:tab w:val="num" w:pos="720"/>
        </w:tabs>
        <w:ind w:left="720" w:hanging="360"/>
      </w:pPr>
      <w:rPr>
        <w:rFonts w:ascii="Arial" w:hAnsi="Arial" w:hint="default"/>
      </w:rPr>
    </w:lvl>
    <w:lvl w:ilvl="1" w:tplc="36026360" w:tentative="1">
      <w:start w:val="1"/>
      <w:numFmt w:val="bullet"/>
      <w:lvlText w:val="•"/>
      <w:lvlJc w:val="left"/>
      <w:pPr>
        <w:tabs>
          <w:tab w:val="num" w:pos="1440"/>
        </w:tabs>
        <w:ind w:left="1440" w:hanging="360"/>
      </w:pPr>
      <w:rPr>
        <w:rFonts w:ascii="Arial" w:hAnsi="Arial" w:hint="default"/>
      </w:rPr>
    </w:lvl>
    <w:lvl w:ilvl="2" w:tplc="CF28DDA6" w:tentative="1">
      <w:start w:val="1"/>
      <w:numFmt w:val="bullet"/>
      <w:lvlText w:val="•"/>
      <w:lvlJc w:val="left"/>
      <w:pPr>
        <w:tabs>
          <w:tab w:val="num" w:pos="2160"/>
        </w:tabs>
        <w:ind w:left="2160" w:hanging="360"/>
      </w:pPr>
      <w:rPr>
        <w:rFonts w:ascii="Arial" w:hAnsi="Arial" w:hint="default"/>
      </w:rPr>
    </w:lvl>
    <w:lvl w:ilvl="3" w:tplc="C5BA1DA4" w:tentative="1">
      <w:start w:val="1"/>
      <w:numFmt w:val="bullet"/>
      <w:lvlText w:val="•"/>
      <w:lvlJc w:val="left"/>
      <w:pPr>
        <w:tabs>
          <w:tab w:val="num" w:pos="2880"/>
        </w:tabs>
        <w:ind w:left="2880" w:hanging="360"/>
      </w:pPr>
      <w:rPr>
        <w:rFonts w:ascii="Arial" w:hAnsi="Arial" w:hint="default"/>
      </w:rPr>
    </w:lvl>
    <w:lvl w:ilvl="4" w:tplc="920ECAC2" w:tentative="1">
      <w:start w:val="1"/>
      <w:numFmt w:val="bullet"/>
      <w:lvlText w:val="•"/>
      <w:lvlJc w:val="left"/>
      <w:pPr>
        <w:tabs>
          <w:tab w:val="num" w:pos="3600"/>
        </w:tabs>
        <w:ind w:left="3600" w:hanging="360"/>
      </w:pPr>
      <w:rPr>
        <w:rFonts w:ascii="Arial" w:hAnsi="Arial" w:hint="default"/>
      </w:rPr>
    </w:lvl>
    <w:lvl w:ilvl="5" w:tplc="037E4754" w:tentative="1">
      <w:start w:val="1"/>
      <w:numFmt w:val="bullet"/>
      <w:lvlText w:val="•"/>
      <w:lvlJc w:val="left"/>
      <w:pPr>
        <w:tabs>
          <w:tab w:val="num" w:pos="4320"/>
        </w:tabs>
        <w:ind w:left="4320" w:hanging="360"/>
      </w:pPr>
      <w:rPr>
        <w:rFonts w:ascii="Arial" w:hAnsi="Arial" w:hint="default"/>
      </w:rPr>
    </w:lvl>
    <w:lvl w:ilvl="6" w:tplc="C854E024" w:tentative="1">
      <w:start w:val="1"/>
      <w:numFmt w:val="bullet"/>
      <w:lvlText w:val="•"/>
      <w:lvlJc w:val="left"/>
      <w:pPr>
        <w:tabs>
          <w:tab w:val="num" w:pos="5040"/>
        </w:tabs>
        <w:ind w:left="5040" w:hanging="360"/>
      </w:pPr>
      <w:rPr>
        <w:rFonts w:ascii="Arial" w:hAnsi="Arial" w:hint="default"/>
      </w:rPr>
    </w:lvl>
    <w:lvl w:ilvl="7" w:tplc="743ED5CA" w:tentative="1">
      <w:start w:val="1"/>
      <w:numFmt w:val="bullet"/>
      <w:lvlText w:val="•"/>
      <w:lvlJc w:val="left"/>
      <w:pPr>
        <w:tabs>
          <w:tab w:val="num" w:pos="5760"/>
        </w:tabs>
        <w:ind w:left="5760" w:hanging="360"/>
      </w:pPr>
      <w:rPr>
        <w:rFonts w:ascii="Arial" w:hAnsi="Arial" w:hint="default"/>
      </w:rPr>
    </w:lvl>
    <w:lvl w:ilvl="8" w:tplc="3B20C0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84E4C50"/>
    <w:multiLevelType w:val="hybridMultilevel"/>
    <w:tmpl w:val="0D0CF51C"/>
    <w:lvl w:ilvl="0" w:tplc="F022E4D6">
      <w:start w:val="1"/>
      <w:numFmt w:val="decimal"/>
      <w:lvlText w:val="%1."/>
      <w:lvlJc w:val="left"/>
      <w:pPr>
        <w:ind w:left="720" w:hanging="360"/>
      </w:pPr>
      <w:rPr>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6C750E"/>
    <w:multiLevelType w:val="hybridMultilevel"/>
    <w:tmpl w:val="F85455C2"/>
    <w:lvl w:ilvl="0" w:tplc="35AEE4B6">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461FA7"/>
    <w:multiLevelType w:val="hybridMultilevel"/>
    <w:tmpl w:val="0FA0E9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7"/>
  </w:num>
  <w:num w:numId="3">
    <w:abstractNumId w:val="5"/>
  </w:num>
  <w:num w:numId="4">
    <w:abstractNumId w:val="20"/>
  </w:num>
  <w:num w:numId="5">
    <w:abstractNumId w:val="21"/>
  </w:num>
  <w:num w:numId="6">
    <w:abstractNumId w:val="16"/>
  </w:num>
  <w:num w:numId="7">
    <w:abstractNumId w:val="26"/>
  </w:num>
  <w:num w:numId="8">
    <w:abstractNumId w:val="31"/>
  </w:num>
  <w:num w:numId="9">
    <w:abstractNumId w:val="2"/>
  </w:num>
  <w:num w:numId="10">
    <w:abstractNumId w:val="6"/>
  </w:num>
  <w:num w:numId="11">
    <w:abstractNumId w:val="3"/>
  </w:num>
  <w:num w:numId="12">
    <w:abstractNumId w:val="4"/>
  </w:num>
  <w:num w:numId="13">
    <w:abstractNumId w:val="22"/>
    <w:lvlOverride w:ilvl="0">
      <w:lvl w:ilvl="0" w:tplc="040C0001">
        <w:start w:val="1"/>
        <w:numFmt w:val="bullet"/>
        <w:lvlText w:val=""/>
        <w:lvlJc w:val="left"/>
        <w:pPr>
          <w:ind w:left="720" w:hanging="360"/>
        </w:pPr>
        <w:rPr>
          <w:rFonts w:ascii="Symbol" w:hAnsi="Symbol" w:hint="default"/>
        </w:rPr>
      </w:lvl>
    </w:lvlOverride>
  </w:num>
  <w:num w:numId="14">
    <w:abstractNumId w:val="24"/>
    <w:lvlOverride w:ilvl="0">
      <w:lvl w:ilvl="0">
        <w:start w:val="1"/>
        <w:numFmt w:val="bullet"/>
        <w:lvlText w:val=""/>
        <w:lvlJc w:val="left"/>
        <w:pPr>
          <w:ind w:left="720" w:hanging="360"/>
        </w:pPr>
        <w:rPr>
          <w:rFonts w:ascii="Symbol" w:hAnsi="Symbol" w:hint="default"/>
          <w:u w:val="none"/>
        </w:rPr>
      </w:lvl>
    </w:lvlOverride>
  </w:num>
  <w:num w:numId="15">
    <w:abstractNumId w:val="15"/>
  </w:num>
  <w:num w:numId="16">
    <w:abstractNumId w:val="10"/>
  </w:num>
  <w:num w:numId="17">
    <w:abstractNumId w:val="19"/>
  </w:num>
  <w:num w:numId="18">
    <w:abstractNumId w:val="9"/>
    <w:lvlOverride w:ilvl="0">
      <w:lvl w:ilvl="0" w:tplc="04090001">
        <w:start w:val="1"/>
        <w:numFmt w:val="bullet"/>
        <w:lvlText w:val=""/>
        <w:lvlJc w:val="left"/>
        <w:pPr>
          <w:ind w:left="1800" w:hanging="360"/>
        </w:pPr>
        <w:rPr>
          <w:rFonts w:ascii="Symbol" w:hAnsi="Symbol" w:hint="default"/>
        </w:rPr>
      </w:lvl>
    </w:lvlOverride>
  </w:num>
  <w:num w:numId="19">
    <w:abstractNumId w:val="17"/>
  </w:num>
  <w:num w:numId="20">
    <w:abstractNumId w:val="32"/>
    <w:lvlOverride w:ilvl="0">
      <w:lvl w:ilvl="0" w:tplc="04090001">
        <w:start w:val="1"/>
        <w:numFmt w:val="bullet"/>
        <w:lvlText w:val=""/>
        <w:lvlJc w:val="left"/>
        <w:pPr>
          <w:ind w:left="720" w:hanging="360"/>
        </w:pPr>
        <w:rPr>
          <w:rFonts w:ascii="Symbol" w:hAnsi="Symbol" w:hint="default"/>
        </w:rPr>
      </w:lvl>
    </w:lvlOverride>
  </w:num>
  <w:num w:numId="21">
    <w:abstractNumId w:val="18"/>
    <w:lvlOverride w:ilvl="0">
      <w:lvl w:ilvl="0" w:tplc="04090001">
        <w:start w:val="1"/>
        <w:numFmt w:val="bullet"/>
        <w:lvlText w:val=""/>
        <w:lvlJc w:val="left"/>
        <w:pPr>
          <w:ind w:left="360" w:hanging="360"/>
        </w:pPr>
        <w:rPr>
          <w:rFonts w:ascii="Symbol" w:hAnsi="Symbol" w:hint="default"/>
        </w:rPr>
      </w:lvl>
    </w:lvlOverride>
  </w:num>
  <w:num w:numId="22">
    <w:abstractNumId w:val="8"/>
    <w:lvlOverride w:ilvl="0">
      <w:lvl w:ilvl="0" w:tplc="04090001">
        <w:start w:val="1"/>
        <w:numFmt w:val="bullet"/>
        <w:lvlText w:val=""/>
        <w:lvlJc w:val="left"/>
        <w:pPr>
          <w:ind w:left="360" w:hanging="360"/>
        </w:pPr>
        <w:rPr>
          <w:rFonts w:ascii="Symbol" w:hAnsi="Symbol" w:hint="default"/>
        </w:rPr>
      </w:lvl>
    </w:lvlOverride>
  </w:num>
  <w:num w:numId="23">
    <w:abstractNumId w:val="13"/>
    <w:lvlOverride w:ilvl="0">
      <w:lvl w:ilvl="0" w:tplc="04090001">
        <w:start w:val="1"/>
        <w:numFmt w:val="bullet"/>
        <w:lvlText w:val=""/>
        <w:lvlJc w:val="left"/>
        <w:pPr>
          <w:ind w:left="360" w:hanging="360"/>
        </w:pPr>
        <w:rPr>
          <w:rFonts w:ascii="Symbol" w:hAnsi="Symbol" w:hint="default"/>
        </w:rPr>
      </w:lvl>
    </w:lvlOverride>
  </w:num>
  <w:num w:numId="24">
    <w:abstractNumId w:val="1"/>
  </w:num>
  <w:num w:numId="25">
    <w:abstractNumId w:val="14"/>
  </w:num>
  <w:num w:numId="26">
    <w:abstractNumId w:val="23"/>
  </w:num>
  <w:num w:numId="27">
    <w:abstractNumId w:val="25"/>
  </w:num>
  <w:num w:numId="28">
    <w:abstractNumId w:val="29"/>
  </w:num>
  <w:num w:numId="29">
    <w:abstractNumId w:val="11"/>
  </w:num>
  <w:num w:numId="30">
    <w:abstractNumId w:val="0"/>
  </w:num>
  <w:num w:numId="31">
    <w:abstractNumId w:val="28"/>
  </w:num>
  <w:num w:numId="32">
    <w:abstractNumId w:val="7"/>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C2"/>
    <w:rsid w:val="000207B0"/>
    <w:rsid w:val="000229E0"/>
    <w:rsid w:val="00023480"/>
    <w:rsid w:val="0003150B"/>
    <w:rsid w:val="00034000"/>
    <w:rsid w:val="0004273D"/>
    <w:rsid w:val="00046C31"/>
    <w:rsid w:val="00053075"/>
    <w:rsid w:val="00074005"/>
    <w:rsid w:val="000A25C2"/>
    <w:rsid w:val="000B1F0F"/>
    <w:rsid w:val="000D3043"/>
    <w:rsid w:val="000E79DE"/>
    <w:rsid w:val="000F2EE2"/>
    <w:rsid w:val="000F3433"/>
    <w:rsid w:val="001007FE"/>
    <w:rsid w:val="00121F48"/>
    <w:rsid w:val="00124DAB"/>
    <w:rsid w:val="00127188"/>
    <w:rsid w:val="00127F99"/>
    <w:rsid w:val="00135480"/>
    <w:rsid w:val="00151E79"/>
    <w:rsid w:val="00182E13"/>
    <w:rsid w:val="001862A1"/>
    <w:rsid w:val="001A489B"/>
    <w:rsid w:val="001C5DA3"/>
    <w:rsid w:val="001D2A9B"/>
    <w:rsid w:val="00200D03"/>
    <w:rsid w:val="00205BAA"/>
    <w:rsid w:val="00206BC1"/>
    <w:rsid w:val="0021613E"/>
    <w:rsid w:val="00224F50"/>
    <w:rsid w:val="002606EC"/>
    <w:rsid w:val="00262FCE"/>
    <w:rsid w:val="00267B24"/>
    <w:rsid w:val="00271640"/>
    <w:rsid w:val="00297311"/>
    <w:rsid w:val="002A347F"/>
    <w:rsid w:val="002B0CD0"/>
    <w:rsid w:val="002C2D6E"/>
    <w:rsid w:val="002F13F1"/>
    <w:rsid w:val="002F5731"/>
    <w:rsid w:val="003117C2"/>
    <w:rsid w:val="00312004"/>
    <w:rsid w:val="00313C37"/>
    <w:rsid w:val="00330169"/>
    <w:rsid w:val="003321BC"/>
    <w:rsid w:val="003428A7"/>
    <w:rsid w:val="00344601"/>
    <w:rsid w:val="00344693"/>
    <w:rsid w:val="00345602"/>
    <w:rsid w:val="00376476"/>
    <w:rsid w:val="003A533E"/>
    <w:rsid w:val="003B4C80"/>
    <w:rsid w:val="003D51F2"/>
    <w:rsid w:val="0040069E"/>
    <w:rsid w:val="0040445C"/>
    <w:rsid w:val="00416371"/>
    <w:rsid w:val="00430207"/>
    <w:rsid w:val="00457A93"/>
    <w:rsid w:val="004710D3"/>
    <w:rsid w:val="004724A8"/>
    <w:rsid w:val="004A59F9"/>
    <w:rsid w:val="004A6984"/>
    <w:rsid w:val="004A6D7D"/>
    <w:rsid w:val="004C5CD0"/>
    <w:rsid w:val="00516103"/>
    <w:rsid w:val="0051700F"/>
    <w:rsid w:val="00526F91"/>
    <w:rsid w:val="00544B5E"/>
    <w:rsid w:val="00555F22"/>
    <w:rsid w:val="005742DC"/>
    <w:rsid w:val="00577CF2"/>
    <w:rsid w:val="00586E87"/>
    <w:rsid w:val="0059001E"/>
    <w:rsid w:val="005A015D"/>
    <w:rsid w:val="005D09E2"/>
    <w:rsid w:val="005D2E07"/>
    <w:rsid w:val="005E1D48"/>
    <w:rsid w:val="00605660"/>
    <w:rsid w:val="006236E0"/>
    <w:rsid w:val="00646E7B"/>
    <w:rsid w:val="00653F1F"/>
    <w:rsid w:val="00684810"/>
    <w:rsid w:val="00694C5C"/>
    <w:rsid w:val="006A5AED"/>
    <w:rsid w:val="006C4D3B"/>
    <w:rsid w:val="006E72E6"/>
    <w:rsid w:val="006F3D07"/>
    <w:rsid w:val="006F49B2"/>
    <w:rsid w:val="007179A8"/>
    <w:rsid w:val="00720640"/>
    <w:rsid w:val="0072766A"/>
    <w:rsid w:val="00733BDE"/>
    <w:rsid w:val="00747EDE"/>
    <w:rsid w:val="007A2064"/>
    <w:rsid w:val="007A5A44"/>
    <w:rsid w:val="007B1F5A"/>
    <w:rsid w:val="007C6AD8"/>
    <w:rsid w:val="007D035F"/>
    <w:rsid w:val="007E045D"/>
    <w:rsid w:val="007E79BA"/>
    <w:rsid w:val="00800C77"/>
    <w:rsid w:val="0082714C"/>
    <w:rsid w:val="008411EE"/>
    <w:rsid w:val="00847E04"/>
    <w:rsid w:val="00862A71"/>
    <w:rsid w:val="00862D5F"/>
    <w:rsid w:val="008737E9"/>
    <w:rsid w:val="00875057"/>
    <w:rsid w:val="008A403D"/>
    <w:rsid w:val="008D044B"/>
    <w:rsid w:val="008F5A58"/>
    <w:rsid w:val="00924B2B"/>
    <w:rsid w:val="00925BD5"/>
    <w:rsid w:val="009567A2"/>
    <w:rsid w:val="00967534"/>
    <w:rsid w:val="00971704"/>
    <w:rsid w:val="009778D5"/>
    <w:rsid w:val="00981124"/>
    <w:rsid w:val="00982DCA"/>
    <w:rsid w:val="0099117D"/>
    <w:rsid w:val="0099176B"/>
    <w:rsid w:val="009B1FBB"/>
    <w:rsid w:val="009B59CC"/>
    <w:rsid w:val="009C5565"/>
    <w:rsid w:val="009D3378"/>
    <w:rsid w:val="009F7E7E"/>
    <w:rsid w:val="00A36127"/>
    <w:rsid w:val="00A8289A"/>
    <w:rsid w:val="00AA3592"/>
    <w:rsid w:val="00AB2D24"/>
    <w:rsid w:val="00AC01E1"/>
    <w:rsid w:val="00AC3EB4"/>
    <w:rsid w:val="00AC7CE6"/>
    <w:rsid w:val="00AE01F9"/>
    <w:rsid w:val="00B04030"/>
    <w:rsid w:val="00B14A39"/>
    <w:rsid w:val="00B2175E"/>
    <w:rsid w:val="00B22F43"/>
    <w:rsid w:val="00B27611"/>
    <w:rsid w:val="00B60D5E"/>
    <w:rsid w:val="00B77EF1"/>
    <w:rsid w:val="00B80E02"/>
    <w:rsid w:val="00B94DD9"/>
    <w:rsid w:val="00B957E1"/>
    <w:rsid w:val="00BA2926"/>
    <w:rsid w:val="00BB2441"/>
    <w:rsid w:val="00BB3AD3"/>
    <w:rsid w:val="00BC22F5"/>
    <w:rsid w:val="00BE4327"/>
    <w:rsid w:val="00C52F4C"/>
    <w:rsid w:val="00C56EBB"/>
    <w:rsid w:val="00C63308"/>
    <w:rsid w:val="00C66B3D"/>
    <w:rsid w:val="00C725B8"/>
    <w:rsid w:val="00CB6B75"/>
    <w:rsid w:val="00CC1E5D"/>
    <w:rsid w:val="00CC6934"/>
    <w:rsid w:val="00CD584E"/>
    <w:rsid w:val="00CE2F8A"/>
    <w:rsid w:val="00CE5163"/>
    <w:rsid w:val="00CE5487"/>
    <w:rsid w:val="00D23DE5"/>
    <w:rsid w:val="00D42EBE"/>
    <w:rsid w:val="00D553C0"/>
    <w:rsid w:val="00D56F25"/>
    <w:rsid w:val="00D63503"/>
    <w:rsid w:val="00D80E0F"/>
    <w:rsid w:val="00D95A0A"/>
    <w:rsid w:val="00D963BD"/>
    <w:rsid w:val="00DA03CE"/>
    <w:rsid w:val="00DB10F4"/>
    <w:rsid w:val="00DB4C83"/>
    <w:rsid w:val="00DC1042"/>
    <w:rsid w:val="00DC42CB"/>
    <w:rsid w:val="00DD5308"/>
    <w:rsid w:val="00DD55CE"/>
    <w:rsid w:val="00DE458F"/>
    <w:rsid w:val="00DF0F58"/>
    <w:rsid w:val="00DF4459"/>
    <w:rsid w:val="00DF798C"/>
    <w:rsid w:val="00E24332"/>
    <w:rsid w:val="00E27A19"/>
    <w:rsid w:val="00E31511"/>
    <w:rsid w:val="00E872C7"/>
    <w:rsid w:val="00E90F6F"/>
    <w:rsid w:val="00EA63C3"/>
    <w:rsid w:val="00EA7314"/>
    <w:rsid w:val="00EC78BA"/>
    <w:rsid w:val="00ED6A6C"/>
    <w:rsid w:val="00EE3DF2"/>
    <w:rsid w:val="00F2294C"/>
    <w:rsid w:val="00F22BF7"/>
    <w:rsid w:val="00F37A90"/>
    <w:rsid w:val="00F63965"/>
    <w:rsid w:val="00F74BF3"/>
    <w:rsid w:val="00F757BD"/>
    <w:rsid w:val="00F97E8F"/>
    <w:rsid w:val="00FC097D"/>
    <w:rsid w:val="00FC3783"/>
    <w:rsid w:val="00FC4C71"/>
    <w:rsid w:val="00FD46F5"/>
    <w:rsid w:val="00FF5829"/>
    <w:rsid w:val="00FF69D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A1A2D8"/>
  <w15:chartTrackingRefBased/>
  <w15:docId w15:val="{21A969E3-DCCD-407A-A60E-00A139D4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D48"/>
    <w:pPr>
      <w:tabs>
        <w:tab w:val="left" w:pos="567"/>
      </w:tabs>
      <w:snapToGrid w:val="0"/>
    </w:pPr>
    <w:rPr>
      <w:rFonts w:ascii="Arial" w:hAnsi="Arial"/>
      <w:snapToGrid w:val="0"/>
      <w:sz w:val="22"/>
      <w:szCs w:val="24"/>
      <w:lang w:eastAsia="en-US"/>
    </w:rPr>
  </w:style>
  <w:style w:type="paragraph" w:styleId="Titre1">
    <w:name w:val="heading 1"/>
    <w:basedOn w:val="Normal"/>
    <w:next w:val="Marge"/>
    <w:link w:val="Titre1Car"/>
    <w:uiPriority w:val="9"/>
    <w:qFormat/>
    <w:pPr>
      <w:keepNext/>
      <w:keepLines/>
      <w:spacing w:before="240" w:after="240"/>
      <w:jc w:val="center"/>
      <w:outlineLvl w:val="0"/>
    </w:pPr>
    <w:rPr>
      <w:b/>
      <w:bCs/>
      <w:kern w:val="28"/>
    </w:rPr>
  </w:style>
  <w:style w:type="paragraph" w:styleId="Titre2">
    <w:name w:val="heading 2"/>
    <w:basedOn w:val="Normal"/>
    <w:next w:val="Marge"/>
    <w:link w:val="Titre2Car"/>
    <w:uiPriority w:val="9"/>
    <w:qFormat/>
    <w:pPr>
      <w:keepNext/>
      <w:keepLines/>
      <w:spacing w:before="480" w:after="240"/>
      <w:ind w:left="567" w:hanging="567"/>
      <w:outlineLvl w:val="1"/>
    </w:pPr>
    <w:rPr>
      <w:b/>
      <w:bCs/>
      <w:caps/>
    </w:rPr>
  </w:style>
  <w:style w:type="paragraph" w:styleId="Titre3">
    <w:name w:val="heading 3"/>
    <w:basedOn w:val="Normal"/>
    <w:next w:val="Marge"/>
    <w:link w:val="Titre3Car"/>
    <w:qFormat/>
    <w:pPr>
      <w:keepNext/>
      <w:keepLines/>
      <w:spacing w:after="240"/>
      <w:ind w:left="567" w:hanging="567"/>
      <w:outlineLvl w:val="2"/>
    </w:pPr>
    <w:rPr>
      <w:b/>
      <w:bCs/>
    </w:rPr>
  </w:style>
  <w:style w:type="paragraph" w:styleId="Titre4">
    <w:name w:val="heading 4"/>
    <w:basedOn w:val="Normal"/>
    <w:next w:val="Marge"/>
    <w:qFormat/>
    <w:pPr>
      <w:keepNext/>
      <w:keepLines/>
      <w:spacing w:after="240"/>
      <w:outlineLvl w:val="3"/>
    </w:pPr>
    <w:rPr>
      <w:b/>
      <w:bCs/>
    </w:rPr>
  </w:style>
  <w:style w:type="paragraph" w:styleId="Titre5">
    <w:name w:val="heading 5"/>
    <w:basedOn w:val="Normal"/>
    <w:next w:val="Marge"/>
    <w:qFormat/>
    <w:pPr>
      <w:keepNext/>
      <w:keepLines/>
      <w:tabs>
        <w:tab w:val="clear" w:pos="567"/>
        <w:tab w:val="left" w:pos="1134"/>
      </w:tabs>
      <w:spacing w:after="240"/>
      <w:ind w:left="1134" w:hanging="567"/>
      <w:outlineLvl w:val="4"/>
    </w:pPr>
    <w:rPr>
      <w:b/>
      <w:bCs/>
    </w:rPr>
  </w:style>
  <w:style w:type="paragraph" w:styleId="Titre6">
    <w:name w:val="heading 6"/>
    <w:basedOn w:val="Normal"/>
    <w:next w:val="Marge"/>
    <w:qFormat/>
    <w:pPr>
      <w:keepNext/>
      <w:keepLines/>
      <w:tabs>
        <w:tab w:val="clear" w:pos="567"/>
        <w:tab w:val="left" w:pos="1134"/>
      </w:tabs>
      <w:spacing w:after="240"/>
      <w:ind w:left="567"/>
      <w:outlineLvl w:val="5"/>
    </w:pPr>
    <w:rPr>
      <w:b/>
      <w:i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a)"/>
    <w:basedOn w:val="Normal"/>
    <w:pPr>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Appelnotedebasdep">
    <w:name w:val="footnote reference"/>
    <w:uiPriority w:val="99"/>
    <w:semiHidden/>
    <w:rPr>
      <w:vertAlign w:val="superscript"/>
    </w:rPr>
  </w:style>
  <w:style w:type="paragraph" w:styleId="En-tte">
    <w:name w:val="header"/>
    <w:basedOn w:val="Normal"/>
    <w:link w:val="En-tteCar"/>
    <w:uiPriority w:val="99"/>
    <w:pPr>
      <w:tabs>
        <w:tab w:val="clear" w:pos="567"/>
        <w:tab w:val="right" w:pos="9600"/>
      </w:tabs>
    </w:pPr>
    <w:rPr>
      <w:sz w:val="20"/>
      <w:szCs w:val="20"/>
    </w:rPr>
  </w:style>
  <w:style w:type="paragraph" w:customStyle="1" w:styleId="Marge">
    <w:name w:val="Marge"/>
    <w:basedOn w:val="Normal"/>
    <w:link w:val="MargeChar"/>
    <w:uiPriority w:val="99"/>
    <w:qFormat/>
    <w:pPr>
      <w:spacing w:after="240"/>
      <w:jc w:val="both"/>
    </w:pPr>
  </w:style>
  <w:style w:type="paragraph" w:styleId="Notedebasdepage">
    <w:name w:val="footnote text"/>
    <w:basedOn w:val="Normal"/>
    <w:semiHidden/>
    <w:pPr>
      <w:ind w:left="567" w:hanging="567"/>
      <w:jc w:val="both"/>
    </w:pPr>
    <w:rPr>
      <w:sz w:val="20"/>
      <w:szCs w:val="20"/>
    </w:rPr>
  </w:style>
  <w:style w:type="character" w:styleId="Numrodepage">
    <w:name w:val="page number"/>
    <w:basedOn w:val="Policepardfaut"/>
  </w:style>
  <w:style w:type="paragraph" w:customStyle="1" w:styleId="Par">
    <w:name w:val="Par"/>
    <w:basedOn w:val="Normal"/>
    <w:pPr>
      <w:spacing w:after="240"/>
      <w:ind w:firstLine="567"/>
      <w:jc w:val="both"/>
    </w:pPr>
  </w:style>
  <w:style w:type="paragraph" w:styleId="Pieddepage">
    <w:name w:val="footer"/>
    <w:basedOn w:val="Normal"/>
    <w:link w:val="PieddepageCar"/>
    <w:uiPriority w:val="99"/>
    <w:pPr>
      <w:tabs>
        <w:tab w:val="clear" w:pos="567"/>
      </w:tabs>
    </w:pPr>
  </w:style>
  <w:style w:type="paragraph" w:customStyle="1" w:styleId="TIRETbul1cm">
    <w:name w:val="TIRET bul 1cm"/>
    <w:basedOn w:val="Normal"/>
    <w:pPr>
      <w:numPr>
        <w:numId w:val="1"/>
      </w:numPr>
      <w:tabs>
        <w:tab w:val="clear" w:pos="567"/>
        <w:tab w:val="clear" w:pos="644"/>
        <w:tab w:val="left" w:pos="840"/>
      </w:tabs>
      <w:adjustRightInd w:val="0"/>
      <w:spacing w:after="240"/>
      <w:ind w:left="840" w:hanging="273"/>
      <w:jc w:val="both"/>
    </w:pPr>
  </w:style>
  <w:style w:type="character" w:customStyle="1" w:styleId="Stylepersonneldecomposition">
    <w:name w:val="Style personnel de composition"/>
    <w:rPr>
      <w:rFonts w:ascii="Arial" w:hAnsi="Arial" w:cs="Arial"/>
      <w:color w:val="auto"/>
      <w:sz w:val="20"/>
    </w:rPr>
  </w:style>
  <w:style w:type="character" w:customStyle="1" w:styleId="Stylepersonnelderponse">
    <w:name w:val="Style personnel de réponse"/>
    <w:rPr>
      <w:rFonts w:ascii="Arial" w:hAnsi="Arial" w:cs="Arial"/>
      <w:color w:val="auto"/>
      <w:sz w:val="20"/>
    </w:rPr>
  </w:style>
  <w:style w:type="numbering" w:customStyle="1" w:styleId="Aucuneliste1">
    <w:name w:val="Aucune liste1"/>
    <w:next w:val="Aucuneliste"/>
    <w:uiPriority w:val="99"/>
    <w:semiHidden/>
    <w:unhideWhenUsed/>
    <w:rsid w:val="00200D03"/>
  </w:style>
  <w:style w:type="character" w:customStyle="1" w:styleId="Titre1Car">
    <w:name w:val="Titre 1 Car"/>
    <w:basedOn w:val="Policepardfaut"/>
    <w:link w:val="Titre1"/>
    <w:uiPriority w:val="9"/>
    <w:rsid w:val="00200D03"/>
    <w:rPr>
      <w:rFonts w:ascii="Arial" w:hAnsi="Arial"/>
      <w:b/>
      <w:bCs/>
      <w:snapToGrid w:val="0"/>
      <w:kern w:val="28"/>
      <w:sz w:val="22"/>
      <w:szCs w:val="24"/>
      <w:lang w:eastAsia="en-US"/>
    </w:rPr>
  </w:style>
  <w:style w:type="character" w:customStyle="1" w:styleId="Titre2Car">
    <w:name w:val="Titre 2 Car"/>
    <w:basedOn w:val="Policepardfaut"/>
    <w:link w:val="Titre2"/>
    <w:uiPriority w:val="9"/>
    <w:rsid w:val="00200D03"/>
    <w:rPr>
      <w:rFonts w:ascii="Arial" w:hAnsi="Arial"/>
      <w:b/>
      <w:bCs/>
      <w:caps/>
      <w:snapToGrid w:val="0"/>
      <w:sz w:val="22"/>
      <w:szCs w:val="24"/>
      <w:lang w:eastAsia="en-US"/>
    </w:rPr>
  </w:style>
  <w:style w:type="character" w:customStyle="1" w:styleId="Titre3Car">
    <w:name w:val="Titre 3 Car"/>
    <w:basedOn w:val="Policepardfaut"/>
    <w:link w:val="Titre3"/>
    <w:uiPriority w:val="9"/>
    <w:rsid w:val="00200D03"/>
    <w:rPr>
      <w:rFonts w:ascii="Arial" w:hAnsi="Arial"/>
      <w:b/>
      <w:bCs/>
      <w:snapToGrid w:val="0"/>
      <w:sz w:val="22"/>
      <w:szCs w:val="24"/>
      <w:lang w:eastAsia="en-US"/>
    </w:rPr>
  </w:style>
  <w:style w:type="table" w:customStyle="1" w:styleId="Grilledutableau1">
    <w:name w:val="Grille du tableau1"/>
    <w:basedOn w:val="TableauNormal"/>
    <w:next w:val="Grilledutableau"/>
    <w:uiPriority w:val="39"/>
    <w:rsid w:val="00200D03"/>
    <w:pPr>
      <w:widowControl w:val="0"/>
    </w:pPr>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bulles1">
    <w:name w:val="Texte de bulles1"/>
    <w:basedOn w:val="Normal"/>
    <w:next w:val="Textedebulles"/>
    <w:link w:val="TextedebullesCar"/>
    <w:uiPriority w:val="99"/>
    <w:semiHidden/>
    <w:unhideWhenUsed/>
    <w:rsid w:val="00200D03"/>
    <w:pPr>
      <w:widowControl w:val="0"/>
      <w:tabs>
        <w:tab w:val="clear" w:pos="567"/>
      </w:tabs>
      <w:snapToGrid/>
    </w:pPr>
    <w:rPr>
      <w:rFonts w:ascii="Segoe UI" w:hAnsi="Segoe UI" w:cs="Segoe UI"/>
      <w:snapToGrid/>
      <w:sz w:val="18"/>
      <w:szCs w:val="18"/>
      <w:lang w:eastAsia="fr-FR"/>
    </w:rPr>
  </w:style>
  <w:style w:type="character" w:customStyle="1" w:styleId="TextedebullesCar">
    <w:name w:val="Texte de bulles Car"/>
    <w:basedOn w:val="Policepardfaut"/>
    <w:link w:val="Textedebulles1"/>
    <w:uiPriority w:val="99"/>
    <w:semiHidden/>
    <w:rsid w:val="00200D03"/>
    <w:rPr>
      <w:rFonts w:ascii="Segoe UI" w:hAnsi="Segoe UI" w:cs="Segoe UI"/>
      <w:sz w:val="18"/>
      <w:szCs w:val="18"/>
    </w:rPr>
  </w:style>
  <w:style w:type="paragraph" w:customStyle="1" w:styleId="Sansinterligne1">
    <w:name w:val="Sans interligne1"/>
    <w:next w:val="Sansinterligne"/>
    <w:link w:val="SansinterligneCar"/>
    <w:uiPriority w:val="1"/>
    <w:qFormat/>
    <w:rsid w:val="00200D03"/>
    <w:pPr>
      <w:widowControl w:val="0"/>
    </w:pPr>
    <w:rPr>
      <w:rFonts w:ascii="Calibri" w:eastAsia="Calibri" w:hAnsi="Calibri" w:cs="Arial"/>
      <w:sz w:val="22"/>
      <w:szCs w:val="22"/>
      <w:lang w:val="en-US" w:eastAsia="en-US"/>
    </w:rPr>
  </w:style>
  <w:style w:type="paragraph" w:customStyle="1" w:styleId="En-ttedetabledesmatires1">
    <w:name w:val="En-tête de table des matières1"/>
    <w:basedOn w:val="Titre1"/>
    <w:next w:val="Normal"/>
    <w:uiPriority w:val="39"/>
    <w:unhideWhenUsed/>
    <w:qFormat/>
    <w:rsid w:val="00200D03"/>
    <w:pPr>
      <w:tabs>
        <w:tab w:val="clear" w:pos="567"/>
      </w:tabs>
      <w:snapToGrid/>
      <w:spacing w:after="0" w:line="259" w:lineRule="auto"/>
      <w:jc w:val="left"/>
      <w:outlineLvl w:val="9"/>
    </w:pPr>
    <w:rPr>
      <w:rFonts w:ascii="Cambria" w:eastAsia="SimSun" w:hAnsi="Cambria"/>
      <w:b w:val="0"/>
      <w:bCs w:val="0"/>
      <w:snapToGrid/>
      <w:color w:val="1E655B"/>
      <w:kern w:val="0"/>
      <w:sz w:val="32"/>
      <w:szCs w:val="32"/>
      <w:lang w:val="en-US"/>
    </w:rPr>
  </w:style>
  <w:style w:type="paragraph" w:customStyle="1" w:styleId="TM11">
    <w:name w:val="TM 11"/>
    <w:basedOn w:val="Titre1"/>
    <w:next w:val="Normal"/>
    <w:autoRedefine/>
    <w:uiPriority w:val="39"/>
    <w:unhideWhenUsed/>
    <w:rsid w:val="00200D03"/>
    <w:pPr>
      <w:widowControl w:val="0"/>
      <w:tabs>
        <w:tab w:val="clear" w:pos="567"/>
      </w:tabs>
      <w:snapToGrid/>
      <w:spacing w:before="120" w:after="100" w:line="276" w:lineRule="auto"/>
      <w:jc w:val="left"/>
    </w:pPr>
    <w:rPr>
      <w:rFonts w:ascii="Fira Sans Light" w:eastAsia="SimSun" w:hAnsi="Fira Sans Light"/>
      <w:b w:val="0"/>
      <w:bCs w:val="0"/>
      <w:snapToGrid/>
      <w:color w:val="29887B"/>
      <w:kern w:val="0"/>
      <w:sz w:val="24"/>
      <w:szCs w:val="32"/>
      <w:lang w:val="en-US"/>
    </w:rPr>
  </w:style>
  <w:style w:type="paragraph" w:customStyle="1" w:styleId="TM21">
    <w:name w:val="TM 21"/>
    <w:basedOn w:val="Titre2"/>
    <w:next w:val="Normal"/>
    <w:autoRedefine/>
    <w:uiPriority w:val="39"/>
    <w:unhideWhenUsed/>
    <w:rsid w:val="00200D03"/>
    <w:pPr>
      <w:widowControl w:val="0"/>
      <w:tabs>
        <w:tab w:val="clear" w:pos="567"/>
      </w:tabs>
      <w:snapToGrid/>
      <w:spacing w:before="40" w:after="100" w:line="276" w:lineRule="auto"/>
      <w:ind w:left="200" w:firstLine="0"/>
    </w:pPr>
    <w:rPr>
      <w:rFonts w:ascii="Fira Sans Light" w:eastAsia="SimSun" w:hAnsi="Fira Sans Light"/>
      <w:b w:val="0"/>
      <w:bCs w:val="0"/>
      <w:caps w:val="0"/>
      <w:snapToGrid/>
      <w:color w:val="0B5A56"/>
      <w:szCs w:val="26"/>
      <w:lang w:val="en-US"/>
    </w:rPr>
  </w:style>
  <w:style w:type="character" w:customStyle="1" w:styleId="Lienhypertexte1">
    <w:name w:val="Lien hypertexte1"/>
    <w:basedOn w:val="Policepardfaut"/>
    <w:uiPriority w:val="99"/>
    <w:unhideWhenUsed/>
    <w:rsid w:val="00200D03"/>
    <w:rPr>
      <w:color w:val="0000FF"/>
      <w:u w:val="single"/>
    </w:rPr>
  </w:style>
  <w:style w:type="paragraph" w:customStyle="1" w:styleId="TM31">
    <w:name w:val="TM 31"/>
    <w:basedOn w:val="Titre3"/>
    <w:next w:val="Normal"/>
    <w:autoRedefine/>
    <w:uiPriority w:val="39"/>
    <w:unhideWhenUsed/>
    <w:rsid w:val="00200D03"/>
    <w:pPr>
      <w:widowControl w:val="0"/>
      <w:tabs>
        <w:tab w:val="clear" w:pos="567"/>
      </w:tabs>
      <w:snapToGrid/>
      <w:spacing w:before="40" w:after="100" w:line="276" w:lineRule="auto"/>
      <w:ind w:left="400" w:firstLine="0"/>
    </w:pPr>
    <w:rPr>
      <w:rFonts w:ascii="Fira Sans Light" w:eastAsia="SimSun" w:hAnsi="Fira Sans Light"/>
      <w:b w:val="0"/>
      <w:bCs w:val="0"/>
      <w:snapToGrid/>
      <w:color w:val="4FA68C"/>
      <w:lang w:val="en-US"/>
    </w:rPr>
  </w:style>
  <w:style w:type="character" w:customStyle="1" w:styleId="En-tteCar">
    <w:name w:val="En-tête Car"/>
    <w:basedOn w:val="Policepardfaut"/>
    <w:link w:val="En-tte"/>
    <w:uiPriority w:val="99"/>
    <w:rsid w:val="00200D03"/>
    <w:rPr>
      <w:rFonts w:ascii="Arial" w:hAnsi="Arial"/>
      <w:snapToGrid w:val="0"/>
      <w:lang w:eastAsia="en-US"/>
    </w:rPr>
  </w:style>
  <w:style w:type="character" w:customStyle="1" w:styleId="PieddepageCar">
    <w:name w:val="Pied de page Car"/>
    <w:basedOn w:val="Policepardfaut"/>
    <w:link w:val="Pieddepage"/>
    <w:uiPriority w:val="99"/>
    <w:rsid w:val="00200D03"/>
    <w:rPr>
      <w:rFonts w:ascii="Arial" w:hAnsi="Arial"/>
      <w:snapToGrid w:val="0"/>
      <w:sz w:val="22"/>
      <w:szCs w:val="24"/>
      <w:lang w:eastAsia="en-US"/>
    </w:rPr>
  </w:style>
  <w:style w:type="paragraph" w:customStyle="1" w:styleId="Paragraphedeliste1">
    <w:name w:val="Paragraphe de liste1"/>
    <w:basedOn w:val="Normal"/>
    <w:next w:val="Paragraphedeliste"/>
    <w:link w:val="ParagraphedelisteCar"/>
    <w:uiPriority w:val="34"/>
    <w:qFormat/>
    <w:rsid w:val="00200D03"/>
    <w:pPr>
      <w:widowControl w:val="0"/>
      <w:tabs>
        <w:tab w:val="clear" w:pos="567"/>
      </w:tabs>
      <w:snapToGrid/>
      <w:spacing w:after="200" w:line="276" w:lineRule="auto"/>
      <w:ind w:left="720"/>
      <w:contextualSpacing/>
    </w:pPr>
    <w:rPr>
      <w:rFonts w:ascii="Fira Sans Light" w:eastAsia="Calibri" w:hAnsi="Fira Sans Light" w:cs="Arial"/>
      <w:snapToGrid/>
      <w:sz w:val="20"/>
      <w:szCs w:val="22"/>
      <w:lang w:val="en-US"/>
    </w:rPr>
  </w:style>
  <w:style w:type="paragraph" w:customStyle="1" w:styleId="Default">
    <w:name w:val="Default"/>
    <w:rsid w:val="00200D03"/>
    <w:pPr>
      <w:autoSpaceDE w:val="0"/>
      <w:autoSpaceDN w:val="0"/>
      <w:adjustRightInd w:val="0"/>
    </w:pPr>
    <w:rPr>
      <w:rFonts w:ascii="Calibri" w:eastAsia="Calibri" w:hAnsi="Calibri" w:cs="Calibri"/>
      <w:color w:val="000000"/>
      <w:sz w:val="24"/>
      <w:szCs w:val="24"/>
      <w:lang w:val="en-US" w:eastAsia="en-US"/>
    </w:rPr>
  </w:style>
  <w:style w:type="character" w:styleId="Marquedecommentaire">
    <w:name w:val="annotation reference"/>
    <w:basedOn w:val="Policepardfaut"/>
    <w:uiPriority w:val="99"/>
    <w:unhideWhenUsed/>
    <w:rsid w:val="00200D03"/>
    <w:rPr>
      <w:sz w:val="16"/>
      <w:szCs w:val="16"/>
    </w:rPr>
  </w:style>
  <w:style w:type="paragraph" w:styleId="Commentaire">
    <w:name w:val="annotation text"/>
    <w:basedOn w:val="Normal"/>
    <w:link w:val="CommentaireCar"/>
    <w:uiPriority w:val="99"/>
    <w:unhideWhenUsed/>
    <w:rsid w:val="00200D03"/>
    <w:pPr>
      <w:tabs>
        <w:tab w:val="clear" w:pos="567"/>
      </w:tabs>
      <w:snapToGrid/>
    </w:pPr>
    <w:rPr>
      <w:rFonts w:eastAsia="Arial" w:cs="Arial"/>
      <w:snapToGrid/>
      <w:sz w:val="20"/>
      <w:szCs w:val="20"/>
      <w:lang w:val="en-US" w:eastAsia="en-GB"/>
    </w:rPr>
  </w:style>
  <w:style w:type="character" w:customStyle="1" w:styleId="CommentaireCar">
    <w:name w:val="Commentaire Car"/>
    <w:basedOn w:val="Policepardfaut"/>
    <w:link w:val="Commentaire"/>
    <w:uiPriority w:val="99"/>
    <w:rsid w:val="00200D03"/>
    <w:rPr>
      <w:rFonts w:ascii="Arial" w:eastAsia="Arial" w:hAnsi="Arial" w:cs="Arial"/>
      <w:lang w:val="en-US" w:eastAsia="en-GB"/>
    </w:rPr>
  </w:style>
  <w:style w:type="character" w:customStyle="1" w:styleId="ParagraphedelisteCar">
    <w:name w:val="Paragraphe de liste Car"/>
    <w:link w:val="Paragraphedeliste1"/>
    <w:uiPriority w:val="34"/>
    <w:rsid w:val="00200D03"/>
    <w:rPr>
      <w:rFonts w:ascii="Fira Sans Light" w:hAnsi="Fira Sans Light"/>
      <w:sz w:val="20"/>
    </w:rPr>
  </w:style>
  <w:style w:type="character" w:styleId="Accentuation">
    <w:name w:val="Emphasis"/>
    <w:basedOn w:val="Policepardfaut"/>
    <w:uiPriority w:val="20"/>
    <w:qFormat/>
    <w:rsid w:val="00200D03"/>
    <w:rPr>
      <w:i/>
      <w:iCs/>
    </w:rPr>
  </w:style>
  <w:style w:type="paragraph" w:customStyle="1" w:styleId="paragraph">
    <w:name w:val="paragraph"/>
    <w:basedOn w:val="Normal"/>
    <w:rsid w:val="00200D03"/>
    <w:pPr>
      <w:tabs>
        <w:tab w:val="clear" w:pos="567"/>
      </w:tabs>
      <w:snapToGrid/>
      <w:spacing w:before="100" w:beforeAutospacing="1" w:after="100" w:afterAutospacing="1"/>
    </w:pPr>
    <w:rPr>
      <w:rFonts w:ascii="Times New Roman" w:hAnsi="Times New Roman"/>
      <w:snapToGrid/>
      <w:sz w:val="24"/>
      <w:lang w:eastAsia="fr-FR"/>
    </w:rPr>
  </w:style>
  <w:style w:type="character" w:customStyle="1" w:styleId="eop">
    <w:name w:val="eop"/>
    <w:basedOn w:val="Policepardfaut"/>
    <w:rsid w:val="00200D03"/>
  </w:style>
  <w:style w:type="character" w:customStyle="1" w:styleId="SansinterligneCar">
    <w:name w:val="Sans interligne Car"/>
    <w:basedOn w:val="Policepardfaut"/>
    <w:link w:val="Sansinterligne1"/>
    <w:uiPriority w:val="1"/>
    <w:rsid w:val="00200D03"/>
  </w:style>
  <w:style w:type="character" w:styleId="lev">
    <w:name w:val="Strong"/>
    <w:basedOn w:val="Policepardfaut"/>
    <w:uiPriority w:val="22"/>
    <w:qFormat/>
    <w:rsid w:val="00200D03"/>
    <w:rPr>
      <w:b/>
      <w:bCs/>
    </w:rPr>
  </w:style>
  <w:style w:type="character" w:customStyle="1" w:styleId="ffa">
    <w:name w:val="ffa"/>
    <w:basedOn w:val="Policepardfaut"/>
    <w:rsid w:val="00200D03"/>
  </w:style>
  <w:style w:type="character" w:customStyle="1" w:styleId="ws2a">
    <w:name w:val="ws2a"/>
    <w:basedOn w:val="Policepardfaut"/>
    <w:rsid w:val="00200D03"/>
  </w:style>
  <w:style w:type="character" w:styleId="Appeldenotedefin">
    <w:name w:val="endnote reference"/>
    <w:basedOn w:val="Policepardfaut"/>
    <w:uiPriority w:val="99"/>
    <w:unhideWhenUsed/>
    <w:rsid w:val="00200D03"/>
    <w:rPr>
      <w:vertAlign w:val="superscript"/>
    </w:rPr>
  </w:style>
  <w:style w:type="paragraph" w:customStyle="1" w:styleId="Lgende1">
    <w:name w:val="Légende1"/>
    <w:basedOn w:val="Normal"/>
    <w:next w:val="Normal"/>
    <w:uiPriority w:val="35"/>
    <w:unhideWhenUsed/>
    <w:qFormat/>
    <w:rsid w:val="00200D03"/>
    <w:pPr>
      <w:tabs>
        <w:tab w:val="clear" w:pos="567"/>
      </w:tabs>
      <w:snapToGrid/>
      <w:spacing w:after="200"/>
    </w:pPr>
    <w:rPr>
      <w:rFonts w:eastAsia="Arial" w:cs="Arial"/>
      <w:i/>
      <w:iCs/>
      <w:snapToGrid/>
      <w:color w:val="4FA68C"/>
      <w:sz w:val="18"/>
      <w:szCs w:val="18"/>
      <w:lang w:val="en-US" w:eastAsia="en-GB"/>
    </w:rPr>
  </w:style>
  <w:style w:type="character" w:customStyle="1" w:styleId="st">
    <w:name w:val="st"/>
    <w:basedOn w:val="Policepardfaut"/>
    <w:rsid w:val="00200D03"/>
  </w:style>
  <w:style w:type="character" w:customStyle="1" w:styleId="normaltextrun">
    <w:name w:val="normaltextrun"/>
    <w:basedOn w:val="Policepardfaut"/>
    <w:rsid w:val="00200D03"/>
  </w:style>
  <w:style w:type="paragraph" w:styleId="Notedefin">
    <w:name w:val="endnote text"/>
    <w:basedOn w:val="Normal"/>
    <w:link w:val="NotedefinCar"/>
    <w:uiPriority w:val="99"/>
    <w:unhideWhenUsed/>
    <w:rsid w:val="00200D03"/>
    <w:pPr>
      <w:tabs>
        <w:tab w:val="clear" w:pos="567"/>
      </w:tabs>
      <w:snapToGrid/>
    </w:pPr>
    <w:rPr>
      <w:rFonts w:eastAsia="Arial" w:cs="Arial"/>
      <w:snapToGrid/>
      <w:sz w:val="20"/>
      <w:szCs w:val="20"/>
      <w:lang w:val="en-US" w:eastAsia="en-GB"/>
    </w:rPr>
  </w:style>
  <w:style w:type="character" w:customStyle="1" w:styleId="NotedefinCar">
    <w:name w:val="Note de fin Car"/>
    <w:basedOn w:val="Policepardfaut"/>
    <w:link w:val="Notedefin"/>
    <w:uiPriority w:val="99"/>
    <w:rsid w:val="00200D03"/>
    <w:rPr>
      <w:rFonts w:ascii="Arial" w:eastAsia="Arial" w:hAnsi="Arial" w:cs="Arial"/>
      <w:lang w:val="en-US" w:eastAsia="en-GB"/>
    </w:rPr>
  </w:style>
  <w:style w:type="paragraph" w:customStyle="1" w:styleId="Tabledesillustrations1">
    <w:name w:val="Table des illustrations1"/>
    <w:basedOn w:val="Normal"/>
    <w:next w:val="Normal"/>
    <w:uiPriority w:val="99"/>
    <w:unhideWhenUsed/>
    <w:rsid w:val="00200D03"/>
    <w:pPr>
      <w:widowControl w:val="0"/>
      <w:tabs>
        <w:tab w:val="clear" w:pos="567"/>
      </w:tabs>
      <w:snapToGrid/>
      <w:spacing w:line="276" w:lineRule="auto"/>
    </w:pPr>
    <w:rPr>
      <w:rFonts w:ascii="Fira Sans Light" w:eastAsia="Calibri" w:hAnsi="Fira Sans Light" w:cs="Arial"/>
      <w:snapToGrid/>
      <w:sz w:val="20"/>
      <w:szCs w:val="22"/>
      <w:lang w:val="en-US"/>
    </w:rPr>
  </w:style>
  <w:style w:type="paragraph" w:customStyle="1" w:styleId="Objetducommentaire1">
    <w:name w:val="Objet du commentaire1"/>
    <w:basedOn w:val="Commentaire"/>
    <w:next w:val="Commentaire"/>
    <w:uiPriority w:val="99"/>
    <w:semiHidden/>
    <w:unhideWhenUsed/>
    <w:rsid w:val="00200D03"/>
    <w:pPr>
      <w:widowControl w:val="0"/>
      <w:spacing w:after="200"/>
    </w:pPr>
    <w:rPr>
      <w:rFonts w:ascii="Fira Sans Light" w:eastAsia="Calibri" w:hAnsi="Fira Sans Light"/>
      <w:b/>
      <w:bCs/>
      <w:lang w:eastAsia="en-US"/>
    </w:rPr>
  </w:style>
  <w:style w:type="character" w:customStyle="1" w:styleId="ObjetducommentaireCar">
    <w:name w:val="Objet du commentaire Car"/>
    <w:basedOn w:val="CommentaireCar"/>
    <w:link w:val="Objetducommentaire"/>
    <w:uiPriority w:val="99"/>
    <w:semiHidden/>
    <w:rsid w:val="00200D03"/>
    <w:rPr>
      <w:rFonts w:ascii="Fira Sans Light" w:eastAsia="Arial" w:hAnsi="Fira Sans Light" w:cs="Arial"/>
      <w:b/>
      <w:bCs/>
      <w:snapToGrid w:val="0"/>
      <w:sz w:val="20"/>
      <w:szCs w:val="20"/>
      <w:lang w:val="en-US" w:eastAsia="en-GB"/>
    </w:rPr>
  </w:style>
  <w:style w:type="paragraph" w:styleId="NormalWeb">
    <w:name w:val="Normal (Web)"/>
    <w:basedOn w:val="Normal"/>
    <w:uiPriority w:val="99"/>
    <w:unhideWhenUsed/>
    <w:rsid w:val="00200D03"/>
    <w:pPr>
      <w:tabs>
        <w:tab w:val="clear" w:pos="567"/>
      </w:tabs>
      <w:snapToGrid/>
      <w:spacing w:before="100" w:beforeAutospacing="1" w:after="100" w:afterAutospacing="1"/>
    </w:pPr>
    <w:rPr>
      <w:rFonts w:ascii="Times New Roman" w:hAnsi="Times New Roman"/>
      <w:snapToGrid/>
      <w:sz w:val="24"/>
      <w:lang w:eastAsia="fr-FR"/>
    </w:rPr>
  </w:style>
  <w:style w:type="character" w:customStyle="1" w:styleId="Lienhypertextesuivivisit1">
    <w:name w:val="Lien hypertexte suivi visité1"/>
    <w:basedOn w:val="Policepardfaut"/>
    <w:uiPriority w:val="99"/>
    <w:semiHidden/>
    <w:unhideWhenUsed/>
    <w:rsid w:val="00200D03"/>
    <w:rPr>
      <w:color w:val="800080"/>
      <w:u w:val="single"/>
    </w:rPr>
  </w:style>
  <w:style w:type="character" w:customStyle="1" w:styleId="UnresolvedMention1">
    <w:name w:val="Unresolved Mention1"/>
    <w:basedOn w:val="Policepardfaut"/>
    <w:uiPriority w:val="99"/>
    <w:semiHidden/>
    <w:unhideWhenUsed/>
    <w:rsid w:val="00200D03"/>
    <w:rPr>
      <w:color w:val="605E5C"/>
      <w:shd w:val="clear" w:color="auto" w:fill="E1DFDD"/>
    </w:rPr>
  </w:style>
  <w:style w:type="table" w:styleId="Grilledutableau">
    <w:name w:val="Table Grid"/>
    <w:basedOn w:val="TableauNormal"/>
    <w:rsid w:val="00200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1"/>
    <w:semiHidden/>
    <w:unhideWhenUsed/>
    <w:rsid w:val="00200D03"/>
    <w:rPr>
      <w:rFonts w:ascii="Segoe UI" w:hAnsi="Segoe UI" w:cs="Segoe UI"/>
      <w:sz w:val="18"/>
      <w:szCs w:val="18"/>
    </w:rPr>
  </w:style>
  <w:style w:type="character" w:customStyle="1" w:styleId="TextedebullesCar1">
    <w:name w:val="Texte de bulles Car1"/>
    <w:basedOn w:val="Policepardfaut"/>
    <w:link w:val="Textedebulles"/>
    <w:semiHidden/>
    <w:rsid w:val="00200D03"/>
    <w:rPr>
      <w:rFonts w:ascii="Segoe UI" w:hAnsi="Segoe UI" w:cs="Segoe UI"/>
      <w:snapToGrid w:val="0"/>
      <w:sz w:val="18"/>
      <w:szCs w:val="18"/>
      <w:lang w:eastAsia="en-US"/>
    </w:rPr>
  </w:style>
  <w:style w:type="paragraph" w:styleId="Sansinterligne">
    <w:name w:val="No Spacing"/>
    <w:uiPriority w:val="1"/>
    <w:qFormat/>
    <w:rsid w:val="00200D03"/>
    <w:pPr>
      <w:tabs>
        <w:tab w:val="left" w:pos="567"/>
      </w:tabs>
      <w:snapToGrid w:val="0"/>
    </w:pPr>
    <w:rPr>
      <w:rFonts w:ascii="Arial" w:hAnsi="Arial"/>
      <w:snapToGrid w:val="0"/>
      <w:sz w:val="22"/>
      <w:szCs w:val="24"/>
      <w:lang w:eastAsia="en-US"/>
    </w:rPr>
  </w:style>
  <w:style w:type="character" w:styleId="Lienhypertexte">
    <w:name w:val="Hyperlink"/>
    <w:basedOn w:val="Policepardfaut"/>
    <w:uiPriority w:val="99"/>
    <w:rsid w:val="00200D03"/>
    <w:rPr>
      <w:color w:val="0563C1" w:themeColor="hyperlink"/>
      <w:u w:val="single"/>
    </w:rPr>
  </w:style>
  <w:style w:type="paragraph" w:styleId="Paragraphedeliste">
    <w:name w:val="List Paragraph"/>
    <w:basedOn w:val="Normal"/>
    <w:uiPriority w:val="34"/>
    <w:qFormat/>
    <w:rsid w:val="00200D03"/>
    <w:pPr>
      <w:ind w:left="720"/>
      <w:contextualSpacing/>
    </w:pPr>
  </w:style>
  <w:style w:type="paragraph" w:styleId="Objetducommentaire">
    <w:name w:val="annotation subject"/>
    <w:basedOn w:val="Commentaire"/>
    <w:next w:val="Commentaire"/>
    <w:link w:val="ObjetducommentaireCar"/>
    <w:uiPriority w:val="99"/>
    <w:semiHidden/>
    <w:unhideWhenUsed/>
    <w:rsid w:val="00200D03"/>
    <w:pPr>
      <w:tabs>
        <w:tab w:val="left" w:pos="567"/>
      </w:tabs>
      <w:snapToGrid w:val="0"/>
    </w:pPr>
    <w:rPr>
      <w:rFonts w:ascii="Fira Sans Light" w:hAnsi="Fira Sans Light"/>
      <w:b/>
      <w:bCs/>
      <w:snapToGrid w:val="0"/>
    </w:rPr>
  </w:style>
  <w:style w:type="character" w:customStyle="1" w:styleId="ObjetducommentaireCar1">
    <w:name w:val="Objet du commentaire Car1"/>
    <w:basedOn w:val="CommentaireCar"/>
    <w:semiHidden/>
    <w:rsid w:val="00200D03"/>
    <w:rPr>
      <w:rFonts w:ascii="Arial" w:eastAsia="Arial" w:hAnsi="Arial" w:cs="Arial"/>
      <w:b/>
      <w:bCs/>
      <w:lang w:val="en-US" w:eastAsia="en-GB"/>
    </w:rPr>
  </w:style>
  <w:style w:type="character" w:styleId="Lienhypertextesuivivisit">
    <w:name w:val="FollowedHyperlink"/>
    <w:basedOn w:val="Policepardfaut"/>
    <w:rsid w:val="00200D03"/>
    <w:rPr>
      <w:color w:val="954F72" w:themeColor="followedHyperlink"/>
      <w:u w:val="single"/>
    </w:rPr>
  </w:style>
  <w:style w:type="character" w:customStyle="1" w:styleId="MargeChar">
    <w:name w:val="Marge Char"/>
    <w:link w:val="Marge"/>
    <w:rsid w:val="00344693"/>
    <w:rPr>
      <w:rFonts w:ascii="Arial" w:hAnsi="Arial"/>
      <w:snapToGrid w:val="0"/>
      <w:sz w:val="22"/>
      <w:szCs w:val="24"/>
      <w:lang w:eastAsia="en-US"/>
    </w:rPr>
  </w:style>
  <w:style w:type="character" w:styleId="Mentionnonrsolue">
    <w:name w:val="Unresolved Mention"/>
    <w:basedOn w:val="Policepardfaut"/>
    <w:uiPriority w:val="99"/>
    <w:semiHidden/>
    <w:unhideWhenUsed/>
    <w:rsid w:val="000E79DE"/>
    <w:rPr>
      <w:color w:val="605E5C"/>
      <w:shd w:val="clear" w:color="auto" w:fill="E1DFDD"/>
    </w:rPr>
  </w:style>
  <w:style w:type="paragraph" w:customStyle="1" w:styleId="Style2">
    <w:name w:val="Style2"/>
    <w:basedOn w:val="Normal"/>
    <w:link w:val="Style2Car"/>
    <w:qFormat/>
    <w:rsid w:val="001007FE"/>
    <w:pPr>
      <w:shd w:val="clear" w:color="auto" w:fill="FFFFFF"/>
      <w:tabs>
        <w:tab w:val="clear" w:pos="567"/>
        <w:tab w:val="num" w:pos="1400"/>
      </w:tabs>
      <w:snapToGrid/>
      <w:spacing w:after="240"/>
      <w:ind w:left="720"/>
      <w:jc w:val="both"/>
    </w:pPr>
    <w:rPr>
      <w:iCs/>
      <w:szCs w:val="22"/>
      <w:lang w:val="en-GB"/>
    </w:rPr>
  </w:style>
  <w:style w:type="character" w:customStyle="1" w:styleId="Style2Car">
    <w:name w:val="Style2 Car"/>
    <w:basedOn w:val="Policepardfaut"/>
    <w:link w:val="Style2"/>
    <w:rsid w:val="001007FE"/>
    <w:rPr>
      <w:rFonts w:ascii="Arial" w:hAnsi="Arial"/>
      <w:iCs/>
      <w:snapToGrid w:val="0"/>
      <w:sz w:val="22"/>
      <w:szCs w:val="22"/>
      <w:shd w:val="clear" w:color="auto" w:fill="FFFFF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0144_fre" TargetMode="External"/><Relationship Id="rId13" Type="http://schemas.openxmlformats.org/officeDocument/2006/relationships/hyperlink" Target="https://oceanexpert.org/document/28497"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nesdoc.unesco.org/ark:/48223/pf0000381227.locale=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ceandecade.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expert.org/document/28442" TargetMode="External"/><Relationship Id="rId5" Type="http://schemas.openxmlformats.org/officeDocument/2006/relationships/webSettings" Target="webSettings.xml"/><Relationship Id="rId15" Type="http://schemas.openxmlformats.org/officeDocument/2006/relationships/hyperlink" Target="https://www.oceandecade.org/fr/ocean-decade-alliance/" TargetMode="External"/><Relationship Id="rId10" Type="http://schemas.openxmlformats.org/officeDocument/2006/relationships/hyperlink" Target="https://unesdoc.unesco.org/ark:/48223/pf0000379465_fr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unesdoc.unesco.org/ark:/48223/pf0000375002.locale=en" TargetMode="External"/><Relationship Id="rId14" Type="http://schemas.openxmlformats.org/officeDocument/2006/relationships/hyperlink" Target="https://unesdoc.unesco.org/ark:/48223/pf0000381488.locale=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_machu\AppData\Roaming\Microsoft\Templates\Norma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357CC-8FDC-4465-B49B-E8ED4A48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4</TotalTime>
  <Pages>8</Pages>
  <Words>4552</Words>
  <Characters>25061</Characters>
  <Application>Microsoft Office Word</Application>
  <DocSecurity>0</DocSecurity>
  <Lines>374</Lines>
  <Paragraphs>89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État de la mise en œuvre de la décennie des Nations Unies pour les sciences océaniques au service du développement durable (2021-2030)</vt:lpstr>
      <vt:lpstr/>
    </vt:vector>
  </TitlesOfParts>
  <Company>Unesco</Company>
  <LinksUpToDate>false</LinksUpToDate>
  <CharactersWithSpaces>29524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État de la mise en œuvre de la Décennie des Nations Unies pour les sciences océaniques au service du développement durable (2021-2030)</dc:title>
  <dc:subject>IOC/EC-55/4.1.Doc(1)</dc:subject>
  <dc:creator>Obradovic, Aleksandra</dc:creator>
  <cp:keywords/>
  <dc:description/>
  <cp:lastModifiedBy>Machu, Anne-sophie</cp:lastModifiedBy>
  <cp:revision>2</cp:revision>
  <dcterms:created xsi:type="dcterms:W3CDTF">2022-05-20T12:46:00Z</dcterms:created>
  <dcterms:modified xsi:type="dcterms:W3CDTF">2022-05-20T12:46:00Z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202201413</vt:lpwstr>
  </property>
  <property fmtid="{D5CDD505-2E9C-101B-9397-08002B2CF9AE}" pid="3" name="Language">
    <vt:lpwstr>F</vt:lpwstr>
  </property>
</Properties>
</file>