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83CB" w14:textId="4B2A07F8" w:rsidR="00FA68D9" w:rsidRPr="00BD46FC" w:rsidRDefault="00FA68D9">
      <w:pPr>
        <w:rPr>
          <w:rFonts w:ascii="Arial" w:hAnsi="Arial" w:cs="Arial"/>
        </w:rPr>
      </w:pPr>
    </w:p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8005"/>
      </w:tblGrid>
      <w:tr w:rsidR="00FA68D9" w:rsidRPr="00BD46FC" w14:paraId="1709CCC6" w14:textId="77777777" w:rsidTr="005B0804">
        <w:trPr>
          <w:trHeight w:val="4689"/>
          <w:jc w:val="center"/>
        </w:trPr>
        <w:tc>
          <w:tcPr>
            <w:tcW w:w="8005" w:type="dxa"/>
          </w:tcPr>
          <w:p w14:paraId="33D8523D" w14:textId="2EFF265F" w:rsidR="001B5075" w:rsidRPr="00BD46FC" w:rsidRDefault="001B5075" w:rsidP="00866330">
            <w:pPr>
              <w:tabs>
                <w:tab w:val="clear" w:pos="567"/>
              </w:tabs>
              <w:snapToGrid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D46FC">
              <w:rPr>
                <w:rFonts w:ascii="Arial" w:hAnsi="Arial" w:cs="Arial"/>
                <w:bCs/>
                <w:sz w:val="22"/>
                <w:szCs w:val="22"/>
                <w:u w:val="single"/>
              </w:rPr>
              <w:t>Резюме</w:t>
            </w:r>
          </w:p>
          <w:p w14:paraId="26382FE7" w14:textId="3198BA45" w:rsidR="002F2691" w:rsidRPr="00BD46FC" w:rsidRDefault="008E5D4A" w:rsidP="002F2691">
            <w:pPr>
              <w:widowControl w:val="0"/>
              <w:shd w:val="clear" w:color="auto" w:fill="FFFFFF"/>
              <w:adjustRightInd w:val="0"/>
              <w:spacing w:after="240"/>
              <w:ind w:right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BD46FC">
              <w:rPr>
                <w:rFonts w:ascii="Arial" w:hAnsi="Arial" w:cs="Arial"/>
                <w:sz w:val="22"/>
                <w:szCs w:val="22"/>
              </w:rPr>
              <w:t>В настоящем документе представлена информация об основных результатах деятельности в рамках Десятилетия, посвященного науке об океане, достигнутых в период с июня 2021</w:t>
            </w:r>
            <w:r w:rsidR="00FB5356">
              <w:rPr>
                <w:rFonts w:ascii="Arial" w:hAnsi="Arial" w:cs="Arial"/>
                <w:sz w:val="22"/>
                <w:szCs w:val="22"/>
              </w:rPr>
              <w:t> г.</w:t>
            </w:r>
            <w:r w:rsidRPr="00BD46FC">
              <w:rPr>
                <w:rFonts w:ascii="Arial" w:hAnsi="Arial" w:cs="Arial"/>
                <w:sz w:val="22"/>
                <w:szCs w:val="22"/>
              </w:rPr>
              <w:t xml:space="preserve"> по май 2022</w:t>
            </w:r>
            <w:r w:rsidR="00FB5356">
              <w:rPr>
                <w:rFonts w:ascii="Arial" w:hAnsi="Arial" w:cs="Arial"/>
                <w:sz w:val="22"/>
                <w:szCs w:val="22"/>
              </w:rPr>
              <w:t> г.</w:t>
            </w:r>
            <w:r w:rsidRPr="00BD46FC">
              <w:rPr>
                <w:rFonts w:ascii="Arial" w:hAnsi="Arial" w:cs="Arial"/>
                <w:sz w:val="22"/>
                <w:szCs w:val="22"/>
              </w:rPr>
              <w:t xml:space="preserve"> по четырем основным направлениям работы: (i) осуществление связанной с Десятилетием деятельности; (ii) структуры управления и координации; (iii) мобилизация ресурсов; (iv) взаимодействие с заинтересованными сторонами и информационно-пропагандистская работа. В документе обозначены основные сохраняющиеся проблемы и потенциальные возможности в рамках указанных направлений работы, а также сформулировано видение в отношении перспектив и прогноз на 2022-2023 гг. и последующий период.</w:t>
            </w:r>
          </w:p>
          <w:p w14:paraId="4E0F1C68" w14:textId="59BEE98F" w:rsidR="000F79E5" w:rsidRPr="00BD46FC" w:rsidRDefault="000F79E5" w:rsidP="002F2691">
            <w:pPr>
              <w:widowControl w:val="0"/>
              <w:shd w:val="clear" w:color="auto" w:fill="FFFFFF"/>
              <w:adjustRightInd w:val="0"/>
              <w:spacing w:after="240"/>
              <w:ind w:right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BD46FC">
              <w:rPr>
                <w:rFonts w:ascii="Arial" w:hAnsi="Arial" w:cs="Arial"/>
                <w:sz w:val="22"/>
                <w:szCs w:val="22"/>
              </w:rPr>
              <w:t>В добавлении к документу представлены итоги проведения второго запроса предложений на осуществление связанных с Десятилетием мероприятий, а также тематика третьего, проводимого в настоящее время запроса, прием заявок по которому завершится в августе 2022</w:t>
            </w:r>
            <w:r w:rsidR="00FB5356">
              <w:rPr>
                <w:rFonts w:ascii="Arial" w:hAnsi="Arial" w:cs="Arial"/>
                <w:sz w:val="22"/>
                <w:szCs w:val="22"/>
              </w:rPr>
              <w:t> г.</w:t>
            </w:r>
          </w:p>
          <w:p w14:paraId="4F1F8864" w14:textId="73B86732" w:rsidR="000F79E5" w:rsidRPr="00BD46FC" w:rsidRDefault="000F79E5" w:rsidP="002F2691">
            <w:pPr>
              <w:widowControl w:val="0"/>
              <w:shd w:val="clear" w:color="auto" w:fill="FFFFFF"/>
              <w:adjustRightInd w:val="0"/>
              <w:spacing w:after="240"/>
              <w:ind w:right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BD46FC">
              <w:rPr>
                <w:rFonts w:ascii="Arial" w:hAnsi="Arial" w:cs="Arial"/>
                <w:sz w:val="22"/>
                <w:szCs w:val="22"/>
                <w:u w:val="single"/>
              </w:rPr>
              <w:t>Финансовые последствия</w:t>
            </w:r>
            <w:r w:rsidRPr="00BD46FC">
              <w:rPr>
                <w:rFonts w:ascii="Arial" w:hAnsi="Arial" w:cs="Arial"/>
                <w:sz w:val="22"/>
                <w:szCs w:val="22"/>
              </w:rPr>
              <w:t>: Актуальные вопросы, касающиеся мобилизации ресурсов и финансовых затрат, рассматриваются в пп. 21-28.</w:t>
            </w:r>
          </w:p>
          <w:p w14:paraId="6C050125" w14:textId="5676CC48" w:rsidR="00FA68D9" w:rsidRPr="00BD46FC" w:rsidRDefault="002F2691" w:rsidP="00866330">
            <w:pPr>
              <w:tabs>
                <w:tab w:val="clear" w:pos="567"/>
              </w:tabs>
              <w:snapToGrid/>
              <w:spacing w:after="240"/>
              <w:jc w:val="both"/>
              <w:rPr>
                <w:rFonts w:ascii="Arial" w:eastAsia="Calibri" w:hAnsi="Arial" w:cs="Arial"/>
                <w:bCs/>
                <w:sz w:val="22"/>
                <w:u w:val="single"/>
              </w:rPr>
            </w:pPr>
            <w:r w:rsidRPr="00BD46FC">
              <w:rPr>
                <w:rFonts w:ascii="Arial" w:hAnsi="Arial" w:cs="Arial"/>
                <w:sz w:val="22"/>
                <w:u w:val="single"/>
              </w:rPr>
              <w:t>Предлагаемое решение</w:t>
            </w:r>
            <w:r w:rsidRPr="00BD46FC">
              <w:rPr>
                <w:rFonts w:ascii="Arial" w:hAnsi="Arial" w:cs="Arial"/>
                <w:sz w:val="22"/>
              </w:rPr>
              <w:t>:</w:t>
            </w:r>
            <w:r w:rsidRPr="00BD46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6FC">
              <w:rPr>
                <w:rFonts w:ascii="Arial" w:hAnsi="Arial" w:cs="Arial"/>
                <w:sz w:val="22"/>
              </w:rPr>
              <w:t>Исполнительному совету предлагается рассмотреть проект решения, упоминаемый в предварительном документе о принятых и предлагаемых мерах (документ IOC/EC-55/AP) как Реш. EC-55/4.1.</w:t>
            </w:r>
            <w:r w:rsidRPr="00BD46FC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</w:tbl>
    <w:p w14:paraId="69408A5B" w14:textId="0492D87A" w:rsidR="00D91E2D" w:rsidRPr="00BD46FC" w:rsidRDefault="00FA68D9" w:rsidP="00E86920">
      <w:pPr>
        <w:tabs>
          <w:tab w:val="clear" w:pos="567"/>
        </w:tabs>
        <w:snapToGrid/>
        <w:rPr>
          <w:rFonts w:ascii="Arial" w:eastAsia="Times New Roman" w:hAnsi="Arial" w:cs="Arial"/>
          <w:sz w:val="22"/>
          <w:szCs w:val="22"/>
        </w:rPr>
      </w:pPr>
      <w:r w:rsidRPr="00BD46FC">
        <w:rPr>
          <w:rFonts w:ascii="Arial" w:hAnsi="Arial" w:cs="Arial"/>
        </w:rPr>
        <w:br w:type="page"/>
      </w:r>
    </w:p>
    <w:p w14:paraId="2B00EFA1" w14:textId="31610650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lastRenderedPageBreak/>
        <w:t>В декабре 2017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Генеральная Ассамблея Организации Объединенных Наций, основываясь на итогах работы, проделанной </w:t>
      </w:r>
      <w:r w:rsidR="00BD46FC" w:rsidRPr="00BD46FC">
        <w:rPr>
          <w:rFonts w:cs="Arial"/>
        </w:rPr>
        <w:t>государствами-членами</w:t>
      </w:r>
      <w:r w:rsidRPr="00BD46FC">
        <w:rPr>
          <w:rFonts w:cs="Arial"/>
        </w:rPr>
        <w:t xml:space="preserve"> и Секретариатом МОК, провозгласила период 2021-2030 гг. Десятилетием Организации Объединенных Наций, посвященным науке об океане в интересах устойчивого развития (далее «Десятилетие»). Провозглашение Десятилетия – это уникальная возможность осуществить кардинальные преобразования в сфере морских научных исследований и задействовать имеющийся у морской науки потенциал. Проведение Десятилетия благоприятно скажется на уровне финансирования науки со стороны государств и на их вкладе в развитие научно-инновационной деятельности в интересах достижения значимых для общества целей, а также позволит увязать финансовую поддержку сферы научных исследований с достижением глобальных целей, в том числе предусмотренных в Повестке дня на период до 2030</w:t>
      </w:r>
      <w:r w:rsidR="00FB5356">
        <w:rPr>
          <w:rFonts w:cs="Arial"/>
        </w:rPr>
        <w:t> г.</w:t>
      </w:r>
    </w:p>
    <w:p w14:paraId="54AD5D67" w14:textId="5F9E1EEA" w:rsidR="00BD46FC" w:rsidRDefault="002A33EB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t>Во исполнение принятой Генеральной Ассамблеей ООН резолюци</w:t>
      </w:r>
      <w:r w:rsidR="00CF4C27">
        <w:rPr>
          <w:rFonts w:cs="Arial"/>
        </w:rPr>
        <w:t>и</w:t>
      </w:r>
      <w:r w:rsidRPr="00BD46FC">
        <w:rPr>
          <w:rFonts w:cs="Arial"/>
        </w:rPr>
        <w:t xml:space="preserve"> 72/73 и в соответствии с резолюцией МОК EC-LI.1, после завершения подготовительного этапа, информация о котором представлялась в документах </w:t>
      </w:r>
      <w:hyperlink r:id="rId8" w:history="1">
        <w:r w:rsidRPr="00BD46FC">
          <w:rPr>
            <w:rStyle w:val="Hyperlink"/>
            <w:rFonts w:cs="Arial"/>
          </w:rPr>
          <w:t>IOC-XXX/2 Annex 3</w:t>
        </w:r>
      </w:hyperlink>
      <w:r w:rsidRPr="00BD46FC">
        <w:rPr>
          <w:rFonts w:cs="Arial"/>
        </w:rPr>
        <w:t xml:space="preserve"> (2019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), </w:t>
      </w:r>
      <w:hyperlink r:id="rId9" w:history="1">
        <w:r w:rsidRPr="00BD46FC">
          <w:rPr>
            <w:rStyle w:val="Hyperlink"/>
            <w:rFonts w:cs="Arial"/>
          </w:rPr>
          <w:t>IOC/EC-53/4.1.Doc(1)Rev.</w:t>
        </w:r>
      </w:hyperlink>
      <w:r w:rsidRPr="00BD46FC">
        <w:rPr>
          <w:rFonts w:cs="Arial"/>
        </w:rPr>
        <w:t xml:space="preserve"> (2020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) и </w:t>
      </w:r>
      <w:hyperlink r:id="rId10" w:history="1">
        <w:r w:rsidRPr="00BD46FC">
          <w:rPr>
            <w:rStyle w:val="Hyperlink"/>
            <w:rFonts w:cs="Arial"/>
          </w:rPr>
          <w:t>IOC/A-31/3.7.Doc(2)</w:t>
        </w:r>
      </w:hyperlink>
      <w:r w:rsidRPr="00BD46FC">
        <w:rPr>
          <w:rFonts w:cs="Arial"/>
        </w:rPr>
        <w:t xml:space="preserve"> (2021</w:t>
      </w:r>
      <w:r w:rsidR="00FB5356">
        <w:rPr>
          <w:rFonts w:cs="Arial"/>
        </w:rPr>
        <w:t> г.</w:t>
      </w:r>
      <w:r w:rsidRPr="00BD46FC">
        <w:rPr>
          <w:rFonts w:cs="Arial"/>
        </w:rPr>
        <w:t>), в период с июня 2021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по май 2022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продолжилась интенсивная работа, связанная с проведением</w:t>
      </w:r>
      <w:r w:rsidR="00BD46FC">
        <w:rPr>
          <w:rFonts w:cs="Arial"/>
        </w:rPr>
        <w:t xml:space="preserve"> </w:t>
      </w:r>
      <w:r w:rsidRPr="00BD46FC">
        <w:rPr>
          <w:rFonts w:cs="Arial"/>
        </w:rPr>
        <w:t>Десятилетия Организации Объединенных Наций, посвященного науке об океане в интересах устойчивого развития (2021-2030 гг.).</w:t>
      </w:r>
    </w:p>
    <w:p w14:paraId="5645EE63" w14:textId="49080B7C" w:rsidR="002A4718" w:rsidRPr="00BD46FC" w:rsidRDefault="00E86920" w:rsidP="00E86920">
      <w:pPr>
        <w:pStyle w:val="Style2"/>
        <w:tabs>
          <w:tab w:val="clear" w:pos="1400"/>
          <w:tab w:val="left" w:pos="0"/>
        </w:tabs>
        <w:snapToGrid w:val="0"/>
        <w:ind w:left="0"/>
        <w:rPr>
          <w:rFonts w:cs="Arial"/>
          <w:b/>
          <w:bCs/>
        </w:rPr>
      </w:pPr>
      <w:r w:rsidRPr="00BD46FC">
        <w:rPr>
          <w:rFonts w:cs="Arial"/>
          <w:b/>
          <w:bCs/>
        </w:rPr>
        <w:t>Осуществление связанной с Десятилетием деятельности</w:t>
      </w:r>
    </w:p>
    <w:p w14:paraId="5777786E" w14:textId="72F074A5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t>В июне 2021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были объявлены предварительные итоги проведения </w:t>
      </w:r>
      <w:hyperlink r:id="rId11" w:history="1">
        <w:r w:rsidRPr="00BD46FC">
          <w:rPr>
            <w:rFonts w:cs="Arial"/>
          </w:rPr>
          <w:t>первого запроса предложений на осуществление связанной с Десятилетием деятельности (запрос № 01/2020)</w:t>
        </w:r>
      </w:hyperlink>
      <w:r w:rsidRPr="00BD46FC">
        <w:rPr>
          <w:rFonts w:cs="Arial"/>
        </w:rPr>
        <w:t xml:space="preserve"> в отношении примерно 250 потенциальных мероприятий Десятилетия. Далее по мере обработки представленных заявок и принятия по ним решений в течение рассматриваемого периода было сделано еще несколько объявлений. На сегодняшний день в общей сложности одобрено более 170 предложений в отношении связанной с Десятилетием деятельности, включая 31 программу глобального характера, 98 проектов и 42 предложения об оказании поддержки. Кроме того, в программу Десятилетия было включено 15 мероприятий, осуществляемых по инициативе и под руководством партнеров по системе ООН. Информацию о деятельности в рамках Десятилетия, осуществляемой по инициативе и под руководством МОК, см. в документе IOC/INF-1418.</w:t>
      </w:r>
    </w:p>
    <w:p w14:paraId="01870DDB" w14:textId="77777777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t>Утвержденные мероприятия касаются всех десяти сформулированных в отношении Десятилетия приоритетных задач, а в их осуществлении участвуют основные партнеры из более чем 40 стран мира. Несмотря на широкий географический охват указанной деятельностью, по-прежнему отмечается дисбаланс с точки зрения руководящего участия в ней партнеров из наименее развитых стран, в особенности стран Африки и малых островных развивающихся государств.</w:t>
      </w:r>
    </w:p>
    <w:p w14:paraId="55038772" w14:textId="4CADA333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t>В октябре 2021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был объявлен второй запрос предложений на осуществление связанной с Десятилетием деятельности (запрос № 02/2021), прием заявок по которому завершился 31 января 2022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Тематический охват второго запроса определялся с учетом рекомендаций Временного консультативного совета по вопросам проведения Десятилетия и был ориентирован на решение следующих задач: (i) устранение численного дисбаланса мероприятий, утвержденных в рамках разных приоритетных задач Десятилетия науки об океане; (ii) оказание соответствующим глобальным механизмам информационного и экспертного содействия в выработке политики; (iii) запрос новых проектных заявок, а также предложений со стороны партнеров в отношении поддержки уже утвержденных к осуществлению в рамках Десятилетия программ. Запрос № 02/2021 касался сбора предложений по проектам для включения в одну из 25 утвержденных программ, направленных на решение первоочередных задач Десятилетия в области борьбы с загрязнением морской среды, рациональной эксплуатации и восстановления состояния морских экосистем, углубления понимания взаимосвязи между океаном и климатом.</w:t>
      </w:r>
    </w:p>
    <w:p w14:paraId="79C232AD" w14:textId="77777777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lastRenderedPageBreak/>
        <w:t>Кроме того, в рамках запроса № 02/2021 было в экспериментальном порядке организовано два запроса предложений, подкрепленных финансовыми ресурсами, в качестве нового механизма мобилизации средств на цели Десятилетия. Речь идет о задействовании каналов финансирования по линии Фонда поддержки научных исследований группы компаний AXA, спонсирующей главным образом проекты в области повышения устойчивости прибрежных зон, и инициативы MeerWissen, направленной на развитие партнерского взаимодействия Германии и африканских государств в области изучения морской среды и внедрения природоориентированных технологий.</w:t>
      </w:r>
    </w:p>
    <w:p w14:paraId="06F4D1C4" w14:textId="57C583E9" w:rsidR="002A4718" w:rsidRPr="00BD46FC" w:rsidRDefault="007077C5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t>В ходе проведения запроса от ведущих партнеров из 33 стран было получено 38 предложений об осуществлении программ и 134 предложения по проектам. Еще примерно 70 заявок было получено по линии подкрепленных финансированием компонентов данного запроса предложений. В настоящее время проводится рассмотрение поданных заявок, в том числе первого пакета предложений об осуществлении программ, представленных Консультативным советом по вопросам проведения Десятилетия. Оглашение первой части списка утвержденных заявок будет приурочено ко Всемирному дню океанов (8 июня 2022</w:t>
      </w:r>
      <w:r w:rsidR="00FB5356">
        <w:rPr>
          <w:rFonts w:cs="Arial"/>
        </w:rPr>
        <w:t> г.</w:t>
      </w:r>
      <w:r w:rsidRPr="00BD46FC">
        <w:rPr>
          <w:rFonts w:cs="Arial"/>
        </w:rPr>
        <w:t>).</w:t>
      </w:r>
    </w:p>
    <w:p w14:paraId="4008A4C7" w14:textId="43155E8F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</w:rPr>
        <w:t>Тематический охват третьего запроса предложений (запрос № 03/2022) был объявлен Консультативным советом по вопросам проведения Десятилетия 15 апреля 2022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по итогам состоявшегося обсуждения. Третий запрос ориентирован на осуществление программ, которые будут способствовать реализации первоочередных задач Десятилетия, связанных с неистощительным производством морского продовольствия и обеспечением экологичного морского хозяйствования. Кроме того, принимаются проектные заявки по осуществлению мероприятий в рамках 16 уже утвержденных программ. Наряду с этим в рамках третьего запроса принимаются предложения об оказании финансовой или нефинансовой поддержки на цели осуществления мероприятий Десятилетия в странах Африки и МОСРГ. Прием предложений в рамках запроса № 03/2022 завершится в конце августа 2022</w:t>
      </w:r>
      <w:r w:rsidR="00FB5356">
        <w:rPr>
          <w:rFonts w:cs="Arial"/>
        </w:rPr>
        <w:t> г.</w:t>
      </w:r>
      <w:r w:rsidRPr="00BD46FC">
        <w:rPr>
          <w:rFonts w:cs="Arial"/>
        </w:rPr>
        <w:t>, а оглашение списка утвержденных заявок ожидается в конце 2022 или в начале 2023</w:t>
      </w:r>
      <w:r w:rsidR="00FB5356">
        <w:rPr>
          <w:rFonts w:cs="Arial"/>
        </w:rPr>
        <w:t> г.</w:t>
      </w:r>
    </w:p>
    <w:p w14:paraId="5A61763D" w14:textId="21A62C70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t>«Сообщества специалистов-практиков» представляют собой объединенные по тематическому или географическому признаку</w:t>
      </w:r>
      <w:r w:rsidR="00BD46FC">
        <w:rPr>
          <w:rFonts w:cs="Arial"/>
        </w:rPr>
        <w:t xml:space="preserve"> </w:t>
      </w:r>
      <w:r w:rsidRPr="00BD46FC">
        <w:rPr>
          <w:rFonts w:cs="Arial"/>
        </w:rPr>
        <w:t>группы лиц, специализирующихся в областях осуществляемой в рамках Десятилетия деятельности. Эти сообщества призваны содействовать совместному планированию и осуществлению деятельности, а также выявлять возможности для сопряжения усилий в интересах достижения общих целей. Каждому такому сообществу выделена отдельная цифровая дискуссионная площадка на портале Глобального форума заинтересованных сторон. В результате обсуждений с членами Временного консультативного совета по вопросам проведения Десятилетия был сформирован первоначальный список, включающий около 20 тематических и региональных сообществ специалистов-практиков, которые обеспечат платформу для обмена опытом и сотрудничества на уровне утвержденных в рамках Десятилетия направлений деятельности. В 2021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было официально объявлено о начале работы первого сообщества специалистов-практиков в области повышения устойчивости прибрежных экосистем и укрепления потенциала адаптации населения прибрежных районов. К настоящему времени начали функционировать еще четыре профильных сообщества, в том числе по вопросам глубоководных исследований, хозяйственного освоения Мирового океана, развития потенциала и изучения факторов стрессогенного воздействия на морскую среду. По мере включения в программу Десятилетия новых мероприятий и укрепления координационной поддержки в виде онлайновых платформ партнеров-исполнителей и центров сотрудничества в рамках Десятилетия, будут создаваться новые сообщества специалистов-практиков.</w:t>
      </w:r>
    </w:p>
    <w:p w14:paraId="52D1CBB4" w14:textId="791FF75C" w:rsidR="00E86920" w:rsidRPr="00BD46FC" w:rsidRDefault="00E86920" w:rsidP="00E86920">
      <w:pPr>
        <w:pStyle w:val="Style2"/>
        <w:tabs>
          <w:tab w:val="clear" w:pos="1400"/>
          <w:tab w:val="left" w:pos="0"/>
        </w:tabs>
        <w:snapToGrid w:val="0"/>
        <w:ind w:left="0"/>
        <w:rPr>
          <w:rFonts w:eastAsia="Arial" w:cs="Arial"/>
          <w:b/>
          <w:bCs/>
          <w:color w:val="000000" w:themeColor="text1"/>
        </w:rPr>
      </w:pPr>
      <w:r w:rsidRPr="00BD46FC">
        <w:rPr>
          <w:rFonts w:cs="Arial"/>
          <w:b/>
          <w:bCs/>
        </w:rPr>
        <w:t>Структуры управления и координации</w:t>
      </w:r>
    </w:p>
    <w:p w14:paraId="29E3435D" w14:textId="4308F639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  <w:color w:val="000000" w:themeColor="text1"/>
        </w:rPr>
        <w:t>В течение рассматриваемого периода было проведено два совещания Временного консультативного совета по вопросам проведения Десятилетия (сентябрь и декабрь 2021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). В ходе указанных совещаний состоялось рассмотрение и были даны заключения в отношении утверждения связанных с Десятилетием программ, а также сформулированы рекомендации, </w:t>
      </w:r>
      <w:r w:rsidRPr="00BD46FC">
        <w:rPr>
          <w:rFonts w:cs="Arial"/>
          <w:color w:val="000000" w:themeColor="text1"/>
        </w:rPr>
        <w:lastRenderedPageBreak/>
        <w:t>касающиеся рамочных принципов мониторинга и оценки осуществляемой в рамках Десятилетия деятельности и начата подготовка к проведению второго запроса предложений на осуществление связанных с Десятилетием мероприятий (запрос № 02/2021).</w:t>
      </w:r>
    </w:p>
    <w:p w14:paraId="14F8BEAE" w14:textId="68C24264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</w:rPr>
        <w:t xml:space="preserve">Ассамблея МОК на своей 31-й сессии утвердила круг ведения Консультативного совета по вопросам проведения Десятилетия на основе проекта, представленного в документе </w:t>
      </w:r>
      <w:hyperlink r:id="rId12" w:history="1">
        <w:r w:rsidRPr="00BD46FC">
          <w:rPr>
            <w:rStyle w:val="Hyperlink"/>
            <w:rFonts w:cs="Arial"/>
          </w:rPr>
          <w:t>IOC-31/3.7.Doc(1)</w:t>
        </w:r>
      </w:hyperlink>
      <w:r w:rsidRPr="00BD46FC">
        <w:rPr>
          <w:rFonts w:cs="Arial"/>
        </w:rPr>
        <w:t>, в том числе процедуру отбора кандидатов на включение в состав Консультативного совета.</w:t>
      </w:r>
      <w:r w:rsidRPr="00BD46FC">
        <w:rPr>
          <w:rFonts w:cs="Arial"/>
          <w:color w:val="000000" w:themeColor="text1"/>
        </w:rPr>
        <w:t xml:space="preserve"> В период с 5 июля по 22 сентября 2021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был организован открытый прием кандидатур для отбора 15 экспертов в состав Консультативного совета. В рамках этой процедуры государствами – членами МОК-ЮНЕСКО, Организацией Объединенных Наций, учреждениями системы ООН, межправительственными организациями, а также в порядке самовыдвижения было представлено в общей сложности 243 кандидатуры. Исполнительный секретарь МОК сформировал специальную комиссию по отбору кандидатов, в состав которой вошли Председатель и должностные лица МОК, представляющие пять избирательных групп Комиссии. При технической поддержке Группы по координации проведения Десятилетия указанная специальная комиссия отобрала для включения в состав Консультативного совета по вопросам проведения Десятилетия 15 экспертов из 13 стран.</w:t>
      </w:r>
    </w:p>
    <w:p w14:paraId="00F168AA" w14:textId="74D895E3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>В своих решениях комиссия по отбору руководствовалась критериями наличия у кандидатов необходимой квалификации, опыта, авторитета и объективности в отношении видения и целей Десятилетия, а также способности выполнять обязанности, предусмотренные в утвержденном круге ведения. Одним из важнейших принципов при этом была обязательная представленность различных секторов, в том числе научного сообщества, частного сектора, благотворительных организаций и правительственных структур. При отборе экспертов</w:t>
      </w:r>
      <w:r w:rsidR="007F0B8B" w:rsidRPr="007F0B8B">
        <w:rPr>
          <w:rFonts w:cs="Arial"/>
          <w:color w:val="000000" w:themeColor="text1"/>
        </w:rPr>
        <w:t xml:space="preserve"> </w:t>
      </w:r>
      <w:r w:rsidR="007F0B8B">
        <w:rPr>
          <w:rFonts w:cs="Arial"/>
          <w:color w:val="000000" w:themeColor="text1"/>
        </w:rPr>
        <w:t>–</w:t>
      </w:r>
      <w:r w:rsidR="007F0B8B" w:rsidRPr="007F0B8B">
        <w:rPr>
          <w:rFonts w:cs="Arial"/>
          <w:color w:val="000000" w:themeColor="text1"/>
        </w:rPr>
        <w:t xml:space="preserve"> </w:t>
      </w:r>
      <w:r w:rsidRPr="00BD46FC">
        <w:rPr>
          <w:rFonts w:cs="Arial"/>
          <w:color w:val="000000" w:themeColor="text1"/>
        </w:rPr>
        <w:t>членов Консультативного совета должное внимание было также уделено сбалансированности профессионального, географического, возрастного и гендерного аспектов.</w:t>
      </w:r>
    </w:p>
    <w:p w14:paraId="1B112120" w14:textId="37B13DA0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>Помимо 15 экспертов-членов одно постоянное место в Консультативном совете по вопросам проведения Десятилетия будет закреплено за юрисконсультом ООН/ОВОМП, на которого возложены функции секретариата и координатора сети «ООН-океаны» и Конвенции Организации Объединенных Наций по морскому праву. Постоянное место в Совете будет также иметь Секретариат МОК в качестве координатора проведения Десятилетия. Еще три места были закреплены за учреждениями системы ООН. В январе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>, на основании согласованной с механизмом «ООН-океаны» процедуры, предусматривающей опрос учреждений системы ООН на предмет заинтересованности в получении места члена Совета, заполняемого на основе принципа ротации, Программа Организации Объединенных Наций по окружающей среде, Всемирная метеорологическая организация и Международный орган по морскому дну были утверждены в качестве учреждений, представляющих ООН в Консультативном совете 2022</w:t>
      </w:r>
      <w:r w:rsidR="00FB5356">
        <w:rPr>
          <w:rFonts w:cs="Arial"/>
          <w:color w:val="000000" w:themeColor="text1"/>
        </w:rPr>
        <w:t> г.</w:t>
      </w:r>
    </w:p>
    <w:p w14:paraId="2FC7298F" w14:textId="05C080B5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</w:rPr>
        <w:t>Консультативный совет по вопросам проведения Десятилетия был созван в январе 2022</w:t>
      </w:r>
      <w:r w:rsidR="00FB5356">
        <w:rPr>
          <w:rFonts w:cs="Arial"/>
        </w:rPr>
        <w:t> г.</w:t>
      </w:r>
      <w:r w:rsidR="00BD46FC">
        <w:rPr>
          <w:rFonts w:cs="Arial"/>
        </w:rPr>
        <w:t xml:space="preserve"> </w:t>
      </w:r>
      <w:r w:rsidRPr="00BD46FC">
        <w:rPr>
          <w:rFonts w:cs="Arial"/>
        </w:rPr>
        <w:t>на свое вводное инструктивное совещание. Первое рабочее совещание Совета про</w:t>
      </w:r>
      <w:r w:rsidR="00BD46FC">
        <w:rPr>
          <w:rFonts w:cs="Arial"/>
        </w:rPr>
        <w:t>шло</w:t>
      </w:r>
      <w:r w:rsidRPr="00BD46FC">
        <w:rPr>
          <w:rFonts w:cs="Arial"/>
        </w:rPr>
        <w:t xml:space="preserve"> в очном формате в марте 2022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(</w:t>
      </w:r>
      <w:hyperlink r:id="rId13" w:history="1">
        <w:r w:rsidRPr="00BD46FC">
          <w:rPr>
            <w:rStyle w:val="Hyperlink"/>
            <w:rFonts w:cs="Arial"/>
          </w:rPr>
          <w:t>IOC/2022/ODS/35</w:t>
        </w:r>
      </w:hyperlink>
      <w:r w:rsidRPr="00BD46FC">
        <w:rPr>
          <w:rFonts w:cs="Arial"/>
        </w:rPr>
        <w:t>).</w:t>
      </w:r>
      <w:r w:rsidRPr="00BD46FC">
        <w:rPr>
          <w:rFonts w:cs="Arial"/>
          <w:color w:val="000000" w:themeColor="text1"/>
        </w:rPr>
        <w:t xml:space="preserve"> В ходе первого совещания Совет обсудил рекомендации в отношении утверждения программ Десятилетия, отобранных по итогам второго запроса предложений (запрос № 02/2021), и обсудил ряд стратегически значимых вопросов, касающихся оценки хода проведения Десятилетия, мобилизации ресурсов, </w:t>
      </w:r>
      <w:r w:rsidR="00BD46FC">
        <w:rPr>
          <w:rFonts w:cs="Arial"/>
          <w:color w:val="000000" w:themeColor="text1"/>
        </w:rPr>
        <w:t>важности</w:t>
      </w:r>
      <w:r w:rsidRPr="00BD46FC">
        <w:rPr>
          <w:rFonts w:cs="Arial"/>
          <w:color w:val="000000" w:themeColor="text1"/>
        </w:rPr>
        <w:t xml:space="preserve"> использования знаний коренного и местного населения</w:t>
      </w:r>
      <w:r w:rsidR="00BD46FC">
        <w:rPr>
          <w:rFonts w:cs="Arial"/>
          <w:color w:val="000000" w:themeColor="text1"/>
        </w:rPr>
        <w:t xml:space="preserve"> при проведении</w:t>
      </w:r>
      <w:r w:rsidR="00BD46FC" w:rsidRPr="00BD46FC">
        <w:rPr>
          <w:rFonts w:cs="Arial"/>
          <w:color w:val="000000" w:themeColor="text1"/>
        </w:rPr>
        <w:t xml:space="preserve"> Десятилетия</w:t>
      </w:r>
      <w:r w:rsidRPr="00BD46FC">
        <w:rPr>
          <w:rFonts w:cs="Arial"/>
          <w:color w:val="000000" w:themeColor="text1"/>
        </w:rPr>
        <w:t xml:space="preserve">, а также способов расширения участия </w:t>
      </w:r>
      <w:r w:rsidR="00BD46FC">
        <w:rPr>
          <w:rFonts w:cs="Arial"/>
          <w:color w:val="000000" w:themeColor="text1"/>
        </w:rPr>
        <w:t xml:space="preserve">в его проведении </w:t>
      </w:r>
      <w:r w:rsidRPr="00BD46FC">
        <w:rPr>
          <w:rFonts w:cs="Arial"/>
          <w:color w:val="000000" w:themeColor="text1"/>
        </w:rPr>
        <w:t>малых островных развивающихся государств</w:t>
      </w:r>
      <w:r w:rsidR="00BD46FC">
        <w:rPr>
          <w:rFonts w:cs="Arial"/>
          <w:color w:val="000000" w:themeColor="text1"/>
        </w:rPr>
        <w:t xml:space="preserve"> (МОСРГ)</w:t>
      </w:r>
      <w:r w:rsidRPr="00BD46FC">
        <w:rPr>
          <w:rFonts w:cs="Arial"/>
          <w:color w:val="000000" w:themeColor="text1"/>
        </w:rPr>
        <w:t xml:space="preserve"> и наименее развитых стран</w:t>
      </w:r>
      <w:r w:rsidR="00BD46FC">
        <w:rPr>
          <w:rFonts w:cs="Arial"/>
          <w:color w:val="000000" w:themeColor="text1"/>
        </w:rPr>
        <w:t xml:space="preserve"> (НРС)</w:t>
      </w:r>
      <w:r w:rsidRPr="00BD46FC">
        <w:rPr>
          <w:rFonts w:cs="Arial"/>
          <w:color w:val="000000" w:themeColor="text1"/>
        </w:rPr>
        <w:t>. Правила и методы работы Совета представлены в документе IOC/INF-1414.</w:t>
      </w:r>
    </w:p>
    <w:p w14:paraId="0E4980CB" w14:textId="55B2AEA1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 xml:space="preserve">Созданная на базе Секретариата МОК-ЮНЕСКО Группа по координации проведения Десятилетия (ГКД) продолжила укрепляться благодаря прикомандированию </w:t>
      </w:r>
      <w:r w:rsidR="00BD46FC" w:rsidRPr="00BD46FC">
        <w:rPr>
          <w:rFonts w:cs="Arial"/>
          <w:color w:val="000000" w:themeColor="text1"/>
        </w:rPr>
        <w:t xml:space="preserve">Францией </w:t>
      </w:r>
      <w:r w:rsidRPr="00BD46FC">
        <w:rPr>
          <w:rFonts w:cs="Arial"/>
          <w:color w:val="000000" w:themeColor="text1"/>
        </w:rPr>
        <w:t xml:space="preserve">еще одного специалиста, а также </w:t>
      </w:r>
      <w:r w:rsidR="00BD46FC">
        <w:rPr>
          <w:rFonts w:cs="Arial"/>
          <w:color w:val="000000" w:themeColor="text1"/>
        </w:rPr>
        <w:t xml:space="preserve">благодаря </w:t>
      </w:r>
      <w:r w:rsidRPr="00BD46FC">
        <w:rPr>
          <w:rFonts w:cs="Arial"/>
          <w:color w:val="000000" w:themeColor="text1"/>
        </w:rPr>
        <w:t xml:space="preserve">временному предоставлению сотрудника компанией FUGRO. </w:t>
      </w:r>
      <w:r w:rsidR="00BD46FC">
        <w:rPr>
          <w:rFonts w:cs="Arial"/>
          <w:color w:val="000000" w:themeColor="text1"/>
        </w:rPr>
        <w:t>Вместе с тем</w:t>
      </w:r>
      <w:r w:rsidRPr="00BD46FC">
        <w:rPr>
          <w:rFonts w:cs="Arial"/>
          <w:color w:val="000000" w:themeColor="text1"/>
        </w:rPr>
        <w:t xml:space="preserve"> продолжает ощущаться</w:t>
      </w:r>
      <w:r w:rsidR="00BD46FC">
        <w:rPr>
          <w:rFonts w:cs="Arial"/>
          <w:color w:val="000000" w:themeColor="text1"/>
        </w:rPr>
        <w:t xml:space="preserve"> </w:t>
      </w:r>
      <w:r w:rsidR="00BD46FC" w:rsidRPr="00BD46FC">
        <w:rPr>
          <w:rFonts w:cs="Arial"/>
          <w:color w:val="000000" w:themeColor="text1"/>
        </w:rPr>
        <w:t>существенный дефицит квалифицированных кадров</w:t>
      </w:r>
      <w:r w:rsidRPr="00BD46FC">
        <w:rPr>
          <w:rFonts w:cs="Arial"/>
          <w:color w:val="000000" w:themeColor="text1"/>
        </w:rPr>
        <w:t xml:space="preserve">, а значительная часть работы по-прежнему обеспечивается внештатными экспертами, </w:t>
      </w:r>
      <w:r w:rsidRPr="00BD46FC">
        <w:rPr>
          <w:rFonts w:cs="Arial"/>
          <w:color w:val="000000" w:themeColor="text1"/>
        </w:rPr>
        <w:lastRenderedPageBreak/>
        <w:t>услуги которых финансируются за счет внебюджетных средств. В связи с этим для доукомплектования штата ГКД, обеспечения ее стабильной работы в течение Десятилетия и ее способности в полной мере выполнять возложенные на нее функции необходима дополнительная поддержка.</w:t>
      </w:r>
    </w:p>
    <w:p w14:paraId="3187EAA6" w14:textId="3C724B14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 xml:space="preserve">В течение рассматриваемого периода поступили предварительные заявки на участие, касавшиеся семи центров сотрудничества в рамках Десятилетия и четырех партнеров-исполнителей (IOC/INF-1413). Заявки в отношении центров сотрудничества касались создания тематических и региональных центров. </w:t>
      </w:r>
      <w:r w:rsidRPr="00BD46FC">
        <w:rPr>
          <w:rFonts w:cs="Arial"/>
        </w:rPr>
        <w:t xml:space="preserve">В настоящее время в соответствии с процедурой, изложенной в документе </w:t>
      </w:r>
      <w:hyperlink r:id="rId14" w:history="1">
        <w:r w:rsidRPr="00BD46FC">
          <w:rPr>
            <w:rStyle w:val="Hyperlink"/>
            <w:rFonts w:cs="Arial"/>
          </w:rPr>
          <w:t>IOC/2021/ODS/23Rev.</w:t>
        </w:r>
      </w:hyperlink>
      <w:r w:rsidRPr="00BD46FC">
        <w:rPr>
          <w:rFonts w:cs="Arial"/>
        </w:rPr>
        <w:t>, указанные заявки проходят этап оценки, в том числе на предмет целесообразности реализации поступивш</w:t>
      </w:r>
      <w:r w:rsidR="00BD46FC">
        <w:rPr>
          <w:rFonts w:cs="Arial"/>
        </w:rPr>
        <w:t>их</w:t>
      </w:r>
      <w:r w:rsidRPr="00BD46FC">
        <w:rPr>
          <w:rFonts w:cs="Arial"/>
        </w:rPr>
        <w:t xml:space="preserve"> предложени</w:t>
      </w:r>
      <w:r w:rsidR="00BD46FC">
        <w:rPr>
          <w:rFonts w:cs="Arial"/>
        </w:rPr>
        <w:t>й</w:t>
      </w:r>
      <w:r w:rsidRPr="00BD46FC">
        <w:rPr>
          <w:rFonts w:cs="Arial"/>
        </w:rPr>
        <w:t>.</w:t>
      </w:r>
      <w:r w:rsidR="00BD46FC">
        <w:rPr>
          <w:rFonts w:cs="Arial"/>
        </w:rPr>
        <w:t xml:space="preserve"> </w:t>
      </w:r>
      <w:r w:rsidRPr="00BD46FC">
        <w:rPr>
          <w:rFonts w:cs="Arial"/>
          <w:color w:val="000000" w:themeColor="text1"/>
        </w:rPr>
        <w:t xml:space="preserve">Две из четырех заявок от партнеров-исполнителей были одобрены, еще две находятся на рассмотрении. МОК выступила с предложением о создании трех бюро по координации проведения Десятилетия: одного бюро по вопросам океанографических наблюдений (при ГСНО), одного – по вопросам предоставления данных (при МООД), и регионального бюро на базе ВЕСТПАК. </w:t>
      </w:r>
      <w:r w:rsidRPr="00BD46FC">
        <w:rPr>
          <w:rFonts w:cs="Arial"/>
        </w:rPr>
        <w:t xml:space="preserve">Подробная информация в отношении структуры указанных бюро, а также их ресурсных потребностей представлена в документе </w:t>
      </w:r>
      <w:bookmarkStart w:id="0" w:name="_Hlk103076795"/>
      <w:r w:rsidRPr="00BD46FC">
        <w:rPr>
          <w:rFonts w:cs="Arial"/>
        </w:rPr>
        <w:t>IOC/INF-1413</w:t>
      </w:r>
      <w:bookmarkEnd w:id="0"/>
      <w:r w:rsidRPr="00BD46FC">
        <w:rPr>
          <w:rFonts w:cs="Arial"/>
        </w:rPr>
        <w:t>.</w:t>
      </w:r>
    </w:p>
    <w:p w14:paraId="5BDF9BC2" w14:textId="03E5B739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 xml:space="preserve">Шесть региональных программ стали партнерами по организации форумов, посвященных разработке и практической реализации региональных планов действий и проектов. Созданы региональные целевые группы для Арктики, бассейнов Тихого океана, Средиземноморья, Южного океана, западной тропической части Атлантического океана и западной части Тихого океана. </w:t>
      </w:r>
      <w:r w:rsidRPr="00BD46FC">
        <w:rPr>
          <w:rFonts w:cs="Arial"/>
        </w:rPr>
        <w:t>В мае 2022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в рамках организованной правительством Египта Всеафриканской конференции по определению приоритетных задач и развитию партнерского взаимодействия в </w:t>
      </w:r>
      <w:r w:rsidR="00370B35">
        <w:rPr>
          <w:rFonts w:cs="Arial"/>
        </w:rPr>
        <w:t>ходе проведения</w:t>
      </w:r>
      <w:r w:rsidRPr="00BD46FC">
        <w:rPr>
          <w:rFonts w:cs="Arial"/>
        </w:rPr>
        <w:t xml:space="preserve"> Десятилетия ООН, посвященного науке об океане в интересах устойчивого развития, было объявлено о создании региональной целевой группы по контролю за реализацией </w:t>
      </w:r>
      <w:hyperlink r:id="rId15" w:history="1">
        <w:r w:rsidRPr="00BD46FC">
          <w:rPr>
            <w:rStyle w:val="Hyperlink"/>
            <w:rFonts w:cs="Arial"/>
          </w:rPr>
          <w:t>африканской дорожной карты</w:t>
        </w:r>
      </w:hyperlink>
      <w:r w:rsidRPr="00BD46FC">
        <w:rPr>
          <w:rFonts w:cs="Arial"/>
        </w:rPr>
        <w:t xml:space="preserve"> Десятилетия науки об океане.</w:t>
      </w:r>
    </w:p>
    <w:p w14:paraId="62E448B9" w14:textId="6F42AD6B" w:rsidR="00E86920" w:rsidRPr="00BD46FC" w:rsidRDefault="00687A2A" w:rsidP="006810D1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>На сегодняшний день учреждено 27 национальных комитетов по проведению Десятилетия, важнейших структур, созда</w:t>
      </w:r>
      <w:r w:rsidR="00370B35">
        <w:rPr>
          <w:rFonts w:cs="Arial"/>
          <w:color w:val="000000" w:themeColor="text1"/>
        </w:rPr>
        <w:t>ваемых</w:t>
      </w:r>
      <w:r w:rsidRPr="00BD46FC">
        <w:rPr>
          <w:rFonts w:cs="Arial"/>
          <w:color w:val="000000" w:themeColor="text1"/>
        </w:rPr>
        <w:t xml:space="preserve"> на добровольной основе и объедин</w:t>
      </w:r>
      <w:r w:rsidR="00370B35">
        <w:rPr>
          <w:rFonts w:cs="Arial"/>
          <w:color w:val="000000" w:themeColor="text1"/>
        </w:rPr>
        <w:t>яющих</w:t>
      </w:r>
      <w:r w:rsidRPr="00BD46FC">
        <w:rPr>
          <w:rFonts w:cs="Arial"/>
          <w:color w:val="000000" w:themeColor="text1"/>
        </w:rPr>
        <w:t xml:space="preserve"> заинтересованные стороны соответствующих государств с целью определения национальных приоритетов, поощрения связанной с Десятилетием деятельности и мобилизации на национальном уровне ресурсов на цели </w:t>
      </w:r>
      <w:r w:rsidR="00370B35">
        <w:rPr>
          <w:rFonts w:cs="Arial"/>
          <w:color w:val="000000" w:themeColor="text1"/>
        </w:rPr>
        <w:t xml:space="preserve">его </w:t>
      </w:r>
      <w:r w:rsidRPr="00BD46FC">
        <w:rPr>
          <w:rFonts w:cs="Arial"/>
          <w:color w:val="000000" w:themeColor="text1"/>
        </w:rPr>
        <w:t>проведения</w:t>
      </w:r>
      <w:r w:rsidR="00370B35">
        <w:rPr>
          <w:rFonts w:cs="Arial"/>
          <w:color w:val="000000" w:themeColor="text1"/>
        </w:rPr>
        <w:t xml:space="preserve">. </w:t>
      </w:r>
      <w:r w:rsidRPr="00BD46FC">
        <w:rPr>
          <w:rFonts w:cs="Arial"/>
          <w:color w:val="000000" w:themeColor="text1"/>
        </w:rPr>
        <w:t xml:space="preserve">Процесс создания национальных комитетов по проведению Десятилетия в НРС и МОСРГ идет не столь активно, в связи с чем на уровне уже действующих НК в настоящее время обсуждаются возможности оказания шефского содействия или поддержки с целью стимулирования учреждения в указанных регионах новых комитетов. </w:t>
      </w:r>
      <w:r w:rsidRPr="00BD46FC">
        <w:rPr>
          <w:rFonts w:cs="Arial"/>
        </w:rPr>
        <w:t>Сорок одно (41) государство-член приняло участие в опросе, посвященном сбору информации относительно деятельности, осуществляемой на национальном уровне в рамках Десятилетия науки об океане. Среди респондентов 23 государства-члена уже создали свои национальные комитеты по проведению Десятилетия, при этом восемь респондентов сообщили о таком намерении</w:t>
      </w:r>
      <w:r w:rsidR="00370B35">
        <w:rPr>
          <w:rFonts w:cs="Arial"/>
        </w:rPr>
        <w:t>,</w:t>
      </w:r>
      <w:r w:rsidRPr="00BD46FC">
        <w:rPr>
          <w:rFonts w:cs="Arial"/>
        </w:rPr>
        <w:t xml:space="preserve"> 88% респондентов заявили, что ведут активную информационную работу по тематике Десятилетия, 68% осуществляют связанные с Десятилетием программы и проекты, 88% стали инициаторами связанных с Десятилетием мероприятий, а 40% – предприняли усилия по реализации совместных инициатив. Около половины респондентов приняли участие в мобилизации ресурсов на цели Десятилетия, а 45% заявили о том, что ведут соответствующие консультации с национальными комитетами по проведению Десятилетия и региональными целевыми группами. Более половины респондентов отметили, что несмотря на предпринятые усилия их население </w:t>
      </w:r>
      <w:r w:rsidR="00370B35">
        <w:rPr>
          <w:rFonts w:cs="Arial"/>
        </w:rPr>
        <w:t>пока</w:t>
      </w:r>
      <w:r w:rsidRPr="00BD46FC">
        <w:rPr>
          <w:rFonts w:cs="Arial"/>
        </w:rPr>
        <w:t xml:space="preserve"> в недостаточной степени информировано о проводимом Десятилетии.</w:t>
      </w:r>
    </w:p>
    <w:p w14:paraId="0F3EA565" w14:textId="3747F6C6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  <w:shd w:val="clear" w:color="auto" w:fill="FFFFFF"/>
        </w:rPr>
      </w:pPr>
      <w:r w:rsidRPr="00BD46FC">
        <w:rPr>
          <w:rFonts w:cs="Arial"/>
          <w:color w:val="000000" w:themeColor="text1"/>
        </w:rPr>
        <w:t>В рассматриваемый период ценным вкладом в проводимую работу стали совещания неофициальных рабочих групп по коммуникации, технологиям, инновациям, мониторингу и оценке. В декабре 2021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в рамках Координационной платформы данных Десятилетия науки об океане была создана </w:t>
      </w:r>
      <w:r w:rsidR="00370B35">
        <w:rPr>
          <w:rFonts w:cs="Arial"/>
          <w:color w:val="000000" w:themeColor="text1"/>
        </w:rPr>
        <w:t>Г</w:t>
      </w:r>
      <w:r w:rsidRPr="00BD46FC">
        <w:rPr>
          <w:rFonts w:cs="Arial"/>
          <w:color w:val="000000" w:themeColor="text1"/>
        </w:rPr>
        <w:t>руппа по координации управления данными, призванная содействовать разработке и реализации стратегии Десятилетия в области использования данных, ин</w:t>
      </w:r>
      <w:r w:rsidRPr="00BD46FC">
        <w:rPr>
          <w:rFonts w:cs="Arial"/>
          <w:color w:val="000000" w:themeColor="text1"/>
        </w:rPr>
        <w:lastRenderedPageBreak/>
        <w:t>формации и знаний. В качестве компонента указанной платформы в настоящее время создается отраслевая группа по океанографическим данным, которая, как ожидается, начнет функционировать во второй половине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</w:t>
      </w:r>
      <w:r w:rsidRPr="00BD46FC">
        <w:rPr>
          <w:rFonts w:cs="Arial"/>
          <w:color w:val="000000" w:themeColor="text1"/>
          <w:shd w:val="clear" w:color="auto" w:fill="FFFFFF"/>
        </w:rPr>
        <w:t>Кроме того, частным сектором была учреждена целевая группа по содействию выработке стратегических подходов в вопросах взаимодействия с отраслевыми партнерами и изыскания новых возможностей для оказания финансовой и нефинансовой поддержки, а также вовлечения производственных отраслей в процесс совместного планирования связанных с Десятилетием мероприятий.</w:t>
      </w:r>
    </w:p>
    <w:p w14:paraId="11B45217" w14:textId="658A6A99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>Наряду с этим создан реестр экспертов по вопросам Десятилетия науки об океане. Цель его создания – сформировать пул специалистов, которые будут оказывать Секретариату МОК помощь в определении основных целевых показателей для приоритетных задач Десятилетия, в рассмотрении предложений по осуществлению связанных с Десятилетием</w:t>
      </w:r>
      <w:r w:rsidR="00BD46FC">
        <w:rPr>
          <w:rFonts w:cs="Arial"/>
          <w:color w:val="000000" w:themeColor="text1"/>
        </w:rPr>
        <w:t xml:space="preserve"> </w:t>
      </w:r>
      <w:r w:rsidRPr="00BD46FC">
        <w:rPr>
          <w:rFonts w:cs="Arial"/>
          <w:color w:val="000000" w:themeColor="text1"/>
        </w:rPr>
        <w:t>программ, а также в работе регулярных механизмов оценки хода проведения Десятилетия, таких как запланированная на 2023</w:t>
      </w:r>
      <w:r w:rsidR="007F0B8B">
        <w:rPr>
          <w:rFonts w:cs="Arial"/>
          <w:color w:val="000000" w:themeColor="text1"/>
        </w:rPr>
        <w:t xml:space="preserve"> г.</w:t>
      </w:r>
      <w:r w:rsidR="00370B35">
        <w:rPr>
          <w:rFonts w:cs="Arial"/>
          <w:color w:val="000000" w:themeColor="text1"/>
        </w:rPr>
        <w:t xml:space="preserve"> или 20</w:t>
      </w:r>
      <w:r w:rsidRPr="00BD46FC">
        <w:rPr>
          <w:rFonts w:cs="Arial"/>
          <w:color w:val="000000" w:themeColor="text1"/>
        </w:rPr>
        <w:t>24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вторая Международная конференция, посвященная Десятилетию науки об океане.</w:t>
      </w:r>
    </w:p>
    <w:p w14:paraId="4DBDF7D9" w14:textId="10B77221" w:rsidR="00E86920" w:rsidRPr="00BD46FC" w:rsidRDefault="00E86920" w:rsidP="00E86920">
      <w:pPr>
        <w:pStyle w:val="Style2"/>
        <w:tabs>
          <w:tab w:val="clear" w:pos="1400"/>
          <w:tab w:val="left" w:pos="0"/>
        </w:tabs>
        <w:snapToGrid w:val="0"/>
        <w:ind w:left="0"/>
        <w:rPr>
          <w:rFonts w:eastAsia="Arial" w:cs="Arial"/>
          <w:b/>
          <w:bCs/>
          <w:color w:val="000000" w:themeColor="text1"/>
        </w:rPr>
      </w:pPr>
      <w:r w:rsidRPr="00BD46FC">
        <w:rPr>
          <w:rFonts w:cs="Arial"/>
          <w:b/>
          <w:bCs/>
        </w:rPr>
        <w:t>Мобилизация ресурсов и финансовые последствия</w:t>
      </w:r>
    </w:p>
    <w:p w14:paraId="02FA6B2A" w14:textId="77777777" w:rsid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</w:rPr>
      </w:pPr>
      <w:r w:rsidRPr="00BD46FC">
        <w:rPr>
          <w:rFonts w:cs="Arial"/>
        </w:rPr>
        <w:t>Целевую финансовую поддержку для обеспечения координации связанной с Десятилетием деятельности оказали в рассматриваемый период перечисленные ниже государства-члены/организации: Бельгия, Канада, Франция, Япония, Индия, Норвегия, Португалия, Республика Корея, Швеция, Норвежский совет по научным исследованиям и некоммерческая организация REV-Ocean.</w:t>
      </w:r>
    </w:p>
    <w:p w14:paraId="69508A27" w14:textId="19E50B97" w:rsidR="002A4718" w:rsidRPr="00BD46FC" w:rsidRDefault="00BD0A9C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  <w:shd w:val="clear" w:color="auto" w:fill="FFFFFF"/>
        </w:rPr>
      </w:pPr>
      <w:r w:rsidRPr="00BD46FC">
        <w:rPr>
          <w:rFonts w:cs="Arial"/>
          <w:color w:val="000000" w:themeColor="text1"/>
          <w:shd w:val="clear" w:color="auto" w:fill="FFFFFF"/>
        </w:rPr>
        <w:t>Мобилизация ресурсов в финансовой и нефинансовой форме остается важнейшим условием успешного проведения Десятилетия. Необходимо, в частности, обеспечить мобилизацию ресурсов на цели координации деятельности, причем как на центральном (Группа по координации проведения Десятилетия) и децентрализованном (бюро по координации проведения Десятилетия, центры сотрудничества в рамках Десятилетия) уровнях, так и координации работы, связанной с осуществлением утвержденных и будущих мероприятий. Подробная информация о текущих потребностях в ресурсах для осуществления связанных с Десятилетием мероприятий представлена в документе IOC/INF-1419.</w:t>
      </w:r>
    </w:p>
    <w:p w14:paraId="56927DAB" w14:textId="1A001257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  <w:shd w:val="clear" w:color="auto" w:fill="FFFFFF"/>
        </w:rPr>
      </w:pPr>
      <w:r w:rsidRPr="00BD46FC">
        <w:rPr>
          <w:rFonts w:cs="Arial"/>
        </w:rPr>
        <w:t xml:space="preserve">В рассматриваемый период увеличилось число членов </w:t>
      </w:r>
      <w:hyperlink r:id="rId16" w:history="1">
        <w:r w:rsidRPr="00BD46FC">
          <w:rPr>
            <w:rStyle w:val="Hyperlink"/>
            <w:rFonts w:cs="Arial"/>
            <w:shd w:val="clear" w:color="auto" w:fill="FFFFFF"/>
          </w:rPr>
          <w:t>Альянса в поддержку Десятилетия науки об океане</w:t>
        </w:r>
      </w:hyperlink>
      <w:r w:rsidRPr="00BD46FC">
        <w:rPr>
          <w:rFonts w:cs="Arial"/>
        </w:rPr>
        <w:t>, насчитывающем на сегодняшний день девять меценатов и 15 организаций.</w:t>
      </w:r>
      <w:r w:rsidRPr="00BD46FC">
        <w:rPr>
          <w:rFonts w:cs="Arial"/>
          <w:color w:val="000000" w:themeColor="text1"/>
          <w:shd w:val="clear" w:color="auto" w:fill="FFFFFF"/>
        </w:rPr>
        <w:t xml:space="preserve"> Регулярно проходят встречи шерп Альянса, в ходе которых ведется разработка планов его работы и обсуждаются возможности привлечения внимания к деятельности Альянса в рамках предстоящей в Лиссабоне (июнь 2022</w:t>
      </w:r>
      <w:r w:rsidR="00FB5356">
        <w:rPr>
          <w:rFonts w:cs="Arial"/>
          <w:color w:val="000000" w:themeColor="text1"/>
          <w:shd w:val="clear" w:color="auto" w:fill="FFFFFF"/>
        </w:rPr>
        <w:t> г.</w:t>
      </w:r>
      <w:r w:rsidRPr="00BD46FC">
        <w:rPr>
          <w:rFonts w:cs="Arial"/>
          <w:color w:val="000000" w:themeColor="text1"/>
          <w:shd w:val="clear" w:color="auto" w:fill="FFFFFF"/>
        </w:rPr>
        <w:t>) Конференции ООН по проблемам океанов.</w:t>
      </w:r>
    </w:p>
    <w:p w14:paraId="1331E93A" w14:textId="4B107A24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  <w:shd w:val="clear" w:color="auto" w:fill="FFFFFF"/>
        </w:rPr>
      </w:pPr>
      <w:r w:rsidRPr="00BD46FC">
        <w:rPr>
          <w:rFonts w:cs="Arial"/>
          <w:color w:val="000000" w:themeColor="text1"/>
          <w:shd w:val="clear" w:color="auto" w:fill="FFFFFF"/>
        </w:rPr>
        <w:t>Помимо упомянутых выше самофинансируемых компонентов второго запроса предложений (запрос № 02/2021) во взаимодействии с канадской сетью ArcticNet, министерством рыболовства и морских ресурсов Канады, Совместной программной инициативой в интересах здоровых и продуктивных морей и океанов (JPI Oceans) и правительством штата Западная Австралия было подготовлено еще четыре обеспеченных финансированием запроса предложений. В общей сложности с помощью этого механизма, доказавшего свою эффективность как среди финансирующих организаций, так и среди инициаторов связанной с Десятилетием деятельности, на осуществление мероприятий в рамках Десятилетия было мобилизовано около 15 млн. долл. США. На стадии начального обсуждения находятся и другие, подкрепленные финансированием запросы предложений на осуществление связанной с Десятилетием деятельности, в том числе способные обеспечить механизмы совместного и смешанного финансирования ряда партнерских проектов, осуществляемых на основе тематического или регионального подхода.</w:t>
      </w:r>
    </w:p>
    <w:p w14:paraId="642FEC49" w14:textId="2C1A536E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  <w:shd w:val="clear" w:color="auto" w:fill="FFFFFF"/>
        </w:rPr>
      </w:pPr>
      <w:r w:rsidRPr="00BD46FC">
        <w:rPr>
          <w:rFonts w:cs="Arial"/>
          <w:color w:val="000000" w:themeColor="text1"/>
          <w:shd w:val="clear" w:color="auto" w:fill="FFFFFF"/>
        </w:rPr>
        <w:t>В отчетный период были предприняты значительные усилия по привлечению средств благотворительных фондов, при этом на 1-3 июня 2022</w:t>
      </w:r>
      <w:r w:rsidR="00FB5356">
        <w:rPr>
          <w:rFonts w:cs="Arial"/>
          <w:color w:val="000000" w:themeColor="text1"/>
          <w:shd w:val="clear" w:color="auto" w:fill="FFFFFF"/>
        </w:rPr>
        <w:t> г.</w:t>
      </w:r>
      <w:r w:rsidRPr="00BD46FC">
        <w:rPr>
          <w:rFonts w:cs="Arial"/>
          <w:color w:val="000000" w:themeColor="text1"/>
          <w:shd w:val="clear" w:color="auto" w:fill="FFFFFF"/>
        </w:rPr>
        <w:t xml:space="preserve"> в Рабате, Марокко, запланировано очное </w:t>
      </w:r>
      <w:r w:rsidR="00370B35">
        <w:rPr>
          <w:rFonts w:cs="Arial"/>
          <w:color w:val="000000" w:themeColor="text1"/>
          <w:shd w:val="clear" w:color="auto" w:fill="FFFFFF"/>
        </w:rPr>
        <w:t>с</w:t>
      </w:r>
      <w:r w:rsidRPr="00BD46FC">
        <w:rPr>
          <w:rFonts w:cs="Arial"/>
          <w:color w:val="000000" w:themeColor="text1"/>
          <w:shd w:val="clear" w:color="auto" w:fill="FFFFFF"/>
        </w:rPr>
        <w:t xml:space="preserve">овещание фондов в поддержку Десятилетия науки об океане, организуемое Фондом </w:t>
      </w:r>
      <w:r w:rsidRPr="00BD46FC">
        <w:rPr>
          <w:rFonts w:cs="Arial"/>
          <w:color w:val="000000" w:themeColor="text1"/>
          <w:shd w:val="clear" w:color="auto" w:fill="FFFFFF"/>
        </w:rPr>
        <w:lastRenderedPageBreak/>
        <w:t>Мохаммеда VI по защите окружающей среды. В рамках этого мероприятия встретятся представители примерно 20 фондов, занимающихся предоставлением грантов, которые обсуд</w:t>
      </w:r>
      <w:r w:rsidR="00370B35">
        <w:rPr>
          <w:rFonts w:cs="Arial"/>
          <w:color w:val="000000" w:themeColor="text1"/>
          <w:shd w:val="clear" w:color="auto" w:fill="FFFFFF"/>
        </w:rPr>
        <w:t>ят</w:t>
      </w:r>
      <w:r w:rsidRPr="00BD46FC">
        <w:rPr>
          <w:rFonts w:cs="Arial"/>
          <w:color w:val="000000" w:themeColor="text1"/>
          <w:shd w:val="clear" w:color="auto" w:fill="FFFFFF"/>
        </w:rPr>
        <w:t xml:space="preserve"> возможности </w:t>
      </w:r>
      <w:r w:rsidR="00370B35" w:rsidRPr="00BD46FC">
        <w:rPr>
          <w:rFonts w:cs="Arial"/>
          <w:color w:val="000000" w:themeColor="text1"/>
          <w:shd w:val="clear" w:color="auto" w:fill="FFFFFF"/>
        </w:rPr>
        <w:t>дополнительн</w:t>
      </w:r>
      <w:r w:rsidR="00370B35">
        <w:rPr>
          <w:rFonts w:cs="Arial"/>
          <w:color w:val="000000" w:themeColor="text1"/>
          <w:shd w:val="clear" w:color="auto" w:fill="FFFFFF"/>
        </w:rPr>
        <w:t>ого</w:t>
      </w:r>
      <w:r w:rsidR="00370B35" w:rsidRPr="00BD46FC">
        <w:rPr>
          <w:rFonts w:cs="Arial"/>
          <w:color w:val="000000" w:themeColor="text1"/>
          <w:shd w:val="clear" w:color="auto" w:fill="FFFFFF"/>
        </w:rPr>
        <w:t xml:space="preserve"> </w:t>
      </w:r>
      <w:r w:rsidRPr="00BD46FC">
        <w:rPr>
          <w:rFonts w:cs="Arial"/>
          <w:color w:val="000000" w:themeColor="text1"/>
          <w:shd w:val="clear" w:color="auto" w:fill="FFFFFF"/>
        </w:rPr>
        <w:t xml:space="preserve">финансирования связанной с океаном деятельности, а также </w:t>
      </w:r>
      <w:r w:rsidR="00370B35">
        <w:rPr>
          <w:rFonts w:cs="Arial"/>
          <w:color w:val="000000" w:themeColor="text1"/>
          <w:shd w:val="clear" w:color="auto" w:fill="FFFFFF"/>
        </w:rPr>
        <w:t>перспективы</w:t>
      </w:r>
      <w:r w:rsidRPr="00BD46FC">
        <w:rPr>
          <w:rFonts w:cs="Arial"/>
          <w:color w:val="000000" w:themeColor="text1"/>
          <w:shd w:val="clear" w:color="auto" w:fill="FFFFFF"/>
        </w:rPr>
        <w:t xml:space="preserve"> участия благотворительных организаций в совместном ее планировании и в укреплении механизмов научно-политического взаимодействия.</w:t>
      </w:r>
    </w:p>
    <w:p w14:paraId="19E7C57A" w14:textId="77777777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>Консультативный совет по вопросам проведения Десятилетия рекомендовал наращивать взаимодействие с многосторонними банками развития и международными финансовыми механизмами, а также разработать и реализовать с государствами-членами на более системной основе стратегию мобилизации ресурсов.</w:t>
      </w:r>
    </w:p>
    <w:p w14:paraId="3E94DBA7" w14:textId="784114FD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  <w:shd w:val="clear" w:color="auto" w:fill="FFFFFF"/>
        </w:rPr>
        <w:t>Для сохранения нынешней динамики и поддержания уровня деятельности требуется незамедлительно мобилизовать дополнительные финансовые ресурсы или поддержку в натуральной форме на цели обеспечения полномасштабного финансирования деятельности Группы по координации проведения Десятилетия (см. IOC/INF-1418). Существенный объем ресурсов потребуется также для содействия непосредственному осуществлению связанных с Десятилетием</w:t>
      </w:r>
      <w:r w:rsidR="00BD46FC">
        <w:rPr>
          <w:rFonts w:cs="Arial"/>
          <w:color w:val="000000" w:themeColor="text1"/>
          <w:shd w:val="clear" w:color="auto" w:fill="FFFFFF"/>
        </w:rPr>
        <w:t xml:space="preserve"> </w:t>
      </w:r>
      <w:r w:rsidRPr="00BD46FC">
        <w:rPr>
          <w:rFonts w:cs="Arial"/>
          <w:color w:val="000000" w:themeColor="text1"/>
          <w:shd w:val="clear" w:color="auto" w:fill="FFFFFF"/>
        </w:rPr>
        <w:t>мероприятий; актуализированная оценка таких потребностей представлена в документе IOC/INF-1419.</w:t>
      </w:r>
    </w:p>
    <w:p w14:paraId="6FBB5DBF" w14:textId="77777777" w:rsidR="00E86920" w:rsidRPr="00BD46FC" w:rsidRDefault="00E86920" w:rsidP="00E86920">
      <w:pPr>
        <w:pStyle w:val="Style2"/>
        <w:tabs>
          <w:tab w:val="clear" w:pos="1400"/>
          <w:tab w:val="left" w:pos="0"/>
        </w:tabs>
        <w:snapToGrid w:val="0"/>
        <w:ind w:left="0"/>
        <w:rPr>
          <w:rFonts w:eastAsia="Arial" w:cs="Arial"/>
          <w:b/>
          <w:bCs/>
          <w:color w:val="000000" w:themeColor="text1"/>
        </w:rPr>
      </w:pPr>
      <w:r w:rsidRPr="00BD46FC">
        <w:rPr>
          <w:rFonts w:cs="Arial"/>
          <w:b/>
          <w:bCs/>
          <w:color w:val="000000" w:themeColor="text1"/>
        </w:rPr>
        <w:t>Взаимодействие с заинтересованными сторонами и информационно-пропагандистская работа</w:t>
      </w:r>
    </w:p>
    <w:p w14:paraId="7CFC8112" w14:textId="2CE33DB0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  <w:color w:val="000000" w:themeColor="text1"/>
        </w:rPr>
        <w:t>В течение всего рассматриваемого периода продолжалось</w:t>
      </w:r>
      <w:r w:rsidR="00BD46FC">
        <w:rPr>
          <w:rFonts w:cs="Arial"/>
          <w:color w:val="000000" w:themeColor="text1"/>
        </w:rPr>
        <w:t xml:space="preserve"> </w:t>
      </w:r>
      <w:r w:rsidRPr="00BD46FC">
        <w:rPr>
          <w:rFonts w:cs="Arial"/>
          <w:color w:val="000000" w:themeColor="text1"/>
        </w:rPr>
        <w:t xml:space="preserve">взаимодействие с партнерами по системе ООН посредством участия в регулярно проводимых совещаниях механизма «ООН-океаны», а также участия </w:t>
      </w:r>
      <w:r w:rsidR="00370B35">
        <w:rPr>
          <w:rFonts w:cs="Arial"/>
          <w:color w:val="000000" w:themeColor="text1"/>
        </w:rPr>
        <w:t xml:space="preserve">в организованном </w:t>
      </w:r>
      <w:r w:rsidRPr="00BD46FC">
        <w:rPr>
          <w:rFonts w:cs="Arial"/>
          <w:color w:val="000000" w:themeColor="text1"/>
        </w:rPr>
        <w:t>совместно с «ООН-океаны» параллельном мероприятии в ходе 26-й сессии Конференции сторон РКИКООН (Глазго, ноябрь 2021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>). Как уже указывалось выше, в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ООН представлена в Совете по вопросам проведения Десятилетия тремя своими учреждениями (ЮНЕП, МСА и ВМО). В течение следующего отчетного периода повышенное внимание будет уделено расширению взаимодействия с учреждениями системы ООН.</w:t>
      </w:r>
    </w:p>
    <w:p w14:paraId="16200BEF" w14:textId="449B103A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  <w:color w:val="000000" w:themeColor="text1"/>
        </w:rPr>
        <w:t xml:space="preserve">В настоящее время с заинтересованными партнерами, участниками деятельности и правообладателями обсуждается предложение в отношении </w:t>
      </w:r>
      <w:r w:rsidR="00370B35">
        <w:rPr>
          <w:rFonts w:cs="Arial"/>
          <w:color w:val="000000" w:themeColor="text1"/>
        </w:rPr>
        <w:t xml:space="preserve">создания </w:t>
      </w:r>
      <w:r w:rsidRPr="00BD46FC">
        <w:rPr>
          <w:rFonts w:cs="Arial"/>
          <w:color w:val="000000" w:themeColor="text1"/>
        </w:rPr>
        <w:t>рамочного механизма поддержки взаимодействия с носителями местных и эндогенных знаний. Указанный механизм предполагает реализацию варианта создания «сети сетей», а также специализированного профильного сообщества. В нем предусмотрены также основные руководящие принципы, которые обеспечат этически корректное взаимодействие с коренным</w:t>
      </w:r>
      <w:r w:rsidR="00950D30">
        <w:rPr>
          <w:rFonts w:cs="Arial"/>
          <w:color w:val="000000" w:themeColor="text1"/>
        </w:rPr>
        <w:t xml:space="preserve"> населением</w:t>
      </w:r>
      <w:r w:rsidRPr="00BD46FC">
        <w:rPr>
          <w:rFonts w:cs="Arial"/>
          <w:color w:val="000000" w:themeColor="text1"/>
        </w:rPr>
        <w:t xml:space="preserve"> и местными общинами на протяжении всего срока проведения Десятилетия науки об океане. Национальные комитеты Десятилетия вовлечены в эти дискуссии и призваны сыграть важную роль в дальнейшем развитии этой инициативы. Создание вышеупомянутой сети будет способствовать расширению возможностей озвучивания мнения коренных народов и связанных с океаном проблемных аспектов в рамках различных глобальных и региональных мероприятий, а также обеспечению системного эффекта взаимодействия с другими проводимыми ООН десятилетиями, такими как Международное десятилетие языков коренных народов (2022-2032 гг.).</w:t>
      </w:r>
    </w:p>
    <w:p w14:paraId="112339A3" w14:textId="4F2C2B49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  <w:color w:val="000000" w:themeColor="text1"/>
        </w:rPr>
        <w:t>На протяжении всего Десятилетия планируется продолжить активное взаимодействие с начинающими специалистами-мореведами (НСМ). МОК-ЮНЕСКО финансирует полную ставку штатной должности координатора программы НСМ в рамках Десятилетия. С учетом приоритетных потребностей, выявленных в ходе глобального опроса НСМ, проведенного в 2019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в регионах Африки и Азии, были созданы региональные центры и организованы учебные курсы для НСМ.</w:t>
      </w:r>
    </w:p>
    <w:p w14:paraId="6ED6C445" w14:textId="2D9D9CF0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eastAsia="Arial" w:cs="Arial"/>
          <w:color w:val="000000" w:themeColor="text1"/>
        </w:rPr>
      </w:pPr>
      <w:r w:rsidRPr="00BD46FC">
        <w:rPr>
          <w:rFonts w:cs="Arial"/>
          <w:color w:val="000000" w:themeColor="text1"/>
        </w:rPr>
        <w:t>В течение рассматриваемого периода проводилась активная работа по взаимодействию с заинтересованными сторонами и информационному охвату целевых аудиторий. Очные или комбинированные мероприятия, посвященные различным аспектам Десятилетия науки об океане, были организованы в ходе Всемирного конгресса МСОП (Марсель, сентябрь 2021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), </w:t>
      </w:r>
      <w:r w:rsidRPr="00BD46FC">
        <w:rPr>
          <w:rFonts w:cs="Arial"/>
          <w:color w:val="000000" w:themeColor="text1"/>
        </w:rPr>
        <w:lastRenderedPageBreak/>
        <w:t>26-й сессии Конференции сторон РКИКООН (Глазго, ноябрь 2021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>) и Недел</w:t>
      </w:r>
      <w:r w:rsidR="00950D30">
        <w:rPr>
          <w:rFonts w:cs="Arial"/>
          <w:color w:val="000000" w:themeColor="text1"/>
        </w:rPr>
        <w:t>и</w:t>
      </w:r>
      <w:r w:rsidRPr="00BD46FC">
        <w:rPr>
          <w:rFonts w:cs="Arial"/>
          <w:color w:val="000000" w:themeColor="text1"/>
        </w:rPr>
        <w:t xml:space="preserve"> океана в Монако (Монако, март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>). Тема проведения Десятилетия науки об океане заняла центральное место в ходе состоявшегося в Бресте, Франция, в феврале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саммита «Единый океан». В рамках конференции «Наш океан» (Палау, апрель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) МОК-ЮНЕСКО взяла на себя обязательство по налаживанию новых программ партнерства и мобилизации ресурсов на цели проведения Десятилетия науки об океане в МОСРГ </w:t>
      </w:r>
      <w:r w:rsidR="00950D30">
        <w:rPr>
          <w:rFonts w:cs="Arial"/>
          <w:color w:val="000000" w:themeColor="text1"/>
        </w:rPr>
        <w:t>Т</w:t>
      </w:r>
      <w:r w:rsidRPr="00BD46FC">
        <w:rPr>
          <w:rFonts w:cs="Arial"/>
          <w:color w:val="000000" w:themeColor="text1"/>
        </w:rPr>
        <w:t>ихоокеанского региона. В рамках первой Международной конференции, посвященной Десятилетию науки об океане, в начале июня при поддержке Германии пройдет серия виртуальных онлайновых научно-практических конференций под названием «Лаборатории по проведению Десятилетия науки об океане». Их итоги будут представлены на Конференции ООН по проблемам океанов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(Лиссабон, июнь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>).</w:t>
      </w:r>
    </w:p>
    <w:p w14:paraId="40348008" w14:textId="4A7C3592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</w:rPr>
        <w:t>В октябре 2021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начал функционировать созданный МОК-ЮНЕСКО новый веб-сайт </w:t>
      </w:r>
      <w:hyperlink r:id="rId17">
        <w:r w:rsidRPr="00BD46FC">
          <w:rPr>
            <w:rFonts w:cs="Arial"/>
            <w:color w:val="000000" w:themeColor="text1"/>
          </w:rPr>
          <w:t>www.oceandecade.org</w:t>
        </w:r>
      </w:hyperlink>
      <w:r w:rsidRPr="00BD46FC">
        <w:rPr>
          <w:rFonts w:cs="Arial"/>
        </w:rPr>
        <w:t>.</w:t>
      </w:r>
      <w:r w:rsidRPr="00BD46FC">
        <w:rPr>
          <w:rFonts w:cs="Arial"/>
          <w:color w:val="000000" w:themeColor="text1"/>
        </w:rPr>
        <w:t xml:space="preserve"> В целях широкого распространения информации обо всех аспектах</w:t>
      </w:r>
      <w:r w:rsidR="00BD46FC">
        <w:rPr>
          <w:rFonts w:cs="Arial"/>
          <w:color w:val="000000" w:themeColor="text1"/>
        </w:rPr>
        <w:t xml:space="preserve"> </w:t>
      </w:r>
      <w:r w:rsidRPr="00BD46FC">
        <w:rPr>
          <w:rFonts w:cs="Arial"/>
          <w:color w:val="000000" w:themeColor="text1"/>
        </w:rPr>
        <w:t>деятельности специально назначенный веб-редактор обеспечивает на регулярной основе обновление содержания разделов сайта, посвященных последним событиям, мероприятиям и мобилизованным ресурсам. Ниже в таблице 1 представлена аналитическая информация об использовании указанного веб-сайта.</w:t>
      </w:r>
    </w:p>
    <w:p w14:paraId="39207B36" w14:textId="679DD5DE" w:rsidR="00E86920" w:rsidRPr="006810D1" w:rsidRDefault="00E86920" w:rsidP="00392029">
      <w:pPr>
        <w:spacing w:after="240"/>
        <w:jc w:val="center"/>
        <w:rPr>
          <w:rFonts w:ascii="Arial" w:hAnsi="Arial" w:cs="Arial"/>
          <w:b/>
          <w:bCs/>
          <w:sz w:val="22"/>
          <w:szCs w:val="22"/>
          <w:highlight w:val="white"/>
        </w:rPr>
      </w:pPr>
      <w:r w:rsidRPr="006810D1">
        <w:rPr>
          <w:rFonts w:ascii="Arial" w:hAnsi="Arial" w:cs="Arial"/>
          <w:b/>
          <w:bCs/>
          <w:sz w:val="22"/>
          <w:szCs w:val="22"/>
          <w:highlight w:val="white"/>
        </w:rPr>
        <w:t>Таблица 1. Аналитика веб-сайта за период с 1 января 2021</w:t>
      </w:r>
      <w:r w:rsidR="00FB5356" w:rsidRPr="006810D1">
        <w:rPr>
          <w:rFonts w:ascii="Arial" w:hAnsi="Arial" w:cs="Arial"/>
          <w:b/>
          <w:bCs/>
          <w:sz w:val="22"/>
          <w:szCs w:val="22"/>
          <w:highlight w:val="white"/>
        </w:rPr>
        <w:t> г.</w:t>
      </w:r>
      <w:r w:rsidRPr="006810D1">
        <w:rPr>
          <w:rFonts w:ascii="Arial" w:hAnsi="Arial" w:cs="Arial"/>
          <w:b/>
          <w:bCs/>
          <w:sz w:val="22"/>
          <w:szCs w:val="22"/>
          <w:highlight w:val="white"/>
        </w:rPr>
        <w:t xml:space="preserve"> по 22 апреля 2022</w:t>
      </w:r>
      <w:r w:rsidR="00FB5356" w:rsidRPr="006810D1">
        <w:rPr>
          <w:rFonts w:ascii="Arial" w:hAnsi="Arial" w:cs="Arial"/>
          <w:b/>
          <w:bCs/>
          <w:sz w:val="22"/>
          <w:szCs w:val="22"/>
          <w:highlight w:val="white"/>
        </w:rPr>
        <w:t> г.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E86920" w:rsidRPr="00BD46FC" w14:paraId="23335DB9" w14:textId="77777777" w:rsidTr="003002B4">
        <w:trPr>
          <w:trHeight w:val="465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AB52" w14:textId="77777777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Число уникальных пользователей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476D" w14:textId="77777777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Количество просмотров страниц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E3E2" w14:textId="1A8BD1BB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Средняя</w:t>
            </w:r>
            <w:r w:rsidR="006810D1">
              <w:rPr>
                <w:rFonts w:ascii="Arial" w:hAnsi="Arial" w:cs="Arial"/>
                <w:b/>
                <w:sz w:val="20"/>
                <w:szCs w:val="20"/>
                <w:highlight w:val="white"/>
              </w:rPr>
              <w:br/>
            </w:r>
            <w:r w:rsidRPr="00BD46FC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продолжительность просмотра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334A" w14:textId="03A2E522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Страны и</w:t>
            </w:r>
            <w:r w:rsidR="006810D1">
              <w:rPr>
                <w:rFonts w:ascii="Arial" w:hAnsi="Arial" w:cs="Arial"/>
                <w:b/>
                <w:sz w:val="20"/>
                <w:szCs w:val="20"/>
                <w:highlight w:val="white"/>
              </w:rPr>
              <w:br/>
            </w:r>
            <w:r w:rsidRPr="00BD46FC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территории</w:t>
            </w:r>
          </w:p>
        </w:tc>
      </w:tr>
      <w:tr w:rsidR="00E86920" w:rsidRPr="00BD46FC" w14:paraId="7611D69B" w14:textId="77777777" w:rsidTr="003002B4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52C2" w14:textId="77777777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sz w:val="20"/>
                <w:szCs w:val="20"/>
                <w:highlight w:val="white"/>
              </w:rPr>
              <w:t>159 000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9A11" w14:textId="77777777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sz w:val="20"/>
                <w:szCs w:val="20"/>
                <w:highlight w:val="white"/>
              </w:rPr>
              <w:t>539 506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63DB" w14:textId="77777777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sz w:val="20"/>
                <w:szCs w:val="20"/>
                <w:highlight w:val="white"/>
              </w:rPr>
              <w:t>±1 мин. 52 сек.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8EC4" w14:textId="77777777" w:rsidR="00E86920" w:rsidRPr="00BD46FC" w:rsidRDefault="00E86920" w:rsidP="00300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BD46FC">
              <w:rPr>
                <w:rFonts w:ascii="Arial" w:hAnsi="Arial" w:cs="Arial"/>
                <w:sz w:val="20"/>
                <w:szCs w:val="20"/>
                <w:highlight w:val="white"/>
              </w:rPr>
              <w:t>233</w:t>
            </w:r>
          </w:p>
        </w:tc>
      </w:tr>
    </w:tbl>
    <w:p w14:paraId="2562FD9C" w14:textId="7FD4A6DD" w:rsidR="00E86920" w:rsidRPr="006810D1" w:rsidRDefault="00E86920" w:rsidP="006810D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hAnsi="Arial" w:cs="Arial"/>
          <w:bCs/>
          <w:sz w:val="20"/>
          <w:szCs w:val="20"/>
          <w:lang w:val="en-US"/>
        </w:rPr>
      </w:pPr>
      <w:r w:rsidRPr="006810D1">
        <w:rPr>
          <w:rFonts w:ascii="Arial" w:hAnsi="Arial" w:cs="Arial"/>
          <w:bCs/>
          <w:i/>
          <w:iCs/>
          <w:sz w:val="20"/>
          <w:szCs w:val="20"/>
        </w:rPr>
        <w:t>Источник</w:t>
      </w:r>
      <w:r w:rsidRPr="006810D1">
        <w:rPr>
          <w:rFonts w:ascii="Arial" w:hAnsi="Arial" w:cs="Arial"/>
          <w:bCs/>
          <w:sz w:val="20"/>
          <w:szCs w:val="20"/>
        </w:rPr>
        <w:t>: МОК-ЮНЕСКО.</w:t>
      </w:r>
    </w:p>
    <w:p w14:paraId="7599CA8F" w14:textId="0C51ED90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</w:rPr>
        <w:t>Параллельно была запущена интерактивная онлайн-платформа под названием «Глобальный форум заинтересованных сторон» (</w:t>
      </w:r>
      <w:hyperlink r:id="rId18">
        <w:r w:rsidRPr="00BD46FC">
          <w:rPr>
            <w:rFonts w:cs="Arial"/>
            <w:color w:val="000000" w:themeColor="text1"/>
          </w:rPr>
          <w:t>forum.oceandecade.org</w:t>
        </w:r>
      </w:hyperlink>
      <w:r w:rsidRPr="00BD46FC">
        <w:rPr>
          <w:rFonts w:cs="Arial"/>
        </w:rPr>
        <w:t>), функционирование которой обеспечивает штатный менеджер сообщества.</w:t>
      </w:r>
      <w:r w:rsidRPr="00BD46FC">
        <w:rPr>
          <w:rFonts w:cs="Arial"/>
          <w:color w:val="000000" w:themeColor="text1"/>
        </w:rPr>
        <w:t xml:space="preserve"> Глобальный форум заинтересованных сторон дает возможность людям, представляющим различные демографические группы по всему миру, активно участвовать в проведении Десятилетия, посвященного науке об океане. По состоянию на апрель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число его пользователей составляло 4060 человек из 139</w:t>
      </w:r>
      <w:r w:rsidR="00392029">
        <w:rPr>
          <w:rFonts w:cs="Arial"/>
          <w:color w:val="000000" w:themeColor="text1"/>
          <w:lang w:val="en-US"/>
        </w:rPr>
        <w:t> </w:t>
      </w:r>
      <w:r w:rsidRPr="00BD46FC">
        <w:rPr>
          <w:rFonts w:cs="Arial"/>
          <w:color w:val="000000" w:themeColor="text1"/>
        </w:rPr>
        <w:t>стран. Этот веб-сайт служит платформой для подачи заявок в рамках запросов предложений на осуществление связанной с Десятилетием деятельности, а также для представления на утверждение предложений об оказании поддержки в осуществлении связанной с Десятилетием деятельности и в организации мероприятий. Кроме того, форум является «цифровым домом» для сообществ специалистов-практиков, национальных комитетов по проведению Десятилетия, неофициальных рабочих групп, а также других групп заинтересованных сторон</w:t>
      </w:r>
      <w:r w:rsidR="00950D30">
        <w:rPr>
          <w:rFonts w:cs="Arial"/>
          <w:color w:val="000000" w:themeColor="text1"/>
        </w:rPr>
        <w:t xml:space="preserve">, </w:t>
      </w:r>
      <w:r w:rsidR="00950D30" w:rsidRPr="00BD46FC">
        <w:rPr>
          <w:rFonts w:cs="Arial"/>
          <w:color w:val="000000" w:themeColor="text1"/>
        </w:rPr>
        <w:t>участвующих в Десятилетии</w:t>
      </w:r>
      <w:r w:rsidRPr="00BD46FC">
        <w:rPr>
          <w:rFonts w:cs="Arial"/>
          <w:color w:val="000000" w:themeColor="text1"/>
        </w:rPr>
        <w:t>.</w:t>
      </w:r>
    </w:p>
    <w:p w14:paraId="0576632B" w14:textId="280C5536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</w:rPr>
        <w:t xml:space="preserve">Как следует из таблицы 2, за полтора года, истекшие с начала Десятилетия, в социальных сетях появилось более 22 500 подписчиков, начиная с представителей науки, правительственных структур и частного сектора и заканчивая меценатами и обычными гражданами. </w:t>
      </w:r>
      <w:bookmarkStart w:id="1" w:name="_heading=h.x262lmypw2mc"/>
      <w:bookmarkEnd w:id="1"/>
      <w:r w:rsidRPr="00BD46FC">
        <w:rPr>
          <w:rFonts w:cs="Arial"/>
        </w:rPr>
        <w:t xml:space="preserve">Наряду с этим было заключено пять партнерских соглашений со средствами массовой информации, благодаря </w:t>
      </w:r>
      <w:r w:rsidR="00950D30">
        <w:rPr>
          <w:rFonts w:cs="Arial"/>
        </w:rPr>
        <w:t>чему</w:t>
      </w:r>
      <w:r w:rsidRPr="00BD46FC">
        <w:rPr>
          <w:rFonts w:cs="Arial"/>
        </w:rPr>
        <w:t xml:space="preserve"> тема Десятилетия науки об океане получает освещение в глобальных электронных издания</w:t>
      </w:r>
      <w:r w:rsidR="00B3152B">
        <w:rPr>
          <w:rFonts w:cs="Arial"/>
        </w:rPr>
        <w:t>х</w:t>
      </w:r>
      <w:r w:rsidRPr="00BD46FC">
        <w:rPr>
          <w:rFonts w:cs="Arial"/>
        </w:rPr>
        <w:t xml:space="preserve"> и </w:t>
      </w:r>
      <w:r w:rsidR="00950D30">
        <w:rPr>
          <w:rFonts w:cs="Arial"/>
        </w:rPr>
        <w:t xml:space="preserve">в мировой </w:t>
      </w:r>
      <w:r w:rsidRPr="00BD46FC">
        <w:rPr>
          <w:rFonts w:cs="Arial"/>
        </w:rPr>
        <w:t>печатной прессе.</w:t>
      </w:r>
    </w:p>
    <w:p w14:paraId="29C725D7" w14:textId="2508E053" w:rsidR="00E86920" w:rsidRPr="00BD46FC" w:rsidRDefault="00E86920" w:rsidP="00392029">
      <w:pPr>
        <w:pStyle w:val="Style2"/>
        <w:keepNext/>
        <w:tabs>
          <w:tab w:val="clear" w:pos="1400"/>
          <w:tab w:val="left" w:pos="0"/>
        </w:tabs>
        <w:snapToGrid w:val="0"/>
        <w:ind w:left="0"/>
        <w:jc w:val="center"/>
        <w:rPr>
          <w:rFonts w:cs="Arial"/>
          <w:color w:val="000000" w:themeColor="text1"/>
        </w:rPr>
      </w:pPr>
      <w:r w:rsidRPr="00BD46FC">
        <w:rPr>
          <w:rFonts w:cs="Arial"/>
          <w:b/>
          <w:bCs/>
          <w:highlight w:val="white"/>
        </w:rPr>
        <w:lastRenderedPageBreak/>
        <w:t>Таблица 2. Анализ социальных сетей по состоянию на 22 апреля 2022</w:t>
      </w:r>
      <w:r w:rsidR="00FB5356">
        <w:rPr>
          <w:rFonts w:cs="Arial"/>
          <w:b/>
          <w:bCs/>
          <w:highlight w:val="white"/>
        </w:rPr>
        <w:t> г.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30"/>
        <w:gridCol w:w="1800"/>
        <w:gridCol w:w="1680"/>
        <w:gridCol w:w="1815"/>
        <w:gridCol w:w="1725"/>
      </w:tblGrid>
      <w:tr w:rsidR="00E86920" w:rsidRPr="00BD46FC" w14:paraId="0C9FAAC5" w14:textId="77777777" w:rsidTr="00597D9A">
        <w:trPr>
          <w:trHeight w:val="325"/>
        </w:trPr>
        <w:tc>
          <w:tcPr>
            <w:tcW w:w="1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BF1" w14:textId="77777777" w:rsidR="00E86920" w:rsidRPr="00BD46FC" w:rsidRDefault="00E86920" w:rsidP="00392029">
            <w:pPr>
              <w:keepNext/>
              <w:spacing w:line="26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D74B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0A73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181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AC14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</w:tc>
        <w:tc>
          <w:tcPr>
            <w:tcW w:w="17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4DFC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</w:rPr>
              <w:t>Instagram</w:t>
            </w:r>
          </w:p>
        </w:tc>
      </w:tr>
      <w:tr w:rsidR="00E86920" w:rsidRPr="00BD46FC" w14:paraId="6AAF6BA2" w14:textId="77777777" w:rsidTr="003002B4">
        <w:trPr>
          <w:trHeight w:val="165"/>
        </w:trPr>
        <w:tc>
          <w:tcPr>
            <w:tcW w:w="18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0288" w14:textId="02421198" w:rsidR="00E86920" w:rsidRPr="00BD46FC" w:rsidRDefault="00E86920" w:rsidP="00392029">
            <w:pPr>
              <w:keepNext/>
              <w:spacing w:line="26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6FC">
              <w:rPr>
                <w:rFonts w:ascii="Arial" w:hAnsi="Arial" w:cs="Arial"/>
                <w:b/>
                <w:sz w:val="20"/>
                <w:szCs w:val="20"/>
              </w:rPr>
              <w:t>Число</w:t>
            </w:r>
            <w:r w:rsidR="0039202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46FC">
              <w:rPr>
                <w:rFonts w:ascii="Arial" w:hAnsi="Arial" w:cs="Arial"/>
                <w:b/>
                <w:sz w:val="20"/>
                <w:szCs w:val="20"/>
              </w:rPr>
              <w:t>подписчиков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19BC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FC">
              <w:rPr>
                <w:rFonts w:ascii="Arial" w:hAnsi="Arial" w:cs="Arial"/>
                <w:sz w:val="20"/>
                <w:szCs w:val="20"/>
              </w:rPr>
              <w:t>8 842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2494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FC">
              <w:rPr>
                <w:rFonts w:ascii="Arial" w:hAnsi="Arial" w:cs="Arial"/>
                <w:sz w:val="20"/>
                <w:szCs w:val="20"/>
              </w:rPr>
              <w:t>2 565</w:t>
            </w:r>
          </w:p>
          <w:p w14:paraId="78310F17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D095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FC">
              <w:rPr>
                <w:rFonts w:ascii="Arial" w:hAnsi="Arial" w:cs="Arial"/>
                <w:sz w:val="20"/>
                <w:szCs w:val="20"/>
              </w:rPr>
              <w:t>7 633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94E9" w14:textId="77777777" w:rsidR="00E86920" w:rsidRPr="00BD46FC" w:rsidRDefault="00E86920" w:rsidP="00392029">
            <w:pPr>
              <w:keepNext/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FC">
              <w:rPr>
                <w:rFonts w:ascii="Arial" w:hAnsi="Arial" w:cs="Arial"/>
                <w:sz w:val="20"/>
                <w:szCs w:val="20"/>
              </w:rPr>
              <w:t>3 914</w:t>
            </w:r>
          </w:p>
        </w:tc>
      </w:tr>
      <w:tr w:rsidR="00E86920" w:rsidRPr="00BD46FC" w14:paraId="7CE1942E" w14:textId="77777777" w:rsidTr="003002B4">
        <w:tc>
          <w:tcPr>
            <w:tcW w:w="18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0255" w14:textId="06488C3E" w:rsidR="00E86920" w:rsidRPr="00BD46FC" w:rsidRDefault="00E86920" w:rsidP="00EE7FAA">
            <w:pPr>
              <w:spacing w:line="26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6FC">
              <w:rPr>
                <w:rFonts w:ascii="Arial" w:hAnsi="Arial" w:cs="Arial"/>
                <w:b/>
                <w:bCs/>
                <w:sz w:val="20"/>
                <w:szCs w:val="20"/>
              </w:rPr>
              <w:t>Активность пользователей</w:t>
            </w:r>
            <w:r w:rsidR="00EE7FAA" w:rsidRPr="00EE7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46FC">
              <w:rPr>
                <w:rFonts w:ascii="Arial" w:hAnsi="Arial" w:cs="Arial"/>
                <w:b/>
                <w:bCs/>
                <w:sz w:val="20"/>
                <w:szCs w:val="20"/>
              </w:rPr>
              <w:t>(проявление интереса + нажатие кнопкой мыши)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27F4" w14:textId="77777777" w:rsidR="00E86920" w:rsidRPr="00BD46FC" w:rsidRDefault="00E86920" w:rsidP="003002B4">
            <w:pPr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FC">
              <w:rPr>
                <w:rFonts w:ascii="Arial" w:hAnsi="Arial" w:cs="Arial"/>
                <w:sz w:val="20"/>
                <w:szCs w:val="20"/>
              </w:rPr>
              <w:t>44 110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BADE" w14:textId="77777777" w:rsidR="00E86920" w:rsidRPr="00BD46FC" w:rsidRDefault="00E86920" w:rsidP="003002B4">
            <w:pPr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FC">
              <w:rPr>
                <w:rFonts w:ascii="Arial" w:hAnsi="Arial" w:cs="Arial"/>
                <w:sz w:val="20"/>
                <w:szCs w:val="20"/>
              </w:rPr>
              <w:t>26 510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C0D2" w14:textId="77777777" w:rsidR="00E86920" w:rsidRPr="00BD46FC" w:rsidRDefault="00E86920" w:rsidP="003002B4">
            <w:pPr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6FC">
              <w:rPr>
                <w:rFonts w:ascii="Arial" w:hAnsi="Arial" w:cs="Arial"/>
                <w:sz w:val="20"/>
                <w:szCs w:val="20"/>
              </w:rPr>
              <w:t>68 022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20E3" w14:textId="5AF168B7" w:rsidR="00E86920" w:rsidRPr="00BD46FC" w:rsidRDefault="00E86920" w:rsidP="003002B4">
            <w:pPr>
              <w:spacing w:line="26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eading=h.kyqjg4d0ewb3"/>
            <w:bookmarkEnd w:id="2"/>
            <w:r w:rsidRPr="00BD46FC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392029">
              <w:rPr>
                <w:rFonts w:ascii="Arial" w:hAnsi="Arial" w:cs="Arial"/>
                <w:sz w:val="20"/>
                <w:szCs w:val="20"/>
              </w:rPr>
              <w:br/>
            </w:r>
            <w:r w:rsidRPr="00BD46FC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</w:tbl>
    <w:p w14:paraId="74FEA23E" w14:textId="50677CC5" w:rsidR="00E86920" w:rsidRPr="00392029" w:rsidRDefault="00E86920" w:rsidP="00392029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392029">
        <w:rPr>
          <w:rFonts w:ascii="Arial" w:hAnsi="Arial" w:cs="Arial"/>
          <w:bCs/>
          <w:i/>
          <w:iCs/>
          <w:sz w:val="20"/>
          <w:szCs w:val="20"/>
        </w:rPr>
        <w:t>Источник</w:t>
      </w:r>
      <w:r w:rsidRPr="00392029">
        <w:rPr>
          <w:rFonts w:ascii="Arial" w:hAnsi="Arial" w:cs="Arial"/>
          <w:bCs/>
          <w:sz w:val="20"/>
          <w:szCs w:val="20"/>
        </w:rPr>
        <w:t>:</w:t>
      </w:r>
      <w:r w:rsidRPr="00BD46FC">
        <w:rPr>
          <w:rFonts w:ascii="Arial" w:hAnsi="Arial" w:cs="Arial"/>
          <w:sz w:val="20"/>
          <w:szCs w:val="20"/>
        </w:rPr>
        <w:t xml:space="preserve"> МОК-ЮНЕСКО.</w:t>
      </w:r>
    </w:p>
    <w:p w14:paraId="67A31656" w14:textId="1B8D5298" w:rsidR="00E86920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bookmarkStart w:id="3" w:name="_heading=h.4v18ems62ufm"/>
      <w:bookmarkEnd w:id="3"/>
      <w:r w:rsidRPr="00BD46FC">
        <w:rPr>
          <w:rFonts w:cs="Arial"/>
          <w:color w:val="000000" w:themeColor="text1"/>
        </w:rPr>
        <w:t>Глобальная информационная кампания «Поколение океана» стартовала 4 апреля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и является общественной информационной кампанией Десятилетия. Кампания проводится по трем основным направлениям: мероприятия, люди, научные знания. Используя в качестве иллюстрации истории конкретных людей, представляющих различные слои общества и разные способы, с помощью которых они предпринимают конкретные шаги в защиту океана, информационная кампания «Поколение океана» призвана на конкретных примерах способствовать повышению осведомленности широких слоев населения о проблемах океана, требующих решения, и поощрять изменение моделей поведения на основе имеющихся научных данных и результат</w:t>
      </w:r>
      <w:r w:rsidR="00950D30">
        <w:rPr>
          <w:rFonts w:cs="Arial"/>
          <w:color w:val="000000" w:themeColor="text1"/>
        </w:rPr>
        <w:t>ов</w:t>
      </w:r>
      <w:r w:rsidRPr="00BD46FC">
        <w:rPr>
          <w:rFonts w:cs="Arial"/>
          <w:color w:val="000000" w:themeColor="text1"/>
        </w:rPr>
        <w:t xml:space="preserve"> исследований. </w:t>
      </w:r>
      <w:r w:rsidRPr="00BD46FC">
        <w:rPr>
          <w:rFonts w:cs="Arial"/>
        </w:rPr>
        <w:t>С момента начала кампании в апреле 2022</w:t>
      </w:r>
      <w:r w:rsidR="00FB5356">
        <w:rPr>
          <w:rFonts w:cs="Arial"/>
        </w:rPr>
        <w:t> г.</w:t>
      </w:r>
      <w:r w:rsidRPr="00BD46FC">
        <w:rPr>
          <w:rFonts w:cs="Arial"/>
        </w:rPr>
        <w:t xml:space="preserve"> число ее подписчиков на различных платформах социальных сетей составило 7 тыс. человек.</w:t>
      </w:r>
    </w:p>
    <w:p w14:paraId="769CDE25" w14:textId="77777777" w:rsidR="00E86920" w:rsidRPr="00BD46FC" w:rsidRDefault="00E86920" w:rsidP="00E86920">
      <w:pPr>
        <w:pStyle w:val="Style2"/>
        <w:tabs>
          <w:tab w:val="clear" w:pos="1400"/>
          <w:tab w:val="left" w:pos="0"/>
        </w:tabs>
        <w:snapToGrid w:val="0"/>
        <w:ind w:left="0"/>
        <w:rPr>
          <w:rFonts w:eastAsia="Arial" w:cs="Arial"/>
          <w:b/>
          <w:bCs/>
          <w:color w:val="000000" w:themeColor="text1"/>
        </w:rPr>
      </w:pPr>
      <w:r w:rsidRPr="00BD46FC">
        <w:rPr>
          <w:rFonts w:cs="Arial"/>
          <w:b/>
          <w:bCs/>
          <w:color w:val="000000" w:themeColor="text1"/>
        </w:rPr>
        <w:t>Общие подходы, актуальные вопросы и прогнозы</w:t>
      </w:r>
    </w:p>
    <w:p w14:paraId="267A148F" w14:textId="108F3880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  <w:color w:val="000000" w:themeColor="text1"/>
        </w:rPr>
        <w:t>Конференция ООН по проблемам океанов, которая пройдет с 27 июня по 1 июля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в Лиссабоне, станет важной площадкой для привлечения к участию в связанной с Десятилетием науки об океане деятельности новых партнеров, а также для представления информации об осуществляемых мероприятиях и озвучивания новых инициатив и обязательств. В течение указанной недели запланировано проведение нескольких мероприятий, в том числе совещания высокого уровня представителей Альянса в поддержку Десятилетия науки об океане, которое пройдет под совместным председательством президентов Португалии и Кении. Двадцать седьмая сессии Конференции сторон РКИКООН (Шарм-эш-Шейх, ноябрь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) станет еще одним важным событием, в ходе которого обсуждение темы Десятилетия науки об океане будет использовано для привлечения внимания к основным проблемам, касающимся взаимосвязи между океаном и климатом, и вариантам их решения в странах Африки, а также </w:t>
      </w:r>
      <w:r w:rsidR="00950D30">
        <w:rPr>
          <w:rFonts w:cs="Arial"/>
          <w:color w:val="000000" w:themeColor="text1"/>
        </w:rPr>
        <w:t>станет мостом</w:t>
      </w:r>
      <w:r w:rsidRPr="00BD46FC">
        <w:rPr>
          <w:rFonts w:cs="Arial"/>
          <w:color w:val="000000" w:themeColor="text1"/>
        </w:rPr>
        <w:t xml:space="preserve"> к следующей дискусси</w:t>
      </w:r>
      <w:r w:rsidR="00C52599">
        <w:rPr>
          <w:rFonts w:cs="Arial"/>
          <w:color w:val="000000" w:themeColor="text1"/>
        </w:rPr>
        <w:t>и</w:t>
      </w:r>
      <w:r w:rsidRPr="00BD46FC">
        <w:rPr>
          <w:rFonts w:cs="Arial"/>
          <w:color w:val="000000" w:themeColor="text1"/>
        </w:rPr>
        <w:t>, которая пройдет в рамках организуемой в мае 2022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в Каире, Египет, Всеафриканской региональной конференции по определению приоритетных задач и неотложных потребностей континента в контексте проведения Десятилетия, посвященного науке об океане. В следующем отчетно</w:t>
      </w:r>
      <w:r w:rsidR="00C52599">
        <w:rPr>
          <w:rFonts w:cs="Arial"/>
          <w:color w:val="000000" w:themeColor="text1"/>
        </w:rPr>
        <w:t>м</w:t>
      </w:r>
      <w:r w:rsidRPr="00BD46FC">
        <w:rPr>
          <w:rFonts w:cs="Arial"/>
          <w:color w:val="000000" w:themeColor="text1"/>
        </w:rPr>
        <w:t xml:space="preserve"> периоде начнется подготовка второй Международной конференции, посвященной Десятилетию науки об океане, которая, как ожидается, пройдет в 2023</w:t>
      </w:r>
      <w:r w:rsidR="00C52599">
        <w:rPr>
          <w:rFonts w:cs="Arial"/>
          <w:color w:val="000000" w:themeColor="text1"/>
        </w:rPr>
        <w:t xml:space="preserve"> г.</w:t>
      </w:r>
      <w:r w:rsidRPr="00BD46FC">
        <w:rPr>
          <w:rFonts w:cs="Arial"/>
          <w:color w:val="000000" w:themeColor="text1"/>
        </w:rPr>
        <w:t xml:space="preserve"> или 2024</w:t>
      </w:r>
      <w:r w:rsidR="00FB5356">
        <w:rPr>
          <w:rFonts w:cs="Arial"/>
          <w:color w:val="000000" w:themeColor="text1"/>
        </w:rPr>
        <w:t> г.</w:t>
      </w:r>
      <w:r w:rsidRPr="00BD46FC">
        <w:rPr>
          <w:rFonts w:cs="Arial"/>
          <w:color w:val="000000" w:themeColor="text1"/>
        </w:rPr>
        <w:t xml:space="preserve"> В настоящее время среди государств-членов проводится опрос на предмет заинтересованност</w:t>
      </w:r>
      <w:r w:rsidR="00950D30">
        <w:rPr>
          <w:rFonts w:cs="Arial"/>
          <w:color w:val="000000" w:themeColor="text1"/>
        </w:rPr>
        <w:t>и</w:t>
      </w:r>
      <w:r w:rsidRPr="00BD46FC">
        <w:rPr>
          <w:rFonts w:cs="Arial"/>
          <w:color w:val="000000" w:themeColor="text1"/>
        </w:rPr>
        <w:t xml:space="preserve"> в проведении у себя этого мероприятия.</w:t>
      </w:r>
    </w:p>
    <w:p w14:paraId="4BBEA47B" w14:textId="6C71FEF2" w:rsidR="002A4718" w:rsidRPr="00BD46FC" w:rsidRDefault="00E86920" w:rsidP="00E86920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  <w:color w:val="000000" w:themeColor="text1"/>
        </w:rPr>
        <w:t xml:space="preserve">В ближайшие месяцы Группа по координации проведения Десятилетия начнет последовательную работу с </w:t>
      </w:r>
      <w:r w:rsidR="00950D30">
        <w:rPr>
          <w:rFonts w:cs="Arial"/>
          <w:color w:val="000000" w:themeColor="text1"/>
        </w:rPr>
        <w:t>(</w:t>
      </w:r>
      <w:r w:rsidRPr="00BD46FC">
        <w:rPr>
          <w:rFonts w:cs="Arial"/>
          <w:color w:val="000000" w:themeColor="text1"/>
        </w:rPr>
        <w:t>включенными в реестр</w:t>
      </w:r>
      <w:r w:rsidR="00950D30">
        <w:rPr>
          <w:rFonts w:cs="Arial"/>
          <w:color w:val="000000" w:themeColor="text1"/>
        </w:rPr>
        <w:t>)</w:t>
      </w:r>
      <w:r w:rsidRPr="00BD46FC">
        <w:rPr>
          <w:rFonts w:cs="Arial"/>
          <w:color w:val="000000" w:themeColor="text1"/>
        </w:rPr>
        <w:t xml:space="preserve"> экспертами по тематике Десятилетия науки об океане на предмет определения набора основных ожидаемых результатов </w:t>
      </w:r>
      <w:r w:rsidR="00950D30">
        <w:rPr>
          <w:rFonts w:cs="Arial"/>
          <w:color w:val="000000" w:themeColor="text1"/>
        </w:rPr>
        <w:t xml:space="preserve">и </w:t>
      </w:r>
      <w:r w:rsidRPr="00BD46FC">
        <w:rPr>
          <w:rFonts w:cs="Arial"/>
          <w:color w:val="000000" w:themeColor="text1"/>
        </w:rPr>
        <w:t>целевых показателей по каждой из приоритетных задач Десятилетия. По итогам дискуссии, состоявшейся в рамках Консультативного совета по вопросам проведения Десятилетия, завершается разработка рамочного механизма мониторинга и оценки результативности проведения Десятилетия. С июля начнется его пилотное апробирование на мероприятиях, включенных в программу Десятилетия.</w:t>
      </w:r>
    </w:p>
    <w:p w14:paraId="6C76EB24" w14:textId="7667C4C5" w:rsidR="00D91E2D" w:rsidRPr="0051362D" w:rsidRDefault="00E86920" w:rsidP="0051362D">
      <w:pPr>
        <w:pStyle w:val="Style2"/>
        <w:numPr>
          <w:ilvl w:val="0"/>
          <w:numId w:val="23"/>
        </w:numPr>
        <w:tabs>
          <w:tab w:val="left" w:pos="0"/>
        </w:tabs>
        <w:snapToGrid w:val="0"/>
        <w:ind w:left="0" w:firstLine="0"/>
        <w:rPr>
          <w:rFonts w:cs="Arial"/>
          <w:color w:val="000000" w:themeColor="text1"/>
        </w:rPr>
      </w:pPr>
      <w:r w:rsidRPr="00BD46FC">
        <w:rPr>
          <w:rFonts w:cs="Arial"/>
          <w:color w:val="000000" w:themeColor="text1"/>
        </w:rPr>
        <w:lastRenderedPageBreak/>
        <w:t>Кроме того, в следующем году планируется сохранить акцент на мобилизации ресурсов с учетом сформулированной Консультативным советом по итогам обсуждений рекомендации о необходимости выстраивания на системной основе</w:t>
      </w:r>
      <w:r w:rsidR="00BD46FC">
        <w:rPr>
          <w:rFonts w:cs="Arial"/>
          <w:color w:val="000000" w:themeColor="text1"/>
        </w:rPr>
        <w:t xml:space="preserve"> </w:t>
      </w:r>
      <w:r w:rsidR="00950D30" w:rsidRPr="00BD46FC">
        <w:rPr>
          <w:rFonts w:cs="Arial"/>
          <w:color w:val="000000" w:themeColor="text1"/>
        </w:rPr>
        <w:t xml:space="preserve">взаимодействия </w:t>
      </w:r>
      <w:r w:rsidRPr="00BD46FC">
        <w:rPr>
          <w:rFonts w:cs="Arial"/>
          <w:color w:val="000000" w:themeColor="text1"/>
        </w:rPr>
        <w:t>с многосторонними банками развития и государствами-членами. Будет продолжена работа по укреплению Альянса в поддержку Десятилетия науки об океане, а также практика проведения совещаний фондов и целевой группы частного сектора. Работа по мобилизации ресурсов будет проводиться с акцентом на обеспечение активного участия МОК в связанной с Десятилетием деятельности, включая инициируемые и осуществляемые под руководством МОК мероприятия Управления по координации деятельности в целях развития (УКР) и мероприятия, включенные в программу Десятилетия. Кроме того, эта работа будет направлена на поощрение оказания дополнительной поддержки на цели координации и реализации проектов Десятилетия в странах Африки и МОСРГ Тихоокеанского региона.</w:t>
      </w:r>
    </w:p>
    <w:sectPr w:rsidR="00D91E2D" w:rsidRPr="0051362D" w:rsidSect="00866330">
      <w:headerReference w:type="even" r:id="rId19"/>
      <w:headerReference w:type="default" r:id="rId20"/>
      <w:headerReference w:type="first" r:id="rId21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EE7E" w14:textId="77777777" w:rsidR="00561268" w:rsidRDefault="00561268">
      <w:r>
        <w:separator/>
      </w:r>
    </w:p>
  </w:endnote>
  <w:endnote w:type="continuationSeparator" w:id="0">
    <w:p w14:paraId="6D53E469" w14:textId="77777777" w:rsidR="00561268" w:rsidRDefault="005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129E" w14:textId="77777777" w:rsidR="00561268" w:rsidRDefault="00561268">
      <w:r>
        <w:separator/>
      </w:r>
    </w:p>
  </w:footnote>
  <w:footnote w:type="continuationSeparator" w:id="0">
    <w:p w14:paraId="3DD36B6D" w14:textId="77777777" w:rsidR="00561268" w:rsidRDefault="0056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EDCF" w14:textId="439F49F6" w:rsidR="00D91E2D" w:rsidRPr="00866330" w:rsidRDefault="00D91E2D" w:rsidP="00866330">
    <w:pPr>
      <w:pStyle w:val="Header"/>
      <w:rPr>
        <w:rFonts w:ascii="Arial" w:hAnsi="Arial" w:cs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IOC/EC-55/4.1.Doc</w:t>
    </w:r>
    <w:sdt>
      <w:sdtPr>
        <w:rPr>
          <w:rFonts w:ascii="Arial" w:hAnsi="Arial" w:cs="Arial"/>
          <w:bCs/>
          <w:sz w:val="22"/>
          <w:szCs w:val="22"/>
        </w:rPr>
        <w:id w:val="-338006277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bCs/>
            <w:sz w:val="22"/>
            <w:szCs w:val="22"/>
          </w:rPr>
          <w:t>(</w:t>
        </w:r>
        <w:r w:rsidR="00866330">
          <w:rPr>
            <w:rFonts w:ascii="Arial" w:hAnsi="Arial"/>
            <w:bCs/>
            <w:sz w:val="22"/>
            <w:szCs w:val="22"/>
            <w:lang w:val="en-US"/>
          </w:rPr>
          <w:t>1</w:t>
        </w:r>
        <w:r>
          <w:rPr>
            <w:rFonts w:ascii="Arial" w:hAnsi="Arial"/>
            <w:bCs/>
            <w:sz w:val="22"/>
            <w:szCs w:val="22"/>
          </w:rPr>
          <w:t>)</w:t>
        </w:r>
      </w:sdtContent>
    </w:sdt>
    <w:r w:rsidR="00866330">
      <w:rPr>
        <w:rFonts w:ascii="Arial" w:hAnsi="Arial" w:cs="Arial"/>
        <w:bCs/>
        <w:sz w:val="22"/>
        <w:szCs w:val="22"/>
        <w:lang w:val="en-US"/>
      </w:rPr>
      <w:t xml:space="preserve"> – </w:t>
    </w:r>
    <w:r w:rsidR="001E653E">
      <w:rPr>
        <w:rFonts w:asciiTheme="minorBidi" w:hAnsiTheme="minorBidi"/>
        <w:sz w:val="22"/>
        <w:szCs w:val="22"/>
      </w:rPr>
      <w:t xml:space="preserve">page </w:t>
    </w:r>
    <w:r w:rsidR="001E653E" w:rsidRPr="001E653E">
      <w:rPr>
        <w:rFonts w:asciiTheme="minorBidi" w:hAnsiTheme="minorBidi" w:cstheme="minorBidi"/>
        <w:sz w:val="22"/>
        <w:szCs w:val="22"/>
      </w:rPr>
      <w:fldChar w:fldCharType="begin"/>
    </w:r>
    <w:r w:rsidR="001E653E" w:rsidRPr="001E653E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="001E653E" w:rsidRPr="001E653E">
      <w:rPr>
        <w:rFonts w:asciiTheme="minorBidi" w:hAnsiTheme="minorBidi" w:cstheme="minorBidi"/>
        <w:sz w:val="22"/>
        <w:szCs w:val="22"/>
      </w:rPr>
      <w:fldChar w:fldCharType="separate"/>
    </w:r>
    <w:r w:rsidR="00936308">
      <w:rPr>
        <w:rFonts w:asciiTheme="minorBidi" w:hAnsiTheme="minorBidi" w:cstheme="minorBidi"/>
        <w:sz w:val="22"/>
        <w:szCs w:val="22"/>
      </w:rPr>
      <w:t>6</w:t>
    </w:r>
    <w:r w:rsidR="001E653E" w:rsidRPr="001E653E">
      <w:rPr>
        <w:rFonts w:asciiTheme="minorBidi" w:hAnsiTheme="minorBidi" w:cstheme="minorBid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9F58" w14:textId="1DF50941" w:rsidR="001E653E" w:rsidRPr="001E653E" w:rsidRDefault="001E653E" w:rsidP="00866330">
    <w:pPr>
      <w:pStyle w:val="Header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IOC/EC-55/4.1.Doc(1)</w:t>
    </w:r>
    <w:r w:rsidR="00866330">
      <w:rPr>
        <w:rFonts w:ascii="Arial" w:hAnsi="Arial" w:cs="Arial"/>
        <w:bCs/>
        <w:sz w:val="22"/>
        <w:szCs w:val="22"/>
        <w:lang w:val="en-US"/>
      </w:rPr>
      <w:t xml:space="preserve"> – </w:t>
    </w:r>
    <w:r>
      <w:rPr>
        <w:rFonts w:ascii="Arial" w:hAnsi="Arial"/>
        <w:bCs/>
        <w:sz w:val="22"/>
        <w:szCs w:val="22"/>
      </w:rPr>
      <w:t xml:space="preserve">page </w:t>
    </w:r>
    <w:r w:rsidRPr="001E653E">
      <w:rPr>
        <w:rFonts w:ascii="Arial" w:hAnsi="Arial" w:cs="Arial"/>
        <w:bCs/>
        <w:sz w:val="22"/>
        <w:szCs w:val="22"/>
      </w:rPr>
      <w:fldChar w:fldCharType="begin"/>
    </w:r>
    <w:r w:rsidRPr="001E653E">
      <w:rPr>
        <w:rFonts w:ascii="Arial" w:hAnsi="Arial" w:cs="Arial"/>
        <w:bCs/>
        <w:sz w:val="22"/>
        <w:szCs w:val="22"/>
      </w:rPr>
      <w:instrText xml:space="preserve"> PAGE   \* MERGEFORMAT </w:instrText>
    </w:r>
    <w:r w:rsidRPr="001E653E">
      <w:rPr>
        <w:rFonts w:ascii="Arial" w:hAnsi="Arial" w:cs="Arial"/>
        <w:bCs/>
        <w:sz w:val="22"/>
        <w:szCs w:val="22"/>
      </w:rPr>
      <w:fldChar w:fldCharType="separate"/>
    </w:r>
    <w:r w:rsidR="00936308">
      <w:rPr>
        <w:rFonts w:ascii="Arial" w:hAnsi="Arial" w:cs="Arial"/>
        <w:bCs/>
        <w:sz w:val="22"/>
        <w:szCs w:val="22"/>
      </w:rPr>
      <w:t>5</w:t>
    </w:r>
    <w:r w:rsidRPr="001E653E">
      <w:rPr>
        <w:rFonts w:ascii="Arial" w:hAnsi="Arial" w:cs="Arial"/>
        <w:bCs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007E" w14:textId="5D059A5F" w:rsidR="00E86920" w:rsidRPr="00BD46FC" w:rsidRDefault="00E86920" w:rsidP="00E86920">
    <w:pPr>
      <w:pStyle w:val="Marge"/>
      <w:tabs>
        <w:tab w:val="left" w:pos="5954"/>
      </w:tabs>
      <w:spacing w:after="0"/>
      <w:rPr>
        <w:rFonts w:ascii="Arial" w:hAnsi="Arial" w:cs="Arial"/>
        <w:b/>
        <w:sz w:val="36"/>
        <w:szCs w:val="36"/>
      </w:rPr>
    </w:pPr>
    <w:r w:rsidRPr="00BD46FC">
      <w:rPr>
        <w:rFonts w:ascii="Arial" w:hAnsi="Arial" w:cs="Arial"/>
        <w:sz w:val="22"/>
        <w:szCs w:val="22"/>
      </w:rPr>
      <w:t>Рассылается по списку</w:t>
    </w:r>
    <w:r w:rsidRPr="00BD46FC">
      <w:rPr>
        <w:rFonts w:ascii="Arial" w:hAnsi="Arial" w:cs="Arial"/>
      </w:rPr>
      <w:tab/>
    </w:r>
    <w:r w:rsidRPr="00BD46FC">
      <w:rPr>
        <w:rFonts w:ascii="Arial" w:hAnsi="Arial" w:cs="Arial"/>
        <w:b/>
        <w:sz w:val="36"/>
        <w:szCs w:val="36"/>
      </w:rPr>
      <w:t>IOC/EC-55/4.1.Doc(1)</w:t>
    </w:r>
  </w:p>
  <w:p w14:paraId="0FF31734" w14:textId="0C8D1B1A" w:rsidR="00BD46FC" w:rsidRPr="00BD46FC" w:rsidRDefault="00E86920" w:rsidP="00866330">
    <w:pPr>
      <w:pStyle w:val="Marge"/>
      <w:tabs>
        <w:tab w:val="left" w:pos="5954"/>
      </w:tabs>
      <w:spacing w:after="0"/>
      <w:ind w:left="5954"/>
      <w:jc w:val="left"/>
      <w:rPr>
        <w:rFonts w:ascii="Arial" w:hAnsi="Arial" w:cs="Arial"/>
        <w:sz w:val="22"/>
        <w:szCs w:val="22"/>
      </w:rPr>
    </w:pPr>
    <w:r w:rsidRPr="00BD46FC">
      <w:rPr>
        <w:rFonts w:ascii="Arial" w:hAnsi="Arial" w:cs="Arial"/>
        <w:b/>
        <w:noProof/>
        <w:snapToGrid/>
        <w:szCs w:val="22"/>
      </w:rPr>
      <w:drawing>
        <wp:anchor distT="0" distB="0" distL="114300" distR="114300" simplePos="0" relativeHeight="251659264" behindDoc="0" locked="0" layoutInCell="1" allowOverlap="1" wp14:anchorId="55770B56" wp14:editId="52FAC8F8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6FC">
      <w:rPr>
        <w:rFonts w:ascii="Arial" w:hAnsi="Arial" w:cs="Arial"/>
        <w:sz w:val="22"/>
        <w:szCs w:val="22"/>
      </w:rPr>
      <w:t>Париж, 10 мая 2022</w:t>
    </w:r>
    <w:r w:rsidR="00FB5356">
      <w:rPr>
        <w:rFonts w:ascii="Arial" w:hAnsi="Arial" w:cs="Arial"/>
        <w:sz w:val="22"/>
        <w:szCs w:val="22"/>
      </w:rPr>
      <w:t> г.</w:t>
    </w:r>
  </w:p>
  <w:p w14:paraId="64E9A3E6" w14:textId="1B99D382" w:rsidR="00E86920" w:rsidRPr="00BD46FC" w:rsidRDefault="00E86920" w:rsidP="00866330">
    <w:pPr>
      <w:pStyle w:val="Marge"/>
      <w:tabs>
        <w:tab w:val="left" w:pos="5954"/>
      </w:tabs>
      <w:ind w:left="5954"/>
      <w:jc w:val="left"/>
      <w:rPr>
        <w:rFonts w:ascii="Arial" w:hAnsi="Arial" w:cs="Arial"/>
        <w:sz w:val="22"/>
        <w:szCs w:val="22"/>
      </w:rPr>
    </w:pPr>
    <w:r w:rsidRPr="00BD46FC">
      <w:rPr>
        <w:rFonts w:ascii="Arial" w:hAnsi="Arial" w:cs="Arial"/>
        <w:sz w:val="22"/>
        <w:szCs w:val="22"/>
      </w:rPr>
      <w:t>Оригинал: английский</w:t>
    </w:r>
  </w:p>
  <w:p w14:paraId="724197FA" w14:textId="77777777" w:rsidR="00E86920" w:rsidRPr="00BD46FC" w:rsidRDefault="00E86920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</w:rPr>
    </w:pPr>
  </w:p>
  <w:p w14:paraId="59704176" w14:textId="77777777" w:rsidR="00E86920" w:rsidRPr="00BD46FC" w:rsidRDefault="00E86920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</w:rPr>
    </w:pPr>
  </w:p>
  <w:p w14:paraId="428C3E95" w14:textId="77777777" w:rsidR="00E86920" w:rsidRPr="00BD46FC" w:rsidRDefault="00E86920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Arial" w:hAnsi="Arial" w:cs="Arial"/>
        <w:b/>
        <w:szCs w:val="22"/>
      </w:rPr>
    </w:pPr>
  </w:p>
  <w:p w14:paraId="1949B77E" w14:textId="77777777" w:rsidR="00E86920" w:rsidRPr="00BD46FC" w:rsidRDefault="00E86920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Arial" w:hAnsi="Arial" w:cs="Arial"/>
        <w:b/>
        <w:szCs w:val="22"/>
      </w:rPr>
    </w:pPr>
  </w:p>
  <w:p w14:paraId="3C111CB0" w14:textId="5CBD5E56" w:rsidR="00E86920" w:rsidRDefault="00E86920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Arial" w:hAnsi="Arial" w:cs="Arial"/>
        <w:b/>
        <w:szCs w:val="22"/>
      </w:rPr>
    </w:pPr>
  </w:p>
  <w:p w14:paraId="67D8F92F" w14:textId="77777777" w:rsidR="00BD46FC" w:rsidRPr="00BD46FC" w:rsidRDefault="00BD46FC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="Arial" w:hAnsi="Arial" w:cs="Arial"/>
        <w:b/>
        <w:szCs w:val="22"/>
      </w:rPr>
    </w:pPr>
  </w:p>
  <w:p w14:paraId="77866373" w14:textId="77777777" w:rsidR="00E86920" w:rsidRPr="00866330" w:rsidRDefault="00E86920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  <w:r w:rsidRPr="00866330">
      <w:rPr>
        <w:rFonts w:ascii="Arial" w:hAnsi="Arial" w:cs="Arial"/>
        <w:b/>
        <w:sz w:val="22"/>
        <w:szCs w:val="22"/>
      </w:rPr>
      <w:t>МЕЖПРАВИТЕЛЬСТВЕННАЯ ОКЕАНОГРАФИЧЕСКАЯ КОМИССИЯ</w:t>
    </w:r>
  </w:p>
  <w:p w14:paraId="79A238F9" w14:textId="77777777" w:rsidR="00E86920" w:rsidRPr="00866330" w:rsidRDefault="00E86920" w:rsidP="00E86920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sz w:val="22"/>
        <w:szCs w:val="22"/>
      </w:rPr>
    </w:pPr>
    <w:r w:rsidRPr="00866330">
      <w:rPr>
        <w:rFonts w:ascii="Arial" w:hAnsi="Arial" w:cs="Arial"/>
        <w:bCs/>
        <w:sz w:val="22"/>
        <w:szCs w:val="22"/>
      </w:rPr>
      <w:t>(ЮНЕСКО)</w:t>
    </w:r>
  </w:p>
  <w:p w14:paraId="5F708E95" w14:textId="77777777" w:rsidR="00E86920" w:rsidRPr="00866330" w:rsidRDefault="00E86920" w:rsidP="00E8692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</w:p>
  <w:p w14:paraId="7C1ADA25" w14:textId="77777777" w:rsidR="00E86920" w:rsidRPr="00866330" w:rsidRDefault="00E86920" w:rsidP="00E86920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  <w:r w:rsidRPr="00866330">
      <w:rPr>
        <w:rFonts w:ascii="Arial" w:hAnsi="Arial" w:cs="Arial"/>
        <w:b/>
        <w:sz w:val="22"/>
        <w:szCs w:val="22"/>
      </w:rPr>
      <w:t>Пятьдесят пятая сессия Исполнительного совета</w:t>
    </w:r>
  </w:p>
  <w:p w14:paraId="2D2FAC7D" w14:textId="499AE7A8" w:rsidR="00E86920" w:rsidRPr="00866330" w:rsidRDefault="00E86920" w:rsidP="00E8692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  <w:r w:rsidRPr="00866330">
      <w:rPr>
        <w:rFonts w:ascii="Arial" w:hAnsi="Arial" w:cs="Arial"/>
        <w:bCs/>
        <w:sz w:val="22"/>
        <w:szCs w:val="22"/>
      </w:rPr>
      <w:t>ЮНЕСКО, Париж, 14-17 июня 2022</w:t>
    </w:r>
    <w:r w:rsidR="00FB5356" w:rsidRPr="00866330">
      <w:rPr>
        <w:rFonts w:ascii="Arial" w:hAnsi="Arial" w:cs="Arial"/>
        <w:bCs/>
        <w:sz w:val="22"/>
        <w:szCs w:val="22"/>
      </w:rPr>
      <w:t> г.</w:t>
    </w:r>
  </w:p>
  <w:p w14:paraId="18F8F262" w14:textId="77777777" w:rsidR="00E86920" w:rsidRPr="00866330" w:rsidRDefault="00E86920" w:rsidP="00E8692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sz w:val="22"/>
        <w:szCs w:val="22"/>
      </w:rPr>
    </w:pPr>
  </w:p>
  <w:p w14:paraId="21774B35" w14:textId="77777777" w:rsidR="00E86920" w:rsidRPr="00866330" w:rsidRDefault="00E86920" w:rsidP="00E86920">
    <w:pPr>
      <w:jc w:val="center"/>
      <w:rPr>
        <w:rFonts w:ascii="Arial" w:hAnsi="Arial" w:cs="Arial"/>
        <w:sz w:val="22"/>
        <w:szCs w:val="22"/>
      </w:rPr>
    </w:pPr>
  </w:p>
  <w:p w14:paraId="788CED2B" w14:textId="77777777" w:rsidR="00E86920" w:rsidRPr="00866330" w:rsidRDefault="00E86920" w:rsidP="00E86920">
    <w:pPr>
      <w:keepNext/>
      <w:widowControl w:val="0"/>
      <w:tabs>
        <w:tab w:val="right" w:pos="9540"/>
      </w:tabs>
      <w:adjustRightInd w:val="0"/>
      <w:jc w:val="both"/>
      <w:textAlignment w:val="baseline"/>
      <w:outlineLvl w:val="6"/>
      <w:rPr>
        <w:rFonts w:ascii="Arial" w:eastAsia="Times New Roman" w:hAnsi="Arial" w:cs="Arial"/>
        <w:sz w:val="22"/>
        <w:szCs w:val="22"/>
      </w:rPr>
    </w:pPr>
    <w:r w:rsidRPr="00866330">
      <w:rPr>
        <w:rFonts w:ascii="Arial" w:hAnsi="Arial" w:cs="Arial"/>
        <w:sz w:val="22"/>
        <w:szCs w:val="22"/>
        <w:u w:val="single"/>
      </w:rPr>
      <w:t xml:space="preserve">Пункт </w:t>
    </w:r>
    <w:r w:rsidRPr="00866330">
      <w:rPr>
        <w:rFonts w:ascii="Arial" w:hAnsi="Arial" w:cs="Arial"/>
        <w:b/>
        <w:sz w:val="22"/>
        <w:szCs w:val="22"/>
        <w:u w:val="single"/>
      </w:rPr>
      <w:t>4.1</w:t>
    </w:r>
    <w:r w:rsidRPr="00866330">
      <w:rPr>
        <w:rFonts w:ascii="Arial" w:hAnsi="Arial" w:cs="Arial"/>
        <w:sz w:val="22"/>
        <w:szCs w:val="22"/>
        <w:u w:val="single"/>
      </w:rPr>
      <w:t xml:space="preserve"> предварительной повестки дня</w:t>
    </w:r>
  </w:p>
  <w:p w14:paraId="51737E4F" w14:textId="77777777" w:rsidR="00E86920" w:rsidRPr="00BD46FC" w:rsidRDefault="00E86920" w:rsidP="00E8692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</w:rPr>
    </w:pPr>
  </w:p>
  <w:p w14:paraId="56C187EC" w14:textId="34D599D9" w:rsidR="00E86920" w:rsidRPr="00866330" w:rsidRDefault="00BD46FC" w:rsidP="00E8692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sz w:val="28"/>
        <w:szCs w:val="28"/>
      </w:rPr>
    </w:pPr>
    <w:r w:rsidRPr="00866330">
      <w:rPr>
        <w:rFonts w:ascii="Arial" w:hAnsi="Arial" w:cs="Arial"/>
        <w:b/>
        <w:bCs/>
        <w:sz w:val="28"/>
        <w:szCs w:val="28"/>
      </w:rPr>
      <w:t>Обзор хода проведения Десятилетия</w:t>
    </w:r>
    <w:r w:rsidR="00866330">
      <w:rPr>
        <w:rFonts w:ascii="Arial" w:hAnsi="Arial" w:cs="Arial"/>
        <w:b/>
        <w:bCs/>
        <w:sz w:val="28"/>
        <w:szCs w:val="28"/>
      </w:rPr>
      <w:br/>
    </w:r>
    <w:r w:rsidRPr="00866330">
      <w:rPr>
        <w:rFonts w:ascii="Arial" w:hAnsi="Arial" w:cs="Arial"/>
        <w:b/>
        <w:bCs/>
        <w:sz w:val="28"/>
        <w:szCs w:val="28"/>
      </w:rPr>
      <w:t>Организации Объединенных Наций, посвященного науке об океане в интересах устойчивого развития</w:t>
    </w:r>
    <w:r w:rsidRPr="00866330">
      <w:rPr>
        <w:rFonts w:ascii="Arial" w:hAnsi="Arial" w:cs="Arial"/>
        <w:b/>
        <w:bCs/>
        <w:sz w:val="28"/>
        <w:szCs w:val="28"/>
      </w:rPr>
      <w:br/>
      <w:t>(2021-2030 гг.)</w:t>
    </w:r>
  </w:p>
  <w:p w14:paraId="59883FCD" w14:textId="77777777" w:rsidR="00E86920" w:rsidRPr="00BD46FC" w:rsidRDefault="00E86920" w:rsidP="00E8692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</w:rPr>
    </w:pPr>
  </w:p>
  <w:p w14:paraId="5B0477DC" w14:textId="77777777" w:rsidR="00E86920" w:rsidRPr="00BD46FC" w:rsidRDefault="00E86920" w:rsidP="00E8692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Cs/>
        <w:szCs w:val="22"/>
      </w:rPr>
    </w:pPr>
  </w:p>
  <w:p w14:paraId="32EB95F8" w14:textId="77777777" w:rsidR="00D91E2D" w:rsidRPr="00BD46FC" w:rsidRDefault="00D91E2D" w:rsidP="00E8692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72E"/>
    <w:multiLevelType w:val="hybridMultilevel"/>
    <w:tmpl w:val="FC84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13E"/>
    <w:multiLevelType w:val="hybridMultilevel"/>
    <w:tmpl w:val="E97E1C0A"/>
    <w:lvl w:ilvl="0" w:tplc="BB48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789"/>
    <w:multiLevelType w:val="hybridMultilevel"/>
    <w:tmpl w:val="BAF29046"/>
    <w:lvl w:ilvl="0" w:tplc="55F4CEC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7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AD294C"/>
    <w:multiLevelType w:val="hybridMultilevel"/>
    <w:tmpl w:val="062066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4E4C50"/>
    <w:multiLevelType w:val="hybridMultilevel"/>
    <w:tmpl w:val="0D0CF51C"/>
    <w:lvl w:ilvl="0" w:tplc="F022E4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32CA9"/>
    <w:multiLevelType w:val="hybridMultilevel"/>
    <w:tmpl w:val="50843CD0"/>
    <w:lvl w:ilvl="0" w:tplc="05E2F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3"/>
  </w:num>
  <w:num w:numId="16">
    <w:abstractNumId w:val="8"/>
  </w:num>
  <w:num w:numId="17">
    <w:abstractNumId w:val="5"/>
  </w:num>
  <w:num w:numId="18">
    <w:abstractNumId w:val="2"/>
  </w:num>
  <w:num w:numId="19">
    <w:abstractNumId w:val="9"/>
  </w:num>
  <w:num w:numId="20">
    <w:abstractNumId w:val="11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5A88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54037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285A"/>
    <w:rsid w:val="00083369"/>
    <w:rsid w:val="00084EC3"/>
    <w:rsid w:val="00085FE9"/>
    <w:rsid w:val="00086071"/>
    <w:rsid w:val="0009246D"/>
    <w:rsid w:val="0009256F"/>
    <w:rsid w:val="00097CDF"/>
    <w:rsid w:val="000A6D08"/>
    <w:rsid w:val="000B1B44"/>
    <w:rsid w:val="000B40F3"/>
    <w:rsid w:val="000C3BB5"/>
    <w:rsid w:val="000D6EB3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0F79E5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20A2"/>
    <w:rsid w:val="0012374E"/>
    <w:rsid w:val="00123F7E"/>
    <w:rsid w:val="00131529"/>
    <w:rsid w:val="0013238B"/>
    <w:rsid w:val="00134711"/>
    <w:rsid w:val="00134935"/>
    <w:rsid w:val="0013649D"/>
    <w:rsid w:val="00143B1A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5075"/>
    <w:rsid w:val="001B64AC"/>
    <w:rsid w:val="001B7DE0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E653E"/>
    <w:rsid w:val="001F65B3"/>
    <w:rsid w:val="001F65D5"/>
    <w:rsid w:val="001F6CF5"/>
    <w:rsid w:val="001F7EF6"/>
    <w:rsid w:val="00200519"/>
    <w:rsid w:val="0020169B"/>
    <w:rsid w:val="00203E48"/>
    <w:rsid w:val="0020573A"/>
    <w:rsid w:val="002063AE"/>
    <w:rsid w:val="00207581"/>
    <w:rsid w:val="00215B28"/>
    <w:rsid w:val="00216228"/>
    <w:rsid w:val="00225B52"/>
    <w:rsid w:val="00230818"/>
    <w:rsid w:val="00231994"/>
    <w:rsid w:val="00232596"/>
    <w:rsid w:val="00232FAE"/>
    <w:rsid w:val="0023308D"/>
    <w:rsid w:val="00237FCC"/>
    <w:rsid w:val="0024167D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52E1"/>
    <w:rsid w:val="00286B3B"/>
    <w:rsid w:val="002A05D9"/>
    <w:rsid w:val="002A33EB"/>
    <w:rsid w:val="002A3541"/>
    <w:rsid w:val="002A3623"/>
    <w:rsid w:val="002A364B"/>
    <w:rsid w:val="002A3D8C"/>
    <w:rsid w:val="002A4718"/>
    <w:rsid w:val="002B0438"/>
    <w:rsid w:val="002B0B65"/>
    <w:rsid w:val="002B2FB7"/>
    <w:rsid w:val="002B58F5"/>
    <w:rsid w:val="002C6A49"/>
    <w:rsid w:val="002D1F18"/>
    <w:rsid w:val="002D2062"/>
    <w:rsid w:val="002D41F6"/>
    <w:rsid w:val="002D4B35"/>
    <w:rsid w:val="002E0A07"/>
    <w:rsid w:val="002E0C7D"/>
    <w:rsid w:val="002E3B10"/>
    <w:rsid w:val="002E524A"/>
    <w:rsid w:val="002E558B"/>
    <w:rsid w:val="002E6FCC"/>
    <w:rsid w:val="002F0EB7"/>
    <w:rsid w:val="002F11B4"/>
    <w:rsid w:val="002F2691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55A0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4A10"/>
    <w:rsid w:val="00355A56"/>
    <w:rsid w:val="003563D2"/>
    <w:rsid w:val="00366C04"/>
    <w:rsid w:val="00370B35"/>
    <w:rsid w:val="003774D6"/>
    <w:rsid w:val="00382463"/>
    <w:rsid w:val="00392029"/>
    <w:rsid w:val="00393704"/>
    <w:rsid w:val="0039512E"/>
    <w:rsid w:val="00395A1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331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1F64"/>
    <w:rsid w:val="00425E51"/>
    <w:rsid w:val="0042612F"/>
    <w:rsid w:val="00431123"/>
    <w:rsid w:val="00437DB1"/>
    <w:rsid w:val="00441F29"/>
    <w:rsid w:val="00441FE3"/>
    <w:rsid w:val="00444A63"/>
    <w:rsid w:val="00450AA6"/>
    <w:rsid w:val="00452512"/>
    <w:rsid w:val="00452CFD"/>
    <w:rsid w:val="00453CE0"/>
    <w:rsid w:val="00463AB2"/>
    <w:rsid w:val="0047364D"/>
    <w:rsid w:val="004750C1"/>
    <w:rsid w:val="004768E8"/>
    <w:rsid w:val="00476A0C"/>
    <w:rsid w:val="00477409"/>
    <w:rsid w:val="0048119B"/>
    <w:rsid w:val="00481C77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1DCC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362D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268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97D9A"/>
    <w:rsid w:val="005A1B75"/>
    <w:rsid w:val="005A210B"/>
    <w:rsid w:val="005A7E87"/>
    <w:rsid w:val="005B0510"/>
    <w:rsid w:val="005B0804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122F2"/>
    <w:rsid w:val="00612A3E"/>
    <w:rsid w:val="00612C7A"/>
    <w:rsid w:val="00613F3F"/>
    <w:rsid w:val="006140DB"/>
    <w:rsid w:val="00625EE0"/>
    <w:rsid w:val="00625FE6"/>
    <w:rsid w:val="00631D35"/>
    <w:rsid w:val="006327B2"/>
    <w:rsid w:val="006331C8"/>
    <w:rsid w:val="00637621"/>
    <w:rsid w:val="006417A7"/>
    <w:rsid w:val="00641D3D"/>
    <w:rsid w:val="00645699"/>
    <w:rsid w:val="00646F26"/>
    <w:rsid w:val="006502B2"/>
    <w:rsid w:val="00650A87"/>
    <w:rsid w:val="00654AA1"/>
    <w:rsid w:val="00657AC1"/>
    <w:rsid w:val="00657EB5"/>
    <w:rsid w:val="006625C0"/>
    <w:rsid w:val="006644A7"/>
    <w:rsid w:val="00666085"/>
    <w:rsid w:val="0067098E"/>
    <w:rsid w:val="00671A70"/>
    <w:rsid w:val="00672A6F"/>
    <w:rsid w:val="0067544A"/>
    <w:rsid w:val="006810D1"/>
    <w:rsid w:val="00681D60"/>
    <w:rsid w:val="00682998"/>
    <w:rsid w:val="00687A2A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D312D"/>
    <w:rsid w:val="006E0BCF"/>
    <w:rsid w:val="006E33FC"/>
    <w:rsid w:val="006E3403"/>
    <w:rsid w:val="006E3CA0"/>
    <w:rsid w:val="006E3CB4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077C5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4650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4C1D"/>
    <w:rsid w:val="007C58F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B67"/>
    <w:rsid w:val="007F0B8B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3E81"/>
    <w:rsid w:val="00845462"/>
    <w:rsid w:val="00851937"/>
    <w:rsid w:val="00856ABB"/>
    <w:rsid w:val="008608E0"/>
    <w:rsid w:val="00864ABF"/>
    <w:rsid w:val="00866274"/>
    <w:rsid w:val="00866330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4407"/>
    <w:rsid w:val="008B544A"/>
    <w:rsid w:val="008B77EB"/>
    <w:rsid w:val="008C15AF"/>
    <w:rsid w:val="008C74FA"/>
    <w:rsid w:val="008D5C30"/>
    <w:rsid w:val="008E0DC5"/>
    <w:rsid w:val="008E280C"/>
    <w:rsid w:val="008E5D4A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58F7"/>
    <w:rsid w:val="009263CA"/>
    <w:rsid w:val="00926737"/>
    <w:rsid w:val="009278CB"/>
    <w:rsid w:val="00932C56"/>
    <w:rsid w:val="0093392C"/>
    <w:rsid w:val="00935F8E"/>
    <w:rsid w:val="00936308"/>
    <w:rsid w:val="00940BCB"/>
    <w:rsid w:val="00941FC7"/>
    <w:rsid w:val="00942E2B"/>
    <w:rsid w:val="0094308D"/>
    <w:rsid w:val="00945D12"/>
    <w:rsid w:val="00950D30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76954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1DDC"/>
    <w:rsid w:val="009A6B84"/>
    <w:rsid w:val="009A7F76"/>
    <w:rsid w:val="009B2FB5"/>
    <w:rsid w:val="009B33B9"/>
    <w:rsid w:val="009B4B8B"/>
    <w:rsid w:val="009B7ED9"/>
    <w:rsid w:val="009C32D0"/>
    <w:rsid w:val="009C5BA0"/>
    <w:rsid w:val="009D460D"/>
    <w:rsid w:val="009D5847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9F66B1"/>
    <w:rsid w:val="00A02887"/>
    <w:rsid w:val="00A02E57"/>
    <w:rsid w:val="00A057C4"/>
    <w:rsid w:val="00A05A4D"/>
    <w:rsid w:val="00A05AB4"/>
    <w:rsid w:val="00A070D7"/>
    <w:rsid w:val="00A12E09"/>
    <w:rsid w:val="00A25EB2"/>
    <w:rsid w:val="00A265E3"/>
    <w:rsid w:val="00A30AC2"/>
    <w:rsid w:val="00A31D36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A3077"/>
    <w:rsid w:val="00AA36BB"/>
    <w:rsid w:val="00AA6564"/>
    <w:rsid w:val="00AA6FCA"/>
    <w:rsid w:val="00AB2387"/>
    <w:rsid w:val="00AB3439"/>
    <w:rsid w:val="00AB346C"/>
    <w:rsid w:val="00AB37B5"/>
    <w:rsid w:val="00AB5A78"/>
    <w:rsid w:val="00AB671E"/>
    <w:rsid w:val="00AC333C"/>
    <w:rsid w:val="00AC65C5"/>
    <w:rsid w:val="00AC7D27"/>
    <w:rsid w:val="00AD035C"/>
    <w:rsid w:val="00AD1EB6"/>
    <w:rsid w:val="00AD2EC9"/>
    <w:rsid w:val="00AD33E4"/>
    <w:rsid w:val="00AD64A4"/>
    <w:rsid w:val="00AD6B3B"/>
    <w:rsid w:val="00AE018F"/>
    <w:rsid w:val="00AE0B67"/>
    <w:rsid w:val="00AE187B"/>
    <w:rsid w:val="00AE26F5"/>
    <w:rsid w:val="00AE3537"/>
    <w:rsid w:val="00AE3F49"/>
    <w:rsid w:val="00AF6044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152B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6681F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D0A9C"/>
    <w:rsid w:val="00BD46FC"/>
    <w:rsid w:val="00BE1951"/>
    <w:rsid w:val="00BE2960"/>
    <w:rsid w:val="00BE4A26"/>
    <w:rsid w:val="00BE76AB"/>
    <w:rsid w:val="00C01CF5"/>
    <w:rsid w:val="00C021AC"/>
    <w:rsid w:val="00C0288A"/>
    <w:rsid w:val="00C0560F"/>
    <w:rsid w:val="00C073F3"/>
    <w:rsid w:val="00C161F8"/>
    <w:rsid w:val="00C16A4A"/>
    <w:rsid w:val="00C200DD"/>
    <w:rsid w:val="00C23624"/>
    <w:rsid w:val="00C26F58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2599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1ED7"/>
    <w:rsid w:val="00CD31B6"/>
    <w:rsid w:val="00CD50AB"/>
    <w:rsid w:val="00CD7729"/>
    <w:rsid w:val="00CE11E4"/>
    <w:rsid w:val="00CE43C1"/>
    <w:rsid w:val="00CE4E66"/>
    <w:rsid w:val="00CF2D0C"/>
    <w:rsid w:val="00CF4C27"/>
    <w:rsid w:val="00D02605"/>
    <w:rsid w:val="00D12711"/>
    <w:rsid w:val="00D1662F"/>
    <w:rsid w:val="00D204B7"/>
    <w:rsid w:val="00D2050E"/>
    <w:rsid w:val="00D36C3E"/>
    <w:rsid w:val="00D42688"/>
    <w:rsid w:val="00D45B02"/>
    <w:rsid w:val="00D473EA"/>
    <w:rsid w:val="00D50B1A"/>
    <w:rsid w:val="00D512DE"/>
    <w:rsid w:val="00D56566"/>
    <w:rsid w:val="00D57367"/>
    <w:rsid w:val="00D61A37"/>
    <w:rsid w:val="00D626CB"/>
    <w:rsid w:val="00D64782"/>
    <w:rsid w:val="00D67278"/>
    <w:rsid w:val="00D67B8D"/>
    <w:rsid w:val="00D74196"/>
    <w:rsid w:val="00D7566D"/>
    <w:rsid w:val="00D76E20"/>
    <w:rsid w:val="00D8125F"/>
    <w:rsid w:val="00D82235"/>
    <w:rsid w:val="00D86D5E"/>
    <w:rsid w:val="00D90453"/>
    <w:rsid w:val="00D91117"/>
    <w:rsid w:val="00D91E2D"/>
    <w:rsid w:val="00D922B1"/>
    <w:rsid w:val="00D923CC"/>
    <w:rsid w:val="00DA5F08"/>
    <w:rsid w:val="00DB22A5"/>
    <w:rsid w:val="00DB60D6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D5ADB"/>
    <w:rsid w:val="00DE0399"/>
    <w:rsid w:val="00DE271E"/>
    <w:rsid w:val="00DE569D"/>
    <w:rsid w:val="00DE6571"/>
    <w:rsid w:val="00DE7784"/>
    <w:rsid w:val="00DF0410"/>
    <w:rsid w:val="00DF39D8"/>
    <w:rsid w:val="00DF419A"/>
    <w:rsid w:val="00DF7F7A"/>
    <w:rsid w:val="00E01FDA"/>
    <w:rsid w:val="00E03C5A"/>
    <w:rsid w:val="00E04B7F"/>
    <w:rsid w:val="00E0531A"/>
    <w:rsid w:val="00E10342"/>
    <w:rsid w:val="00E117F3"/>
    <w:rsid w:val="00E13F41"/>
    <w:rsid w:val="00E154A0"/>
    <w:rsid w:val="00E15729"/>
    <w:rsid w:val="00E179CF"/>
    <w:rsid w:val="00E202A8"/>
    <w:rsid w:val="00E229C2"/>
    <w:rsid w:val="00E232D1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86920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E7FAA"/>
    <w:rsid w:val="00EF0BFF"/>
    <w:rsid w:val="00EF225C"/>
    <w:rsid w:val="00EF2790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4C0F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8D9"/>
    <w:rsid w:val="00FA6FB3"/>
    <w:rsid w:val="00FB4EDC"/>
    <w:rsid w:val="00FB5356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ru-RU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ru-RU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F4611"/>
    <w:rPr>
      <w:snapToGrid w:val="0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ru-RU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semiHidden/>
    <w:rsid w:val="00FA68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4"/>
      <w:lang w:val="ru-RU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7C4C1D"/>
    <w:pPr>
      <w:tabs>
        <w:tab w:val="clear" w:pos="567"/>
      </w:tabs>
      <w:snapToGrid/>
      <w:spacing w:before="120" w:after="160" w:line="240" w:lineRule="exact"/>
    </w:pPr>
    <w:rPr>
      <w:snapToGrid/>
      <w:sz w:val="20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9C5BA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65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6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34935"/>
    <w:rPr>
      <w:color w:val="800080" w:themeColor="followedHyperlink"/>
      <w:u w:val="single"/>
    </w:rPr>
  </w:style>
  <w:style w:type="paragraph" w:customStyle="1" w:styleId="Style2">
    <w:name w:val="Style2"/>
    <w:basedOn w:val="Normal"/>
    <w:link w:val="Style2Car"/>
    <w:qFormat/>
    <w:rsid w:val="00E86920"/>
    <w:pPr>
      <w:shd w:val="clear" w:color="auto" w:fill="FFFFFF"/>
      <w:tabs>
        <w:tab w:val="clear" w:pos="567"/>
        <w:tab w:val="num" w:pos="1400"/>
      </w:tabs>
      <w:snapToGrid/>
      <w:spacing w:after="240"/>
      <w:ind w:left="720"/>
      <w:jc w:val="both"/>
    </w:pPr>
    <w:rPr>
      <w:rFonts w:ascii="Arial" w:eastAsia="Times New Roman" w:hAnsi="Arial"/>
      <w:iCs/>
      <w:sz w:val="22"/>
      <w:szCs w:val="22"/>
      <w:lang w:eastAsia="en-US"/>
    </w:rPr>
  </w:style>
  <w:style w:type="character" w:customStyle="1" w:styleId="Style2Car">
    <w:name w:val="Style2 Car"/>
    <w:basedOn w:val="DefaultParagraphFont"/>
    <w:link w:val="Style2"/>
    <w:rsid w:val="00E86920"/>
    <w:rPr>
      <w:rFonts w:ascii="Arial" w:eastAsia="Times New Roman" w:hAnsi="Arial"/>
      <w:iCs/>
      <w:snapToGrid w:val="0"/>
      <w:sz w:val="22"/>
      <w:szCs w:val="22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70144.locale=en" TargetMode="External"/><Relationship Id="rId13" Type="http://schemas.openxmlformats.org/officeDocument/2006/relationships/hyperlink" Target="https://unesdoc.unesco.org/ark:/48223/pf0000381227.locale=en" TargetMode="External"/><Relationship Id="rId18" Type="http://schemas.openxmlformats.org/officeDocument/2006/relationships/hyperlink" Target="https://forum.oceandecade.org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oceanexpert.org/document/28442" TargetMode="External"/><Relationship Id="rId17" Type="http://schemas.openxmlformats.org/officeDocument/2006/relationships/hyperlink" Target="http://www.oceandecad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ceandecade.org/ocean-decade-allianc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c.unesco.org/news/call-decade-actions-no-01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esdoc.unesco.org/ark:/48223/pf0000381488.locale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esdoc.unesco.org/ark:/48223/pf0000379465.locale=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75002.locale=en" TargetMode="External"/><Relationship Id="rId14" Type="http://schemas.openxmlformats.org/officeDocument/2006/relationships/hyperlink" Target="https://oceanexpert.org/document/28497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B529-46A8-41D4-826D-401AB0FE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3999</Words>
  <Characters>28980</Characters>
  <Application>Microsoft Office Word</Application>
  <DocSecurity>0</DocSecurity>
  <Lines>241</Lines>
  <Paragraphs>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32914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хода проведения Десятилетия_x000d_
Организации Объединенных Наций, посвященного науке об океане в интересах устойчивого развития_x000d_
(2021-2030 гг.)</dc:title>
  <dc:subject>IOC/EC-55/4.1 (Doc)1</dc:subject>
  <dc:creator>UNESCO</dc:creator>
  <cp:keywords>0</cp:keywords>
  <dc:description/>
  <cp:lastModifiedBy>Boned, Patrice</cp:lastModifiedBy>
  <cp:revision>2</cp:revision>
  <cp:lastPrinted>2022-05-02T09:16:00Z</cp:lastPrinted>
  <dcterms:created xsi:type="dcterms:W3CDTF">2022-05-17T10:07:00Z</dcterms:created>
  <dcterms:modified xsi:type="dcterms:W3CDTF">2022-05-17T10:07:00Z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JobDCPMS">
    <vt:lpwstr>2201404</vt:lpwstr>
  </property>
</Properties>
</file>