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3CB" w14:textId="4B2A07F8" w:rsidR="00FA68D9" w:rsidRPr="00BC03E1" w:rsidRDefault="00FA68D9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FA68D9" w:rsidRPr="00BC03E1" w14:paraId="1709CCC6" w14:textId="77777777" w:rsidTr="006D43E7">
        <w:trPr>
          <w:trHeight w:val="2507"/>
          <w:jc w:val="center"/>
        </w:trPr>
        <w:tc>
          <w:tcPr>
            <w:tcW w:w="6804" w:type="dxa"/>
          </w:tcPr>
          <w:p w14:paraId="33D8523D" w14:textId="2EFF265F" w:rsidR="001B5075" w:rsidRPr="00BC03E1" w:rsidRDefault="001B5075" w:rsidP="002D239B">
            <w:pPr>
              <w:tabs>
                <w:tab w:val="clear" w:pos="567"/>
              </w:tabs>
              <w:snapToGrid/>
              <w:spacing w:before="240" w:after="240"/>
              <w:ind w:left="113" w:right="113"/>
              <w:jc w:val="center"/>
              <w:rPr>
                <w:rFonts w:asciiTheme="minorBidi" w:hAnsiTheme="minorBidi" w:cstheme="minorBidi"/>
                <w:bCs/>
                <w:sz w:val="22"/>
                <w:szCs w:val="22"/>
                <w:u w:val="single"/>
              </w:rPr>
            </w:pPr>
            <w:r>
              <w:rPr>
                <w:rFonts w:asciiTheme="minorBidi" w:hAnsiTheme="minorBidi"/>
                <w:bCs/>
                <w:sz w:val="22"/>
                <w:szCs w:val="22"/>
                <w:u w:val="single"/>
              </w:rPr>
              <w:t>Резюме</w:t>
            </w:r>
          </w:p>
          <w:p w14:paraId="26255667" w14:textId="138389FB" w:rsidR="006B18B7" w:rsidRPr="00BC03E1" w:rsidRDefault="006B18B7" w:rsidP="002D239B">
            <w:pPr>
              <w:widowControl w:val="0"/>
              <w:shd w:val="clear" w:color="auto" w:fill="FFFFFF"/>
              <w:adjustRightInd w:val="0"/>
              <w:spacing w:after="240"/>
              <w:ind w:left="113" w:right="113"/>
              <w:jc w:val="both"/>
              <w:textAlignment w:val="baseline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В настоящем документе представлен краткий доклад председателя Межсессионной финансовой консультативной группы</w:t>
            </w:r>
            <w:r w:rsidR="00A3412C">
              <w:rPr>
                <w:rFonts w:asciiTheme="minorBidi" w:hAnsiTheme="minorBidi"/>
                <w:sz w:val="22"/>
                <w:szCs w:val="22"/>
                <w:lang w:val="en-US"/>
              </w:rPr>
              <w:t> </w:t>
            </w:r>
            <w:r>
              <w:rPr>
                <w:rFonts w:asciiTheme="minorBidi" w:hAnsiTheme="minorBidi"/>
                <w:sz w:val="22"/>
                <w:szCs w:val="22"/>
              </w:rPr>
              <w:t>(МФКГ) о работе, проделанной МФКГ в межсессионный период с декабря 2021 г. по июнь 2022 г.</w:t>
            </w:r>
          </w:p>
          <w:p w14:paraId="6C050125" w14:textId="0170713C" w:rsidR="00FA68D9" w:rsidRPr="00BC03E1" w:rsidRDefault="006B18B7" w:rsidP="002D239B">
            <w:pPr>
              <w:tabs>
                <w:tab w:val="clear" w:pos="567"/>
              </w:tabs>
              <w:snapToGrid/>
              <w:spacing w:after="240"/>
              <w:ind w:left="113" w:right="113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  <w:u w:val="single"/>
              </w:rPr>
              <w:t>Предлагаемое решение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упоминается в Предварительном документе о </w:t>
            </w:r>
            <w:r w:rsidRPr="004714B9">
              <w:rPr>
                <w:rFonts w:asciiTheme="minorBidi" w:hAnsiTheme="minorBidi"/>
                <w:sz w:val="22"/>
                <w:szCs w:val="22"/>
              </w:rPr>
              <w:t xml:space="preserve">принятых и предлагаемых мерах (IOC/EC-55/AP) как </w:t>
            </w:r>
            <w:proofErr w:type="spellStart"/>
            <w:r w:rsidRPr="004714B9">
              <w:rPr>
                <w:rFonts w:asciiTheme="minorBidi" w:hAnsiTheme="minorBidi"/>
                <w:sz w:val="22"/>
                <w:szCs w:val="22"/>
              </w:rPr>
              <w:t>Реш</w:t>
            </w:r>
            <w:proofErr w:type="spellEnd"/>
            <w:r w:rsidRPr="004714B9">
              <w:rPr>
                <w:rFonts w:asciiTheme="minorBidi" w:hAnsiTheme="minorBidi"/>
                <w:sz w:val="22"/>
                <w:szCs w:val="22"/>
              </w:rPr>
              <w:t>. EC-55/5.1.</w:t>
            </w:r>
          </w:p>
        </w:tc>
      </w:tr>
    </w:tbl>
    <w:p w14:paraId="552B7FD7" w14:textId="6DFD8523" w:rsidR="000A569C" w:rsidRPr="004714B9" w:rsidRDefault="00FA68D9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br w:type="page"/>
      </w:r>
      <w:r w:rsidRPr="004714B9">
        <w:rPr>
          <w:rFonts w:ascii="Arial" w:hAnsi="Arial" w:cs="Arial"/>
          <w:sz w:val="22"/>
          <w:szCs w:val="22"/>
        </w:rPr>
        <w:lastRenderedPageBreak/>
        <w:t>В</w:t>
      </w:r>
      <w:r w:rsidR="004714B9">
        <w:rPr>
          <w:rFonts w:ascii="Arial" w:hAnsi="Arial" w:cs="Arial"/>
          <w:sz w:val="22"/>
          <w:szCs w:val="22"/>
        </w:rPr>
        <w:t xml:space="preserve"> соответствии с </w:t>
      </w:r>
      <w:r w:rsidRPr="004714B9">
        <w:rPr>
          <w:rFonts w:ascii="Arial" w:hAnsi="Arial" w:cs="Arial"/>
          <w:sz w:val="22"/>
          <w:szCs w:val="22"/>
        </w:rPr>
        <w:t xml:space="preserve">принятой МОК </w:t>
      </w:r>
      <w:hyperlink r:id="rId8" w:history="1">
        <w:r w:rsidRPr="004714B9">
          <w:rPr>
            <w:rStyle w:val="Hyperlink"/>
            <w:rFonts w:ascii="Arial" w:hAnsi="Arial" w:cs="Arial"/>
            <w:sz w:val="22"/>
            <w:szCs w:val="22"/>
          </w:rPr>
          <w:t>резолюци</w:t>
        </w:r>
        <w:r w:rsidR="004714B9">
          <w:rPr>
            <w:rStyle w:val="Hyperlink"/>
            <w:rFonts w:ascii="Arial" w:hAnsi="Arial" w:cs="Arial"/>
            <w:sz w:val="22"/>
            <w:szCs w:val="22"/>
          </w:rPr>
          <w:t>ей</w:t>
        </w:r>
        <w:r w:rsidRPr="004714B9">
          <w:rPr>
            <w:rStyle w:val="Hyperlink"/>
            <w:rFonts w:ascii="Arial" w:hAnsi="Arial" w:cs="Arial"/>
            <w:sz w:val="22"/>
            <w:szCs w:val="22"/>
          </w:rPr>
          <w:t xml:space="preserve"> A-31/2</w:t>
        </w:r>
      </w:hyperlink>
      <w:r w:rsidRPr="004714B9">
        <w:rPr>
          <w:rFonts w:ascii="Arial" w:hAnsi="Arial" w:cs="Arial"/>
          <w:sz w:val="22"/>
          <w:szCs w:val="22"/>
        </w:rPr>
        <w:t xml:space="preserve"> возобновление работы Межсессионной финансовой консультативной группы открытого состава (МФКГ) было </w:t>
      </w:r>
      <w:r w:rsidR="004714B9">
        <w:rPr>
          <w:rFonts w:ascii="Arial" w:hAnsi="Arial" w:cs="Arial"/>
          <w:sz w:val="22"/>
          <w:szCs w:val="22"/>
        </w:rPr>
        <w:t>формализовано</w:t>
      </w:r>
      <w:r w:rsidRPr="004714B9">
        <w:rPr>
          <w:rFonts w:ascii="Arial" w:hAnsi="Arial" w:cs="Arial"/>
          <w:sz w:val="22"/>
          <w:szCs w:val="22"/>
        </w:rPr>
        <w:t xml:space="preserve"> </w:t>
      </w:r>
      <w:r w:rsidR="004714B9">
        <w:rPr>
          <w:rFonts w:ascii="Arial" w:hAnsi="Arial" w:cs="Arial"/>
          <w:sz w:val="22"/>
          <w:szCs w:val="22"/>
        </w:rPr>
        <w:t>посредством</w:t>
      </w:r>
      <w:r w:rsidRPr="004714B9">
        <w:rPr>
          <w:rFonts w:ascii="Arial" w:hAnsi="Arial" w:cs="Arial"/>
          <w:sz w:val="22"/>
          <w:szCs w:val="22"/>
        </w:rPr>
        <w:t xml:space="preserve"> направления государствам-членам циркулярного письма МОК </w:t>
      </w:r>
      <w:r w:rsidR="004714B9">
        <w:rPr>
          <w:rFonts w:ascii="Arial" w:hAnsi="Arial" w:cs="Arial"/>
          <w:sz w:val="22"/>
          <w:szCs w:val="22"/>
        </w:rPr>
        <w:br/>
      </w:r>
      <w:hyperlink r:id="rId9" w:history="1">
        <w:r w:rsidRPr="004714B9">
          <w:rPr>
            <w:rStyle w:val="Hyperlink"/>
            <w:rFonts w:ascii="Arial" w:hAnsi="Arial" w:cs="Arial"/>
            <w:sz w:val="22"/>
            <w:szCs w:val="22"/>
          </w:rPr>
          <w:t>№ 2862</w:t>
        </w:r>
      </w:hyperlink>
      <w:r w:rsidRPr="004714B9">
        <w:rPr>
          <w:rFonts w:ascii="Arial" w:hAnsi="Arial" w:cs="Arial"/>
          <w:sz w:val="22"/>
          <w:szCs w:val="22"/>
        </w:rPr>
        <w:t xml:space="preserve"> от 20 октября 2021 г. с пр</w:t>
      </w:r>
      <w:r w:rsidR="004714B9">
        <w:rPr>
          <w:rFonts w:ascii="Arial" w:hAnsi="Arial" w:cs="Arial"/>
          <w:sz w:val="22"/>
          <w:szCs w:val="22"/>
        </w:rPr>
        <w:t xml:space="preserve">едложением </w:t>
      </w:r>
      <w:r w:rsidRPr="004714B9">
        <w:rPr>
          <w:rFonts w:ascii="Arial" w:hAnsi="Arial" w:cs="Arial"/>
          <w:sz w:val="22"/>
          <w:szCs w:val="22"/>
        </w:rPr>
        <w:t>представ</w:t>
      </w:r>
      <w:r w:rsidR="004714B9">
        <w:rPr>
          <w:rFonts w:ascii="Arial" w:hAnsi="Arial" w:cs="Arial"/>
          <w:sz w:val="22"/>
          <w:szCs w:val="22"/>
        </w:rPr>
        <w:t>ить</w:t>
      </w:r>
      <w:r w:rsidRPr="004714B9">
        <w:rPr>
          <w:rFonts w:ascii="Arial" w:hAnsi="Arial" w:cs="Arial"/>
          <w:sz w:val="22"/>
          <w:szCs w:val="22"/>
        </w:rPr>
        <w:t xml:space="preserve"> кандидатур</w:t>
      </w:r>
      <w:r w:rsidR="004714B9">
        <w:rPr>
          <w:rFonts w:ascii="Arial" w:hAnsi="Arial" w:cs="Arial"/>
          <w:sz w:val="22"/>
          <w:szCs w:val="22"/>
        </w:rPr>
        <w:t>ы</w:t>
      </w:r>
      <w:r w:rsidRPr="004714B9">
        <w:rPr>
          <w:rFonts w:ascii="Arial" w:hAnsi="Arial" w:cs="Arial"/>
          <w:sz w:val="22"/>
          <w:szCs w:val="22"/>
        </w:rPr>
        <w:t xml:space="preserve"> в состав МФКГ.</w:t>
      </w:r>
    </w:p>
    <w:p w14:paraId="6A13C1A9" w14:textId="6C744C42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В соответствии с обычной практикой первоначальная работа группы была организована путем переписки, а окончательн</w:t>
      </w:r>
      <w:r w:rsidR="004714B9">
        <w:rPr>
          <w:rFonts w:ascii="Arial" w:hAnsi="Arial" w:cs="Arial"/>
          <w:sz w:val="22"/>
          <w:szCs w:val="22"/>
        </w:rPr>
        <w:t xml:space="preserve">ая доработка </w:t>
      </w:r>
      <w:r w:rsidRPr="004714B9">
        <w:rPr>
          <w:rFonts w:ascii="Arial" w:hAnsi="Arial" w:cs="Arial"/>
          <w:sz w:val="22"/>
          <w:szCs w:val="22"/>
        </w:rPr>
        <w:t>выводов был</w:t>
      </w:r>
      <w:r w:rsidR="004714B9">
        <w:rPr>
          <w:rFonts w:ascii="Arial" w:hAnsi="Arial" w:cs="Arial"/>
          <w:sz w:val="22"/>
          <w:szCs w:val="22"/>
        </w:rPr>
        <w:t>а проведена</w:t>
      </w:r>
      <w:r w:rsidRPr="004714B9">
        <w:rPr>
          <w:rFonts w:ascii="Arial" w:hAnsi="Arial" w:cs="Arial"/>
          <w:sz w:val="22"/>
          <w:szCs w:val="22"/>
        </w:rPr>
        <w:t xml:space="preserve"> на очном </w:t>
      </w:r>
      <w:r w:rsidR="004714B9">
        <w:rPr>
          <w:rFonts w:ascii="Arial" w:hAnsi="Arial" w:cs="Arial"/>
          <w:sz w:val="22"/>
          <w:szCs w:val="22"/>
        </w:rPr>
        <w:t>совещании</w:t>
      </w:r>
      <w:r w:rsidRPr="004714B9">
        <w:rPr>
          <w:rFonts w:ascii="Arial" w:hAnsi="Arial" w:cs="Arial"/>
          <w:sz w:val="22"/>
          <w:szCs w:val="22"/>
        </w:rPr>
        <w:t xml:space="preserve">, состоявшемся 13 июня 2022 г. В общей сложности в работе группы, проходившей под руководством заместителя председателя МОК Карима </w:t>
      </w:r>
      <w:proofErr w:type="spellStart"/>
      <w:r w:rsidRPr="004714B9">
        <w:rPr>
          <w:rFonts w:ascii="Arial" w:hAnsi="Arial" w:cs="Arial"/>
          <w:sz w:val="22"/>
          <w:szCs w:val="22"/>
        </w:rPr>
        <w:t>Хильми</w:t>
      </w:r>
      <w:proofErr w:type="spellEnd"/>
      <w:r w:rsidRPr="004714B9">
        <w:rPr>
          <w:rFonts w:ascii="Arial" w:hAnsi="Arial" w:cs="Arial"/>
          <w:sz w:val="22"/>
          <w:szCs w:val="22"/>
        </w:rPr>
        <w:t xml:space="preserve"> (Марокко), приняли участие восемнадцать (18) государств-членов: Аргентина, Австралия, Бангладеш, Бельгия, Бенин, Египет, Германия, Гренада, Канада, Китай, Кувейт, Норвегия, Португалия, Российская Федерация, Соединенное Королевство, Соединенные Штаты Америки, Турция и Япония.</w:t>
      </w:r>
    </w:p>
    <w:p w14:paraId="795781CD" w14:textId="45BFD6E8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Сосредоточившись в соответствии с поручением 31-й сессии Ассамблеи МОК на вопросах, </w:t>
      </w:r>
      <w:r w:rsidR="004714B9">
        <w:rPr>
          <w:rFonts w:ascii="Arial" w:hAnsi="Arial" w:cs="Arial"/>
          <w:sz w:val="22"/>
          <w:szCs w:val="22"/>
        </w:rPr>
        <w:t>рассматриваемых</w:t>
      </w:r>
      <w:r w:rsidRPr="004714B9">
        <w:rPr>
          <w:rFonts w:ascii="Arial" w:hAnsi="Arial" w:cs="Arial"/>
          <w:sz w:val="22"/>
          <w:szCs w:val="22"/>
        </w:rPr>
        <w:t xml:space="preserve"> в резолюции МОК A-31/2, и руководствуясь Кругом ведения </w:t>
      </w:r>
      <w:r w:rsidR="004714B9" w:rsidRPr="004714B9">
        <w:rPr>
          <w:rFonts w:ascii="Arial" w:hAnsi="Arial" w:cs="Arial"/>
          <w:sz w:val="22"/>
          <w:szCs w:val="22"/>
        </w:rPr>
        <w:t xml:space="preserve">МФКГ </w:t>
      </w:r>
      <w:r w:rsidRPr="004714B9">
        <w:rPr>
          <w:rFonts w:ascii="Arial" w:hAnsi="Arial" w:cs="Arial"/>
          <w:sz w:val="22"/>
          <w:szCs w:val="22"/>
        </w:rPr>
        <w:t>(см. приложение 2 к резолюции МОК XXVIII-3)</w:t>
      </w:r>
      <w:r w:rsidR="004714B9">
        <w:rPr>
          <w:rFonts w:ascii="Arial" w:hAnsi="Arial" w:cs="Arial"/>
          <w:sz w:val="22"/>
          <w:szCs w:val="22"/>
        </w:rPr>
        <w:t>, группа</w:t>
      </w:r>
      <w:r w:rsidRPr="004714B9">
        <w:rPr>
          <w:rFonts w:ascii="Arial" w:hAnsi="Arial" w:cs="Arial"/>
          <w:sz w:val="22"/>
          <w:szCs w:val="22"/>
        </w:rPr>
        <w:t xml:space="preserve"> уделила основное внимание обсуждению трех следующих тем:</w:t>
      </w:r>
    </w:p>
    <w:p w14:paraId="1771F25A" w14:textId="1D6E8BEA" w:rsidR="006B18B7" w:rsidRPr="004714B9" w:rsidRDefault="004714B9" w:rsidP="008913FD">
      <w:pPr>
        <w:pStyle w:val="ListParagraph"/>
        <w:numPr>
          <w:ilvl w:val="0"/>
          <w:numId w:val="30"/>
        </w:numPr>
        <w:tabs>
          <w:tab w:val="clear" w:pos="567"/>
        </w:tabs>
        <w:adjustRightInd w:val="0"/>
        <w:spacing w:after="240"/>
        <w:ind w:left="1418"/>
        <w:contextualSpacing w:val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</w:t>
      </w:r>
      <w:r w:rsidR="006B18B7" w:rsidRPr="004714B9">
        <w:rPr>
          <w:rFonts w:ascii="Arial" w:hAnsi="Arial" w:cs="Arial"/>
          <w:b/>
          <w:sz w:val="22"/>
          <w:szCs w:val="22"/>
        </w:rPr>
        <w:t>сполнение бюджета 2020-2021 гг. по состоянию на 31 декабря 2021 г.; определение общей структуры комплексного бюджета на 2022-2023 гг.; финансовое положение специального счета МОК по состоянию на конец 2021 г. и прогноз на 2022-2023 гг.</w:t>
      </w:r>
    </w:p>
    <w:p w14:paraId="0281635A" w14:textId="2AA0F7B9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231F20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В связи с этим группой были рассмотрены документы </w:t>
      </w:r>
      <w:hyperlink r:id="rId10" w:history="1">
        <w:r w:rsidRPr="004714B9">
          <w:rPr>
            <w:rStyle w:val="Hyperlink"/>
            <w:rFonts w:ascii="Arial" w:hAnsi="Arial" w:cs="Arial"/>
            <w:sz w:val="22"/>
            <w:szCs w:val="22"/>
          </w:rPr>
          <w:t>IOC/EC-55/3.1.Doc(1)</w:t>
        </w:r>
      </w:hyperlink>
      <w:r w:rsidRPr="004714B9">
        <w:rPr>
          <w:rFonts w:ascii="Arial" w:hAnsi="Arial" w:cs="Arial"/>
          <w:sz w:val="22"/>
          <w:szCs w:val="22"/>
        </w:rPr>
        <w:t xml:space="preserve"> и </w:t>
      </w:r>
      <w:hyperlink r:id="rId11" w:history="1">
        <w:r w:rsidRPr="004714B9">
          <w:rPr>
            <w:rStyle w:val="Hyperlink"/>
            <w:rFonts w:ascii="Arial" w:hAnsi="Arial" w:cs="Arial"/>
            <w:sz w:val="22"/>
            <w:szCs w:val="22"/>
          </w:rPr>
          <w:t>IOC/EC</w:t>
        </w:r>
        <w:r w:rsidR="00A12058">
          <w:rPr>
            <w:rStyle w:val="Hyperlink"/>
            <w:rFonts w:ascii="Arial" w:hAnsi="Arial" w:cs="Arial"/>
            <w:sz w:val="22"/>
            <w:szCs w:val="22"/>
          </w:rPr>
          <w:noBreakHyphen/>
        </w:r>
        <w:r w:rsidRPr="004714B9">
          <w:rPr>
            <w:rStyle w:val="Hyperlink"/>
            <w:rFonts w:ascii="Arial" w:hAnsi="Arial" w:cs="Arial"/>
            <w:sz w:val="22"/>
            <w:szCs w:val="22"/>
          </w:rPr>
          <w:t>55/3.1.Doc(2)</w:t>
        </w:r>
      </w:hyperlink>
      <w:r w:rsidRPr="004714B9">
        <w:rPr>
          <w:rFonts w:ascii="Arial" w:hAnsi="Arial" w:cs="Arial"/>
          <w:sz w:val="22"/>
          <w:szCs w:val="22"/>
        </w:rPr>
        <w:t>.</w:t>
      </w:r>
      <w:r w:rsidRPr="004714B9">
        <w:rPr>
          <w:rFonts w:ascii="Arial" w:hAnsi="Arial" w:cs="Arial"/>
          <w:color w:val="231F20"/>
          <w:sz w:val="22"/>
          <w:szCs w:val="22"/>
        </w:rPr>
        <w:t xml:space="preserve"> МФКГ выразила удовлетворение общими показателями исполнения бюджета двухлетнего периода 2020-2021 гг., в особенности 100</w:t>
      </w:r>
      <w:r w:rsidR="004714B9">
        <w:rPr>
          <w:rFonts w:ascii="Arial" w:hAnsi="Arial" w:cs="Arial"/>
          <w:color w:val="231F20"/>
          <w:sz w:val="22"/>
          <w:szCs w:val="22"/>
        </w:rPr>
        <w:t xml:space="preserve">-процентным </w:t>
      </w:r>
      <w:r w:rsidRPr="004714B9">
        <w:rPr>
          <w:rFonts w:ascii="Arial" w:hAnsi="Arial" w:cs="Arial"/>
          <w:color w:val="231F20"/>
          <w:sz w:val="22"/>
          <w:szCs w:val="22"/>
        </w:rPr>
        <w:t>показателем освоения бюджетных средств по линии обычной программы. На своей 31-й сессии в июне 2021 г. Ассамблея МОК отметила несколько более низкие, чем обычно, показатели освоения бюджетных средств в первый год двухлетнего периода</w:t>
      </w:r>
      <w:r w:rsidR="004714B9">
        <w:rPr>
          <w:rFonts w:ascii="Arial" w:hAnsi="Arial" w:cs="Arial"/>
          <w:color w:val="231F20"/>
          <w:sz w:val="22"/>
          <w:szCs w:val="22"/>
        </w:rPr>
        <w:t xml:space="preserve">, что </w:t>
      </w:r>
      <w:r w:rsidR="0066673A">
        <w:rPr>
          <w:rFonts w:ascii="Arial" w:hAnsi="Arial" w:cs="Arial"/>
          <w:color w:val="231F20"/>
          <w:sz w:val="22"/>
          <w:szCs w:val="22"/>
        </w:rPr>
        <w:t>было вызвано</w:t>
      </w:r>
      <w:r w:rsidR="004714B9">
        <w:rPr>
          <w:rFonts w:ascii="Arial" w:hAnsi="Arial" w:cs="Arial"/>
          <w:color w:val="231F20"/>
          <w:sz w:val="22"/>
          <w:szCs w:val="22"/>
        </w:rPr>
        <w:t xml:space="preserve"> </w:t>
      </w:r>
      <w:r w:rsidR="0066673A">
        <w:rPr>
          <w:rFonts w:ascii="Arial" w:hAnsi="Arial" w:cs="Arial"/>
          <w:color w:val="231F20"/>
          <w:sz w:val="22"/>
          <w:szCs w:val="22"/>
        </w:rPr>
        <w:t xml:space="preserve">работой в </w:t>
      </w:r>
      <w:r w:rsidR="004714B9">
        <w:rPr>
          <w:rFonts w:ascii="Arial" w:hAnsi="Arial" w:cs="Arial"/>
          <w:color w:val="231F20"/>
          <w:sz w:val="22"/>
          <w:szCs w:val="22"/>
        </w:rPr>
        <w:t>условия</w:t>
      </w:r>
      <w:r w:rsidR="0066673A">
        <w:rPr>
          <w:rFonts w:ascii="Arial" w:hAnsi="Arial" w:cs="Arial"/>
          <w:color w:val="231F20"/>
          <w:sz w:val="22"/>
          <w:szCs w:val="22"/>
        </w:rPr>
        <w:t>х</w:t>
      </w:r>
      <w:r w:rsidRPr="004714B9">
        <w:rPr>
          <w:rFonts w:ascii="Arial" w:hAnsi="Arial" w:cs="Arial"/>
          <w:color w:val="231F20"/>
          <w:sz w:val="22"/>
          <w:szCs w:val="22"/>
        </w:rPr>
        <w:t xml:space="preserve"> пандемии COVID-19. Тем не менее, в соответствии с обязательствами, взятыми на себя Исполнительным секретарем, Секретариат МОК сумел к концу 2021 г. полностью </w:t>
      </w:r>
      <w:r w:rsidR="0066673A">
        <w:rPr>
          <w:rFonts w:ascii="Arial" w:hAnsi="Arial" w:cs="Arial"/>
          <w:color w:val="231F20"/>
          <w:sz w:val="22"/>
          <w:szCs w:val="22"/>
        </w:rPr>
        <w:t>выполнить</w:t>
      </w:r>
      <w:r w:rsidRPr="004714B9">
        <w:rPr>
          <w:rFonts w:ascii="Arial" w:hAnsi="Arial" w:cs="Arial"/>
          <w:color w:val="231F20"/>
          <w:sz w:val="22"/>
          <w:szCs w:val="22"/>
        </w:rPr>
        <w:t xml:space="preserve"> двухлетний план работы.</w:t>
      </w:r>
    </w:p>
    <w:p w14:paraId="014B554F" w14:textId="596317FD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231F20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Группа отметила также, что установленные на двухлетний период 2020-2021 гг. плановые показатели привлечения внебюджетных средств были выполнены на 92%. При этом был отмечен существенный разброс показателей результативности этой работы на разных функциональных направлениях деятельности Комиссии.</w:t>
      </w:r>
      <w:r w:rsidRPr="004714B9">
        <w:rPr>
          <w:rFonts w:ascii="Arial" w:hAnsi="Arial" w:cs="Arial"/>
          <w:color w:val="231F20"/>
          <w:sz w:val="22"/>
          <w:szCs w:val="22"/>
        </w:rPr>
        <w:t xml:space="preserve"> МФКГ выразила признательность всем государствам-членам, оказавшим Комиссии финансовую поддержку в 2020-2021 гг., и отметила заключение ряда новых перспективных партнерских соглашений, а также возросший уровень инвестиций в развитие потенциала.</w:t>
      </w:r>
    </w:p>
    <w:p w14:paraId="212A5403" w14:textId="2D285686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231F20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Группа выразила удовлетворение комплексным бюджетом на 2022-2023 гг., который был утвержден Генеральной конференцией ЮНЕСКО на ее 41-й сессии после рассмотрения Ассамблеей МОК </w:t>
      </w:r>
      <w:hyperlink r:id="rId12" w:history="1">
        <w:r w:rsidRPr="004714B9">
          <w:rPr>
            <w:rStyle w:val="Hyperlink"/>
            <w:rFonts w:ascii="Arial" w:hAnsi="Arial" w:cs="Arial"/>
            <w:sz w:val="22"/>
            <w:szCs w:val="22"/>
          </w:rPr>
          <w:t>(документ IOC/A-31/4.2.Doc)</w:t>
        </w:r>
      </w:hyperlink>
      <w:r w:rsidRPr="004714B9">
        <w:rPr>
          <w:rFonts w:ascii="Arial" w:hAnsi="Arial" w:cs="Arial"/>
          <w:sz w:val="22"/>
          <w:szCs w:val="22"/>
        </w:rPr>
        <w:t xml:space="preserve"> и последующего утверждения в ее резолюции</w:t>
      </w:r>
      <w:r w:rsidR="00A12058">
        <w:rPr>
          <w:rFonts w:ascii="Arial" w:hAnsi="Arial" w:cs="Arial"/>
          <w:sz w:val="22"/>
          <w:szCs w:val="22"/>
          <w:lang w:val="en-US"/>
        </w:rPr>
        <w:t> </w:t>
      </w:r>
      <w:r w:rsidRPr="004714B9">
        <w:rPr>
          <w:rFonts w:ascii="Arial" w:hAnsi="Arial" w:cs="Arial"/>
          <w:sz w:val="22"/>
          <w:szCs w:val="22"/>
        </w:rPr>
        <w:t>A-31/2.</w:t>
      </w:r>
    </w:p>
    <w:p w14:paraId="75F6AC11" w14:textId="69B79331" w:rsidR="006B18B7" w:rsidRPr="004714B9" w:rsidRDefault="0066673A" w:rsidP="008913FD">
      <w:pPr>
        <w:pStyle w:val="ListParagraph"/>
        <w:numPr>
          <w:ilvl w:val="0"/>
          <w:numId w:val="30"/>
        </w:numPr>
        <w:tabs>
          <w:tab w:val="clear" w:pos="567"/>
        </w:tabs>
        <w:adjustRightInd w:val="0"/>
        <w:spacing w:after="240"/>
        <w:ind w:left="1418"/>
        <w:contextualSpacing w:val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>Пересмотр</w:t>
      </w:r>
      <w:r w:rsidR="006B18B7" w:rsidRPr="004714B9">
        <w:rPr>
          <w:rFonts w:ascii="Arial" w:hAnsi="Arial" w:cs="Arial"/>
          <w:b/>
          <w:color w:val="231F20"/>
          <w:sz w:val="22"/>
          <w:szCs w:val="22"/>
        </w:rPr>
        <w:t xml:space="preserve"> Правил процедуры МОК</w:t>
      </w:r>
    </w:p>
    <w:p w14:paraId="4B91A13F" w14:textId="2C871FBD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На своей 31-й сессии в 2021 г. Ассамблея приняла резолюцию А-31/2, в которой просила </w:t>
      </w:r>
      <w:r w:rsidRPr="004714B9">
        <w:rPr>
          <w:rFonts w:ascii="Arial" w:hAnsi="Arial" w:cs="Arial"/>
          <w:i/>
          <w:sz w:val="22"/>
          <w:szCs w:val="22"/>
        </w:rPr>
        <w:t>«Исполнительного секретаря МОК в сотрудничестве с юрисконсультом ЮНЕСКО и МФКГ подготовить предварительное предложение о пересмотре отдельно Правил процедуры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Ассамблеи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МОК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и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Правил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процедуры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Исполнительного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совета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МОК</w:t>
      </w:r>
      <w:r w:rsidR="004714B9">
        <w:rPr>
          <w:rFonts w:ascii="Arial" w:hAnsi="Arial" w:cs="Arial"/>
          <w:i/>
          <w:sz w:val="22"/>
          <w:szCs w:val="22"/>
        </w:rPr>
        <w:t xml:space="preserve"> </w:t>
      </w:r>
      <w:r w:rsidRPr="004714B9">
        <w:rPr>
          <w:rFonts w:ascii="Arial" w:hAnsi="Arial" w:cs="Arial"/>
          <w:i/>
          <w:sz w:val="22"/>
          <w:szCs w:val="22"/>
        </w:rPr>
        <w:t>с внесением необходимых разъяснений и согласованием текстов на различных языках для рассмотрения и утверждения этими двумя органами»</w:t>
      </w:r>
      <w:r w:rsidRPr="004714B9">
        <w:rPr>
          <w:rFonts w:ascii="Arial" w:hAnsi="Arial" w:cs="Arial"/>
          <w:sz w:val="22"/>
          <w:szCs w:val="22"/>
        </w:rPr>
        <w:t>.</w:t>
      </w:r>
    </w:p>
    <w:p w14:paraId="58DBADB3" w14:textId="6A3323BA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lastRenderedPageBreak/>
        <w:t xml:space="preserve">В соответствии с </w:t>
      </w:r>
      <w:r w:rsidR="0066673A">
        <w:rPr>
          <w:rFonts w:ascii="Arial" w:hAnsi="Arial" w:cs="Arial"/>
          <w:sz w:val="22"/>
          <w:szCs w:val="22"/>
        </w:rPr>
        <w:t>указанной</w:t>
      </w:r>
      <w:r w:rsidRPr="004714B9">
        <w:rPr>
          <w:rFonts w:ascii="Arial" w:hAnsi="Arial" w:cs="Arial"/>
          <w:sz w:val="22"/>
          <w:szCs w:val="22"/>
        </w:rPr>
        <w:t xml:space="preserve"> резолюцией Секретариат в консультации с бюро ЮНЕСКО по правовым вопросам поручил компетентному юридическому консультанту провести предварительный анализ целесообразности и потенциальных сложностей, связанных с разработкой отдельных сводов Правил процедуры для Ассамблеи МОК и Исполнительного совета МОК. Результаты проведенного анализа были представлены должностным лицам МОК в ходе их ежегодного совещания, организованного 14-17 января 2022 г., и доведены председателем Межсессионной финансовой консультативной группы до сведения участников МФКГ в его электронном </w:t>
      </w:r>
      <w:r w:rsidR="0066673A">
        <w:rPr>
          <w:rFonts w:ascii="Arial" w:hAnsi="Arial" w:cs="Arial"/>
          <w:sz w:val="22"/>
          <w:szCs w:val="22"/>
        </w:rPr>
        <w:t>письме</w:t>
      </w:r>
      <w:r w:rsidRPr="004714B9">
        <w:rPr>
          <w:rFonts w:ascii="Arial" w:hAnsi="Arial" w:cs="Arial"/>
          <w:sz w:val="22"/>
          <w:szCs w:val="22"/>
        </w:rPr>
        <w:t xml:space="preserve"> от 14 апреля 2022 г. (см. </w:t>
      </w:r>
      <w:hyperlink r:id="rId13" w:history="1">
        <w:r w:rsidRPr="004714B9">
          <w:rPr>
            <w:rStyle w:val="Hyperlink"/>
            <w:rFonts w:ascii="Arial" w:hAnsi="Arial" w:cs="Arial"/>
            <w:sz w:val="22"/>
            <w:szCs w:val="22"/>
          </w:rPr>
          <w:t>Рабочая записка МФКГ № 2</w:t>
        </w:r>
      </w:hyperlink>
      <w:r w:rsidRPr="004714B9">
        <w:rPr>
          <w:rFonts w:ascii="Arial" w:hAnsi="Arial" w:cs="Arial"/>
          <w:sz w:val="22"/>
          <w:szCs w:val="22"/>
        </w:rPr>
        <w:t>).</w:t>
      </w:r>
    </w:p>
    <w:p w14:paraId="64EE4951" w14:textId="77777777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Основной вывод по итогам анализа состоит в том, что несмотря на отсутствие видимых препятствий, которые делали бы невозможной подготовку упомянутых отдельных сводов правил процедуры, эта работа является более сложной, чем может показаться на первый взгляд.</w:t>
      </w:r>
    </w:p>
    <w:p w14:paraId="4B1CB7B8" w14:textId="6AC631F7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Во-первых, требуется провести оценку на предмет соответствия такой раздельной подготовки уставным ограничениям. Согласно </w:t>
      </w:r>
      <w:r w:rsidR="0066673A">
        <w:rPr>
          <w:rFonts w:ascii="Arial" w:hAnsi="Arial" w:cs="Arial"/>
          <w:sz w:val="22"/>
          <w:szCs w:val="22"/>
        </w:rPr>
        <w:t xml:space="preserve">положениям </w:t>
      </w:r>
      <w:r w:rsidRPr="004714B9">
        <w:rPr>
          <w:rFonts w:ascii="Arial" w:hAnsi="Arial" w:cs="Arial"/>
          <w:sz w:val="22"/>
          <w:szCs w:val="22"/>
        </w:rPr>
        <w:t>статьи 6.B.3 Пересмотренного Устава МОК, принятого Генеральной конференцией ЮНЕСКО 16 ноября 1999 г. в резолюции 30 C/22: «Ассамблея устанавливает Правила процедуры Комиссии».</w:t>
      </w:r>
    </w:p>
    <w:p w14:paraId="2F372E3B" w14:textId="77777777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Во-вторых, это предполагает необходимость внимательного учета существующих положений Правил процедуры, в разной степени применимых к Ассамблее и Исполнительному совету.</w:t>
      </w:r>
    </w:p>
    <w:p w14:paraId="47AAE697" w14:textId="0566A1D3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В-третьих, в выводах анализа было подтверждено, что нынешние Правила процедуры Комиссии грешат явной несогласованностью языковых версий, на что было указано в докладе председателя МФКГ, представленном </w:t>
      </w:r>
      <w:r w:rsidR="0066673A">
        <w:rPr>
          <w:rFonts w:ascii="Arial" w:hAnsi="Arial" w:cs="Arial"/>
          <w:sz w:val="22"/>
          <w:szCs w:val="22"/>
        </w:rPr>
        <w:t xml:space="preserve">в ходе </w:t>
      </w:r>
      <w:r w:rsidRPr="004714B9">
        <w:rPr>
          <w:rFonts w:ascii="Arial" w:hAnsi="Arial" w:cs="Arial"/>
          <w:sz w:val="22"/>
          <w:szCs w:val="22"/>
        </w:rPr>
        <w:t>31-й сессии Ассамблеи (</w:t>
      </w:r>
      <w:hyperlink r:id="rId14" w:history="1">
        <w:r w:rsidRPr="004714B9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IOC/A-31/4.3.Doc</w:t>
        </w:r>
      </w:hyperlink>
      <w:r w:rsidRPr="004714B9">
        <w:rPr>
          <w:rFonts w:ascii="Arial" w:hAnsi="Arial" w:cs="Arial"/>
          <w:sz w:val="22"/>
          <w:szCs w:val="22"/>
        </w:rPr>
        <w:t>). Между английской и французской версиями действующих Правил существуют очевидные расхождения, что может вызывать серьезные сложности в плане толкования и применения соответствующих положений.</w:t>
      </w:r>
    </w:p>
    <w:p w14:paraId="45D2E9F5" w14:textId="77777777" w:rsidR="000A569C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В связи с этим разделение действующих Правил процедуры на два свода правил, применимых соответственно к Ассамблее и Исполнительному совету, возможно только на основе четкого определения объекта и цели действующих положений.</w:t>
      </w:r>
    </w:p>
    <w:p w14:paraId="7F271EE7" w14:textId="7324C6E9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По причинам, изложенным выше, документ (</w:t>
      </w:r>
      <w:hyperlink r:id="rId15" w:history="1">
        <w:r w:rsidRPr="004714B9">
          <w:rPr>
            <w:rStyle w:val="Hyperlink"/>
            <w:rFonts w:ascii="Arial" w:hAnsi="Arial" w:cs="Arial"/>
            <w:iCs/>
            <w:sz w:val="22"/>
            <w:szCs w:val="22"/>
          </w:rPr>
          <w:t>IOC/EC-55/5.1.Doc(1)</w:t>
        </w:r>
      </w:hyperlink>
      <w:r w:rsidRPr="004714B9">
        <w:rPr>
          <w:rFonts w:ascii="Arial" w:hAnsi="Arial" w:cs="Arial"/>
          <w:sz w:val="22"/>
          <w:szCs w:val="22"/>
        </w:rPr>
        <w:t>), представленный на рассмотрение Исполнительного совета, был подготовлен на основе предложения</w:t>
      </w:r>
      <w:r w:rsidR="00505E80" w:rsidRPr="00505E80">
        <w:rPr>
          <w:rFonts w:ascii="Arial" w:hAnsi="Arial" w:cs="Arial"/>
          <w:sz w:val="22"/>
          <w:szCs w:val="22"/>
        </w:rPr>
        <w:t>:</w:t>
      </w:r>
    </w:p>
    <w:p w14:paraId="1AD98911" w14:textId="77777777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воздержаться от запуска процедуры внесения поправок в Устав МОК;</w:t>
      </w:r>
    </w:p>
    <w:p w14:paraId="266C227A" w14:textId="77777777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в соответствии со статьей 6.B.3 Устава сохранить единый свод Правил процедуры Комиссии, который должен быть официально определен Ассамблеей;</w:t>
      </w:r>
    </w:p>
    <w:p w14:paraId="3726C867" w14:textId="77777777" w:rsidR="000A569C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пересмотреть действующие Правила процедуры, разграничив общие статьи, применимые и к Ассамблее, и к Исполнительному совету, и статьи, применимые только к одному из этих органов;</w:t>
      </w:r>
    </w:p>
    <w:p w14:paraId="4E1D64D9" w14:textId="77777777" w:rsidR="000A569C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пересмотреть статьи 55 и 56 с целью признания и уточнения полномочий Исполнительного совета вносить поправки в статьи, касающиеся его организации и функционирования, или приостанавливать их действие.</w:t>
      </w:r>
    </w:p>
    <w:p w14:paraId="44357B90" w14:textId="3DB861CB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napToGrid/>
          <w:color w:val="000000" w:themeColor="text1"/>
          <w:sz w:val="22"/>
          <w:szCs w:val="22"/>
        </w:rPr>
      </w:pPr>
      <w:r w:rsidRPr="004714B9">
        <w:rPr>
          <w:rFonts w:ascii="Arial" w:hAnsi="Arial" w:cs="Arial"/>
          <w:color w:val="000000" w:themeColor="text1"/>
          <w:sz w:val="22"/>
          <w:szCs w:val="22"/>
        </w:rPr>
        <w:t>Члены МФКГ выразили удовлетворение представленным в документе</w:t>
      </w:r>
      <w:r w:rsidR="00A12058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Pr="004714B9">
        <w:rPr>
          <w:rFonts w:ascii="Arial" w:hAnsi="Arial" w:cs="Arial"/>
          <w:color w:val="000000" w:themeColor="text1"/>
          <w:sz w:val="22"/>
          <w:szCs w:val="22"/>
        </w:rPr>
        <w:t>IOC/EC</w:t>
      </w:r>
      <w:r w:rsidR="00A12058">
        <w:rPr>
          <w:rFonts w:ascii="Arial" w:hAnsi="Arial" w:cs="Arial"/>
          <w:color w:val="000000" w:themeColor="text1"/>
          <w:sz w:val="22"/>
          <w:szCs w:val="22"/>
        </w:rPr>
        <w:noBreakHyphen/>
      </w:r>
      <w:r w:rsidRPr="004714B9">
        <w:rPr>
          <w:rFonts w:ascii="Arial" w:hAnsi="Arial" w:cs="Arial"/>
          <w:color w:val="000000" w:themeColor="text1"/>
          <w:sz w:val="22"/>
          <w:szCs w:val="22"/>
        </w:rPr>
        <w:t xml:space="preserve">55/5.1Doc(1) предложением Секретариата, охарактеризовав его как «взвешенный первоначальный подход». Как подчеркнул председатель МФКГ в своем информационном письме от 6 июня 2022 г., указанный подход отличается от </w:t>
      </w:r>
      <w:proofErr w:type="spellStart"/>
      <w:r w:rsidRPr="004714B9">
        <w:rPr>
          <w:rFonts w:ascii="Arial" w:hAnsi="Arial" w:cs="Arial"/>
          <w:color w:val="000000" w:themeColor="text1"/>
          <w:sz w:val="22"/>
          <w:szCs w:val="22"/>
        </w:rPr>
        <w:t>обсуждавшегося</w:t>
      </w:r>
      <w:proofErr w:type="spellEnd"/>
      <w:r w:rsidRPr="004714B9">
        <w:rPr>
          <w:rFonts w:ascii="Arial" w:hAnsi="Arial" w:cs="Arial"/>
          <w:color w:val="000000" w:themeColor="text1"/>
          <w:sz w:val="22"/>
          <w:szCs w:val="22"/>
        </w:rPr>
        <w:t xml:space="preserve"> в ходе 31-й сессии Ассамблеи лишь тем, что предусматривает сохранение единого свода правил, который должен быть утвержден Ассамблеей МОК в 2023 г. (таким образом, отпадает необходимость в проведении в 2023 г. внеочередной сессии Исполнительного совета).</w:t>
      </w:r>
    </w:p>
    <w:p w14:paraId="52D2210C" w14:textId="77777777" w:rsidR="006B18B7" w:rsidRPr="0066673A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673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Он в полной мере учитывает желание государств-членов воздержаться от любого субстантивного пересмотра Правил в виде их </w:t>
      </w:r>
      <w:proofErr w:type="spellStart"/>
      <w:r w:rsidRPr="0066673A">
        <w:rPr>
          <w:rFonts w:ascii="Arial" w:hAnsi="Arial" w:cs="Arial"/>
          <w:color w:val="000000" w:themeColor="text1"/>
          <w:sz w:val="22"/>
          <w:szCs w:val="22"/>
        </w:rPr>
        <w:t>переформулирования</w:t>
      </w:r>
      <w:proofErr w:type="spellEnd"/>
      <w:r w:rsidRPr="0066673A">
        <w:rPr>
          <w:rFonts w:ascii="Arial" w:hAnsi="Arial" w:cs="Arial"/>
          <w:color w:val="000000" w:themeColor="text1"/>
          <w:sz w:val="22"/>
          <w:szCs w:val="22"/>
        </w:rPr>
        <w:t xml:space="preserve"> вместо реального их пересмотра, и предлагает лишь минимальные поправки к статьям 55 и 56, направленные на то, чтобы обеспечить максимально эффективное функционирование Исполнительного совета.</w:t>
      </w:r>
    </w:p>
    <w:p w14:paraId="624AAC1D" w14:textId="44234973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66673A">
        <w:rPr>
          <w:rFonts w:ascii="Arial" w:hAnsi="Arial" w:cs="Arial"/>
          <w:sz w:val="22"/>
          <w:szCs w:val="22"/>
        </w:rPr>
        <w:t xml:space="preserve">Группа рассмотрела также приложение к документу IOC/EC-55/5.1Doc(1), в котором содержится не исчерпывающий список замечаний специалистов по правовым вопросам, указавших на случаи, когда государствам-членам можно было бы предложить рассмотреть возможность внесения дополнительных разъяснений, что требует более глубокого </w:t>
      </w:r>
      <w:r w:rsidR="00DF69FE">
        <w:rPr>
          <w:rFonts w:ascii="Arial" w:hAnsi="Arial" w:cs="Arial"/>
          <w:sz w:val="22"/>
          <w:szCs w:val="22"/>
        </w:rPr>
        <w:t>анализа</w:t>
      </w:r>
      <w:r w:rsidRPr="0066673A">
        <w:rPr>
          <w:rFonts w:ascii="Arial" w:hAnsi="Arial" w:cs="Arial"/>
          <w:sz w:val="22"/>
          <w:szCs w:val="22"/>
        </w:rPr>
        <w:t xml:space="preserve"> Правил.</w:t>
      </w:r>
      <w:r w:rsidRPr="0066673A">
        <w:rPr>
          <w:rFonts w:ascii="Arial" w:hAnsi="Arial" w:cs="Arial"/>
          <w:iCs/>
          <w:sz w:val="22"/>
          <w:szCs w:val="22"/>
        </w:rPr>
        <w:t xml:space="preserve"> </w:t>
      </w:r>
      <w:r w:rsidRPr="0066673A">
        <w:rPr>
          <w:rFonts w:ascii="Arial" w:hAnsi="Arial" w:cs="Arial"/>
          <w:sz w:val="22"/>
          <w:szCs w:val="22"/>
        </w:rPr>
        <w:t>Состоявшееся 13 июня очное</w:t>
      </w:r>
      <w:r w:rsidRPr="004714B9">
        <w:rPr>
          <w:rFonts w:ascii="Arial" w:hAnsi="Arial" w:cs="Arial"/>
          <w:sz w:val="22"/>
          <w:szCs w:val="22"/>
        </w:rPr>
        <w:t xml:space="preserve"> совещание позволило рассмотреть поочередно все содержащиеся в приложении статьи Правил с учетом представленных замечаний, а также предложений в отношении возможных улучшений, что повысило готовность к обсуждению данного вопроса в ходе сессии.</w:t>
      </w:r>
    </w:p>
    <w:p w14:paraId="65B9BDCF" w14:textId="42B425AD" w:rsidR="006B18B7" w:rsidRPr="004714B9" w:rsidRDefault="004D5102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napToGrid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Таким образом, дискуссия в Исполнительном совете должна быть сфокусирована на следующих аспектах:</w:t>
      </w:r>
    </w:p>
    <w:p w14:paraId="21B38FE8" w14:textId="77777777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определить, является ли предложенный подход приемлемым для государств-членов;</w:t>
      </w:r>
    </w:p>
    <w:p w14:paraId="596C2E71" w14:textId="77777777" w:rsidR="000A569C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решить, следует ли Секретариату продолжать пересмотр Правил, с тем чтобы обеспечить большую их ясность и согласованность в соответствии с рекомендациями группы юристов;</w:t>
      </w:r>
    </w:p>
    <w:p w14:paraId="43912D3F" w14:textId="58B2AB8D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возможно, указать ряд областей/вопросов, требующих приоритетного внимания, и/или добавить ряд конкретных рекомендаций.</w:t>
      </w:r>
    </w:p>
    <w:p w14:paraId="6BCF0261" w14:textId="1DDCB2CC" w:rsidR="004D5102" w:rsidRPr="004714B9" w:rsidRDefault="004D5102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Что касается двух последних из вышеупомянутых аспектов, то группа согласовала несколько предварительных замечаний, а именно:</w:t>
      </w:r>
    </w:p>
    <w:p w14:paraId="59878457" w14:textId="04412120" w:rsidR="004D5102" w:rsidRPr="004714B9" w:rsidRDefault="00A136A4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добиваясь большей ясности и согласованности языковых версий, сосредоточиться на исправлении только того, что нуждается в исправлении;</w:t>
      </w:r>
    </w:p>
    <w:p w14:paraId="66BD2E8D" w14:textId="51A07608" w:rsidR="00A136A4" w:rsidRPr="004714B9" w:rsidRDefault="00A136A4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разработать руководящие принципы проведения заочных консультаций, применимые как к Ассамблее, так и к Исполнительному совету, на основе преобладающих передовых методов и накопленного ЮНЕСКО опыта;</w:t>
      </w:r>
    </w:p>
    <w:p w14:paraId="1FDCFF9A" w14:textId="13DCED98" w:rsidR="00A136A4" w:rsidRPr="004714B9" w:rsidRDefault="00A136A4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включить в Правила положение о проведении онлайновых совещаний, но лишь в порядке исключения;</w:t>
      </w:r>
    </w:p>
    <w:p w14:paraId="0114FE7E" w14:textId="1D93AE26" w:rsidR="00A136A4" w:rsidRPr="004714B9" w:rsidRDefault="00A136A4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>представить Ассамблее вместе с пересмотренным проектом Правил проект руководящих принципов проведения совещаний в онлайновом формате.</w:t>
      </w:r>
    </w:p>
    <w:p w14:paraId="33819917" w14:textId="0B73B602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Секретариат будет руководствоваться этими положениями при подготовке предварительного окончательного варианта Правил, который будет представлен Ассамблее МОК для утверждения на ее 32-й сессии.</w:t>
      </w:r>
    </w:p>
    <w:p w14:paraId="65AF482C" w14:textId="77777777" w:rsidR="006B18B7" w:rsidRPr="004714B9" w:rsidRDefault="006B18B7" w:rsidP="008913FD">
      <w:pPr>
        <w:numPr>
          <w:ilvl w:val="0"/>
          <w:numId w:val="30"/>
        </w:numPr>
        <w:tabs>
          <w:tab w:val="clear" w:pos="567"/>
        </w:tabs>
        <w:adjustRightInd w:val="0"/>
        <w:spacing w:after="240"/>
        <w:ind w:left="1418"/>
        <w:rPr>
          <w:rFonts w:ascii="Arial" w:hAnsi="Arial" w:cs="Arial"/>
          <w:b/>
          <w:color w:val="231F20"/>
          <w:sz w:val="22"/>
          <w:szCs w:val="22"/>
        </w:rPr>
      </w:pPr>
      <w:r w:rsidRPr="004714B9">
        <w:rPr>
          <w:rFonts w:ascii="Arial" w:hAnsi="Arial" w:cs="Arial"/>
          <w:b/>
          <w:color w:val="231F20"/>
          <w:sz w:val="22"/>
          <w:szCs w:val="22"/>
        </w:rPr>
        <w:t>Отчетность в отношении взносов в натуральной форме</w:t>
      </w:r>
    </w:p>
    <w:p w14:paraId="4FC08C29" w14:textId="77777777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231F20"/>
          <w:sz w:val="22"/>
          <w:szCs w:val="22"/>
        </w:rPr>
      </w:pPr>
      <w:r w:rsidRPr="004714B9">
        <w:rPr>
          <w:rFonts w:ascii="Arial" w:hAnsi="Arial" w:cs="Arial"/>
          <w:color w:val="231F20"/>
          <w:sz w:val="22"/>
          <w:szCs w:val="22"/>
        </w:rPr>
        <w:t>В своей резолюции A-31/2 МОК предложила МФКГ «подготовить предложение по системному подходу к отчетности за взносы в натуральной форме и ее методологии в соответствии с обновленными Руководящими принципами подготовки программы и бюджета и статьей 10 Устава МОК для рассмотрения Ассамблеей МОК на ее 32-й сессии.</w:t>
      </w:r>
    </w:p>
    <w:p w14:paraId="678AD610" w14:textId="339FE1EC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231F20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lastRenderedPageBreak/>
        <w:t xml:space="preserve">Работа МФКГ в межсессионный период по данному вопросу была организована на основе </w:t>
      </w:r>
      <w:hyperlink r:id="rId16" w:history="1">
        <w:r w:rsidRPr="004714B9">
          <w:rPr>
            <w:rStyle w:val="Hyperlink"/>
            <w:rFonts w:ascii="Arial" w:hAnsi="Arial" w:cs="Arial"/>
            <w:sz w:val="22"/>
            <w:szCs w:val="22"/>
          </w:rPr>
          <w:t>Рабочей записки МФКГ № 1</w:t>
        </w:r>
      </w:hyperlink>
      <w:r w:rsidRPr="004714B9">
        <w:rPr>
          <w:rFonts w:ascii="Arial" w:hAnsi="Arial" w:cs="Arial"/>
          <w:sz w:val="22"/>
          <w:szCs w:val="22"/>
        </w:rPr>
        <w:t>.</w:t>
      </w:r>
      <w:r w:rsidRPr="004714B9">
        <w:rPr>
          <w:rFonts w:ascii="Arial" w:hAnsi="Arial" w:cs="Arial"/>
          <w:color w:val="231F20"/>
          <w:sz w:val="22"/>
          <w:szCs w:val="22"/>
        </w:rPr>
        <w:t xml:space="preserve"> Члены группы согласились с предложенным подходом, подчеркнув при этом следующее:</w:t>
      </w:r>
    </w:p>
    <w:p w14:paraId="2E7BE29E" w14:textId="77777777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предлагаемый более системный подход к отчетности в отношении взносов в натуральной форме приветствуется как более инклюзивный и справедливый;</w:t>
      </w:r>
    </w:p>
    <w:p w14:paraId="61B19CF7" w14:textId="29B5FDCE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 xml:space="preserve">помимо соответствия руководящим принципам, изложенным в </w:t>
      </w:r>
      <w:r w:rsidR="00DF69FE">
        <w:rPr>
          <w:rFonts w:ascii="Arial" w:hAnsi="Arial" w:cs="Arial"/>
          <w:iCs/>
          <w:sz w:val="22"/>
          <w:szCs w:val="22"/>
        </w:rPr>
        <w:t>вышеупомянутой р</w:t>
      </w:r>
      <w:r w:rsidRPr="004714B9">
        <w:rPr>
          <w:rFonts w:ascii="Arial" w:hAnsi="Arial" w:cs="Arial"/>
          <w:iCs/>
          <w:sz w:val="22"/>
          <w:szCs w:val="22"/>
        </w:rPr>
        <w:t>абочей записке, включаемые в отчетность взносы в натуральной форме должны быть настолько актуальны для МОК с точки зрения достижения ее целей, что в случае их отсутствия соответствующие расходы все равно были бы покрыты МОК за счет собственных бюджетных средств;</w:t>
      </w:r>
    </w:p>
    <w:p w14:paraId="6C65FCB5" w14:textId="70D5DB88" w:rsidR="00B70FDF" w:rsidRPr="00DF69FE" w:rsidRDefault="00B70FDF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4714B9">
        <w:rPr>
          <w:rFonts w:ascii="Arial" w:hAnsi="Arial" w:cs="Arial"/>
          <w:iCs/>
          <w:sz w:val="22"/>
          <w:szCs w:val="22"/>
        </w:rPr>
        <w:t xml:space="preserve">все виды расходов, осуществляемых на национальном уровне в связи с участием в программах, мероприятиях и т.п., в принципе не относятся к категории взносов в </w:t>
      </w:r>
      <w:r w:rsidRPr="00DF69FE">
        <w:rPr>
          <w:rFonts w:ascii="Arial" w:hAnsi="Arial" w:cs="Arial"/>
          <w:iCs/>
          <w:sz w:val="22"/>
          <w:szCs w:val="22"/>
        </w:rPr>
        <w:t>натуральной форме, если бенефициаром связанных с указанными расходами выгод является та же страна;</w:t>
      </w:r>
    </w:p>
    <w:p w14:paraId="75DF9A33" w14:textId="3AF93109" w:rsidR="006B18B7" w:rsidRPr="00DF69FE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DF69FE">
        <w:rPr>
          <w:rFonts w:ascii="Arial" w:hAnsi="Arial" w:cs="Arial"/>
          <w:iCs/>
          <w:sz w:val="22"/>
          <w:szCs w:val="22"/>
        </w:rPr>
        <w:t>добровольные (внебюджетные) взносы в денежной форме в поддержку бюджета МОК, которые Комиссия может использовать по своему усмотрению, четко отличаются от взносов в натуральной форме, когда МОК получает выгоду в виде стоимостного эквивалента такого взноса, в отличие от получения прямой выгоды при использовании собственных денежных средств;</w:t>
      </w:r>
    </w:p>
    <w:p w14:paraId="1E2B9B01" w14:textId="5F79F617" w:rsidR="006B18B7" w:rsidRPr="00DF69FE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DF69FE">
        <w:rPr>
          <w:rFonts w:ascii="Arial" w:hAnsi="Arial" w:cs="Arial"/>
          <w:iCs/>
          <w:sz w:val="22"/>
          <w:szCs w:val="22"/>
        </w:rPr>
        <w:t>стоимостная величина взноса в натуральной форме должна выражаться непосредственно в виде рыночной цены, т.е. объема затрат стороны, делающей взнос: именно в этом случае взнос будет на 100% соответствовать целям принимающей организации;</w:t>
      </w:r>
    </w:p>
    <w:p w14:paraId="09E62E3D" w14:textId="1E60E8AF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DF69FE">
        <w:rPr>
          <w:rFonts w:ascii="Arial" w:hAnsi="Arial" w:cs="Arial"/>
          <w:iCs/>
          <w:sz w:val="22"/>
          <w:szCs w:val="22"/>
        </w:rPr>
        <w:t>термин «</w:t>
      </w:r>
      <w:r w:rsidR="00DF69FE">
        <w:rPr>
          <w:rFonts w:ascii="Arial" w:hAnsi="Arial" w:cs="Arial"/>
          <w:iCs/>
          <w:sz w:val="22"/>
          <w:szCs w:val="22"/>
        </w:rPr>
        <w:t>участник</w:t>
      </w:r>
      <w:r w:rsidRPr="00DF69FE">
        <w:rPr>
          <w:rFonts w:ascii="Arial" w:hAnsi="Arial" w:cs="Arial"/>
          <w:iCs/>
          <w:sz w:val="22"/>
          <w:szCs w:val="22"/>
        </w:rPr>
        <w:t>» (вместо термина «донор») представляется более подходящим для использования в типовом формуляре отчета (см. приложение III к Рабочей записке МФГС № 1); это позволит провести различие с «донорами», оказывающими поддержку</w:t>
      </w:r>
      <w:r w:rsidRPr="004714B9">
        <w:rPr>
          <w:rFonts w:ascii="Arial" w:hAnsi="Arial" w:cs="Arial"/>
          <w:iCs/>
          <w:sz w:val="22"/>
          <w:szCs w:val="22"/>
        </w:rPr>
        <w:t xml:space="preserve"> бюджету МОК в денежной форме.</w:t>
      </w:r>
    </w:p>
    <w:p w14:paraId="36E820D0" w14:textId="45EE03BA" w:rsidR="006B18B7" w:rsidRPr="004714B9" w:rsidRDefault="006B18B7" w:rsidP="008913FD">
      <w:pPr>
        <w:pStyle w:val="ListParagraph"/>
        <w:numPr>
          <w:ilvl w:val="0"/>
          <w:numId w:val="36"/>
        </w:numPr>
        <w:tabs>
          <w:tab w:val="clear" w:pos="567"/>
          <w:tab w:val="left" w:pos="714"/>
        </w:tabs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 xml:space="preserve">В связи с вышеизложенным члены МФКГ высказали мнение, что по итогам дополнительного обсуждения на пленарном заседании и в рамках сессионного комитета по финансовым вопросам Исполнительный совет мог бы рекомендовать Секретариату </w:t>
      </w:r>
      <w:r w:rsidRPr="004714B9">
        <w:rPr>
          <w:rFonts w:ascii="Arial" w:hAnsi="Arial" w:cs="Arial"/>
          <w:b/>
          <w:sz w:val="22"/>
          <w:szCs w:val="22"/>
          <w:u w:val="single"/>
        </w:rPr>
        <w:t>ввести в экспериментальном порядке представление отчетности</w:t>
      </w:r>
      <w:r w:rsidRPr="004714B9">
        <w:rPr>
          <w:rFonts w:ascii="Arial" w:hAnsi="Arial" w:cs="Arial"/>
          <w:sz w:val="22"/>
          <w:szCs w:val="22"/>
        </w:rPr>
        <w:t xml:space="preserve"> в соответствии с приведенным ниже планом-графиком и с учетом рекомендаций Исполнительного совета:</w:t>
      </w:r>
    </w:p>
    <w:p w14:paraId="6A487D9D" w14:textId="77777777" w:rsid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hAnsi="Arial" w:cs="Arial"/>
          <w:snapToGrid/>
          <w:color w:val="000000"/>
          <w:sz w:val="22"/>
          <w:szCs w:val="22"/>
        </w:rPr>
      </w:pPr>
      <w:r w:rsidRPr="004714B9">
        <w:rPr>
          <w:rFonts w:ascii="Arial" w:hAnsi="Arial" w:cs="Arial"/>
          <w:snapToGrid/>
          <w:color w:val="000000"/>
          <w:sz w:val="22"/>
          <w:szCs w:val="22"/>
          <w:u w:val="single"/>
        </w:rPr>
        <w:t>Июль 2022 г. – январь 2023 г.</w:t>
      </w:r>
      <w:r w:rsidRPr="004714B9">
        <w:rPr>
          <w:rFonts w:ascii="Arial" w:hAnsi="Arial" w:cs="Arial"/>
          <w:snapToGrid/>
          <w:color w:val="000000"/>
          <w:sz w:val="22"/>
          <w:szCs w:val="22"/>
        </w:rPr>
        <w:t>: Секретариат МОК направляет государствам-членам циркулярное письмо с изложением методологии и просьбой представить не позднее 20 января 2023 г. официальные отчеты о взносах за 2022 календарный год.</w:t>
      </w:r>
    </w:p>
    <w:p w14:paraId="74F6DA20" w14:textId="77777777" w:rsidR="000A569C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Theme="minorHAnsi" w:hAnsi="Arial" w:cs="Arial"/>
          <w:snapToGrid/>
          <w:color w:val="000000"/>
          <w:sz w:val="22"/>
          <w:szCs w:val="22"/>
        </w:rPr>
      </w:pPr>
      <w:r w:rsidRPr="005D6539">
        <w:rPr>
          <w:rFonts w:ascii="Arial" w:hAnsi="Arial" w:cs="Arial"/>
          <w:sz w:val="22"/>
          <w:szCs w:val="22"/>
          <w:u w:val="single"/>
        </w:rPr>
        <w:t>Февраль 2023 г.</w:t>
      </w:r>
      <w:r w:rsidRPr="004714B9">
        <w:rPr>
          <w:rFonts w:ascii="Arial" w:hAnsi="Arial" w:cs="Arial"/>
          <w:sz w:val="22"/>
          <w:szCs w:val="22"/>
        </w:rPr>
        <w:t>: итоговый отчет о взносах в натуральной форме передается в МФКГ (межсессионные полномочия 2022-2023 гг.) для обсуждения и возможного внесения предложений по пересмотру методологии с последующим препровождением на рассмотрение Ассамблеи МОК в 2023 г.</w:t>
      </w:r>
    </w:p>
    <w:p w14:paraId="2E907985" w14:textId="45EB7511" w:rsidR="006B18B7" w:rsidRPr="004714B9" w:rsidRDefault="006B18B7" w:rsidP="008913FD">
      <w:pPr>
        <w:numPr>
          <w:ilvl w:val="0"/>
          <w:numId w:val="32"/>
        </w:numPr>
        <w:shd w:val="clear" w:color="auto" w:fill="FFFFFF"/>
        <w:tabs>
          <w:tab w:val="clear" w:pos="567"/>
        </w:tabs>
        <w:adjustRightInd w:val="0"/>
        <w:spacing w:after="240"/>
        <w:ind w:left="1134" w:hanging="425"/>
        <w:jc w:val="both"/>
        <w:rPr>
          <w:rFonts w:ascii="Arial" w:eastAsiaTheme="minorHAnsi" w:hAnsi="Arial" w:cs="Arial"/>
          <w:snapToGrid/>
          <w:color w:val="000000"/>
          <w:sz w:val="22"/>
          <w:szCs w:val="22"/>
        </w:rPr>
      </w:pPr>
      <w:r w:rsidRPr="004714B9">
        <w:rPr>
          <w:rFonts w:ascii="Arial" w:hAnsi="Arial" w:cs="Arial"/>
          <w:sz w:val="22"/>
          <w:szCs w:val="22"/>
        </w:rPr>
        <w:t>Ассамблея рассматривает указанный отчет и принимает решение в отношении дальнейшего представления отчетности.</w:t>
      </w:r>
    </w:p>
    <w:p w14:paraId="77929E22" w14:textId="77777777" w:rsidR="006B18B7" w:rsidRPr="004714B9" w:rsidRDefault="006B18B7" w:rsidP="008913FD">
      <w:pPr>
        <w:tabs>
          <w:tab w:val="clear" w:pos="567"/>
        </w:tabs>
        <w:adjustRightInd w:val="0"/>
        <w:spacing w:after="240"/>
        <w:jc w:val="both"/>
        <w:rPr>
          <w:rFonts w:asciiTheme="minorBidi" w:eastAsiaTheme="minorHAnsi" w:hAnsiTheme="minorBidi" w:cstheme="minorBidi"/>
          <w:snapToGrid/>
          <w:color w:val="000000"/>
          <w:sz w:val="22"/>
          <w:szCs w:val="22"/>
          <w:lang w:eastAsia="fr-FR"/>
        </w:rPr>
      </w:pPr>
    </w:p>
    <w:p w14:paraId="1AD70508" w14:textId="50971E89" w:rsidR="00DC2EAE" w:rsidRPr="00BC03E1" w:rsidRDefault="00DC2EAE" w:rsidP="008913FD">
      <w:pPr>
        <w:tabs>
          <w:tab w:val="clear" w:pos="567"/>
        </w:tabs>
        <w:adjustRightInd w:val="0"/>
        <w:spacing w:after="240"/>
        <w:jc w:val="both"/>
        <w:rPr>
          <w:rFonts w:asciiTheme="minorBidi" w:hAnsiTheme="minorBidi" w:cstheme="minorBidi"/>
          <w:b/>
          <w:sz w:val="22"/>
          <w:szCs w:val="22"/>
        </w:rPr>
      </w:pPr>
    </w:p>
    <w:sectPr w:rsidR="00DC2EAE" w:rsidRPr="00BC03E1" w:rsidSect="002D23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7F25" w14:textId="77777777" w:rsidR="00500559" w:rsidRDefault="00500559">
      <w:r>
        <w:separator/>
      </w:r>
    </w:p>
  </w:endnote>
  <w:endnote w:type="continuationSeparator" w:id="0">
    <w:p w14:paraId="544AC4CB" w14:textId="77777777" w:rsidR="00500559" w:rsidRDefault="0050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Microsoft YaHe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07DD" w14:textId="77777777" w:rsidR="00FE1B02" w:rsidRDefault="00FE1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61B" w14:textId="77777777" w:rsidR="00FE1B02" w:rsidRDefault="00FE1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864" w14:textId="77777777" w:rsidR="00FE1B02" w:rsidRDefault="00FE1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340A" w14:textId="77777777" w:rsidR="00500559" w:rsidRDefault="00500559">
      <w:r>
        <w:separator/>
      </w:r>
    </w:p>
  </w:footnote>
  <w:footnote w:type="continuationSeparator" w:id="0">
    <w:p w14:paraId="26006E97" w14:textId="77777777" w:rsidR="00500559" w:rsidRDefault="0050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477E0A44" w:rsidR="00AE2085" w:rsidRPr="00FF54F5" w:rsidRDefault="00AE2085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IOC/EC-55/5.1.Doc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bCs/>
            <w:sz w:val="22"/>
            <w:szCs w:val="22"/>
          </w:rPr>
          <w:t xml:space="preserve">(2) – page </w: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begin"/>
        </w:r>
        <w:r w:rsidR="000E759E" w:rsidRPr="000E759E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C74FCE">
          <w:rPr>
            <w:rFonts w:ascii="Arial" w:hAnsi="Arial" w:cs="Arial"/>
            <w:bCs/>
            <w:sz w:val="22"/>
            <w:szCs w:val="22"/>
          </w:rPr>
          <w:t>4</w: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AE2085" w:rsidRPr="00D7566D" w:rsidRDefault="00AE208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0553CB27" w:rsidR="00AE2085" w:rsidRPr="00DD55DA" w:rsidRDefault="00AE2085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 xml:space="preserve">IOC/EC-55/5.1.Doc(2) – page </w:t>
    </w:r>
    <w:r w:rsidR="000E759E" w:rsidRPr="000E759E">
      <w:rPr>
        <w:rFonts w:ascii="Arial" w:hAnsi="Arial" w:cs="Arial"/>
        <w:bCs/>
        <w:sz w:val="22"/>
        <w:szCs w:val="22"/>
      </w:rPr>
      <w:fldChar w:fldCharType="begin"/>
    </w:r>
    <w:r w:rsidR="000E759E" w:rsidRPr="000E759E">
      <w:rPr>
        <w:rFonts w:ascii="Arial" w:hAnsi="Arial" w:cs="Arial"/>
        <w:bCs/>
        <w:sz w:val="22"/>
        <w:szCs w:val="22"/>
      </w:rPr>
      <w:instrText xml:space="preserve"> PAGE   \* MERGEFORMAT </w:instrText>
    </w:r>
    <w:r w:rsidR="000E759E" w:rsidRPr="000E759E">
      <w:rPr>
        <w:rFonts w:ascii="Arial" w:hAnsi="Arial" w:cs="Arial"/>
        <w:bCs/>
        <w:sz w:val="22"/>
        <w:szCs w:val="22"/>
      </w:rPr>
      <w:fldChar w:fldCharType="separate"/>
    </w:r>
    <w:r w:rsidR="00C74FCE">
      <w:rPr>
        <w:rFonts w:ascii="Arial" w:hAnsi="Arial" w:cs="Arial"/>
        <w:bCs/>
        <w:sz w:val="22"/>
        <w:szCs w:val="22"/>
      </w:rPr>
      <w:t>5</w:t>
    </w:r>
    <w:r w:rsidR="000E759E" w:rsidRPr="000E759E">
      <w:rPr>
        <w:rFonts w:ascii="Arial" w:hAnsi="Arial" w:cs="Arial"/>
        <w:bCs/>
        <w:sz w:val="22"/>
        <w:szCs w:val="22"/>
      </w:rPr>
      <w:fldChar w:fldCharType="end"/>
    </w:r>
  </w:p>
  <w:p w14:paraId="115C0040" w14:textId="77777777" w:rsidR="00AE2085" w:rsidRPr="00DD55DA" w:rsidRDefault="00AE208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122C0DDE" w:rsidR="00AE2085" w:rsidRPr="0042612F" w:rsidRDefault="00AE2085" w:rsidP="00D73E3C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4714B9">
      <w:rPr>
        <w:rFonts w:ascii="Arial" w:hAnsi="Arial" w:cs="Arial"/>
        <w:sz w:val="22"/>
        <w:szCs w:val="22"/>
      </w:rPr>
      <w:t>Рассылается по списку</w:t>
    </w:r>
    <w:r>
      <w:rPr>
        <w:rFonts w:ascii="Arial" w:hAnsi="Arial"/>
        <w:b/>
        <w:sz w:val="36"/>
        <w:szCs w:val="36"/>
      </w:rPr>
      <w:tab/>
    </w:r>
    <w:bookmarkStart w:id="0" w:name="_Hlk54263549"/>
    <w:r>
      <w:rPr>
        <w:rFonts w:ascii="Arial" w:hAnsi="Arial"/>
        <w:b/>
        <w:sz w:val="36"/>
        <w:szCs w:val="36"/>
      </w:rPr>
      <w:t>IOC/EC-55/5.1</w:t>
    </w:r>
    <w:bookmarkEnd w:id="0"/>
    <w:r>
      <w:rPr>
        <w:rFonts w:ascii="Arial" w:hAnsi="Arial"/>
        <w:b/>
        <w:sz w:val="36"/>
        <w:szCs w:val="36"/>
      </w:rPr>
      <w:t>.Doc(2)</w:t>
    </w:r>
  </w:p>
  <w:p w14:paraId="4821F6A8" w14:textId="77777777" w:rsidR="000A569C" w:rsidRPr="004714B9" w:rsidRDefault="00AE2085" w:rsidP="00D73E3C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2"/>
      </w:rPr>
      <w:tab/>
    </w:r>
    <w:r w:rsidRPr="004714B9">
      <w:rPr>
        <w:rFonts w:ascii="Arial" w:hAnsi="Arial" w:cs="Arial"/>
        <w:sz w:val="22"/>
        <w:szCs w:val="22"/>
      </w:rPr>
      <w:t>Париж, 13 июня 2022 г.</w:t>
    </w:r>
  </w:p>
  <w:p w14:paraId="07C76426" w14:textId="75FF5CF2" w:rsidR="00AE2085" w:rsidRPr="00BF254D" w:rsidRDefault="002D239B" w:rsidP="00D73E3C">
    <w:pPr>
      <w:pStyle w:val="Marge"/>
      <w:tabs>
        <w:tab w:val="left" w:pos="567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AE2085">
      <w:rPr>
        <w:rFonts w:ascii="Arial" w:hAnsi="Arial"/>
        <w:sz w:val="22"/>
        <w:szCs w:val="22"/>
      </w:rPr>
      <w:t>Оригинал: английский</w:t>
    </w:r>
  </w:p>
  <w:p w14:paraId="0759C652" w14:textId="6ACD3015" w:rsidR="00AE2085" w:rsidRDefault="00AE2085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AE2085" w:rsidRDefault="00AE2085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AE2085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AE2085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458004E" w14:textId="77777777" w:rsidR="001C5703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</w:p>
  <w:p w14:paraId="6B4C32BE" w14:textId="77777777" w:rsidR="001C5703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</w:p>
  <w:p w14:paraId="6A89EB7A" w14:textId="77777777" w:rsidR="001C5703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</w:p>
  <w:p w14:paraId="71A52761" w14:textId="19B160B8" w:rsidR="00AE2085" w:rsidRPr="002D239B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8"/>
        <w:szCs w:val="28"/>
      </w:rPr>
    </w:pPr>
    <w:r w:rsidRPr="002D239B">
      <w:rPr>
        <w:rFonts w:ascii="Arial" w:hAnsi="Arial"/>
        <w:b/>
        <w:sz w:val="28"/>
        <w:szCs w:val="28"/>
      </w:rPr>
      <w:t>М</w:t>
    </w:r>
    <w:r w:rsidR="002D239B" w:rsidRPr="002D239B">
      <w:rPr>
        <w:rFonts w:ascii="Arial" w:hAnsi="Arial"/>
        <w:b/>
        <w:sz w:val="28"/>
        <w:szCs w:val="28"/>
      </w:rPr>
      <w:t>ежправительственная океанографическая комиссия</w:t>
    </w:r>
  </w:p>
  <w:p w14:paraId="67E49D49" w14:textId="77777777" w:rsidR="00AE2085" w:rsidRPr="002D239B" w:rsidRDefault="00AE2085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8"/>
        <w:szCs w:val="28"/>
      </w:rPr>
    </w:pPr>
    <w:r w:rsidRPr="002D239B">
      <w:rPr>
        <w:rFonts w:ascii="Arial" w:hAnsi="Arial"/>
        <w:bCs/>
        <w:sz w:val="28"/>
        <w:szCs w:val="28"/>
      </w:rPr>
      <w:t>(ЮНЕСКО)</w:t>
    </w:r>
  </w:p>
  <w:p w14:paraId="4872ECD5" w14:textId="77777777" w:rsidR="00AE2085" w:rsidRPr="001C5703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</w:p>
  <w:p w14:paraId="7BF4961F" w14:textId="6379F32C" w:rsidR="00AE2085" w:rsidRPr="001C5703" w:rsidRDefault="00AE2085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Пятьдесят пятая сессия Исполнительного совета</w:t>
    </w:r>
  </w:p>
  <w:p w14:paraId="71300EEE" w14:textId="3170380F" w:rsidR="00AE2085" w:rsidRPr="001C5703" w:rsidRDefault="00AE2085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/>
        <w:bCs/>
        <w:sz w:val="22"/>
        <w:szCs w:val="22"/>
      </w:rPr>
      <w:t>ЮНЕСКО, Париж, 14-17 июня 2022 г.</w:t>
    </w:r>
  </w:p>
  <w:p w14:paraId="5BB9C169" w14:textId="77777777" w:rsidR="00AE2085" w:rsidRPr="004714B9" w:rsidRDefault="00AE2085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 w:val="22"/>
        <w:szCs w:val="22"/>
      </w:rPr>
    </w:pPr>
  </w:p>
  <w:p w14:paraId="003DCA37" w14:textId="77777777" w:rsidR="00AE2085" w:rsidRPr="004714B9" w:rsidRDefault="00AE2085" w:rsidP="00B17054">
    <w:pPr>
      <w:jc w:val="center"/>
      <w:rPr>
        <w:rFonts w:cs="Arial"/>
        <w:sz w:val="22"/>
        <w:szCs w:val="22"/>
      </w:rPr>
    </w:pPr>
  </w:p>
  <w:p w14:paraId="4AE80372" w14:textId="3E96AA22" w:rsidR="00AE2085" w:rsidRPr="001C5703" w:rsidRDefault="00AE2085" w:rsidP="00FA68D9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="Arial" w:eastAsia="Times New Roman" w:hAnsi="Arial" w:cs="Arial"/>
        <w:sz w:val="22"/>
        <w:szCs w:val="22"/>
      </w:rPr>
    </w:pPr>
    <w:r>
      <w:rPr>
        <w:rFonts w:ascii="Arial" w:hAnsi="Arial"/>
        <w:sz w:val="22"/>
        <w:szCs w:val="22"/>
        <w:u w:val="single"/>
      </w:rPr>
      <w:t xml:space="preserve">Пункт </w:t>
    </w:r>
    <w:r>
      <w:rPr>
        <w:rFonts w:ascii="Arial" w:hAnsi="Arial"/>
        <w:b/>
        <w:sz w:val="22"/>
        <w:szCs w:val="22"/>
        <w:u w:val="single"/>
      </w:rPr>
      <w:t>5.1</w:t>
    </w:r>
    <w:r>
      <w:rPr>
        <w:rFonts w:ascii="Arial" w:hAnsi="Arial"/>
        <w:sz w:val="22"/>
        <w:szCs w:val="22"/>
        <w:u w:val="single"/>
      </w:rPr>
      <w:t xml:space="preserve"> предварительной повестки дня</w:t>
    </w:r>
  </w:p>
  <w:p w14:paraId="5283A965" w14:textId="13B85A04" w:rsidR="00AE2085" w:rsidRPr="004714B9" w:rsidRDefault="00AE2085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sz w:val="22"/>
        <w:szCs w:val="22"/>
      </w:rPr>
    </w:pPr>
  </w:p>
  <w:p w14:paraId="022DE9AE" w14:textId="77777777" w:rsidR="001C5703" w:rsidRPr="004714B9" w:rsidRDefault="001C5703" w:rsidP="00BB15F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2"/>
        <w:szCs w:val="22"/>
      </w:rPr>
    </w:pPr>
  </w:p>
  <w:p w14:paraId="618DB2D5" w14:textId="77777777" w:rsidR="001C5703" w:rsidRPr="004714B9" w:rsidRDefault="001C5703" w:rsidP="00BB15F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2"/>
        <w:szCs w:val="22"/>
      </w:rPr>
    </w:pPr>
  </w:p>
  <w:p w14:paraId="74A2B30A" w14:textId="79381C2F" w:rsidR="006B18B7" w:rsidRPr="002D239B" w:rsidRDefault="006B18B7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8"/>
        <w:szCs w:val="28"/>
      </w:rPr>
    </w:pPr>
    <w:r w:rsidRPr="002D239B">
      <w:rPr>
        <w:rFonts w:ascii="Arial" w:hAnsi="Arial"/>
        <w:b/>
        <w:bCs/>
        <w:caps/>
        <w:sz w:val="28"/>
        <w:szCs w:val="28"/>
      </w:rPr>
      <w:t>Д</w:t>
    </w:r>
    <w:r w:rsidR="002D239B" w:rsidRPr="002D239B">
      <w:rPr>
        <w:rFonts w:ascii="Arial" w:hAnsi="Arial"/>
        <w:b/>
        <w:bCs/>
        <w:sz w:val="28"/>
        <w:szCs w:val="28"/>
      </w:rPr>
      <w:t xml:space="preserve">оклад председателя </w:t>
    </w:r>
    <w:r w:rsidRPr="002D239B">
      <w:rPr>
        <w:rFonts w:ascii="Arial" w:hAnsi="Arial"/>
        <w:b/>
        <w:bCs/>
        <w:caps/>
        <w:sz w:val="28"/>
        <w:szCs w:val="28"/>
      </w:rPr>
      <w:t>М</w:t>
    </w:r>
    <w:r w:rsidR="002D239B" w:rsidRPr="002D239B">
      <w:rPr>
        <w:rFonts w:ascii="Arial" w:hAnsi="Arial"/>
        <w:b/>
        <w:bCs/>
        <w:sz w:val="28"/>
        <w:szCs w:val="28"/>
      </w:rPr>
      <w:t>ежсессионной финансовой</w:t>
    </w:r>
    <w:r w:rsidR="002D239B">
      <w:rPr>
        <w:rFonts w:ascii="Arial" w:hAnsi="Arial"/>
        <w:b/>
        <w:bCs/>
        <w:sz w:val="28"/>
        <w:szCs w:val="28"/>
      </w:rPr>
      <w:br/>
    </w:r>
    <w:r w:rsidR="002D239B" w:rsidRPr="002D239B">
      <w:rPr>
        <w:rFonts w:ascii="Arial" w:hAnsi="Arial"/>
        <w:b/>
        <w:bCs/>
        <w:sz w:val="28"/>
        <w:szCs w:val="28"/>
      </w:rPr>
      <w:t>консультативной группы</w:t>
    </w:r>
  </w:p>
  <w:p w14:paraId="20BB8D82" w14:textId="211A4801" w:rsidR="006B18B7" w:rsidRPr="00FA3507" w:rsidRDefault="006D43E7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/>
        <w:b/>
      </w:rPr>
      <w:br/>
      <w:t>(Межсессионный период: декабрь 2021 г. – июнь 2022 г.)</w:t>
    </w:r>
  </w:p>
  <w:p w14:paraId="12B25AD8" w14:textId="77777777" w:rsidR="00AE2085" w:rsidRPr="004714B9" w:rsidRDefault="00AE2085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 w:val="22"/>
        <w:szCs w:val="22"/>
      </w:rPr>
    </w:pPr>
  </w:p>
  <w:p w14:paraId="5F53C7C4" w14:textId="77777777" w:rsidR="00AE2085" w:rsidRPr="004714B9" w:rsidRDefault="00AE2085" w:rsidP="00B170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2B2"/>
    <w:multiLevelType w:val="hybridMultilevel"/>
    <w:tmpl w:val="FF888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35A"/>
    <w:multiLevelType w:val="hybridMultilevel"/>
    <w:tmpl w:val="8FE4C96A"/>
    <w:lvl w:ilvl="0" w:tplc="BFBE58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4513"/>
    <w:multiLevelType w:val="hybridMultilevel"/>
    <w:tmpl w:val="3F168D6C"/>
    <w:lvl w:ilvl="0" w:tplc="B4163634">
      <w:start w:val="1"/>
      <w:numFmt w:val="bullet"/>
      <w:lvlText w:val="-"/>
      <w:lvlJc w:val="left"/>
      <w:pPr>
        <w:ind w:left="1211" w:hanging="360"/>
      </w:pPr>
      <w:rPr>
        <w:rFonts w:ascii="Walbaum Display Light" w:hAnsi="Walbaum Display Light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534464"/>
    <w:multiLevelType w:val="hybridMultilevel"/>
    <w:tmpl w:val="C28C0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825B9"/>
    <w:multiLevelType w:val="hybridMultilevel"/>
    <w:tmpl w:val="6E2C0D1E"/>
    <w:lvl w:ilvl="0" w:tplc="9320CC5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5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7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2646EE"/>
    <w:multiLevelType w:val="hybridMultilevel"/>
    <w:tmpl w:val="7EB0BD6A"/>
    <w:lvl w:ilvl="0" w:tplc="42A4F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47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4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A8C16CF"/>
    <w:multiLevelType w:val="hybridMultilevel"/>
    <w:tmpl w:val="77EE7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4"/>
  </w:num>
  <w:num w:numId="12">
    <w:abstractNumId w:val="16"/>
  </w:num>
  <w:num w:numId="13">
    <w:abstractNumId w:val="13"/>
  </w:num>
  <w:num w:numId="14">
    <w:abstractNumId w:val="17"/>
  </w:num>
  <w:num w:numId="15">
    <w:abstractNumId w:val="7"/>
  </w:num>
  <w:num w:numId="16">
    <w:abstractNumId w:val="18"/>
  </w:num>
  <w:num w:numId="17">
    <w:abstractNumId w:val="15"/>
  </w:num>
  <w:num w:numId="18">
    <w:abstractNumId w:val="6"/>
  </w:num>
  <w:num w:numId="19">
    <w:abstractNumId w:val="20"/>
  </w:num>
  <w:num w:numId="20">
    <w:abstractNumId w:val="21"/>
  </w:num>
  <w:num w:numId="21">
    <w:abstractNumId w:val="3"/>
  </w:num>
  <w:num w:numId="22">
    <w:abstractNumId w:val="1"/>
  </w:num>
  <w:num w:numId="23">
    <w:abstractNumId w:val="0"/>
  </w:num>
  <w:num w:numId="24">
    <w:abstractNumId w:val="4"/>
  </w:num>
  <w:num w:numId="25">
    <w:abstractNumId w:val="5"/>
  </w:num>
  <w:num w:numId="26">
    <w:abstractNumId w:val="2"/>
  </w:num>
  <w:num w:numId="27">
    <w:abstractNumId w:val="22"/>
  </w:num>
  <w:num w:numId="28">
    <w:abstractNumId w:val="23"/>
  </w:num>
  <w:num w:numId="29">
    <w:abstractNumId w:val="12"/>
  </w:num>
  <w:num w:numId="30">
    <w:abstractNumId w:val="9"/>
  </w:num>
  <w:num w:numId="31">
    <w:abstractNumId w:val="14"/>
  </w:num>
  <w:num w:numId="32">
    <w:abstractNumId w:val="10"/>
  </w:num>
  <w:num w:numId="33">
    <w:abstractNumId w:val="25"/>
  </w:num>
  <w:num w:numId="34">
    <w:abstractNumId w:val="11"/>
  </w:num>
  <w:num w:numId="35">
    <w:abstractNumId w:val="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5A88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004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285A"/>
    <w:rsid w:val="00083369"/>
    <w:rsid w:val="0008382D"/>
    <w:rsid w:val="00085FE9"/>
    <w:rsid w:val="00086071"/>
    <w:rsid w:val="00090675"/>
    <w:rsid w:val="0009246D"/>
    <w:rsid w:val="0009256F"/>
    <w:rsid w:val="00097CDF"/>
    <w:rsid w:val="000A569C"/>
    <w:rsid w:val="000A6D08"/>
    <w:rsid w:val="000B1B44"/>
    <w:rsid w:val="000B40F3"/>
    <w:rsid w:val="000C3738"/>
    <w:rsid w:val="000C3BB5"/>
    <w:rsid w:val="000D6EB3"/>
    <w:rsid w:val="000D719C"/>
    <w:rsid w:val="000E0533"/>
    <w:rsid w:val="000E188E"/>
    <w:rsid w:val="000E55FB"/>
    <w:rsid w:val="000E759E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23F7E"/>
    <w:rsid w:val="00127B21"/>
    <w:rsid w:val="00131529"/>
    <w:rsid w:val="0013238B"/>
    <w:rsid w:val="00134711"/>
    <w:rsid w:val="00135717"/>
    <w:rsid w:val="0013649D"/>
    <w:rsid w:val="00143B1A"/>
    <w:rsid w:val="0014529C"/>
    <w:rsid w:val="0015046B"/>
    <w:rsid w:val="001524A3"/>
    <w:rsid w:val="0015561D"/>
    <w:rsid w:val="001579AB"/>
    <w:rsid w:val="00160284"/>
    <w:rsid w:val="001646D8"/>
    <w:rsid w:val="0016592F"/>
    <w:rsid w:val="001659AA"/>
    <w:rsid w:val="00165CBD"/>
    <w:rsid w:val="0017022A"/>
    <w:rsid w:val="0017169B"/>
    <w:rsid w:val="001766F9"/>
    <w:rsid w:val="00181F98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5075"/>
    <w:rsid w:val="001B64AC"/>
    <w:rsid w:val="001C18CF"/>
    <w:rsid w:val="001C20FE"/>
    <w:rsid w:val="001C4F30"/>
    <w:rsid w:val="001C5703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4CE4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541"/>
    <w:rsid w:val="002A3623"/>
    <w:rsid w:val="002A364B"/>
    <w:rsid w:val="002A3D8C"/>
    <w:rsid w:val="002B0438"/>
    <w:rsid w:val="002B0B65"/>
    <w:rsid w:val="002B2FB7"/>
    <w:rsid w:val="002B58F5"/>
    <w:rsid w:val="002B70D5"/>
    <w:rsid w:val="002C44BD"/>
    <w:rsid w:val="002C6A49"/>
    <w:rsid w:val="002D2062"/>
    <w:rsid w:val="002D239B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691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4406"/>
    <w:rsid w:val="00315268"/>
    <w:rsid w:val="00317A57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8F2"/>
    <w:rsid w:val="00344E00"/>
    <w:rsid w:val="00352423"/>
    <w:rsid w:val="00354A10"/>
    <w:rsid w:val="00355A56"/>
    <w:rsid w:val="003563D2"/>
    <w:rsid w:val="00363AC7"/>
    <w:rsid w:val="00366C04"/>
    <w:rsid w:val="003727A0"/>
    <w:rsid w:val="003774D6"/>
    <w:rsid w:val="00382463"/>
    <w:rsid w:val="00385DCE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27B7"/>
    <w:rsid w:val="003C309A"/>
    <w:rsid w:val="003C4A99"/>
    <w:rsid w:val="003C608A"/>
    <w:rsid w:val="003D31F1"/>
    <w:rsid w:val="003D4548"/>
    <w:rsid w:val="003D4FDB"/>
    <w:rsid w:val="003E26AB"/>
    <w:rsid w:val="003E331B"/>
    <w:rsid w:val="003E5A89"/>
    <w:rsid w:val="003E7B79"/>
    <w:rsid w:val="003F03C3"/>
    <w:rsid w:val="003F5299"/>
    <w:rsid w:val="003F74E5"/>
    <w:rsid w:val="004003E9"/>
    <w:rsid w:val="004032DB"/>
    <w:rsid w:val="00403EB2"/>
    <w:rsid w:val="004047AA"/>
    <w:rsid w:val="00404945"/>
    <w:rsid w:val="00405201"/>
    <w:rsid w:val="004118ED"/>
    <w:rsid w:val="004119A8"/>
    <w:rsid w:val="004137C7"/>
    <w:rsid w:val="00417106"/>
    <w:rsid w:val="00425E51"/>
    <w:rsid w:val="0042612F"/>
    <w:rsid w:val="00431123"/>
    <w:rsid w:val="00431696"/>
    <w:rsid w:val="00437DB1"/>
    <w:rsid w:val="00441F29"/>
    <w:rsid w:val="00441FE3"/>
    <w:rsid w:val="00450AA6"/>
    <w:rsid w:val="00452512"/>
    <w:rsid w:val="00452CFD"/>
    <w:rsid w:val="00453CE0"/>
    <w:rsid w:val="00463AB2"/>
    <w:rsid w:val="00470230"/>
    <w:rsid w:val="004714B9"/>
    <w:rsid w:val="004750C1"/>
    <w:rsid w:val="004768E8"/>
    <w:rsid w:val="00476A0C"/>
    <w:rsid w:val="00477409"/>
    <w:rsid w:val="0048119B"/>
    <w:rsid w:val="00481C77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D4CCC"/>
    <w:rsid w:val="004D5102"/>
    <w:rsid w:val="004E084D"/>
    <w:rsid w:val="004E2D89"/>
    <w:rsid w:val="004E3446"/>
    <w:rsid w:val="004E4A23"/>
    <w:rsid w:val="004E6B90"/>
    <w:rsid w:val="004F0BEC"/>
    <w:rsid w:val="004F4AC5"/>
    <w:rsid w:val="004F5686"/>
    <w:rsid w:val="00500559"/>
    <w:rsid w:val="00505E80"/>
    <w:rsid w:val="005066B5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56709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5334"/>
    <w:rsid w:val="005A7E87"/>
    <w:rsid w:val="005B0510"/>
    <w:rsid w:val="005B09E3"/>
    <w:rsid w:val="005B0F21"/>
    <w:rsid w:val="005B2606"/>
    <w:rsid w:val="005B6674"/>
    <w:rsid w:val="005B670F"/>
    <w:rsid w:val="005B6C1C"/>
    <w:rsid w:val="005C565B"/>
    <w:rsid w:val="005C5B67"/>
    <w:rsid w:val="005C6245"/>
    <w:rsid w:val="005C76B4"/>
    <w:rsid w:val="005D05AB"/>
    <w:rsid w:val="005D0CC4"/>
    <w:rsid w:val="005D36CA"/>
    <w:rsid w:val="005D5313"/>
    <w:rsid w:val="005D6539"/>
    <w:rsid w:val="005E21F0"/>
    <w:rsid w:val="005E2BCD"/>
    <w:rsid w:val="005E325F"/>
    <w:rsid w:val="005E4600"/>
    <w:rsid w:val="005E4C90"/>
    <w:rsid w:val="005E661A"/>
    <w:rsid w:val="005F05C2"/>
    <w:rsid w:val="005F0A67"/>
    <w:rsid w:val="005F39DB"/>
    <w:rsid w:val="005F55BE"/>
    <w:rsid w:val="005F7150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1D3D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6673A"/>
    <w:rsid w:val="0067098E"/>
    <w:rsid w:val="00671A70"/>
    <w:rsid w:val="00672A6F"/>
    <w:rsid w:val="0067544A"/>
    <w:rsid w:val="0067704F"/>
    <w:rsid w:val="00681D60"/>
    <w:rsid w:val="00682998"/>
    <w:rsid w:val="00694BEE"/>
    <w:rsid w:val="006A1ED7"/>
    <w:rsid w:val="006A2412"/>
    <w:rsid w:val="006A2C9D"/>
    <w:rsid w:val="006A3196"/>
    <w:rsid w:val="006B18B7"/>
    <w:rsid w:val="006B2331"/>
    <w:rsid w:val="006B2C23"/>
    <w:rsid w:val="006B7AA9"/>
    <w:rsid w:val="006C2500"/>
    <w:rsid w:val="006C48C7"/>
    <w:rsid w:val="006C6875"/>
    <w:rsid w:val="006C6EB1"/>
    <w:rsid w:val="006C7AE8"/>
    <w:rsid w:val="006D3C9B"/>
    <w:rsid w:val="006D43E7"/>
    <w:rsid w:val="006E0BCF"/>
    <w:rsid w:val="006E33FC"/>
    <w:rsid w:val="006E3403"/>
    <w:rsid w:val="006E3CA0"/>
    <w:rsid w:val="006E5A90"/>
    <w:rsid w:val="006F53F4"/>
    <w:rsid w:val="006F6B09"/>
    <w:rsid w:val="0070039C"/>
    <w:rsid w:val="007026E3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4650"/>
    <w:rsid w:val="007464AB"/>
    <w:rsid w:val="00747591"/>
    <w:rsid w:val="00750F05"/>
    <w:rsid w:val="00753668"/>
    <w:rsid w:val="00755DEA"/>
    <w:rsid w:val="00756E80"/>
    <w:rsid w:val="007577B2"/>
    <w:rsid w:val="00760C16"/>
    <w:rsid w:val="007628BE"/>
    <w:rsid w:val="00762B2E"/>
    <w:rsid w:val="00766688"/>
    <w:rsid w:val="00770033"/>
    <w:rsid w:val="00770EC7"/>
    <w:rsid w:val="00771A2C"/>
    <w:rsid w:val="00774083"/>
    <w:rsid w:val="007746A7"/>
    <w:rsid w:val="00774FDF"/>
    <w:rsid w:val="007756DF"/>
    <w:rsid w:val="00777BF8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4C1D"/>
    <w:rsid w:val="007C58F2"/>
    <w:rsid w:val="007C60C1"/>
    <w:rsid w:val="007C6427"/>
    <w:rsid w:val="007D02E1"/>
    <w:rsid w:val="007D14B6"/>
    <w:rsid w:val="007D3990"/>
    <w:rsid w:val="007D4781"/>
    <w:rsid w:val="007D5C6F"/>
    <w:rsid w:val="007E27D0"/>
    <w:rsid w:val="007E331D"/>
    <w:rsid w:val="007E3BE2"/>
    <w:rsid w:val="007E6267"/>
    <w:rsid w:val="007E6585"/>
    <w:rsid w:val="007F0B67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42A0"/>
    <w:rsid w:val="00825797"/>
    <w:rsid w:val="0083349A"/>
    <w:rsid w:val="008334C8"/>
    <w:rsid w:val="00835997"/>
    <w:rsid w:val="00835F4D"/>
    <w:rsid w:val="008426CA"/>
    <w:rsid w:val="00843E81"/>
    <w:rsid w:val="00845462"/>
    <w:rsid w:val="00850082"/>
    <w:rsid w:val="00851937"/>
    <w:rsid w:val="00856ABB"/>
    <w:rsid w:val="008608E0"/>
    <w:rsid w:val="008613A7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86AA5"/>
    <w:rsid w:val="008901AA"/>
    <w:rsid w:val="00890255"/>
    <w:rsid w:val="008913FD"/>
    <w:rsid w:val="0089179C"/>
    <w:rsid w:val="00895E0F"/>
    <w:rsid w:val="00896575"/>
    <w:rsid w:val="008967F5"/>
    <w:rsid w:val="008A05D0"/>
    <w:rsid w:val="008A0C1C"/>
    <w:rsid w:val="008A4124"/>
    <w:rsid w:val="008A6D88"/>
    <w:rsid w:val="008A7D5D"/>
    <w:rsid w:val="008B19BD"/>
    <w:rsid w:val="008B4407"/>
    <w:rsid w:val="008B544A"/>
    <w:rsid w:val="008B77EB"/>
    <w:rsid w:val="008C15AF"/>
    <w:rsid w:val="008C74FA"/>
    <w:rsid w:val="008D5C30"/>
    <w:rsid w:val="008E0DC5"/>
    <w:rsid w:val="008E280C"/>
    <w:rsid w:val="008E5F82"/>
    <w:rsid w:val="008E75D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58F7"/>
    <w:rsid w:val="009263CA"/>
    <w:rsid w:val="00926737"/>
    <w:rsid w:val="009278CB"/>
    <w:rsid w:val="0093392C"/>
    <w:rsid w:val="009346F3"/>
    <w:rsid w:val="00935F8E"/>
    <w:rsid w:val="00940BCB"/>
    <w:rsid w:val="00941FC7"/>
    <w:rsid w:val="00942E2B"/>
    <w:rsid w:val="0094308D"/>
    <w:rsid w:val="009453E9"/>
    <w:rsid w:val="00945D12"/>
    <w:rsid w:val="00952B4D"/>
    <w:rsid w:val="009531A0"/>
    <w:rsid w:val="009533B4"/>
    <w:rsid w:val="00953F37"/>
    <w:rsid w:val="00957CB2"/>
    <w:rsid w:val="0096155D"/>
    <w:rsid w:val="0096678C"/>
    <w:rsid w:val="00967E0F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465E"/>
    <w:rsid w:val="00985E78"/>
    <w:rsid w:val="0098794B"/>
    <w:rsid w:val="009905D6"/>
    <w:rsid w:val="0099674A"/>
    <w:rsid w:val="009A03DB"/>
    <w:rsid w:val="009A0B03"/>
    <w:rsid w:val="009A1DDC"/>
    <w:rsid w:val="009A6B84"/>
    <w:rsid w:val="009A7F76"/>
    <w:rsid w:val="009B2FB5"/>
    <w:rsid w:val="009B33B9"/>
    <w:rsid w:val="009B4B8B"/>
    <w:rsid w:val="009B7ED9"/>
    <w:rsid w:val="009C32D0"/>
    <w:rsid w:val="009C50BC"/>
    <w:rsid w:val="009C5BA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9F66B1"/>
    <w:rsid w:val="00A02887"/>
    <w:rsid w:val="00A02E57"/>
    <w:rsid w:val="00A057C4"/>
    <w:rsid w:val="00A05A4D"/>
    <w:rsid w:val="00A05AB4"/>
    <w:rsid w:val="00A070D7"/>
    <w:rsid w:val="00A12058"/>
    <w:rsid w:val="00A12E09"/>
    <w:rsid w:val="00A136A4"/>
    <w:rsid w:val="00A25EB2"/>
    <w:rsid w:val="00A265E3"/>
    <w:rsid w:val="00A30AC2"/>
    <w:rsid w:val="00A3412C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66622"/>
    <w:rsid w:val="00A7029E"/>
    <w:rsid w:val="00A72488"/>
    <w:rsid w:val="00A7294C"/>
    <w:rsid w:val="00A74B98"/>
    <w:rsid w:val="00A75239"/>
    <w:rsid w:val="00A7623D"/>
    <w:rsid w:val="00A81D6E"/>
    <w:rsid w:val="00A820F1"/>
    <w:rsid w:val="00AA3077"/>
    <w:rsid w:val="00AA36BB"/>
    <w:rsid w:val="00AA6564"/>
    <w:rsid w:val="00AA6FCA"/>
    <w:rsid w:val="00AB2387"/>
    <w:rsid w:val="00AB346C"/>
    <w:rsid w:val="00AB37B5"/>
    <w:rsid w:val="00AB5A78"/>
    <w:rsid w:val="00AC333C"/>
    <w:rsid w:val="00AC65C5"/>
    <w:rsid w:val="00AC6F12"/>
    <w:rsid w:val="00AC7D27"/>
    <w:rsid w:val="00AD035C"/>
    <w:rsid w:val="00AD1EB6"/>
    <w:rsid w:val="00AD2EC9"/>
    <w:rsid w:val="00AD3306"/>
    <w:rsid w:val="00AD64A4"/>
    <w:rsid w:val="00AD6B3B"/>
    <w:rsid w:val="00AE018F"/>
    <w:rsid w:val="00AE0B67"/>
    <w:rsid w:val="00AE187B"/>
    <w:rsid w:val="00AE2085"/>
    <w:rsid w:val="00AE26F5"/>
    <w:rsid w:val="00AE3537"/>
    <w:rsid w:val="00AE3F49"/>
    <w:rsid w:val="00AF7398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37B81"/>
    <w:rsid w:val="00B44A64"/>
    <w:rsid w:val="00B4523C"/>
    <w:rsid w:val="00B45A77"/>
    <w:rsid w:val="00B461D5"/>
    <w:rsid w:val="00B53C2C"/>
    <w:rsid w:val="00B5440A"/>
    <w:rsid w:val="00B6146B"/>
    <w:rsid w:val="00B64733"/>
    <w:rsid w:val="00B64CA2"/>
    <w:rsid w:val="00B64DE3"/>
    <w:rsid w:val="00B70FDF"/>
    <w:rsid w:val="00B75F3E"/>
    <w:rsid w:val="00B777B1"/>
    <w:rsid w:val="00B820A7"/>
    <w:rsid w:val="00B84320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15F8"/>
    <w:rsid w:val="00BB37B9"/>
    <w:rsid w:val="00BB3C67"/>
    <w:rsid w:val="00BB3D08"/>
    <w:rsid w:val="00BB7EC3"/>
    <w:rsid w:val="00BC03E1"/>
    <w:rsid w:val="00BC07E0"/>
    <w:rsid w:val="00BC5A68"/>
    <w:rsid w:val="00BC7AE6"/>
    <w:rsid w:val="00BE1951"/>
    <w:rsid w:val="00BE2960"/>
    <w:rsid w:val="00BE4A26"/>
    <w:rsid w:val="00BE76AB"/>
    <w:rsid w:val="00BF0F73"/>
    <w:rsid w:val="00C01CF5"/>
    <w:rsid w:val="00C021AC"/>
    <w:rsid w:val="00C0288A"/>
    <w:rsid w:val="00C0560F"/>
    <w:rsid w:val="00C073F3"/>
    <w:rsid w:val="00C161F8"/>
    <w:rsid w:val="00C16A4A"/>
    <w:rsid w:val="00C200DD"/>
    <w:rsid w:val="00C23624"/>
    <w:rsid w:val="00C26F58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3498"/>
    <w:rsid w:val="00C74028"/>
    <w:rsid w:val="00C742E6"/>
    <w:rsid w:val="00C74FCE"/>
    <w:rsid w:val="00C75E37"/>
    <w:rsid w:val="00C7650A"/>
    <w:rsid w:val="00C818D1"/>
    <w:rsid w:val="00C81A70"/>
    <w:rsid w:val="00C82F7C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2C0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E7502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11D"/>
    <w:rsid w:val="00D64782"/>
    <w:rsid w:val="00D67278"/>
    <w:rsid w:val="00D67B8D"/>
    <w:rsid w:val="00D73E3C"/>
    <w:rsid w:val="00D74196"/>
    <w:rsid w:val="00D7566D"/>
    <w:rsid w:val="00D76E20"/>
    <w:rsid w:val="00D8125F"/>
    <w:rsid w:val="00D82754"/>
    <w:rsid w:val="00D86D5E"/>
    <w:rsid w:val="00D90453"/>
    <w:rsid w:val="00D91117"/>
    <w:rsid w:val="00D922B1"/>
    <w:rsid w:val="00D923CC"/>
    <w:rsid w:val="00DA5F08"/>
    <w:rsid w:val="00DB22A5"/>
    <w:rsid w:val="00DB7370"/>
    <w:rsid w:val="00DC139D"/>
    <w:rsid w:val="00DC2C8A"/>
    <w:rsid w:val="00DC2EAE"/>
    <w:rsid w:val="00DC4666"/>
    <w:rsid w:val="00DC4D2A"/>
    <w:rsid w:val="00DC571F"/>
    <w:rsid w:val="00DC71F3"/>
    <w:rsid w:val="00DD3F5E"/>
    <w:rsid w:val="00DD55DA"/>
    <w:rsid w:val="00DD5ADB"/>
    <w:rsid w:val="00DE0399"/>
    <w:rsid w:val="00DE271E"/>
    <w:rsid w:val="00DE569D"/>
    <w:rsid w:val="00DE6571"/>
    <w:rsid w:val="00DE7662"/>
    <w:rsid w:val="00DE7784"/>
    <w:rsid w:val="00DF0410"/>
    <w:rsid w:val="00DF39D8"/>
    <w:rsid w:val="00DF419A"/>
    <w:rsid w:val="00DF69FE"/>
    <w:rsid w:val="00DF7F7A"/>
    <w:rsid w:val="00E01FDA"/>
    <w:rsid w:val="00E03C5A"/>
    <w:rsid w:val="00E04B7F"/>
    <w:rsid w:val="00E0531A"/>
    <w:rsid w:val="00E10342"/>
    <w:rsid w:val="00E117F3"/>
    <w:rsid w:val="00E154A0"/>
    <w:rsid w:val="00E15729"/>
    <w:rsid w:val="00E179CF"/>
    <w:rsid w:val="00E202A8"/>
    <w:rsid w:val="00E229C2"/>
    <w:rsid w:val="00E232D1"/>
    <w:rsid w:val="00E2459C"/>
    <w:rsid w:val="00E24C1A"/>
    <w:rsid w:val="00E255B3"/>
    <w:rsid w:val="00E27421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67552"/>
    <w:rsid w:val="00E75460"/>
    <w:rsid w:val="00E765E2"/>
    <w:rsid w:val="00E777DA"/>
    <w:rsid w:val="00E7794D"/>
    <w:rsid w:val="00E77BC6"/>
    <w:rsid w:val="00E77DE7"/>
    <w:rsid w:val="00E81DB4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B7F8F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48B"/>
    <w:rsid w:val="00EF7625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2E03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95F72"/>
    <w:rsid w:val="00FA1BE4"/>
    <w:rsid w:val="00FA4B55"/>
    <w:rsid w:val="00FA5456"/>
    <w:rsid w:val="00FA5B2A"/>
    <w:rsid w:val="00FA68D9"/>
    <w:rsid w:val="00FA6FB3"/>
    <w:rsid w:val="00FB4EDC"/>
    <w:rsid w:val="00FC2702"/>
    <w:rsid w:val="00FC2BEC"/>
    <w:rsid w:val="00FC58B3"/>
    <w:rsid w:val="00FC65BB"/>
    <w:rsid w:val="00FC68A7"/>
    <w:rsid w:val="00FD08CC"/>
    <w:rsid w:val="00FD12DC"/>
    <w:rsid w:val="00FD65AE"/>
    <w:rsid w:val="00FE0520"/>
    <w:rsid w:val="00FE1B02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2EAE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link w:val="MargeChar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ru-RU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997"/>
    <w:rPr>
      <w:rFonts w:ascii="Tahoma" w:hAnsi="Tahoma" w:cs="Tahoma"/>
      <w:snapToGrid w:val="0"/>
      <w:sz w:val="16"/>
      <w:szCs w:val="16"/>
      <w:lang w:val="ru-RU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F4611"/>
    <w:rPr>
      <w:snapToGrid w:val="0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ru-RU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ru-RU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DC2EAE"/>
    <w:rPr>
      <w:rFonts w:ascii="Arial" w:hAnsi="Arial" w:cs="Arial"/>
      <w:b/>
      <w:bCs/>
      <w:i/>
      <w:iCs/>
      <w:snapToGrid w:val="0"/>
      <w:sz w:val="18"/>
      <w:szCs w:val="18"/>
      <w:u w:val="single"/>
      <w:lang w:val="ru-RU"/>
    </w:rPr>
  </w:style>
  <w:style w:type="character" w:styleId="PageNumber">
    <w:name w:val="page number"/>
    <w:basedOn w:val="DefaultParagraphFont"/>
    <w:rsid w:val="00DC2EAE"/>
  </w:style>
  <w:style w:type="paragraph" w:customStyle="1" w:styleId="Serre">
    <w:name w:val="Serre"/>
    <w:basedOn w:val="Normal"/>
    <w:rsid w:val="00DC2EAE"/>
    <w:pPr>
      <w:tabs>
        <w:tab w:val="clear" w:pos="567"/>
      </w:tabs>
      <w:suppressAutoHyphens/>
      <w:snapToGrid/>
      <w:jc w:val="both"/>
      <w:outlineLvl w:val="2"/>
    </w:pPr>
    <w:rPr>
      <w:rFonts w:ascii="Arial" w:eastAsia="PMingLiU" w:hAnsi="Arial"/>
      <w:snapToGrid/>
      <w:sz w:val="22"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DC2EA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2"/>
      <w:szCs w:val="22"/>
    </w:rPr>
  </w:style>
  <w:style w:type="paragraph" w:styleId="BlockText">
    <w:name w:val="Block Text"/>
    <w:basedOn w:val="Normal"/>
    <w:rsid w:val="00DC2EAE"/>
    <w:pPr>
      <w:tabs>
        <w:tab w:val="clear" w:pos="567"/>
      </w:tabs>
      <w:snapToGrid/>
      <w:ind w:left="360" w:right="540"/>
      <w:jc w:val="both"/>
    </w:pPr>
    <w:rPr>
      <w:rFonts w:ascii="Arial" w:eastAsia="PMingLiU" w:hAnsi="Arial"/>
      <w:i/>
      <w:iCs/>
      <w:snapToGrid/>
      <w:sz w:val="22"/>
      <w:lang w:eastAsia="en-US"/>
    </w:rPr>
  </w:style>
  <w:style w:type="paragraph" w:styleId="BodyText2">
    <w:name w:val="Body Text 2"/>
    <w:basedOn w:val="Normal"/>
    <w:link w:val="BodyText2Char"/>
    <w:rsid w:val="00DC2EAE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ascii="Arial" w:eastAsia="MS Mincho" w:hAnsi="Arial" w:cs="Arial"/>
      <w:snapToGrid/>
      <w:color w:val="FF0000"/>
      <w:sz w:val="22"/>
      <w:lang w:eastAsia="ja-JP"/>
    </w:rPr>
  </w:style>
  <w:style w:type="character" w:customStyle="1" w:styleId="BodyText2Char">
    <w:name w:val="Body Text 2 Char"/>
    <w:basedOn w:val="DefaultParagraphFont"/>
    <w:link w:val="BodyText2"/>
    <w:rsid w:val="00DC2EAE"/>
    <w:rPr>
      <w:rFonts w:ascii="Arial" w:eastAsia="MS Mincho" w:hAnsi="Arial" w:cs="Arial"/>
      <w:color w:val="FF0000"/>
      <w:sz w:val="22"/>
      <w:szCs w:val="24"/>
      <w:lang w:val="ru-RU" w:eastAsia="ja-JP"/>
    </w:rPr>
  </w:style>
  <w:style w:type="paragraph" w:styleId="BodyTextIndent">
    <w:name w:val="Body Text Indent"/>
    <w:aliases w:val="Quotation"/>
    <w:basedOn w:val="Normal"/>
    <w:link w:val="BodyTextIndentChar"/>
    <w:rsid w:val="00DC2EAE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rFonts w:ascii="Arial" w:eastAsia="PMingLiU" w:hAnsi="Arial"/>
      <w:i/>
      <w:snapToGrid/>
      <w:sz w:val="22"/>
      <w:lang w:eastAsia="en-US"/>
    </w:rPr>
  </w:style>
  <w:style w:type="character" w:customStyle="1" w:styleId="BodyTextIndentChar">
    <w:name w:val="Body Text Indent Char"/>
    <w:aliases w:val="Quotation Char"/>
    <w:basedOn w:val="DefaultParagraphFont"/>
    <w:link w:val="BodyTextIndent"/>
    <w:rsid w:val="00DC2EAE"/>
    <w:rPr>
      <w:rFonts w:ascii="Arial" w:eastAsia="PMingLiU" w:hAnsi="Arial"/>
      <w:i/>
      <w:sz w:val="22"/>
      <w:szCs w:val="24"/>
      <w:lang w:val="ru-RU" w:eastAsia="en-US"/>
    </w:rPr>
  </w:style>
  <w:style w:type="paragraph" w:customStyle="1" w:styleId="Docheading">
    <w:name w:val="Doc. heading"/>
    <w:basedOn w:val="Header"/>
    <w:rsid w:val="00DC2EAE"/>
    <w:pPr>
      <w:spacing w:after="480"/>
      <w:jc w:val="center"/>
    </w:pPr>
    <w:rPr>
      <w:rFonts w:ascii="Arial" w:eastAsia="PMingLiU" w:hAnsi="Arial" w:cs="Arial"/>
      <w:b/>
      <w:bCs/>
      <w:caps/>
    </w:rPr>
  </w:style>
  <w:style w:type="paragraph" w:styleId="BodyTextFirstIndent2">
    <w:name w:val="Body Text First Indent 2"/>
    <w:basedOn w:val="BodyTextIndent"/>
    <w:link w:val="BodyTextFirstIndent2Char"/>
    <w:rsid w:val="00DC2EAE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DC2EAE"/>
    <w:rPr>
      <w:rFonts w:ascii="Arial" w:eastAsia="PMingLiU" w:hAnsi="Arial"/>
      <w:i/>
      <w:snapToGrid w:val="0"/>
      <w:sz w:val="22"/>
      <w:szCs w:val="24"/>
      <w:lang w:val="ru-RU" w:eastAsia="en-US"/>
    </w:rPr>
  </w:style>
  <w:style w:type="paragraph" w:customStyle="1" w:styleId="Listnumbered">
    <w:name w:val="List numbered"/>
    <w:basedOn w:val="ListBullet2"/>
    <w:autoRedefine/>
    <w:rsid w:val="00DC2EAE"/>
    <w:pPr>
      <w:numPr>
        <w:numId w:val="23"/>
      </w:numPr>
      <w:jc w:val="both"/>
    </w:pPr>
  </w:style>
  <w:style w:type="paragraph" w:customStyle="1" w:styleId="Style1">
    <w:name w:val="Style1"/>
    <w:basedOn w:val="Listnumbered"/>
    <w:autoRedefine/>
    <w:rsid w:val="00DC2EAE"/>
  </w:style>
  <w:style w:type="character" w:customStyle="1" w:styleId="ParChar">
    <w:name w:val="Par Char"/>
    <w:link w:val="Par"/>
    <w:rsid w:val="00DC2EAE"/>
    <w:rPr>
      <w:rFonts w:eastAsia="Times New Roman"/>
      <w:snapToGrid w:val="0"/>
      <w:sz w:val="24"/>
      <w:szCs w:val="24"/>
      <w:lang w:val="ru-RU" w:eastAsia="en-US"/>
    </w:rPr>
  </w:style>
  <w:style w:type="paragraph" w:styleId="ListBullet2">
    <w:name w:val="List Bullet 2"/>
    <w:basedOn w:val="Normal"/>
    <w:rsid w:val="00DC2EAE"/>
    <w:pPr>
      <w:numPr>
        <w:numId w:val="24"/>
      </w:numPr>
      <w:spacing w:after="240"/>
    </w:pPr>
    <w:rPr>
      <w:rFonts w:ascii="Arial" w:eastAsia="PMingLiU" w:hAnsi="Arial"/>
      <w:sz w:val="22"/>
      <w:lang w:eastAsia="en-US"/>
    </w:rPr>
  </w:style>
  <w:style w:type="character" w:customStyle="1" w:styleId="MargeChar">
    <w:name w:val="Marge Char"/>
    <w:link w:val="Marge"/>
    <w:rsid w:val="00DC2EAE"/>
    <w:rPr>
      <w:rFonts w:eastAsia="Times New Roman"/>
      <w:snapToGrid w:val="0"/>
      <w:sz w:val="24"/>
      <w:szCs w:val="24"/>
      <w:lang w:val="ru-RU" w:eastAsia="en-US"/>
    </w:rPr>
  </w:style>
  <w:style w:type="character" w:customStyle="1" w:styleId="COIChar">
    <w:name w:val="COI Char"/>
    <w:link w:val="COI"/>
    <w:rsid w:val="00DC2EAE"/>
    <w:rPr>
      <w:rFonts w:ascii="Arial" w:eastAsia="Arial Unicode MS" w:hAnsi="Arial" w:cs="Arial"/>
      <w:snapToGrid w:val="0"/>
      <w:color w:val="000000"/>
      <w:sz w:val="22"/>
      <w:szCs w:val="22"/>
      <w:lang w:val="ru-RU" w:eastAsia="en-US"/>
    </w:rPr>
  </w:style>
  <w:style w:type="character" w:customStyle="1" w:styleId="Titre9Car1">
    <w:name w:val="Titre 9 Car1"/>
    <w:semiHidden/>
    <w:rsid w:val="00DC2EAE"/>
    <w:rPr>
      <w:rFonts w:ascii="Cambria" w:eastAsia="Times New Roman" w:hAnsi="Cambria" w:cs="Times New Roman"/>
      <w:snapToGrid w:val="0"/>
      <w:sz w:val="22"/>
      <w:szCs w:val="22"/>
      <w:lang w:val="ru-RU" w:eastAsia="en-US"/>
    </w:rPr>
  </w:style>
  <w:style w:type="paragraph" w:customStyle="1" w:styleId="Paragrafoelenco1">
    <w:name w:val="Paragrafo elenco1"/>
    <w:basedOn w:val="Normal"/>
    <w:uiPriority w:val="99"/>
    <w:rsid w:val="00DC2EAE"/>
    <w:pPr>
      <w:tabs>
        <w:tab w:val="clear" w:pos="567"/>
      </w:tabs>
      <w:suppressAutoHyphens/>
      <w:snapToGrid/>
      <w:ind w:left="720"/>
      <w:contextualSpacing/>
    </w:pPr>
    <w:rPr>
      <w:rFonts w:eastAsia="Simsun (Founder Extended)"/>
      <w:snapToGrid/>
      <w:lang w:eastAsia="ar-SA"/>
    </w:rPr>
  </w:style>
  <w:style w:type="character" w:styleId="FollowedHyperlink">
    <w:name w:val="FollowedHyperlink"/>
    <w:rsid w:val="00DC2EA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DC2EAE"/>
    <w:rPr>
      <w:rFonts w:ascii="Arial" w:eastAsia="PMingLiU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C2EAE"/>
    <w:rPr>
      <w:rFonts w:ascii="Arial" w:eastAsia="PMingLiU" w:hAnsi="Arial"/>
      <w:snapToGrid w:val="0"/>
      <w:lang w:val="ru-RU" w:eastAsia="en-US"/>
    </w:rPr>
  </w:style>
  <w:style w:type="character" w:styleId="EndnoteReference">
    <w:name w:val="endnote reference"/>
    <w:rsid w:val="00DC2EAE"/>
    <w:rPr>
      <w:vertAlign w:val="superscript"/>
    </w:rPr>
  </w:style>
  <w:style w:type="character" w:customStyle="1" w:styleId="Heading3Char">
    <w:name w:val="Heading 3 Char"/>
    <w:link w:val="Heading3"/>
    <w:rsid w:val="00DC2EAE"/>
    <w:rPr>
      <w:rFonts w:eastAsia="Times New Roman"/>
      <w:b/>
      <w:bCs/>
      <w:snapToGrid w:val="0"/>
      <w:sz w:val="24"/>
      <w:szCs w:val="24"/>
      <w:lang w:val="ru-RU" w:eastAsia="en-US"/>
    </w:rPr>
  </w:style>
  <w:style w:type="character" w:customStyle="1" w:styleId="FootnoteTextChar">
    <w:name w:val="Footnote Text Char"/>
    <w:link w:val="FootnoteText"/>
    <w:rsid w:val="00DC2EAE"/>
    <w:rPr>
      <w:rFonts w:eastAsia="Times New Roman"/>
      <w:snapToGrid w:val="0"/>
      <w:lang w:val="ru-RU" w:eastAsia="en-US"/>
    </w:rPr>
  </w:style>
  <w:style w:type="character" w:customStyle="1" w:styleId="Heading1Char">
    <w:name w:val="Heading 1 Char"/>
    <w:link w:val="Heading1"/>
    <w:uiPriority w:val="9"/>
    <w:rsid w:val="00DC2EAE"/>
    <w:rPr>
      <w:rFonts w:eastAsia="Times New Roman"/>
      <w:b/>
      <w:bCs/>
      <w:snapToGrid w:val="0"/>
      <w:kern w:val="28"/>
      <w:sz w:val="24"/>
      <w:szCs w:val="24"/>
      <w:lang w:eastAsia="en-US"/>
    </w:rPr>
  </w:style>
  <w:style w:type="paragraph" w:customStyle="1" w:styleId="ParaCOI">
    <w:name w:val="Para COI"/>
    <w:basedOn w:val="COI"/>
    <w:link w:val="ParaCOICar"/>
    <w:qFormat/>
    <w:rsid w:val="00DC2EAE"/>
    <w:pPr>
      <w:numPr>
        <w:numId w:val="26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DC2EAE"/>
    <w:rPr>
      <w:rFonts w:ascii="Arial" w:eastAsia="Times New Roman" w:hAnsi="Arial"/>
      <w:snapToGrid w:val="0"/>
      <w:sz w:val="22"/>
      <w:szCs w:val="22"/>
      <w:lang w:val="ru-RU"/>
    </w:rPr>
  </w:style>
  <w:style w:type="character" w:customStyle="1" w:styleId="Heading2Char">
    <w:name w:val="Heading 2 Char"/>
    <w:link w:val="Heading2"/>
    <w:rsid w:val="00DC2EAE"/>
    <w:rPr>
      <w:rFonts w:eastAsia="Times New Roman"/>
      <w:b/>
      <w:bCs/>
      <w:caps/>
      <w:snapToGrid w:val="0"/>
      <w:sz w:val="24"/>
      <w:szCs w:val="24"/>
      <w:lang w:val="ru-RU" w:eastAsia="en-US"/>
    </w:rPr>
  </w:style>
  <w:style w:type="character" w:customStyle="1" w:styleId="Heading4Char">
    <w:name w:val="Heading 4 Char"/>
    <w:link w:val="Heading4"/>
    <w:rsid w:val="00DC2EAE"/>
    <w:rPr>
      <w:rFonts w:eastAsia="Times New Roman"/>
      <w:b/>
      <w:bCs/>
      <w:snapToGrid w:val="0"/>
      <w:sz w:val="24"/>
      <w:szCs w:val="24"/>
      <w:lang w:val="ru-RU" w:eastAsia="en-US"/>
    </w:rPr>
  </w:style>
  <w:style w:type="character" w:customStyle="1" w:styleId="Heading5Char">
    <w:name w:val="Heading 5 Char"/>
    <w:link w:val="Heading5"/>
    <w:rsid w:val="00DC2EAE"/>
    <w:rPr>
      <w:rFonts w:eastAsia="Times New Roman"/>
      <w:b/>
      <w:bCs/>
      <w:snapToGrid w:val="0"/>
      <w:sz w:val="24"/>
      <w:szCs w:val="24"/>
      <w:lang w:val="ru-RU" w:eastAsia="en-US"/>
    </w:rPr>
  </w:style>
  <w:style w:type="character" w:customStyle="1" w:styleId="Heading6Char">
    <w:name w:val="Heading 6 Char"/>
    <w:link w:val="Heading6"/>
    <w:rsid w:val="00DC2EAE"/>
    <w:rPr>
      <w:rFonts w:eastAsia="Times New Roman"/>
      <w:b/>
      <w:iCs/>
      <w:snapToGrid w:val="0"/>
      <w:sz w:val="24"/>
      <w:szCs w:val="22"/>
      <w:lang w:val="ru-RU" w:eastAsia="en-US"/>
    </w:rPr>
  </w:style>
  <w:style w:type="character" w:customStyle="1" w:styleId="FooterChar">
    <w:name w:val="Footer Char"/>
    <w:link w:val="Footer"/>
    <w:rsid w:val="00DC2EAE"/>
    <w:rPr>
      <w:rFonts w:eastAsia="Times New Roman"/>
      <w:snapToGrid w:val="0"/>
      <w:sz w:val="24"/>
      <w:szCs w:val="24"/>
      <w:lang w:eastAsia="en-US"/>
    </w:rPr>
  </w:style>
  <w:style w:type="paragraph" w:customStyle="1" w:styleId="decis">
    <w:name w:val="decis"/>
    <w:basedOn w:val="BodyText"/>
    <w:rsid w:val="00DC2EAE"/>
    <w:pPr>
      <w:numPr>
        <w:numId w:val="27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DC2EAE"/>
    <w:pPr>
      <w:spacing w:after="120"/>
    </w:pPr>
    <w:rPr>
      <w:rFonts w:ascii="Arial" w:eastAsia="PMingLiU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C2EAE"/>
    <w:rPr>
      <w:rFonts w:ascii="Arial" w:eastAsia="PMingLiU" w:hAnsi="Arial"/>
      <w:snapToGrid w:val="0"/>
      <w:sz w:val="22"/>
      <w:szCs w:val="24"/>
      <w:lang w:val="ru-RU" w:eastAsia="en-US"/>
    </w:rPr>
  </w:style>
  <w:style w:type="paragraph" w:styleId="Revision">
    <w:name w:val="Revision"/>
    <w:hidden/>
    <w:uiPriority w:val="99"/>
    <w:semiHidden/>
    <w:rsid w:val="00DC2EAE"/>
    <w:rPr>
      <w:rFonts w:ascii="Arial" w:eastAsia="PMingLiU" w:hAnsi="Arial"/>
      <w:snapToGrid w:val="0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320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ar"/>
    <w:qFormat/>
    <w:rsid w:val="006B18B7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Style2Car">
    <w:name w:val="Style2 Car"/>
    <w:basedOn w:val="DefaultParagraphFont"/>
    <w:link w:val="Style2"/>
    <w:rsid w:val="006B18B7"/>
    <w:rPr>
      <w:rFonts w:ascii="Arial" w:eastAsia="Times New Roman" w:hAnsi="Arial"/>
      <w:iCs/>
      <w:snapToGrid w:val="0"/>
      <w:sz w:val="22"/>
      <w:szCs w:val="22"/>
      <w:shd w:val="clear" w:color="auto" w:fill="FFFFFF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79444.locale=en" TargetMode="External"/><Relationship Id="rId13" Type="http://schemas.openxmlformats.org/officeDocument/2006/relationships/hyperlink" Target="file:///\\hqfs\OurDrive\IOC\USERS\Boned\Executive%20Councils\EC-55\Working%20documents\IFAG%20report\EC-55-5-1-Doc2_xy_v0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\\hqfs\OurDrive\IOC\USERS\Boned\Executive%20Councils\EC-55\Working%20documents\IFAG%20report\EC-55-5-1-Doc2_xy_v0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055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047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304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ceanexpert.org/document/303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29205" TargetMode="External"/><Relationship Id="rId14" Type="http://schemas.openxmlformats.org/officeDocument/2006/relationships/hyperlink" Target="https://oceanexpert.org/document/28496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2523-44B5-490A-9AF7-C60B8992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1623</Words>
  <Characters>10937</Characters>
  <Application>Microsoft Office Word</Application>
  <DocSecurity>0</DocSecurity>
  <Lines>183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председателя Межсессионной финансовой_x000d_
консультативной группы_x000d_
(Межсессионный период: декабрь 2021 г. – июнь 2022 г.)_x000d_
</dc:title>
  <dc:subject>IOC/EC-55/5.1.Doc(2)</dc:subject>
  <dc:creator>UNESCO</dc:creator>
  <cp:keywords>0</cp:keywords>
  <dc:description/>
  <cp:lastModifiedBy>Chakhvorostova, Valentina</cp:lastModifiedBy>
  <cp:revision>8</cp:revision>
  <cp:lastPrinted>2022-05-23T16:06:00Z</cp:lastPrinted>
  <dcterms:created xsi:type="dcterms:W3CDTF">2022-06-14T07:24:00Z</dcterms:created>
  <dcterms:modified xsi:type="dcterms:W3CDTF">2022-06-14T07:50:00Z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DCPMS">
    <vt:lpwstr>2201651</vt:lpwstr>
  </property>
</Properties>
</file>