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6" w:type="dxa"/>
        <w:tblLayout w:type="fixed"/>
        <w:tblLook w:val="0000" w:firstRow="0" w:lastRow="0" w:firstColumn="0" w:lastColumn="0" w:noHBand="0" w:noVBand="0"/>
      </w:tblPr>
      <w:tblGrid>
        <w:gridCol w:w="6345"/>
        <w:gridCol w:w="2941"/>
      </w:tblGrid>
      <w:tr w:rsidR="004479B4" w:rsidRPr="00C74225" w14:paraId="2929177D" w14:textId="77777777" w:rsidTr="006F70FA">
        <w:tc>
          <w:tcPr>
            <w:tcW w:w="6345" w:type="dxa"/>
          </w:tcPr>
          <w:p w14:paraId="1150D309" w14:textId="77777777" w:rsidR="004479B4" w:rsidRPr="00046D9D" w:rsidRDefault="004479B4" w:rsidP="006F70FA">
            <w:pPr>
              <w:spacing w:after="240" w:line="360" w:lineRule="auto"/>
              <w:ind w:left="-105"/>
              <w:rPr>
                <w:rFonts w:cs="Arial"/>
                <w:szCs w:val="22"/>
              </w:rPr>
            </w:pPr>
            <w:r>
              <w:rPr>
                <w:rFonts w:cs="Arial"/>
                <w:szCs w:val="22"/>
              </w:rPr>
              <w:t>Distribution limitée</w:t>
            </w:r>
          </w:p>
          <w:p w14:paraId="64BCB58B" w14:textId="77777777" w:rsidR="004479B4" w:rsidRPr="00046D9D" w:rsidRDefault="004479B4" w:rsidP="007E6F7E">
            <w:pPr>
              <w:spacing w:after="240" w:line="360" w:lineRule="auto"/>
              <w:rPr>
                <w:rFonts w:cs="Arial"/>
                <w:szCs w:val="22"/>
              </w:rPr>
            </w:pPr>
          </w:p>
        </w:tc>
        <w:tc>
          <w:tcPr>
            <w:tcW w:w="2941" w:type="dxa"/>
          </w:tcPr>
          <w:p w14:paraId="368D74F5" w14:textId="3D3C483C" w:rsidR="004479B4" w:rsidRPr="00C74225" w:rsidRDefault="004479B4" w:rsidP="007E6F7E">
            <w:pPr>
              <w:rPr>
                <w:rFonts w:cs="Arial"/>
                <w:b/>
                <w:szCs w:val="22"/>
              </w:rPr>
            </w:pPr>
            <w:r>
              <w:rPr>
                <w:rFonts w:cs="Arial"/>
                <w:b/>
                <w:szCs w:val="22"/>
              </w:rPr>
              <w:t>EC</w:t>
            </w:r>
            <w:r w:rsidRPr="00C74225">
              <w:rPr>
                <w:rFonts w:cs="Arial"/>
                <w:b/>
                <w:szCs w:val="22"/>
              </w:rPr>
              <w:t>-</w:t>
            </w:r>
            <w:r>
              <w:rPr>
                <w:rFonts w:cs="Arial"/>
                <w:b/>
                <w:szCs w:val="22"/>
              </w:rPr>
              <w:t>55</w:t>
            </w:r>
            <w:r w:rsidRPr="00C74225">
              <w:rPr>
                <w:rFonts w:cs="Arial"/>
                <w:b/>
                <w:szCs w:val="22"/>
              </w:rPr>
              <w:t>/DR.[</w:t>
            </w:r>
            <w:r>
              <w:rPr>
                <w:rFonts w:cs="Arial"/>
                <w:b/>
                <w:szCs w:val="22"/>
              </w:rPr>
              <w:t>4.1</w:t>
            </w:r>
            <w:r w:rsidRPr="00C74225">
              <w:rPr>
                <w:rFonts w:cs="Arial"/>
                <w:b/>
                <w:szCs w:val="22"/>
              </w:rPr>
              <w:t>]</w:t>
            </w:r>
            <w:r>
              <w:rPr>
                <w:rFonts w:cs="Arial"/>
                <w:b/>
                <w:szCs w:val="22"/>
              </w:rPr>
              <w:t xml:space="preserve"> Rev.</w:t>
            </w:r>
          </w:p>
          <w:p w14:paraId="6BCC9E36" w14:textId="5DD282D3" w:rsidR="004479B4" w:rsidRPr="00C74225" w:rsidRDefault="004479B4" w:rsidP="007E6F7E">
            <w:pPr>
              <w:rPr>
                <w:rFonts w:cs="Arial"/>
                <w:szCs w:val="22"/>
              </w:rPr>
            </w:pPr>
            <w:r w:rsidRPr="00C74225">
              <w:rPr>
                <w:rFonts w:cs="Arial"/>
                <w:szCs w:val="22"/>
              </w:rPr>
              <w:t xml:space="preserve">Paris, le </w:t>
            </w:r>
            <w:r>
              <w:rPr>
                <w:rFonts w:cs="Arial"/>
                <w:szCs w:val="22"/>
              </w:rPr>
              <w:t>1</w:t>
            </w:r>
            <w:r w:rsidR="009355A4">
              <w:rPr>
                <w:rFonts w:cs="Arial"/>
                <w:szCs w:val="22"/>
              </w:rPr>
              <w:t>4</w:t>
            </w:r>
            <w:r>
              <w:rPr>
                <w:rFonts w:cs="Arial"/>
                <w:szCs w:val="22"/>
              </w:rPr>
              <w:t> juin</w:t>
            </w:r>
            <w:r w:rsidRPr="00C74225">
              <w:rPr>
                <w:rFonts w:cs="Arial"/>
                <w:szCs w:val="22"/>
              </w:rPr>
              <w:t xml:space="preserve"> 202</w:t>
            </w:r>
            <w:r>
              <w:rPr>
                <w:rFonts w:cs="Arial"/>
                <w:szCs w:val="22"/>
              </w:rPr>
              <w:t>2</w:t>
            </w:r>
          </w:p>
          <w:p w14:paraId="23DE7B33" w14:textId="77777777" w:rsidR="004479B4" w:rsidRPr="00C74225" w:rsidRDefault="004479B4" w:rsidP="007E6F7E">
            <w:pPr>
              <w:pStyle w:val="En-tte"/>
              <w:tabs>
                <w:tab w:val="left" w:pos="709"/>
              </w:tabs>
              <w:spacing w:after="240" w:line="360" w:lineRule="auto"/>
              <w:rPr>
                <w:rFonts w:cs="Arial"/>
                <w:sz w:val="22"/>
                <w:szCs w:val="22"/>
              </w:rPr>
            </w:pPr>
            <w:r w:rsidRPr="00C74225">
              <w:rPr>
                <w:rFonts w:cs="Arial"/>
                <w:sz w:val="22"/>
                <w:szCs w:val="22"/>
              </w:rPr>
              <w:t>Original</w:t>
            </w:r>
            <w:r>
              <w:rPr>
                <w:rFonts w:cs="Arial"/>
                <w:sz w:val="22"/>
                <w:szCs w:val="22"/>
              </w:rPr>
              <w:t xml:space="preserve"> anglais</w:t>
            </w:r>
          </w:p>
        </w:tc>
      </w:tr>
    </w:tbl>
    <w:p w14:paraId="2876E696" w14:textId="05BB706C" w:rsidR="004479B4" w:rsidRPr="004479B4" w:rsidRDefault="004479B4" w:rsidP="004479B4">
      <w:pPr>
        <w:spacing w:after="240"/>
        <w:rPr>
          <w:rFonts w:eastAsia="Calibri" w:cs="Arial"/>
          <w:b/>
          <w:bCs/>
          <w:i/>
          <w:iCs/>
          <w:szCs w:val="22"/>
        </w:rPr>
      </w:pPr>
      <w:r w:rsidRPr="004479B4">
        <w:rPr>
          <w:rFonts w:eastAsia="Calibri" w:cs="Arial"/>
          <w:b/>
          <w:bCs/>
          <w:szCs w:val="22"/>
          <w:u w:val="single"/>
          <w:lang w:val="fr"/>
        </w:rPr>
        <w:t>Projet de résolution EC-55/[4.1]</w:t>
      </w:r>
      <w:r w:rsidRPr="004479B4">
        <w:rPr>
          <w:rFonts w:eastAsia="Calibri" w:cs="Arial"/>
          <w:b/>
          <w:bCs/>
          <w:szCs w:val="22"/>
          <w:lang w:val="fr"/>
        </w:rPr>
        <w:t xml:space="preserve"> </w:t>
      </w:r>
    </w:p>
    <w:p w14:paraId="7478C99A" w14:textId="2A454DA8" w:rsidR="004479B4" w:rsidRPr="00731EA5" w:rsidRDefault="004479B4" w:rsidP="004479B4">
      <w:pPr>
        <w:spacing w:after="240"/>
        <w:jc w:val="both"/>
        <w:rPr>
          <w:rFonts w:eastAsia="Calibri" w:cs="Arial"/>
          <w:spacing w:val="-4"/>
          <w:szCs w:val="22"/>
          <w:lang w:val="fr"/>
        </w:rPr>
      </w:pPr>
      <w:r w:rsidRPr="00731EA5">
        <w:rPr>
          <w:rFonts w:eastAsia="Calibri" w:cs="Arial"/>
          <w:spacing w:val="-4"/>
          <w:szCs w:val="22"/>
          <w:lang w:val="fr"/>
        </w:rPr>
        <w:t xml:space="preserve">Présenté par </w:t>
      </w:r>
      <w:r w:rsidR="009355A4">
        <w:rPr>
          <w:rFonts w:eastAsia="Calibri" w:cs="Arial"/>
          <w:spacing w:val="-4"/>
          <w:szCs w:val="22"/>
          <w:lang w:val="fr"/>
        </w:rPr>
        <w:t xml:space="preserve">le Brésil, </w:t>
      </w:r>
      <w:r w:rsidR="009355A4" w:rsidRPr="00731EA5">
        <w:rPr>
          <w:rFonts w:eastAsia="Calibri" w:cs="Arial"/>
          <w:spacing w:val="-4"/>
          <w:szCs w:val="22"/>
          <w:lang w:val="fr"/>
        </w:rPr>
        <w:t>la Colombie</w:t>
      </w:r>
      <w:r w:rsidR="009355A4">
        <w:rPr>
          <w:rFonts w:eastAsia="Calibri" w:cs="Arial"/>
          <w:spacing w:val="-4"/>
          <w:szCs w:val="22"/>
          <w:lang w:val="fr"/>
        </w:rPr>
        <w:t>,</w:t>
      </w:r>
      <w:r w:rsidR="009355A4" w:rsidRPr="00731EA5">
        <w:rPr>
          <w:rFonts w:eastAsia="Calibri" w:cs="Arial"/>
          <w:spacing w:val="-4"/>
          <w:szCs w:val="22"/>
          <w:lang w:val="fr"/>
        </w:rPr>
        <w:t xml:space="preserve"> </w:t>
      </w:r>
      <w:r w:rsidRPr="00731EA5">
        <w:rPr>
          <w:rFonts w:eastAsia="Calibri" w:cs="Arial"/>
          <w:spacing w:val="-4"/>
          <w:szCs w:val="22"/>
          <w:lang w:val="fr"/>
        </w:rPr>
        <w:t>l</w:t>
      </w:r>
      <w:r>
        <w:rPr>
          <w:rFonts w:eastAsia="Calibri" w:cs="Arial"/>
          <w:spacing w:val="-4"/>
          <w:szCs w:val="22"/>
          <w:lang w:val="fr"/>
        </w:rPr>
        <w:t>’</w:t>
      </w:r>
      <w:r w:rsidRPr="00731EA5">
        <w:rPr>
          <w:rFonts w:eastAsia="Calibri" w:cs="Arial"/>
          <w:spacing w:val="-4"/>
          <w:szCs w:val="22"/>
          <w:lang w:val="fr"/>
        </w:rPr>
        <w:t>Inde</w:t>
      </w:r>
      <w:r w:rsidR="009355A4">
        <w:rPr>
          <w:rFonts w:eastAsia="Calibri" w:cs="Arial"/>
          <w:spacing w:val="-4"/>
          <w:szCs w:val="22"/>
          <w:lang w:val="fr"/>
        </w:rPr>
        <w:t xml:space="preserve"> et</w:t>
      </w:r>
      <w:r w:rsidRPr="00731EA5">
        <w:rPr>
          <w:rFonts w:eastAsia="Calibri" w:cs="Arial"/>
          <w:spacing w:val="-4"/>
          <w:szCs w:val="22"/>
          <w:lang w:val="fr"/>
        </w:rPr>
        <w:t xml:space="preserve"> </w:t>
      </w:r>
      <w:r>
        <w:rPr>
          <w:rFonts w:eastAsia="Calibri" w:cs="Arial"/>
          <w:spacing w:val="-4"/>
          <w:szCs w:val="22"/>
          <w:lang w:val="fr"/>
        </w:rPr>
        <w:t>le Maroc</w:t>
      </w:r>
    </w:p>
    <w:p w14:paraId="58DB133A" w14:textId="3007D7CD" w:rsidR="004479B4" w:rsidRPr="00E554BF" w:rsidRDefault="004479B4" w:rsidP="004479B4">
      <w:pPr>
        <w:spacing w:after="240"/>
        <w:rPr>
          <w:rFonts w:eastAsia="Calibri" w:cs="Arial"/>
          <w:i/>
          <w:szCs w:val="22"/>
        </w:rPr>
      </w:pPr>
      <w:r w:rsidRPr="00E554BF">
        <w:rPr>
          <w:rFonts w:eastAsia="Calibri" w:cs="Arial"/>
          <w:szCs w:val="22"/>
          <w:lang w:val="fr"/>
        </w:rPr>
        <w:t xml:space="preserve">Point </w:t>
      </w:r>
      <w:r w:rsidRPr="004479B4">
        <w:rPr>
          <w:rFonts w:eastAsia="Calibri" w:cs="Arial"/>
          <w:b/>
          <w:bCs/>
          <w:szCs w:val="22"/>
          <w:lang w:val="fr"/>
        </w:rPr>
        <w:t>4.1</w:t>
      </w:r>
      <w:r w:rsidRPr="00E554BF">
        <w:rPr>
          <w:rFonts w:eastAsia="Calibri" w:cs="Arial"/>
          <w:szCs w:val="22"/>
          <w:lang w:val="fr"/>
        </w:rPr>
        <w:t xml:space="preserve"> de l</w:t>
      </w:r>
      <w:r>
        <w:rPr>
          <w:rFonts w:eastAsia="Calibri" w:cs="Arial"/>
          <w:szCs w:val="22"/>
          <w:lang w:val="fr"/>
        </w:rPr>
        <w:t>’</w:t>
      </w:r>
      <w:r w:rsidRPr="00E554BF">
        <w:rPr>
          <w:rFonts w:eastAsia="Calibri" w:cs="Arial"/>
          <w:szCs w:val="22"/>
          <w:lang w:val="fr"/>
        </w:rPr>
        <w:t>ordre du jour</w:t>
      </w:r>
    </w:p>
    <w:p w14:paraId="1ABCED29" w14:textId="62A67F98" w:rsidR="000E79DE" w:rsidRDefault="004479B4" w:rsidP="0010033D">
      <w:pPr>
        <w:pStyle w:val="Marge"/>
        <w:jc w:val="left"/>
        <w:rPr>
          <w:rFonts w:eastAsia="Calibri" w:cs="Arial"/>
          <w:b/>
          <w:bCs/>
          <w:szCs w:val="22"/>
          <w:lang w:val="fr"/>
        </w:rPr>
      </w:pPr>
      <w:r w:rsidRPr="00E554BF">
        <w:rPr>
          <w:rFonts w:eastAsia="Calibri" w:cs="Arial"/>
          <w:b/>
          <w:bCs/>
          <w:szCs w:val="22"/>
          <w:lang w:val="fr"/>
        </w:rPr>
        <w:t>MISE EN ŒUVRE DE</w:t>
      </w:r>
      <w:r>
        <w:rPr>
          <w:rFonts w:eastAsia="Calibri" w:cs="Arial"/>
          <w:b/>
          <w:bCs/>
          <w:szCs w:val="22"/>
          <w:lang w:val="fr"/>
        </w:rPr>
        <w:t xml:space="preserve"> LA DÉCENNIE DES NATIONS</w:t>
      </w:r>
      <w:r w:rsidR="006F70FA">
        <w:rPr>
          <w:rFonts w:eastAsia="Calibri" w:cs="Arial"/>
          <w:b/>
          <w:bCs/>
          <w:szCs w:val="22"/>
          <w:lang w:val="fr"/>
        </w:rPr>
        <w:t> </w:t>
      </w:r>
      <w:r>
        <w:rPr>
          <w:rFonts w:eastAsia="Calibri" w:cs="Arial"/>
          <w:b/>
          <w:bCs/>
          <w:szCs w:val="22"/>
          <w:lang w:val="fr"/>
        </w:rPr>
        <w:t xml:space="preserve">UNIES POUR LES SCIENCES </w:t>
      </w:r>
      <w:r w:rsidR="006F70FA">
        <w:rPr>
          <w:rFonts w:eastAsia="Calibri" w:cs="Arial"/>
          <w:b/>
          <w:bCs/>
          <w:szCs w:val="22"/>
          <w:lang w:val="fr"/>
        </w:rPr>
        <w:br/>
      </w:r>
      <w:r>
        <w:rPr>
          <w:rFonts w:eastAsia="Calibri" w:cs="Arial"/>
          <w:b/>
          <w:bCs/>
          <w:szCs w:val="22"/>
          <w:lang w:val="fr"/>
        </w:rPr>
        <w:t>OCÉANIQUES AU SERVICE DU DÉVELOPPEMENT DURABLE (2021-2030)</w:t>
      </w:r>
    </w:p>
    <w:p w14:paraId="25FD4509" w14:textId="77777777" w:rsidR="004479B4" w:rsidRPr="004479B4" w:rsidRDefault="004479B4" w:rsidP="003A36A2">
      <w:pPr>
        <w:widowControl w:val="0"/>
        <w:tabs>
          <w:tab w:val="clear" w:pos="567"/>
        </w:tabs>
        <w:adjustRightInd w:val="0"/>
        <w:snapToGrid/>
        <w:spacing w:after="240"/>
        <w:ind w:left="709" w:hanging="709"/>
        <w:jc w:val="both"/>
        <w:textAlignment w:val="baseline"/>
        <w:rPr>
          <w:rFonts w:cs="Arial"/>
          <w:snapToGrid/>
          <w:szCs w:val="22"/>
          <w:lang w:eastAsia="en-GB"/>
        </w:rPr>
      </w:pPr>
      <w:r w:rsidRPr="004479B4">
        <w:rPr>
          <w:rFonts w:cs="Arial"/>
          <w:snapToGrid/>
          <w:szCs w:val="22"/>
          <w:lang w:eastAsia="en-GB"/>
        </w:rPr>
        <w:t xml:space="preserve">Le Conseil exécutif, </w:t>
      </w:r>
    </w:p>
    <w:p w14:paraId="004E2218" w14:textId="4DB42F84" w:rsidR="004479B4" w:rsidRPr="004479B4" w:rsidRDefault="004479B4" w:rsidP="003A36A2">
      <w:pPr>
        <w:tabs>
          <w:tab w:val="clear" w:pos="567"/>
        </w:tabs>
        <w:adjustRightInd w:val="0"/>
        <w:snapToGrid/>
        <w:spacing w:after="240"/>
        <w:ind w:left="567" w:hanging="567"/>
        <w:jc w:val="both"/>
        <w:textAlignment w:val="baseline"/>
        <w:rPr>
          <w:rFonts w:eastAsia="MS Mincho" w:cs="Arial"/>
          <w:snapToGrid/>
          <w:szCs w:val="22"/>
          <w:lang w:eastAsia="ja-JP"/>
        </w:rPr>
      </w:pPr>
      <w:r w:rsidRPr="004479B4">
        <w:rPr>
          <w:rFonts w:eastAsia="MS Mincho" w:cs="Arial"/>
          <w:snapToGrid/>
          <w:szCs w:val="22"/>
          <w:lang w:eastAsia="ja-JP"/>
        </w:rPr>
        <w:t>1.</w:t>
      </w:r>
      <w:r w:rsidRPr="004479B4">
        <w:rPr>
          <w:rFonts w:eastAsia="MS Mincho" w:cs="Arial"/>
          <w:snapToGrid/>
          <w:szCs w:val="22"/>
          <w:lang w:eastAsia="ja-JP"/>
        </w:rPr>
        <w:tab/>
      </w:r>
      <w:r w:rsidRPr="004479B4">
        <w:rPr>
          <w:rFonts w:eastAsia="MS Mincho" w:cs="Arial"/>
          <w:b/>
          <w:bCs/>
          <w:snapToGrid/>
          <w:szCs w:val="22"/>
          <w:lang w:eastAsia="ja-JP"/>
        </w:rPr>
        <w:t xml:space="preserve">Rappelant </w:t>
      </w:r>
      <w:r w:rsidRPr="004479B4">
        <w:rPr>
          <w:rFonts w:ascii="ArialMT" w:eastAsia="MS Mincho" w:hAnsi="ArialMT"/>
          <w:snapToGrid/>
          <w:color w:val="000000"/>
          <w:szCs w:val="22"/>
          <w:lang w:eastAsia="ja-JP"/>
        </w:rPr>
        <w:t>l</w:t>
      </w:r>
      <w:r w:rsidR="009355A4">
        <w:rPr>
          <w:rFonts w:ascii="ArialMT" w:eastAsia="MS Mincho" w:hAnsi="ArialMT"/>
          <w:snapToGrid/>
          <w:color w:val="000000"/>
          <w:szCs w:val="22"/>
          <w:lang w:eastAsia="ja-JP"/>
        </w:rPr>
        <w:t>es</w:t>
      </w:r>
      <w:r w:rsidRPr="004479B4">
        <w:rPr>
          <w:rFonts w:ascii="ArialMT" w:eastAsia="MS Mincho" w:hAnsi="ArialMT"/>
          <w:snapToGrid/>
          <w:color w:val="000000"/>
          <w:szCs w:val="22"/>
          <w:lang w:eastAsia="ja-JP"/>
        </w:rPr>
        <w:t xml:space="preserve"> résolution</w:t>
      </w:r>
      <w:r w:rsidR="009355A4">
        <w:rPr>
          <w:rFonts w:ascii="ArialMT" w:eastAsia="MS Mincho" w:hAnsi="ArialMT"/>
          <w:snapToGrid/>
          <w:color w:val="000000"/>
          <w:szCs w:val="22"/>
          <w:lang w:eastAsia="ja-JP"/>
        </w:rPr>
        <w:t>s</w:t>
      </w:r>
      <w:r w:rsidRPr="004479B4">
        <w:rPr>
          <w:rFonts w:ascii="ArialMT" w:eastAsia="MS Mincho" w:hAnsi="ArialMT"/>
          <w:snapToGrid/>
          <w:color w:val="000000"/>
          <w:szCs w:val="22"/>
          <w:lang w:eastAsia="ja-JP"/>
        </w:rPr>
        <w:t xml:space="preserve"> EC-53/1</w:t>
      </w:r>
      <w:r w:rsidR="009355A4">
        <w:rPr>
          <w:rFonts w:ascii="ArialMT" w:eastAsia="MS Mincho" w:hAnsi="ArialMT"/>
          <w:snapToGrid/>
          <w:color w:val="000000"/>
          <w:szCs w:val="22"/>
          <w:lang w:eastAsia="ja-JP"/>
        </w:rPr>
        <w:t xml:space="preserve"> et A-31/1</w:t>
      </w:r>
      <w:r w:rsidRPr="004479B4">
        <w:rPr>
          <w:rFonts w:ascii="ArialMT" w:eastAsia="MS Mincho" w:hAnsi="ArialMT"/>
          <w:snapToGrid/>
          <w:color w:val="000000"/>
          <w:szCs w:val="22"/>
          <w:lang w:eastAsia="ja-JP"/>
        </w:rPr>
        <w:t xml:space="preserve"> de la COI sur la mise en œuvre de la Décennie des Nations</w:t>
      </w:r>
      <w:r w:rsidR="003A36A2">
        <w:rPr>
          <w:rFonts w:ascii="ArialMT" w:eastAsia="MS Mincho" w:hAnsi="ArialMT"/>
          <w:snapToGrid/>
          <w:color w:val="000000"/>
          <w:szCs w:val="22"/>
          <w:lang w:eastAsia="ja-JP"/>
        </w:rPr>
        <w:t> </w:t>
      </w:r>
      <w:r w:rsidRPr="004479B4">
        <w:rPr>
          <w:rFonts w:ascii="ArialMT" w:eastAsia="MS Mincho" w:hAnsi="ArialMT"/>
          <w:snapToGrid/>
          <w:color w:val="000000"/>
          <w:szCs w:val="22"/>
          <w:lang w:eastAsia="ja-JP"/>
        </w:rPr>
        <w:t>Unies pour les sciences océaniques au service du développement durable (2021-2030</w:t>
      </w:r>
      <w:r w:rsidRPr="004479B4">
        <w:rPr>
          <w:rFonts w:ascii="ArialMT" w:eastAsia="MS Mincho" w:hAnsi="ArialMT"/>
          <w:snapToGrid/>
          <w:szCs w:val="22"/>
          <w:lang w:eastAsia="ja-JP"/>
        </w:rPr>
        <w:t>),</w:t>
      </w:r>
      <w:r w:rsidR="009355A4">
        <w:rPr>
          <w:rFonts w:ascii="ArialMT" w:eastAsia="MS Mincho" w:hAnsi="ArialMT"/>
          <w:snapToGrid/>
          <w:szCs w:val="22"/>
          <w:lang w:eastAsia="ja-JP"/>
        </w:rPr>
        <w:t xml:space="preserve"> ci-après la Décennie,</w:t>
      </w:r>
      <w:r w:rsidRPr="004479B4">
        <w:rPr>
          <w:rFonts w:ascii="ArialMT" w:eastAsia="MS Mincho" w:hAnsi="ArialMT"/>
          <w:snapToGrid/>
          <w:szCs w:val="22"/>
          <w:lang w:eastAsia="ja-JP"/>
        </w:rPr>
        <w:t xml:space="preserve"> </w:t>
      </w:r>
    </w:p>
    <w:p w14:paraId="507EB28F" w14:textId="77777777" w:rsidR="004479B4" w:rsidRPr="004479B4" w:rsidRDefault="004479B4" w:rsidP="003A36A2">
      <w:pPr>
        <w:keepNext/>
        <w:keepLines/>
        <w:widowControl w:val="0"/>
        <w:tabs>
          <w:tab w:val="clear" w:pos="567"/>
        </w:tabs>
        <w:adjustRightInd w:val="0"/>
        <w:snapToGrid/>
        <w:spacing w:after="240"/>
        <w:jc w:val="center"/>
        <w:textAlignment w:val="baseline"/>
        <w:rPr>
          <w:rFonts w:cs="Arial"/>
          <w:b/>
          <w:bCs/>
          <w:snapToGrid/>
          <w:szCs w:val="22"/>
          <w:lang w:eastAsia="en-GB"/>
        </w:rPr>
      </w:pPr>
      <w:r w:rsidRPr="004479B4">
        <w:rPr>
          <w:rFonts w:cs="Arial"/>
          <w:b/>
          <w:bCs/>
          <w:snapToGrid/>
          <w:szCs w:val="22"/>
          <w:lang w:eastAsia="en-GB"/>
        </w:rPr>
        <w:t>Partie 1 – Coordination de la Décennie</w:t>
      </w:r>
    </w:p>
    <w:p w14:paraId="2794E880" w14:textId="58AC755E" w:rsidR="004479B4" w:rsidRPr="004479B4" w:rsidRDefault="004479B4" w:rsidP="003A36A2">
      <w:pPr>
        <w:keepNext/>
        <w:keepLines/>
        <w:widowControl w:val="0"/>
        <w:tabs>
          <w:tab w:val="clear" w:pos="567"/>
        </w:tabs>
        <w:adjustRightInd w:val="0"/>
        <w:snapToGrid/>
        <w:spacing w:after="240"/>
        <w:ind w:left="567" w:hanging="567"/>
        <w:jc w:val="both"/>
        <w:textAlignment w:val="baseline"/>
        <w:rPr>
          <w:rFonts w:cs="Arial"/>
          <w:snapToGrid/>
          <w:szCs w:val="22"/>
          <w:lang w:eastAsia="en-GB"/>
        </w:rPr>
      </w:pPr>
      <w:r w:rsidRPr="004479B4">
        <w:rPr>
          <w:rFonts w:cs="Arial"/>
          <w:bCs/>
          <w:snapToGrid/>
          <w:szCs w:val="22"/>
          <w:lang w:eastAsia="en-GB"/>
        </w:rPr>
        <w:t>2.</w:t>
      </w:r>
      <w:r w:rsidRPr="004479B4">
        <w:rPr>
          <w:rFonts w:cs="Arial"/>
          <w:bCs/>
          <w:snapToGrid/>
          <w:szCs w:val="22"/>
          <w:lang w:eastAsia="en-GB"/>
        </w:rPr>
        <w:tab/>
      </w:r>
      <w:r w:rsidRPr="004479B4">
        <w:rPr>
          <w:rFonts w:cs="Arial"/>
          <w:b/>
          <w:snapToGrid/>
          <w:szCs w:val="22"/>
          <w:lang w:eastAsia="en-GB"/>
        </w:rPr>
        <w:t>Prenant en considération</w:t>
      </w:r>
      <w:r w:rsidRPr="004479B4">
        <w:rPr>
          <w:rFonts w:cs="Arial"/>
          <w:snapToGrid/>
          <w:szCs w:val="22"/>
          <w:lang w:eastAsia="en-GB"/>
        </w:rPr>
        <w:t xml:space="preserve"> le document IOC/EC-55/4.1.Doc(1) sur l’état de la mise en œuvre de la Décennie </w:t>
      </w:r>
      <w:r w:rsidR="009355A4">
        <w:rPr>
          <w:rFonts w:cs="Arial"/>
          <w:snapToGrid/>
          <w:szCs w:val="22"/>
          <w:lang w:eastAsia="en-GB"/>
        </w:rPr>
        <w:t>des Nations</w:t>
      </w:r>
      <w:r w:rsidR="00982930">
        <w:rPr>
          <w:rFonts w:cs="Arial"/>
          <w:snapToGrid/>
          <w:szCs w:val="22"/>
          <w:lang w:eastAsia="en-GB"/>
        </w:rPr>
        <w:t> </w:t>
      </w:r>
      <w:r w:rsidR="009355A4">
        <w:rPr>
          <w:rFonts w:cs="Arial"/>
          <w:snapToGrid/>
          <w:szCs w:val="22"/>
          <w:lang w:eastAsia="en-GB"/>
        </w:rPr>
        <w:t>Unies pour les sciences océaniques au service du développement durable</w:t>
      </w:r>
      <w:r w:rsidR="00982930">
        <w:rPr>
          <w:rFonts w:cs="Arial"/>
          <w:snapToGrid/>
          <w:szCs w:val="22"/>
          <w:lang w:eastAsia="en-GB"/>
        </w:rPr>
        <w:t xml:space="preserve"> (2021</w:t>
      </w:r>
      <w:r w:rsidR="00982930">
        <w:rPr>
          <w:rFonts w:cs="Arial"/>
          <w:snapToGrid/>
          <w:szCs w:val="22"/>
          <w:lang w:eastAsia="en-GB"/>
        </w:rPr>
        <w:noBreakHyphen/>
        <w:t>2030)</w:t>
      </w:r>
      <w:r w:rsidRPr="004479B4">
        <w:rPr>
          <w:rFonts w:cs="Arial"/>
          <w:snapToGrid/>
          <w:szCs w:val="22"/>
          <w:lang w:eastAsia="en-GB"/>
        </w:rPr>
        <w:t xml:space="preserve"> et son addendum contenant les résultats du 2</w:t>
      </w:r>
      <w:r w:rsidRPr="004479B4">
        <w:rPr>
          <w:rFonts w:cs="Arial"/>
          <w:snapToGrid/>
          <w:szCs w:val="22"/>
          <w:vertAlign w:val="superscript"/>
          <w:lang w:eastAsia="en-GB"/>
        </w:rPr>
        <w:t>e</w:t>
      </w:r>
      <w:r w:rsidRPr="004479B4">
        <w:rPr>
          <w:rFonts w:cs="Arial"/>
          <w:snapToGrid/>
          <w:szCs w:val="22"/>
          <w:lang w:eastAsia="en-GB"/>
        </w:rPr>
        <w:t> Appel à l’action de la Décennie et précisant la portée du 3</w:t>
      </w:r>
      <w:r w:rsidRPr="004479B4">
        <w:rPr>
          <w:rFonts w:cs="Arial"/>
          <w:snapToGrid/>
          <w:szCs w:val="22"/>
          <w:vertAlign w:val="superscript"/>
          <w:lang w:eastAsia="en-GB"/>
        </w:rPr>
        <w:t>e</w:t>
      </w:r>
      <w:r w:rsidRPr="004479B4">
        <w:rPr>
          <w:rFonts w:cs="Arial"/>
          <w:snapToGrid/>
          <w:szCs w:val="22"/>
          <w:lang w:eastAsia="en-GB"/>
        </w:rPr>
        <w:t> Appel,</w:t>
      </w:r>
    </w:p>
    <w:p w14:paraId="16A8427B" w14:textId="77777777" w:rsidR="004479B4" w:rsidRPr="004479B4" w:rsidRDefault="004479B4" w:rsidP="003A36A2">
      <w:pPr>
        <w:widowControl w:val="0"/>
        <w:tabs>
          <w:tab w:val="clear" w:pos="567"/>
        </w:tabs>
        <w:adjustRightInd w:val="0"/>
        <w:snapToGrid/>
        <w:spacing w:after="240"/>
        <w:ind w:left="567" w:hanging="567"/>
        <w:jc w:val="both"/>
        <w:textAlignment w:val="baseline"/>
        <w:rPr>
          <w:rFonts w:cs="Arial"/>
          <w:snapToGrid/>
          <w:szCs w:val="22"/>
          <w:lang w:eastAsia="en-GB"/>
        </w:rPr>
      </w:pPr>
      <w:r w:rsidRPr="004479B4">
        <w:rPr>
          <w:rFonts w:cs="Arial"/>
          <w:bCs/>
          <w:snapToGrid/>
          <w:szCs w:val="22"/>
          <w:lang w:eastAsia="en-GB"/>
        </w:rPr>
        <w:t>3.</w:t>
      </w:r>
      <w:r w:rsidRPr="004479B4">
        <w:rPr>
          <w:rFonts w:cs="Arial"/>
          <w:b/>
          <w:snapToGrid/>
          <w:szCs w:val="22"/>
          <w:lang w:eastAsia="en-GB"/>
        </w:rPr>
        <w:tab/>
        <w:t>Prend note</w:t>
      </w:r>
      <w:r w:rsidRPr="004479B4">
        <w:rPr>
          <w:rFonts w:cs="Arial"/>
          <w:snapToGrid/>
          <w:szCs w:val="22"/>
          <w:lang w:eastAsia="en-GB"/>
        </w:rPr>
        <w:t xml:space="preserve"> de la mise en place des mécanismes de coordination de la Décennie (bureaux de coordination de la Décennie, centres collaboratifs de la Décennie, partenaires de mise en œuvre de la Décennie, comités nationaux de la Décennie) tels que présentés dans le document IOC/INF-1413 ; </w:t>
      </w:r>
    </w:p>
    <w:p w14:paraId="500B2334" w14:textId="77777777" w:rsidR="004479B4" w:rsidRPr="004479B4" w:rsidRDefault="004479B4" w:rsidP="003A36A2">
      <w:pPr>
        <w:widowControl w:val="0"/>
        <w:tabs>
          <w:tab w:val="clear" w:pos="567"/>
        </w:tabs>
        <w:adjustRightInd w:val="0"/>
        <w:snapToGrid/>
        <w:spacing w:after="240"/>
        <w:ind w:left="567" w:hanging="567"/>
        <w:jc w:val="both"/>
        <w:textAlignment w:val="baseline"/>
        <w:rPr>
          <w:rFonts w:cs="Arial"/>
          <w:snapToGrid/>
          <w:szCs w:val="22"/>
          <w:lang w:eastAsia="en-GB"/>
        </w:rPr>
      </w:pPr>
      <w:r w:rsidRPr="004479B4">
        <w:rPr>
          <w:rFonts w:cs="Arial"/>
          <w:bCs/>
          <w:snapToGrid/>
          <w:szCs w:val="22"/>
          <w:lang w:eastAsia="en-GB"/>
        </w:rPr>
        <w:t>4.</w:t>
      </w:r>
      <w:r w:rsidRPr="004479B4">
        <w:rPr>
          <w:rFonts w:cs="Arial"/>
          <w:bCs/>
          <w:snapToGrid/>
          <w:szCs w:val="22"/>
          <w:lang w:eastAsia="en-GB"/>
        </w:rPr>
        <w:tab/>
      </w:r>
      <w:r w:rsidRPr="004479B4">
        <w:rPr>
          <w:rFonts w:cs="Arial"/>
          <w:b/>
          <w:snapToGrid/>
          <w:szCs w:val="22"/>
          <w:lang w:eastAsia="en-GB"/>
        </w:rPr>
        <w:t>Prend note également</w:t>
      </w:r>
      <w:r w:rsidRPr="004479B4">
        <w:rPr>
          <w:rFonts w:cs="Arial"/>
          <w:snapToGrid/>
          <w:szCs w:val="22"/>
          <w:lang w:eastAsia="en-GB"/>
        </w:rPr>
        <w:t xml:space="preserve"> de la création du Comité consultatif de la Décennie et de son règlement intérieur tel que présenté dans le document IOC/INF-1414 ; </w:t>
      </w:r>
    </w:p>
    <w:p w14:paraId="56525669" w14:textId="77777777" w:rsidR="004479B4" w:rsidRPr="004479B4" w:rsidRDefault="004479B4" w:rsidP="003A36A2">
      <w:pPr>
        <w:widowControl w:val="0"/>
        <w:tabs>
          <w:tab w:val="clear" w:pos="567"/>
        </w:tabs>
        <w:adjustRightInd w:val="0"/>
        <w:snapToGrid/>
        <w:spacing w:after="240"/>
        <w:ind w:left="567" w:hanging="567"/>
        <w:jc w:val="both"/>
        <w:textAlignment w:val="baseline"/>
        <w:rPr>
          <w:rFonts w:cs="Arial"/>
          <w:snapToGrid/>
          <w:szCs w:val="22"/>
          <w:lang w:eastAsia="en-GB"/>
        </w:rPr>
      </w:pPr>
      <w:r w:rsidRPr="004479B4">
        <w:rPr>
          <w:rFonts w:cs="Arial"/>
          <w:bCs/>
          <w:snapToGrid/>
          <w:szCs w:val="22"/>
          <w:lang w:eastAsia="en-GB"/>
        </w:rPr>
        <w:t>5.</w:t>
      </w:r>
      <w:r w:rsidRPr="004479B4">
        <w:rPr>
          <w:rFonts w:cs="Arial"/>
          <w:bCs/>
          <w:snapToGrid/>
          <w:szCs w:val="22"/>
          <w:lang w:eastAsia="en-GB"/>
        </w:rPr>
        <w:tab/>
      </w:r>
      <w:r w:rsidRPr="004479B4">
        <w:rPr>
          <w:rFonts w:cs="Arial"/>
          <w:b/>
          <w:snapToGrid/>
          <w:szCs w:val="22"/>
          <w:lang w:eastAsia="en-GB"/>
        </w:rPr>
        <w:t>Remercie</w:t>
      </w:r>
      <w:r w:rsidRPr="004479B4">
        <w:rPr>
          <w:rFonts w:cs="Arial"/>
          <w:snapToGrid/>
          <w:szCs w:val="22"/>
          <w:lang w:eastAsia="en-GB"/>
        </w:rPr>
        <w:t xml:space="preserve"> les membres du Comité consultatif intérimaire de la Décennie de leur contribution jusqu’en décembre 2021 ;</w:t>
      </w:r>
    </w:p>
    <w:p w14:paraId="2FC9CFCA" w14:textId="77777777" w:rsidR="004479B4" w:rsidRPr="004479B4" w:rsidRDefault="004479B4" w:rsidP="003A36A2">
      <w:pPr>
        <w:widowControl w:val="0"/>
        <w:tabs>
          <w:tab w:val="clear" w:pos="567"/>
        </w:tabs>
        <w:adjustRightInd w:val="0"/>
        <w:snapToGrid/>
        <w:spacing w:after="240"/>
        <w:ind w:left="567" w:hanging="567"/>
        <w:jc w:val="both"/>
        <w:textAlignment w:val="baseline"/>
        <w:rPr>
          <w:rFonts w:cs="Arial"/>
          <w:snapToGrid/>
          <w:szCs w:val="22"/>
          <w:lang w:eastAsia="en-GB"/>
        </w:rPr>
      </w:pPr>
      <w:r w:rsidRPr="004479B4">
        <w:rPr>
          <w:rFonts w:cs="Arial"/>
          <w:snapToGrid/>
          <w:szCs w:val="22"/>
          <w:lang w:eastAsia="en-GB"/>
        </w:rPr>
        <w:t>6.</w:t>
      </w:r>
      <w:r w:rsidRPr="004479B4">
        <w:rPr>
          <w:rFonts w:cs="Arial"/>
          <w:snapToGrid/>
          <w:szCs w:val="22"/>
          <w:lang w:eastAsia="en-GB"/>
        </w:rPr>
        <w:tab/>
      </w:r>
      <w:r w:rsidRPr="004479B4">
        <w:rPr>
          <w:rFonts w:cs="Arial"/>
          <w:b/>
          <w:bCs/>
          <w:snapToGrid/>
          <w:szCs w:val="22"/>
          <w:lang w:eastAsia="en-GB"/>
        </w:rPr>
        <w:t xml:space="preserve">Invite </w:t>
      </w:r>
      <w:r w:rsidRPr="004479B4">
        <w:rPr>
          <w:rFonts w:ascii="ArialMT" w:hAnsi="ArialMT"/>
          <w:snapToGrid/>
          <w:szCs w:val="22"/>
          <w:lang w:eastAsia="en-GB"/>
        </w:rPr>
        <w:t>les États membres et les partenaires à :</w:t>
      </w:r>
    </w:p>
    <w:p w14:paraId="6C354375" w14:textId="77777777" w:rsidR="004479B4" w:rsidRPr="004479B4" w:rsidRDefault="004479B4" w:rsidP="003A36A2">
      <w:pPr>
        <w:widowControl w:val="0"/>
        <w:tabs>
          <w:tab w:val="clear" w:pos="567"/>
        </w:tabs>
        <w:adjustRightInd w:val="0"/>
        <w:snapToGrid/>
        <w:spacing w:after="240"/>
        <w:ind w:left="1134" w:hanging="567"/>
        <w:jc w:val="both"/>
        <w:textAlignment w:val="baseline"/>
        <w:rPr>
          <w:rFonts w:ascii="ArialMT" w:eastAsia="MS Mincho" w:hAnsi="ArialMT" w:hint="eastAsia"/>
          <w:snapToGrid/>
          <w:szCs w:val="22"/>
          <w:lang w:eastAsia="ja-JP"/>
        </w:rPr>
      </w:pPr>
      <w:r w:rsidRPr="004479B4">
        <w:rPr>
          <w:rFonts w:ascii="ArialMT" w:eastAsia="MS Mincho" w:hAnsi="ArialMT"/>
          <w:snapToGrid/>
          <w:szCs w:val="22"/>
          <w:lang w:eastAsia="ja-JP"/>
        </w:rPr>
        <w:t>(i)</w:t>
      </w:r>
      <w:r w:rsidRPr="004479B4">
        <w:rPr>
          <w:rFonts w:ascii="ArialMT" w:eastAsia="MS Mincho" w:hAnsi="ArialMT"/>
          <w:snapToGrid/>
          <w:szCs w:val="22"/>
          <w:lang w:eastAsia="ja-JP"/>
        </w:rPr>
        <w:tab/>
        <w:t>apporter des contributions financières volontaires à l’appui du travail de coordination de la Décennie mené par le Secrétariat de la COI, y compris par le biais d’un soutien en nature sous la forme, par exemple, de détachements de personnel auprès de l’Unité de coordination de la Décennie ;</w:t>
      </w:r>
    </w:p>
    <w:p w14:paraId="5269DFDB" w14:textId="77777777" w:rsidR="004479B4" w:rsidRPr="004479B4" w:rsidRDefault="004479B4" w:rsidP="003A36A2">
      <w:pPr>
        <w:widowControl w:val="0"/>
        <w:tabs>
          <w:tab w:val="clear" w:pos="567"/>
        </w:tabs>
        <w:adjustRightInd w:val="0"/>
        <w:snapToGrid/>
        <w:spacing w:after="240"/>
        <w:ind w:left="1134" w:hanging="567"/>
        <w:jc w:val="both"/>
        <w:textAlignment w:val="baseline"/>
        <w:rPr>
          <w:rFonts w:ascii="ArialMT" w:eastAsia="MS Mincho" w:hAnsi="ArialMT" w:hint="eastAsia"/>
          <w:snapToGrid/>
          <w:szCs w:val="22"/>
          <w:lang w:eastAsia="ja-JP"/>
        </w:rPr>
      </w:pPr>
      <w:r w:rsidRPr="004479B4">
        <w:rPr>
          <w:rFonts w:ascii="ArialMT" w:eastAsia="MS Mincho" w:hAnsi="ArialMT"/>
          <w:snapToGrid/>
          <w:szCs w:val="22"/>
          <w:lang w:eastAsia="ja-JP"/>
        </w:rPr>
        <w:t>(ii)</w:t>
      </w:r>
      <w:r w:rsidRPr="004479B4">
        <w:rPr>
          <w:rFonts w:ascii="ArialMT" w:eastAsia="MS Mincho" w:hAnsi="ArialMT"/>
          <w:snapToGrid/>
          <w:szCs w:val="22"/>
          <w:lang w:eastAsia="ja-JP"/>
        </w:rPr>
        <w:tab/>
        <w:t>proposer d’accueillir et de financer les actions de la Décennie, les bureaux de coordination de la Décennie et les centres collaboratifs de la Décennie tels que décrits dans le Plan de mise en œuvre ;</w:t>
      </w:r>
    </w:p>
    <w:p w14:paraId="42BDB43E" w14:textId="77777777" w:rsidR="004479B4" w:rsidRPr="004479B4" w:rsidRDefault="004479B4" w:rsidP="003A36A2">
      <w:pPr>
        <w:widowControl w:val="0"/>
        <w:tabs>
          <w:tab w:val="clear" w:pos="567"/>
        </w:tabs>
        <w:adjustRightInd w:val="0"/>
        <w:snapToGrid/>
        <w:spacing w:after="240"/>
        <w:ind w:left="1134" w:hanging="567"/>
        <w:jc w:val="both"/>
        <w:textAlignment w:val="baseline"/>
        <w:rPr>
          <w:rFonts w:ascii="ArialMT" w:eastAsia="MS Mincho" w:hAnsi="ArialMT" w:hint="eastAsia"/>
          <w:snapToGrid/>
          <w:szCs w:val="22"/>
          <w:lang w:eastAsia="ja-JP"/>
        </w:rPr>
      </w:pPr>
      <w:r w:rsidRPr="004479B4">
        <w:rPr>
          <w:rFonts w:ascii="ArialMT" w:eastAsia="MS Mincho" w:hAnsi="ArialMT"/>
          <w:snapToGrid/>
          <w:szCs w:val="22"/>
          <w:lang w:eastAsia="ja-JP"/>
        </w:rPr>
        <w:t>(iii)</w:t>
      </w:r>
      <w:r w:rsidRPr="004479B4">
        <w:rPr>
          <w:rFonts w:ascii="ArialMT" w:eastAsia="MS Mincho" w:hAnsi="ArialMT"/>
          <w:snapToGrid/>
          <w:szCs w:val="22"/>
          <w:lang w:eastAsia="ja-JP"/>
        </w:rPr>
        <w:tab/>
      </w:r>
      <w:r w:rsidRPr="004479B4">
        <w:rPr>
          <w:rFonts w:ascii="ArialMT" w:eastAsia="MS Mincho" w:hAnsi="ArialMT" w:hint="eastAsia"/>
          <w:snapToGrid/>
          <w:szCs w:val="22"/>
          <w:lang w:eastAsia="ja-JP"/>
        </w:rPr>
        <w:t>é</w:t>
      </w:r>
      <w:r w:rsidRPr="004479B4">
        <w:rPr>
          <w:rFonts w:ascii="ArialMT" w:eastAsia="MS Mincho" w:hAnsi="ArialMT"/>
          <w:snapToGrid/>
          <w:szCs w:val="22"/>
          <w:lang w:eastAsia="ja-JP"/>
        </w:rPr>
        <w:t xml:space="preserve">tablir des comités nationaux de la Décennie permettant de stimuler les activités nationales et la coopération internationale ; </w:t>
      </w:r>
    </w:p>
    <w:p w14:paraId="02B886A5" w14:textId="5C1F1A01" w:rsidR="004479B4" w:rsidRPr="004479B4" w:rsidRDefault="004479B4" w:rsidP="003A36A2">
      <w:pPr>
        <w:widowControl w:val="0"/>
        <w:tabs>
          <w:tab w:val="clear" w:pos="567"/>
        </w:tabs>
        <w:adjustRightInd w:val="0"/>
        <w:snapToGrid/>
        <w:spacing w:after="240"/>
        <w:ind w:left="1134" w:hanging="567"/>
        <w:jc w:val="both"/>
        <w:textAlignment w:val="baseline"/>
        <w:rPr>
          <w:rFonts w:ascii="ArialMT" w:eastAsia="MS Mincho" w:hAnsi="ArialMT" w:hint="eastAsia"/>
          <w:snapToGrid/>
          <w:szCs w:val="22"/>
          <w:lang w:eastAsia="ja-JP"/>
        </w:rPr>
      </w:pPr>
      <w:r w:rsidRPr="004479B4">
        <w:rPr>
          <w:rFonts w:ascii="ArialMT" w:eastAsia="MS Mincho" w:hAnsi="ArialMT"/>
          <w:snapToGrid/>
          <w:szCs w:val="22"/>
          <w:lang w:eastAsia="ja-JP"/>
        </w:rPr>
        <w:t>(iv)</w:t>
      </w:r>
      <w:r w:rsidRPr="004479B4">
        <w:rPr>
          <w:rFonts w:ascii="ArialMT" w:eastAsia="MS Mincho" w:hAnsi="ArialMT"/>
          <w:snapToGrid/>
          <w:szCs w:val="22"/>
          <w:lang w:eastAsia="ja-JP"/>
        </w:rPr>
        <w:tab/>
        <w:t>accueillir des manifestations régionales ou internationales des parties prenantes de la Décennie dans le cadre de la série de conférences internationales de la Décennie de l’Océan</w:t>
      </w:r>
      <w:r w:rsidR="00F23F58">
        <w:rPr>
          <w:rFonts w:ascii="ArialMT" w:eastAsia="MS Mincho" w:hAnsi="ArialMT"/>
          <w:snapToGrid/>
          <w:szCs w:val="22"/>
          <w:lang w:eastAsia="ja-JP"/>
        </w:rPr>
        <w:t> ;</w:t>
      </w:r>
    </w:p>
    <w:p w14:paraId="7C120C6E" w14:textId="6C630E15" w:rsidR="004479B4" w:rsidRPr="004479B4" w:rsidRDefault="004479B4" w:rsidP="003A36A2">
      <w:pPr>
        <w:widowControl w:val="0"/>
        <w:tabs>
          <w:tab w:val="clear" w:pos="567"/>
        </w:tabs>
        <w:adjustRightInd w:val="0"/>
        <w:snapToGrid/>
        <w:spacing w:after="240"/>
        <w:ind w:left="567" w:hanging="567"/>
        <w:jc w:val="both"/>
        <w:textAlignment w:val="baseline"/>
        <w:rPr>
          <w:rFonts w:eastAsia="MS Mincho" w:cs="Arial"/>
          <w:snapToGrid/>
          <w:szCs w:val="22"/>
          <w:lang w:eastAsia="ja-JP"/>
        </w:rPr>
      </w:pPr>
      <w:r w:rsidRPr="004479B4">
        <w:rPr>
          <w:rFonts w:eastAsia="MS Mincho" w:cs="Arial"/>
          <w:bCs/>
          <w:snapToGrid/>
          <w:szCs w:val="22"/>
          <w:lang w:eastAsia="ja-JP"/>
        </w:rPr>
        <w:t>7.</w:t>
      </w:r>
      <w:r w:rsidRPr="004479B4">
        <w:rPr>
          <w:rFonts w:eastAsia="MS Mincho" w:cs="Arial"/>
          <w:bCs/>
          <w:snapToGrid/>
          <w:szCs w:val="22"/>
          <w:lang w:eastAsia="ja-JP"/>
        </w:rPr>
        <w:tab/>
      </w:r>
      <w:r w:rsidRPr="003A36A2">
        <w:rPr>
          <w:rFonts w:eastAsia="MS Mincho" w:cs="Arial"/>
          <w:b/>
          <w:snapToGrid/>
          <w:spacing w:val="-3"/>
          <w:szCs w:val="22"/>
          <w:lang w:eastAsia="ja-JP"/>
        </w:rPr>
        <w:t>Invite également</w:t>
      </w:r>
      <w:r w:rsidRPr="003A36A2">
        <w:rPr>
          <w:rFonts w:eastAsia="MS Mincho" w:cs="Arial"/>
          <w:snapToGrid/>
          <w:spacing w:val="-3"/>
          <w:szCs w:val="22"/>
          <w:lang w:eastAsia="ja-JP"/>
        </w:rPr>
        <w:t xml:space="preserve"> les </w:t>
      </w:r>
      <w:r w:rsidR="009355A4" w:rsidRPr="003A36A2">
        <w:rPr>
          <w:rFonts w:eastAsia="MS Mincho" w:cs="Arial"/>
          <w:snapToGrid/>
          <w:spacing w:val="-3"/>
          <w:szCs w:val="22"/>
          <w:lang w:eastAsia="ja-JP"/>
        </w:rPr>
        <w:t xml:space="preserve">membres </w:t>
      </w:r>
      <w:r w:rsidRPr="003A36A2">
        <w:rPr>
          <w:rFonts w:eastAsia="MS Mincho" w:cs="Arial"/>
          <w:snapToGrid/>
          <w:spacing w:val="-3"/>
          <w:szCs w:val="22"/>
          <w:lang w:eastAsia="ja-JP"/>
        </w:rPr>
        <w:t>d’ONU-Océans, les États</w:t>
      </w:r>
      <w:r w:rsidR="003A36A2">
        <w:rPr>
          <w:rFonts w:eastAsia="MS Mincho" w:cs="Arial"/>
          <w:snapToGrid/>
          <w:spacing w:val="-3"/>
          <w:szCs w:val="22"/>
          <w:lang w:eastAsia="ja-JP"/>
        </w:rPr>
        <w:t xml:space="preserve"> </w:t>
      </w:r>
      <w:r w:rsidRPr="003A36A2">
        <w:rPr>
          <w:rFonts w:eastAsia="MS Mincho" w:cs="Arial"/>
          <w:snapToGrid/>
          <w:spacing w:val="-3"/>
          <w:szCs w:val="22"/>
          <w:lang w:eastAsia="ja-JP"/>
        </w:rPr>
        <w:t>membres des Nations Unies, les</w:t>
      </w:r>
      <w:r w:rsidR="003A36A2">
        <w:rPr>
          <w:rFonts w:eastAsia="MS Mincho" w:cs="Arial"/>
          <w:snapToGrid/>
          <w:spacing w:val="-3"/>
          <w:szCs w:val="22"/>
          <w:lang w:eastAsia="ja-JP"/>
        </w:rPr>
        <w:t> </w:t>
      </w:r>
      <w:r w:rsidRPr="003A36A2">
        <w:rPr>
          <w:rFonts w:eastAsia="MS Mincho" w:cs="Arial"/>
          <w:snapToGrid/>
          <w:spacing w:val="-3"/>
          <w:szCs w:val="22"/>
          <w:lang w:eastAsia="ja-JP"/>
        </w:rPr>
        <w:t xml:space="preserve">organisations scientifiques et universitaires internationales, les organisations non </w:t>
      </w:r>
      <w:r w:rsidRPr="003A36A2">
        <w:rPr>
          <w:rFonts w:eastAsia="MS Mincho" w:cs="Arial"/>
          <w:snapToGrid/>
          <w:spacing w:val="-3"/>
          <w:szCs w:val="22"/>
          <w:lang w:eastAsia="ja-JP"/>
        </w:rPr>
        <w:lastRenderedPageBreak/>
        <w:t>gouvernementales et les autres parties prenantes intéressées à soutenir la Décennie</w:t>
      </w:r>
      <w:r w:rsidR="00A223D3" w:rsidRPr="003A36A2">
        <w:rPr>
          <w:rFonts w:eastAsia="MS Mincho" w:cs="Arial"/>
          <w:snapToGrid/>
          <w:spacing w:val="-3"/>
          <w:szCs w:val="22"/>
          <w:lang w:eastAsia="ja-JP"/>
        </w:rPr>
        <w:t xml:space="preserve"> en collaboration avec la COI</w:t>
      </w:r>
      <w:r w:rsidR="005F2B88" w:rsidRPr="003A36A2">
        <w:rPr>
          <w:rFonts w:eastAsia="MS Mincho" w:cs="Arial"/>
          <w:snapToGrid/>
          <w:spacing w:val="-3"/>
          <w:szCs w:val="22"/>
          <w:lang w:eastAsia="ja-JP"/>
        </w:rPr>
        <w:t>,</w:t>
      </w:r>
      <w:r w:rsidRPr="003A36A2">
        <w:rPr>
          <w:rFonts w:eastAsia="MS Mincho" w:cs="Arial"/>
          <w:snapToGrid/>
          <w:spacing w:val="-3"/>
          <w:szCs w:val="22"/>
          <w:lang w:eastAsia="ja-JP"/>
        </w:rPr>
        <w:t xml:space="preserve"> et à contribuer à sa mise en œuvre en proposant des actions de la Décennie conformément au Plan de mise en œuvre ;</w:t>
      </w:r>
    </w:p>
    <w:p w14:paraId="5B73C369" w14:textId="77777777" w:rsidR="004479B4" w:rsidRPr="004479B4" w:rsidRDefault="004479B4" w:rsidP="004479B4">
      <w:pPr>
        <w:tabs>
          <w:tab w:val="clear" w:pos="567"/>
        </w:tabs>
        <w:adjustRightInd w:val="0"/>
        <w:snapToGrid/>
        <w:spacing w:after="120"/>
        <w:ind w:left="567" w:hanging="567"/>
        <w:jc w:val="both"/>
        <w:textAlignment w:val="baseline"/>
        <w:rPr>
          <w:rFonts w:ascii="ArialMT" w:eastAsia="MS Mincho" w:hAnsi="ArialMT" w:hint="eastAsia"/>
          <w:snapToGrid/>
          <w:szCs w:val="22"/>
          <w:lang w:eastAsia="ja-JP"/>
        </w:rPr>
      </w:pPr>
      <w:r w:rsidRPr="004479B4">
        <w:rPr>
          <w:rFonts w:ascii="ArialMT" w:eastAsia="MS Mincho" w:hAnsi="ArialMT"/>
          <w:bCs/>
          <w:snapToGrid/>
          <w:szCs w:val="22"/>
          <w:lang w:eastAsia="ja-JP"/>
        </w:rPr>
        <w:t>8.</w:t>
      </w:r>
      <w:r w:rsidRPr="004479B4">
        <w:rPr>
          <w:rFonts w:ascii="ArialMT" w:eastAsia="MS Mincho" w:hAnsi="ArialMT"/>
          <w:bCs/>
          <w:snapToGrid/>
          <w:szCs w:val="22"/>
          <w:lang w:eastAsia="ja-JP"/>
        </w:rPr>
        <w:tab/>
      </w:r>
      <w:r w:rsidRPr="004479B4">
        <w:rPr>
          <w:rFonts w:ascii="ArialMT" w:eastAsia="MS Mincho" w:hAnsi="ArialMT"/>
          <w:b/>
          <w:snapToGrid/>
          <w:spacing w:val="-3"/>
          <w:szCs w:val="22"/>
          <w:lang w:eastAsia="ja-JP"/>
        </w:rPr>
        <w:t xml:space="preserve">Remercie </w:t>
      </w:r>
      <w:r w:rsidRPr="004479B4">
        <w:rPr>
          <w:rFonts w:ascii="ArialMT" w:eastAsia="MS Mincho" w:hAnsi="ArialMT"/>
          <w:snapToGrid/>
          <w:spacing w:val="-3"/>
          <w:szCs w:val="22"/>
          <w:lang w:eastAsia="ja-JP"/>
        </w:rPr>
        <w:t>les Gouvernements du Canada, de la Chine, de la France, de l’Inde, du Japon, de la Norvège, du Portugal, de la République de Corée, du Royaume de Belgique (Gouvernement flamand), du Royaume-Uni de Grande-Bretagne et d’Irlande du Nord et de la Suède, ainsi que REV</w:t>
      </w:r>
      <w:r w:rsidRPr="004479B4">
        <w:rPr>
          <w:rFonts w:ascii="ArialMT" w:eastAsia="MS Mincho" w:hAnsi="ArialMT"/>
          <w:snapToGrid/>
          <w:spacing w:val="-3"/>
          <w:szCs w:val="22"/>
          <w:lang w:eastAsia="ja-JP"/>
        </w:rPr>
        <w:noBreakHyphen/>
        <w:t xml:space="preserve">Ocean, Panerai et FUGRO de leur contribution financière à la Décennie,  </w:t>
      </w:r>
    </w:p>
    <w:p w14:paraId="031C6FD6" w14:textId="62A98B4D" w:rsidR="004479B4" w:rsidRPr="004479B4" w:rsidRDefault="004479B4" w:rsidP="004479B4">
      <w:pPr>
        <w:widowControl w:val="0"/>
        <w:tabs>
          <w:tab w:val="clear" w:pos="567"/>
        </w:tabs>
        <w:adjustRightInd w:val="0"/>
        <w:snapToGrid/>
        <w:spacing w:after="220"/>
        <w:ind w:left="567" w:hanging="567"/>
        <w:jc w:val="both"/>
        <w:textAlignment w:val="baseline"/>
        <w:rPr>
          <w:rFonts w:ascii="ArialMT" w:eastAsia="MS Mincho" w:hAnsi="ArialMT" w:hint="eastAsia"/>
          <w:snapToGrid/>
          <w:szCs w:val="22"/>
          <w:lang w:eastAsia="ja-JP"/>
        </w:rPr>
      </w:pPr>
      <w:r w:rsidRPr="004479B4">
        <w:rPr>
          <w:rFonts w:ascii="ArialMT" w:eastAsia="MS Mincho" w:hAnsi="ArialMT"/>
          <w:bCs/>
          <w:snapToGrid/>
          <w:szCs w:val="22"/>
          <w:lang w:eastAsia="ja-JP"/>
        </w:rPr>
        <w:t>9.</w:t>
      </w:r>
      <w:r w:rsidRPr="004479B4">
        <w:rPr>
          <w:rFonts w:ascii="ArialMT" w:eastAsia="MS Mincho" w:hAnsi="ArialMT"/>
          <w:bCs/>
          <w:snapToGrid/>
          <w:szCs w:val="22"/>
          <w:lang w:eastAsia="ja-JP"/>
        </w:rPr>
        <w:tab/>
      </w:r>
      <w:r w:rsidRPr="004479B4">
        <w:rPr>
          <w:rFonts w:ascii="ArialMT" w:eastAsia="MS Mincho" w:hAnsi="ArialMT"/>
          <w:b/>
          <w:snapToGrid/>
          <w:spacing w:val="-2"/>
          <w:szCs w:val="22"/>
          <w:lang w:eastAsia="ja-JP"/>
        </w:rPr>
        <w:t>Remercie également</w:t>
      </w:r>
      <w:r w:rsidRPr="004479B4">
        <w:rPr>
          <w:rFonts w:ascii="ArialMT" w:eastAsia="MS Mincho" w:hAnsi="ArialMT"/>
          <w:snapToGrid/>
          <w:spacing w:val="-2"/>
          <w:szCs w:val="22"/>
          <w:lang w:eastAsia="ja-JP"/>
        </w:rPr>
        <w:t xml:space="preserve"> le Gouvernement allemand d’avoir accueilli le </w:t>
      </w:r>
      <w:r w:rsidR="0023772D">
        <w:rPr>
          <w:rFonts w:ascii="ArialMT" w:eastAsia="MS Mincho" w:hAnsi="ArialMT"/>
          <w:snapToGrid/>
          <w:spacing w:val="-2"/>
          <w:szCs w:val="22"/>
          <w:lang w:eastAsia="ja-JP"/>
        </w:rPr>
        <w:t>« </w:t>
      </w:r>
      <w:r w:rsidRPr="004479B4">
        <w:rPr>
          <w:rFonts w:ascii="ArialMT" w:eastAsia="MS Mincho" w:hAnsi="ArialMT"/>
          <w:snapToGrid/>
          <w:spacing w:val="-2"/>
          <w:szCs w:val="22"/>
          <w:lang w:eastAsia="ja-JP"/>
        </w:rPr>
        <w:t>lancement de haut niveau de la Décennie de l’Océan</w:t>
      </w:r>
      <w:r w:rsidR="003A36A2">
        <w:rPr>
          <w:rFonts w:ascii="ArialMT" w:eastAsia="MS Mincho" w:hAnsi="ArialMT"/>
          <w:snapToGrid/>
          <w:spacing w:val="-2"/>
          <w:szCs w:val="22"/>
          <w:lang w:eastAsia="ja-JP"/>
        </w:rPr>
        <w:t> </w:t>
      </w:r>
      <w:r w:rsidRPr="004479B4">
        <w:rPr>
          <w:rFonts w:ascii="ArialMT" w:eastAsia="MS Mincho" w:hAnsi="ArialMT"/>
          <w:snapToGrid/>
          <w:spacing w:val="-2"/>
          <w:szCs w:val="22"/>
          <w:lang w:eastAsia="ja-JP"/>
        </w:rPr>
        <w:t>–</w:t>
      </w:r>
      <w:r w:rsidRPr="004479B4">
        <w:rPr>
          <w:rFonts w:ascii="ArialMT" w:eastAsia="MS Mincho" w:hAnsi="ArialMT" w:hint="eastAsia"/>
          <w:snapToGrid/>
          <w:spacing w:val="-2"/>
          <w:szCs w:val="22"/>
          <w:lang w:eastAsia="ja-JP"/>
        </w:rPr>
        <w:t> </w:t>
      </w:r>
      <w:r w:rsidRPr="004479B4">
        <w:rPr>
          <w:rFonts w:ascii="ArialMT" w:eastAsia="MS Mincho" w:hAnsi="ArialMT"/>
          <w:snapToGrid/>
          <w:spacing w:val="-2"/>
          <w:szCs w:val="22"/>
          <w:lang w:eastAsia="ja-JP"/>
        </w:rPr>
        <w:t>la première conférence internationale de la Décennie</w:t>
      </w:r>
      <w:r w:rsidR="0023772D">
        <w:rPr>
          <w:rFonts w:ascii="ArialMT" w:eastAsia="MS Mincho" w:hAnsi="ArialMT"/>
          <w:snapToGrid/>
          <w:spacing w:val="-2"/>
          <w:szCs w:val="22"/>
          <w:lang w:eastAsia="ja-JP"/>
        </w:rPr>
        <w:t> »</w:t>
      </w:r>
      <w:r w:rsidR="003A36A2">
        <w:rPr>
          <w:rFonts w:ascii="ArialMT" w:eastAsia="MS Mincho" w:hAnsi="ArialMT"/>
          <w:snapToGrid/>
          <w:spacing w:val="-2"/>
          <w:szCs w:val="22"/>
          <w:lang w:eastAsia="ja-JP"/>
        </w:rPr>
        <w:t xml:space="preserve"> </w:t>
      </w:r>
      <w:r w:rsidRPr="004479B4">
        <w:rPr>
          <w:rFonts w:ascii="ArialMT" w:eastAsia="MS Mincho" w:hAnsi="ArialMT"/>
          <w:snapToGrid/>
          <w:spacing w:val="-2"/>
          <w:szCs w:val="22"/>
          <w:lang w:eastAsia="ja-JP"/>
        </w:rPr>
        <w:t>–</w:t>
      </w:r>
      <w:r w:rsidR="003A36A2">
        <w:rPr>
          <w:rFonts w:ascii="ArialMT" w:eastAsia="MS Mincho" w:hAnsi="ArialMT"/>
          <w:snapToGrid/>
          <w:spacing w:val="-2"/>
          <w:szCs w:val="22"/>
          <w:lang w:eastAsia="ja-JP"/>
        </w:rPr>
        <w:t> </w:t>
      </w:r>
      <w:r w:rsidRPr="004479B4">
        <w:rPr>
          <w:rFonts w:ascii="ArialMT" w:eastAsia="MS Mincho" w:hAnsi="ArialMT"/>
          <w:snapToGrid/>
          <w:spacing w:val="-2"/>
          <w:szCs w:val="22"/>
          <w:lang w:eastAsia="ja-JP"/>
        </w:rPr>
        <w:t>ainsi que les laboratoires de la Décennie</w:t>
      </w:r>
      <w:r w:rsidR="0023772D">
        <w:rPr>
          <w:rFonts w:ascii="ArialMT" w:eastAsia="MS Mincho" w:hAnsi="ArialMT"/>
          <w:snapToGrid/>
          <w:spacing w:val="-2"/>
          <w:szCs w:val="22"/>
          <w:lang w:eastAsia="ja-JP"/>
        </w:rPr>
        <w:t>,</w:t>
      </w:r>
      <w:r w:rsidRPr="004479B4">
        <w:rPr>
          <w:rFonts w:ascii="ArialMT" w:eastAsia="MS Mincho" w:hAnsi="ArialMT"/>
          <w:snapToGrid/>
          <w:spacing w:val="-2"/>
          <w:szCs w:val="22"/>
          <w:lang w:eastAsia="ja-JP"/>
        </w:rPr>
        <w:t xml:space="preserve"> </w:t>
      </w:r>
      <w:r w:rsidR="005F2B88">
        <w:rPr>
          <w:rFonts w:ascii="ArialMT" w:eastAsia="MS Mincho" w:hAnsi="ArialMT"/>
          <w:snapToGrid/>
          <w:spacing w:val="-2"/>
          <w:szCs w:val="22"/>
          <w:lang w:eastAsia="ja-JP"/>
        </w:rPr>
        <w:t xml:space="preserve">le Gouvernement égyptien d’avoir accueilli </w:t>
      </w:r>
      <w:r w:rsidRPr="004479B4">
        <w:rPr>
          <w:rFonts w:ascii="ArialMT" w:eastAsia="MS Mincho" w:hAnsi="ArialMT"/>
          <w:snapToGrid/>
          <w:spacing w:val="-2"/>
          <w:szCs w:val="22"/>
          <w:lang w:eastAsia="ja-JP"/>
        </w:rPr>
        <w:t xml:space="preserve">la </w:t>
      </w:r>
      <w:r w:rsidR="0023772D">
        <w:rPr>
          <w:rFonts w:ascii="ArialMT" w:eastAsia="MS Mincho" w:hAnsi="ArialMT"/>
          <w:snapToGrid/>
          <w:spacing w:val="-2"/>
          <w:szCs w:val="22"/>
          <w:lang w:eastAsia="ja-JP"/>
        </w:rPr>
        <w:t>« </w:t>
      </w:r>
      <w:r w:rsidRPr="004479B4">
        <w:rPr>
          <w:rFonts w:ascii="ArialMT" w:eastAsia="MS Mincho" w:hAnsi="ArialMT"/>
          <w:snapToGrid/>
          <w:spacing w:val="-2"/>
          <w:szCs w:val="22"/>
          <w:lang w:eastAsia="ja-JP"/>
        </w:rPr>
        <w:t>Conférence africaine sur l’établissement de priorités et la constitution de partenariats en vue de la Décennie de l’Océan</w:t>
      </w:r>
      <w:r w:rsidR="0023772D">
        <w:rPr>
          <w:rFonts w:ascii="ArialMT" w:eastAsia="MS Mincho" w:hAnsi="ArialMT"/>
          <w:snapToGrid/>
          <w:spacing w:val="-2"/>
          <w:szCs w:val="22"/>
          <w:lang w:eastAsia="ja-JP"/>
        </w:rPr>
        <w:t> »,</w:t>
      </w:r>
      <w:r w:rsidR="00C25692">
        <w:rPr>
          <w:rFonts w:ascii="ArialMT" w:eastAsia="MS Mincho" w:hAnsi="ArialMT"/>
          <w:snapToGrid/>
          <w:spacing w:val="-2"/>
          <w:szCs w:val="22"/>
          <w:lang w:eastAsia="ja-JP"/>
        </w:rPr>
        <w:t xml:space="preserve"> </w:t>
      </w:r>
      <w:r w:rsidR="005F2B88">
        <w:rPr>
          <w:rFonts w:ascii="ArialMT" w:eastAsia="MS Mincho" w:hAnsi="ArialMT"/>
          <w:snapToGrid/>
          <w:spacing w:val="-2"/>
          <w:szCs w:val="22"/>
          <w:lang w:eastAsia="ja-JP"/>
        </w:rPr>
        <w:t xml:space="preserve">le Gouvernement </w:t>
      </w:r>
      <w:r w:rsidR="00A35C79">
        <w:rPr>
          <w:rFonts w:ascii="ArialMT" w:eastAsia="MS Mincho" w:hAnsi="ArialMT"/>
          <w:snapToGrid/>
          <w:spacing w:val="-2"/>
          <w:szCs w:val="22"/>
          <w:lang w:eastAsia="ja-JP"/>
        </w:rPr>
        <w:t>t</w:t>
      </w:r>
      <w:r w:rsidR="005F2B88">
        <w:rPr>
          <w:rFonts w:ascii="ArialMT" w:eastAsia="MS Mincho" w:hAnsi="ArialMT"/>
          <w:snapToGrid/>
          <w:spacing w:val="-2"/>
          <w:szCs w:val="22"/>
          <w:lang w:eastAsia="ja-JP"/>
        </w:rPr>
        <w:t>haïlandais d’avoir accueilli</w:t>
      </w:r>
      <w:r w:rsidRPr="004479B4">
        <w:rPr>
          <w:rFonts w:ascii="ArialMT" w:eastAsia="MS Mincho" w:hAnsi="ArialMT"/>
          <w:snapToGrid/>
          <w:spacing w:val="-2"/>
          <w:szCs w:val="22"/>
          <w:lang w:eastAsia="ja-JP"/>
        </w:rPr>
        <w:t xml:space="preserve"> la </w:t>
      </w:r>
      <w:r w:rsidR="0023772D">
        <w:rPr>
          <w:rFonts w:ascii="ArialMT" w:eastAsia="MS Mincho" w:hAnsi="ArialMT"/>
          <w:snapToGrid/>
          <w:spacing w:val="-2"/>
          <w:szCs w:val="22"/>
          <w:lang w:eastAsia="ja-JP"/>
        </w:rPr>
        <w:t>« </w:t>
      </w:r>
      <w:r w:rsidRPr="004479B4">
        <w:rPr>
          <w:rFonts w:ascii="ArialMT" w:eastAsia="MS Mincho" w:hAnsi="ArialMT"/>
          <w:snapToGrid/>
          <w:spacing w:val="-2"/>
          <w:szCs w:val="22"/>
          <w:lang w:eastAsia="ja-JP"/>
        </w:rPr>
        <w:t>conférence de lancement de la Décennie de l’Océan pour le Pacifique occidental et ses régions adjacentes</w:t>
      </w:r>
      <w:r w:rsidR="0023772D">
        <w:rPr>
          <w:rFonts w:ascii="ArialMT" w:eastAsia="MS Mincho" w:hAnsi="ArialMT"/>
          <w:snapToGrid/>
          <w:spacing w:val="-2"/>
          <w:szCs w:val="22"/>
          <w:lang w:eastAsia="ja-JP"/>
        </w:rPr>
        <w:t> »,</w:t>
      </w:r>
      <w:r w:rsidRPr="004479B4">
        <w:rPr>
          <w:rFonts w:ascii="ArialMT" w:eastAsia="MS Mincho" w:hAnsi="ArialMT"/>
          <w:snapToGrid/>
          <w:spacing w:val="-2"/>
          <w:szCs w:val="22"/>
          <w:lang w:eastAsia="ja-JP"/>
        </w:rPr>
        <w:t xml:space="preserve"> </w:t>
      </w:r>
      <w:r w:rsidR="005F2B88">
        <w:rPr>
          <w:rFonts w:ascii="ArialMT" w:eastAsia="MS Mincho" w:hAnsi="ArialMT"/>
          <w:snapToGrid/>
          <w:spacing w:val="-2"/>
          <w:szCs w:val="22"/>
          <w:lang w:eastAsia="ja-JP"/>
        </w:rPr>
        <w:t xml:space="preserve">les Gouvernements de la Colombie et de la Barbade d’avoir accueilli la </w:t>
      </w:r>
      <w:r w:rsidR="0023772D">
        <w:rPr>
          <w:rFonts w:ascii="ArialMT" w:eastAsia="MS Mincho" w:hAnsi="ArialMT"/>
          <w:snapToGrid/>
          <w:spacing w:val="-2"/>
          <w:szCs w:val="22"/>
          <w:lang w:eastAsia="ja-JP"/>
        </w:rPr>
        <w:t>« </w:t>
      </w:r>
      <w:r w:rsidR="005F2B88">
        <w:rPr>
          <w:rFonts w:ascii="ArialMT" w:eastAsia="MS Mincho" w:hAnsi="ArialMT"/>
          <w:snapToGrid/>
          <w:spacing w:val="-2"/>
          <w:szCs w:val="22"/>
          <w:lang w:eastAsia="ja-JP"/>
        </w:rPr>
        <w:t>conférence régionale de lancement de la Décennie de l’Océan pour la région de l’Amérique tropicale et des Caraïbes</w:t>
      </w:r>
      <w:r w:rsidR="0023772D">
        <w:rPr>
          <w:rFonts w:ascii="ArialMT" w:eastAsia="MS Mincho" w:hAnsi="ArialMT"/>
          <w:snapToGrid/>
          <w:spacing w:val="-2"/>
          <w:szCs w:val="22"/>
          <w:lang w:eastAsia="ja-JP"/>
        </w:rPr>
        <w:t> »,</w:t>
      </w:r>
      <w:r w:rsidR="005F2B88">
        <w:rPr>
          <w:rFonts w:ascii="ArialMT" w:eastAsia="MS Mincho" w:hAnsi="ArialMT"/>
          <w:snapToGrid/>
          <w:spacing w:val="-2"/>
          <w:szCs w:val="22"/>
          <w:lang w:eastAsia="ja-JP"/>
        </w:rPr>
        <w:t xml:space="preserve"> et</w:t>
      </w:r>
      <w:r w:rsidR="00A223D3">
        <w:rPr>
          <w:rFonts w:ascii="ArialMT" w:eastAsia="MS Mincho" w:hAnsi="ArialMT"/>
          <w:snapToGrid/>
          <w:spacing w:val="-2"/>
          <w:szCs w:val="22"/>
          <w:lang w:eastAsia="ja-JP"/>
        </w:rPr>
        <w:t xml:space="preserve"> le Royaume du Maroc</w:t>
      </w:r>
      <w:r w:rsidRPr="004479B4">
        <w:rPr>
          <w:rFonts w:ascii="ArialMT" w:eastAsia="MS Mincho" w:hAnsi="ArialMT"/>
          <w:snapToGrid/>
          <w:spacing w:val="-2"/>
          <w:szCs w:val="22"/>
          <w:lang w:eastAsia="ja-JP"/>
        </w:rPr>
        <w:t xml:space="preserve"> </w:t>
      </w:r>
      <w:r w:rsidR="00A223D3" w:rsidRPr="004479B4">
        <w:rPr>
          <w:rFonts w:ascii="ArialMT" w:eastAsia="MS Mincho" w:hAnsi="ArialMT"/>
          <w:snapToGrid/>
          <w:spacing w:val="-2"/>
          <w:szCs w:val="22"/>
          <w:lang w:eastAsia="ja-JP"/>
        </w:rPr>
        <w:t>d’avoir organisé</w:t>
      </w:r>
      <w:r w:rsidR="00A223D3">
        <w:rPr>
          <w:rFonts w:ascii="ArialMT" w:eastAsia="MS Mincho" w:hAnsi="ArialMT"/>
          <w:snapToGrid/>
          <w:spacing w:val="-2"/>
          <w:szCs w:val="22"/>
          <w:lang w:eastAsia="ja-JP"/>
        </w:rPr>
        <w:t>,</w:t>
      </w:r>
      <w:r w:rsidR="00A223D3" w:rsidRPr="004479B4">
        <w:rPr>
          <w:rFonts w:ascii="ArialMT" w:eastAsia="MS Mincho" w:hAnsi="ArialMT"/>
          <w:snapToGrid/>
          <w:spacing w:val="-2"/>
          <w:szCs w:val="22"/>
          <w:lang w:eastAsia="ja-JP"/>
        </w:rPr>
        <w:t xml:space="preserve"> </w:t>
      </w:r>
      <w:r w:rsidR="00A223D3">
        <w:rPr>
          <w:rFonts w:ascii="ArialMT" w:eastAsia="MS Mincho" w:hAnsi="ArialMT"/>
          <w:snapToGrid/>
          <w:spacing w:val="-2"/>
          <w:szCs w:val="22"/>
          <w:lang w:eastAsia="ja-JP"/>
        </w:rPr>
        <w:t xml:space="preserve">par le biais de </w:t>
      </w:r>
      <w:r w:rsidRPr="004479B4">
        <w:rPr>
          <w:rFonts w:ascii="ArialMT" w:eastAsia="MS Mincho" w:hAnsi="ArialMT"/>
          <w:snapToGrid/>
          <w:spacing w:val="-2"/>
          <w:szCs w:val="22"/>
          <w:lang w:eastAsia="ja-JP"/>
        </w:rPr>
        <w:t>la Fondation Mohammed</w:t>
      </w:r>
      <w:r w:rsidRPr="004479B4">
        <w:rPr>
          <w:rFonts w:ascii="ArialMT" w:eastAsia="MS Mincho" w:hAnsi="ArialMT" w:hint="eastAsia"/>
          <w:snapToGrid/>
          <w:spacing w:val="-2"/>
          <w:szCs w:val="22"/>
          <w:lang w:eastAsia="ja-JP"/>
        </w:rPr>
        <w:t> </w:t>
      </w:r>
      <w:r w:rsidRPr="004479B4">
        <w:rPr>
          <w:rFonts w:ascii="ArialMT" w:eastAsia="MS Mincho" w:hAnsi="ArialMT"/>
          <w:snapToGrid/>
          <w:spacing w:val="-2"/>
          <w:szCs w:val="22"/>
          <w:lang w:eastAsia="ja-JP"/>
        </w:rPr>
        <w:t xml:space="preserve">VI </w:t>
      </w:r>
      <w:r w:rsidR="00A223D3">
        <w:rPr>
          <w:rFonts w:ascii="ArialMT" w:eastAsia="MS Mincho" w:hAnsi="ArialMT"/>
          <w:snapToGrid/>
          <w:spacing w:val="-2"/>
          <w:szCs w:val="22"/>
          <w:lang w:eastAsia="ja-JP"/>
        </w:rPr>
        <w:t>pour la protection de l’environnement,</w:t>
      </w:r>
      <w:r w:rsidRPr="004479B4">
        <w:rPr>
          <w:rFonts w:ascii="ArialMT" w:eastAsia="MS Mincho" w:hAnsi="ArialMT"/>
          <w:snapToGrid/>
          <w:spacing w:val="-2"/>
          <w:szCs w:val="22"/>
          <w:lang w:eastAsia="ja-JP"/>
        </w:rPr>
        <w:t xml:space="preserve"> le </w:t>
      </w:r>
      <w:r w:rsidR="0023772D">
        <w:rPr>
          <w:rFonts w:ascii="ArialMT" w:eastAsia="MS Mincho" w:hAnsi="ArialMT"/>
          <w:snapToGrid/>
          <w:spacing w:val="-2"/>
          <w:szCs w:val="22"/>
          <w:lang w:eastAsia="ja-JP"/>
        </w:rPr>
        <w:t>« </w:t>
      </w:r>
      <w:r w:rsidR="00A223D3">
        <w:rPr>
          <w:rFonts w:ascii="ArialMT" w:eastAsia="MS Mincho" w:hAnsi="ArialMT"/>
          <w:snapToGrid/>
          <w:spacing w:val="-2"/>
          <w:szCs w:val="22"/>
          <w:lang w:eastAsia="ja-JP"/>
        </w:rPr>
        <w:t xml:space="preserve">deuxième </w:t>
      </w:r>
      <w:r w:rsidRPr="004479B4">
        <w:rPr>
          <w:rFonts w:ascii="ArialMT" w:eastAsia="MS Mincho" w:hAnsi="ArialMT"/>
          <w:snapToGrid/>
          <w:spacing w:val="-2"/>
          <w:szCs w:val="22"/>
          <w:lang w:eastAsia="ja-JP"/>
        </w:rPr>
        <w:t>Dialogue des fondations pour la Décennie de l’Océan</w:t>
      </w:r>
      <w:r w:rsidR="0023772D">
        <w:rPr>
          <w:rFonts w:ascii="ArialMT" w:eastAsia="MS Mincho" w:hAnsi="ArialMT"/>
          <w:snapToGrid/>
          <w:spacing w:val="-2"/>
          <w:szCs w:val="22"/>
          <w:lang w:eastAsia="ja-JP"/>
        </w:rPr>
        <w:t> »</w:t>
      </w:r>
      <w:r w:rsidRPr="004479B4">
        <w:rPr>
          <w:rFonts w:ascii="ArialMT" w:eastAsia="MS Mincho" w:hAnsi="ArialMT"/>
          <w:snapToGrid/>
          <w:spacing w:val="-2"/>
          <w:szCs w:val="22"/>
          <w:lang w:eastAsia="ja-JP"/>
        </w:rPr>
        <w:t xml:space="preserve"> ; </w:t>
      </w:r>
    </w:p>
    <w:p w14:paraId="74FB0C4D" w14:textId="77777777" w:rsidR="004479B4" w:rsidRPr="004479B4" w:rsidRDefault="004479B4" w:rsidP="004479B4">
      <w:pPr>
        <w:widowControl w:val="0"/>
        <w:tabs>
          <w:tab w:val="clear" w:pos="567"/>
        </w:tabs>
        <w:adjustRightInd w:val="0"/>
        <w:snapToGrid/>
        <w:spacing w:after="220"/>
        <w:ind w:left="42"/>
        <w:jc w:val="center"/>
        <w:textAlignment w:val="baseline"/>
        <w:rPr>
          <w:rFonts w:cs="Arial"/>
          <w:snapToGrid/>
          <w:szCs w:val="22"/>
          <w:lang w:eastAsia="en-GB"/>
        </w:rPr>
      </w:pPr>
      <w:r w:rsidRPr="004479B4">
        <w:rPr>
          <w:rFonts w:cs="Arial"/>
          <w:b/>
          <w:bCs/>
          <w:snapToGrid/>
          <w:szCs w:val="22"/>
          <w:lang w:eastAsia="en-GB"/>
        </w:rPr>
        <w:t>Partie 2 – Contribution de la COI à la Décennie</w:t>
      </w:r>
    </w:p>
    <w:p w14:paraId="5E13E294" w14:textId="5A722EF5" w:rsidR="004479B4" w:rsidRPr="001C4F1D" w:rsidRDefault="004479B4" w:rsidP="004479B4">
      <w:pPr>
        <w:widowControl w:val="0"/>
        <w:tabs>
          <w:tab w:val="clear" w:pos="567"/>
          <w:tab w:val="left" w:pos="-737"/>
        </w:tabs>
        <w:adjustRightInd w:val="0"/>
        <w:snapToGrid/>
        <w:spacing w:after="220"/>
        <w:ind w:left="567" w:hanging="567"/>
        <w:jc w:val="both"/>
        <w:textAlignment w:val="baseline"/>
        <w:rPr>
          <w:rFonts w:cs="Arial"/>
          <w:snapToGrid/>
          <w:szCs w:val="22"/>
          <w:lang w:eastAsia="en-GB"/>
        </w:rPr>
      </w:pPr>
      <w:r w:rsidRPr="004479B4">
        <w:rPr>
          <w:rFonts w:cs="Arial"/>
          <w:bCs/>
          <w:snapToGrid/>
          <w:szCs w:val="22"/>
          <w:lang w:eastAsia="en-GB"/>
        </w:rPr>
        <w:t>10.</w:t>
      </w:r>
      <w:r w:rsidRPr="004479B4">
        <w:rPr>
          <w:rFonts w:cs="Arial"/>
          <w:bCs/>
          <w:snapToGrid/>
          <w:szCs w:val="22"/>
          <w:lang w:eastAsia="en-GB"/>
        </w:rPr>
        <w:tab/>
      </w:r>
      <w:r w:rsidRPr="004479B4">
        <w:rPr>
          <w:rFonts w:cs="Arial"/>
          <w:b/>
          <w:snapToGrid/>
          <w:szCs w:val="22"/>
          <w:lang w:eastAsia="en-GB"/>
        </w:rPr>
        <w:t>So</w:t>
      </w:r>
      <w:r w:rsidRPr="001C4F1D">
        <w:rPr>
          <w:rFonts w:cs="Arial"/>
          <w:b/>
          <w:snapToGrid/>
          <w:szCs w:val="22"/>
          <w:lang w:eastAsia="en-GB"/>
        </w:rPr>
        <w:t>utient</w:t>
      </w:r>
      <w:r w:rsidRPr="001C4F1D">
        <w:rPr>
          <w:rFonts w:cs="Arial"/>
          <w:snapToGrid/>
          <w:szCs w:val="22"/>
          <w:lang w:eastAsia="en-GB"/>
        </w:rPr>
        <w:t xml:space="preserve"> l’enregistrement des actions de la Décennie menées par la COI, en particulier :</w:t>
      </w:r>
    </w:p>
    <w:p w14:paraId="06748527" w14:textId="69805B85" w:rsidR="00A35C79" w:rsidRPr="001C4F1D" w:rsidRDefault="00A35C79" w:rsidP="00A35C79">
      <w:pPr>
        <w:pStyle w:val="b"/>
        <w:rPr>
          <w:snapToGrid/>
          <w:lang w:eastAsia="en-GB"/>
        </w:rPr>
      </w:pPr>
      <w:r w:rsidRPr="001C4F1D">
        <w:rPr>
          <w:snapToGrid/>
          <w:lang w:eastAsia="en-GB"/>
        </w:rPr>
        <w:t>(</w:t>
      </w:r>
      <w:r w:rsidR="005C39AD">
        <w:rPr>
          <w:snapToGrid/>
          <w:lang w:eastAsia="en-GB"/>
        </w:rPr>
        <w:t>i</w:t>
      </w:r>
      <w:r w:rsidRPr="001C4F1D">
        <w:rPr>
          <w:snapToGrid/>
          <w:lang w:eastAsia="en-GB"/>
        </w:rPr>
        <w:t>)</w:t>
      </w:r>
      <w:r w:rsidR="00177C18" w:rsidRPr="001C4F1D">
        <w:rPr>
          <w:snapToGrid/>
          <w:lang w:eastAsia="en-GB"/>
        </w:rPr>
        <w:tab/>
      </w:r>
      <w:r w:rsidR="002C385F" w:rsidRPr="001C4F1D">
        <w:rPr>
          <w:snapToGrid/>
          <w:lang w:eastAsia="en-GB"/>
        </w:rPr>
        <w:t>Expéditions</w:t>
      </w:r>
      <w:r w:rsidR="00C25692" w:rsidRPr="001C4F1D">
        <w:rPr>
          <w:snapToGrid/>
          <w:lang w:eastAsia="en-GB"/>
        </w:rPr>
        <w:t xml:space="preserve"> </w:t>
      </w:r>
      <w:r w:rsidR="002C385F" w:rsidRPr="001C4F1D">
        <w:rPr>
          <w:snapToGrid/>
          <w:lang w:eastAsia="en-GB"/>
        </w:rPr>
        <w:t>d’échantillonnage de</w:t>
      </w:r>
      <w:r w:rsidR="00C25692" w:rsidRPr="001C4F1D">
        <w:rPr>
          <w:snapToGrid/>
          <w:lang w:eastAsia="en-GB"/>
        </w:rPr>
        <w:t xml:space="preserve"> l’ADN environnemental (E-DNA) dans les sites marins du patrimoine mondial (UN8)</w:t>
      </w:r>
      <w:r w:rsidR="00D05A50" w:rsidRPr="001C4F1D">
        <w:rPr>
          <w:snapToGrid/>
          <w:lang w:eastAsia="en-GB"/>
        </w:rPr>
        <w:t> ;</w:t>
      </w:r>
    </w:p>
    <w:p w14:paraId="5134A518" w14:textId="7C43FA71" w:rsidR="00177C18" w:rsidRPr="001C4F1D" w:rsidRDefault="00A35C79" w:rsidP="00A35C79">
      <w:pPr>
        <w:pStyle w:val="b"/>
        <w:rPr>
          <w:snapToGrid/>
          <w:lang w:eastAsia="en-GB"/>
        </w:rPr>
      </w:pPr>
      <w:r w:rsidRPr="001C4F1D">
        <w:rPr>
          <w:snapToGrid/>
          <w:lang w:eastAsia="en-GB"/>
        </w:rPr>
        <w:t>(</w:t>
      </w:r>
      <w:r w:rsidR="005C39AD">
        <w:rPr>
          <w:snapToGrid/>
          <w:lang w:eastAsia="en-GB"/>
        </w:rPr>
        <w:t>ii</w:t>
      </w:r>
      <w:r w:rsidRPr="001C4F1D">
        <w:rPr>
          <w:snapToGrid/>
          <w:lang w:eastAsia="en-GB"/>
        </w:rPr>
        <w:t>)</w:t>
      </w:r>
      <w:r w:rsidR="00177C18" w:rsidRPr="001C4F1D">
        <w:rPr>
          <w:snapToGrid/>
          <w:lang w:eastAsia="en-GB"/>
        </w:rPr>
        <w:tab/>
      </w:r>
      <w:r w:rsidR="002C385F" w:rsidRPr="001C4F1D">
        <w:rPr>
          <w:snapToGrid/>
          <w:lang w:eastAsia="en-GB"/>
        </w:rPr>
        <w:t>Académie mondiale OceanTeacher : renforcer les capacités et accélérer le transfert de technologie pour la Décennie de l’Océan (UN10) </w:t>
      </w:r>
      <w:r w:rsidR="004479B4" w:rsidRPr="001C4F1D">
        <w:rPr>
          <w:snapToGrid/>
          <w:lang w:eastAsia="en-GB"/>
        </w:rPr>
        <w:t>;</w:t>
      </w:r>
    </w:p>
    <w:p w14:paraId="336AD1FF" w14:textId="56EBCE4A" w:rsidR="002C385F" w:rsidRPr="001C4F1D" w:rsidRDefault="00A35C79" w:rsidP="00A35C79">
      <w:pPr>
        <w:pStyle w:val="b"/>
        <w:rPr>
          <w:snapToGrid/>
          <w:lang w:eastAsia="en-GB"/>
        </w:rPr>
      </w:pPr>
      <w:r w:rsidRPr="001C4F1D">
        <w:rPr>
          <w:snapToGrid/>
          <w:lang w:eastAsia="en-GB"/>
        </w:rPr>
        <w:t>(</w:t>
      </w:r>
      <w:r w:rsidR="005C39AD">
        <w:rPr>
          <w:snapToGrid/>
          <w:lang w:eastAsia="en-GB"/>
        </w:rPr>
        <w:t>iii</w:t>
      </w:r>
      <w:r w:rsidRPr="001C4F1D">
        <w:rPr>
          <w:snapToGrid/>
          <w:lang w:eastAsia="en-GB"/>
        </w:rPr>
        <w:t>)</w:t>
      </w:r>
      <w:r w:rsidR="00177C18" w:rsidRPr="001C4F1D">
        <w:rPr>
          <w:snapToGrid/>
          <w:lang w:eastAsia="en-GB"/>
        </w:rPr>
        <w:tab/>
      </w:r>
      <w:r w:rsidR="002C385F" w:rsidRPr="001C4F1D">
        <w:rPr>
          <w:snapToGrid/>
          <w:lang w:eastAsia="en-GB"/>
        </w:rPr>
        <w:t>Réseau d’alerte aux invasions biologiques marines des îles du Pacifique (UN11) ;</w:t>
      </w:r>
    </w:p>
    <w:p w14:paraId="6A15688A" w14:textId="2F55D5DC" w:rsidR="004C01C0" w:rsidRPr="001C4F1D" w:rsidRDefault="00A35C79" w:rsidP="00A35C79">
      <w:pPr>
        <w:pStyle w:val="b"/>
        <w:rPr>
          <w:snapToGrid/>
          <w:lang w:eastAsia="en-GB"/>
        </w:rPr>
      </w:pPr>
      <w:r w:rsidRPr="001C4F1D">
        <w:rPr>
          <w:snapToGrid/>
          <w:lang w:eastAsia="en-GB"/>
        </w:rPr>
        <w:t>(</w:t>
      </w:r>
      <w:r w:rsidR="005C39AD">
        <w:rPr>
          <w:snapToGrid/>
          <w:lang w:eastAsia="en-GB"/>
        </w:rPr>
        <w:t>iv</w:t>
      </w:r>
      <w:r w:rsidRPr="001C4F1D">
        <w:rPr>
          <w:snapToGrid/>
          <w:lang w:eastAsia="en-GB"/>
        </w:rPr>
        <w:t>)</w:t>
      </w:r>
      <w:r w:rsidRPr="001C4F1D">
        <w:rPr>
          <w:snapToGrid/>
          <w:lang w:eastAsia="en-GB"/>
        </w:rPr>
        <w:tab/>
      </w:r>
      <w:r w:rsidR="002C385F" w:rsidRPr="001C4F1D">
        <w:rPr>
          <w:snapToGrid/>
          <w:lang w:eastAsia="en-GB"/>
        </w:rPr>
        <w:t>Accélération de la planification de l’espace marin dans le Pacifique occidental</w:t>
      </w:r>
      <w:r w:rsidR="00E619B1" w:rsidRPr="001C4F1D">
        <w:rPr>
          <w:snapToGrid/>
          <w:lang w:eastAsia="en-GB"/>
        </w:rPr>
        <w:t xml:space="preserve"> </w:t>
      </w:r>
      <w:r w:rsidR="002C385F" w:rsidRPr="001C4F1D">
        <w:rPr>
          <w:snapToGrid/>
          <w:lang w:eastAsia="en-GB"/>
        </w:rPr>
        <w:t>(UN21) ;</w:t>
      </w:r>
    </w:p>
    <w:p w14:paraId="596AD7F5" w14:textId="0AFA1EC2" w:rsidR="00177C18" w:rsidRDefault="00A35C79" w:rsidP="00A35C79">
      <w:pPr>
        <w:pStyle w:val="b"/>
        <w:rPr>
          <w:snapToGrid/>
          <w:lang w:eastAsia="en-GB"/>
        </w:rPr>
      </w:pPr>
      <w:r w:rsidRPr="001C4F1D">
        <w:rPr>
          <w:snapToGrid/>
          <w:lang w:eastAsia="en-GB"/>
        </w:rPr>
        <w:t>(</w:t>
      </w:r>
      <w:r w:rsidR="005C39AD">
        <w:rPr>
          <w:snapToGrid/>
          <w:lang w:eastAsia="en-GB"/>
        </w:rPr>
        <w:t>v</w:t>
      </w:r>
      <w:r w:rsidRPr="001C4F1D">
        <w:rPr>
          <w:snapToGrid/>
          <w:lang w:eastAsia="en-GB"/>
        </w:rPr>
        <w:t>)</w:t>
      </w:r>
      <w:r w:rsidRPr="001C4F1D">
        <w:rPr>
          <w:snapToGrid/>
          <w:lang w:eastAsia="en-GB"/>
        </w:rPr>
        <w:tab/>
      </w:r>
      <w:r w:rsidR="005C638E" w:rsidRPr="001C4F1D">
        <w:rPr>
          <w:snapToGrid/>
          <w:lang w:eastAsia="en-GB"/>
        </w:rPr>
        <w:t>Accélérer</w:t>
      </w:r>
      <w:r w:rsidR="00E619B1" w:rsidRPr="001C4F1D">
        <w:rPr>
          <w:snapToGrid/>
          <w:lang w:eastAsia="en-GB"/>
        </w:rPr>
        <w:t xml:space="preserve"> le</w:t>
      </w:r>
      <w:r w:rsidR="005C638E" w:rsidRPr="001C4F1D">
        <w:rPr>
          <w:snapToGrid/>
          <w:lang w:eastAsia="en-GB"/>
        </w:rPr>
        <w:t>s transformations en faveur du</w:t>
      </w:r>
      <w:r w:rsidR="00E619B1" w:rsidRPr="001C4F1D">
        <w:rPr>
          <w:snapToGrid/>
          <w:lang w:eastAsia="en-GB"/>
        </w:rPr>
        <w:t xml:space="preserve"> développement des capacités dans le Pacifique occidental</w:t>
      </w:r>
      <w:r w:rsidR="00D05A50" w:rsidRPr="001C4F1D">
        <w:rPr>
          <w:snapToGrid/>
          <w:lang w:eastAsia="en-GB"/>
        </w:rPr>
        <w:t> – </w:t>
      </w:r>
      <w:r w:rsidR="00E619B1" w:rsidRPr="001C4F1D">
        <w:rPr>
          <w:snapToGrid/>
          <w:lang w:eastAsia="en-GB"/>
        </w:rPr>
        <w:t>réseau régional de centres de formation et de recherche en océanographie (UN23) ;</w:t>
      </w:r>
    </w:p>
    <w:p w14:paraId="523708D3" w14:textId="17D53542" w:rsidR="0023772D" w:rsidRPr="001C4F1D" w:rsidRDefault="0023772D" w:rsidP="00A35C79">
      <w:pPr>
        <w:pStyle w:val="b"/>
        <w:rPr>
          <w:snapToGrid/>
          <w:lang w:eastAsia="en-GB"/>
        </w:rPr>
      </w:pPr>
      <w:r>
        <w:rPr>
          <w:snapToGrid/>
          <w:lang w:eastAsia="en-GB"/>
        </w:rPr>
        <w:t>(vi)</w:t>
      </w:r>
      <w:r>
        <w:rPr>
          <w:snapToGrid/>
          <w:lang w:eastAsia="en-GB"/>
        </w:rPr>
        <w:tab/>
      </w:r>
      <w:r w:rsidR="005C39AD">
        <w:rPr>
          <w:snapToGrid/>
          <w:lang w:eastAsia="en-GB"/>
        </w:rPr>
        <w:t>Endiguer le déversement de plastique fluvial dans l’océan en Asie (UN22) ;</w:t>
      </w:r>
    </w:p>
    <w:p w14:paraId="22AC052D" w14:textId="387AB70B" w:rsidR="00177C18" w:rsidRPr="001C4F1D" w:rsidRDefault="00A35C79" w:rsidP="00A35C79">
      <w:pPr>
        <w:pStyle w:val="b"/>
        <w:rPr>
          <w:snapToGrid/>
          <w:lang w:eastAsia="en-GB"/>
        </w:rPr>
      </w:pPr>
      <w:r w:rsidRPr="001C4F1D">
        <w:rPr>
          <w:snapToGrid/>
          <w:lang w:eastAsia="en-GB"/>
        </w:rPr>
        <w:t>(</w:t>
      </w:r>
      <w:r w:rsidR="005C39AD">
        <w:rPr>
          <w:snapToGrid/>
          <w:lang w:eastAsia="en-GB"/>
        </w:rPr>
        <w:t>vii</w:t>
      </w:r>
      <w:r w:rsidRPr="001C4F1D">
        <w:rPr>
          <w:snapToGrid/>
          <w:lang w:eastAsia="en-GB"/>
        </w:rPr>
        <w:t>)</w:t>
      </w:r>
      <w:r w:rsidRPr="001C4F1D">
        <w:rPr>
          <w:snapToGrid/>
          <w:lang w:eastAsia="en-GB"/>
        </w:rPr>
        <w:tab/>
      </w:r>
      <w:r w:rsidR="004C01C0" w:rsidRPr="001C4F1D">
        <w:rPr>
          <w:snapToGrid/>
          <w:lang w:eastAsia="en-GB"/>
        </w:rPr>
        <w:t>Exploration du plus puissant courant marin du Pacifique occidental : deuxième étude en commun du Kuroshio et des régions adjacentes (UN24) ;</w:t>
      </w:r>
    </w:p>
    <w:p w14:paraId="4EDB60A5" w14:textId="56CCEE2C" w:rsidR="00177C18" w:rsidRPr="001C4F1D" w:rsidRDefault="00A35C79" w:rsidP="00A35C79">
      <w:pPr>
        <w:pStyle w:val="b"/>
        <w:rPr>
          <w:snapToGrid/>
          <w:lang w:eastAsia="en-GB"/>
        </w:rPr>
      </w:pPr>
      <w:r w:rsidRPr="001C4F1D">
        <w:rPr>
          <w:snapToGrid/>
          <w:lang w:eastAsia="en-GB"/>
        </w:rPr>
        <w:t>(</w:t>
      </w:r>
      <w:r w:rsidR="005C39AD">
        <w:rPr>
          <w:snapToGrid/>
          <w:lang w:eastAsia="en-GB"/>
        </w:rPr>
        <w:t>viii</w:t>
      </w:r>
      <w:r w:rsidRPr="001C4F1D">
        <w:rPr>
          <w:snapToGrid/>
          <w:lang w:eastAsia="en-GB"/>
        </w:rPr>
        <w:t>)</w:t>
      </w:r>
      <w:r w:rsidRPr="001C4F1D">
        <w:rPr>
          <w:snapToGrid/>
          <w:lang w:eastAsia="en-GB"/>
        </w:rPr>
        <w:tab/>
      </w:r>
      <w:r w:rsidR="00177C18" w:rsidRPr="001C4F1D">
        <w:rPr>
          <w:snapToGrid/>
          <w:lang w:eastAsia="en-GB"/>
        </w:rPr>
        <w:t>Système de données et d’informations océanographiques à l’appui de la Décennie des Nations</w:t>
      </w:r>
      <w:r w:rsidR="001C4F1D" w:rsidRPr="001C4F1D">
        <w:rPr>
          <w:snapToGrid/>
          <w:lang w:eastAsia="en-GB"/>
        </w:rPr>
        <w:t> </w:t>
      </w:r>
      <w:r w:rsidR="00177C18" w:rsidRPr="001C4F1D">
        <w:rPr>
          <w:snapToGrid/>
          <w:lang w:eastAsia="en-GB"/>
        </w:rPr>
        <w:t>Unies pour les sciences océaniques au service du développement durable –</w:t>
      </w:r>
      <w:r w:rsidR="00D05A50" w:rsidRPr="001C4F1D">
        <w:rPr>
          <w:snapToGrid/>
          <w:lang w:eastAsia="en-GB"/>
        </w:rPr>
        <w:t> </w:t>
      </w:r>
      <w:r w:rsidR="00177C18" w:rsidRPr="001C4F1D">
        <w:rPr>
          <w:snapToGrid/>
          <w:lang w:eastAsia="en-GB"/>
        </w:rPr>
        <w:t>OceanData 2030 (UN25) ;</w:t>
      </w:r>
    </w:p>
    <w:p w14:paraId="27371D04" w14:textId="0ED9EB46" w:rsidR="00177C18" w:rsidRPr="001C4F1D" w:rsidRDefault="00A35C79" w:rsidP="00A35C79">
      <w:pPr>
        <w:pStyle w:val="b"/>
        <w:rPr>
          <w:snapToGrid/>
          <w:lang w:eastAsia="en-GB"/>
        </w:rPr>
      </w:pPr>
      <w:r w:rsidRPr="001C4F1D">
        <w:rPr>
          <w:snapToGrid/>
          <w:lang w:eastAsia="en-GB"/>
        </w:rPr>
        <w:t>(</w:t>
      </w:r>
      <w:r w:rsidR="005C39AD">
        <w:rPr>
          <w:snapToGrid/>
          <w:lang w:eastAsia="en-GB"/>
        </w:rPr>
        <w:t>ix</w:t>
      </w:r>
      <w:r w:rsidRPr="001C4F1D">
        <w:rPr>
          <w:snapToGrid/>
          <w:lang w:eastAsia="en-GB"/>
        </w:rPr>
        <w:t>)</w:t>
      </w:r>
      <w:r w:rsidRPr="001C4F1D">
        <w:rPr>
          <w:snapToGrid/>
          <w:lang w:eastAsia="en-GB"/>
        </w:rPr>
        <w:tab/>
      </w:r>
      <w:r w:rsidR="00177C18" w:rsidRPr="001C4F1D">
        <w:rPr>
          <w:snapToGrid/>
          <w:lang w:eastAsia="en-GB"/>
        </w:rPr>
        <w:t>Renforcement du développement des capacités dans la région de l’Amérique tropicale et des Caraïbes (136.2)</w:t>
      </w:r>
      <w:r w:rsidR="001C4F1D" w:rsidRPr="001C4F1D">
        <w:rPr>
          <w:snapToGrid/>
          <w:lang w:eastAsia="en-GB"/>
        </w:rPr>
        <w:t> ;</w:t>
      </w:r>
    </w:p>
    <w:p w14:paraId="5B3192C9" w14:textId="59239560" w:rsidR="00177C18" w:rsidRPr="001C4F1D" w:rsidRDefault="00A35C79" w:rsidP="00A35C79">
      <w:pPr>
        <w:pStyle w:val="b"/>
        <w:rPr>
          <w:snapToGrid/>
          <w:lang w:eastAsia="en-GB"/>
        </w:rPr>
      </w:pPr>
      <w:r w:rsidRPr="001C4F1D">
        <w:rPr>
          <w:snapToGrid/>
          <w:lang w:eastAsia="en-GB"/>
        </w:rPr>
        <w:t>(</w:t>
      </w:r>
      <w:r w:rsidR="005C39AD">
        <w:rPr>
          <w:snapToGrid/>
          <w:lang w:eastAsia="en-GB"/>
        </w:rPr>
        <w:t>x</w:t>
      </w:r>
      <w:r w:rsidRPr="001C4F1D">
        <w:rPr>
          <w:snapToGrid/>
          <w:lang w:eastAsia="en-GB"/>
        </w:rPr>
        <w:t>)</w:t>
      </w:r>
      <w:r w:rsidRPr="001C4F1D">
        <w:rPr>
          <w:snapToGrid/>
          <w:lang w:eastAsia="en-GB"/>
        </w:rPr>
        <w:tab/>
      </w:r>
      <w:r w:rsidR="00177C18" w:rsidRPr="001C4F1D">
        <w:rPr>
          <w:snapToGrid/>
          <w:lang w:eastAsia="en-GB"/>
        </w:rPr>
        <w:t xml:space="preserve">Intégration des systèmes d’alertes </w:t>
      </w:r>
      <w:r w:rsidR="005C638E" w:rsidRPr="001C4F1D">
        <w:rPr>
          <w:snapToGrid/>
          <w:lang w:eastAsia="en-GB"/>
        </w:rPr>
        <w:t>en cas d’</w:t>
      </w:r>
      <w:r w:rsidR="00177C18" w:rsidRPr="001C4F1D">
        <w:rPr>
          <w:snapToGrid/>
          <w:lang w:eastAsia="en-GB"/>
        </w:rPr>
        <w:t>aléas côtiers dans la région de l’Amérique tropicale et des Caraïbes (138.2) ;</w:t>
      </w:r>
    </w:p>
    <w:p w14:paraId="532C0316" w14:textId="45265F83" w:rsidR="00E619B1" w:rsidRPr="001C4F1D" w:rsidRDefault="00A35C79" w:rsidP="00A35C79">
      <w:pPr>
        <w:pStyle w:val="b"/>
        <w:rPr>
          <w:snapToGrid/>
          <w:lang w:eastAsia="en-GB"/>
        </w:rPr>
      </w:pPr>
      <w:r w:rsidRPr="001C4F1D">
        <w:rPr>
          <w:snapToGrid/>
          <w:lang w:eastAsia="en-GB"/>
        </w:rPr>
        <w:t>(</w:t>
      </w:r>
      <w:r w:rsidR="005C39AD">
        <w:rPr>
          <w:snapToGrid/>
          <w:lang w:eastAsia="en-GB"/>
        </w:rPr>
        <w:t>xi</w:t>
      </w:r>
      <w:r w:rsidRPr="001C4F1D">
        <w:rPr>
          <w:snapToGrid/>
          <w:lang w:eastAsia="en-GB"/>
        </w:rPr>
        <w:t>)</w:t>
      </w:r>
      <w:r w:rsidRPr="001C4F1D">
        <w:rPr>
          <w:snapToGrid/>
          <w:lang w:eastAsia="en-GB"/>
        </w:rPr>
        <w:tab/>
      </w:r>
      <w:r w:rsidR="000620A0" w:rsidRPr="001C4F1D">
        <w:rPr>
          <w:snapToGrid/>
          <w:lang w:eastAsia="en-GB"/>
        </w:rPr>
        <w:t>Projet Seabed 2030 MACHC-IOCARIBE (140.2)</w:t>
      </w:r>
      <w:r w:rsidR="001C4F1D" w:rsidRPr="001C4F1D">
        <w:rPr>
          <w:snapToGrid/>
          <w:lang w:eastAsia="en-GB"/>
        </w:rPr>
        <w:t> ;</w:t>
      </w:r>
    </w:p>
    <w:p w14:paraId="2B9CD52E" w14:textId="77777777" w:rsidR="004479B4" w:rsidRPr="004479B4" w:rsidRDefault="004479B4" w:rsidP="003A36A2">
      <w:pPr>
        <w:tabs>
          <w:tab w:val="clear" w:pos="567"/>
          <w:tab w:val="left" w:pos="-737"/>
        </w:tabs>
        <w:adjustRightInd w:val="0"/>
        <w:snapToGrid/>
        <w:spacing w:after="220"/>
        <w:ind w:left="567" w:hanging="567"/>
        <w:jc w:val="both"/>
        <w:textAlignment w:val="baseline"/>
        <w:rPr>
          <w:rFonts w:cs="Arial"/>
          <w:snapToGrid/>
          <w:szCs w:val="22"/>
          <w:lang w:eastAsia="en-GB"/>
        </w:rPr>
      </w:pPr>
      <w:r w:rsidRPr="001C4F1D">
        <w:rPr>
          <w:rFonts w:cs="Arial"/>
          <w:bCs/>
          <w:snapToGrid/>
          <w:szCs w:val="22"/>
          <w:lang w:eastAsia="en-GB"/>
        </w:rPr>
        <w:lastRenderedPageBreak/>
        <w:t>11.</w:t>
      </w:r>
      <w:r w:rsidRPr="001C4F1D">
        <w:rPr>
          <w:rFonts w:cs="Arial"/>
          <w:bCs/>
          <w:snapToGrid/>
          <w:szCs w:val="22"/>
          <w:lang w:eastAsia="en-GB"/>
        </w:rPr>
        <w:tab/>
      </w:r>
      <w:r w:rsidRPr="001C4F1D">
        <w:rPr>
          <w:rFonts w:cs="Arial"/>
          <w:b/>
          <w:snapToGrid/>
          <w:szCs w:val="22"/>
          <w:lang w:eastAsia="en-GB"/>
        </w:rPr>
        <w:t>Soutient également</w:t>
      </w:r>
      <w:r w:rsidRPr="001C4F1D">
        <w:rPr>
          <w:rFonts w:cs="Arial"/>
          <w:snapToGrid/>
          <w:szCs w:val="22"/>
          <w:lang w:eastAsia="en-GB"/>
        </w:rPr>
        <w:t xml:space="preserve"> le rôle actif joué par les organes subsidiaires régionaux et techniques et les programmes de la COI pour faciliter la coordination régionale et th</w:t>
      </w:r>
      <w:r w:rsidRPr="004479B4">
        <w:rPr>
          <w:rFonts w:cs="Arial"/>
          <w:snapToGrid/>
          <w:szCs w:val="22"/>
          <w:lang w:eastAsia="en-GB"/>
        </w:rPr>
        <w:t xml:space="preserve">ématique de la Décennie et les activités de mobilisation, en particulier celles : </w:t>
      </w:r>
    </w:p>
    <w:p w14:paraId="3AAB20F9" w14:textId="6C2B040C" w:rsidR="004479B4" w:rsidRPr="004479B4" w:rsidRDefault="005C39AD" w:rsidP="003A36A2">
      <w:pPr>
        <w:pStyle w:val="b"/>
        <w:rPr>
          <w:snapToGrid/>
          <w:lang w:eastAsia="en-GB"/>
        </w:rPr>
      </w:pPr>
      <w:r>
        <w:rPr>
          <w:snapToGrid/>
          <w:lang w:eastAsia="en-GB"/>
        </w:rPr>
        <w:t>(i)</w:t>
      </w:r>
      <w:r w:rsidR="00A35C79">
        <w:rPr>
          <w:snapToGrid/>
          <w:lang w:eastAsia="en-GB"/>
        </w:rPr>
        <w:tab/>
      </w:r>
      <w:r w:rsidR="004479B4" w:rsidRPr="004479B4">
        <w:rPr>
          <w:snapToGrid/>
          <w:lang w:eastAsia="en-GB"/>
        </w:rPr>
        <w:t>du Secrétariat de la Sous-Commission de la COI pour le Pacifique occidental (WESTPAC), en tant que Bureau de coordination de la Décennie pour la région du Pacifique occidental ;</w:t>
      </w:r>
    </w:p>
    <w:p w14:paraId="521CD370" w14:textId="494729EF" w:rsidR="004479B4" w:rsidRPr="004479B4" w:rsidRDefault="005C39AD" w:rsidP="003A36A2">
      <w:pPr>
        <w:pStyle w:val="b"/>
        <w:rPr>
          <w:snapToGrid/>
          <w:lang w:eastAsia="en-GB"/>
        </w:rPr>
      </w:pPr>
      <w:r>
        <w:rPr>
          <w:snapToGrid/>
          <w:lang w:eastAsia="en-GB"/>
        </w:rPr>
        <w:t>(ii)</w:t>
      </w:r>
      <w:r w:rsidR="00A35C79">
        <w:rPr>
          <w:snapToGrid/>
          <w:lang w:eastAsia="en-GB"/>
        </w:rPr>
        <w:tab/>
      </w:r>
      <w:r w:rsidR="004479B4" w:rsidRPr="004479B4">
        <w:rPr>
          <w:snapToGrid/>
          <w:lang w:eastAsia="en-GB"/>
        </w:rPr>
        <w:t>du Bureau des projets de la COI pour l’IODE, en tant que Bureau de coordination de la Décennie pour l</w:t>
      </w:r>
      <w:r w:rsidR="001830E0">
        <w:rPr>
          <w:snapToGrid/>
          <w:lang w:eastAsia="en-GB"/>
        </w:rPr>
        <w:t>e partage d</w:t>
      </w:r>
      <w:r w:rsidR="004479B4" w:rsidRPr="004479B4">
        <w:rPr>
          <w:snapToGrid/>
          <w:lang w:eastAsia="en-GB"/>
        </w:rPr>
        <w:t>es données océaniques ;</w:t>
      </w:r>
    </w:p>
    <w:p w14:paraId="216553D7" w14:textId="4A208D1E" w:rsidR="001830E0" w:rsidRPr="00A35C79" w:rsidRDefault="005C39AD" w:rsidP="003A36A2">
      <w:pPr>
        <w:pStyle w:val="b"/>
        <w:rPr>
          <w:snapToGrid/>
          <w:lang w:eastAsia="en-GB"/>
        </w:rPr>
      </w:pPr>
      <w:r>
        <w:rPr>
          <w:snapToGrid/>
          <w:lang w:eastAsia="en-GB"/>
        </w:rPr>
        <w:t>(iii)</w:t>
      </w:r>
      <w:r w:rsidR="00A35C79">
        <w:rPr>
          <w:snapToGrid/>
          <w:lang w:eastAsia="en-GB"/>
        </w:rPr>
        <w:tab/>
      </w:r>
      <w:r w:rsidR="004479B4" w:rsidRPr="00A35C79">
        <w:rPr>
          <w:snapToGrid/>
          <w:lang w:eastAsia="en-GB"/>
        </w:rPr>
        <w:t>du Bureau des projets du GOOS, en tant que Bureau de coordination de la Décennie pour l’observation des océans ;</w:t>
      </w:r>
    </w:p>
    <w:p w14:paraId="55454D77" w14:textId="49051B7F" w:rsidR="001830E0" w:rsidRPr="00D05A50" w:rsidRDefault="001830E0" w:rsidP="00A35C79">
      <w:pPr>
        <w:widowControl w:val="0"/>
        <w:tabs>
          <w:tab w:val="clear" w:pos="567"/>
          <w:tab w:val="left" w:pos="-737"/>
        </w:tabs>
        <w:adjustRightInd w:val="0"/>
        <w:snapToGrid/>
        <w:spacing w:after="220" w:line="276" w:lineRule="auto"/>
        <w:ind w:left="567" w:hanging="567"/>
        <w:jc w:val="both"/>
        <w:textAlignment w:val="baseline"/>
        <w:rPr>
          <w:rFonts w:cs="Arial"/>
          <w:snapToGrid/>
          <w:szCs w:val="22"/>
          <w:lang w:eastAsia="en-GB"/>
        </w:rPr>
      </w:pPr>
      <w:r w:rsidRPr="00A35C79">
        <w:rPr>
          <w:rFonts w:cs="Arial"/>
          <w:snapToGrid/>
          <w:szCs w:val="22"/>
          <w:lang w:eastAsia="en-GB"/>
        </w:rPr>
        <w:t>12.</w:t>
      </w:r>
      <w:r w:rsidRPr="00A35C79">
        <w:rPr>
          <w:rFonts w:cs="Arial"/>
          <w:snapToGrid/>
          <w:szCs w:val="22"/>
          <w:lang w:eastAsia="en-GB"/>
        </w:rPr>
        <w:tab/>
      </w:r>
      <w:r w:rsidRPr="00A35C79">
        <w:rPr>
          <w:rFonts w:cs="Arial"/>
          <w:b/>
          <w:bCs/>
          <w:snapToGrid/>
          <w:szCs w:val="22"/>
          <w:lang w:eastAsia="en-GB"/>
        </w:rPr>
        <w:t>Se félicite</w:t>
      </w:r>
      <w:r w:rsidRPr="00A35C79">
        <w:rPr>
          <w:rFonts w:cs="Arial"/>
          <w:snapToGrid/>
          <w:szCs w:val="22"/>
          <w:lang w:eastAsia="en-GB"/>
        </w:rPr>
        <w:t xml:space="preserve"> de l’élaboration de la Feuille de route de la Décennie de l’Océan pour l’Afrique et </w:t>
      </w:r>
      <w:r w:rsidRPr="00D05A50">
        <w:rPr>
          <w:rFonts w:cs="Arial"/>
          <w:snapToGrid/>
          <w:szCs w:val="22"/>
          <w:lang w:eastAsia="en-GB"/>
        </w:rPr>
        <w:t>de ses neuf actions prioritaires ;</w:t>
      </w:r>
    </w:p>
    <w:p w14:paraId="160E9C29" w14:textId="2CB01353" w:rsidR="001830E0" w:rsidRPr="004479B4" w:rsidRDefault="001830E0" w:rsidP="00A35C79">
      <w:pPr>
        <w:widowControl w:val="0"/>
        <w:tabs>
          <w:tab w:val="clear" w:pos="567"/>
          <w:tab w:val="left" w:pos="-737"/>
        </w:tabs>
        <w:adjustRightInd w:val="0"/>
        <w:snapToGrid/>
        <w:spacing w:after="220" w:line="276" w:lineRule="auto"/>
        <w:ind w:left="567" w:hanging="567"/>
        <w:jc w:val="both"/>
        <w:textAlignment w:val="baseline"/>
        <w:rPr>
          <w:rFonts w:cs="Arial"/>
          <w:snapToGrid/>
          <w:szCs w:val="22"/>
          <w:lang w:eastAsia="en-GB"/>
        </w:rPr>
      </w:pPr>
      <w:r w:rsidRPr="00D05A50">
        <w:rPr>
          <w:rFonts w:cs="Arial"/>
          <w:snapToGrid/>
          <w:szCs w:val="22"/>
          <w:lang w:eastAsia="en-GB"/>
        </w:rPr>
        <w:t>13.</w:t>
      </w:r>
      <w:r w:rsidRPr="00D05A50">
        <w:rPr>
          <w:rFonts w:cs="Arial"/>
          <w:snapToGrid/>
          <w:szCs w:val="22"/>
          <w:lang w:eastAsia="en-GB"/>
        </w:rPr>
        <w:tab/>
      </w:r>
      <w:r w:rsidRPr="00D05A50">
        <w:rPr>
          <w:rFonts w:cs="Arial"/>
          <w:b/>
          <w:bCs/>
          <w:snapToGrid/>
          <w:szCs w:val="22"/>
          <w:lang w:eastAsia="en-GB"/>
        </w:rPr>
        <w:t>Invite</w:t>
      </w:r>
      <w:r w:rsidRPr="00D05A50">
        <w:rPr>
          <w:rFonts w:cs="Arial"/>
          <w:snapToGrid/>
          <w:szCs w:val="22"/>
          <w:lang w:eastAsia="en-GB"/>
        </w:rPr>
        <w:t xml:space="preserve"> la Sous-Commission</w:t>
      </w:r>
      <w:r w:rsidR="00C4442F" w:rsidRPr="00D05A50">
        <w:rPr>
          <w:rFonts w:cs="Arial"/>
          <w:snapToGrid/>
          <w:szCs w:val="22"/>
          <w:lang w:eastAsia="en-GB"/>
        </w:rPr>
        <w:t xml:space="preserve"> de la COI pour l’Afrique et les États insulaires adjacents (IOCAFRICA) et la Sous-Commission de la COI pour la mer des Caraïbes et les régions adjacentes (IOCARIBE)</w:t>
      </w:r>
      <w:r w:rsidRPr="00D05A50">
        <w:rPr>
          <w:rFonts w:cs="Arial"/>
          <w:snapToGrid/>
          <w:szCs w:val="22"/>
          <w:lang w:eastAsia="en-GB"/>
        </w:rPr>
        <w:t xml:space="preserve"> à envisager de servir de bureau de coordination de la Décennie pour la mise en œuvre des actions régionales de la Décennie</w:t>
      </w:r>
      <w:r w:rsidR="00C4442F" w:rsidRPr="00D05A50">
        <w:rPr>
          <w:rFonts w:cs="Arial"/>
          <w:snapToGrid/>
          <w:szCs w:val="22"/>
          <w:lang w:eastAsia="en-GB"/>
        </w:rPr>
        <w:t>,</w:t>
      </w:r>
      <w:r w:rsidRPr="00D05A50">
        <w:rPr>
          <w:rFonts w:cs="Arial"/>
          <w:snapToGrid/>
          <w:szCs w:val="22"/>
          <w:lang w:eastAsia="en-GB"/>
        </w:rPr>
        <w:t xml:space="preserve"> </w:t>
      </w:r>
      <w:r w:rsidR="00C4442F" w:rsidRPr="00D05A50">
        <w:rPr>
          <w:rFonts w:cs="Arial"/>
          <w:snapToGrid/>
          <w:szCs w:val="22"/>
          <w:lang w:eastAsia="en-GB"/>
        </w:rPr>
        <w:t>ainsi qu’</w:t>
      </w:r>
      <w:r w:rsidRPr="00D05A50">
        <w:rPr>
          <w:rFonts w:cs="Arial"/>
          <w:snapToGrid/>
          <w:szCs w:val="22"/>
          <w:lang w:eastAsia="en-GB"/>
        </w:rPr>
        <w:t>à élaborer</w:t>
      </w:r>
      <w:r w:rsidR="00C4442F" w:rsidRPr="00D05A50">
        <w:rPr>
          <w:rFonts w:cs="Arial"/>
          <w:snapToGrid/>
          <w:szCs w:val="22"/>
          <w:lang w:eastAsia="en-GB"/>
        </w:rPr>
        <w:t xml:space="preserve"> </w:t>
      </w:r>
      <w:r w:rsidR="00531D49" w:rsidRPr="00D05A50">
        <w:rPr>
          <w:rFonts w:cs="Arial"/>
          <w:snapToGrid/>
          <w:szCs w:val="22"/>
          <w:lang w:eastAsia="en-GB"/>
        </w:rPr>
        <w:t>un</w:t>
      </w:r>
      <w:r w:rsidR="00C4442F" w:rsidRPr="00D05A50">
        <w:rPr>
          <w:rFonts w:cs="Arial"/>
          <w:snapToGrid/>
          <w:szCs w:val="22"/>
          <w:lang w:eastAsia="en-GB"/>
        </w:rPr>
        <w:t xml:space="preserve"> mandat et à identifier </w:t>
      </w:r>
      <w:r w:rsidR="00531D49" w:rsidRPr="00D05A50">
        <w:rPr>
          <w:rFonts w:cs="Arial"/>
          <w:snapToGrid/>
          <w:szCs w:val="22"/>
          <w:lang w:eastAsia="en-GB"/>
        </w:rPr>
        <w:t>les</w:t>
      </w:r>
      <w:r w:rsidR="00C4442F" w:rsidRPr="00D05A50">
        <w:rPr>
          <w:rFonts w:cs="Arial"/>
          <w:snapToGrid/>
          <w:szCs w:val="22"/>
          <w:lang w:eastAsia="en-GB"/>
        </w:rPr>
        <w:t xml:space="preserve"> besoins en ressources afin de renforcer</w:t>
      </w:r>
      <w:r w:rsidR="00531D49" w:rsidRPr="00D05A50">
        <w:rPr>
          <w:rFonts w:cs="Arial"/>
          <w:snapToGrid/>
          <w:szCs w:val="22"/>
          <w:lang w:eastAsia="en-GB"/>
        </w:rPr>
        <w:t xml:space="preserve"> leurs secrétariats régionaux respectifs</w:t>
      </w:r>
      <w:r w:rsidR="00C4442F" w:rsidRPr="00D05A50">
        <w:rPr>
          <w:rFonts w:cs="Arial"/>
          <w:snapToGrid/>
          <w:szCs w:val="22"/>
          <w:lang w:eastAsia="en-GB"/>
        </w:rPr>
        <w:t> ;</w:t>
      </w:r>
    </w:p>
    <w:p w14:paraId="20D654CF" w14:textId="0AAA129F" w:rsidR="004479B4" w:rsidRDefault="004479B4" w:rsidP="00A35C79">
      <w:pPr>
        <w:pStyle w:val="Marge"/>
        <w:ind w:left="567" w:hanging="567"/>
        <w:rPr>
          <w:snapToGrid/>
          <w:lang w:eastAsia="en-GB"/>
        </w:rPr>
      </w:pPr>
      <w:r w:rsidRPr="004479B4">
        <w:rPr>
          <w:bCs/>
          <w:snapToGrid/>
          <w:lang w:eastAsia="en-GB"/>
        </w:rPr>
        <w:t>1</w:t>
      </w:r>
      <w:r w:rsidR="00531D49">
        <w:rPr>
          <w:bCs/>
          <w:snapToGrid/>
          <w:lang w:eastAsia="en-GB"/>
        </w:rPr>
        <w:t>4</w:t>
      </w:r>
      <w:r w:rsidRPr="004479B4">
        <w:rPr>
          <w:bCs/>
          <w:snapToGrid/>
          <w:lang w:eastAsia="en-GB"/>
        </w:rPr>
        <w:t>.</w:t>
      </w:r>
      <w:r w:rsidRPr="004479B4">
        <w:rPr>
          <w:bCs/>
          <w:snapToGrid/>
          <w:lang w:eastAsia="en-GB"/>
        </w:rPr>
        <w:tab/>
      </w:r>
      <w:r w:rsidRPr="004479B4">
        <w:rPr>
          <w:b/>
          <w:snapToGrid/>
          <w:lang w:eastAsia="en-GB"/>
        </w:rPr>
        <w:t>Prend note</w:t>
      </w:r>
      <w:r w:rsidRPr="004479B4">
        <w:rPr>
          <w:snapToGrid/>
          <w:lang w:eastAsia="en-GB"/>
        </w:rPr>
        <w:t xml:space="preserve"> des besoins en ressources identifiés par les programmes de la COI pour remplir les fonctions de coordination de la Décennie ; et </w:t>
      </w:r>
      <w:r w:rsidR="00531D49" w:rsidRPr="00A35C79">
        <w:rPr>
          <w:b/>
          <w:bCs/>
          <w:snapToGrid/>
          <w:lang w:eastAsia="en-GB"/>
        </w:rPr>
        <w:t>remercie</w:t>
      </w:r>
      <w:r w:rsidR="00531D49">
        <w:rPr>
          <w:snapToGrid/>
          <w:lang w:eastAsia="en-GB"/>
        </w:rPr>
        <w:t xml:space="preserve"> le Gouvernement de la Thaïlande d’avoir appuyé le renforcement du Bur</w:t>
      </w:r>
      <w:r w:rsidR="00531D49" w:rsidRPr="00D05A50">
        <w:rPr>
          <w:snapToGrid/>
          <w:lang w:eastAsia="en-GB"/>
        </w:rPr>
        <w:t>eau COI/WESTPAC ;</w:t>
      </w:r>
      <w:r w:rsidR="00531D49">
        <w:rPr>
          <w:snapToGrid/>
          <w:lang w:eastAsia="en-GB"/>
        </w:rPr>
        <w:t xml:space="preserve"> </w:t>
      </w:r>
    </w:p>
    <w:p w14:paraId="4D5DE7AE" w14:textId="1F339B8D" w:rsidR="004479B4" w:rsidRDefault="004479B4" w:rsidP="00A35C79">
      <w:pPr>
        <w:pStyle w:val="Marge"/>
        <w:ind w:left="567" w:hanging="567"/>
        <w:rPr>
          <w:snapToGrid/>
          <w:lang w:eastAsia="en-GB"/>
        </w:rPr>
      </w:pPr>
      <w:r w:rsidRPr="004479B4">
        <w:rPr>
          <w:bCs/>
          <w:snapToGrid/>
          <w:lang w:eastAsia="en-GB"/>
        </w:rPr>
        <w:t>1</w:t>
      </w:r>
      <w:r w:rsidR="00531D49">
        <w:rPr>
          <w:bCs/>
          <w:snapToGrid/>
          <w:lang w:eastAsia="en-GB"/>
        </w:rPr>
        <w:t>5</w:t>
      </w:r>
      <w:r w:rsidRPr="004479B4">
        <w:rPr>
          <w:bCs/>
          <w:snapToGrid/>
          <w:lang w:eastAsia="en-GB"/>
        </w:rPr>
        <w:t>.</w:t>
      </w:r>
      <w:r w:rsidRPr="004479B4">
        <w:rPr>
          <w:bCs/>
          <w:snapToGrid/>
          <w:lang w:eastAsia="en-GB"/>
        </w:rPr>
        <w:tab/>
      </w:r>
      <w:r w:rsidRPr="004479B4">
        <w:rPr>
          <w:b/>
          <w:snapToGrid/>
          <w:lang w:eastAsia="en-GB"/>
        </w:rPr>
        <w:t>Invite</w:t>
      </w:r>
      <w:r w:rsidRPr="004479B4">
        <w:rPr>
          <w:snapToGrid/>
          <w:lang w:eastAsia="en-GB"/>
        </w:rPr>
        <w:t xml:space="preserve"> les États membres, les partenaires et les organisations donatrices à soutenir ces actions et mécanismes de coordination de la Décennie, notamment en allouant des ressources extrabudgétaires aux programmes pertinents de la COI, afin de réaliser leurs ambitions de transformation, de guider leurs communautés respectives et de servir de catalyseurs pour d’autres actions dans le cadre de la Décennie et au-delà.</w:t>
      </w:r>
      <w:r>
        <w:rPr>
          <w:snapToGrid/>
          <w:lang w:eastAsia="en-GB"/>
        </w:rPr>
        <w:t xml:space="preserve"> </w:t>
      </w:r>
    </w:p>
    <w:p w14:paraId="56B45483" w14:textId="77777777" w:rsidR="001C4F1D" w:rsidRPr="00814A0F" w:rsidRDefault="001C4F1D" w:rsidP="001C4F1D">
      <w:pPr>
        <w:pStyle w:val="COI"/>
        <w:spacing w:after="0" w:line="360" w:lineRule="auto"/>
        <w:ind w:left="0" w:firstLine="0"/>
        <w:rPr>
          <w:rFonts w:ascii="Arial" w:hAnsi="Arial" w:cs="Arial"/>
          <w:sz w:val="22"/>
          <w:szCs w:val="22"/>
        </w:rPr>
      </w:pPr>
      <w:r w:rsidRPr="00814A0F">
        <w:rPr>
          <w:rFonts w:ascii="Arial" w:hAnsi="Arial" w:cs="Arial"/>
          <w:sz w:val="22"/>
          <w:szCs w:val="22"/>
        </w:rPr>
        <w:t>----------------------------</w:t>
      </w:r>
    </w:p>
    <w:p w14:paraId="5F1B1289" w14:textId="5D60B3B6" w:rsidR="001C4F1D" w:rsidRPr="00814A0F" w:rsidRDefault="001C4F1D" w:rsidP="001C4F1D">
      <w:pPr>
        <w:pStyle w:val="COI"/>
        <w:spacing w:line="360" w:lineRule="auto"/>
        <w:ind w:left="0" w:firstLine="0"/>
        <w:rPr>
          <w:rFonts w:ascii="Arial" w:hAnsi="Arial" w:cs="Arial"/>
          <w:sz w:val="22"/>
          <w:szCs w:val="22"/>
        </w:rPr>
      </w:pPr>
      <w:r w:rsidRPr="001C4F1D">
        <w:rPr>
          <w:rFonts w:ascii="Arial" w:hAnsi="Arial" w:cs="Arial"/>
          <w:sz w:val="22"/>
          <w:szCs w:val="22"/>
        </w:rPr>
        <w:t>Incidences financières</w:t>
      </w:r>
      <w:r>
        <w:rPr>
          <w:rFonts w:ascii="Arial" w:hAnsi="Arial" w:cs="Arial"/>
          <w:sz w:val="22"/>
          <w:szCs w:val="22"/>
        </w:rPr>
        <w:t> </w:t>
      </w:r>
      <w:r w:rsidRPr="001C4F1D">
        <w:rPr>
          <w:rFonts w:ascii="Arial" w:hAnsi="Arial" w:cs="Arial"/>
          <w:sz w:val="22"/>
          <w:szCs w:val="22"/>
        </w:rPr>
        <w:t>:</w:t>
      </w:r>
    </w:p>
    <w:p w14:paraId="19E32AAB" w14:textId="40FD7668" w:rsidR="001C4F1D" w:rsidRPr="004479B4" w:rsidRDefault="001C4F1D" w:rsidP="001C4F1D">
      <w:pPr>
        <w:pStyle w:val="Marge"/>
        <w:ind w:left="567" w:hanging="567"/>
        <w:rPr>
          <w:snapToGrid/>
          <w:lang w:eastAsia="en-GB"/>
        </w:rPr>
      </w:pPr>
    </w:p>
    <w:sectPr w:rsidR="001C4F1D" w:rsidRPr="004479B4" w:rsidSect="001C4F1D">
      <w:headerReference w:type="even" r:id="rId7"/>
      <w:headerReference w:type="default" r:id="rId8"/>
      <w:pgSz w:w="11920" w:h="16840"/>
      <w:pgMar w:top="1216" w:right="1210" w:bottom="1152" w:left="1267" w:header="63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E1D7" w14:textId="77777777" w:rsidR="00B17D2E" w:rsidRDefault="00B17D2E" w:rsidP="00200D03">
      <w:r>
        <w:separator/>
      </w:r>
    </w:p>
  </w:endnote>
  <w:endnote w:type="continuationSeparator" w:id="0">
    <w:p w14:paraId="5022D6C8" w14:textId="77777777" w:rsidR="00B17D2E" w:rsidRDefault="00B17D2E"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albaum Display Light">
    <w:charset w:val="00"/>
    <w:family w:val="roman"/>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16C3" w14:textId="77777777" w:rsidR="00B17D2E" w:rsidRDefault="00B17D2E" w:rsidP="00200D03">
      <w:r>
        <w:separator/>
      </w:r>
    </w:p>
  </w:footnote>
  <w:footnote w:type="continuationSeparator" w:id="0">
    <w:p w14:paraId="4390F313" w14:textId="77777777" w:rsidR="00B17D2E" w:rsidRDefault="00B17D2E"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844F" w14:textId="450788F3" w:rsidR="001C4F1D" w:rsidRDefault="001C4F1D">
    <w:pPr>
      <w:pStyle w:val="En-tte"/>
    </w:pPr>
    <w:r w:rsidRPr="001C4F1D">
      <w:t>EC-55/DR.[4.1] Rev.</w:t>
    </w:r>
    <w:r>
      <w:t xml:space="preserve"> – page </w:t>
    </w:r>
    <w:r>
      <w:fldChar w:fldCharType="begin"/>
    </w:r>
    <w:r>
      <w:instrText>PAGE   \* MERGEFORMAT</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7E3398E7" w:rsidR="00200D03" w:rsidRDefault="001C4F1D" w:rsidP="001C4F1D">
    <w:pPr>
      <w:pStyle w:val="En-tte"/>
      <w:jc w:val="right"/>
    </w:pPr>
    <w:r w:rsidRPr="001C4F1D">
      <w:t>EC-55/DR.[4.1] Rev.</w:t>
    </w:r>
    <w:r>
      <w:t xml:space="preserve"> – page </w:t>
    </w: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4FB"/>
    <w:multiLevelType w:val="multilevel"/>
    <w:tmpl w:val="9660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00"/>
    <w:multiLevelType w:val="hybridMultilevel"/>
    <w:tmpl w:val="DEE6B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ACE"/>
    <w:multiLevelType w:val="hybridMultilevel"/>
    <w:tmpl w:val="58DECD4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2B1"/>
    <w:multiLevelType w:val="hybridMultilevel"/>
    <w:tmpl w:val="75B6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14BF5"/>
    <w:multiLevelType w:val="multilevel"/>
    <w:tmpl w:val="5AC46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FB4351"/>
    <w:multiLevelType w:val="hybridMultilevel"/>
    <w:tmpl w:val="B46AEDA0"/>
    <w:lvl w:ilvl="0" w:tplc="45D2FD6E">
      <w:numFmt w:val="bullet"/>
      <w:lvlText w:val="-"/>
      <w:lvlJc w:val="left"/>
      <w:pPr>
        <w:ind w:left="927" w:hanging="360"/>
      </w:pPr>
      <w:rPr>
        <w:rFonts w:ascii="Arial" w:eastAsia="Times New Roman" w:hAnsi="Arial" w:cs="Arial" w:hint="default"/>
      </w:rPr>
    </w:lvl>
    <w:lvl w:ilvl="1" w:tplc="245E882A" w:tentative="1">
      <w:start w:val="1"/>
      <w:numFmt w:val="bullet"/>
      <w:lvlText w:val="o"/>
      <w:lvlJc w:val="left"/>
      <w:pPr>
        <w:ind w:left="1647" w:hanging="360"/>
      </w:pPr>
      <w:rPr>
        <w:rFonts w:ascii="Courier New" w:hAnsi="Courier New" w:cs="Courier New" w:hint="default"/>
      </w:rPr>
    </w:lvl>
    <w:lvl w:ilvl="2" w:tplc="17346CFC" w:tentative="1">
      <w:start w:val="1"/>
      <w:numFmt w:val="bullet"/>
      <w:lvlText w:val=""/>
      <w:lvlJc w:val="left"/>
      <w:pPr>
        <w:ind w:left="2367" w:hanging="360"/>
      </w:pPr>
      <w:rPr>
        <w:rFonts w:ascii="Wingdings" w:hAnsi="Wingdings" w:hint="default"/>
      </w:rPr>
    </w:lvl>
    <w:lvl w:ilvl="3" w:tplc="5952365C" w:tentative="1">
      <w:start w:val="1"/>
      <w:numFmt w:val="bullet"/>
      <w:lvlText w:val=""/>
      <w:lvlJc w:val="left"/>
      <w:pPr>
        <w:ind w:left="3087" w:hanging="360"/>
      </w:pPr>
      <w:rPr>
        <w:rFonts w:ascii="Symbol" w:hAnsi="Symbol" w:hint="default"/>
      </w:rPr>
    </w:lvl>
    <w:lvl w:ilvl="4" w:tplc="CF6E42DA" w:tentative="1">
      <w:start w:val="1"/>
      <w:numFmt w:val="bullet"/>
      <w:lvlText w:val="o"/>
      <w:lvlJc w:val="left"/>
      <w:pPr>
        <w:ind w:left="3807" w:hanging="360"/>
      </w:pPr>
      <w:rPr>
        <w:rFonts w:ascii="Courier New" w:hAnsi="Courier New" w:cs="Courier New" w:hint="default"/>
      </w:rPr>
    </w:lvl>
    <w:lvl w:ilvl="5" w:tplc="128611E6" w:tentative="1">
      <w:start w:val="1"/>
      <w:numFmt w:val="bullet"/>
      <w:lvlText w:val=""/>
      <w:lvlJc w:val="left"/>
      <w:pPr>
        <w:ind w:left="4527" w:hanging="360"/>
      </w:pPr>
      <w:rPr>
        <w:rFonts w:ascii="Wingdings" w:hAnsi="Wingdings" w:hint="default"/>
      </w:rPr>
    </w:lvl>
    <w:lvl w:ilvl="6" w:tplc="18304738" w:tentative="1">
      <w:start w:val="1"/>
      <w:numFmt w:val="bullet"/>
      <w:lvlText w:val=""/>
      <w:lvlJc w:val="left"/>
      <w:pPr>
        <w:ind w:left="5247" w:hanging="360"/>
      </w:pPr>
      <w:rPr>
        <w:rFonts w:ascii="Symbol" w:hAnsi="Symbol" w:hint="default"/>
      </w:rPr>
    </w:lvl>
    <w:lvl w:ilvl="7" w:tplc="BE2290DE" w:tentative="1">
      <w:start w:val="1"/>
      <w:numFmt w:val="bullet"/>
      <w:lvlText w:val="o"/>
      <w:lvlJc w:val="left"/>
      <w:pPr>
        <w:ind w:left="5967" w:hanging="360"/>
      </w:pPr>
      <w:rPr>
        <w:rFonts w:ascii="Courier New" w:hAnsi="Courier New" w:cs="Courier New" w:hint="default"/>
      </w:rPr>
    </w:lvl>
    <w:lvl w:ilvl="8" w:tplc="0E424124" w:tentative="1">
      <w:start w:val="1"/>
      <w:numFmt w:val="bullet"/>
      <w:lvlText w:val=""/>
      <w:lvlJc w:val="left"/>
      <w:pPr>
        <w:ind w:left="6687" w:hanging="360"/>
      </w:pPr>
      <w:rPr>
        <w:rFonts w:ascii="Wingdings" w:hAnsi="Wingdings" w:hint="default"/>
      </w:rPr>
    </w:lvl>
  </w:abstractNum>
  <w:abstractNum w:abstractNumId="6" w15:restartNumberingAfterBreak="0">
    <w:nsid w:val="0CE966CB"/>
    <w:multiLevelType w:val="hybridMultilevel"/>
    <w:tmpl w:val="AAC8336E"/>
    <w:lvl w:ilvl="0" w:tplc="CC7E8070">
      <w:numFmt w:val="bullet"/>
      <w:lvlText w:val="-"/>
      <w:lvlJc w:val="left"/>
      <w:pPr>
        <w:ind w:left="720" w:hanging="360"/>
      </w:pPr>
      <w:rPr>
        <w:rFonts w:ascii="Fira Sans Light" w:eastAsiaTheme="minorHAnsi" w:hAnsi="Fira San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C44B0"/>
    <w:multiLevelType w:val="hybridMultilevel"/>
    <w:tmpl w:val="BCB4E4FE"/>
    <w:lvl w:ilvl="0" w:tplc="977AC3F6">
      <w:start w:val="1"/>
      <w:numFmt w:val="bullet"/>
      <w:lvlText w:val=""/>
      <w:lvlJc w:val="left"/>
      <w:pPr>
        <w:ind w:left="720" w:hanging="360"/>
      </w:pPr>
      <w:rPr>
        <w:rFonts w:ascii="Symbol" w:hAnsi="Symbol" w:hint="default"/>
        <w:color w:val="29887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804E1"/>
    <w:multiLevelType w:val="hybridMultilevel"/>
    <w:tmpl w:val="9844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1F0F15"/>
    <w:multiLevelType w:val="hybridMultilevel"/>
    <w:tmpl w:val="6714E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5B5A44"/>
    <w:multiLevelType w:val="hybridMultilevel"/>
    <w:tmpl w:val="9B5487E0"/>
    <w:lvl w:ilvl="0" w:tplc="53D6BA04">
      <w:start w:val="4"/>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1DE87F39"/>
    <w:multiLevelType w:val="hybridMultilevel"/>
    <w:tmpl w:val="1E6C6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BB2319"/>
    <w:multiLevelType w:val="multilevel"/>
    <w:tmpl w:val="684A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14D83"/>
    <w:multiLevelType w:val="singleLevel"/>
    <w:tmpl w:val="FA5A0960"/>
    <w:lvl w:ilvl="0">
      <w:start w:val="1"/>
      <w:numFmt w:val="bullet"/>
      <w:lvlText w:val="-"/>
      <w:lvlJc w:val="left"/>
      <w:pPr>
        <w:ind w:left="644" w:hanging="360"/>
      </w:pPr>
      <w:rPr>
        <w:rFonts w:ascii="Walbaum Display Light" w:hAnsi="Walbaum Display Light" w:hint="default"/>
        <w:i/>
        <w:color w:val="auto"/>
        <w:sz w:val="22"/>
        <w:szCs w:val="22"/>
      </w:rPr>
    </w:lvl>
  </w:abstractNum>
  <w:abstractNum w:abstractNumId="14" w15:restartNumberingAfterBreak="0">
    <w:nsid w:val="34251CFF"/>
    <w:multiLevelType w:val="hybridMultilevel"/>
    <w:tmpl w:val="36688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4C3D98"/>
    <w:multiLevelType w:val="hybridMultilevel"/>
    <w:tmpl w:val="27E61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948A7"/>
    <w:multiLevelType w:val="hybridMultilevel"/>
    <w:tmpl w:val="E822F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F3234B"/>
    <w:multiLevelType w:val="hybridMultilevel"/>
    <w:tmpl w:val="A9A80BD6"/>
    <w:lvl w:ilvl="0" w:tplc="624EB1E4">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B562E"/>
    <w:multiLevelType w:val="hybridMultilevel"/>
    <w:tmpl w:val="E854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B65CB"/>
    <w:multiLevelType w:val="hybridMultilevel"/>
    <w:tmpl w:val="E2A0A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A26082"/>
    <w:multiLevelType w:val="hybridMultilevel"/>
    <w:tmpl w:val="41327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B7281"/>
    <w:multiLevelType w:val="hybridMultilevel"/>
    <w:tmpl w:val="F4447522"/>
    <w:lvl w:ilvl="0" w:tplc="8EFCE1BC">
      <w:start w:val="1"/>
      <w:numFmt w:val="decimal"/>
      <w:lvlText w:val="%1."/>
      <w:lvlJc w:val="left"/>
      <w:pPr>
        <w:ind w:left="720" w:hanging="360"/>
      </w:pPr>
      <w:rPr>
        <w:color w:val="5B9BD5" w:themeColor="accent1"/>
      </w:rPr>
    </w:lvl>
    <w:lvl w:ilvl="1" w:tplc="1504BD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D6079"/>
    <w:multiLevelType w:val="hybridMultilevel"/>
    <w:tmpl w:val="3128266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5A38FD"/>
    <w:multiLevelType w:val="hybridMultilevel"/>
    <w:tmpl w:val="F56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3058B1"/>
    <w:multiLevelType w:val="hybridMultilevel"/>
    <w:tmpl w:val="A7109C38"/>
    <w:lvl w:ilvl="0" w:tplc="B72EFA38">
      <w:start w:val="1"/>
      <w:numFmt w:val="bullet"/>
      <w:lvlText w:val="•"/>
      <w:lvlJc w:val="left"/>
      <w:pPr>
        <w:tabs>
          <w:tab w:val="num" w:pos="720"/>
        </w:tabs>
        <w:ind w:left="720" w:hanging="360"/>
      </w:pPr>
      <w:rPr>
        <w:rFonts w:ascii="Times New Roman" w:hAnsi="Times New Roman" w:hint="default"/>
      </w:rPr>
    </w:lvl>
    <w:lvl w:ilvl="1" w:tplc="F20E9858" w:tentative="1">
      <w:start w:val="1"/>
      <w:numFmt w:val="bullet"/>
      <w:lvlText w:val="•"/>
      <w:lvlJc w:val="left"/>
      <w:pPr>
        <w:tabs>
          <w:tab w:val="num" w:pos="1440"/>
        </w:tabs>
        <w:ind w:left="1440" w:hanging="360"/>
      </w:pPr>
      <w:rPr>
        <w:rFonts w:ascii="Times New Roman" w:hAnsi="Times New Roman" w:hint="default"/>
      </w:rPr>
    </w:lvl>
    <w:lvl w:ilvl="2" w:tplc="D7A6A040" w:tentative="1">
      <w:start w:val="1"/>
      <w:numFmt w:val="bullet"/>
      <w:lvlText w:val="•"/>
      <w:lvlJc w:val="left"/>
      <w:pPr>
        <w:tabs>
          <w:tab w:val="num" w:pos="2160"/>
        </w:tabs>
        <w:ind w:left="2160" w:hanging="360"/>
      </w:pPr>
      <w:rPr>
        <w:rFonts w:ascii="Times New Roman" w:hAnsi="Times New Roman" w:hint="default"/>
      </w:rPr>
    </w:lvl>
    <w:lvl w:ilvl="3" w:tplc="297CE6E2" w:tentative="1">
      <w:start w:val="1"/>
      <w:numFmt w:val="bullet"/>
      <w:lvlText w:val="•"/>
      <w:lvlJc w:val="left"/>
      <w:pPr>
        <w:tabs>
          <w:tab w:val="num" w:pos="2880"/>
        </w:tabs>
        <w:ind w:left="2880" w:hanging="360"/>
      </w:pPr>
      <w:rPr>
        <w:rFonts w:ascii="Times New Roman" w:hAnsi="Times New Roman" w:hint="default"/>
      </w:rPr>
    </w:lvl>
    <w:lvl w:ilvl="4" w:tplc="0D4446A4" w:tentative="1">
      <w:start w:val="1"/>
      <w:numFmt w:val="bullet"/>
      <w:lvlText w:val="•"/>
      <w:lvlJc w:val="left"/>
      <w:pPr>
        <w:tabs>
          <w:tab w:val="num" w:pos="3600"/>
        </w:tabs>
        <w:ind w:left="3600" w:hanging="360"/>
      </w:pPr>
      <w:rPr>
        <w:rFonts w:ascii="Times New Roman" w:hAnsi="Times New Roman" w:hint="default"/>
      </w:rPr>
    </w:lvl>
    <w:lvl w:ilvl="5" w:tplc="5A2CD964" w:tentative="1">
      <w:start w:val="1"/>
      <w:numFmt w:val="bullet"/>
      <w:lvlText w:val="•"/>
      <w:lvlJc w:val="left"/>
      <w:pPr>
        <w:tabs>
          <w:tab w:val="num" w:pos="4320"/>
        </w:tabs>
        <w:ind w:left="4320" w:hanging="360"/>
      </w:pPr>
      <w:rPr>
        <w:rFonts w:ascii="Times New Roman" w:hAnsi="Times New Roman" w:hint="default"/>
      </w:rPr>
    </w:lvl>
    <w:lvl w:ilvl="6" w:tplc="64382214" w:tentative="1">
      <w:start w:val="1"/>
      <w:numFmt w:val="bullet"/>
      <w:lvlText w:val="•"/>
      <w:lvlJc w:val="left"/>
      <w:pPr>
        <w:tabs>
          <w:tab w:val="num" w:pos="5040"/>
        </w:tabs>
        <w:ind w:left="5040" w:hanging="360"/>
      </w:pPr>
      <w:rPr>
        <w:rFonts w:ascii="Times New Roman" w:hAnsi="Times New Roman" w:hint="default"/>
      </w:rPr>
    </w:lvl>
    <w:lvl w:ilvl="7" w:tplc="B064839E" w:tentative="1">
      <w:start w:val="1"/>
      <w:numFmt w:val="bullet"/>
      <w:lvlText w:val="•"/>
      <w:lvlJc w:val="left"/>
      <w:pPr>
        <w:tabs>
          <w:tab w:val="num" w:pos="5760"/>
        </w:tabs>
        <w:ind w:left="5760" w:hanging="360"/>
      </w:pPr>
      <w:rPr>
        <w:rFonts w:ascii="Times New Roman" w:hAnsi="Times New Roman" w:hint="default"/>
      </w:rPr>
    </w:lvl>
    <w:lvl w:ilvl="8" w:tplc="B584178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7DB300E"/>
    <w:multiLevelType w:val="multilevel"/>
    <w:tmpl w:val="A64EA1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0468F2"/>
    <w:multiLevelType w:val="hybridMultilevel"/>
    <w:tmpl w:val="8E00335C"/>
    <w:lvl w:ilvl="0" w:tplc="AEFA53E6">
      <w:start w:val="1"/>
      <w:numFmt w:val="bullet"/>
      <w:lvlText w:val="•"/>
      <w:lvlJc w:val="left"/>
      <w:pPr>
        <w:tabs>
          <w:tab w:val="num" w:pos="720"/>
        </w:tabs>
        <w:ind w:left="720" w:hanging="360"/>
      </w:pPr>
      <w:rPr>
        <w:rFonts w:ascii="Arial" w:hAnsi="Arial" w:hint="default"/>
      </w:rPr>
    </w:lvl>
    <w:lvl w:ilvl="1" w:tplc="0DA01FEC" w:tentative="1">
      <w:start w:val="1"/>
      <w:numFmt w:val="bullet"/>
      <w:lvlText w:val="•"/>
      <w:lvlJc w:val="left"/>
      <w:pPr>
        <w:tabs>
          <w:tab w:val="num" w:pos="1440"/>
        </w:tabs>
        <w:ind w:left="1440" w:hanging="360"/>
      </w:pPr>
      <w:rPr>
        <w:rFonts w:ascii="Arial" w:hAnsi="Arial" w:hint="default"/>
      </w:rPr>
    </w:lvl>
    <w:lvl w:ilvl="2" w:tplc="275A1FA6" w:tentative="1">
      <w:start w:val="1"/>
      <w:numFmt w:val="bullet"/>
      <w:lvlText w:val="•"/>
      <w:lvlJc w:val="left"/>
      <w:pPr>
        <w:tabs>
          <w:tab w:val="num" w:pos="2160"/>
        </w:tabs>
        <w:ind w:left="2160" w:hanging="360"/>
      </w:pPr>
      <w:rPr>
        <w:rFonts w:ascii="Arial" w:hAnsi="Arial" w:hint="default"/>
      </w:rPr>
    </w:lvl>
    <w:lvl w:ilvl="3" w:tplc="77FECEDE" w:tentative="1">
      <w:start w:val="1"/>
      <w:numFmt w:val="bullet"/>
      <w:lvlText w:val="•"/>
      <w:lvlJc w:val="left"/>
      <w:pPr>
        <w:tabs>
          <w:tab w:val="num" w:pos="2880"/>
        </w:tabs>
        <w:ind w:left="2880" w:hanging="360"/>
      </w:pPr>
      <w:rPr>
        <w:rFonts w:ascii="Arial" w:hAnsi="Arial" w:hint="default"/>
      </w:rPr>
    </w:lvl>
    <w:lvl w:ilvl="4" w:tplc="D4EAD0C2" w:tentative="1">
      <w:start w:val="1"/>
      <w:numFmt w:val="bullet"/>
      <w:lvlText w:val="•"/>
      <w:lvlJc w:val="left"/>
      <w:pPr>
        <w:tabs>
          <w:tab w:val="num" w:pos="3600"/>
        </w:tabs>
        <w:ind w:left="3600" w:hanging="360"/>
      </w:pPr>
      <w:rPr>
        <w:rFonts w:ascii="Arial" w:hAnsi="Arial" w:hint="default"/>
      </w:rPr>
    </w:lvl>
    <w:lvl w:ilvl="5" w:tplc="176021E0" w:tentative="1">
      <w:start w:val="1"/>
      <w:numFmt w:val="bullet"/>
      <w:lvlText w:val="•"/>
      <w:lvlJc w:val="left"/>
      <w:pPr>
        <w:tabs>
          <w:tab w:val="num" w:pos="4320"/>
        </w:tabs>
        <w:ind w:left="4320" w:hanging="360"/>
      </w:pPr>
      <w:rPr>
        <w:rFonts w:ascii="Arial" w:hAnsi="Arial" w:hint="default"/>
      </w:rPr>
    </w:lvl>
    <w:lvl w:ilvl="6" w:tplc="F6B8746E" w:tentative="1">
      <w:start w:val="1"/>
      <w:numFmt w:val="bullet"/>
      <w:lvlText w:val="•"/>
      <w:lvlJc w:val="left"/>
      <w:pPr>
        <w:tabs>
          <w:tab w:val="num" w:pos="5040"/>
        </w:tabs>
        <w:ind w:left="5040" w:hanging="360"/>
      </w:pPr>
      <w:rPr>
        <w:rFonts w:ascii="Arial" w:hAnsi="Arial" w:hint="default"/>
      </w:rPr>
    </w:lvl>
    <w:lvl w:ilvl="7" w:tplc="3F1431A0" w:tentative="1">
      <w:start w:val="1"/>
      <w:numFmt w:val="bullet"/>
      <w:lvlText w:val="•"/>
      <w:lvlJc w:val="left"/>
      <w:pPr>
        <w:tabs>
          <w:tab w:val="num" w:pos="5760"/>
        </w:tabs>
        <w:ind w:left="5760" w:hanging="360"/>
      </w:pPr>
      <w:rPr>
        <w:rFonts w:ascii="Arial" w:hAnsi="Arial" w:hint="default"/>
      </w:rPr>
    </w:lvl>
    <w:lvl w:ilvl="8" w:tplc="0DC485C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F540F"/>
    <w:multiLevelType w:val="hybridMultilevel"/>
    <w:tmpl w:val="2850E8C0"/>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77EAE"/>
    <w:multiLevelType w:val="hybridMultilevel"/>
    <w:tmpl w:val="9FC82602"/>
    <w:lvl w:ilvl="0" w:tplc="E450955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91722"/>
    <w:multiLevelType w:val="hybridMultilevel"/>
    <w:tmpl w:val="4B7C51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882130"/>
    <w:multiLevelType w:val="hybridMultilevel"/>
    <w:tmpl w:val="EF122A08"/>
    <w:lvl w:ilvl="0" w:tplc="C59A53EE">
      <w:start w:val="1"/>
      <w:numFmt w:val="bullet"/>
      <w:lvlText w:val="•"/>
      <w:lvlJc w:val="left"/>
      <w:pPr>
        <w:tabs>
          <w:tab w:val="num" w:pos="720"/>
        </w:tabs>
        <w:ind w:left="720" w:hanging="360"/>
      </w:pPr>
      <w:rPr>
        <w:rFonts w:ascii="Arial" w:hAnsi="Arial" w:hint="default"/>
      </w:rPr>
    </w:lvl>
    <w:lvl w:ilvl="1" w:tplc="36026360" w:tentative="1">
      <w:start w:val="1"/>
      <w:numFmt w:val="bullet"/>
      <w:lvlText w:val="•"/>
      <w:lvlJc w:val="left"/>
      <w:pPr>
        <w:tabs>
          <w:tab w:val="num" w:pos="1440"/>
        </w:tabs>
        <w:ind w:left="1440" w:hanging="360"/>
      </w:pPr>
      <w:rPr>
        <w:rFonts w:ascii="Arial" w:hAnsi="Arial" w:hint="default"/>
      </w:rPr>
    </w:lvl>
    <w:lvl w:ilvl="2" w:tplc="CF28DDA6" w:tentative="1">
      <w:start w:val="1"/>
      <w:numFmt w:val="bullet"/>
      <w:lvlText w:val="•"/>
      <w:lvlJc w:val="left"/>
      <w:pPr>
        <w:tabs>
          <w:tab w:val="num" w:pos="2160"/>
        </w:tabs>
        <w:ind w:left="2160" w:hanging="360"/>
      </w:pPr>
      <w:rPr>
        <w:rFonts w:ascii="Arial" w:hAnsi="Arial" w:hint="default"/>
      </w:rPr>
    </w:lvl>
    <w:lvl w:ilvl="3" w:tplc="C5BA1DA4" w:tentative="1">
      <w:start w:val="1"/>
      <w:numFmt w:val="bullet"/>
      <w:lvlText w:val="•"/>
      <w:lvlJc w:val="left"/>
      <w:pPr>
        <w:tabs>
          <w:tab w:val="num" w:pos="2880"/>
        </w:tabs>
        <w:ind w:left="2880" w:hanging="360"/>
      </w:pPr>
      <w:rPr>
        <w:rFonts w:ascii="Arial" w:hAnsi="Arial" w:hint="default"/>
      </w:rPr>
    </w:lvl>
    <w:lvl w:ilvl="4" w:tplc="920ECAC2" w:tentative="1">
      <w:start w:val="1"/>
      <w:numFmt w:val="bullet"/>
      <w:lvlText w:val="•"/>
      <w:lvlJc w:val="left"/>
      <w:pPr>
        <w:tabs>
          <w:tab w:val="num" w:pos="3600"/>
        </w:tabs>
        <w:ind w:left="3600" w:hanging="360"/>
      </w:pPr>
      <w:rPr>
        <w:rFonts w:ascii="Arial" w:hAnsi="Arial" w:hint="default"/>
      </w:rPr>
    </w:lvl>
    <w:lvl w:ilvl="5" w:tplc="037E4754" w:tentative="1">
      <w:start w:val="1"/>
      <w:numFmt w:val="bullet"/>
      <w:lvlText w:val="•"/>
      <w:lvlJc w:val="left"/>
      <w:pPr>
        <w:tabs>
          <w:tab w:val="num" w:pos="4320"/>
        </w:tabs>
        <w:ind w:left="4320" w:hanging="360"/>
      </w:pPr>
      <w:rPr>
        <w:rFonts w:ascii="Arial" w:hAnsi="Arial" w:hint="default"/>
      </w:rPr>
    </w:lvl>
    <w:lvl w:ilvl="6" w:tplc="C854E024" w:tentative="1">
      <w:start w:val="1"/>
      <w:numFmt w:val="bullet"/>
      <w:lvlText w:val="•"/>
      <w:lvlJc w:val="left"/>
      <w:pPr>
        <w:tabs>
          <w:tab w:val="num" w:pos="5040"/>
        </w:tabs>
        <w:ind w:left="5040" w:hanging="360"/>
      </w:pPr>
      <w:rPr>
        <w:rFonts w:ascii="Arial" w:hAnsi="Arial" w:hint="default"/>
      </w:rPr>
    </w:lvl>
    <w:lvl w:ilvl="7" w:tplc="743ED5CA" w:tentative="1">
      <w:start w:val="1"/>
      <w:numFmt w:val="bullet"/>
      <w:lvlText w:val="•"/>
      <w:lvlJc w:val="left"/>
      <w:pPr>
        <w:tabs>
          <w:tab w:val="num" w:pos="5760"/>
        </w:tabs>
        <w:ind w:left="5760" w:hanging="360"/>
      </w:pPr>
      <w:rPr>
        <w:rFonts w:ascii="Arial" w:hAnsi="Arial" w:hint="default"/>
      </w:rPr>
    </w:lvl>
    <w:lvl w:ilvl="8" w:tplc="3B20C0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51137E"/>
    <w:multiLevelType w:val="hybridMultilevel"/>
    <w:tmpl w:val="64E07B0C"/>
    <w:lvl w:ilvl="0" w:tplc="C83060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6C750E"/>
    <w:multiLevelType w:val="hybridMultilevel"/>
    <w:tmpl w:val="F85455C2"/>
    <w:lvl w:ilvl="0" w:tplc="35AEE4B6">
      <w:start w:val="1"/>
      <w:numFmt w:val="bullet"/>
      <w:lvlText w:val=""/>
      <w:lvlJc w:val="left"/>
      <w:pPr>
        <w:ind w:left="720"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61FA7"/>
    <w:multiLevelType w:val="hybridMultilevel"/>
    <w:tmpl w:val="0FA0E9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6"/>
  </w:num>
  <w:num w:numId="4">
    <w:abstractNumId w:val="21"/>
  </w:num>
  <w:num w:numId="5">
    <w:abstractNumId w:val="22"/>
  </w:num>
  <w:num w:numId="6">
    <w:abstractNumId w:val="17"/>
  </w:num>
  <w:num w:numId="7">
    <w:abstractNumId w:val="27"/>
  </w:num>
  <w:num w:numId="8">
    <w:abstractNumId w:val="32"/>
  </w:num>
  <w:num w:numId="9">
    <w:abstractNumId w:val="2"/>
  </w:num>
  <w:num w:numId="10">
    <w:abstractNumId w:val="7"/>
  </w:num>
  <w:num w:numId="11">
    <w:abstractNumId w:val="3"/>
  </w:num>
  <w:num w:numId="12">
    <w:abstractNumId w:val="4"/>
  </w:num>
  <w:num w:numId="13">
    <w:abstractNumId w:val="23"/>
    <w:lvlOverride w:ilvl="0">
      <w:lvl w:ilvl="0" w:tplc="040C0001">
        <w:start w:val="1"/>
        <w:numFmt w:val="bullet"/>
        <w:lvlText w:val=""/>
        <w:lvlJc w:val="left"/>
        <w:pPr>
          <w:ind w:left="720" w:hanging="360"/>
        </w:pPr>
        <w:rPr>
          <w:rFonts w:ascii="Symbol" w:hAnsi="Symbol" w:hint="default"/>
        </w:rPr>
      </w:lvl>
    </w:lvlOverride>
  </w:num>
  <w:num w:numId="14">
    <w:abstractNumId w:val="25"/>
    <w:lvlOverride w:ilvl="0">
      <w:lvl w:ilvl="0">
        <w:start w:val="1"/>
        <w:numFmt w:val="bullet"/>
        <w:lvlText w:val=""/>
        <w:lvlJc w:val="left"/>
        <w:pPr>
          <w:ind w:left="720" w:hanging="360"/>
        </w:pPr>
        <w:rPr>
          <w:rFonts w:ascii="Symbol" w:hAnsi="Symbol" w:hint="default"/>
          <w:u w:val="none"/>
        </w:rPr>
      </w:lvl>
    </w:lvlOverride>
  </w:num>
  <w:num w:numId="15">
    <w:abstractNumId w:val="16"/>
  </w:num>
  <w:num w:numId="16">
    <w:abstractNumId w:val="11"/>
  </w:num>
  <w:num w:numId="17">
    <w:abstractNumId w:val="20"/>
  </w:num>
  <w:num w:numId="18">
    <w:abstractNumId w:val="9"/>
    <w:lvlOverride w:ilvl="0">
      <w:lvl w:ilvl="0" w:tplc="04090001">
        <w:start w:val="1"/>
        <w:numFmt w:val="bullet"/>
        <w:lvlText w:val=""/>
        <w:lvlJc w:val="left"/>
        <w:pPr>
          <w:ind w:left="1800" w:hanging="360"/>
        </w:pPr>
        <w:rPr>
          <w:rFonts w:ascii="Symbol" w:hAnsi="Symbol" w:hint="default"/>
        </w:rPr>
      </w:lvl>
    </w:lvlOverride>
  </w:num>
  <w:num w:numId="19">
    <w:abstractNumId w:val="18"/>
  </w:num>
  <w:num w:numId="20">
    <w:abstractNumId w:val="33"/>
    <w:lvlOverride w:ilvl="0">
      <w:lvl w:ilvl="0" w:tplc="04090001">
        <w:start w:val="1"/>
        <w:numFmt w:val="bullet"/>
        <w:lvlText w:val=""/>
        <w:lvlJc w:val="left"/>
        <w:pPr>
          <w:ind w:left="720" w:hanging="360"/>
        </w:pPr>
        <w:rPr>
          <w:rFonts w:ascii="Symbol" w:hAnsi="Symbol" w:hint="default"/>
        </w:rPr>
      </w:lvl>
    </w:lvlOverride>
  </w:num>
  <w:num w:numId="21">
    <w:abstractNumId w:val="19"/>
    <w:lvlOverride w:ilvl="0">
      <w:lvl w:ilvl="0" w:tplc="04090001">
        <w:start w:val="1"/>
        <w:numFmt w:val="bullet"/>
        <w:lvlText w:val=""/>
        <w:lvlJc w:val="left"/>
        <w:pPr>
          <w:ind w:left="360" w:hanging="360"/>
        </w:pPr>
        <w:rPr>
          <w:rFonts w:ascii="Symbol" w:hAnsi="Symbol" w:hint="default"/>
        </w:rPr>
      </w:lvl>
    </w:lvlOverride>
  </w:num>
  <w:num w:numId="22">
    <w:abstractNumId w:val="8"/>
    <w:lvlOverride w:ilvl="0">
      <w:lvl w:ilvl="0" w:tplc="04090001">
        <w:start w:val="1"/>
        <w:numFmt w:val="bullet"/>
        <w:lvlText w:val=""/>
        <w:lvlJc w:val="left"/>
        <w:pPr>
          <w:ind w:left="360" w:hanging="360"/>
        </w:pPr>
        <w:rPr>
          <w:rFonts w:ascii="Symbol" w:hAnsi="Symbol" w:hint="default"/>
        </w:rPr>
      </w:lvl>
    </w:lvlOverride>
  </w:num>
  <w:num w:numId="23">
    <w:abstractNumId w:val="14"/>
    <w:lvlOverride w:ilvl="0">
      <w:lvl w:ilvl="0" w:tplc="04090001">
        <w:start w:val="1"/>
        <w:numFmt w:val="bullet"/>
        <w:lvlText w:val=""/>
        <w:lvlJc w:val="left"/>
        <w:pPr>
          <w:ind w:left="360" w:hanging="360"/>
        </w:pPr>
        <w:rPr>
          <w:rFonts w:ascii="Symbol" w:hAnsi="Symbol" w:hint="default"/>
        </w:rPr>
      </w:lvl>
    </w:lvlOverride>
  </w:num>
  <w:num w:numId="24">
    <w:abstractNumId w:val="1"/>
  </w:num>
  <w:num w:numId="25">
    <w:abstractNumId w:val="15"/>
  </w:num>
  <w:num w:numId="26">
    <w:abstractNumId w:val="24"/>
  </w:num>
  <w:num w:numId="27">
    <w:abstractNumId w:val="26"/>
  </w:num>
  <w:num w:numId="28">
    <w:abstractNumId w:val="30"/>
  </w:num>
  <w:num w:numId="29">
    <w:abstractNumId w:val="12"/>
  </w:num>
  <w:num w:numId="30">
    <w:abstractNumId w:val="0"/>
  </w:num>
  <w:num w:numId="31">
    <w:abstractNumId w:val="29"/>
  </w:num>
  <w:num w:numId="32">
    <w:abstractNumId w:val="5"/>
  </w:num>
  <w:num w:numId="33">
    <w:abstractNumId w:val="1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46C31"/>
    <w:rsid w:val="000620A0"/>
    <w:rsid w:val="00062299"/>
    <w:rsid w:val="00074005"/>
    <w:rsid w:val="000D3043"/>
    <w:rsid w:val="000E79DE"/>
    <w:rsid w:val="000F3433"/>
    <w:rsid w:val="0010033D"/>
    <w:rsid w:val="00121F48"/>
    <w:rsid w:val="00135480"/>
    <w:rsid w:val="00177C18"/>
    <w:rsid w:val="001830E0"/>
    <w:rsid w:val="001862A1"/>
    <w:rsid w:val="001C4F1D"/>
    <w:rsid w:val="00200D03"/>
    <w:rsid w:val="00205BAA"/>
    <w:rsid w:val="0021613E"/>
    <w:rsid w:val="0023772D"/>
    <w:rsid w:val="00267B24"/>
    <w:rsid w:val="002A347F"/>
    <w:rsid w:val="002B0CD0"/>
    <w:rsid w:val="002C2D6E"/>
    <w:rsid w:val="002C385F"/>
    <w:rsid w:val="00304733"/>
    <w:rsid w:val="003117C2"/>
    <w:rsid w:val="00312004"/>
    <w:rsid w:val="003321BC"/>
    <w:rsid w:val="00344601"/>
    <w:rsid w:val="00344693"/>
    <w:rsid w:val="00345602"/>
    <w:rsid w:val="003A36A2"/>
    <w:rsid w:val="003A533E"/>
    <w:rsid w:val="003B4C80"/>
    <w:rsid w:val="0040445C"/>
    <w:rsid w:val="004479B4"/>
    <w:rsid w:val="004710D3"/>
    <w:rsid w:val="004724A8"/>
    <w:rsid w:val="004A6984"/>
    <w:rsid w:val="004A6D7D"/>
    <w:rsid w:val="004C01C0"/>
    <w:rsid w:val="004C4410"/>
    <w:rsid w:val="004C5CD0"/>
    <w:rsid w:val="00531D49"/>
    <w:rsid w:val="005742DC"/>
    <w:rsid w:val="0059001E"/>
    <w:rsid w:val="005A015D"/>
    <w:rsid w:val="005C39AD"/>
    <w:rsid w:val="005C638E"/>
    <w:rsid w:val="005E1D48"/>
    <w:rsid w:val="005F2B88"/>
    <w:rsid w:val="006236E0"/>
    <w:rsid w:val="00653F1F"/>
    <w:rsid w:val="00684810"/>
    <w:rsid w:val="006F70FA"/>
    <w:rsid w:val="00720640"/>
    <w:rsid w:val="007B1F5A"/>
    <w:rsid w:val="007E045D"/>
    <w:rsid w:val="007E79BA"/>
    <w:rsid w:val="00800C77"/>
    <w:rsid w:val="00847E04"/>
    <w:rsid w:val="00862A71"/>
    <w:rsid w:val="00862D5F"/>
    <w:rsid w:val="008737E9"/>
    <w:rsid w:val="008A403D"/>
    <w:rsid w:val="008F5A58"/>
    <w:rsid w:val="00924B2B"/>
    <w:rsid w:val="009355A4"/>
    <w:rsid w:val="00981124"/>
    <w:rsid w:val="00982930"/>
    <w:rsid w:val="009F7E7E"/>
    <w:rsid w:val="00A223D3"/>
    <w:rsid w:val="00A35C79"/>
    <w:rsid w:val="00A36127"/>
    <w:rsid w:val="00AB2D24"/>
    <w:rsid w:val="00AC01E1"/>
    <w:rsid w:val="00AC7CE6"/>
    <w:rsid w:val="00AE01F9"/>
    <w:rsid w:val="00B14A39"/>
    <w:rsid w:val="00B16AFC"/>
    <w:rsid w:val="00B17D2E"/>
    <w:rsid w:val="00B2175E"/>
    <w:rsid w:val="00B77EF1"/>
    <w:rsid w:val="00B80E02"/>
    <w:rsid w:val="00B957E1"/>
    <w:rsid w:val="00BB2441"/>
    <w:rsid w:val="00BC22F5"/>
    <w:rsid w:val="00BE4327"/>
    <w:rsid w:val="00C25692"/>
    <w:rsid w:val="00C4442F"/>
    <w:rsid w:val="00C52F4C"/>
    <w:rsid w:val="00C56EBB"/>
    <w:rsid w:val="00C63308"/>
    <w:rsid w:val="00CA5E5F"/>
    <w:rsid w:val="00CB6B75"/>
    <w:rsid w:val="00CE5487"/>
    <w:rsid w:val="00D05A50"/>
    <w:rsid w:val="00D42EBE"/>
    <w:rsid w:val="00D553C0"/>
    <w:rsid w:val="00D56F25"/>
    <w:rsid w:val="00DB4C83"/>
    <w:rsid w:val="00DC1042"/>
    <w:rsid w:val="00DC42CB"/>
    <w:rsid w:val="00DD5308"/>
    <w:rsid w:val="00DE458F"/>
    <w:rsid w:val="00DF798C"/>
    <w:rsid w:val="00E27A19"/>
    <w:rsid w:val="00E619B1"/>
    <w:rsid w:val="00EA7314"/>
    <w:rsid w:val="00EC78BA"/>
    <w:rsid w:val="00EE3DF2"/>
    <w:rsid w:val="00F2294C"/>
    <w:rsid w:val="00F22BF7"/>
    <w:rsid w:val="00F23F58"/>
    <w:rsid w:val="00F757BD"/>
    <w:rsid w:val="00FC097D"/>
    <w:rsid w:val="00FC3783"/>
    <w:rsid w:val="00FD46F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qFormat/>
    <w:pPr>
      <w:keepNext/>
      <w:keepLines/>
      <w:spacing w:after="240"/>
      <w:ind w:left="567" w:hanging="567"/>
      <w:outlineLvl w:val="2"/>
    </w:pPr>
    <w:rPr>
      <w:b/>
      <w:bCs/>
    </w:rPr>
  </w:style>
  <w:style w:type="paragraph" w:styleId="Titre4">
    <w:name w:val="heading 4"/>
    <w:basedOn w:val="Normal"/>
    <w:next w:val="Marge"/>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qFormat/>
    <w:pPr>
      <w:spacing w:after="240"/>
      <w:jc w:val="both"/>
    </w:pPr>
  </w:style>
  <w:style w:type="paragraph" w:styleId="Notedebasdepage">
    <w:name w:val="footnote text"/>
    <w:basedOn w:val="Normal"/>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tabs>
        <w:tab w:val="clear" w:pos="567"/>
        <w:tab w:val="left" w:pos="840"/>
      </w:tabs>
      <w:adjustRightInd w:val="0"/>
      <w:spacing w:after="240"/>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semiHidden/>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semiHidden/>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rsid w:val="00200D03"/>
    <w:rPr>
      <w:color w:val="0563C1" w:themeColor="hyperlink"/>
      <w:u w:val="single"/>
    </w:rPr>
  </w:style>
  <w:style w:type="paragraph" w:styleId="Paragraphedeliste">
    <w:name w:val="List Paragraph"/>
    <w:basedOn w:val="Normal"/>
    <w:uiPriority w:val="34"/>
    <w:qFormat/>
    <w:rsid w:val="00200D03"/>
    <w:pPr>
      <w:ind w:left="720"/>
      <w:contextualSpacing/>
    </w:pPr>
  </w:style>
  <w:style w:type="paragraph" w:styleId="Objetducommentaire">
    <w:name w:val="annotation subject"/>
    <w:basedOn w:val="Commentaire"/>
    <w:next w:val="Commentaire"/>
    <w:link w:val="ObjetducommentaireC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styleId="Mentionnonrsolue">
    <w:name w:val="Unresolved Mention"/>
    <w:basedOn w:val="Policepardfaut"/>
    <w:uiPriority w:val="99"/>
    <w:semiHidden/>
    <w:unhideWhenUsed/>
    <w:rsid w:val="000E79DE"/>
    <w:rPr>
      <w:color w:val="605E5C"/>
      <w:shd w:val="clear" w:color="auto" w:fill="E1DFDD"/>
    </w:rPr>
  </w:style>
  <w:style w:type="paragraph" w:customStyle="1" w:styleId="COI">
    <w:name w:val="COI"/>
    <w:basedOn w:val="Normal"/>
    <w:link w:val="COIChar"/>
    <w:rsid w:val="001C4F1D"/>
    <w:pPr>
      <w:tabs>
        <w:tab w:val="clear" w:pos="567"/>
        <w:tab w:val="left" w:pos="709"/>
      </w:tabs>
      <w:spacing w:after="240"/>
      <w:ind w:left="720" w:hanging="360"/>
      <w:jc w:val="both"/>
    </w:pPr>
    <w:rPr>
      <w:rFonts w:ascii="Times New Roman" w:hAnsi="Times New Roman"/>
      <w:sz w:val="24"/>
    </w:rPr>
  </w:style>
  <w:style w:type="character" w:customStyle="1" w:styleId="COIChar">
    <w:name w:val="COI Char"/>
    <w:link w:val="COI"/>
    <w:rsid w:val="001C4F1D"/>
    <w:rPr>
      <w:snapToGrid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3</TotalTime>
  <Pages>3</Pages>
  <Words>1184</Words>
  <Characters>6339</Characters>
  <Application>Microsoft Office Word</Application>
  <DocSecurity>0</DocSecurity>
  <Lines>88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résolution EC-55/[4.1] - Présenté par l'Inde, le Maroc et la Colombie</vt:lpstr>
      <vt:lpstr/>
    </vt:vector>
  </TitlesOfParts>
  <Company>Unesco</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EC-55/[4.1] - Présenté par l'Inde, le Maroc et la Colombie</dc:title>
  <dc:subject>EC-55/DR.[4.1] Rev.</dc:subject>
  <dc:creator>Obradovic, Aleksandra</dc:creator>
  <cp:keywords/>
  <dc:description/>
  <cp:lastModifiedBy>Machu, Anne-sophie</cp:lastModifiedBy>
  <cp:revision>3</cp:revision>
  <dcterms:created xsi:type="dcterms:W3CDTF">2022-06-15T08:23:00Z</dcterms:created>
  <dcterms:modified xsi:type="dcterms:W3CDTF">2022-06-15T08:25:00Z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202201646</vt:lpwstr>
  </property>
  <property fmtid="{D5CDD505-2E9C-101B-9397-08002B2CF9AE}" pid="3" name="Language">
    <vt:lpwstr>F</vt:lpwstr>
  </property>
</Properties>
</file>