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722D" w:rsidRPr="00BF722D" w:rsidRDefault="00BF722D" w:rsidP="00AB5980">
      <w:pPr>
        <w:spacing w:after="0" w:line="276" w:lineRule="auto"/>
        <w:rPr>
          <w:rFonts w:ascii="Bookman Old Style" w:eastAsia="Calibri" w:hAnsi="Bookman Old Style" w:cs="Times New Roman"/>
          <w:b/>
          <w:sz w:val="28"/>
          <w:szCs w:val="28"/>
        </w:rPr>
      </w:pPr>
      <w:bookmarkStart w:id="0" w:name="_GoBack"/>
      <w:bookmarkEnd w:id="0"/>
    </w:p>
    <w:p w:rsidR="00BF722D" w:rsidRPr="00AB5980" w:rsidRDefault="00AB5980" w:rsidP="00AB5980">
      <w:pPr>
        <w:spacing w:after="0" w:line="276" w:lineRule="auto"/>
        <w:jc w:val="center"/>
        <w:rPr>
          <w:rFonts w:ascii="Wide Latin" w:eastAsia="Calibri" w:hAnsi="Wide Latin" w:cs="Times New Roman"/>
          <w:b/>
          <w:i/>
          <w:sz w:val="48"/>
          <w:szCs w:val="48"/>
        </w:rPr>
      </w:pPr>
      <w:r>
        <w:rPr>
          <w:rFonts w:ascii="Wide Latin" w:eastAsia="Calibri" w:hAnsi="Wide Latin" w:cs="Times New Roman"/>
          <w:b/>
          <w:i/>
          <w:sz w:val="48"/>
          <w:szCs w:val="48"/>
        </w:rPr>
        <w:t>LES RESERVES DE BIOSPHERE AU SENEGAL</w:t>
      </w:r>
    </w:p>
    <w:p w:rsidR="00BF722D" w:rsidRPr="00BF722D" w:rsidRDefault="00BF722D" w:rsidP="00BF722D">
      <w:pPr>
        <w:spacing w:after="200" w:line="276" w:lineRule="auto"/>
        <w:jc w:val="both"/>
        <w:rPr>
          <w:rFonts w:ascii="Bookman Old Style" w:eastAsia="Calibri" w:hAnsi="Bookman Old Style" w:cs="Times New Roman"/>
          <w:b/>
          <w:sz w:val="24"/>
          <w:szCs w:val="24"/>
        </w:rPr>
      </w:pPr>
    </w:p>
    <w:p w:rsidR="00BF722D" w:rsidRPr="00BF722D" w:rsidRDefault="00BF722D" w:rsidP="00BF722D">
      <w:pPr>
        <w:spacing w:after="200" w:line="276" w:lineRule="auto"/>
        <w:jc w:val="both"/>
        <w:rPr>
          <w:rFonts w:ascii="Bookman Old Style" w:eastAsia="Calibri" w:hAnsi="Bookman Old Style" w:cs="Times New Roman"/>
          <w:b/>
          <w:sz w:val="24"/>
          <w:szCs w:val="24"/>
        </w:rPr>
      </w:pPr>
    </w:p>
    <w:p w:rsidR="00BF722D" w:rsidRPr="00BF722D" w:rsidRDefault="00BF722D" w:rsidP="00BF722D">
      <w:pPr>
        <w:spacing w:after="200" w:line="276" w:lineRule="auto"/>
        <w:jc w:val="both"/>
        <w:rPr>
          <w:rFonts w:ascii="Bookman Old Style" w:eastAsia="Calibri" w:hAnsi="Bookman Old Style" w:cs="Times New Roman"/>
          <w:b/>
          <w:sz w:val="24"/>
          <w:szCs w:val="24"/>
        </w:rPr>
      </w:pPr>
    </w:p>
    <w:p w:rsidR="00BF722D" w:rsidRPr="00BF722D" w:rsidRDefault="00BF722D" w:rsidP="00BF722D">
      <w:pPr>
        <w:spacing w:after="200" w:line="276" w:lineRule="auto"/>
        <w:jc w:val="both"/>
        <w:rPr>
          <w:rFonts w:ascii="Bookman Old Style" w:eastAsia="Calibri" w:hAnsi="Bookman Old Style" w:cs="Times New Roman"/>
          <w:b/>
          <w:sz w:val="24"/>
          <w:szCs w:val="24"/>
        </w:rPr>
      </w:pPr>
    </w:p>
    <w:p w:rsidR="00BF722D" w:rsidRPr="00BF722D" w:rsidRDefault="00BF722D" w:rsidP="00BF722D">
      <w:pPr>
        <w:spacing w:after="200" w:line="276" w:lineRule="auto"/>
        <w:rPr>
          <w:rFonts w:ascii="Bookman Old Style" w:eastAsia="Calibri" w:hAnsi="Bookman Old Style" w:cs="Times New Roman"/>
          <w:b/>
          <w:sz w:val="40"/>
          <w:szCs w:val="40"/>
        </w:rPr>
      </w:pPr>
      <w:r w:rsidRPr="00BF722D">
        <w:rPr>
          <w:rFonts w:ascii="Bookman Old Style" w:eastAsia="Calibri" w:hAnsi="Bookman Old Style" w:cs="Times New Roman"/>
          <w:b/>
          <w:sz w:val="40"/>
          <w:szCs w:val="40"/>
        </w:rPr>
        <w:br w:type="page"/>
      </w:r>
    </w:p>
    <w:p w:rsidR="00BF722D" w:rsidRPr="00BF722D" w:rsidRDefault="00BF722D" w:rsidP="00BF722D">
      <w:pPr>
        <w:spacing w:after="200" w:line="360" w:lineRule="auto"/>
        <w:rPr>
          <w:rFonts w:ascii="Bookman Old Style" w:eastAsia="Calibri" w:hAnsi="Bookman Old Style" w:cs="Times New Roman"/>
          <w:b/>
          <w:sz w:val="40"/>
          <w:szCs w:val="40"/>
        </w:rPr>
      </w:pPr>
      <w:r w:rsidRPr="00BF722D">
        <w:rPr>
          <w:rFonts w:ascii="Bookman Old Style" w:eastAsia="Calibri" w:hAnsi="Bookman Old Style" w:cs="Times New Roman"/>
          <w:b/>
          <w:sz w:val="40"/>
          <w:szCs w:val="40"/>
        </w:rPr>
        <w:lastRenderedPageBreak/>
        <w:t>INTRODUCTION</w:t>
      </w:r>
    </w:p>
    <w:p w:rsidR="00BF722D" w:rsidRPr="00BF722D" w:rsidRDefault="00BF722D" w:rsidP="00BF722D">
      <w:pPr>
        <w:spacing w:after="0" w:line="360" w:lineRule="auto"/>
        <w:jc w:val="both"/>
        <w:rPr>
          <w:rFonts w:ascii="Bookman Old Style" w:eastAsia="Calibri" w:hAnsi="Bookman Old Style" w:cs="Times New Roman"/>
          <w:sz w:val="24"/>
          <w:szCs w:val="24"/>
        </w:rPr>
      </w:pPr>
      <w:r w:rsidRPr="00BF722D">
        <w:rPr>
          <w:rFonts w:ascii="Bookman Old Style" w:eastAsia="Calibri" w:hAnsi="Bookman Old Style" w:cs="Times New Roman"/>
          <w:sz w:val="24"/>
          <w:szCs w:val="24"/>
        </w:rPr>
        <w:t xml:space="preserve">le programme MAB est un programme intergouvernemental et constitue un des programmes phares de l’UNESCO. L’objectif de ce programme est de développer les bases scientifiques de l’utilisation rationnelle et la conservation des ressources de la biosphère pour améliorer la relation globale entre l’homme et l’environnement. C’est aussi de prévoir les conséquences des actions d’aujourd’hui sur le monde de demain et accroître les capacités humaines à gérer efficacement les ressources naturelles de la biosphère. </w:t>
      </w:r>
    </w:p>
    <w:p w:rsidR="00BF722D" w:rsidRPr="00BF722D" w:rsidRDefault="00BF722D" w:rsidP="00BF722D">
      <w:pPr>
        <w:spacing w:after="0" w:line="360" w:lineRule="auto"/>
        <w:jc w:val="both"/>
        <w:rPr>
          <w:rFonts w:ascii="Bookman Old Style" w:eastAsia="Calibri" w:hAnsi="Bookman Old Style" w:cs="Times New Roman"/>
          <w:sz w:val="24"/>
          <w:szCs w:val="24"/>
        </w:rPr>
      </w:pPr>
    </w:p>
    <w:p w:rsidR="00BF722D" w:rsidRPr="00BF722D" w:rsidRDefault="00BF722D" w:rsidP="00BF722D">
      <w:pPr>
        <w:spacing w:after="0" w:line="360" w:lineRule="auto"/>
        <w:jc w:val="both"/>
        <w:rPr>
          <w:rFonts w:ascii="Bookman Old Style" w:eastAsia="Calibri" w:hAnsi="Bookman Old Style" w:cs="Times New Roman"/>
          <w:sz w:val="24"/>
          <w:szCs w:val="24"/>
        </w:rPr>
      </w:pPr>
      <w:r w:rsidRPr="00BF722D">
        <w:rPr>
          <w:rFonts w:ascii="Bookman Old Style" w:eastAsia="Calibri" w:hAnsi="Bookman Old Style" w:cs="Times New Roman"/>
          <w:sz w:val="24"/>
          <w:szCs w:val="24"/>
        </w:rPr>
        <w:t xml:space="preserve">Le MAB est un programme géré suivant une approche pluridisciplinaire et participative. Parlant de l’historique du programme, le conférencier a évoqué la prise de conscience environnementale qui a motivé la mise en place de ce programme puis a décliné les étapes clés du programme depuis sa naissance en 1971 jusqu’à la conférence de Madrid en 2008 qui a abouti à l’élaboration d’un plan d’action 2008-2013 pour les Réserves de Biosphère. </w:t>
      </w:r>
    </w:p>
    <w:p w:rsidR="00BF722D" w:rsidRPr="00BF722D" w:rsidRDefault="00BF722D" w:rsidP="00BF722D">
      <w:pPr>
        <w:spacing w:after="0" w:line="360" w:lineRule="auto"/>
        <w:jc w:val="both"/>
        <w:rPr>
          <w:rFonts w:ascii="Bookman Old Style" w:eastAsia="Calibri" w:hAnsi="Bookman Old Style" w:cs="Times New Roman"/>
          <w:sz w:val="24"/>
          <w:szCs w:val="24"/>
        </w:rPr>
      </w:pPr>
    </w:p>
    <w:p w:rsidR="00BF722D" w:rsidRDefault="00BF722D" w:rsidP="00BF722D">
      <w:pPr>
        <w:spacing w:after="200" w:line="360" w:lineRule="auto"/>
        <w:jc w:val="both"/>
        <w:rPr>
          <w:rFonts w:ascii="Bookman Old Style" w:eastAsia="Calibri" w:hAnsi="Bookman Old Style" w:cs="Times New Roman"/>
          <w:sz w:val="24"/>
          <w:szCs w:val="24"/>
        </w:rPr>
      </w:pPr>
      <w:r w:rsidRPr="00BF722D">
        <w:rPr>
          <w:rFonts w:ascii="Bookman Old Style" w:eastAsia="Calibri" w:hAnsi="Bookman Old Style" w:cs="Times New Roman"/>
          <w:sz w:val="24"/>
          <w:szCs w:val="24"/>
        </w:rPr>
        <w:t xml:space="preserve">Pour infléchir et inverser la tendance, le MAB préconise : la sensibilisation sur la nécessité de préserver les services fournis par les écosystèmes, (ii) la mise en place de mécanismes pour le développement durable des réserves de biosphère en partenariat avec toutes les sphères de la société, (iii) l’application des politiques d’adaptation au changement climatique et d’atténuation de ses effets, (iv) le développement de programmes scientifiques de recherche pour assurer le suivi et l’évaluation des Ecosystème pour le Millénaire (EM) et définir des approches permettant de garantir les services des écosystèmes pour l’avenir.   </w:t>
      </w:r>
    </w:p>
    <w:p w:rsidR="00695227" w:rsidRPr="00BF722D" w:rsidRDefault="00695227" w:rsidP="00695227">
      <w:pPr>
        <w:spacing w:after="200" w:line="360" w:lineRule="auto"/>
        <w:jc w:val="both"/>
        <w:rPr>
          <w:rFonts w:ascii="Bookman Old Style" w:eastAsia="Calibri" w:hAnsi="Bookman Old Style" w:cs="Times New Roman"/>
          <w:sz w:val="24"/>
          <w:szCs w:val="24"/>
        </w:rPr>
      </w:pPr>
      <w:r w:rsidRPr="00BF722D">
        <w:rPr>
          <w:rFonts w:ascii="Bookman Old Style" w:eastAsia="Calibri" w:hAnsi="Bookman Old Style" w:cs="Times New Roman"/>
          <w:sz w:val="24"/>
          <w:szCs w:val="24"/>
        </w:rPr>
        <w:t>Le Sénégal avec l’aide de la Communauté internat</w:t>
      </w:r>
      <w:r>
        <w:rPr>
          <w:rFonts w:ascii="Bookman Old Style" w:eastAsia="Calibri" w:hAnsi="Bookman Old Style" w:cs="Times New Roman"/>
          <w:sz w:val="24"/>
          <w:szCs w:val="24"/>
        </w:rPr>
        <w:t>ionale, a mis en place cinq (5</w:t>
      </w:r>
      <w:r w:rsidRPr="00BF722D">
        <w:rPr>
          <w:rFonts w:ascii="Bookman Old Style" w:eastAsia="Calibri" w:hAnsi="Bookman Old Style" w:cs="Times New Roman"/>
          <w:sz w:val="24"/>
          <w:szCs w:val="24"/>
        </w:rPr>
        <w:t>) réserves de biosphère qui sont le Niokolo-koba, le Delta du fleuve du Sénégal, le Delta du fleuve Saloum et  la Réserve de Samba Dia</w:t>
      </w:r>
      <w:r>
        <w:rPr>
          <w:rFonts w:ascii="Bookman Old Style" w:eastAsia="Calibri" w:hAnsi="Bookman Old Style" w:cs="Times New Roman"/>
          <w:sz w:val="24"/>
          <w:szCs w:val="24"/>
        </w:rPr>
        <w:t xml:space="preserve"> et la Réserve de Biosphére du Ferlo</w:t>
      </w:r>
      <w:r w:rsidRPr="00BF722D">
        <w:rPr>
          <w:rFonts w:ascii="Bookman Old Style" w:eastAsia="Calibri" w:hAnsi="Bookman Old Style" w:cs="Times New Roman"/>
          <w:sz w:val="24"/>
          <w:szCs w:val="24"/>
        </w:rPr>
        <w:t xml:space="preserve">. </w:t>
      </w:r>
    </w:p>
    <w:p w:rsidR="00695227" w:rsidRPr="00BF722D" w:rsidRDefault="00695227" w:rsidP="00BF722D">
      <w:pPr>
        <w:spacing w:after="200" w:line="360" w:lineRule="auto"/>
        <w:jc w:val="both"/>
        <w:rPr>
          <w:rFonts w:ascii="Bookman Old Style" w:eastAsia="Calibri" w:hAnsi="Bookman Old Style" w:cs="Times New Roman"/>
          <w:sz w:val="24"/>
          <w:szCs w:val="24"/>
        </w:rPr>
      </w:pPr>
    </w:p>
    <w:p w:rsidR="00BF722D" w:rsidRPr="00695227" w:rsidRDefault="00BF722D" w:rsidP="00BF722D">
      <w:pPr>
        <w:spacing w:after="200" w:line="360" w:lineRule="auto"/>
        <w:rPr>
          <w:rFonts w:ascii="Bookman Old Style" w:eastAsia="Calibri" w:hAnsi="Bookman Old Style" w:cs="Times New Roman"/>
          <w:b/>
          <w:sz w:val="24"/>
          <w:szCs w:val="24"/>
        </w:rPr>
      </w:pPr>
      <w:r w:rsidRPr="00BF722D">
        <w:rPr>
          <w:rFonts w:ascii="Bookman Old Style" w:eastAsia="Calibri" w:hAnsi="Bookman Old Style" w:cs="Times New Roman"/>
          <w:b/>
          <w:sz w:val="24"/>
          <w:szCs w:val="24"/>
        </w:rPr>
        <w:br w:type="page"/>
      </w:r>
      <w:r w:rsidR="00695227" w:rsidRPr="00695227">
        <w:rPr>
          <w:rFonts w:ascii="Bookman Old Style" w:eastAsia="Calibri" w:hAnsi="Bookman Old Style" w:cs="Times New Roman"/>
          <w:b/>
          <w:sz w:val="24"/>
          <w:szCs w:val="24"/>
        </w:rPr>
        <w:lastRenderedPageBreak/>
        <w:t xml:space="preserve"> LE CONCEPT DE RESERVE DE BIOSPHERE </w:t>
      </w:r>
    </w:p>
    <w:p w:rsidR="00BF722D" w:rsidRPr="00BF722D" w:rsidRDefault="00BF722D" w:rsidP="00BF722D">
      <w:pPr>
        <w:spacing w:after="200" w:line="360" w:lineRule="auto"/>
        <w:jc w:val="both"/>
        <w:rPr>
          <w:rFonts w:ascii="Bookman Old Style" w:eastAsia="Calibri" w:hAnsi="Bookman Old Style" w:cs="Times New Roman"/>
          <w:sz w:val="24"/>
          <w:szCs w:val="24"/>
        </w:rPr>
      </w:pPr>
      <w:r w:rsidRPr="00BF722D">
        <w:rPr>
          <w:rFonts w:ascii="Bookman Old Style" w:eastAsia="Calibri" w:hAnsi="Bookman Old Style" w:cs="Times New Roman"/>
          <w:sz w:val="24"/>
          <w:szCs w:val="24"/>
        </w:rPr>
        <w:t xml:space="preserve">concept de réserve de biosphère depuis la conférence intergouvernementale des experts sur les bases scientifiques de l’utilisation rationnelle des ressources de la biosphère en 1968 jusqu’au congrès de Madrid en 2008 en passant par la naissance du programme MAB en 1971, la mise au point du concept de réserve de biosphère en 1974, la création des premiers réserves de biosphère au monde en 1976, le congrès de Minsk en 1984 et la conférence de Séville en 1995. </w:t>
      </w:r>
    </w:p>
    <w:p w:rsidR="00BF722D" w:rsidRPr="00BF722D" w:rsidRDefault="00BF722D" w:rsidP="00BF722D">
      <w:pPr>
        <w:spacing w:after="200" w:line="360" w:lineRule="auto"/>
        <w:jc w:val="both"/>
        <w:rPr>
          <w:rFonts w:ascii="Bookman Old Style" w:eastAsia="Calibri" w:hAnsi="Bookman Old Style" w:cs="Times New Roman"/>
          <w:sz w:val="24"/>
          <w:szCs w:val="24"/>
        </w:rPr>
      </w:pPr>
      <w:r w:rsidRPr="00BF722D">
        <w:rPr>
          <w:rFonts w:ascii="Bookman Old Style" w:eastAsia="Calibri" w:hAnsi="Bookman Old Style" w:cs="Times New Roman"/>
          <w:sz w:val="24"/>
          <w:szCs w:val="24"/>
        </w:rPr>
        <w:t>Il indiquera que 3 soucis différents sont à la base du concept de réserve de biosphère à savoir la conservation, la logistique et le développement. En effet, une réserve de biosphère doit assurer :</w:t>
      </w:r>
      <w:r w:rsidRPr="00BF722D">
        <w:rPr>
          <w:rFonts w:ascii="Calibri" w:eastAsia="Calibri" w:hAnsi="Calibri" w:cs="Times New Roman"/>
          <w:noProof/>
          <w:lang w:eastAsia="fr-FR"/>
        </w:rPr>
        <w:t xml:space="preserve"> </w:t>
      </w:r>
    </w:p>
    <w:p w:rsidR="00BF722D" w:rsidRPr="00BF722D" w:rsidRDefault="00BF722D" w:rsidP="00BF722D">
      <w:pPr>
        <w:numPr>
          <w:ilvl w:val="0"/>
          <w:numId w:val="4"/>
        </w:numPr>
        <w:spacing w:after="200" w:line="360" w:lineRule="auto"/>
        <w:contextualSpacing/>
        <w:jc w:val="both"/>
        <w:rPr>
          <w:rFonts w:ascii="Bookman Old Style" w:eastAsia="Calibri" w:hAnsi="Bookman Old Style" w:cs="Times New Roman"/>
          <w:sz w:val="24"/>
          <w:szCs w:val="24"/>
        </w:rPr>
      </w:pPr>
      <w:r w:rsidRPr="00BF722D">
        <w:rPr>
          <w:rFonts w:ascii="Bookman Old Style" w:eastAsia="Calibri" w:hAnsi="Bookman Old Style" w:cs="Times New Roman"/>
          <w:color w:val="FF0000"/>
          <w:sz w:val="24"/>
          <w:szCs w:val="24"/>
        </w:rPr>
        <w:t>une fonction de</w:t>
      </w:r>
      <w:r w:rsidRPr="00BF722D">
        <w:rPr>
          <w:rFonts w:ascii="Bookman Old Style" w:eastAsia="Calibri" w:hAnsi="Bookman Old Style" w:cs="Times New Roman"/>
          <w:sz w:val="24"/>
          <w:szCs w:val="24"/>
        </w:rPr>
        <w:t xml:space="preserve"> </w:t>
      </w:r>
      <w:r w:rsidRPr="00BF722D">
        <w:rPr>
          <w:rFonts w:ascii="Bookman Old Style" w:eastAsia="Calibri" w:hAnsi="Bookman Old Style" w:cs="Times New Roman"/>
          <w:color w:val="FF0000"/>
          <w:sz w:val="24"/>
          <w:szCs w:val="24"/>
        </w:rPr>
        <w:t>conservation</w:t>
      </w:r>
      <w:r w:rsidRPr="00BF722D">
        <w:rPr>
          <w:rFonts w:ascii="Bookman Old Style" w:eastAsia="Calibri" w:hAnsi="Bookman Old Style" w:cs="Times New Roman"/>
          <w:sz w:val="24"/>
          <w:szCs w:val="24"/>
        </w:rPr>
        <w:t xml:space="preserve"> de la diversité génétique, spécifique et écosystémique ;</w:t>
      </w:r>
    </w:p>
    <w:p w:rsidR="00BF722D" w:rsidRPr="00BF722D" w:rsidRDefault="00BF722D" w:rsidP="00BF722D">
      <w:pPr>
        <w:numPr>
          <w:ilvl w:val="0"/>
          <w:numId w:val="4"/>
        </w:numPr>
        <w:spacing w:after="200" w:line="360" w:lineRule="auto"/>
        <w:contextualSpacing/>
        <w:jc w:val="both"/>
        <w:rPr>
          <w:rFonts w:ascii="Bookman Old Style" w:eastAsia="Calibri" w:hAnsi="Bookman Old Style" w:cs="Times New Roman"/>
          <w:sz w:val="24"/>
          <w:szCs w:val="24"/>
        </w:rPr>
      </w:pPr>
      <w:r w:rsidRPr="00BF722D">
        <w:rPr>
          <w:rFonts w:ascii="Bookman Old Style" w:eastAsia="Calibri" w:hAnsi="Bookman Old Style" w:cs="Times New Roman"/>
          <w:color w:val="FF0000"/>
          <w:sz w:val="24"/>
          <w:szCs w:val="24"/>
        </w:rPr>
        <w:t>une fonction d’appui logistique</w:t>
      </w:r>
      <w:r w:rsidRPr="00BF722D">
        <w:rPr>
          <w:rFonts w:ascii="Bookman Old Style" w:eastAsia="Calibri" w:hAnsi="Bookman Old Style" w:cs="Times New Roman"/>
          <w:sz w:val="24"/>
          <w:szCs w:val="24"/>
        </w:rPr>
        <w:t xml:space="preserve"> (servir pour la recherche scientifique, la formation et pour inventorier la biodiversité mais aussi pour sensibiliser les populations aux problèmes de l’environnement) ;</w:t>
      </w:r>
    </w:p>
    <w:p w:rsidR="00BF722D" w:rsidRPr="00BF722D" w:rsidRDefault="00BF722D" w:rsidP="00BF722D">
      <w:pPr>
        <w:numPr>
          <w:ilvl w:val="0"/>
          <w:numId w:val="4"/>
        </w:numPr>
        <w:spacing w:after="200" w:line="360" w:lineRule="auto"/>
        <w:contextualSpacing/>
        <w:jc w:val="both"/>
        <w:rPr>
          <w:rFonts w:ascii="Bookman Old Style" w:eastAsia="Calibri" w:hAnsi="Bookman Old Style" w:cs="Times New Roman"/>
          <w:sz w:val="24"/>
          <w:szCs w:val="24"/>
        </w:rPr>
      </w:pPr>
      <w:r w:rsidRPr="00BF722D">
        <w:rPr>
          <w:rFonts w:ascii="Bookman Old Style" w:eastAsia="Calibri" w:hAnsi="Bookman Old Style" w:cs="Times New Roman"/>
          <w:color w:val="FF0000"/>
          <w:sz w:val="24"/>
          <w:szCs w:val="24"/>
        </w:rPr>
        <w:t>une fonction de développement</w:t>
      </w:r>
      <w:r w:rsidRPr="00BF722D">
        <w:rPr>
          <w:rFonts w:ascii="Bookman Old Style" w:eastAsia="Calibri" w:hAnsi="Bookman Old Style" w:cs="Times New Roman"/>
          <w:sz w:val="24"/>
          <w:szCs w:val="24"/>
        </w:rPr>
        <w:t xml:space="preserve"> (favoriser un progrès économique et social qui préserve les ressources naturelles).</w:t>
      </w:r>
      <w:r w:rsidRPr="00BF722D">
        <w:rPr>
          <w:rFonts w:ascii="Calibri" w:eastAsia="Calibri" w:hAnsi="Calibri" w:cs="Times New Roman"/>
          <w:noProof/>
          <w:lang w:eastAsia="fr-FR"/>
        </w:rPr>
        <w:t xml:space="preserve"> </w:t>
      </w:r>
    </w:p>
    <w:p w:rsidR="00BF722D" w:rsidRPr="00BF722D" w:rsidRDefault="00B755B7" w:rsidP="00BF722D">
      <w:pPr>
        <w:spacing w:after="0" w:line="360" w:lineRule="auto"/>
        <w:jc w:val="both"/>
        <w:rPr>
          <w:rFonts w:ascii="Bookman Old Style" w:eastAsia="Calibri" w:hAnsi="Bookman Old Style" w:cs="Times New Roman"/>
          <w:sz w:val="24"/>
          <w:szCs w:val="24"/>
        </w:rPr>
      </w:pPr>
      <w:r>
        <w:rPr>
          <w:rFonts w:ascii="Bookman Old Style" w:eastAsia="Calibri" w:hAnsi="Bookman Old Style" w:cs="Times New Roman"/>
          <w:sz w:val="24"/>
          <w:szCs w:val="24"/>
        </w:rPr>
        <w:t>U</w:t>
      </w:r>
      <w:r w:rsidR="00BF722D" w:rsidRPr="00BF722D">
        <w:rPr>
          <w:rFonts w:ascii="Bookman Old Style" w:eastAsia="Calibri" w:hAnsi="Bookman Old Style" w:cs="Times New Roman"/>
          <w:sz w:val="24"/>
          <w:szCs w:val="24"/>
        </w:rPr>
        <w:t>ne réserve de biosphère est un concept, un outil, une matérialisation d’une approche pragmatique visant à concilier la conservation de la biodiversité et des ressources biologiques avec leur utilisation. C’est un territoire dans lequel on cherche à développer de manière cohérente les trois fonctions sus citées.</w:t>
      </w:r>
    </w:p>
    <w:p w:rsidR="00BF722D" w:rsidRPr="00BF722D" w:rsidRDefault="000B3CBD" w:rsidP="00BF722D">
      <w:pPr>
        <w:spacing w:after="0" w:line="360" w:lineRule="auto"/>
        <w:jc w:val="both"/>
        <w:rPr>
          <w:rFonts w:ascii="Bookman Old Style" w:eastAsia="Calibri" w:hAnsi="Bookman Old Style" w:cs="Times New Roman"/>
          <w:sz w:val="24"/>
          <w:szCs w:val="24"/>
        </w:rPr>
      </w:pPr>
      <w:r>
        <w:rPr>
          <w:rFonts w:ascii="Bookman Old Style" w:eastAsia="Calibri" w:hAnsi="Bookman Old Style" w:cs="Times New Roman"/>
          <w:sz w:val="24"/>
          <w:szCs w:val="24"/>
        </w:rPr>
        <w:t>L</w:t>
      </w:r>
      <w:r w:rsidR="00BF722D" w:rsidRPr="00BF722D">
        <w:rPr>
          <w:rFonts w:ascii="Bookman Old Style" w:eastAsia="Calibri" w:hAnsi="Bookman Old Style" w:cs="Times New Roman"/>
          <w:sz w:val="24"/>
          <w:szCs w:val="24"/>
        </w:rPr>
        <w:t xml:space="preserve">es réserves de biosphères, qui sont des territoires délimités et protégés où l’on s’emploie à concilier la conservation de la biodiversité et le développement durable, sont proposées à la désignation par le gouvernement de l’Etat où elles sont situées et demeurent sous la juridiction souveraine de cet Etat. </w:t>
      </w:r>
    </w:p>
    <w:p w:rsidR="00BF722D" w:rsidRPr="00BF722D" w:rsidRDefault="00BF722D" w:rsidP="00BF722D">
      <w:pPr>
        <w:spacing w:after="200" w:line="360" w:lineRule="auto"/>
        <w:jc w:val="both"/>
        <w:rPr>
          <w:rFonts w:ascii="Bookman Old Style" w:eastAsia="Calibri" w:hAnsi="Bookman Old Style" w:cs="Times New Roman"/>
          <w:sz w:val="24"/>
          <w:szCs w:val="24"/>
        </w:rPr>
      </w:pPr>
      <w:r w:rsidRPr="00BF722D">
        <w:rPr>
          <w:rFonts w:ascii="Bookman Old Style" w:eastAsia="Calibri" w:hAnsi="Bookman Old Style" w:cs="Times New Roman"/>
          <w:sz w:val="24"/>
          <w:szCs w:val="24"/>
        </w:rPr>
        <w:t xml:space="preserve">Une réserve de biosphère est donc un espace multi-objectif, multi-usage et multi-acteur. C’est un « pacte » entre la communauté locale et la société dans son ensemble. </w:t>
      </w:r>
    </w:p>
    <w:p w:rsidR="00BF722D" w:rsidRPr="00BF722D" w:rsidRDefault="00BF722D" w:rsidP="00BF722D">
      <w:pPr>
        <w:spacing w:after="0" w:line="360" w:lineRule="auto"/>
        <w:jc w:val="both"/>
        <w:rPr>
          <w:rFonts w:ascii="Bookman Old Style" w:eastAsia="Calibri" w:hAnsi="Bookman Old Style" w:cs="Times New Roman"/>
          <w:sz w:val="24"/>
          <w:szCs w:val="24"/>
        </w:rPr>
      </w:pPr>
      <w:r w:rsidRPr="00BF722D">
        <w:rPr>
          <w:rFonts w:ascii="Bookman Old Style" w:eastAsia="Calibri" w:hAnsi="Bookman Old Style" w:cs="Times New Roman"/>
          <w:sz w:val="24"/>
          <w:szCs w:val="24"/>
        </w:rPr>
        <w:t xml:space="preserve">Parlant des instruments stratégiques et opérationnels des réserves de biosphère, </w:t>
      </w:r>
      <w:r w:rsidR="00505348">
        <w:rPr>
          <w:rFonts w:ascii="Bookman Old Style" w:eastAsia="Calibri" w:hAnsi="Bookman Old Style" w:cs="Times New Roman"/>
          <w:sz w:val="24"/>
          <w:szCs w:val="24"/>
        </w:rPr>
        <w:t>on peut citer</w:t>
      </w:r>
      <w:r w:rsidRPr="00BF722D">
        <w:rPr>
          <w:rFonts w:ascii="Bookman Old Style" w:eastAsia="Calibri" w:hAnsi="Bookman Old Style" w:cs="Times New Roman"/>
          <w:sz w:val="24"/>
          <w:szCs w:val="24"/>
        </w:rPr>
        <w:t xml:space="preserve"> </w:t>
      </w:r>
      <w:r w:rsidRPr="00BF722D">
        <w:rPr>
          <w:rFonts w:ascii="Bookman Old Style" w:eastAsia="Calibri" w:hAnsi="Bookman Old Style" w:cs="Times New Roman"/>
          <w:color w:val="FF0000"/>
          <w:sz w:val="24"/>
          <w:szCs w:val="24"/>
        </w:rPr>
        <w:t>la stratégie de Séville et le cadre statutaire</w:t>
      </w:r>
      <w:r w:rsidRPr="00BF722D">
        <w:rPr>
          <w:rFonts w:ascii="Bookman Old Style" w:eastAsia="Calibri" w:hAnsi="Bookman Old Style" w:cs="Times New Roman"/>
          <w:sz w:val="24"/>
          <w:szCs w:val="24"/>
        </w:rPr>
        <w:t xml:space="preserve"> des </w:t>
      </w:r>
      <w:r w:rsidRPr="00BF722D">
        <w:rPr>
          <w:rFonts w:ascii="Bookman Old Style" w:eastAsia="Calibri" w:hAnsi="Bookman Old Style" w:cs="Times New Roman"/>
          <w:sz w:val="24"/>
          <w:szCs w:val="24"/>
        </w:rPr>
        <w:lastRenderedPageBreak/>
        <w:t>réserves de biosphère adopté par la Conférence Générale de l’UNESCO à sa 28</w:t>
      </w:r>
      <w:r w:rsidRPr="00BF722D">
        <w:rPr>
          <w:rFonts w:ascii="Bookman Old Style" w:eastAsia="Calibri" w:hAnsi="Bookman Old Style" w:cs="Times New Roman"/>
          <w:sz w:val="24"/>
          <w:szCs w:val="24"/>
          <w:vertAlign w:val="superscript"/>
        </w:rPr>
        <w:t>ème</w:t>
      </w:r>
      <w:r w:rsidRPr="00BF722D">
        <w:rPr>
          <w:rFonts w:ascii="Bookman Old Style" w:eastAsia="Calibri" w:hAnsi="Bookman Old Style" w:cs="Times New Roman"/>
          <w:sz w:val="24"/>
          <w:szCs w:val="24"/>
        </w:rPr>
        <w:t xml:space="preserve"> session et </w:t>
      </w:r>
      <w:r w:rsidRPr="00BF722D">
        <w:rPr>
          <w:rFonts w:ascii="Bookman Old Style" w:eastAsia="Calibri" w:hAnsi="Bookman Old Style" w:cs="Times New Roman"/>
          <w:color w:val="FF0000"/>
          <w:sz w:val="24"/>
          <w:szCs w:val="24"/>
        </w:rPr>
        <w:t>le plan d’action de Madrid (2008-2013).</w:t>
      </w:r>
    </w:p>
    <w:p w:rsidR="00BF722D" w:rsidRPr="00BF722D" w:rsidRDefault="00BF722D" w:rsidP="00BF722D">
      <w:pPr>
        <w:spacing w:after="200" w:line="360" w:lineRule="auto"/>
        <w:jc w:val="both"/>
        <w:rPr>
          <w:rFonts w:ascii="Bookman Old Style" w:eastAsia="Calibri" w:hAnsi="Bookman Old Style" w:cs="Times New Roman"/>
          <w:sz w:val="24"/>
          <w:szCs w:val="24"/>
        </w:rPr>
      </w:pPr>
      <w:r w:rsidRPr="00BF722D">
        <w:rPr>
          <w:rFonts w:ascii="Bookman Old Style" w:eastAsia="Calibri" w:hAnsi="Bookman Old Style" w:cs="Times New Roman"/>
          <w:sz w:val="24"/>
          <w:szCs w:val="24"/>
        </w:rPr>
        <w:t>La stratégie de Séville est une plateforme d’action commune et un cadre statutaire du réseau mondial des réserves de biosphère qui précise les règles du jeu (procédure et critères de désignation, d’appui et de promotion des réserves de biosphère…). Elle contient une série d’indicateurs de mise en œuvre.</w:t>
      </w:r>
    </w:p>
    <w:p w:rsidR="00BF722D" w:rsidRPr="00BF722D" w:rsidRDefault="00BF722D" w:rsidP="00BF722D">
      <w:pPr>
        <w:spacing w:after="200" w:line="360" w:lineRule="auto"/>
        <w:jc w:val="both"/>
        <w:rPr>
          <w:rFonts w:ascii="Bookman Old Style" w:eastAsia="Calibri" w:hAnsi="Bookman Old Style" w:cs="Times New Roman"/>
          <w:sz w:val="24"/>
          <w:szCs w:val="24"/>
        </w:rPr>
      </w:pPr>
      <w:r w:rsidRPr="00BF722D">
        <w:rPr>
          <w:rFonts w:ascii="Bookman Old Style" w:eastAsia="Calibri" w:hAnsi="Bookman Old Style" w:cs="Times New Roman"/>
          <w:sz w:val="24"/>
          <w:szCs w:val="24"/>
        </w:rPr>
        <w:t>Le plan d’action de Madrid (MAP) a quant à lui été adopté à la 20</w:t>
      </w:r>
      <w:r w:rsidRPr="00BF722D">
        <w:rPr>
          <w:rFonts w:ascii="Bookman Old Style" w:eastAsia="Calibri" w:hAnsi="Bookman Old Style" w:cs="Times New Roman"/>
          <w:sz w:val="24"/>
          <w:szCs w:val="24"/>
          <w:vertAlign w:val="superscript"/>
        </w:rPr>
        <w:t xml:space="preserve">ème </w:t>
      </w:r>
      <w:r w:rsidRPr="00BF722D">
        <w:rPr>
          <w:rFonts w:ascii="Bookman Old Style" w:eastAsia="Calibri" w:hAnsi="Bookman Old Style" w:cs="Times New Roman"/>
          <w:sz w:val="24"/>
          <w:szCs w:val="24"/>
        </w:rPr>
        <w:t>session du CIC du MAB dans le but de mettre efficacement en œuvre la stratégie à moyen terme de l’UNESCO. La mise en œuvre du MAP se fera au cours de la période de six années du cadre de planification de l’UNESCO (2008-2013).</w:t>
      </w:r>
    </w:p>
    <w:p w:rsidR="00BF722D" w:rsidRPr="00BF722D" w:rsidRDefault="00BF722D" w:rsidP="00BF722D">
      <w:pPr>
        <w:spacing w:after="200" w:line="360" w:lineRule="auto"/>
        <w:jc w:val="both"/>
        <w:rPr>
          <w:rFonts w:ascii="Bookman Old Style" w:eastAsia="Calibri" w:hAnsi="Bookman Old Style" w:cs="Times New Roman"/>
          <w:sz w:val="24"/>
          <w:szCs w:val="24"/>
        </w:rPr>
      </w:pPr>
      <w:r w:rsidRPr="00BF722D">
        <w:rPr>
          <w:rFonts w:ascii="Bookman Old Style" w:eastAsia="Calibri" w:hAnsi="Bookman Old Style" w:cs="Times New Roman"/>
          <w:sz w:val="24"/>
          <w:szCs w:val="24"/>
        </w:rPr>
        <w:t xml:space="preserve">Abordant la structuration des réserves de biosphères, </w:t>
      </w:r>
      <w:r w:rsidR="00505348">
        <w:rPr>
          <w:rFonts w:ascii="Bookman Old Style" w:eastAsia="Calibri" w:hAnsi="Bookman Old Style" w:cs="Times New Roman"/>
          <w:sz w:val="24"/>
          <w:szCs w:val="24"/>
        </w:rPr>
        <w:t xml:space="preserve">on </w:t>
      </w:r>
      <w:r w:rsidRPr="00BF722D">
        <w:rPr>
          <w:rFonts w:ascii="Bookman Old Style" w:eastAsia="Calibri" w:hAnsi="Bookman Old Style" w:cs="Times New Roman"/>
          <w:sz w:val="24"/>
          <w:szCs w:val="24"/>
        </w:rPr>
        <w:t xml:space="preserve"> dira que selon la stratégie de Séville, les réserves de biosphères doivent comporter pour remplir leurs multiples fonctions 3 types de zones interconnectées : une ou plusieurs aires centrales, une zone tampon bien identifiée et une aire de transition flexible.</w:t>
      </w:r>
    </w:p>
    <w:p w:rsidR="00BF722D" w:rsidRPr="00BF722D" w:rsidRDefault="00BF722D" w:rsidP="00BF722D">
      <w:pPr>
        <w:numPr>
          <w:ilvl w:val="0"/>
          <w:numId w:val="5"/>
        </w:numPr>
        <w:spacing w:after="200" w:line="360" w:lineRule="auto"/>
        <w:contextualSpacing/>
        <w:jc w:val="both"/>
        <w:rPr>
          <w:rFonts w:ascii="Bookman Old Style" w:eastAsia="Calibri" w:hAnsi="Bookman Old Style" w:cs="Times New Roman"/>
          <w:sz w:val="24"/>
          <w:szCs w:val="24"/>
        </w:rPr>
      </w:pPr>
      <w:r w:rsidRPr="00BF722D">
        <w:rPr>
          <w:rFonts w:ascii="Bookman Old Style" w:eastAsia="Calibri" w:hAnsi="Bookman Old Style" w:cs="Times New Roman"/>
          <w:sz w:val="24"/>
          <w:szCs w:val="24"/>
        </w:rPr>
        <w:t>L’aire centrale a pour rôle :</w:t>
      </w:r>
    </w:p>
    <w:p w:rsidR="00BF722D" w:rsidRPr="00BF722D" w:rsidRDefault="00BF722D" w:rsidP="00BF722D">
      <w:pPr>
        <w:numPr>
          <w:ilvl w:val="0"/>
          <w:numId w:val="6"/>
        </w:numPr>
        <w:spacing w:after="200" w:line="360" w:lineRule="auto"/>
        <w:contextualSpacing/>
        <w:jc w:val="both"/>
        <w:rPr>
          <w:rFonts w:ascii="Bookman Old Style" w:eastAsia="Calibri" w:hAnsi="Bookman Old Style" w:cs="Times New Roman"/>
          <w:sz w:val="24"/>
          <w:szCs w:val="24"/>
        </w:rPr>
      </w:pPr>
      <w:r w:rsidRPr="00BF722D">
        <w:rPr>
          <w:rFonts w:ascii="Bookman Old Style" w:eastAsia="Calibri" w:hAnsi="Bookman Old Style" w:cs="Times New Roman"/>
          <w:sz w:val="24"/>
          <w:szCs w:val="24"/>
        </w:rPr>
        <w:t>de garantir la protection, à long terme, de l’environnement et de sa biodiversité ;</w:t>
      </w:r>
    </w:p>
    <w:p w:rsidR="00BF722D" w:rsidRPr="00BF722D" w:rsidRDefault="00BF722D" w:rsidP="00BF722D">
      <w:pPr>
        <w:numPr>
          <w:ilvl w:val="0"/>
          <w:numId w:val="6"/>
        </w:numPr>
        <w:spacing w:after="200" w:line="360" w:lineRule="auto"/>
        <w:contextualSpacing/>
        <w:jc w:val="both"/>
        <w:rPr>
          <w:rFonts w:ascii="Bookman Old Style" w:eastAsia="Calibri" w:hAnsi="Bookman Old Style" w:cs="Times New Roman"/>
          <w:sz w:val="24"/>
          <w:szCs w:val="24"/>
        </w:rPr>
      </w:pPr>
      <w:r w:rsidRPr="00BF722D">
        <w:rPr>
          <w:rFonts w:ascii="Bookman Old Style" w:eastAsia="Calibri" w:hAnsi="Bookman Old Style" w:cs="Times New Roman"/>
          <w:sz w:val="24"/>
          <w:szCs w:val="24"/>
        </w:rPr>
        <w:t>de servir à la production de connaissance (recherche sur l’environnement, surveillance continue, sensibilisation du public et éducation…) ;</w:t>
      </w:r>
    </w:p>
    <w:p w:rsidR="00BF722D" w:rsidRPr="00BF722D" w:rsidRDefault="00BF722D" w:rsidP="00BF722D">
      <w:pPr>
        <w:numPr>
          <w:ilvl w:val="0"/>
          <w:numId w:val="5"/>
        </w:numPr>
        <w:spacing w:after="200" w:line="360" w:lineRule="auto"/>
        <w:contextualSpacing/>
        <w:jc w:val="both"/>
        <w:rPr>
          <w:rFonts w:ascii="Bookman Old Style" w:eastAsia="Calibri" w:hAnsi="Bookman Old Style" w:cs="Times New Roman"/>
          <w:sz w:val="24"/>
          <w:szCs w:val="24"/>
        </w:rPr>
      </w:pPr>
      <w:r w:rsidRPr="00BF722D">
        <w:rPr>
          <w:rFonts w:ascii="Bookman Old Style" w:eastAsia="Calibri" w:hAnsi="Bookman Old Style" w:cs="Times New Roman"/>
          <w:sz w:val="24"/>
          <w:szCs w:val="24"/>
        </w:rPr>
        <w:t>La zone tampon ou zone de connectivité a pour rôle essentiel de réduire au maximum les effets externes négatifs des activités humaines sur la ou les aires centrales. Elle permet la création de ceintures de reforestation autour des aires centrales et le développement des habitats naturels pouvant générer à long terme des revenus liés ou non à l’exploitation du bois.</w:t>
      </w:r>
    </w:p>
    <w:p w:rsidR="00BF722D" w:rsidRPr="00BF722D" w:rsidRDefault="00BF722D" w:rsidP="00BF722D">
      <w:pPr>
        <w:spacing w:after="0" w:line="360" w:lineRule="auto"/>
        <w:jc w:val="both"/>
        <w:rPr>
          <w:rFonts w:ascii="Bookman Old Style" w:eastAsia="Calibri" w:hAnsi="Bookman Old Style" w:cs="Times New Roman"/>
          <w:sz w:val="24"/>
          <w:szCs w:val="24"/>
        </w:rPr>
      </w:pPr>
      <w:r w:rsidRPr="00BF722D">
        <w:rPr>
          <w:rFonts w:ascii="Bookman Old Style" w:eastAsia="Calibri" w:hAnsi="Bookman Old Style" w:cs="Times New Roman"/>
          <w:sz w:val="24"/>
          <w:szCs w:val="24"/>
        </w:rPr>
        <w:t>Ces zones devraient entourer les aires centrales et assurer la connectivité dans le paysage. Les activités économiques appropriées dans ces zones sont celles qui répondent aux objectifs de conservation (loisirs, écotourisme, recherche…).</w:t>
      </w:r>
    </w:p>
    <w:p w:rsidR="00BF722D" w:rsidRPr="00BF722D" w:rsidRDefault="00BF722D" w:rsidP="00BF722D">
      <w:pPr>
        <w:numPr>
          <w:ilvl w:val="0"/>
          <w:numId w:val="5"/>
        </w:numPr>
        <w:spacing w:after="0" w:line="360" w:lineRule="auto"/>
        <w:contextualSpacing/>
        <w:jc w:val="both"/>
        <w:rPr>
          <w:rFonts w:ascii="Bookman Old Style" w:eastAsia="Calibri" w:hAnsi="Bookman Old Style" w:cs="Times New Roman"/>
          <w:sz w:val="24"/>
          <w:szCs w:val="24"/>
        </w:rPr>
      </w:pPr>
      <w:r w:rsidRPr="00BF722D">
        <w:rPr>
          <w:rFonts w:ascii="Bookman Old Style" w:eastAsia="Calibri" w:hAnsi="Bookman Old Style" w:cs="Times New Roman"/>
          <w:sz w:val="24"/>
          <w:szCs w:val="24"/>
        </w:rPr>
        <w:lastRenderedPageBreak/>
        <w:t>La zone de transition ou aire de coopération</w:t>
      </w:r>
    </w:p>
    <w:p w:rsidR="00BF722D" w:rsidRPr="00BF722D" w:rsidRDefault="00BF722D" w:rsidP="00BF722D">
      <w:pPr>
        <w:spacing w:after="0" w:line="360" w:lineRule="auto"/>
        <w:jc w:val="both"/>
        <w:rPr>
          <w:rFonts w:ascii="Bookman Old Style" w:eastAsia="Calibri" w:hAnsi="Bookman Old Style" w:cs="Times New Roman"/>
          <w:sz w:val="24"/>
          <w:szCs w:val="24"/>
        </w:rPr>
      </w:pPr>
      <w:r w:rsidRPr="00BF722D">
        <w:rPr>
          <w:rFonts w:ascii="Bookman Old Style" w:eastAsia="Calibri" w:hAnsi="Bookman Old Style" w:cs="Times New Roman"/>
          <w:sz w:val="24"/>
          <w:szCs w:val="24"/>
        </w:rPr>
        <w:t>Son rôle est de contribuer au développement socio-économique des communautés locales et au développement durable de la réserve de biosphère. Elle est caractérisée par des systèmes d’utilisation multiple des terres (agriculture, foresterie, pêcheries, établissements humains, infrastructures etc.).</w:t>
      </w:r>
    </w:p>
    <w:p w:rsidR="00BF722D" w:rsidRPr="00BF722D" w:rsidRDefault="00BF722D" w:rsidP="000B3CBD">
      <w:pPr>
        <w:spacing w:after="200" w:line="360" w:lineRule="auto"/>
        <w:rPr>
          <w:rFonts w:ascii="Bookman Old Style" w:eastAsia="Calibri" w:hAnsi="Bookman Old Style" w:cs="Times New Roman"/>
          <w:sz w:val="24"/>
          <w:szCs w:val="24"/>
        </w:rPr>
      </w:pPr>
      <w:r w:rsidRPr="00BF722D">
        <w:rPr>
          <w:rFonts w:ascii="Bookman Old Style" w:eastAsia="Calibri" w:hAnsi="Bookman Old Style" w:cs="Times New Roman"/>
          <w:b/>
          <w:sz w:val="24"/>
          <w:szCs w:val="24"/>
        </w:rPr>
        <w:br w:type="page"/>
      </w:r>
    </w:p>
    <w:p w:rsidR="00BF722D" w:rsidRPr="00BF722D" w:rsidRDefault="00882966" w:rsidP="000B3CBD">
      <w:pPr>
        <w:pBdr>
          <w:top w:val="single" w:sz="4" w:space="1" w:color="auto"/>
          <w:left w:val="single" w:sz="4" w:space="4" w:color="auto"/>
          <w:bottom w:val="single" w:sz="4" w:space="1" w:color="auto"/>
          <w:right w:val="single" w:sz="4" w:space="4" w:color="auto"/>
        </w:pBdr>
        <w:shd w:val="clear" w:color="auto" w:fill="D9D9D9"/>
        <w:spacing w:after="200" w:line="360" w:lineRule="auto"/>
        <w:rPr>
          <w:rFonts w:ascii="Bookman Old Style" w:eastAsia="Batang" w:hAnsi="Bookman Old Style" w:cs="Times New Roman"/>
          <w:b/>
          <w:sz w:val="28"/>
          <w:szCs w:val="28"/>
        </w:rPr>
      </w:pPr>
      <w:r>
        <w:rPr>
          <w:rFonts w:ascii="Bookman Old Style" w:eastAsia="Batang" w:hAnsi="Bookman Old Style" w:cs="Times New Roman"/>
          <w:b/>
          <w:sz w:val="28"/>
          <w:szCs w:val="28"/>
        </w:rPr>
        <w:lastRenderedPageBreak/>
        <w:t xml:space="preserve"> </w:t>
      </w:r>
      <w:r w:rsidR="00BF722D" w:rsidRPr="00BF722D">
        <w:rPr>
          <w:rFonts w:ascii="Bookman Old Style" w:eastAsia="Batang" w:hAnsi="Bookman Old Style" w:cs="Times New Roman"/>
          <w:b/>
          <w:sz w:val="28"/>
          <w:szCs w:val="28"/>
        </w:rPr>
        <w:t> </w:t>
      </w:r>
      <w:r w:rsidRPr="00BF722D">
        <w:rPr>
          <w:rFonts w:ascii="Bookman Old Style" w:eastAsia="Batang" w:hAnsi="Bookman Old Style" w:cs="Times New Roman"/>
          <w:b/>
          <w:sz w:val="28"/>
          <w:szCs w:val="28"/>
        </w:rPr>
        <w:t>LES RESERVES DE BIOSPHERES AU SENEGAL </w:t>
      </w:r>
    </w:p>
    <w:p w:rsidR="000B3CBD" w:rsidRDefault="000B3CBD" w:rsidP="00BF722D">
      <w:pPr>
        <w:spacing w:after="200" w:line="360" w:lineRule="auto"/>
        <w:jc w:val="both"/>
        <w:rPr>
          <w:rFonts w:ascii="Bookman Old Style" w:eastAsia="Calibri" w:hAnsi="Bookman Old Style" w:cs="Times New Roman"/>
          <w:sz w:val="24"/>
          <w:szCs w:val="24"/>
        </w:rPr>
      </w:pPr>
      <w:r>
        <w:rPr>
          <w:rFonts w:ascii="Bookman Old Style" w:eastAsia="Calibri" w:hAnsi="Bookman Old Style" w:cs="Times New Roman"/>
          <w:b/>
          <w:sz w:val="24"/>
          <w:szCs w:val="24"/>
        </w:rPr>
        <w:t>L</w:t>
      </w:r>
      <w:r w:rsidR="00BF722D" w:rsidRPr="00BF722D">
        <w:rPr>
          <w:rFonts w:ascii="Bookman Old Style" w:eastAsia="Calibri" w:hAnsi="Bookman Old Style" w:cs="Times New Roman"/>
          <w:b/>
          <w:sz w:val="24"/>
          <w:szCs w:val="24"/>
        </w:rPr>
        <w:t>a Réserve de Biosphère du Niokolo koba »</w:t>
      </w:r>
      <w:r w:rsidR="00BF722D" w:rsidRPr="00BF722D">
        <w:rPr>
          <w:rFonts w:ascii="Bookman Old Style" w:eastAsia="Calibri" w:hAnsi="Bookman Old Style" w:cs="Times New Roman"/>
          <w:noProof/>
          <w:sz w:val="24"/>
          <w:szCs w:val="24"/>
          <w:lang w:eastAsia="fr-FR"/>
        </w:rPr>
        <w:drawing>
          <wp:anchor distT="0" distB="0" distL="114300" distR="114300" simplePos="0" relativeHeight="251671552" behindDoc="0" locked="0" layoutInCell="1" allowOverlap="1">
            <wp:simplePos x="0" y="0"/>
            <wp:positionH relativeFrom="margin">
              <wp:align>right</wp:align>
            </wp:positionH>
            <wp:positionV relativeFrom="paragraph">
              <wp:posOffset>377190</wp:posOffset>
            </wp:positionV>
            <wp:extent cx="5587365" cy="3585845"/>
            <wp:effectExtent l="0" t="0" r="0" b="0"/>
            <wp:wrapSquare wrapText="bothSides"/>
            <wp:docPr id="23" name="Image 23" descr="C:\Documents and Settings\Administrateur\Bureau\MAB 2011\somone 2011\pnn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C:\Documents and Settings\Administrateur\Bureau\MAB 2011\somone 2011\pnnk 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87365" cy="3585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722D" w:rsidRPr="00BF722D" w:rsidRDefault="00BF722D" w:rsidP="00BF722D">
      <w:pPr>
        <w:spacing w:after="200" w:line="360" w:lineRule="auto"/>
        <w:jc w:val="both"/>
        <w:rPr>
          <w:rFonts w:ascii="Bookman Old Style" w:eastAsia="Calibri" w:hAnsi="Bookman Old Style" w:cs="Times New Roman"/>
          <w:sz w:val="24"/>
          <w:szCs w:val="24"/>
        </w:rPr>
      </w:pPr>
      <w:r w:rsidRPr="00BF722D">
        <w:rPr>
          <w:rFonts w:ascii="Bookman Old Style" w:eastAsia="Calibri" w:hAnsi="Bookman Old Style" w:cs="Times New Roman"/>
          <w:sz w:val="24"/>
          <w:szCs w:val="24"/>
        </w:rPr>
        <w:t xml:space="preserve">Et c’est en 1954 qu’il a été érigé en Parc National avant d’être classé site du patrimoine mondial de l’UNESCO et Réserve de Biosphère en 1981. </w:t>
      </w:r>
    </w:p>
    <w:p w:rsidR="00BF722D" w:rsidRPr="00BF722D" w:rsidRDefault="000B3CBD" w:rsidP="00BF722D">
      <w:pPr>
        <w:spacing w:after="200" w:line="360" w:lineRule="auto"/>
        <w:jc w:val="both"/>
        <w:rPr>
          <w:rFonts w:ascii="Bookman Old Style" w:eastAsia="Calibri" w:hAnsi="Bookman Old Style" w:cs="Times New Roman"/>
          <w:sz w:val="24"/>
          <w:szCs w:val="24"/>
        </w:rPr>
      </w:pPr>
      <w:r>
        <w:rPr>
          <w:rFonts w:ascii="Bookman Old Style" w:eastAsia="Calibri" w:hAnsi="Bookman Old Style" w:cs="Times New Roman"/>
          <w:sz w:val="24"/>
          <w:szCs w:val="24"/>
        </w:rPr>
        <w:t xml:space="preserve"> La réserve de Biosphére </w:t>
      </w:r>
      <w:r w:rsidR="00BF722D" w:rsidRPr="00BF722D">
        <w:rPr>
          <w:rFonts w:ascii="Bookman Old Style" w:eastAsia="Calibri" w:hAnsi="Bookman Old Style" w:cs="Times New Roman"/>
          <w:sz w:val="24"/>
          <w:szCs w:val="24"/>
        </w:rPr>
        <w:t>est constituée du Parc Niokolo</w:t>
      </w:r>
      <w:r>
        <w:rPr>
          <w:rFonts w:ascii="Bookman Old Style" w:eastAsia="Calibri" w:hAnsi="Bookman Old Style" w:cs="Times New Roman"/>
          <w:sz w:val="24"/>
          <w:szCs w:val="24"/>
        </w:rPr>
        <w:t xml:space="preserve"> National du</w:t>
      </w:r>
      <w:r w:rsidR="00BF722D" w:rsidRPr="00BF722D">
        <w:rPr>
          <w:rFonts w:ascii="Bookman Old Style" w:eastAsia="Calibri" w:hAnsi="Bookman Old Style" w:cs="Times New Roman"/>
          <w:sz w:val="24"/>
          <w:szCs w:val="24"/>
        </w:rPr>
        <w:t xml:space="preserve"> Koba regroupant le noyau central, la zone tampon et la périphérie du parc ou zone de transition.</w:t>
      </w:r>
    </w:p>
    <w:p w:rsidR="00BF722D" w:rsidRPr="00BF722D" w:rsidRDefault="000B3CBD" w:rsidP="00BF722D">
      <w:pPr>
        <w:spacing w:after="200" w:line="360" w:lineRule="auto"/>
        <w:jc w:val="both"/>
        <w:rPr>
          <w:rFonts w:ascii="Bookman Old Style" w:eastAsia="Calibri" w:hAnsi="Bookman Old Style" w:cs="Times New Roman"/>
          <w:sz w:val="24"/>
          <w:szCs w:val="24"/>
        </w:rPr>
      </w:pPr>
      <w:r>
        <w:rPr>
          <w:rFonts w:ascii="Bookman Old Style" w:eastAsia="Calibri" w:hAnsi="Bookman Old Style" w:cs="Times New Roman"/>
          <w:sz w:val="24"/>
          <w:szCs w:val="24"/>
        </w:rPr>
        <w:t>L</w:t>
      </w:r>
      <w:r w:rsidR="00BF722D" w:rsidRPr="00BF722D">
        <w:rPr>
          <w:rFonts w:ascii="Bookman Old Style" w:eastAsia="Calibri" w:hAnsi="Bookman Old Style" w:cs="Times New Roman"/>
          <w:sz w:val="24"/>
          <w:szCs w:val="24"/>
        </w:rPr>
        <w:t>es activités menées dans le noyau central sont le tourisme de vision, la re</w:t>
      </w:r>
      <w:r>
        <w:rPr>
          <w:rFonts w:ascii="Bookman Old Style" w:eastAsia="Calibri" w:hAnsi="Bookman Old Style" w:cs="Times New Roman"/>
          <w:sz w:val="24"/>
          <w:szCs w:val="24"/>
        </w:rPr>
        <w:t>cherche scientifique</w:t>
      </w:r>
      <w:r w:rsidR="00BF722D" w:rsidRPr="00BF722D">
        <w:rPr>
          <w:rFonts w:ascii="Bookman Old Style" w:eastAsia="Calibri" w:hAnsi="Bookman Old Style" w:cs="Times New Roman"/>
          <w:sz w:val="24"/>
          <w:szCs w:val="24"/>
        </w:rPr>
        <w:t>. Dans la zone tampon sont développées des activités comme l’exploitation de banane et l’apiculture et dans la périphérie du parc ou zone de transition on note diverses formes d’activités.</w:t>
      </w:r>
    </w:p>
    <w:p w:rsidR="00BF722D" w:rsidRPr="00BF722D" w:rsidRDefault="00BF722D" w:rsidP="00BF722D">
      <w:pPr>
        <w:spacing w:after="200" w:line="360" w:lineRule="auto"/>
        <w:jc w:val="both"/>
        <w:rPr>
          <w:rFonts w:ascii="Bookman Old Style" w:eastAsia="Calibri" w:hAnsi="Bookman Old Style" w:cs="Times New Roman"/>
          <w:sz w:val="24"/>
          <w:szCs w:val="24"/>
        </w:rPr>
      </w:pPr>
      <w:r w:rsidRPr="00BF722D">
        <w:rPr>
          <w:rFonts w:ascii="Bookman Old Style" w:eastAsia="Calibri" w:hAnsi="Bookman Old Style" w:cs="Times New Roman"/>
          <w:sz w:val="24"/>
          <w:szCs w:val="24"/>
        </w:rPr>
        <w:t>Considérant l’importance de la réserve de biosphère, le conférencier a parlé de celle-ci au plan écologique, économique, et social.</w:t>
      </w:r>
    </w:p>
    <w:p w:rsidR="00BF722D" w:rsidRPr="00BF722D" w:rsidRDefault="00BF722D" w:rsidP="00BF722D">
      <w:pPr>
        <w:spacing w:after="200" w:line="360" w:lineRule="auto"/>
        <w:jc w:val="both"/>
        <w:rPr>
          <w:rFonts w:ascii="Bookman Old Style" w:eastAsia="Calibri" w:hAnsi="Bookman Old Style" w:cs="Times New Roman"/>
          <w:sz w:val="24"/>
          <w:szCs w:val="24"/>
        </w:rPr>
      </w:pPr>
      <w:r w:rsidRPr="00BF722D">
        <w:rPr>
          <w:rFonts w:ascii="Bookman Old Style" w:eastAsia="Calibri" w:hAnsi="Bookman Old Style" w:cs="Times New Roman"/>
          <w:sz w:val="24"/>
          <w:szCs w:val="24"/>
        </w:rPr>
        <w:t xml:space="preserve">Sur le plan écologique, l’aire centrale du parc est caractérisée par une faune très diversifiée avec 80 espèces de mammifères identifiées, environ 330 espèces d’oiseaux, 60 espèces de poissons, 36 espèces de reptiles et 20 espèces d’Amphibiens. La flore est aussi riche et variée avec 120 familles </w:t>
      </w:r>
      <w:r w:rsidRPr="00BF722D">
        <w:rPr>
          <w:rFonts w:ascii="Bookman Old Style" w:eastAsia="Calibri" w:hAnsi="Bookman Old Style" w:cs="Times New Roman"/>
          <w:sz w:val="24"/>
          <w:szCs w:val="24"/>
        </w:rPr>
        <w:lastRenderedPageBreak/>
        <w:t xml:space="preserve">identifiées et 1500 espèces de plantes à fleur. L’aire centrale est aussi caractérisée par la présence de cours d’eau (fleuve Gambie et les rivières du Niokolo et Koulountou) et d’un important réseau de mares (Simenti, Tanpidaro, Kandikandi etc.). </w:t>
      </w:r>
    </w:p>
    <w:p w:rsidR="00BF722D" w:rsidRPr="00BF722D" w:rsidRDefault="00BF722D" w:rsidP="00BF722D">
      <w:pPr>
        <w:spacing w:after="200" w:line="360" w:lineRule="auto"/>
        <w:jc w:val="center"/>
        <w:rPr>
          <w:rFonts w:ascii="Bookman Old Style" w:eastAsia="Calibri" w:hAnsi="Bookman Old Style" w:cs="Times New Roman"/>
          <w:sz w:val="24"/>
          <w:szCs w:val="24"/>
        </w:rPr>
      </w:pPr>
    </w:p>
    <w:p w:rsidR="00BF722D" w:rsidRPr="00BF722D" w:rsidRDefault="00BF722D" w:rsidP="00BF722D">
      <w:pPr>
        <w:spacing w:after="200" w:line="360" w:lineRule="auto"/>
        <w:jc w:val="both"/>
        <w:rPr>
          <w:rFonts w:ascii="Bookman Old Style" w:eastAsia="Calibri" w:hAnsi="Bookman Old Style" w:cs="Times New Roman"/>
          <w:sz w:val="24"/>
          <w:szCs w:val="24"/>
        </w:rPr>
      </w:pPr>
      <w:r w:rsidRPr="00BF722D">
        <w:rPr>
          <w:rFonts w:ascii="Bookman Old Style" w:eastAsia="Calibri" w:hAnsi="Bookman Old Style" w:cs="Times New Roman"/>
          <w:sz w:val="24"/>
          <w:szCs w:val="24"/>
        </w:rPr>
        <w:t>Au plan économique la réserve de biosphère, génère des recettes touristiques, crée des emplois (guidage dans le parc) et permet de développement d’activités comme l’agriculture, l’élevage, la pisciculture et l’exploitation forestière.</w:t>
      </w:r>
    </w:p>
    <w:p w:rsidR="00BF722D" w:rsidRPr="00BF722D" w:rsidRDefault="00BF722D" w:rsidP="00BF722D">
      <w:pPr>
        <w:spacing w:after="200" w:line="360" w:lineRule="auto"/>
        <w:jc w:val="both"/>
        <w:rPr>
          <w:rFonts w:ascii="Bookman Old Style" w:eastAsia="Calibri" w:hAnsi="Bookman Old Style" w:cs="Times New Roman"/>
          <w:sz w:val="24"/>
          <w:szCs w:val="24"/>
        </w:rPr>
      </w:pPr>
      <w:r w:rsidRPr="00BF722D">
        <w:rPr>
          <w:rFonts w:ascii="Bookman Old Style" w:eastAsia="Calibri" w:hAnsi="Bookman Old Style" w:cs="Times New Roman"/>
          <w:sz w:val="24"/>
          <w:szCs w:val="24"/>
        </w:rPr>
        <w:t>Au plan socio-culturel, la réserve de biosphère est un lieu de prélèvement de diverses ressources notamment le miel, le bambou, le poisson, la paille etc. Elle permet aussi le recrutement d’une main d’œuvre locale pour les travaux d’aménagement et autres. La réserve de biosphère sert aussi de lieu de culte (ziara annuel de Damantan).</w:t>
      </w:r>
    </w:p>
    <w:p w:rsidR="00BF722D" w:rsidRPr="00BF722D" w:rsidRDefault="00BF722D" w:rsidP="00BF722D">
      <w:pPr>
        <w:spacing w:after="200" w:line="360" w:lineRule="auto"/>
        <w:jc w:val="both"/>
        <w:rPr>
          <w:rFonts w:ascii="Bookman Old Style" w:eastAsia="Calibri" w:hAnsi="Bookman Old Style" w:cs="Times New Roman"/>
          <w:sz w:val="24"/>
          <w:szCs w:val="24"/>
        </w:rPr>
      </w:pPr>
      <w:r w:rsidRPr="00BF722D">
        <w:rPr>
          <w:rFonts w:ascii="Bookman Old Style" w:eastAsia="Calibri" w:hAnsi="Bookman Old Style" w:cs="Times New Roman"/>
          <w:sz w:val="24"/>
          <w:szCs w:val="24"/>
        </w:rPr>
        <w:t>La réserve de biosphère renferme une population de plus de 100 000 habitants répartis dans 14 communautés rurales constitués de 350 villages et Hameaux. Cette population est répartie en trois groupes ethniques autochtones minoritaires (Bassari, Boeni et Bedik) et deux autres ethnies de forte influence (Peuls et Malinkés).</w:t>
      </w:r>
    </w:p>
    <w:p w:rsidR="00BF722D" w:rsidRPr="00BF722D" w:rsidRDefault="004E4842" w:rsidP="00BF722D">
      <w:pPr>
        <w:spacing w:after="0" w:line="360" w:lineRule="auto"/>
        <w:rPr>
          <w:rFonts w:ascii="Bookman Old Style" w:eastAsia="Calibri" w:hAnsi="Bookman Old Style" w:cs="Times New Roman"/>
          <w:b/>
          <w:sz w:val="24"/>
          <w:szCs w:val="24"/>
        </w:rPr>
      </w:pPr>
      <w:r w:rsidRPr="00BF722D">
        <w:rPr>
          <w:rFonts w:ascii="Bookman Old Style" w:eastAsia="Calibri" w:hAnsi="Bookman Old Style" w:cs="Times New Roman"/>
          <w:b/>
          <w:sz w:val="24"/>
          <w:szCs w:val="24"/>
        </w:rPr>
        <w:t>La</w:t>
      </w:r>
      <w:r w:rsidR="00BF722D" w:rsidRPr="00BF722D">
        <w:rPr>
          <w:rFonts w:ascii="Bookman Old Style" w:eastAsia="Calibri" w:hAnsi="Bookman Old Style" w:cs="Times New Roman"/>
          <w:b/>
          <w:sz w:val="24"/>
          <w:szCs w:val="24"/>
        </w:rPr>
        <w:t xml:space="preserve"> R</w:t>
      </w:r>
      <w:r>
        <w:rPr>
          <w:rFonts w:ascii="Bookman Old Style" w:eastAsia="Calibri" w:hAnsi="Bookman Old Style" w:cs="Times New Roman"/>
          <w:b/>
          <w:sz w:val="24"/>
          <w:szCs w:val="24"/>
        </w:rPr>
        <w:t>es</w:t>
      </w:r>
      <w:r w:rsidR="00AE2430">
        <w:rPr>
          <w:rFonts w:ascii="Bookman Old Style" w:eastAsia="Calibri" w:hAnsi="Bookman Old Style" w:cs="Times New Roman"/>
          <w:b/>
          <w:sz w:val="24"/>
          <w:szCs w:val="24"/>
        </w:rPr>
        <w:t>e</w:t>
      </w:r>
      <w:r>
        <w:rPr>
          <w:rFonts w:ascii="Bookman Old Style" w:eastAsia="Calibri" w:hAnsi="Bookman Old Style" w:cs="Times New Roman"/>
          <w:b/>
          <w:sz w:val="24"/>
          <w:szCs w:val="24"/>
        </w:rPr>
        <w:t xml:space="preserve">rve de </w:t>
      </w:r>
      <w:r w:rsidR="00BF722D" w:rsidRPr="00BF722D">
        <w:rPr>
          <w:rFonts w:ascii="Bookman Old Style" w:eastAsia="Calibri" w:hAnsi="Bookman Old Style" w:cs="Times New Roman"/>
          <w:b/>
          <w:sz w:val="24"/>
          <w:szCs w:val="24"/>
        </w:rPr>
        <w:t>B</w:t>
      </w:r>
      <w:r>
        <w:rPr>
          <w:rFonts w:ascii="Bookman Old Style" w:eastAsia="Calibri" w:hAnsi="Bookman Old Style" w:cs="Times New Roman"/>
          <w:b/>
          <w:sz w:val="24"/>
          <w:szCs w:val="24"/>
        </w:rPr>
        <w:t xml:space="preserve">iosphére </w:t>
      </w:r>
      <w:r w:rsidR="00BF722D" w:rsidRPr="00BF722D">
        <w:rPr>
          <w:rFonts w:ascii="Bookman Old Style" w:eastAsia="Calibri" w:hAnsi="Bookman Old Style" w:cs="Times New Roman"/>
          <w:b/>
          <w:sz w:val="24"/>
          <w:szCs w:val="24"/>
        </w:rPr>
        <w:t>T</w:t>
      </w:r>
      <w:r>
        <w:rPr>
          <w:rFonts w:ascii="Bookman Old Style" w:eastAsia="Calibri" w:hAnsi="Bookman Old Style" w:cs="Times New Roman"/>
          <w:b/>
          <w:sz w:val="24"/>
          <w:szCs w:val="24"/>
        </w:rPr>
        <w:t>ransfrontiére du Delta du Fleuve Sénégal </w:t>
      </w:r>
    </w:p>
    <w:p w:rsidR="00BF722D" w:rsidRDefault="007F7BCB" w:rsidP="00BF722D">
      <w:pPr>
        <w:spacing w:after="200" w:line="360" w:lineRule="auto"/>
        <w:jc w:val="both"/>
        <w:rPr>
          <w:rFonts w:ascii="Bookman Old Style" w:eastAsia="Calibri" w:hAnsi="Bookman Old Style" w:cs="Times New Roman"/>
          <w:sz w:val="24"/>
          <w:szCs w:val="24"/>
        </w:rPr>
      </w:pPr>
      <w:r>
        <w:rPr>
          <w:rFonts w:ascii="Bookman Old Style" w:eastAsia="Calibri" w:hAnsi="Bookman Old Style" w:cs="Times New Roman"/>
          <w:sz w:val="24"/>
          <w:szCs w:val="24"/>
        </w:rPr>
        <w:t>L</w:t>
      </w:r>
      <w:r w:rsidR="00BF722D" w:rsidRPr="00BF722D">
        <w:rPr>
          <w:rFonts w:ascii="Bookman Old Style" w:eastAsia="Calibri" w:hAnsi="Bookman Old Style" w:cs="Times New Roman"/>
          <w:sz w:val="24"/>
          <w:szCs w:val="24"/>
        </w:rPr>
        <w:t>a Réserve Transfrontière du Delta du fleuve Sénégal couvre une superficie totale de 641 768.</w:t>
      </w:r>
    </w:p>
    <w:p w:rsidR="007F7BCB" w:rsidRDefault="007F7BCB" w:rsidP="007F7BCB">
      <w:pPr>
        <w:spacing w:after="200" w:line="360" w:lineRule="auto"/>
        <w:jc w:val="both"/>
        <w:rPr>
          <w:rFonts w:ascii="Bookman Old Style" w:eastAsia="Calibri" w:hAnsi="Bookman Old Style" w:cs="Times New Roman"/>
          <w:sz w:val="24"/>
          <w:szCs w:val="24"/>
        </w:rPr>
      </w:pPr>
      <w:r w:rsidRPr="007F7BCB">
        <w:rPr>
          <w:rFonts w:ascii="Bookman Old Style" w:eastAsia="Calibri" w:hAnsi="Bookman Old Style" w:cs="Times New Roman"/>
          <w:sz w:val="24"/>
          <w:szCs w:val="24"/>
        </w:rPr>
        <w:t xml:space="preserve">Désigné en 2005, La RBTDS couvre 641 768 hectares du delta du fleuve Sénégal </w:t>
      </w:r>
      <w:r w:rsidRPr="00BF722D">
        <w:rPr>
          <w:rFonts w:ascii="Bookman Old Style" w:eastAsia="Calibri" w:hAnsi="Bookman Old Style" w:cs="Times New Roman"/>
          <w:sz w:val="24"/>
          <w:szCs w:val="24"/>
        </w:rPr>
        <w:t xml:space="preserve">ha </w:t>
      </w:r>
      <w:r>
        <w:rPr>
          <w:rFonts w:ascii="Bookman Old Style" w:eastAsia="Calibri" w:hAnsi="Bookman Old Style" w:cs="Times New Roman"/>
          <w:sz w:val="24"/>
          <w:szCs w:val="24"/>
        </w:rPr>
        <w:t>d</w:t>
      </w:r>
      <w:r w:rsidRPr="00BF722D">
        <w:rPr>
          <w:rFonts w:ascii="Bookman Old Style" w:eastAsia="Calibri" w:hAnsi="Bookman Old Style" w:cs="Times New Roman"/>
          <w:sz w:val="24"/>
          <w:szCs w:val="24"/>
        </w:rPr>
        <w:t>ont 562 470  ha en zone continentale et 79 298 Ha en zone maritime. Elle s’étend sur 186 908 ha en territoire Mauritanien et 454 860 ha en territoire Sénégalais</w:t>
      </w:r>
      <w:r>
        <w:rPr>
          <w:rFonts w:ascii="Bookman Old Style" w:eastAsia="Calibri" w:hAnsi="Bookman Old Style" w:cs="Times New Roman"/>
          <w:sz w:val="24"/>
          <w:szCs w:val="24"/>
        </w:rPr>
        <w:t>.</w:t>
      </w:r>
    </w:p>
    <w:p w:rsidR="007F7BCB" w:rsidRDefault="007F7BCB" w:rsidP="007F7BCB">
      <w:pPr>
        <w:spacing w:after="200" w:line="360" w:lineRule="auto"/>
        <w:jc w:val="both"/>
        <w:rPr>
          <w:rFonts w:ascii="Bookman Old Style" w:eastAsia="Calibri" w:hAnsi="Bookman Old Style" w:cs="Times New Roman"/>
          <w:sz w:val="24"/>
          <w:szCs w:val="24"/>
        </w:rPr>
      </w:pPr>
      <w:r>
        <w:rPr>
          <w:rFonts w:ascii="Bookman Old Style" w:eastAsia="Calibri" w:hAnsi="Bookman Old Style" w:cs="Times New Roman"/>
          <w:sz w:val="24"/>
          <w:szCs w:val="24"/>
        </w:rPr>
        <w:t>Elle</w:t>
      </w:r>
      <w:r w:rsidRPr="007F7BCB">
        <w:rPr>
          <w:rFonts w:ascii="Bookman Old Style" w:eastAsia="Calibri" w:hAnsi="Bookman Old Style" w:cs="Times New Roman"/>
          <w:sz w:val="24"/>
          <w:szCs w:val="24"/>
        </w:rPr>
        <w:t xml:space="preserve"> englobe un ensemble d’aires protégées centrales, ainsi que des zones tampons et de transition. Il a été établi comme un moyen d'intégrer les considérations environnementales, sociales et économiques tout en conciliant la conservation de la biodiversité avec l'utilisation durable des ressources naturelles à long terme. En tant qu'initiative transfrontalière, il a également </w:t>
      </w:r>
      <w:r w:rsidRPr="007F7BCB">
        <w:rPr>
          <w:rFonts w:ascii="Bookman Old Style" w:eastAsia="Calibri" w:hAnsi="Bookman Old Style" w:cs="Times New Roman"/>
          <w:sz w:val="24"/>
          <w:szCs w:val="24"/>
        </w:rPr>
        <w:lastRenderedPageBreak/>
        <w:t>été créé pour favoriser le dialogue et l'application de moyens scientifiquement solides pour conserver les écosystèmes au-delà des frontières nationales.</w:t>
      </w:r>
    </w:p>
    <w:p w:rsidR="007F7BCB" w:rsidRPr="007F7BCB" w:rsidRDefault="007F7BCB" w:rsidP="007F7BCB">
      <w:pPr>
        <w:spacing w:after="200" w:line="360" w:lineRule="auto"/>
        <w:jc w:val="both"/>
        <w:rPr>
          <w:rFonts w:ascii="Bookman Old Style" w:eastAsia="Calibri" w:hAnsi="Bookman Old Style" w:cs="Times New Roman"/>
          <w:sz w:val="24"/>
          <w:szCs w:val="24"/>
        </w:rPr>
      </w:pPr>
      <w:r w:rsidRPr="007F7BCB">
        <w:rPr>
          <w:rFonts w:ascii="Bookman Old Style" w:eastAsia="Calibri" w:hAnsi="Bookman Old Style" w:cs="Times New Roman"/>
          <w:sz w:val="24"/>
          <w:szCs w:val="24"/>
        </w:rPr>
        <w:t>Elle a été érigée en Réserve de Biosphère Transfrontière par le Conseil International du Bureau sur l’Homme et la Biosphère durant sa session tenue du 24 au 27 juin 2005 à Paris. Cette réserve a la particularité d’être (i) la première réserve marine du monde, (ii) la première RBT sans classement préliminaire national, (iii) la première RBT au monde intégrant une agglomération urbaine classée en site patrimoine mondial (Saint-Louis), et la deuxième RBT du continent Africain après Penjarie Parc du W.</w:t>
      </w:r>
    </w:p>
    <w:p w:rsidR="007F7BCB" w:rsidRPr="007F7BCB" w:rsidRDefault="007F7BCB" w:rsidP="007F7BCB">
      <w:pPr>
        <w:spacing w:after="200" w:line="360" w:lineRule="auto"/>
        <w:jc w:val="both"/>
        <w:rPr>
          <w:rFonts w:ascii="Bookman Old Style" w:eastAsia="Calibri" w:hAnsi="Bookman Old Style" w:cs="Times New Roman"/>
          <w:sz w:val="24"/>
          <w:szCs w:val="24"/>
        </w:rPr>
      </w:pPr>
      <w:r w:rsidRPr="007F7BCB">
        <w:rPr>
          <w:rFonts w:ascii="Bookman Old Style" w:eastAsia="Calibri" w:hAnsi="Bookman Old Style" w:cs="Times New Roman"/>
          <w:sz w:val="24"/>
          <w:szCs w:val="24"/>
        </w:rPr>
        <w:t>Les instances de la RBT sont les suivantes : un comité de coordination Transfrontière, un Conseil Scientifique et Technique, une unité de gestion de la RBT et le Comité National qui servira d’interface et de relais entre les différents organes de la RBT.</w:t>
      </w:r>
    </w:p>
    <w:p w:rsidR="007F7BCB" w:rsidRDefault="007F7BCB" w:rsidP="007F7BCB">
      <w:pPr>
        <w:spacing w:after="200" w:line="360" w:lineRule="auto"/>
        <w:jc w:val="both"/>
        <w:rPr>
          <w:rFonts w:ascii="Bookman Old Style" w:eastAsia="Calibri" w:hAnsi="Bookman Old Style" w:cs="Times New Roman"/>
          <w:sz w:val="24"/>
          <w:szCs w:val="24"/>
        </w:rPr>
      </w:pPr>
      <w:r>
        <w:rPr>
          <w:rFonts w:ascii="Bookman Old Style" w:eastAsia="Calibri" w:hAnsi="Bookman Old Style" w:cs="Times New Roman"/>
          <w:sz w:val="24"/>
          <w:szCs w:val="24"/>
        </w:rPr>
        <w:t>Depuis debut 2022 un projet financé par le GEF et mis en œuvre par l’UICN est en cours. L</w:t>
      </w:r>
      <w:r w:rsidRPr="007F7BCB">
        <w:rPr>
          <w:rFonts w:ascii="Bookman Old Style" w:eastAsia="Calibri" w:hAnsi="Bookman Old Style" w:cs="Times New Roman"/>
          <w:sz w:val="24"/>
          <w:szCs w:val="24"/>
        </w:rPr>
        <w:t xml:space="preserve">e projet assurera une compréhension commune et une reconnaissance officielle d'une vision, d'un mandat et d'un cadre juridique contemporains pour La RBTDS, et soutiendra l'élaboration et la mise en œuvre d'un plan de gestion scientifiquement valable pour La RBTDS. Le plan de gestion sera accompagné de cadres pour faire progresser la recherche appliquée et l'apprentissage, le renforcement des capacités, les communications et la viabilité financière. </w:t>
      </w:r>
    </w:p>
    <w:p w:rsidR="007F7BCB" w:rsidRDefault="007F7BCB" w:rsidP="007F7BCB">
      <w:pPr>
        <w:spacing w:after="200" w:line="360" w:lineRule="auto"/>
        <w:jc w:val="both"/>
        <w:rPr>
          <w:rFonts w:ascii="Bookman Old Style" w:eastAsia="Calibri" w:hAnsi="Bookman Old Style" w:cs="Times New Roman"/>
          <w:sz w:val="24"/>
          <w:szCs w:val="24"/>
        </w:rPr>
      </w:pPr>
      <w:r w:rsidRPr="007F7BCB">
        <w:rPr>
          <w:rFonts w:ascii="Bookman Old Style" w:eastAsia="Calibri" w:hAnsi="Bookman Old Style" w:cs="Times New Roman"/>
          <w:sz w:val="24"/>
          <w:szCs w:val="24"/>
        </w:rPr>
        <w:t xml:space="preserve">Le projet s'efforcera de renforcer et de rendre fonctionnels les organes de gouvernance et de gestion de la RBTDS et d'améliorer l'efficacité de sa gestion. </w:t>
      </w:r>
    </w:p>
    <w:p w:rsidR="007F7BCB" w:rsidRPr="007F7BCB" w:rsidRDefault="007F7BCB" w:rsidP="007F7BCB">
      <w:pPr>
        <w:spacing w:after="200" w:line="360" w:lineRule="auto"/>
        <w:jc w:val="both"/>
        <w:rPr>
          <w:rFonts w:ascii="Bookman Old Style" w:eastAsia="Calibri" w:hAnsi="Bookman Old Style" w:cs="Times New Roman"/>
          <w:sz w:val="24"/>
          <w:szCs w:val="24"/>
        </w:rPr>
      </w:pPr>
    </w:p>
    <w:p w:rsidR="007F7BCB" w:rsidRDefault="00FB2102" w:rsidP="00BF722D">
      <w:pPr>
        <w:spacing w:after="200" w:line="360" w:lineRule="auto"/>
        <w:jc w:val="both"/>
        <w:rPr>
          <w:rFonts w:ascii="Bookman Old Style" w:eastAsia="Calibri" w:hAnsi="Bookman Old Style" w:cs="Times New Roman"/>
          <w:sz w:val="24"/>
          <w:szCs w:val="24"/>
        </w:rPr>
      </w:pPr>
      <w:r>
        <w:rPr>
          <w:rFonts w:ascii="Bookman Old Style" w:eastAsia="Calibri" w:hAnsi="Bookman Old Style" w:cs="Times New Roman"/>
          <w:sz w:val="24"/>
          <w:szCs w:val="24"/>
        </w:rPr>
        <w:tab/>
      </w:r>
      <w:r>
        <w:rPr>
          <w:rFonts w:ascii="Bookman Old Style" w:eastAsia="Calibri" w:hAnsi="Bookman Old Style" w:cs="Times New Roman"/>
          <w:sz w:val="24"/>
          <w:szCs w:val="24"/>
        </w:rPr>
        <w:tab/>
      </w:r>
      <w:r>
        <w:rPr>
          <w:rFonts w:ascii="Bookman Old Style" w:eastAsia="Calibri" w:hAnsi="Bookman Old Style" w:cs="Times New Roman"/>
          <w:sz w:val="24"/>
          <w:szCs w:val="24"/>
        </w:rPr>
        <w:tab/>
      </w:r>
      <w:r>
        <w:rPr>
          <w:rFonts w:ascii="Bookman Old Style" w:eastAsia="Calibri" w:hAnsi="Bookman Old Style" w:cs="Times New Roman"/>
          <w:sz w:val="24"/>
          <w:szCs w:val="24"/>
        </w:rPr>
        <w:tab/>
      </w:r>
      <w:r>
        <w:rPr>
          <w:rFonts w:ascii="Bookman Old Style" w:eastAsia="Calibri" w:hAnsi="Bookman Old Style" w:cs="Times New Roman"/>
          <w:sz w:val="24"/>
          <w:szCs w:val="24"/>
        </w:rPr>
        <w:tab/>
      </w:r>
      <w:r>
        <w:rPr>
          <w:rFonts w:ascii="Bookman Old Style" w:eastAsia="Calibri" w:hAnsi="Bookman Old Style" w:cs="Times New Roman"/>
          <w:sz w:val="24"/>
          <w:szCs w:val="24"/>
        </w:rPr>
        <w:tab/>
      </w:r>
      <w:r>
        <w:rPr>
          <w:rFonts w:ascii="Bookman Old Style" w:eastAsia="Calibri" w:hAnsi="Bookman Old Style" w:cs="Times New Roman"/>
          <w:sz w:val="24"/>
          <w:szCs w:val="24"/>
        </w:rPr>
        <w:tab/>
      </w:r>
      <w:r>
        <w:rPr>
          <w:rFonts w:ascii="Bookman Old Style" w:eastAsia="Calibri" w:hAnsi="Bookman Old Style" w:cs="Times New Roman"/>
          <w:sz w:val="24"/>
          <w:szCs w:val="24"/>
        </w:rPr>
        <w:tab/>
      </w:r>
      <w:r>
        <w:rPr>
          <w:rFonts w:ascii="Bookman Old Style" w:eastAsia="Calibri" w:hAnsi="Bookman Old Style" w:cs="Times New Roman"/>
          <w:sz w:val="24"/>
          <w:szCs w:val="24"/>
        </w:rPr>
        <w:tab/>
      </w:r>
      <w:r>
        <w:rPr>
          <w:rFonts w:ascii="Bookman Old Style" w:eastAsia="Calibri" w:hAnsi="Bookman Old Style" w:cs="Times New Roman"/>
          <w:sz w:val="24"/>
          <w:szCs w:val="24"/>
        </w:rPr>
        <w:tab/>
      </w:r>
      <w:r>
        <w:rPr>
          <w:rFonts w:ascii="Bookman Old Style" w:eastAsia="Calibri" w:hAnsi="Bookman Old Style" w:cs="Times New Roman"/>
          <w:sz w:val="24"/>
          <w:szCs w:val="24"/>
        </w:rPr>
        <w:tab/>
      </w:r>
      <w:r>
        <w:rPr>
          <w:rFonts w:ascii="Bookman Old Style" w:eastAsia="Calibri" w:hAnsi="Bookman Old Style" w:cs="Times New Roman"/>
          <w:sz w:val="24"/>
          <w:szCs w:val="24"/>
        </w:rPr>
        <w:tab/>
      </w:r>
    </w:p>
    <w:p w:rsidR="004E4842" w:rsidRPr="00BF722D" w:rsidRDefault="004E4842" w:rsidP="00BF722D">
      <w:pPr>
        <w:spacing w:after="200" w:line="360" w:lineRule="auto"/>
        <w:jc w:val="both"/>
        <w:rPr>
          <w:rFonts w:ascii="Bookman Old Style" w:eastAsia="Calibri" w:hAnsi="Bookman Old Style" w:cs="Times New Roman"/>
          <w:sz w:val="24"/>
          <w:szCs w:val="24"/>
        </w:rPr>
      </w:pPr>
      <w:r w:rsidRPr="004E4842">
        <w:rPr>
          <w:rFonts w:ascii="Bookman Old Style" w:eastAsia="Calibri" w:hAnsi="Bookman Old Style" w:cs="Times New Roman"/>
          <w:noProof/>
          <w:sz w:val="24"/>
          <w:szCs w:val="24"/>
          <w:lang w:eastAsia="fr-FR"/>
        </w:rPr>
        <w:lastRenderedPageBreak/>
        <w:drawing>
          <wp:inline distT="0" distB="0" distL="0" distR="0">
            <wp:extent cx="5760720" cy="3842888"/>
            <wp:effectExtent l="0" t="0" r="0" b="5715"/>
            <wp:docPr id="33" name="Image 33" descr="C:\Users\hp\Desktop\Tableau RBT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Desktop\Tableau RBTD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842888"/>
                    </a:xfrm>
                    <a:prstGeom prst="rect">
                      <a:avLst/>
                    </a:prstGeom>
                    <a:noFill/>
                    <a:ln>
                      <a:noFill/>
                    </a:ln>
                  </pic:spPr>
                </pic:pic>
              </a:graphicData>
            </a:graphic>
          </wp:inline>
        </w:drawing>
      </w:r>
    </w:p>
    <w:p w:rsidR="00BF722D" w:rsidRPr="00BF722D" w:rsidRDefault="00BF722D" w:rsidP="00BF722D">
      <w:pPr>
        <w:spacing w:after="200" w:line="360" w:lineRule="auto"/>
        <w:jc w:val="both"/>
        <w:rPr>
          <w:rFonts w:ascii="Bookman Old Style" w:eastAsia="Calibri" w:hAnsi="Bookman Old Style" w:cs="Times New Roman"/>
          <w:sz w:val="24"/>
          <w:szCs w:val="24"/>
        </w:rPr>
      </w:pPr>
      <w:r w:rsidRPr="00BF722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E2430" w:rsidRDefault="00AE2430" w:rsidP="00BF722D">
      <w:pPr>
        <w:spacing w:after="200" w:line="360" w:lineRule="auto"/>
        <w:jc w:val="both"/>
        <w:rPr>
          <w:rFonts w:ascii="Bookman Old Style" w:eastAsia="Calibri" w:hAnsi="Bookman Old Style" w:cs="Times New Roman"/>
          <w:sz w:val="24"/>
          <w:szCs w:val="24"/>
        </w:rPr>
      </w:pPr>
    </w:p>
    <w:p w:rsidR="00AE2430" w:rsidRDefault="00AE2430" w:rsidP="00BF722D">
      <w:pPr>
        <w:spacing w:after="200" w:line="360" w:lineRule="auto"/>
        <w:jc w:val="both"/>
        <w:rPr>
          <w:rFonts w:ascii="Bookman Old Style" w:eastAsia="Calibri" w:hAnsi="Bookman Old Style" w:cs="Times New Roman"/>
          <w:sz w:val="24"/>
          <w:szCs w:val="24"/>
        </w:rPr>
      </w:pPr>
    </w:p>
    <w:p w:rsidR="00AE2430" w:rsidRDefault="00AE2430" w:rsidP="00BF722D">
      <w:pPr>
        <w:spacing w:after="200" w:line="360" w:lineRule="auto"/>
        <w:jc w:val="both"/>
        <w:rPr>
          <w:rFonts w:ascii="Bookman Old Style" w:eastAsia="Calibri" w:hAnsi="Bookman Old Style" w:cs="Times New Roman"/>
          <w:sz w:val="24"/>
          <w:szCs w:val="24"/>
        </w:rPr>
      </w:pPr>
    </w:p>
    <w:p w:rsidR="00AE2430" w:rsidRDefault="00AE2430" w:rsidP="00BF722D">
      <w:pPr>
        <w:spacing w:after="200" w:line="360" w:lineRule="auto"/>
        <w:jc w:val="both"/>
        <w:rPr>
          <w:rFonts w:ascii="Bookman Old Style" w:eastAsia="Calibri" w:hAnsi="Bookman Old Style" w:cs="Times New Roman"/>
          <w:sz w:val="24"/>
          <w:szCs w:val="24"/>
        </w:rPr>
      </w:pPr>
      <w:r w:rsidRPr="00BF722D">
        <w:rPr>
          <w:rFonts w:ascii="Bookman Old Style" w:eastAsia="Calibri" w:hAnsi="Bookman Old Style" w:cs="Times New Roman"/>
          <w:noProof/>
          <w:sz w:val="24"/>
          <w:szCs w:val="24"/>
          <w:lang w:eastAsia="fr-FR"/>
        </w:rPr>
        <w:lastRenderedPageBreak/>
        <w:drawing>
          <wp:anchor distT="0" distB="0" distL="114300" distR="114300" simplePos="0" relativeHeight="251670528" behindDoc="0" locked="0" layoutInCell="1" allowOverlap="1" wp14:anchorId="21A7022D" wp14:editId="1F0B49B9">
            <wp:simplePos x="0" y="0"/>
            <wp:positionH relativeFrom="column">
              <wp:posOffset>167005</wp:posOffset>
            </wp:positionH>
            <wp:positionV relativeFrom="paragraph">
              <wp:posOffset>1905</wp:posOffset>
            </wp:positionV>
            <wp:extent cx="5584190" cy="4382770"/>
            <wp:effectExtent l="0" t="0" r="0" b="0"/>
            <wp:wrapSquare wrapText="bothSides"/>
            <wp:docPr id="21" name="Image 21" descr="C:\Documents and Settings\Administrateur\Bureau\MAB 2011\somone 2011\rb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C:\Documents and Settings\Administrateur\Bureau\MAB 2011\somone 2011\rbt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84190" cy="4382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2430" w:rsidRDefault="00AE2430" w:rsidP="00BF722D">
      <w:pPr>
        <w:spacing w:after="200" w:line="360" w:lineRule="auto"/>
        <w:jc w:val="both"/>
        <w:rPr>
          <w:rFonts w:ascii="Bookman Old Style" w:eastAsia="Calibri" w:hAnsi="Bookman Old Style" w:cs="Times New Roman"/>
          <w:sz w:val="24"/>
          <w:szCs w:val="24"/>
        </w:rPr>
      </w:pPr>
    </w:p>
    <w:p w:rsidR="00BF722D" w:rsidRPr="00BF722D" w:rsidRDefault="00BF722D" w:rsidP="00BF722D">
      <w:pPr>
        <w:spacing w:after="200" w:line="360" w:lineRule="auto"/>
        <w:jc w:val="both"/>
        <w:rPr>
          <w:rFonts w:ascii="Bookman Old Style" w:eastAsia="Calibri" w:hAnsi="Bookman Old Style" w:cs="Times New Roman"/>
          <w:sz w:val="24"/>
          <w:szCs w:val="24"/>
        </w:rPr>
      </w:pPr>
      <w:r w:rsidRPr="00BF722D">
        <w:rPr>
          <w:rFonts w:ascii="Bookman Old Style" w:eastAsia="Calibri" w:hAnsi="Bookman Old Style" w:cs="Times New Roman"/>
          <w:sz w:val="24"/>
          <w:szCs w:val="24"/>
        </w:rPr>
        <w:t>En termes de valeurs écologiques, le delta du fleuve Sénégal est un milieu très riche du point de vue de la diversité spécifique végétale et animale. Aussi cette RBTDFS est constituée par une véritable mosaïque d’écosystèmes représentatifs de zones humides, de prairies et savanes tropicales ainsi que de formations de mangroves.</w:t>
      </w:r>
      <w:r w:rsidRPr="00BF722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F722D" w:rsidRPr="00BF722D" w:rsidRDefault="00BF722D" w:rsidP="00BF722D">
      <w:pPr>
        <w:spacing w:after="200" w:line="360" w:lineRule="auto"/>
        <w:jc w:val="both"/>
        <w:rPr>
          <w:rFonts w:ascii="Bookman Old Style" w:eastAsia="Calibri" w:hAnsi="Bookman Old Style" w:cs="Times New Roman"/>
          <w:sz w:val="24"/>
          <w:szCs w:val="24"/>
        </w:rPr>
      </w:pPr>
    </w:p>
    <w:p w:rsidR="00BF722D" w:rsidRPr="00BF722D" w:rsidRDefault="00BF722D" w:rsidP="00BF722D">
      <w:pPr>
        <w:spacing w:after="200" w:line="360" w:lineRule="auto"/>
        <w:jc w:val="both"/>
        <w:rPr>
          <w:rFonts w:ascii="Bookman Old Style" w:eastAsia="Calibri" w:hAnsi="Bookman Old Style" w:cs="Times New Roman"/>
          <w:sz w:val="24"/>
          <w:szCs w:val="24"/>
        </w:rPr>
      </w:pPr>
      <w:r w:rsidRPr="00BF722D">
        <w:rPr>
          <w:rFonts w:ascii="Bookman Old Style" w:eastAsia="Calibri" w:hAnsi="Bookman Old Style" w:cs="Times New Roman"/>
          <w:sz w:val="24"/>
          <w:szCs w:val="24"/>
        </w:rPr>
        <w:br w:type="page"/>
      </w:r>
    </w:p>
    <w:p w:rsidR="00BF722D" w:rsidRPr="00BF722D" w:rsidRDefault="00BF722D" w:rsidP="00BF722D">
      <w:pPr>
        <w:spacing w:after="200" w:line="360" w:lineRule="auto"/>
        <w:rPr>
          <w:rFonts w:ascii="Bookman Old Style" w:eastAsia="Calibri" w:hAnsi="Bookman Old Style" w:cs="Times New Roman"/>
          <w:b/>
          <w:sz w:val="24"/>
          <w:szCs w:val="24"/>
        </w:rPr>
      </w:pPr>
      <w:r w:rsidRPr="00BF722D">
        <w:rPr>
          <w:rFonts w:ascii="Bookman Old Style" w:eastAsia="Calibri" w:hAnsi="Bookman Old Style" w:cs="Times New Roman"/>
          <w:b/>
          <w:sz w:val="24"/>
          <w:szCs w:val="24"/>
        </w:rPr>
        <w:lastRenderedPageBreak/>
        <w:t>la R</w:t>
      </w:r>
      <w:r w:rsidR="00AE2430">
        <w:rPr>
          <w:rFonts w:ascii="Bookman Old Style" w:eastAsia="Calibri" w:hAnsi="Bookman Old Style" w:cs="Times New Roman"/>
          <w:b/>
          <w:sz w:val="24"/>
          <w:szCs w:val="24"/>
        </w:rPr>
        <w:t xml:space="preserve">eserve de </w:t>
      </w:r>
      <w:r w:rsidRPr="00BF722D">
        <w:rPr>
          <w:rFonts w:ascii="Bookman Old Style" w:eastAsia="Calibri" w:hAnsi="Bookman Old Style" w:cs="Times New Roman"/>
          <w:b/>
          <w:sz w:val="24"/>
          <w:szCs w:val="24"/>
        </w:rPr>
        <w:t>B</w:t>
      </w:r>
      <w:r w:rsidR="00AE2430">
        <w:rPr>
          <w:rFonts w:ascii="Bookman Old Style" w:eastAsia="Calibri" w:hAnsi="Bookman Old Style" w:cs="Times New Roman"/>
          <w:b/>
          <w:sz w:val="24"/>
          <w:szCs w:val="24"/>
        </w:rPr>
        <w:t>iosphére</w:t>
      </w:r>
      <w:r w:rsidRPr="00BF722D">
        <w:rPr>
          <w:rFonts w:ascii="Bookman Old Style" w:eastAsia="Calibri" w:hAnsi="Bookman Old Style" w:cs="Times New Roman"/>
          <w:b/>
          <w:sz w:val="24"/>
          <w:szCs w:val="24"/>
        </w:rPr>
        <w:t xml:space="preserve"> du Delta du Saloum »</w:t>
      </w:r>
    </w:p>
    <w:p w:rsidR="00BF722D" w:rsidRPr="00BF722D" w:rsidRDefault="00BF722D" w:rsidP="00BF722D">
      <w:pPr>
        <w:spacing w:after="200" w:line="360" w:lineRule="auto"/>
        <w:jc w:val="both"/>
        <w:rPr>
          <w:rFonts w:ascii="Bookman Old Style" w:eastAsia="Calibri" w:hAnsi="Bookman Old Style" w:cs="Times New Roman"/>
          <w:sz w:val="24"/>
          <w:szCs w:val="24"/>
        </w:rPr>
      </w:pPr>
      <w:r w:rsidRPr="00BF722D">
        <w:rPr>
          <w:rFonts w:ascii="Calibri" w:eastAsia="Calibri" w:hAnsi="Calibri" w:cs="Times New Roman"/>
          <w:noProof/>
          <w:lang w:eastAsia="fr-FR"/>
        </w:rPr>
        <w:drawing>
          <wp:anchor distT="0" distB="0" distL="114300" distR="114300" simplePos="0" relativeHeight="251675648" behindDoc="0" locked="0" layoutInCell="1" allowOverlap="1">
            <wp:simplePos x="0" y="0"/>
            <wp:positionH relativeFrom="column">
              <wp:posOffset>5080</wp:posOffset>
            </wp:positionH>
            <wp:positionV relativeFrom="paragraph">
              <wp:posOffset>1727200</wp:posOffset>
            </wp:positionV>
            <wp:extent cx="5684520" cy="3053080"/>
            <wp:effectExtent l="0" t="0" r="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4520" cy="3053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22D">
        <w:rPr>
          <w:rFonts w:ascii="Bookman Old Style" w:eastAsia="Calibri" w:hAnsi="Bookman Old Style" w:cs="Times New Roman"/>
          <w:sz w:val="24"/>
          <w:szCs w:val="24"/>
        </w:rPr>
        <w:t>la RBDS d’une superficie de 450 000 ha est à cheval entre les régions administratives de Fatick, Kaolack et Thiès. C’est une réserve qui est caractérisée par une diversité écosystémique avec la présence de 3 milieux écologiques :</w:t>
      </w:r>
    </w:p>
    <w:p w:rsidR="00BF722D" w:rsidRPr="00BF722D" w:rsidRDefault="00BF722D" w:rsidP="00BF722D">
      <w:pPr>
        <w:spacing w:after="200" w:line="360" w:lineRule="auto"/>
        <w:jc w:val="both"/>
        <w:rPr>
          <w:rFonts w:ascii="Bookman Old Style" w:eastAsia="Calibri" w:hAnsi="Bookman Old Style" w:cs="Times New Roman"/>
          <w:sz w:val="24"/>
          <w:szCs w:val="24"/>
        </w:rPr>
      </w:pPr>
    </w:p>
    <w:p w:rsidR="00BF722D" w:rsidRPr="00BF722D" w:rsidRDefault="00BF722D" w:rsidP="00BF722D">
      <w:pPr>
        <w:numPr>
          <w:ilvl w:val="0"/>
          <w:numId w:val="18"/>
        </w:numPr>
        <w:spacing w:after="200" w:line="360" w:lineRule="auto"/>
        <w:contextualSpacing/>
        <w:jc w:val="both"/>
        <w:rPr>
          <w:rFonts w:ascii="Bookman Old Style" w:eastAsia="Calibri" w:hAnsi="Bookman Old Style" w:cs="Times New Roman"/>
          <w:sz w:val="24"/>
          <w:szCs w:val="24"/>
        </w:rPr>
      </w:pPr>
      <w:r w:rsidRPr="00BF722D">
        <w:rPr>
          <w:rFonts w:ascii="Bookman Old Style" w:eastAsia="Calibri" w:hAnsi="Bookman Old Style" w:cs="Times New Roman"/>
          <w:sz w:val="24"/>
          <w:szCs w:val="24"/>
        </w:rPr>
        <w:t xml:space="preserve">le domaine continental, habitat principal  de la grande faune sauvage;  </w:t>
      </w:r>
    </w:p>
    <w:p w:rsidR="00BF722D" w:rsidRPr="00BF722D" w:rsidRDefault="00BF722D" w:rsidP="00BF722D">
      <w:pPr>
        <w:numPr>
          <w:ilvl w:val="0"/>
          <w:numId w:val="18"/>
        </w:numPr>
        <w:spacing w:after="200" w:line="360" w:lineRule="auto"/>
        <w:contextualSpacing/>
        <w:jc w:val="both"/>
        <w:rPr>
          <w:rFonts w:ascii="Bookman Old Style" w:eastAsia="Calibri" w:hAnsi="Bookman Old Style" w:cs="Times New Roman"/>
          <w:sz w:val="24"/>
          <w:szCs w:val="24"/>
        </w:rPr>
      </w:pPr>
      <w:r w:rsidRPr="00BF722D">
        <w:rPr>
          <w:rFonts w:ascii="Bookman Old Style" w:eastAsia="Calibri" w:hAnsi="Bookman Old Style" w:cs="Times New Roman"/>
          <w:sz w:val="24"/>
          <w:szCs w:val="24"/>
        </w:rPr>
        <w:t xml:space="preserve">le domaine amphibie qui constitue l’estuaire renfermant une myriade d’îlots séparés les uns des autres par des chenaux bordés de mangrove appelés bolongs. </w:t>
      </w:r>
    </w:p>
    <w:p w:rsidR="00BF722D" w:rsidRPr="00BF722D" w:rsidRDefault="00BF722D" w:rsidP="00BF722D">
      <w:pPr>
        <w:numPr>
          <w:ilvl w:val="0"/>
          <w:numId w:val="18"/>
        </w:numPr>
        <w:spacing w:after="200" w:line="360" w:lineRule="auto"/>
        <w:contextualSpacing/>
        <w:jc w:val="both"/>
        <w:rPr>
          <w:rFonts w:ascii="Bookman Old Style" w:eastAsia="Calibri" w:hAnsi="Bookman Old Style" w:cs="Times New Roman"/>
          <w:sz w:val="24"/>
          <w:szCs w:val="24"/>
        </w:rPr>
      </w:pPr>
      <w:r w:rsidRPr="00BF722D">
        <w:rPr>
          <w:rFonts w:ascii="Bookman Old Style" w:eastAsia="Calibri" w:hAnsi="Bookman Old Style" w:cs="Times New Roman"/>
          <w:sz w:val="24"/>
          <w:szCs w:val="24"/>
        </w:rPr>
        <w:t xml:space="preserve">et le domaine maritime qui renferme une série d’îlots, de bancs de sable et d’importants herbiers. C’est la principale zone de reproduction des oiseaux, notamment les </w:t>
      </w:r>
      <w:r w:rsidRPr="00BF722D">
        <w:rPr>
          <w:rFonts w:ascii="Bookman Old Style" w:eastAsia="Calibri" w:hAnsi="Bookman Old Style" w:cs="Times New Roman"/>
          <w:i/>
          <w:sz w:val="24"/>
          <w:szCs w:val="24"/>
        </w:rPr>
        <w:t>Laridea</w:t>
      </w:r>
      <w:r w:rsidRPr="00BF722D">
        <w:rPr>
          <w:rFonts w:ascii="Bookman Old Style" w:eastAsia="Calibri" w:hAnsi="Bookman Old Style" w:cs="Times New Roman"/>
          <w:sz w:val="24"/>
          <w:szCs w:val="24"/>
        </w:rPr>
        <w:t xml:space="preserve">. </w:t>
      </w:r>
    </w:p>
    <w:p w:rsidR="00BF722D" w:rsidRPr="00BF722D" w:rsidRDefault="00BF722D" w:rsidP="00BF722D">
      <w:pPr>
        <w:spacing w:after="0" w:line="360" w:lineRule="auto"/>
        <w:ind w:left="357"/>
        <w:jc w:val="both"/>
        <w:rPr>
          <w:rFonts w:ascii="Bookman Old Style" w:eastAsia="Calibri" w:hAnsi="Bookman Old Style" w:cs="Times New Roman"/>
          <w:sz w:val="24"/>
          <w:szCs w:val="24"/>
        </w:rPr>
      </w:pPr>
      <w:r w:rsidRPr="00BF722D">
        <w:rPr>
          <w:rFonts w:ascii="Calibri" w:eastAsia="Calibri" w:hAnsi="Calibri" w:cs="Times New Roman"/>
          <w:noProof/>
          <w:lang w:eastAsia="fr-FR"/>
        </w:rPr>
        <w:lastRenderedPageBreak/>
        <w:drawing>
          <wp:anchor distT="0" distB="0" distL="114300" distR="114300" simplePos="0" relativeHeight="251676672" behindDoc="0" locked="0" layoutInCell="1" allowOverlap="1">
            <wp:simplePos x="0" y="0"/>
            <wp:positionH relativeFrom="column">
              <wp:posOffset>219075</wp:posOffset>
            </wp:positionH>
            <wp:positionV relativeFrom="paragraph">
              <wp:posOffset>1544320</wp:posOffset>
            </wp:positionV>
            <wp:extent cx="5651500" cy="3427730"/>
            <wp:effectExtent l="0" t="0" r="6350" b="127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1500" cy="3427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22D">
        <w:rPr>
          <w:rFonts w:ascii="Bookman Old Style" w:eastAsia="Calibri" w:hAnsi="Bookman Old Style" w:cs="Times New Roman"/>
          <w:sz w:val="24"/>
          <w:szCs w:val="24"/>
        </w:rPr>
        <w:t>Outre sa diversité écologique, la RBDS se caractérise par une diversité spécifique avec 114 espèces de poissons regroupées en 52 familles, 34 espèces de mammifères terrestres dont certains menacées de disparition, plus de 200 espèces d’oiseaux dont le quart de la population mondiale de sterne royale.</w:t>
      </w:r>
    </w:p>
    <w:p w:rsidR="00BF722D" w:rsidRPr="00BF722D" w:rsidRDefault="00BF722D" w:rsidP="00BF722D">
      <w:pPr>
        <w:spacing w:after="0" w:line="360" w:lineRule="auto"/>
        <w:ind w:left="357"/>
        <w:jc w:val="both"/>
        <w:rPr>
          <w:rFonts w:ascii="Bookman Old Style" w:eastAsia="Calibri" w:hAnsi="Bookman Old Style" w:cs="Times New Roman"/>
          <w:sz w:val="24"/>
          <w:szCs w:val="24"/>
        </w:rPr>
      </w:pPr>
    </w:p>
    <w:p w:rsidR="00BF722D" w:rsidRPr="00BF722D" w:rsidRDefault="00BF722D" w:rsidP="00BF722D">
      <w:pPr>
        <w:spacing w:after="0" w:line="360" w:lineRule="auto"/>
        <w:ind w:left="357"/>
        <w:jc w:val="both"/>
        <w:rPr>
          <w:rFonts w:ascii="Bookman Old Style" w:eastAsia="Calibri" w:hAnsi="Bookman Old Style" w:cs="Times New Roman"/>
          <w:sz w:val="24"/>
          <w:szCs w:val="24"/>
        </w:rPr>
      </w:pPr>
      <w:r w:rsidRPr="00BF722D">
        <w:rPr>
          <w:rFonts w:ascii="Bookman Old Style" w:eastAsia="Calibri" w:hAnsi="Bookman Old Style" w:cs="Times New Roman"/>
          <w:sz w:val="24"/>
          <w:szCs w:val="24"/>
        </w:rPr>
        <w:t>La réserve est caractérisée aussi par une importante diversité spécifique végétale avec 188 espèces représentant 9% des plantes supérieures du Sénégal. Ses formations végétales vont de la savane arbustive à la forêt de mangroves.</w:t>
      </w:r>
    </w:p>
    <w:p w:rsidR="00BF722D" w:rsidRPr="00BF722D" w:rsidRDefault="00BF722D" w:rsidP="00BF722D">
      <w:pPr>
        <w:spacing w:after="0" w:line="360" w:lineRule="auto"/>
        <w:ind w:left="357"/>
        <w:jc w:val="both"/>
        <w:rPr>
          <w:rFonts w:ascii="Bookman Old Style" w:eastAsia="Calibri" w:hAnsi="Bookman Old Style" w:cs="Times New Roman"/>
          <w:sz w:val="24"/>
          <w:szCs w:val="24"/>
        </w:rPr>
      </w:pPr>
      <w:r w:rsidRPr="00BF722D">
        <w:rPr>
          <w:rFonts w:ascii="Bookman Old Style" w:eastAsia="Calibri" w:hAnsi="Bookman Old Style" w:cs="Times New Roman"/>
          <w:sz w:val="24"/>
          <w:szCs w:val="24"/>
        </w:rPr>
        <w:t>Après avoir parlé de la diversité spécifique de la RBDS, le Lieutenant SYLLA a abordé la reconnaissance internationale de la réserve. A cet effet, il dira qu’après l’érection du site comme RB en 1981, il érigé site Ramsar en 1984, puis premier site Ramsar transfrontière en Afrique avec le Niumi en 2008. Et juin 2011, il est classé patrimoine mondial culturel de l’UNESCO.</w:t>
      </w:r>
    </w:p>
    <w:p w:rsidR="00BF722D" w:rsidRPr="00BF722D" w:rsidRDefault="00BF722D" w:rsidP="00BF722D">
      <w:pPr>
        <w:spacing w:after="0" w:line="360" w:lineRule="auto"/>
        <w:ind w:left="357"/>
        <w:jc w:val="both"/>
        <w:rPr>
          <w:rFonts w:ascii="Bookman Old Style" w:eastAsia="Calibri" w:hAnsi="Bookman Old Style" w:cs="Times New Roman"/>
          <w:sz w:val="24"/>
          <w:szCs w:val="24"/>
        </w:rPr>
      </w:pPr>
      <w:r w:rsidRPr="00BF722D">
        <w:rPr>
          <w:rFonts w:ascii="Bookman Old Style" w:eastAsia="Calibri" w:hAnsi="Bookman Old Style" w:cs="Times New Roman"/>
          <w:sz w:val="24"/>
          <w:szCs w:val="24"/>
        </w:rPr>
        <w:t xml:space="preserve">Parlant du partenariat public-privé dans la RB, le Conférencier a évoqué le cas de la réserve de faune de Fathala marqué par la signature d’un protocole d’accord entre l’état et des privés. Ce protocole comporte comme obligations indiquées dans le cahier de charge, (i) l’introduction et la réintroduction d’espèces animales, (ii) l’inventaire régulier des stocks, (iii) </w:t>
      </w:r>
      <w:r w:rsidRPr="00BF722D">
        <w:rPr>
          <w:rFonts w:ascii="Bookman Old Style" w:eastAsia="Calibri" w:hAnsi="Bookman Old Style" w:cs="Times New Roman"/>
          <w:sz w:val="24"/>
          <w:szCs w:val="24"/>
        </w:rPr>
        <w:lastRenderedPageBreak/>
        <w:t xml:space="preserve">l’aménagement des habitats, (iv) l’appui aux populations locales et (v) le respect des engagements et la participation de l’état à la surveillance et à la lutte contre le braconnage.   </w:t>
      </w:r>
    </w:p>
    <w:p w:rsidR="00BF722D" w:rsidRPr="00BF722D" w:rsidRDefault="00BF722D" w:rsidP="00BF722D">
      <w:pPr>
        <w:spacing w:after="0" w:line="360" w:lineRule="auto"/>
        <w:ind w:left="426" w:hanging="210"/>
        <w:jc w:val="both"/>
        <w:rPr>
          <w:rFonts w:ascii="Bookman Old Style" w:eastAsia="Calibri" w:hAnsi="Bookman Old Style" w:cs="Times New Roman"/>
          <w:sz w:val="24"/>
          <w:szCs w:val="24"/>
        </w:rPr>
      </w:pPr>
      <w:r w:rsidRPr="00BF722D">
        <w:rPr>
          <w:rFonts w:ascii="Bookman Old Style" w:eastAsia="Calibri" w:hAnsi="Bookman Old Style" w:cs="Times New Roman"/>
          <w:sz w:val="24"/>
          <w:szCs w:val="24"/>
        </w:rPr>
        <w:t xml:space="preserve">  Le Lieutenant SYLLA est ensuite revenu sur les atouts touristiques de la RBDS puis sur les activités socio économiques dans RBDS notamment la pêche, l’agriculture, l’élevage, l’exploitation des fruits de mer et produits forestiers, l’écotourisme et l’apiculture.</w:t>
      </w:r>
    </w:p>
    <w:p w:rsidR="00BF722D" w:rsidRPr="00BF722D" w:rsidRDefault="00BF722D" w:rsidP="00BF722D">
      <w:pPr>
        <w:spacing w:before="120" w:after="0" w:line="360" w:lineRule="auto"/>
        <w:ind w:left="357"/>
        <w:jc w:val="both"/>
        <w:rPr>
          <w:rFonts w:ascii="Bookman Old Style" w:eastAsia="Calibri" w:hAnsi="Bookman Old Style" w:cs="Times New Roman"/>
          <w:sz w:val="24"/>
          <w:szCs w:val="24"/>
        </w:rPr>
      </w:pPr>
      <w:r w:rsidRPr="00BF722D">
        <w:rPr>
          <w:rFonts w:ascii="Bookman Old Style" w:eastAsia="Calibri" w:hAnsi="Bookman Old Style" w:cs="Times New Roman"/>
          <w:sz w:val="24"/>
          <w:szCs w:val="24"/>
        </w:rPr>
        <w:t>Considérant les pressions et menaces dans la RB, le conférencier souligne une tendance régressive de la diversité spécifique dans tous les écosystèmes, et ce, du fait de la pression anthropique et des changements climatiques ayant pour conséquence la baisse pluviométrique et la salinisation des terres et des nappes souterraines. En plus de la perte de diversité spécifique il apparaît une diminution du couvert arboré de plus de 50% se traduisant par des menaces de perte d’habitats.</w:t>
      </w:r>
    </w:p>
    <w:p w:rsidR="00BF722D" w:rsidRPr="00BF722D" w:rsidRDefault="00505348" w:rsidP="00BF722D">
      <w:pPr>
        <w:spacing w:before="120" w:after="0" w:line="360" w:lineRule="auto"/>
        <w:jc w:val="both"/>
        <w:rPr>
          <w:rFonts w:ascii="Bookman Old Style" w:eastAsia="Calibri" w:hAnsi="Bookman Old Style" w:cs="Times New Roman"/>
          <w:sz w:val="24"/>
          <w:szCs w:val="24"/>
        </w:rPr>
      </w:pPr>
      <w:r>
        <w:rPr>
          <w:rFonts w:ascii="Bookman Old Style" w:eastAsia="Calibri" w:hAnsi="Bookman Old Style" w:cs="Times New Roman"/>
          <w:sz w:val="24"/>
          <w:szCs w:val="24"/>
        </w:rPr>
        <w:t xml:space="preserve">     </w:t>
      </w:r>
      <w:r w:rsidR="00BF722D" w:rsidRPr="00BF722D">
        <w:rPr>
          <w:rFonts w:ascii="Bookman Old Style" w:eastAsia="Calibri" w:hAnsi="Bookman Old Style" w:cs="Times New Roman"/>
          <w:sz w:val="24"/>
          <w:szCs w:val="24"/>
        </w:rPr>
        <w:t xml:space="preserve"> face à cette situation un Plan d’Action et de Gestion a </w:t>
      </w:r>
      <w:r w:rsidR="00BF722D" w:rsidRPr="00BF722D">
        <w:rPr>
          <w:rFonts w:ascii="Bookman Old Style" w:eastAsia="Calibri" w:hAnsi="Bookman Old Style" w:cs="Times New Roman"/>
          <w:sz w:val="24"/>
          <w:szCs w:val="24"/>
        </w:rPr>
        <w:tab/>
        <w:t>été élaboré avec un début de mise en œuvre. Ce plan a pour objectifs :</w:t>
      </w:r>
    </w:p>
    <w:p w:rsidR="00BF722D" w:rsidRPr="00BF722D" w:rsidRDefault="00BF722D" w:rsidP="00BF722D">
      <w:pPr>
        <w:spacing w:before="120" w:after="0" w:line="360" w:lineRule="auto"/>
        <w:ind w:left="426"/>
        <w:jc w:val="both"/>
        <w:rPr>
          <w:rFonts w:ascii="Bookman Old Style" w:eastAsia="Calibri" w:hAnsi="Bookman Old Style" w:cs="Times New Roman"/>
          <w:sz w:val="24"/>
          <w:szCs w:val="24"/>
        </w:rPr>
      </w:pPr>
      <w:r w:rsidRPr="00BF722D">
        <w:rPr>
          <w:rFonts w:ascii="Bookman Old Style" w:eastAsia="Calibri" w:hAnsi="Bookman Old Style" w:cs="Times New Roman"/>
          <w:sz w:val="24"/>
          <w:szCs w:val="24"/>
        </w:rPr>
        <w:t>la conservation des ressources biologique et des habitats, la promotion d’une gestion intégrée du parc, la valorisation des ressources du parc,  la promotion de l’écotourisme et la promotion des formes d’exploitation et de consommation durable de la ressource.</w:t>
      </w:r>
    </w:p>
    <w:p w:rsidR="00BF722D" w:rsidRPr="00BF722D" w:rsidRDefault="00BF722D" w:rsidP="00BF722D">
      <w:pPr>
        <w:spacing w:before="120" w:after="0" w:line="360" w:lineRule="auto"/>
        <w:ind w:left="426"/>
        <w:jc w:val="both"/>
        <w:rPr>
          <w:rFonts w:ascii="Bookman Old Style" w:eastAsia="Calibri" w:hAnsi="Bookman Old Style" w:cs="Times New Roman"/>
          <w:sz w:val="24"/>
          <w:szCs w:val="24"/>
        </w:rPr>
      </w:pPr>
      <w:r w:rsidRPr="00BF722D">
        <w:rPr>
          <w:rFonts w:ascii="Bookman Old Style" w:eastAsia="Calibri" w:hAnsi="Bookman Old Style" w:cs="Times New Roman"/>
          <w:sz w:val="24"/>
          <w:szCs w:val="24"/>
        </w:rPr>
        <w:t xml:space="preserve">En </w:t>
      </w:r>
      <w:r w:rsidR="00505348">
        <w:rPr>
          <w:rFonts w:ascii="Bookman Old Style" w:eastAsia="Calibri" w:hAnsi="Bookman Old Style" w:cs="Times New Roman"/>
          <w:sz w:val="24"/>
          <w:szCs w:val="24"/>
        </w:rPr>
        <w:t>perspective, on peut indiquer</w:t>
      </w:r>
      <w:r w:rsidRPr="00BF722D">
        <w:rPr>
          <w:rFonts w:ascii="Bookman Old Style" w:eastAsia="Calibri" w:hAnsi="Bookman Old Style" w:cs="Times New Roman"/>
          <w:sz w:val="24"/>
          <w:szCs w:val="24"/>
        </w:rPr>
        <w:t xml:space="preserve"> d’une part qu’un processus est en cours pour l’inscription du site sur la liste des sites naturels du patrimoine mondial de l’UNESCO et d’autre part que le processus de création de la </w:t>
      </w:r>
      <w:r w:rsidR="00505348" w:rsidRPr="00BF722D">
        <w:rPr>
          <w:rFonts w:ascii="Bookman Old Style" w:eastAsia="Calibri" w:hAnsi="Bookman Old Style" w:cs="Times New Roman"/>
          <w:sz w:val="24"/>
          <w:szCs w:val="24"/>
        </w:rPr>
        <w:t>réserve de</w:t>
      </w:r>
      <w:r w:rsidRPr="00BF722D">
        <w:rPr>
          <w:rFonts w:ascii="Bookman Old Style" w:eastAsia="Calibri" w:hAnsi="Bookman Old Style" w:cs="Times New Roman"/>
          <w:sz w:val="24"/>
          <w:szCs w:val="24"/>
        </w:rPr>
        <w:t xml:space="preserve">  biosphère tranfrontière Niumi-Saloum est en cours. </w:t>
      </w:r>
    </w:p>
    <w:p w:rsidR="00BF722D" w:rsidRPr="00BF722D" w:rsidRDefault="00BF722D" w:rsidP="00BF722D">
      <w:pPr>
        <w:spacing w:after="200" w:line="360" w:lineRule="auto"/>
        <w:rPr>
          <w:rFonts w:ascii="Bookman Old Style" w:eastAsia="Calibri" w:hAnsi="Bookman Old Style" w:cs="Times New Roman"/>
          <w:b/>
          <w:sz w:val="24"/>
          <w:szCs w:val="24"/>
        </w:rPr>
      </w:pPr>
      <w:r w:rsidRPr="00BF722D">
        <w:rPr>
          <w:rFonts w:ascii="Bookman Old Style" w:eastAsia="Calibri" w:hAnsi="Bookman Old Style" w:cs="Times New Roman"/>
          <w:sz w:val="24"/>
          <w:szCs w:val="24"/>
        </w:rPr>
        <w:br w:type="page"/>
      </w:r>
      <w:r w:rsidR="00695227">
        <w:rPr>
          <w:rFonts w:ascii="Bookman Old Style" w:eastAsia="Calibri" w:hAnsi="Bookman Old Style" w:cs="Times New Roman"/>
          <w:b/>
          <w:sz w:val="24"/>
          <w:szCs w:val="24"/>
        </w:rPr>
        <w:lastRenderedPageBreak/>
        <w:t>L</w:t>
      </w:r>
      <w:r w:rsidRPr="00BF722D">
        <w:rPr>
          <w:rFonts w:ascii="Bookman Old Style" w:eastAsia="Calibri" w:hAnsi="Bookman Old Style" w:cs="Times New Roman"/>
          <w:b/>
          <w:sz w:val="24"/>
          <w:szCs w:val="24"/>
        </w:rPr>
        <w:t>a R</w:t>
      </w:r>
      <w:r w:rsidR="00AE2430">
        <w:rPr>
          <w:rFonts w:ascii="Bookman Old Style" w:eastAsia="Calibri" w:hAnsi="Bookman Old Style" w:cs="Times New Roman"/>
          <w:b/>
          <w:sz w:val="24"/>
          <w:szCs w:val="24"/>
        </w:rPr>
        <w:t xml:space="preserve">eserve de </w:t>
      </w:r>
      <w:r w:rsidRPr="00BF722D">
        <w:rPr>
          <w:rFonts w:ascii="Bookman Old Style" w:eastAsia="Calibri" w:hAnsi="Bookman Old Style" w:cs="Times New Roman"/>
          <w:b/>
          <w:sz w:val="24"/>
          <w:szCs w:val="24"/>
        </w:rPr>
        <w:t>B</w:t>
      </w:r>
      <w:r w:rsidR="00AE2430">
        <w:rPr>
          <w:rFonts w:ascii="Bookman Old Style" w:eastAsia="Calibri" w:hAnsi="Bookman Old Style" w:cs="Times New Roman"/>
          <w:b/>
          <w:sz w:val="24"/>
          <w:szCs w:val="24"/>
        </w:rPr>
        <w:t>iosphere</w:t>
      </w:r>
      <w:r w:rsidRPr="00BF722D">
        <w:rPr>
          <w:rFonts w:ascii="Bookman Old Style" w:eastAsia="Calibri" w:hAnsi="Bookman Old Style" w:cs="Times New Roman"/>
          <w:b/>
          <w:sz w:val="24"/>
          <w:szCs w:val="24"/>
        </w:rPr>
        <w:t xml:space="preserve"> de Samba DIA »</w:t>
      </w:r>
    </w:p>
    <w:p w:rsidR="00BF722D" w:rsidRPr="00BF722D" w:rsidRDefault="00376871" w:rsidP="00BF722D">
      <w:pPr>
        <w:spacing w:after="200" w:line="360" w:lineRule="auto"/>
        <w:jc w:val="both"/>
        <w:rPr>
          <w:rFonts w:ascii="Bookman Old Style" w:eastAsia="Calibri" w:hAnsi="Bookman Old Style" w:cs="Times New Roman"/>
          <w:sz w:val="24"/>
          <w:szCs w:val="24"/>
        </w:rPr>
      </w:pPr>
      <w:r>
        <w:rPr>
          <w:rFonts w:ascii="Bookman Old Style" w:eastAsia="Calibri" w:hAnsi="Bookman Old Style" w:cs="Times New Roman"/>
          <w:sz w:val="24"/>
          <w:szCs w:val="24"/>
        </w:rPr>
        <w:t>L</w:t>
      </w:r>
      <w:r w:rsidR="00BF722D" w:rsidRPr="00BF722D">
        <w:rPr>
          <w:rFonts w:ascii="Bookman Old Style" w:eastAsia="Calibri" w:hAnsi="Bookman Old Style" w:cs="Times New Roman"/>
          <w:sz w:val="24"/>
          <w:szCs w:val="24"/>
        </w:rPr>
        <w:t xml:space="preserve">a forêt de Samba DIA d’une superficie de 752 ha est classée par arrêté n°1536 du 30 avril 1936. Elle est érigé RB depuis 1979. C’est une réserve constituée d’une rôneraie à </w:t>
      </w:r>
      <w:r w:rsidR="00BF722D" w:rsidRPr="00BF722D">
        <w:rPr>
          <w:rFonts w:ascii="Bookman Old Style" w:eastAsia="Calibri" w:hAnsi="Bookman Old Style" w:cs="Times New Roman"/>
          <w:i/>
          <w:sz w:val="24"/>
          <w:szCs w:val="24"/>
        </w:rPr>
        <w:t xml:space="preserve">Borassus aethiopum </w:t>
      </w:r>
      <w:r w:rsidR="00BF722D" w:rsidRPr="00BF722D">
        <w:rPr>
          <w:rFonts w:ascii="Bookman Old Style" w:eastAsia="Calibri" w:hAnsi="Bookman Old Style" w:cs="Times New Roman"/>
          <w:sz w:val="24"/>
          <w:szCs w:val="24"/>
        </w:rPr>
        <w:t>avec une vingtaine d’autres espèces forestières.</w:t>
      </w:r>
    </w:p>
    <w:p w:rsidR="00BF722D" w:rsidRPr="00BF722D" w:rsidRDefault="00BF722D" w:rsidP="00BF722D">
      <w:pPr>
        <w:spacing w:after="200" w:line="360" w:lineRule="auto"/>
        <w:jc w:val="both"/>
        <w:rPr>
          <w:rFonts w:ascii="Bookman Old Style" w:eastAsia="Calibri" w:hAnsi="Bookman Old Style" w:cs="Times New Roman"/>
          <w:sz w:val="24"/>
          <w:szCs w:val="24"/>
        </w:rPr>
      </w:pPr>
      <w:r w:rsidRPr="00BF722D">
        <w:rPr>
          <w:rFonts w:ascii="Bookman Old Style" w:eastAsia="Calibri" w:hAnsi="Bookman Old Style" w:cs="Times New Roman"/>
          <w:sz w:val="24"/>
          <w:szCs w:val="24"/>
        </w:rPr>
        <w:t>Les activités menées dans cette réserve sont l’agriculture, l’arboriculture, l’élevage et l’exploitation des produits issus des rôniers.</w:t>
      </w:r>
    </w:p>
    <w:p w:rsidR="00BF722D" w:rsidRPr="00BF722D" w:rsidRDefault="00BF722D" w:rsidP="00BF722D">
      <w:pPr>
        <w:spacing w:after="200" w:line="360" w:lineRule="auto"/>
        <w:jc w:val="both"/>
        <w:rPr>
          <w:rFonts w:ascii="Bookman Old Style" w:eastAsia="Calibri" w:hAnsi="Bookman Old Style" w:cs="Times New Roman"/>
          <w:sz w:val="24"/>
          <w:szCs w:val="24"/>
        </w:rPr>
      </w:pPr>
      <w:r w:rsidRPr="00BF722D">
        <w:rPr>
          <w:rFonts w:ascii="Bookman Old Style" w:eastAsia="Calibri" w:hAnsi="Bookman Old Style" w:cs="Times New Roman"/>
          <w:sz w:val="24"/>
          <w:szCs w:val="24"/>
        </w:rPr>
        <w:t xml:space="preserve">Si la végétation est assez bien conservée dans la zone centrale clôturée par World Vision et les services forestiers, elle est très dégradée dans le zones tampon et périphérique du fait des activités agricoles. Dans la zone périphérique persistent quelques rôniers adultes et quelques reliques d’espèces comme </w:t>
      </w:r>
      <w:r w:rsidRPr="00BF722D">
        <w:rPr>
          <w:rFonts w:ascii="Bookman Old Style" w:eastAsia="Calibri" w:hAnsi="Bookman Old Style" w:cs="Times New Roman"/>
          <w:i/>
          <w:sz w:val="24"/>
          <w:szCs w:val="24"/>
        </w:rPr>
        <w:t>Faidherbia albida, Parkia biglobosa, Andansonia digitata, Detarium senegalense et Parinari macrophylla</w:t>
      </w:r>
      <w:r w:rsidRPr="00BF722D">
        <w:rPr>
          <w:rFonts w:ascii="Bookman Old Style" w:eastAsia="Calibri" w:hAnsi="Bookman Old Style" w:cs="Times New Roman"/>
          <w:sz w:val="24"/>
          <w:szCs w:val="24"/>
        </w:rPr>
        <w:t>.</w:t>
      </w:r>
    </w:p>
    <w:p w:rsidR="00BF722D" w:rsidRPr="00BF722D" w:rsidRDefault="00BF722D" w:rsidP="00BF722D">
      <w:pPr>
        <w:spacing w:after="200" w:line="360" w:lineRule="auto"/>
        <w:jc w:val="both"/>
        <w:rPr>
          <w:rFonts w:ascii="Bookman Old Style" w:eastAsia="Calibri" w:hAnsi="Bookman Old Style" w:cs="Times New Roman"/>
          <w:sz w:val="24"/>
          <w:szCs w:val="24"/>
        </w:rPr>
      </w:pPr>
      <w:r w:rsidRPr="00BF722D">
        <w:rPr>
          <w:rFonts w:ascii="Calibri" w:eastAsia="Calibri" w:hAnsi="Calibri" w:cs="Times New Roman"/>
          <w:noProof/>
          <w:lang w:eastAsia="fr-FR"/>
        </w:rPr>
        <w:drawing>
          <wp:anchor distT="0" distB="0" distL="114300" distR="114300" simplePos="0" relativeHeight="251677696" behindDoc="0" locked="0" layoutInCell="1" allowOverlap="1">
            <wp:simplePos x="0" y="0"/>
            <wp:positionH relativeFrom="column">
              <wp:posOffset>73660</wp:posOffset>
            </wp:positionH>
            <wp:positionV relativeFrom="paragraph">
              <wp:posOffset>11430</wp:posOffset>
            </wp:positionV>
            <wp:extent cx="5592445" cy="3665855"/>
            <wp:effectExtent l="0" t="0" r="8255"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2445" cy="3665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22D">
        <w:rPr>
          <w:rFonts w:ascii="Bookman Old Style" w:eastAsia="Calibri" w:hAnsi="Bookman Old Style" w:cs="Times New Roman"/>
          <w:sz w:val="24"/>
          <w:szCs w:val="24"/>
        </w:rPr>
        <w:br w:type="page"/>
      </w:r>
      <w:r w:rsidRPr="00BF722D">
        <w:rPr>
          <w:rFonts w:ascii="Bookman Old Style" w:eastAsia="Calibri" w:hAnsi="Bookman Old Style" w:cs="Times New Roman"/>
          <w:sz w:val="24"/>
          <w:szCs w:val="24"/>
        </w:rPr>
        <w:lastRenderedPageBreak/>
        <w:t xml:space="preserve"> les contraintes qui plombent les objectifs de conservation de la réserve. Parmi celles-ci, l’empiétement agricole, la dégradation de la régénération par la divagation et les pratiques agricoles, la salinisation des terres, l’exploitation illicite des rôniers (feuilles et stipes) et la surexploitation des fruits.</w:t>
      </w:r>
    </w:p>
    <w:p w:rsidR="00BF722D" w:rsidRPr="00BF722D" w:rsidRDefault="00BF722D" w:rsidP="00BF722D">
      <w:pPr>
        <w:spacing w:after="200" w:line="360" w:lineRule="auto"/>
        <w:jc w:val="both"/>
        <w:rPr>
          <w:rFonts w:ascii="Bookman Old Style" w:eastAsia="Calibri" w:hAnsi="Bookman Old Style" w:cs="Times New Roman"/>
          <w:sz w:val="24"/>
          <w:szCs w:val="24"/>
        </w:rPr>
      </w:pPr>
      <w:r w:rsidRPr="00BF722D">
        <w:rPr>
          <w:rFonts w:ascii="Calibri" w:eastAsia="Calibri" w:hAnsi="Calibri" w:cs="Times New Roman"/>
          <w:noProof/>
          <w:lang w:eastAsia="fr-FR"/>
        </w:rPr>
        <w:drawing>
          <wp:anchor distT="0" distB="0" distL="114300" distR="114300" simplePos="0" relativeHeight="251678720" behindDoc="0" locked="0" layoutInCell="1" allowOverlap="1">
            <wp:simplePos x="0" y="0"/>
            <wp:positionH relativeFrom="column">
              <wp:posOffset>1259840</wp:posOffset>
            </wp:positionH>
            <wp:positionV relativeFrom="paragraph">
              <wp:posOffset>14605</wp:posOffset>
            </wp:positionV>
            <wp:extent cx="3219450" cy="2519680"/>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9450" cy="2519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722D" w:rsidRPr="00BF722D" w:rsidRDefault="00BF722D" w:rsidP="00BF722D">
      <w:pPr>
        <w:spacing w:after="200" w:line="360" w:lineRule="auto"/>
        <w:jc w:val="both"/>
        <w:rPr>
          <w:rFonts w:ascii="Bookman Old Style" w:eastAsia="Calibri" w:hAnsi="Bookman Old Style" w:cs="Times New Roman"/>
          <w:sz w:val="24"/>
          <w:szCs w:val="24"/>
        </w:rPr>
      </w:pPr>
    </w:p>
    <w:p w:rsidR="00BF722D" w:rsidRPr="00BF722D" w:rsidRDefault="00BF722D" w:rsidP="00BF722D">
      <w:pPr>
        <w:spacing w:after="200" w:line="360" w:lineRule="auto"/>
        <w:jc w:val="both"/>
        <w:rPr>
          <w:rFonts w:ascii="Bookman Old Style" w:eastAsia="Calibri" w:hAnsi="Bookman Old Style" w:cs="Times New Roman"/>
          <w:sz w:val="24"/>
          <w:szCs w:val="24"/>
        </w:rPr>
      </w:pPr>
    </w:p>
    <w:p w:rsidR="00BF722D" w:rsidRPr="00BF722D" w:rsidRDefault="00BF722D" w:rsidP="00BF722D">
      <w:pPr>
        <w:spacing w:after="200" w:line="360" w:lineRule="auto"/>
        <w:jc w:val="both"/>
        <w:rPr>
          <w:rFonts w:ascii="Bookman Old Style" w:eastAsia="Calibri" w:hAnsi="Bookman Old Style" w:cs="Times New Roman"/>
          <w:sz w:val="24"/>
          <w:szCs w:val="24"/>
        </w:rPr>
      </w:pPr>
    </w:p>
    <w:p w:rsidR="00BF722D" w:rsidRPr="00BF722D" w:rsidRDefault="00BF722D" w:rsidP="00BF722D">
      <w:pPr>
        <w:spacing w:after="200" w:line="360" w:lineRule="auto"/>
        <w:jc w:val="both"/>
        <w:rPr>
          <w:rFonts w:ascii="Bookman Old Style" w:eastAsia="Calibri" w:hAnsi="Bookman Old Style" w:cs="Times New Roman"/>
          <w:sz w:val="24"/>
          <w:szCs w:val="24"/>
        </w:rPr>
      </w:pPr>
    </w:p>
    <w:p w:rsidR="00BF722D" w:rsidRPr="00BF722D" w:rsidRDefault="00BF722D" w:rsidP="00BF722D">
      <w:pPr>
        <w:spacing w:after="200" w:line="360" w:lineRule="auto"/>
        <w:jc w:val="both"/>
        <w:rPr>
          <w:rFonts w:ascii="Bookman Old Style" w:eastAsia="Calibri" w:hAnsi="Bookman Old Style" w:cs="Times New Roman"/>
          <w:sz w:val="24"/>
          <w:szCs w:val="24"/>
        </w:rPr>
      </w:pPr>
    </w:p>
    <w:p w:rsidR="00BF722D" w:rsidRPr="00BF722D" w:rsidRDefault="00BF722D" w:rsidP="00BF722D">
      <w:pPr>
        <w:spacing w:after="200" w:line="360" w:lineRule="auto"/>
        <w:jc w:val="both"/>
        <w:rPr>
          <w:rFonts w:ascii="Bookman Old Style" w:eastAsia="Calibri" w:hAnsi="Bookman Old Style" w:cs="Times New Roman"/>
          <w:sz w:val="24"/>
          <w:szCs w:val="24"/>
        </w:rPr>
      </w:pPr>
    </w:p>
    <w:p w:rsidR="00BF722D" w:rsidRPr="00BF722D" w:rsidRDefault="00BF722D" w:rsidP="00BF722D">
      <w:pPr>
        <w:spacing w:after="200" w:line="360" w:lineRule="auto"/>
        <w:jc w:val="both"/>
        <w:rPr>
          <w:rFonts w:ascii="Bookman Old Style" w:eastAsia="Calibri" w:hAnsi="Bookman Old Style" w:cs="Times New Roman"/>
          <w:sz w:val="24"/>
          <w:szCs w:val="24"/>
        </w:rPr>
      </w:pPr>
      <w:r w:rsidRPr="00BF722D">
        <w:rPr>
          <w:rFonts w:ascii="Bookman Old Style" w:eastAsia="Calibri" w:hAnsi="Bookman Old Style" w:cs="Times New Roman"/>
          <w:sz w:val="24"/>
          <w:szCs w:val="24"/>
        </w:rPr>
        <w:t>En guise de p</w:t>
      </w:r>
      <w:r w:rsidR="00505348">
        <w:rPr>
          <w:rFonts w:ascii="Bookman Old Style" w:eastAsia="Calibri" w:hAnsi="Bookman Old Style" w:cs="Times New Roman"/>
          <w:sz w:val="24"/>
          <w:szCs w:val="24"/>
        </w:rPr>
        <w:t>erspectives</w:t>
      </w:r>
      <w:r w:rsidRPr="00BF722D">
        <w:rPr>
          <w:rFonts w:ascii="Bookman Old Style" w:eastAsia="Calibri" w:hAnsi="Bookman Old Style" w:cs="Times New Roman"/>
          <w:sz w:val="24"/>
          <w:szCs w:val="24"/>
        </w:rPr>
        <w:t> : la redéfinition des limites et la reprécision de la carte d’occupation des sols avec la future implantation d’un BIC à l’IREF, la recherche d’appui pour la mise en place d’un plan de gestion durable et le démarrage de travaux de thèses sur la réserve.</w:t>
      </w:r>
    </w:p>
    <w:p w:rsidR="00BF722D" w:rsidRDefault="00BF722D" w:rsidP="00BF722D">
      <w:pPr>
        <w:spacing w:after="200" w:line="276" w:lineRule="auto"/>
        <w:rPr>
          <w:rFonts w:ascii="Bookman Old Style" w:eastAsia="Calibri" w:hAnsi="Bookman Old Style" w:cs="Times New Roman"/>
          <w:b/>
          <w:sz w:val="24"/>
          <w:szCs w:val="24"/>
        </w:rPr>
      </w:pPr>
      <w:r w:rsidRPr="00BF722D">
        <w:rPr>
          <w:rFonts w:ascii="Bookman Old Style" w:eastAsia="Calibri" w:hAnsi="Bookman Old Style" w:cs="Times New Roman"/>
          <w:sz w:val="24"/>
          <w:szCs w:val="24"/>
        </w:rPr>
        <w:br w:type="page"/>
      </w:r>
      <w:r w:rsidR="00695227">
        <w:rPr>
          <w:rFonts w:ascii="Bookman Old Style" w:eastAsia="Calibri" w:hAnsi="Bookman Old Style" w:cs="Times New Roman"/>
          <w:b/>
          <w:sz w:val="24"/>
          <w:szCs w:val="24"/>
        </w:rPr>
        <w:lastRenderedPageBreak/>
        <w:t xml:space="preserve">La Réserve de </w:t>
      </w:r>
      <w:r w:rsidR="00695227" w:rsidRPr="00BF722D">
        <w:rPr>
          <w:rFonts w:ascii="Bookman Old Style" w:eastAsia="Calibri" w:hAnsi="Bookman Old Style" w:cs="Times New Roman"/>
          <w:b/>
          <w:sz w:val="24"/>
          <w:szCs w:val="24"/>
        </w:rPr>
        <w:t>B</w:t>
      </w:r>
      <w:r w:rsidR="00695227">
        <w:rPr>
          <w:rFonts w:ascii="Bookman Old Style" w:eastAsia="Calibri" w:hAnsi="Bookman Old Style" w:cs="Times New Roman"/>
          <w:b/>
          <w:sz w:val="24"/>
          <w:szCs w:val="24"/>
        </w:rPr>
        <w:t>iosphère</w:t>
      </w:r>
      <w:r w:rsidRPr="00BF722D">
        <w:rPr>
          <w:rFonts w:ascii="Bookman Old Style" w:eastAsia="Calibri" w:hAnsi="Bookman Old Style" w:cs="Times New Roman"/>
          <w:b/>
          <w:sz w:val="24"/>
          <w:szCs w:val="24"/>
        </w:rPr>
        <w:t xml:space="preserve"> du Ferlo »</w:t>
      </w:r>
    </w:p>
    <w:p w:rsidR="00695227" w:rsidRDefault="00695227" w:rsidP="00BF722D">
      <w:pPr>
        <w:spacing w:after="200" w:line="276" w:lineRule="auto"/>
        <w:rPr>
          <w:rFonts w:ascii="Bookman Old Style" w:eastAsia="Calibri" w:hAnsi="Bookman Old Style" w:cs="Times New Roman"/>
          <w:b/>
          <w:sz w:val="24"/>
          <w:szCs w:val="24"/>
        </w:rPr>
      </w:pPr>
      <w:r>
        <w:rPr>
          <w:noProof/>
          <w:lang w:eastAsia="fr-FR"/>
        </w:rPr>
        <w:drawing>
          <wp:inline distT="0" distB="0" distL="0" distR="0" wp14:anchorId="10C1F15F" wp14:editId="1DF43050">
            <wp:extent cx="5760720" cy="4758690"/>
            <wp:effectExtent l="0" t="0" r="0" b="3810"/>
            <wp:docPr id="11272" name="Picture 4" descr="zonagea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2" name="Picture 4" descr="zonagea4_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758690"/>
                    </a:xfrm>
                    <a:prstGeom prst="rect">
                      <a:avLst/>
                    </a:prstGeom>
                    <a:noFill/>
                    <a:ln>
                      <a:noFill/>
                    </a:ln>
                    <a:extLst/>
                  </pic:spPr>
                </pic:pic>
              </a:graphicData>
            </a:graphic>
          </wp:inline>
        </w:drawing>
      </w:r>
    </w:p>
    <w:p w:rsidR="00BF722D" w:rsidRPr="00BF722D" w:rsidRDefault="00695227" w:rsidP="00695227">
      <w:pPr>
        <w:spacing w:after="0" w:line="360" w:lineRule="auto"/>
        <w:jc w:val="both"/>
        <w:rPr>
          <w:rFonts w:ascii="Bookman Old Style" w:eastAsia="Calibri" w:hAnsi="Bookman Old Style" w:cs="Times New Roman"/>
          <w:sz w:val="24"/>
          <w:szCs w:val="24"/>
        </w:rPr>
      </w:pPr>
      <w:r>
        <w:rPr>
          <w:rFonts w:ascii="Bookman Old Style" w:eastAsia="Calibri" w:hAnsi="Bookman Old Style" w:cs="Times New Roman"/>
          <w:sz w:val="24"/>
          <w:szCs w:val="24"/>
        </w:rPr>
        <w:t xml:space="preserve">La </w:t>
      </w:r>
      <w:r w:rsidR="00BF722D" w:rsidRPr="00BF722D">
        <w:rPr>
          <w:rFonts w:ascii="Bookman Old Style" w:eastAsia="Calibri" w:hAnsi="Bookman Old Style" w:cs="Times New Roman"/>
          <w:sz w:val="24"/>
          <w:szCs w:val="24"/>
        </w:rPr>
        <w:t xml:space="preserve">Réserve de Biosphère du Ferlo sera à cheval entre les départements de Kanel et de Ranérou et regroupera la réserve de faune du Ferlo Nord et celle du Ferlo Sud. </w:t>
      </w:r>
      <w:r>
        <w:rPr>
          <w:rFonts w:ascii="Bookman Old Style" w:eastAsia="Calibri" w:hAnsi="Bookman Old Style" w:cs="Times New Roman"/>
          <w:sz w:val="24"/>
          <w:szCs w:val="24"/>
        </w:rPr>
        <w:t>L</w:t>
      </w:r>
      <w:r w:rsidR="00BF722D" w:rsidRPr="00BF722D">
        <w:rPr>
          <w:rFonts w:ascii="Bookman Old Style" w:eastAsia="Calibri" w:hAnsi="Bookman Old Style" w:cs="Times New Roman"/>
          <w:sz w:val="24"/>
          <w:szCs w:val="24"/>
        </w:rPr>
        <w:t>a réserve de faune du Ferlo Nord d’une superficie de 487 000 ha a été classé par décret N° 72 346 du 21 mars 1972 et celle du Ferlo Sud d’une superficie de 663 0000 ha par décret N° 72 347 du 21 mars 1972.</w:t>
      </w:r>
    </w:p>
    <w:p w:rsidR="00BF722D" w:rsidRPr="00BF722D" w:rsidRDefault="00BF722D" w:rsidP="00BF722D">
      <w:pPr>
        <w:spacing w:after="0" w:line="360" w:lineRule="auto"/>
        <w:ind w:firstLine="709"/>
        <w:jc w:val="both"/>
        <w:rPr>
          <w:rFonts w:ascii="Bookman Old Style" w:eastAsia="Calibri" w:hAnsi="Bookman Old Style" w:cs="Times New Roman"/>
          <w:sz w:val="24"/>
          <w:szCs w:val="24"/>
        </w:rPr>
      </w:pPr>
    </w:p>
    <w:p w:rsidR="00BF722D" w:rsidRPr="00BF722D" w:rsidRDefault="00695227" w:rsidP="00BF722D">
      <w:pPr>
        <w:spacing w:after="200" w:line="360" w:lineRule="auto"/>
        <w:jc w:val="both"/>
        <w:rPr>
          <w:rFonts w:ascii="Bookman Old Style" w:eastAsia="Calibri" w:hAnsi="Bookman Old Style" w:cs="Times New Roman"/>
          <w:sz w:val="24"/>
          <w:szCs w:val="24"/>
        </w:rPr>
      </w:pPr>
      <w:r>
        <w:rPr>
          <w:rFonts w:ascii="Bookman Old Style" w:eastAsia="Calibri" w:hAnsi="Bookman Old Style" w:cs="Times New Roman"/>
          <w:sz w:val="24"/>
          <w:szCs w:val="24"/>
        </w:rPr>
        <w:t>L</w:t>
      </w:r>
      <w:r w:rsidR="00BF722D" w:rsidRPr="00BF722D">
        <w:rPr>
          <w:rFonts w:ascii="Bookman Old Style" w:eastAsia="Calibri" w:hAnsi="Bookman Old Style" w:cs="Times New Roman"/>
          <w:sz w:val="24"/>
          <w:szCs w:val="24"/>
        </w:rPr>
        <w:t>a création de cette réserve est motivée par le souci de préserver la faune relique et favoriser l’équilibre naturel du Ferlo. En effet, la création de réserves de faune dans le Ferlo permettra la reconstitution du patrimoine fauniqu</w:t>
      </w:r>
      <w:r>
        <w:rPr>
          <w:rFonts w:ascii="Bookman Old Style" w:eastAsia="Calibri" w:hAnsi="Bookman Old Style" w:cs="Times New Roman"/>
          <w:sz w:val="24"/>
          <w:szCs w:val="24"/>
        </w:rPr>
        <w:t>e. A titre d’exemple nous avons</w:t>
      </w:r>
      <w:r w:rsidR="00BF722D" w:rsidRPr="00BF722D">
        <w:rPr>
          <w:rFonts w:ascii="Bookman Old Style" w:eastAsia="Calibri" w:hAnsi="Bookman Old Style" w:cs="Times New Roman"/>
          <w:sz w:val="24"/>
          <w:szCs w:val="24"/>
        </w:rPr>
        <w:t xml:space="preserve"> la présence dans la RFFN de troupeau d’Oryx et des Autriches. </w:t>
      </w:r>
    </w:p>
    <w:p w:rsidR="00BF722D" w:rsidRPr="00BF722D" w:rsidRDefault="00BF722D" w:rsidP="00BF722D">
      <w:pPr>
        <w:spacing w:after="200" w:line="360" w:lineRule="auto"/>
        <w:jc w:val="both"/>
        <w:rPr>
          <w:rFonts w:ascii="Bookman Old Style" w:eastAsia="Calibri" w:hAnsi="Bookman Old Style" w:cs="Times New Roman"/>
          <w:sz w:val="24"/>
          <w:szCs w:val="24"/>
        </w:rPr>
      </w:pPr>
    </w:p>
    <w:p w:rsidR="00BF722D" w:rsidRPr="00BF722D" w:rsidRDefault="00BF722D" w:rsidP="00BF722D">
      <w:pPr>
        <w:spacing w:after="200" w:line="360" w:lineRule="auto"/>
        <w:jc w:val="both"/>
        <w:rPr>
          <w:rFonts w:ascii="Bookman Old Style" w:eastAsia="Calibri" w:hAnsi="Bookman Old Style" w:cs="Times New Roman"/>
          <w:sz w:val="24"/>
          <w:szCs w:val="24"/>
        </w:rPr>
      </w:pPr>
    </w:p>
    <w:p w:rsidR="00BF722D" w:rsidRPr="00BF722D" w:rsidRDefault="00CC2A4C" w:rsidP="00BF722D">
      <w:pPr>
        <w:spacing w:after="0" w:line="360" w:lineRule="auto"/>
        <w:jc w:val="both"/>
        <w:rPr>
          <w:rFonts w:ascii="Bookman Old Style" w:eastAsia="Calibri" w:hAnsi="Bookman Old Style" w:cs="Times New Roman"/>
          <w:sz w:val="24"/>
          <w:szCs w:val="24"/>
        </w:rPr>
      </w:pPr>
      <w:r>
        <w:rPr>
          <w:rFonts w:ascii="Bookman Old Style" w:eastAsia="Calibri" w:hAnsi="Bookman Old Style" w:cs="Times New Roman"/>
          <w:sz w:val="24"/>
          <w:szCs w:val="24"/>
        </w:rPr>
        <w:t>L</w:t>
      </w:r>
      <w:r w:rsidR="00BF722D" w:rsidRPr="00BF722D">
        <w:rPr>
          <w:rFonts w:ascii="Bookman Old Style" w:eastAsia="Calibri" w:hAnsi="Bookman Old Style" w:cs="Times New Roman"/>
          <w:sz w:val="24"/>
          <w:szCs w:val="24"/>
        </w:rPr>
        <w:t>e travail sur la charte locale de bonne gestion de la réserve de biosphère du Ferlo a été restituées et un atelier de validation du zonage et de partage sur le formulaire de désignation de la RB  a été organisé.</w:t>
      </w:r>
    </w:p>
    <w:p w:rsidR="00BF722D" w:rsidRPr="00BF722D" w:rsidRDefault="00BF722D" w:rsidP="00BF722D">
      <w:pPr>
        <w:spacing w:after="0" w:line="360" w:lineRule="auto"/>
        <w:jc w:val="both"/>
        <w:rPr>
          <w:rFonts w:ascii="Bookman Old Style" w:eastAsia="Calibri" w:hAnsi="Bookman Old Style" w:cs="Times New Roman"/>
          <w:sz w:val="24"/>
          <w:szCs w:val="24"/>
        </w:rPr>
      </w:pPr>
    </w:p>
    <w:p w:rsidR="00BF722D" w:rsidRPr="00BF722D" w:rsidRDefault="00BF722D" w:rsidP="00BF722D">
      <w:pPr>
        <w:spacing w:after="0" w:line="360" w:lineRule="auto"/>
        <w:jc w:val="both"/>
        <w:rPr>
          <w:rFonts w:ascii="Bookman Old Style" w:eastAsia="Calibri" w:hAnsi="Bookman Old Style" w:cs="Times New Roman"/>
          <w:sz w:val="24"/>
          <w:szCs w:val="24"/>
        </w:rPr>
      </w:pPr>
      <w:r w:rsidRPr="00BF722D">
        <w:rPr>
          <w:rFonts w:ascii="Bookman Old Style" w:eastAsia="Calibri" w:hAnsi="Bookman Old Style" w:cs="Times New Roman"/>
          <w:sz w:val="24"/>
          <w:szCs w:val="24"/>
        </w:rPr>
        <w:t>Il est aussi prévu l’organisation d’un atelier de validation du formulaire de désignation de la réserve de biosphère du Ferlo et le dépôt du dossier de création de la réserve en septembre.</w:t>
      </w:r>
    </w:p>
    <w:p w:rsidR="00BF722D" w:rsidRPr="00BF722D" w:rsidRDefault="00BF722D" w:rsidP="00BF722D">
      <w:pPr>
        <w:spacing w:after="200" w:line="360" w:lineRule="auto"/>
        <w:jc w:val="both"/>
        <w:rPr>
          <w:rFonts w:ascii="Bookman Old Style" w:eastAsia="Calibri" w:hAnsi="Bookman Old Style" w:cs="Times New Roman"/>
          <w:sz w:val="24"/>
          <w:szCs w:val="24"/>
        </w:rPr>
      </w:pPr>
      <w:r w:rsidRPr="00BF722D">
        <w:rPr>
          <w:rFonts w:ascii="Bookman Old Style" w:eastAsia="Calibri" w:hAnsi="Bookman Old Style" w:cs="Times New Roman"/>
          <w:sz w:val="24"/>
          <w:szCs w:val="24"/>
        </w:rPr>
        <w:t xml:space="preserve">  </w:t>
      </w:r>
    </w:p>
    <w:p w:rsidR="00695227" w:rsidRPr="00BF722D" w:rsidRDefault="00BF722D" w:rsidP="00695227">
      <w:pPr>
        <w:spacing w:after="200" w:line="360" w:lineRule="auto"/>
        <w:rPr>
          <w:rFonts w:ascii="Bookman Old Style" w:eastAsia="Batang" w:hAnsi="Bookman Old Style" w:cs="Times New Roman"/>
          <w:b/>
          <w:i/>
          <w:sz w:val="28"/>
          <w:szCs w:val="28"/>
        </w:rPr>
      </w:pPr>
      <w:r w:rsidRPr="00BF722D">
        <w:rPr>
          <w:rFonts w:ascii="Bookman Old Style" w:eastAsia="Calibri" w:hAnsi="Bookman Old Style" w:cs="Times New Roman"/>
          <w:sz w:val="24"/>
          <w:szCs w:val="24"/>
        </w:rPr>
        <w:br w:type="page"/>
      </w:r>
      <w:r w:rsidR="00695227" w:rsidRPr="00BF722D">
        <w:rPr>
          <w:rFonts w:ascii="Bookman Old Style" w:eastAsia="Batang" w:hAnsi="Bookman Old Style" w:cs="Times New Roman"/>
          <w:b/>
          <w:i/>
          <w:sz w:val="28"/>
          <w:szCs w:val="28"/>
        </w:rPr>
        <w:lastRenderedPageBreak/>
        <w:t xml:space="preserve"> </w:t>
      </w:r>
    </w:p>
    <w:p w:rsidR="00BF722D" w:rsidRPr="00BF722D" w:rsidRDefault="00BF722D" w:rsidP="00BF722D">
      <w:pPr>
        <w:pBdr>
          <w:top w:val="single" w:sz="4" w:space="1" w:color="auto"/>
          <w:left w:val="single" w:sz="4" w:space="4" w:color="auto"/>
          <w:bottom w:val="single" w:sz="4" w:space="1" w:color="auto"/>
          <w:right w:val="single" w:sz="4" w:space="4" w:color="auto"/>
        </w:pBdr>
        <w:shd w:val="clear" w:color="auto" w:fill="D9D9D9"/>
        <w:spacing w:after="200" w:line="360" w:lineRule="auto"/>
        <w:jc w:val="center"/>
        <w:rPr>
          <w:rFonts w:ascii="Bookman Old Style" w:eastAsia="Batang" w:hAnsi="Bookman Old Style" w:cs="Times New Roman"/>
          <w:b/>
          <w:i/>
          <w:sz w:val="28"/>
          <w:szCs w:val="28"/>
        </w:rPr>
      </w:pPr>
      <w:r w:rsidRPr="00BF722D">
        <w:rPr>
          <w:rFonts w:ascii="Bookman Old Style" w:eastAsia="Batang" w:hAnsi="Bookman Old Style" w:cs="Times New Roman"/>
          <w:b/>
          <w:i/>
          <w:sz w:val="28"/>
          <w:szCs w:val="28"/>
        </w:rPr>
        <w:t xml:space="preserve"> « La participation des communautés locales à la gestion des réserves de biosphère »</w:t>
      </w:r>
    </w:p>
    <w:p w:rsidR="00BF722D" w:rsidRPr="00BF722D" w:rsidRDefault="00BF722D" w:rsidP="00BF722D">
      <w:pPr>
        <w:spacing w:after="200" w:line="360" w:lineRule="auto"/>
        <w:jc w:val="both"/>
        <w:rPr>
          <w:rFonts w:ascii="Bookman Old Style" w:eastAsia="Calibri" w:hAnsi="Bookman Old Style" w:cs="Times New Roman"/>
          <w:sz w:val="24"/>
          <w:szCs w:val="24"/>
        </w:rPr>
      </w:pPr>
    </w:p>
    <w:p w:rsidR="00BF722D" w:rsidRPr="00BF722D" w:rsidRDefault="00CC2A4C" w:rsidP="00BF722D">
      <w:pPr>
        <w:spacing w:after="200" w:line="360" w:lineRule="auto"/>
        <w:jc w:val="both"/>
        <w:rPr>
          <w:rFonts w:ascii="Bookman Old Style" w:eastAsia="Calibri" w:hAnsi="Bookman Old Style" w:cs="Times New Roman"/>
          <w:sz w:val="24"/>
          <w:szCs w:val="24"/>
        </w:rPr>
      </w:pPr>
      <w:r>
        <w:rPr>
          <w:rFonts w:ascii="Bookman Old Style" w:eastAsia="Calibri" w:hAnsi="Bookman Old Style" w:cs="Times New Roman"/>
          <w:sz w:val="24"/>
          <w:szCs w:val="24"/>
        </w:rPr>
        <w:t>Ce travail consiste à regrouper</w:t>
      </w:r>
      <w:r w:rsidR="00BF722D" w:rsidRPr="00BF722D">
        <w:rPr>
          <w:rFonts w:ascii="Bookman Old Style" w:eastAsia="Calibri" w:hAnsi="Bookman Old Style" w:cs="Times New Roman"/>
          <w:sz w:val="24"/>
          <w:szCs w:val="24"/>
        </w:rPr>
        <w:t xml:space="preserve"> les avantages obtenus par les populations périphériques en fonction des différentes aires de la RB où ils sont tirés à savoir : l’aire centrale, la zone tampon et la périphérie.</w:t>
      </w:r>
    </w:p>
    <w:p w:rsidR="00BF722D" w:rsidRPr="00BF722D" w:rsidRDefault="00BF722D" w:rsidP="00BF722D">
      <w:pPr>
        <w:spacing w:after="200" w:line="360" w:lineRule="auto"/>
        <w:jc w:val="both"/>
        <w:rPr>
          <w:rFonts w:ascii="Bookman Old Style" w:eastAsia="Calibri" w:hAnsi="Bookman Old Style" w:cs="Times New Roman"/>
          <w:sz w:val="24"/>
          <w:szCs w:val="24"/>
        </w:rPr>
      </w:pPr>
      <w:r w:rsidRPr="00BF722D">
        <w:rPr>
          <w:rFonts w:ascii="Bookman Old Style" w:eastAsia="Calibri" w:hAnsi="Bookman Old Style" w:cs="Times New Roman"/>
          <w:sz w:val="24"/>
          <w:szCs w:val="24"/>
        </w:rPr>
        <w:t xml:space="preserve"> Ainsi dans l’aire centrale on peut noter des emplois permanents et temporaires dans les hôtels et campements, l’écotourisme, le guidage, la pharmacopée etc.</w:t>
      </w:r>
    </w:p>
    <w:p w:rsidR="00BF722D" w:rsidRPr="00BF722D" w:rsidRDefault="00BF722D" w:rsidP="00BF722D">
      <w:pPr>
        <w:spacing w:after="200" w:line="360" w:lineRule="auto"/>
        <w:jc w:val="both"/>
        <w:rPr>
          <w:rFonts w:ascii="Bookman Old Style" w:eastAsia="Calibri" w:hAnsi="Bookman Old Style" w:cs="Times New Roman"/>
          <w:sz w:val="24"/>
          <w:szCs w:val="24"/>
        </w:rPr>
      </w:pPr>
      <w:r w:rsidRPr="00BF722D">
        <w:rPr>
          <w:rFonts w:ascii="Bookman Old Style" w:eastAsia="Calibri" w:hAnsi="Bookman Old Style" w:cs="Times New Roman"/>
          <w:sz w:val="24"/>
          <w:szCs w:val="24"/>
        </w:rPr>
        <w:t>Dans la zone de transition les populations pratiquent le ramassage du bois mort, la récolte de fruits sauvages, l’exploitation agricole (bananeraie), le prélèvement de sable pour les édifices publics, la pêche, le prélèvement de bambou, paille, piquets, les compléments alimentaires etc.</w:t>
      </w:r>
    </w:p>
    <w:p w:rsidR="00BF722D" w:rsidRPr="00BF722D" w:rsidRDefault="00BF722D" w:rsidP="00BF722D">
      <w:pPr>
        <w:spacing w:after="200" w:line="360" w:lineRule="auto"/>
        <w:jc w:val="both"/>
        <w:rPr>
          <w:rFonts w:ascii="Bookman Old Style" w:eastAsia="Calibri" w:hAnsi="Bookman Old Style" w:cs="Times New Roman"/>
          <w:sz w:val="24"/>
          <w:szCs w:val="24"/>
        </w:rPr>
      </w:pPr>
      <w:r w:rsidRPr="00BF722D">
        <w:rPr>
          <w:rFonts w:ascii="Calibri" w:eastAsia="Calibri" w:hAnsi="Calibri" w:cs="Times New Roman"/>
          <w:noProof/>
          <w:lang w:eastAsia="fr-FR"/>
        </w:rPr>
        <w:drawing>
          <wp:anchor distT="0" distB="0" distL="114300" distR="114300" simplePos="0" relativeHeight="251680768" behindDoc="0" locked="0" layoutInCell="1" allowOverlap="1">
            <wp:simplePos x="0" y="0"/>
            <wp:positionH relativeFrom="column">
              <wp:posOffset>2611755</wp:posOffset>
            </wp:positionH>
            <wp:positionV relativeFrom="paragraph">
              <wp:posOffset>53340</wp:posOffset>
            </wp:positionV>
            <wp:extent cx="2869565" cy="1904365"/>
            <wp:effectExtent l="0" t="0" r="6985" b="635"/>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9565" cy="1904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22D">
        <w:rPr>
          <w:rFonts w:ascii="Bookman Old Style" w:eastAsia="Calibri" w:hAnsi="Bookman Old Style" w:cs="Times New Roman"/>
          <w:sz w:val="24"/>
          <w:szCs w:val="24"/>
        </w:rPr>
        <w:t>Et au niveau de la périphérie les populations pratiquent l’arboriculture, le maraîchage, l’apiculture l’exploitation de produits forestiers, l’écotourisme, établissent des pépinières villageois, etc.</w:t>
      </w:r>
    </w:p>
    <w:p w:rsidR="00BF722D" w:rsidRPr="00BF722D" w:rsidRDefault="00BF722D" w:rsidP="00BF722D">
      <w:pPr>
        <w:spacing w:after="200" w:line="360" w:lineRule="auto"/>
        <w:jc w:val="both"/>
        <w:rPr>
          <w:rFonts w:ascii="Bookman Old Style" w:eastAsia="Calibri" w:hAnsi="Bookman Old Style" w:cs="Times New Roman"/>
          <w:sz w:val="24"/>
          <w:szCs w:val="24"/>
        </w:rPr>
      </w:pPr>
    </w:p>
    <w:p w:rsidR="00BF722D" w:rsidRPr="00BF722D" w:rsidRDefault="00BF722D" w:rsidP="00BF722D">
      <w:pPr>
        <w:spacing w:after="200" w:line="360" w:lineRule="auto"/>
        <w:jc w:val="both"/>
        <w:rPr>
          <w:rFonts w:ascii="Bookman Old Style" w:eastAsia="Calibri" w:hAnsi="Bookman Old Style" w:cs="Times New Roman"/>
          <w:sz w:val="24"/>
          <w:szCs w:val="24"/>
        </w:rPr>
      </w:pPr>
      <w:r w:rsidRPr="00BF722D">
        <w:rPr>
          <w:rFonts w:ascii="Bookman Old Style" w:eastAsia="Calibri" w:hAnsi="Bookman Old Style" w:cs="Times New Roman"/>
          <w:sz w:val="24"/>
          <w:szCs w:val="24"/>
        </w:rPr>
        <w:t>Ainsi la valeur économique des prélèvements de Bambou, de Crinting, de paille et de Koylé dans le PNNK est estimée à 13 261 000 F CFA.</w:t>
      </w:r>
    </w:p>
    <w:p w:rsidR="00BF722D" w:rsidRPr="00BF722D" w:rsidRDefault="00CC2A4C" w:rsidP="00BF722D">
      <w:pPr>
        <w:spacing w:after="200" w:line="360" w:lineRule="auto"/>
        <w:jc w:val="both"/>
        <w:rPr>
          <w:rFonts w:ascii="Bookman Old Style" w:eastAsia="Calibri" w:hAnsi="Bookman Old Style" w:cs="Times New Roman"/>
          <w:sz w:val="24"/>
          <w:szCs w:val="24"/>
        </w:rPr>
      </w:pPr>
      <w:r>
        <w:rPr>
          <w:rFonts w:ascii="Bookman Old Style" w:eastAsia="Calibri" w:hAnsi="Bookman Old Style" w:cs="Times New Roman"/>
          <w:sz w:val="24"/>
          <w:szCs w:val="24"/>
        </w:rPr>
        <w:t>On pourra aussi décliner</w:t>
      </w:r>
      <w:r w:rsidR="00BF722D" w:rsidRPr="00BF722D">
        <w:rPr>
          <w:rFonts w:ascii="Bookman Old Style" w:eastAsia="Calibri" w:hAnsi="Bookman Old Style" w:cs="Times New Roman"/>
          <w:sz w:val="24"/>
          <w:szCs w:val="24"/>
        </w:rPr>
        <w:t xml:space="preserve"> les avantages tirés du PNNK par les populations en termes de partenaires intervenants dans l’aire centrale et de partenaires intervenants au niveau de la périphérie.</w:t>
      </w:r>
    </w:p>
    <w:p w:rsidR="00BF722D" w:rsidRPr="00BF722D" w:rsidRDefault="00BF722D" w:rsidP="00BF722D">
      <w:pPr>
        <w:spacing w:after="200" w:line="360" w:lineRule="auto"/>
        <w:jc w:val="both"/>
        <w:rPr>
          <w:rFonts w:ascii="Bookman Old Style" w:eastAsia="Calibri" w:hAnsi="Bookman Old Style" w:cs="Times New Roman"/>
          <w:sz w:val="24"/>
          <w:szCs w:val="24"/>
        </w:rPr>
      </w:pPr>
      <w:r w:rsidRPr="00BF722D">
        <w:rPr>
          <w:rFonts w:ascii="Bookman Old Style" w:eastAsia="Calibri" w:hAnsi="Bookman Old Style" w:cs="Times New Roman"/>
          <w:sz w:val="24"/>
          <w:szCs w:val="24"/>
        </w:rPr>
        <w:lastRenderedPageBreak/>
        <w:t>Dans l’air</w:t>
      </w:r>
      <w:r w:rsidR="00CC2A4C">
        <w:rPr>
          <w:rFonts w:ascii="Bookman Old Style" w:eastAsia="Calibri" w:hAnsi="Bookman Old Style" w:cs="Times New Roman"/>
          <w:sz w:val="24"/>
          <w:szCs w:val="24"/>
        </w:rPr>
        <w:t>e centrale du PNNK beaucoup de programmes ont intervenu</w:t>
      </w:r>
      <w:r w:rsidRPr="00BF722D">
        <w:rPr>
          <w:rFonts w:ascii="Bookman Old Style" w:eastAsia="Calibri" w:hAnsi="Bookman Old Style" w:cs="Times New Roman"/>
          <w:sz w:val="24"/>
          <w:szCs w:val="24"/>
        </w:rPr>
        <w:t> : le PGIES, l’AGIR, UICN/PAPACO, le Niokolo-Badiar etc tandis que dans la périphérie interviennent le PROGEDE, l’USAID (Wula Nafa), le PROMER 1 et 2, le corps de la paix Américaine, l’ANCAR, Word vision, UNICEF, SODEFITEX, PGIES, le PAPIL et le GADEC.</w:t>
      </w:r>
    </w:p>
    <w:p w:rsidR="00BF722D" w:rsidRPr="00BF722D" w:rsidRDefault="00CC2A4C" w:rsidP="00BF722D">
      <w:pPr>
        <w:spacing w:after="200" w:line="360" w:lineRule="auto"/>
        <w:jc w:val="both"/>
        <w:rPr>
          <w:rFonts w:ascii="Bookman Old Style" w:eastAsia="Calibri" w:hAnsi="Bookman Old Style" w:cs="Times New Roman"/>
          <w:sz w:val="24"/>
          <w:szCs w:val="24"/>
        </w:rPr>
      </w:pPr>
      <w:r>
        <w:rPr>
          <w:rFonts w:ascii="Bookman Old Style" w:eastAsia="Calibri" w:hAnsi="Bookman Old Style" w:cs="Times New Roman"/>
          <w:sz w:val="24"/>
          <w:szCs w:val="24"/>
        </w:rPr>
        <w:t xml:space="preserve">Beaucoup de </w:t>
      </w:r>
      <w:r w:rsidR="00BF722D" w:rsidRPr="00BF722D">
        <w:rPr>
          <w:rFonts w:ascii="Bookman Old Style" w:eastAsia="Calibri" w:hAnsi="Bookman Old Style" w:cs="Times New Roman"/>
          <w:sz w:val="24"/>
          <w:szCs w:val="24"/>
        </w:rPr>
        <w:t xml:space="preserve"> contraintes </w:t>
      </w:r>
      <w:r>
        <w:rPr>
          <w:rFonts w:ascii="Bookman Old Style" w:eastAsia="Calibri" w:hAnsi="Bookman Old Style" w:cs="Times New Roman"/>
          <w:sz w:val="24"/>
          <w:szCs w:val="24"/>
        </w:rPr>
        <w:t xml:space="preserve">sont </w:t>
      </w:r>
      <w:r w:rsidR="00BF722D" w:rsidRPr="00BF722D">
        <w:rPr>
          <w:rFonts w:ascii="Bookman Old Style" w:eastAsia="Calibri" w:hAnsi="Bookman Old Style" w:cs="Times New Roman"/>
          <w:sz w:val="24"/>
          <w:szCs w:val="24"/>
        </w:rPr>
        <w:t xml:space="preserve">observées au niveau de l’aire centrale et au niveau de la périphérie. Ces contraintes sont relatives au braconnage, à l’assèchement et à l’envahissement des mares, à l’ensablement, à l’empiétement agricole, à la divagation du bétail et aux feux de brousse dans l’aire centrale. Et au niveau de la périphérie elles sont relatives à la récolte de miel, aux feux de brousse, à la poussée démographique, à la transhumance, au manque d’espace et litiges fonciers et à l’exploitation minière. </w:t>
      </w:r>
    </w:p>
    <w:p w:rsidR="00BF722D" w:rsidRPr="00BF722D" w:rsidRDefault="00CC2A4C" w:rsidP="00BF722D">
      <w:pPr>
        <w:spacing w:after="200" w:line="360" w:lineRule="auto"/>
        <w:jc w:val="both"/>
        <w:rPr>
          <w:rFonts w:ascii="Bookman Old Style" w:eastAsia="Calibri" w:hAnsi="Bookman Old Style" w:cs="Times New Roman"/>
          <w:sz w:val="24"/>
          <w:szCs w:val="24"/>
        </w:rPr>
      </w:pPr>
      <w:r>
        <w:rPr>
          <w:rFonts w:ascii="Bookman Old Style" w:eastAsia="Calibri" w:hAnsi="Bookman Old Style" w:cs="Times New Roman"/>
          <w:sz w:val="24"/>
          <w:szCs w:val="24"/>
        </w:rPr>
        <w:t>Q</w:t>
      </w:r>
      <w:r w:rsidR="00BF722D" w:rsidRPr="00BF722D">
        <w:rPr>
          <w:rFonts w:ascii="Bookman Old Style" w:eastAsia="Calibri" w:hAnsi="Bookman Old Style" w:cs="Times New Roman"/>
          <w:sz w:val="24"/>
          <w:szCs w:val="24"/>
        </w:rPr>
        <w:t>uelques recommandations susceptibles d’améliorer la gestion de la RBNK à savoir (i) le développement de l’écotourisme, (ii) le renforcement des moyens de surveillance, (iii) la conscientisation et la responsabilisation des populations, (iv) la lutte contre la pauvreté en développant des AGR, la restructuration de la zone tampon vide, (v) la redéfinition d’un nouveau zonage MAB tout en tenant compte des propositions antérieures, et (vi) le renforcement de capacités des agents du PNNK.</w:t>
      </w:r>
    </w:p>
    <w:p w:rsidR="00BF722D" w:rsidRPr="00BF722D" w:rsidRDefault="0095618A" w:rsidP="0095618A">
      <w:pPr>
        <w:spacing w:after="200" w:line="360" w:lineRule="auto"/>
        <w:rPr>
          <w:rFonts w:ascii="Bookman Old Style" w:eastAsia="Batang" w:hAnsi="Bookman Old Style" w:cs="Times New Roman"/>
          <w:b/>
          <w:sz w:val="36"/>
          <w:szCs w:val="36"/>
        </w:rPr>
      </w:pPr>
      <w:r w:rsidRPr="00BF722D">
        <w:rPr>
          <w:rFonts w:ascii="Bookman Old Style" w:eastAsia="Batang" w:hAnsi="Bookman Old Style" w:cs="Times New Roman"/>
          <w:b/>
          <w:sz w:val="36"/>
          <w:szCs w:val="36"/>
        </w:rPr>
        <w:t xml:space="preserve"> </w:t>
      </w:r>
    </w:p>
    <w:p w:rsidR="00BF722D" w:rsidRPr="00BF722D" w:rsidRDefault="00BF722D" w:rsidP="00BF722D">
      <w:pPr>
        <w:spacing w:after="0" w:line="360" w:lineRule="auto"/>
        <w:jc w:val="center"/>
        <w:rPr>
          <w:rFonts w:ascii="Bookman Old Style" w:eastAsia="Batang" w:hAnsi="Bookman Old Style" w:cs="Times New Roman"/>
          <w:b/>
          <w:sz w:val="36"/>
          <w:szCs w:val="36"/>
        </w:rPr>
      </w:pPr>
    </w:p>
    <w:sectPr w:rsidR="00BF722D" w:rsidRPr="00BF722D" w:rsidSect="00376871">
      <w:pgSz w:w="11906" w:h="16838"/>
      <w:pgMar w:top="1417" w:right="1417" w:bottom="1417" w:left="1417" w:header="708" w:footer="708" w:gutter="0"/>
      <w:pgBorders w:display="firstPage" w:offsetFrom="page">
        <w:top w:val="holly" w:sz="10" w:space="24" w:color="auto"/>
        <w:left w:val="holly" w:sz="10" w:space="24" w:color="auto"/>
        <w:bottom w:val="holly" w:sz="10" w:space="24" w:color="auto"/>
        <w:right w:val="holly" w:sz="10"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4BA7" w:rsidRDefault="006B4BA7">
      <w:pPr>
        <w:spacing w:after="0" w:line="240" w:lineRule="auto"/>
      </w:pPr>
      <w:r>
        <w:separator/>
      </w:r>
    </w:p>
  </w:endnote>
  <w:endnote w:type="continuationSeparator" w:id="0">
    <w:p w:rsidR="006B4BA7" w:rsidRDefault="006B4B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de Latin">
    <w:panose1 w:val="020A0A07050505020404"/>
    <w:charset w:val="00"/>
    <w:family w:val="roman"/>
    <w:pitch w:val="variable"/>
    <w:sig w:usb0="00000003" w:usb1="00000000" w:usb2="00000000" w:usb3="00000000" w:csb0="00000001" w:csb1="00000000"/>
  </w:font>
  <w:font w:name="Batang">
    <w:altName w:val="바탕"/>
    <w:panose1 w:val="02030600000101010101"/>
    <w:charset w:val="81"/>
    <w:family w:val="auto"/>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4BA7" w:rsidRDefault="006B4BA7">
      <w:pPr>
        <w:spacing w:after="0" w:line="240" w:lineRule="auto"/>
      </w:pPr>
      <w:r>
        <w:separator/>
      </w:r>
    </w:p>
  </w:footnote>
  <w:footnote w:type="continuationSeparator" w:id="0">
    <w:p w:rsidR="006B4BA7" w:rsidRDefault="006B4B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450"/>
      </v:shape>
    </w:pict>
  </w:numPicBullet>
  <w:numPicBullet w:numPicBulletId="1">
    <w:pict>
      <v:shape id="_x0000_i1027" type="#_x0000_t75" style="width:9pt;height:9pt" o:bullet="t">
        <v:imagedata r:id="rId2" o:title="BD10299_"/>
      </v:shape>
    </w:pict>
  </w:numPicBullet>
  <w:abstractNum w:abstractNumId="0" w15:restartNumberingAfterBreak="0">
    <w:nsid w:val="00B12AAB"/>
    <w:multiLevelType w:val="hybridMultilevel"/>
    <w:tmpl w:val="DA707D78"/>
    <w:lvl w:ilvl="0" w:tplc="040C000D">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 w15:restartNumberingAfterBreak="0">
    <w:nsid w:val="1526174B"/>
    <w:multiLevelType w:val="hybridMultilevel"/>
    <w:tmpl w:val="318C58D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85F30B6"/>
    <w:multiLevelType w:val="hybridMultilevel"/>
    <w:tmpl w:val="C7B29F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94E6BA8"/>
    <w:multiLevelType w:val="hybridMultilevel"/>
    <w:tmpl w:val="B062181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C0A6469"/>
    <w:multiLevelType w:val="hybridMultilevel"/>
    <w:tmpl w:val="9D1487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CC738E7"/>
    <w:multiLevelType w:val="multilevel"/>
    <w:tmpl w:val="7F1E042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 w15:restartNumberingAfterBreak="0">
    <w:nsid w:val="222E773B"/>
    <w:multiLevelType w:val="hybridMultilevel"/>
    <w:tmpl w:val="B266881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32E65D9"/>
    <w:multiLevelType w:val="hybridMultilevel"/>
    <w:tmpl w:val="F0CEB330"/>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24E9329D"/>
    <w:multiLevelType w:val="hybridMultilevel"/>
    <w:tmpl w:val="E7207B68"/>
    <w:lvl w:ilvl="0" w:tplc="60D2CAC0">
      <w:start w:val="1"/>
      <w:numFmt w:val="decimal"/>
      <w:lvlText w:val="%1."/>
      <w:lvlJc w:val="left"/>
      <w:pPr>
        <w:tabs>
          <w:tab w:val="num" w:pos="720"/>
        </w:tabs>
        <w:ind w:left="720" w:hanging="360"/>
      </w:pPr>
      <w:rPr>
        <w:rFonts w:hint="default"/>
        <w:sz w:val="24"/>
        <w:szCs w:val="32"/>
      </w:rPr>
    </w:lvl>
    <w:lvl w:ilvl="1" w:tplc="599AE41E">
      <w:numFmt w:val="none"/>
      <w:lvlText w:val=""/>
      <w:lvlJc w:val="left"/>
      <w:pPr>
        <w:tabs>
          <w:tab w:val="num" w:pos="360"/>
        </w:tabs>
      </w:pPr>
    </w:lvl>
    <w:lvl w:ilvl="2" w:tplc="EE9680F6">
      <w:numFmt w:val="none"/>
      <w:lvlText w:val=""/>
      <w:lvlJc w:val="left"/>
      <w:pPr>
        <w:tabs>
          <w:tab w:val="num" w:pos="360"/>
        </w:tabs>
      </w:pPr>
    </w:lvl>
    <w:lvl w:ilvl="3" w:tplc="DD5A6460">
      <w:numFmt w:val="none"/>
      <w:lvlText w:val=""/>
      <w:lvlJc w:val="left"/>
      <w:pPr>
        <w:tabs>
          <w:tab w:val="num" w:pos="360"/>
        </w:tabs>
      </w:pPr>
    </w:lvl>
    <w:lvl w:ilvl="4" w:tplc="3B6C11BE">
      <w:numFmt w:val="none"/>
      <w:lvlText w:val=""/>
      <w:lvlJc w:val="left"/>
      <w:pPr>
        <w:tabs>
          <w:tab w:val="num" w:pos="360"/>
        </w:tabs>
      </w:pPr>
    </w:lvl>
    <w:lvl w:ilvl="5" w:tplc="037264D2">
      <w:numFmt w:val="none"/>
      <w:lvlText w:val=""/>
      <w:lvlJc w:val="left"/>
      <w:pPr>
        <w:tabs>
          <w:tab w:val="num" w:pos="360"/>
        </w:tabs>
      </w:pPr>
    </w:lvl>
    <w:lvl w:ilvl="6" w:tplc="6BFE4768">
      <w:numFmt w:val="none"/>
      <w:lvlText w:val=""/>
      <w:lvlJc w:val="left"/>
      <w:pPr>
        <w:tabs>
          <w:tab w:val="num" w:pos="360"/>
        </w:tabs>
      </w:pPr>
    </w:lvl>
    <w:lvl w:ilvl="7" w:tplc="EFBE160E">
      <w:numFmt w:val="none"/>
      <w:lvlText w:val=""/>
      <w:lvlJc w:val="left"/>
      <w:pPr>
        <w:tabs>
          <w:tab w:val="num" w:pos="360"/>
        </w:tabs>
      </w:pPr>
    </w:lvl>
    <w:lvl w:ilvl="8" w:tplc="5BB6DCEC">
      <w:numFmt w:val="none"/>
      <w:lvlText w:val=""/>
      <w:lvlJc w:val="left"/>
      <w:pPr>
        <w:tabs>
          <w:tab w:val="num" w:pos="360"/>
        </w:tabs>
      </w:pPr>
    </w:lvl>
  </w:abstractNum>
  <w:abstractNum w:abstractNumId="9" w15:restartNumberingAfterBreak="0">
    <w:nsid w:val="25DD5A08"/>
    <w:multiLevelType w:val="hybridMultilevel"/>
    <w:tmpl w:val="89EE12E8"/>
    <w:lvl w:ilvl="0" w:tplc="040C000D">
      <w:start w:val="1"/>
      <w:numFmt w:val="bullet"/>
      <w:lvlText w:val=""/>
      <w:lvlJc w:val="left"/>
      <w:pPr>
        <w:ind w:left="720" w:hanging="360"/>
      </w:pPr>
      <w:rPr>
        <w:rFonts w:ascii="Wingdings" w:hAnsi="Wingdings" w:hint="default"/>
      </w:rPr>
    </w:lvl>
    <w:lvl w:ilvl="1" w:tplc="2B582284">
      <w:numFmt w:val="bullet"/>
      <w:lvlText w:val="-"/>
      <w:lvlJc w:val="left"/>
      <w:pPr>
        <w:ind w:left="1440" w:hanging="360"/>
      </w:pPr>
      <w:rPr>
        <w:rFonts w:ascii="Bookman Old Style" w:eastAsia="Calibri" w:hAnsi="Bookman Old Style"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BB033F6"/>
    <w:multiLevelType w:val="hybridMultilevel"/>
    <w:tmpl w:val="62A01EA0"/>
    <w:lvl w:ilvl="0" w:tplc="4928F63E">
      <w:start w:val="1"/>
      <w:numFmt w:val="bullet"/>
      <w:lvlText w:val=""/>
      <w:lvlJc w:val="left"/>
      <w:pPr>
        <w:tabs>
          <w:tab w:val="num" w:pos="720"/>
        </w:tabs>
        <w:ind w:left="7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FC433B2"/>
    <w:multiLevelType w:val="hybridMultilevel"/>
    <w:tmpl w:val="FB9AE4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09F7928"/>
    <w:multiLevelType w:val="hybridMultilevel"/>
    <w:tmpl w:val="8474F9B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3157747"/>
    <w:multiLevelType w:val="hybridMultilevel"/>
    <w:tmpl w:val="34DAF2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6521E25"/>
    <w:multiLevelType w:val="hybridMultilevel"/>
    <w:tmpl w:val="4134E12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DEA6ECA"/>
    <w:multiLevelType w:val="hybridMultilevel"/>
    <w:tmpl w:val="29EEEF3E"/>
    <w:lvl w:ilvl="0" w:tplc="040C0001">
      <w:start w:val="1"/>
      <w:numFmt w:val="bullet"/>
      <w:lvlText w:val=""/>
      <w:lvlJc w:val="left"/>
      <w:pPr>
        <w:ind w:left="678" w:hanging="360"/>
      </w:pPr>
      <w:rPr>
        <w:rFonts w:ascii="Symbol" w:hAnsi="Symbol" w:hint="default"/>
      </w:rPr>
    </w:lvl>
    <w:lvl w:ilvl="1" w:tplc="040C0003" w:tentative="1">
      <w:start w:val="1"/>
      <w:numFmt w:val="bullet"/>
      <w:lvlText w:val="o"/>
      <w:lvlJc w:val="left"/>
      <w:pPr>
        <w:ind w:left="1398" w:hanging="360"/>
      </w:pPr>
      <w:rPr>
        <w:rFonts w:ascii="Courier New" w:hAnsi="Courier New" w:cs="Courier New" w:hint="default"/>
      </w:rPr>
    </w:lvl>
    <w:lvl w:ilvl="2" w:tplc="040C0005" w:tentative="1">
      <w:start w:val="1"/>
      <w:numFmt w:val="bullet"/>
      <w:lvlText w:val=""/>
      <w:lvlJc w:val="left"/>
      <w:pPr>
        <w:ind w:left="2118" w:hanging="360"/>
      </w:pPr>
      <w:rPr>
        <w:rFonts w:ascii="Wingdings" w:hAnsi="Wingdings" w:hint="default"/>
      </w:rPr>
    </w:lvl>
    <w:lvl w:ilvl="3" w:tplc="040C0001" w:tentative="1">
      <w:start w:val="1"/>
      <w:numFmt w:val="bullet"/>
      <w:lvlText w:val=""/>
      <w:lvlJc w:val="left"/>
      <w:pPr>
        <w:ind w:left="2838" w:hanging="360"/>
      </w:pPr>
      <w:rPr>
        <w:rFonts w:ascii="Symbol" w:hAnsi="Symbol" w:hint="default"/>
      </w:rPr>
    </w:lvl>
    <w:lvl w:ilvl="4" w:tplc="040C0003" w:tentative="1">
      <w:start w:val="1"/>
      <w:numFmt w:val="bullet"/>
      <w:lvlText w:val="o"/>
      <w:lvlJc w:val="left"/>
      <w:pPr>
        <w:ind w:left="3558" w:hanging="360"/>
      </w:pPr>
      <w:rPr>
        <w:rFonts w:ascii="Courier New" w:hAnsi="Courier New" w:cs="Courier New" w:hint="default"/>
      </w:rPr>
    </w:lvl>
    <w:lvl w:ilvl="5" w:tplc="040C0005" w:tentative="1">
      <w:start w:val="1"/>
      <w:numFmt w:val="bullet"/>
      <w:lvlText w:val=""/>
      <w:lvlJc w:val="left"/>
      <w:pPr>
        <w:ind w:left="4278" w:hanging="360"/>
      </w:pPr>
      <w:rPr>
        <w:rFonts w:ascii="Wingdings" w:hAnsi="Wingdings" w:hint="default"/>
      </w:rPr>
    </w:lvl>
    <w:lvl w:ilvl="6" w:tplc="040C0001" w:tentative="1">
      <w:start w:val="1"/>
      <w:numFmt w:val="bullet"/>
      <w:lvlText w:val=""/>
      <w:lvlJc w:val="left"/>
      <w:pPr>
        <w:ind w:left="4998" w:hanging="360"/>
      </w:pPr>
      <w:rPr>
        <w:rFonts w:ascii="Symbol" w:hAnsi="Symbol" w:hint="default"/>
      </w:rPr>
    </w:lvl>
    <w:lvl w:ilvl="7" w:tplc="040C0003" w:tentative="1">
      <w:start w:val="1"/>
      <w:numFmt w:val="bullet"/>
      <w:lvlText w:val="o"/>
      <w:lvlJc w:val="left"/>
      <w:pPr>
        <w:ind w:left="5718" w:hanging="360"/>
      </w:pPr>
      <w:rPr>
        <w:rFonts w:ascii="Courier New" w:hAnsi="Courier New" w:cs="Courier New" w:hint="default"/>
      </w:rPr>
    </w:lvl>
    <w:lvl w:ilvl="8" w:tplc="040C0005" w:tentative="1">
      <w:start w:val="1"/>
      <w:numFmt w:val="bullet"/>
      <w:lvlText w:val=""/>
      <w:lvlJc w:val="left"/>
      <w:pPr>
        <w:ind w:left="6438" w:hanging="360"/>
      </w:pPr>
      <w:rPr>
        <w:rFonts w:ascii="Wingdings" w:hAnsi="Wingdings" w:hint="default"/>
      </w:rPr>
    </w:lvl>
  </w:abstractNum>
  <w:abstractNum w:abstractNumId="16" w15:restartNumberingAfterBreak="0">
    <w:nsid w:val="414E0976"/>
    <w:multiLevelType w:val="hybridMultilevel"/>
    <w:tmpl w:val="7BC242C4"/>
    <w:lvl w:ilvl="0" w:tplc="040C0001">
      <w:start w:val="1"/>
      <w:numFmt w:val="bullet"/>
      <w:lvlText w:val=""/>
      <w:lvlJc w:val="left"/>
      <w:pPr>
        <w:ind w:left="1005" w:hanging="360"/>
      </w:pPr>
      <w:rPr>
        <w:rFonts w:ascii="Symbol" w:hAnsi="Symbol" w:hint="default"/>
      </w:rPr>
    </w:lvl>
    <w:lvl w:ilvl="1" w:tplc="040C0003" w:tentative="1">
      <w:start w:val="1"/>
      <w:numFmt w:val="bullet"/>
      <w:lvlText w:val="o"/>
      <w:lvlJc w:val="left"/>
      <w:pPr>
        <w:ind w:left="1725" w:hanging="360"/>
      </w:pPr>
      <w:rPr>
        <w:rFonts w:ascii="Courier New" w:hAnsi="Courier New" w:cs="Courier New" w:hint="default"/>
      </w:rPr>
    </w:lvl>
    <w:lvl w:ilvl="2" w:tplc="040C0005" w:tentative="1">
      <w:start w:val="1"/>
      <w:numFmt w:val="bullet"/>
      <w:lvlText w:val=""/>
      <w:lvlJc w:val="left"/>
      <w:pPr>
        <w:ind w:left="2445" w:hanging="360"/>
      </w:pPr>
      <w:rPr>
        <w:rFonts w:ascii="Wingdings" w:hAnsi="Wingdings" w:hint="default"/>
      </w:rPr>
    </w:lvl>
    <w:lvl w:ilvl="3" w:tplc="040C0001" w:tentative="1">
      <w:start w:val="1"/>
      <w:numFmt w:val="bullet"/>
      <w:lvlText w:val=""/>
      <w:lvlJc w:val="left"/>
      <w:pPr>
        <w:ind w:left="3165" w:hanging="360"/>
      </w:pPr>
      <w:rPr>
        <w:rFonts w:ascii="Symbol" w:hAnsi="Symbol" w:hint="default"/>
      </w:rPr>
    </w:lvl>
    <w:lvl w:ilvl="4" w:tplc="040C0003" w:tentative="1">
      <w:start w:val="1"/>
      <w:numFmt w:val="bullet"/>
      <w:lvlText w:val="o"/>
      <w:lvlJc w:val="left"/>
      <w:pPr>
        <w:ind w:left="3885" w:hanging="360"/>
      </w:pPr>
      <w:rPr>
        <w:rFonts w:ascii="Courier New" w:hAnsi="Courier New" w:cs="Courier New" w:hint="default"/>
      </w:rPr>
    </w:lvl>
    <w:lvl w:ilvl="5" w:tplc="040C0005" w:tentative="1">
      <w:start w:val="1"/>
      <w:numFmt w:val="bullet"/>
      <w:lvlText w:val=""/>
      <w:lvlJc w:val="left"/>
      <w:pPr>
        <w:ind w:left="4605" w:hanging="360"/>
      </w:pPr>
      <w:rPr>
        <w:rFonts w:ascii="Wingdings" w:hAnsi="Wingdings" w:hint="default"/>
      </w:rPr>
    </w:lvl>
    <w:lvl w:ilvl="6" w:tplc="040C0001" w:tentative="1">
      <w:start w:val="1"/>
      <w:numFmt w:val="bullet"/>
      <w:lvlText w:val=""/>
      <w:lvlJc w:val="left"/>
      <w:pPr>
        <w:ind w:left="5325" w:hanging="360"/>
      </w:pPr>
      <w:rPr>
        <w:rFonts w:ascii="Symbol" w:hAnsi="Symbol" w:hint="default"/>
      </w:rPr>
    </w:lvl>
    <w:lvl w:ilvl="7" w:tplc="040C0003" w:tentative="1">
      <w:start w:val="1"/>
      <w:numFmt w:val="bullet"/>
      <w:lvlText w:val="o"/>
      <w:lvlJc w:val="left"/>
      <w:pPr>
        <w:ind w:left="6045" w:hanging="360"/>
      </w:pPr>
      <w:rPr>
        <w:rFonts w:ascii="Courier New" w:hAnsi="Courier New" w:cs="Courier New" w:hint="default"/>
      </w:rPr>
    </w:lvl>
    <w:lvl w:ilvl="8" w:tplc="040C0005" w:tentative="1">
      <w:start w:val="1"/>
      <w:numFmt w:val="bullet"/>
      <w:lvlText w:val=""/>
      <w:lvlJc w:val="left"/>
      <w:pPr>
        <w:ind w:left="6765" w:hanging="360"/>
      </w:pPr>
      <w:rPr>
        <w:rFonts w:ascii="Wingdings" w:hAnsi="Wingdings" w:hint="default"/>
      </w:rPr>
    </w:lvl>
  </w:abstractNum>
  <w:abstractNum w:abstractNumId="17" w15:restartNumberingAfterBreak="0">
    <w:nsid w:val="4196620D"/>
    <w:multiLevelType w:val="hybridMultilevel"/>
    <w:tmpl w:val="9BA6C46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4275599"/>
    <w:multiLevelType w:val="hybridMultilevel"/>
    <w:tmpl w:val="2528CE28"/>
    <w:lvl w:ilvl="0" w:tplc="B5EEF6F4">
      <w:start w:val="1"/>
      <w:numFmt w:val="bullet"/>
      <w:lvlText w:val=""/>
      <w:lvlPicBulletId w:val="1"/>
      <w:lvlJc w:val="left"/>
      <w:pPr>
        <w:tabs>
          <w:tab w:val="num" w:pos="720"/>
        </w:tabs>
        <w:ind w:left="7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5D3668A"/>
    <w:multiLevelType w:val="hybridMultilevel"/>
    <w:tmpl w:val="27FA29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95E6E74"/>
    <w:multiLevelType w:val="hybridMultilevel"/>
    <w:tmpl w:val="5AD281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9824760"/>
    <w:multiLevelType w:val="hybridMultilevel"/>
    <w:tmpl w:val="E30265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A5442E9"/>
    <w:multiLevelType w:val="hybridMultilevel"/>
    <w:tmpl w:val="59A6B000"/>
    <w:lvl w:ilvl="0" w:tplc="040C000D">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3" w15:restartNumberingAfterBreak="0">
    <w:nsid w:val="4BDA271B"/>
    <w:multiLevelType w:val="hybridMultilevel"/>
    <w:tmpl w:val="F9060D7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DE8754C"/>
    <w:multiLevelType w:val="hybridMultilevel"/>
    <w:tmpl w:val="B0AC517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1044673"/>
    <w:multiLevelType w:val="hybridMultilevel"/>
    <w:tmpl w:val="CC84684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BAF0826"/>
    <w:multiLevelType w:val="hybridMultilevel"/>
    <w:tmpl w:val="42507A4E"/>
    <w:lvl w:ilvl="0" w:tplc="5262F748">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E0535C2"/>
    <w:multiLevelType w:val="hybridMultilevel"/>
    <w:tmpl w:val="40127024"/>
    <w:lvl w:ilvl="0" w:tplc="040C000D">
      <w:start w:val="1"/>
      <w:numFmt w:val="bullet"/>
      <w:lvlText w:val=""/>
      <w:lvlJc w:val="left"/>
      <w:pPr>
        <w:ind w:left="786" w:hanging="360"/>
      </w:pPr>
      <w:rPr>
        <w:rFonts w:ascii="Wingdings" w:hAnsi="Wingdings" w:hint="default"/>
      </w:rPr>
    </w:lvl>
    <w:lvl w:ilvl="1" w:tplc="040C0003">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28" w15:restartNumberingAfterBreak="0">
    <w:nsid w:val="6443243D"/>
    <w:multiLevelType w:val="hybridMultilevel"/>
    <w:tmpl w:val="CCD45E3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C967C80"/>
    <w:multiLevelType w:val="hybridMultilevel"/>
    <w:tmpl w:val="0DAC024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91E38C0"/>
    <w:multiLevelType w:val="hybridMultilevel"/>
    <w:tmpl w:val="3B2EC190"/>
    <w:lvl w:ilvl="0" w:tplc="BBEE47BC">
      <w:start w:val="1"/>
      <w:numFmt w:val="bullet"/>
      <w:lvlText w:val=""/>
      <w:lvlPicBulletId w:val="1"/>
      <w:lvlJc w:val="left"/>
      <w:pPr>
        <w:tabs>
          <w:tab w:val="num" w:pos="720"/>
        </w:tabs>
        <w:ind w:left="7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E334427"/>
    <w:multiLevelType w:val="hybridMultilevel"/>
    <w:tmpl w:val="D63A23E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FFA640D"/>
    <w:multiLevelType w:val="hybridMultilevel"/>
    <w:tmpl w:val="5E48487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27"/>
  </w:num>
  <w:num w:numId="3">
    <w:abstractNumId w:val="32"/>
  </w:num>
  <w:num w:numId="4">
    <w:abstractNumId w:val="31"/>
  </w:num>
  <w:num w:numId="5">
    <w:abstractNumId w:val="23"/>
  </w:num>
  <w:num w:numId="6">
    <w:abstractNumId w:val="0"/>
  </w:num>
  <w:num w:numId="7">
    <w:abstractNumId w:val="22"/>
  </w:num>
  <w:num w:numId="8">
    <w:abstractNumId w:val="19"/>
  </w:num>
  <w:num w:numId="9">
    <w:abstractNumId w:val="7"/>
  </w:num>
  <w:num w:numId="10">
    <w:abstractNumId w:val="1"/>
  </w:num>
  <w:num w:numId="11">
    <w:abstractNumId w:val="9"/>
  </w:num>
  <w:num w:numId="12">
    <w:abstractNumId w:val="2"/>
  </w:num>
  <w:num w:numId="13">
    <w:abstractNumId w:val="25"/>
  </w:num>
  <w:num w:numId="14">
    <w:abstractNumId w:val="28"/>
  </w:num>
  <w:num w:numId="15">
    <w:abstractNumId w:val="17"/>
  </w:num>
  <w:num w:numId="16">
    <w:abstractNumId w:val="12"/>
  </w:num>
  <w:num w:numId="17">
    <w:abstractNumId w:val="29"/>
  </w:num>
  <w:num w:numId="18">
    <w:abstractNumId w:val="6"/>
  </w:num>
  <w:num w:numId="19">
    <w:abstractNumId w:val="24"/>
  </w:num>
  <w:num w:numId="20">
    <w:abstractNumId w:val="3"/>
  </w:num>
  <w:num w:numId="21">
    <w:abstractNumId w:val="8"/>
  </w:num>
  <w:num w:numId="22">
    <w:abstractNumId w:val="5"/>
  </w:num>
  <w:num w:numId="23">
    <w:abstractNumId w:val="18"/>
  </w:num>
  <w:num w:numId="24">
    <w:abstractNumId w:val="30"/>
  </w:num>
  <w:num w:numId="25">
    <w:abstractNumId w:val="4"/>
  </w:num>
  <w:num w:numId="26">
    <w:abstractNumId w:val="20"/>
  </w:num>
  <w:num w:numId="27">
    <w:abstractNumId w:val="11"/>
  </w:num>
  <w:num w:numId="28">
    <w:abstractNumId w:val="16"/>
  </w:num>
  <w:num w:numId="29">
    <w:abstractNumId w:val="15"/>
  </w:num>
  <w:num w:numId="30">
    <w:abstractNumId w:val="21"/>
  </w:num>
  <w:num w:numId="31">
    <w:abstractNumId w:val="26"/>
  </w:num>
  <w:num w:numId="32">
    <w:abstractNumId w:val="13"/>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722D"/>
    <w:rsid w:val="000B3CBD"/>
    <w:rsid w:val="00376871"/>
    <w:rsid w:val="004E4842"/>
    <w:rsid w:val="00505348"/>
    <w:rsid w:val="00571142"/>
    <w:rsid w:val="005C6413"/>
    <w:rsid w:val="00695227"/>
    <w:rsid w:val="006B4BA7"/>
    <w:rsid w:val="007C0A52"/>
    <w:rsid w:val="007F7BCB"/>
    <w:rsid w:val="00882966"/>
    <w:rsid w:val="00883B52"/>
    <w:rsid w:val="008F388F"/>
    <w:rsid w:val="0095618A"/>
    <w:rsid w:val="009E4BF9"/>
    <w:rsid w:val="00AB5980"/>
    <w:rsid w:val="00AE2430"/>
    <w:rsid w:val="00B755B7"/>
    <w:rsid w:val="00BF722D"/>
    <w:rsid w:val="00CC2A4C"/>
    <w:rsid w:val="00F0593D"/>
    <w:rsid w:val="00FB21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032240E-DC14-4CF4-AE1F-D0D3FA60A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BF722D"/>
    <w:pPr>
      <w:keepNext/>
      <w:keepLines/>
      <w:spacing w:before="480" w:after="0" w:line="276" w:lineRule="auto"/>
      <w:outlineLvl w:val="0"/>
    </w:pPr>
    <w:rPr>
      <w:rFonts w:ascii="Cambria" w:eastAsia="Times New Roman" w:hAnsi="Cambria" w:cs="Times New Roman"/>
      <w:b/>
      <w:bCs/>
      <w:color w:val="365F91"/>
      <w:sz w:val="28"/>
      <w:szCs w:val="28"/>
    </w:rPr>
  </w:style>
  <w:style w:type="paragraph" w:styleId="Titre4">
    <w:name w:val="heading 4"/>
    <w:basedOn w:val="Normal"/>
    <w:next w:val="Normal"/>
    <w:link w:val="Titre4Car"/>
    <w:uiPriority w:val="9"/>
    <w:semiHidden/>
    <w:unhideWhenUsed/>
    <w:qFormat/>
    <w:rsid w:val="00BF722D"/>
    <w:pPr>
      <w:keepNext/>
      <w:keepLines/>
      <w:spacing w:before="200" w:after="0" w:line="276" w:lineRule="auto"/>
      <w:outlineLvl w:val="3"/>
    </w:pPr>
    <w:rPr>
      <w:rFonts w:ascii="Cambria" w:eastAsia="Times New Roman" w:hAnsi="Cambria" w:cs="Times New Roman"/>
      <w:b/>
      <w:bCs/>
      <w:i/>
      <w:iCs/>
      <w:color w:val="4F81BD"/>
    </w:rPr>
  </w:style>
  <w:style w:type="paragraph" w:styleId="Titre5">
    <w:name w:val="heading 5"/>
    <w:basedOn w:val="Normal"/>
    <w:next w:val="Normal"/>
    <w:link w:val="Titre5Car"/>
    <w:uiPriority w:val="9"/>
    <w:semiHidden/>
    <w:unhideWhenUsed/>
    <w:qFormat/>
    <w:rsid w:val="00BF722D"/>
    <w:pPr>
      <w:keepNext/>
      <w:keepLines/>
      <w:spacing w:before="200" w:after="0" w:line="276" w:lineRule="auto"/>
      <w:outlineLvl w:val="4"/>
    </w:pPr>
    <w:rPr>
      <w:rFonts w:ascii="Cambria" w:eastAsia="Times New Roman" w:hAnsi="Cambria" w:cs="Times New Roman"/>
      <w:color w:val="243F6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F722D"/>
    <w:rPr>
      <w:rFonts w:ascii="Cambria" w:eastAsia="Times New Roman" w:hAnsi="Cambria" w:cs="Times New Roman"/>
      <w:b/>
      <w:bCs/>
      <w:color w:val="365F91"/>
      <w:sz w:val="28"/>
      <w:szCs w:val="28"/>
    </w:rPr>
  </w:style>
  <w:style w:type="character" w:customStyle="1" w:styleId="Titre4Car">
    <w:name w:val="Titre 4 Car"/>
    <w:basedOn w:val="Policepardfaut"/>
    <w:link w:val="Titre4"/>
    <w:uiPriority w:val="9"/>
    <w:semiHidden/>
    <w:rsid w:val="00BF722D"/>
    <w:rPr>
      <w:rFonts w:ascii="Cambria" w:eastAsia="Times New Roman" w:hAnsi="Cambria" w:cs="Times New Roman"/>
      <w:b/>
      <w:bCs/>
      <w:i/>
      <w:iCs/>
      <w:color w:val="4F81BD"/>
    </w:rPr>
  </w:style>
  <w:style w:type="character" w:customStyle="1" w:styleId="Titre5Car">
    <w:name w:val="Titre 5 Car"/>
    <w:basedOn w:val="Policepardfaut"/>
    <w:link w:val="Titre5"/>
    <w:uiPriority w:val="9"/>
    <w:semiHidden/>
    <w:rsid w:val="00BF722D"/>
    <w:rPr>
      <w:rFonts w:ascii="Cambria" w:eastAsia="Times New Roman" w:hAnsi="Cambria" w:cs="Times New Roman"/>
      <w:color w:val="243F60"/>
    </w:rPr>
  </w:style>
  <w:style w:type="numbering" w:customStyle="1" w:styleId="Aucuneliste1">
    <w:name w:val="Aucune liste1"/>
    <w:next w:val="Aucuneliste"/>
    <w:uiPriority w:val="99"/>
    <w:semiHidden/>
    <w:unhideWhenUsed/>
    <w:rsid w:val="00BF722D"/>
  </w:style>
  <w:style w:type="paragraph" w:styleId="Paragraphedeliste">
    <w:name w:val="List Paragraph"/>
    <w:basedOn w:val="Normal"/>
    <w:uiPriority w:val="34"/>
    <w:qFormat/>
    <w:rsid w:val="00BF722D"/>
    <w:pPr>
      <w:spacing w:after="200" w:line="276" w:lineRule="auto"/>
      <w:ind w:left="720"/>
      <w:contextualSpacing/>
    </w:pPr>
    <w:rPr>
      <w:rFonts w:ascii="Calibri" w:eastAsia="Calibri" w:hAnsi="Calibri" w:cs="Times New Roman"/>
    </w:rPr>
  </w:style>
  <w:style w:type="paragraph" w:styleId="En-tte">
    <w:name w:val="header"/>
    <w:basedOn w:val="Normal"/>
    <w:link w:val="En-tteCar"/>
    <w:unhideWhenUsed/>
    <w:rsid w:val="00BF722D"/>
    <w:pPr>
      <w:tabs>
        <w:tab w:val="center" w:pos="4536"/>
        <w:tab w:val="right" w:pos="9072"/>
      </w:tabs>
      <w:spacing w:after="0" w:line="240" w:lineRule="auto"/>
    </w:pPr>
    <w:rPr>
      <w:rFonts w:ascii="Calibri" w:eastAsia="Calibri" w:hAnsi="Calibri" w:cs="Times New Roman"/>
    </w:rPr>
  </w:style>
  <w:style w:type="character" w:customStyle="1" w:styleId="En-tteCar">
    <w:name w:val="En-tête Car"/>
    <w:basedOn w:val="Policepardfaut"/>
    <w:link w:val="En-tte"/>
    <w:rsid w:val="00BF722D"/>
    <w:rPr>
      <w:rFonts w:ascii="Calibri" w:eastAsia="Calibri" w:hAnsi="Calibri" w:cs="Times New Roman"/>
    </w:rPr>
  </w:style>
  <w:style w:type="paragraph" w:styleId="Pieddepage">
    <w:name w:val="footer"/>
    <w:basedOn w:val="Normal"/>
    <w:link w:val="PieddepageCar"/>
    <w:uiPriority w:val="99"/>
    <w:semiHidden/>
    <w:unhideWhenUsed/>
    <w:rsid w:val="00BF722D"/>
    <w:pPr>
      <w:tabs>
        <w:tab w:val="center" w:pos="4536"/>
        <w:tab w:val="right" w:pos="9072"/>
      </w:tabs>
      <w:spacing w:after="0" w:line="240" w:lineRule="auto"/>
    </w:pPr>
    <w:rPr>
      <w:rFonts w:ascii="Calibri" w:eastAsia="Calibri" w:hAnsi="Calibri" w:cs="Times New Roman"/>
    </w:rPr>
  </w:style>
  <w:style w:type="character" w:customStyle="1" w:styleId="PieddepageCar">
    <w:name w:val="Pied de page Car"/>
    <w:basedOn w:val="Policepardfaut"/>
    <w:link w:val="Pieddepage"/>
    <w:uiPriority w:val="99"/>
    <w:semiHidden/>
    <w:rsid w:val="00BF722D"/>
    <w:rPr>
      <w:rFonts w:ascii="Calibri" w:eastAsia="Calibri" w:hAnsi="Calibri" w:cs="Times New Roman"/>
    </w:rPr>
  </w:style>
  <w:style w:type="paragraph" w:styleId="Corpsdetexte">
    <w:name w:val="Body Text"/>
    <w:basedOn w:val="Normal"/>
    <w:link w:val="CorpsdetexteCar"/>
    <w:rsid w:val="00BF722D"/>
    <w:pPr>
      <w:spacing w:after="0" w:line="360" w:lineRule="auto"/>
      <w:jc w:val="center"/>
    </w:pPr>
    <w:rPr>
      <w:rFonts w:ascii="Times New Roman" w:eastAsia="Times New Roman" w:hAnsi="Times New Roman" w:cs="Times New Roman"/>
      <w:b/>
      <w:bCs/>
      <w:sz w:val="40"/>
      <w:szCs w:val="24"/>
      <w:lang w:eastAsia="fr-FR"/>
    </w:rPr>
  </w:style>
  <w:style w:type="character" w:customStyle="1" w:styleId="CorpsdetexteCar">
    <w:name w:val="Corps de texte Car"/>
    <w:basedOn w:val="Policepardfaut"/>
    <w:link w:val="Corpsdetexte"/>
    <w:rsid w:val="00BF722D"/>
    <w:rPr>
      <w:rFonts w:ascii="Times New Roman" w:eastAsia="Times New Roman" w:hAnsi="Times New Roman" w:cs="Times New Roman"/>
      <w:b/>
      <w:bCs/>
      <w:sz w:val="40"/>
      <w:szCs w:val="24"/>
      <w:lang w:eastAsia="fr-FR"/>
    </w:rPr>
  </w:style>
  <w:style w:type="paragraph" w:styleId="Retraitcorpsdetexte">
    <w:name w:val="Body Text Indent"/>
    <w:basedOn w:val="Normal"/>
    <w:link w:val="RetraitcorpsdetexteCar"/>
    <w:rsid w:val="00BF722D"/>
    <w:pPr>
      <w:spacing w:after="0" w:line="360" w:lineRule="auto"/>
      <w:ind w:firstLine="360"/>
      <w:jc w:val="both"/>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rsid w:val="00BF722D"/>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BF722D"/>
    <w:rPr>
      <w:b/>
      <w:bCs/>
      <w:i w:val="0"/>
      <w:iCs w:val="0"/>
    </w:rPr>
  </w:style>
  <w:style w:type="character" w:customStyle="1" w:styleId="st1">
    <w:name w:val="st1"/>
    <w:basedOn w:val="Policepardfaut"/>
    <w:rsid w:val="00BF722D"/>
  </w:style>
  <w:style w:type="character" w:customStyle="1" w:styleId="ft">
    <w:name w:val="ft"/>
    <w:basedOn w:val="Policepardfaut"/>
    <w:rsid w:val="00BF722D"/>
  </w:style>
  <w:style w:type="table" w:styleId="Grilledutableau">
    <w:name w:val="Table Grid"/>
    <w:basedOn w:val="TableauNormal"/>
    <w:uiPriority w:val="59"/>
    <w:rsid w:val="00BF722D"/>
    <w:pPr>
      <w:spacing w:after="0" w:line="240" w:lineRule="auto"/>
    </w:pPr>
    <w:rPr>
      <w:rFonts w:ascii="Calibri" w:eastAsia="Calibri" w:hAnsi="Calibri"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ienhypertexte">
    <w:name w:val="Hyperlink"/>
    <w:basedOn w:val="Policepardfaut"/>
    <w:uiPriority w:val="99"/>
    <w:unhideWhenUsed/>
    <w:rsid w:val="00BF722D"/>
    <w:rPr>
      <w:color w:val="0000FF"/>
      <w:u w:val="single"/>
    </w:rPr>
  </w:style>
  <w:style w:type="paragraph" w:styleId="Textedebulles">
    <w:name w:val="Balloon Text"/>
    <w:basedOn w:val="Normal"/>
    <w:link w:val="TextedebullesCar"/>
    <w:uiPriority w:val="99"/>
    <w:semiHidden/>
    <w:unhideWhenUsed/>
    <w:rsid w:val="00BF722D"/>
    <w:pPr>
      <w:spacing w:after="0" w:line="240" w:lineRule="auto"/>
    </w:pPr>
    <w:rPr>
      <w:rFonts w:ascii="Tahoma" w:eastAsia="Calibri" w:hAnsi="Tahoma" w:cs="Tahoma"/>
      <w:sz w:val="16"/>
      <w:szCs w:val="16"/>
    </w:rPr>
  </w:style>
  <w:style w:type="character" w:customStyle="1" w:styleId="TextedebullesCar">
    <w:name w:val="Texte de bulles Car"/>
    <w:basedOn w:val="Policepardfaut"/>
    <w:link w:val="Textedebulles"/>
    <w:uiPriority w:val="99"/>
    <w:semiHidden/>
    <w:rsid w:val="00BF722D"/>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3071</Words>
  <Characters>16894</Characters>
  <Application>Microsoft Office Word</Application>
  <DocSecurity>0</DocSecurity>
  <Lines>140</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ADIE</cp:lastModifiedBy>
  <cp:revision>2</cp:revision>
  <dcterms:created xsi:type="dcterms:W3CDTF">2022-12-02T12:08:00Z</dcterms:created>
  <dcterms:modified xsi:type="dcterms:W3CDTF">2022-12-02T12:08:00Z</dcterms:modified>
</cp:coreProperties>
</file>