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6842FA" w14:paraId="11228E69" w14:textId="77777777">
        <w:trPr>
          <w:jc w:val="center"/>
        </w:trPr>
        <w:tc>
          <w:tcPr>
            <w:tcW w:w="7654" w:type="dxa"/>
            <w:tcMar>
              <w:top w:w="170" w:type="dxa"/>
              <w:left w:w="170" w:type="dxa"/>
              <w:bottom w:w="170" w:type="dxa"/>
              <w:right w:w="170" w:type="dxa"/>
            </w:tcMar>
          </w:tcPr>
          <w:p w14:paraId="0E23E4B9" w14:textId="579FBC67" w:rsidR="008A60C9" w:rsidRPr="00A57DE5" w:rsidRDefault="00B83068" w:rsidP="00C869D0">
            <w:pPr>
              <w:pStyle w:val="Marge"/>
              <w:jc w:val="center"/>
              <w:rPr>
                <w:rFonts w:cs="Arial"/>
                <w:szCs w:val="22"/>
              </w:rPr>
            </w:pPr>
            <w:r w:rsidRPr="006842FA">
              <w:rPr>
                <w:rFonts w:cs="Arial"/>
                <w:szCs w:val="22"/>
                <w:u w:val="single"/>
              </w:rPr>
              <w:t>Summary</w:t>
            </w:r>
          </w:p>
          <w:p w14:paraId="001DAC26" w14:textId="5C6BF70F" w:rsidR="00A57DE5" w:rsidRDefault="002C55B5" w:rsidP="00A15DC5">
            <w:pPr>
              <w:spacing w:after="240"/>
              <w:jc w:val="both"/>
              <w:rPr>
                <w:rFonts w:cs="Arial"/>
                <w:lang w:val="en-AU"/>
              </w:rPr>
            </w:pPr>
            <w:r w:rsidRPr="00565CE4">
              <w:rPr>
                <w:rFonts w:cs="Arial"/>
                <w:szCs w:val="22"/>
              </w:rPr>
              <w:t>The p</w:t>
            </w:r>
            <w:r w:rsidR="00467E3F" w:rsidRPr="00565CE4">
              <w:rPr>
                <w:rFonts w:cs="Arial"/>
                <w:szCs w:val="22"/>
              </w:rPr>
              <w:t>urpose of th</w:t>
            </w:r>
            <w:r w:rsidRPr="00565CE4">
              <w:rPr>
                <w:rFonts w:cs="Arial"/>
                <w:szCs w:val="22"/>
              </w:rPr>
              <w:t>is</w:t>
            </w:r>
            <w:r w:rsidR="00467E3F" w:rsidRPr="00565CE4">
              <w:rPr>
                <w:rFonts w:cs="Arial"/>
                <w:szCs w:val="22"/>
              </w:rPr>
              <w:t xml:space="preserve"> document</w:t>
            </w:r>
            <w:r w:rsidR="00467E3F" w:rsidRPr="00467E3F">
              <w:rPr>
                <w:rFonts w:cs="Arial"/>
                <w:szCs w:val="22"/>
              </w:rPr>
              <w:t xml:space="preserve"> </w:t>
            </w:r>
            <w:r>
              <w:rPr>
                <w:rFonts w:cs="Arial"/>
                <w:szCs w:val="22"/>
              </w:rPr>
              <w:t xml:space="preserve">is to inform the </w:t>
            </w:r>
            <w:r w:rsidR="00A57DE5" w:rsidRPr="00A63454">
              <w:rPr>
                <w:rFonts w:cs="Arial"/>
                <w:lang w:val="en-AU"/>
              </w:rPr>
              <w:t>IOC Assembly</w:t>
            </w:r>
            <w:r>
              <w:rPr>
                <w:rFonts w:cs="Arial"/>
                <w:lang w:val="en-AU"/>
              </w:rPr>
              <w:t xml:space="preserve"> on the process leading to the revision o</w:t>
            </w:r>
            <w:r w:rsidR="00A57DE5" w:rsidRPr="00A63454">
              <w:rPr>
                <w:rFonts w:cs="Arial"/>
                <w:lang w:val="en-AU"/>
              </w:rPr>
              <w:t xml:space="preserve">f the 20-year-old IOC data exchange policy </w:t>
            </w:r>
            <w:r>
              <w:rPr>
                <w:rFonts w:cs="Arial"/>
                <w:lang w:val="en-AU"/>
              </w:rPr>
              <w:t xml:space="preserve">further to </w:t>
            </w:r>
            <w:r w:rsidR="00A57DE5" w:rsidRPr="00A63454">
              <w:rPr>
                <w:rFonts w:cs="Arial"/>
                <w:lang w:val="en-AU"/>
              </w:rPr>
              <w:t>Decision A-31/3.4.2 (</w:t>
            </w:r>
            <w:r>
              <w:rPr>
                <w:rFonts w:cs="Arial"/>
                <w:lang w:val="en-AU"/>
              </w:rPr>
              <w:t>P</w:t>
            </w:r>
            <w:r w:rsidR="00A57DE5" w:rsidRPr="00A63454">
              <w:rPr>
                <w:rFonts w:cs="Arial"/>
                <w:lang w:val="en-AU"/>
              </w:rPr>
              <w:t>art III</w:t>
            </w:r>
            <w:r>
              <w:rPr>
                <w:rFonts w:cs="Arial"/>
                <w:lang w:val="en-AU"/>
              </w:rPr>
              <w:t xml:space="preserve">), </w:t>
            </w:r>
            <w:r w:rsidR="00A57DE5" w:rsidRPr="00A63454">
              <w:rPr>
                <w:rFonts w:cs="Arial"/>
                <w:lang w:val="en-AU"/>
              </w:rPr>
              <w:t xml:space="preserve">which established the IOC Intersessional Working Group on the Revision of the IOC Oceanographic Data Exchange Policy (2003, 2019) (IWG-DATAPOLICY) </w:t>
            </w:r>
            <w:r>
              <w:rPr>
                <w:rFonts w:cs="Arial"/>
                <w:lang w:val="en-AU"/>
              </w:rPr>
              <w:t>in 2021</w:t>
            </w:r>
            <w:r w:rsidR="00A57DE5" w:rsidRPr="00A63454">
              <w:rPr>
                <w:rFonts w:cs="Arial"/>
                <w:lang w:val="en-AU"/>
              </w:rPr>
              <w:t>.</w:t>
            </w:r>
            <w:r>
              <w:rPr>
                <w:rFonts w:cs="Arial"/>
                <w:lang w:val="en-AU"/>
              </w:rPr>
              <w:t xml:space="preserve"> </w:t>
            </w:r>
          </w:p>
          <w:p w14:paraId="7993A226" w14:textId="7D8E5921" w:rsidR="00467E3F" w:rsidRPr="00467E3F" w:rsidRDefault="00467E3F" w:rsidP="00A15DC5">
            <w:pPr>
              <w:pStyle w:val="Marge"/>
              <w:rPr>
                <w:rFonts w:cs="Arial"/>
                <w:szCs w:val="22"/>
              </w:rPr>
            </w:pPr>
            <w:r w:rsidRPr="00467E3F">
              <w:rPr>
                <w:rFonts w:cs="Arial"/>
                <w:szCs w:val="22"/>
                <w:u w:val="single"/>
              </w:rPr>
              <w:t>Financial and administrative implications</w:t>
            </w:r>
            <w:r w:rsidR="008A60C9">
              <w:rPr>
                <w:rFonts w:cs="Arial"/>
                <w:szCs w:val="22"/>
              </w:rPr>
              <w:t xml:space="preserve">: </w:t>
            </w:r>
            <w:r w:rsidR="008A60C9" w:rsidRPr="00467E3F">
              <w:rPr>
                <w:rFonts w:cs="Arial"/>
                <w:szCs w:val="22"/>
              </w:rPr>
              <w:t>There are no financial and administrative implications</w:t>
            </w:r>
            <w:r w:rsidR="00C869D0">
              <w:rPr>
                <w:rFonts w:cs="Arial"/>
                <w:szCs w:val="22"/>
              </w:rPr>
              <w:t>.</w:t>
            </w:r>
          </w:p>
          <w:p w14:paraId="7FC3AF21" w14:textId="06864C52" w:rsidR="00737A18" w:rsidRPr="00467E3F" w:rsidRDefault="00413F17" w:rsidP="00A15DC5">
            <w:pPr>
              <w:pStyle w:val="Marge"/>
              <w:rPr>
                <w:rFonts w:cs="Arial"/>
                <w:szCs w:val="22"/>
              </w:rPr>
            </w:pPr>
            <w:r>
              <w:rPr>
                <w:rFonts w:cs="Arial"/>
                <w:szCs w:val="22"/>
                <w:u w:val="single"/>
              </w:rPr>
              <w:t>The proposed decision</w:t>
            </w:r>
            <w:r w:rsidR="00467E3F" w:rsidRPr="00467E3F">
              <w:rPr>
                <w:rFonts w:cs="Arial"/>
                <w:szCs w:val="22"/>
              </w:rPr>
              <w:t xml:space="preserve"> </w:t>
            </w:r>
            <w:r w:rsidR="00853565">
              <w:rPr>
                <w:rFonts w:cs="Arial"/>
                <w:szCs w:val="22"/>
              </w:rPr>
              <w:t xml:space="preserve">is referenced </w:t>
            </w:r>
            <w:r w:rsidR="00C869D0">
              <w:rPr>
                <w:rFonts w:cs="Arial"/>
                <w:szCs w:val="22"/>
              </w:rPr>
              <w:t xml:space="preserve">Dec. </w:t>
            </w:r>
            <w:r w:rsidR="00FC2521">
              <w:rPr>
                <w:rFonts w:cs="Arial"/>
                <w:szCs w:val="22"/>
              </w:rPr>
              <w:t>IOC-</w:t>
            </w:r>
            <w:r w:rsidR="00BC79D5">
              <w:rPr>
                <w:rFonts w:cs="Arial"/>
                <w:szCs w:val="22"/>
              </w:rPr>
              <w:t>32</w:t>
            </w:r>
            <w:r w:rsidR="00003B31">
              <w:rPr>
                <w:lang w:val="en-US"/>
              </w:rPr>
              <w:t>/</w:t>
            </w:r>
            <w:r w:rsidR="00BC79D5">
              <w:rPr>
                <w:lang w:val="en-US"/>
              </w:rPr>
              <w:t>4</w:t>
            </w:r>
            <w:r w:rsidR="008A60C9">
              <w:rPr>
                <w:lang w:val="en-US"/>
              </w:rPr>
              <w:t xml:space="preserve">.4 </w:t>
            </w:r>
            <w:r w:rsidR="00467E3F" w:rsidRPr="00467E3F">
              <w:rPr>
                <w:rFonts w:cs="Arial"/>
                <w:szCs w:val="22"/>
              </w:rPr>
              <w:t xml:space="preserve">in </w:t>
            </w:r>
            <w:r w:rsidR="00853565">
              <w:rPr>
                <w:rFonts w:cs="Arial"/>
                <w:szCs w:val="22"/>
              </w:rPr>
              <w:t xml:space="preserve">the </w:t>
            </w:r>
            <w:r w:rsidR="00C4032B">
              <w:rPr>
                <w:rFonts w:cs="Arial"/>
                <w:szCs w:val="22"/>
              </w:rPr>
              <w:t>Action Paper</w:t>
            </w:r>
            <w:r w:rsidR="00853565">
              <w:rPr>
                <w:rFonts w:cs="Arial"/>
                <w:szCs w:val="22"/>
              </w:rPr>
              <w:t xml:space="preserve"> (document IOC</w:t>
            </w:r>
            <w:r w:rsidR="00FC2521">
              <w:rPr>
                <w:rFonts w:cs="Arial"/>
                <w:szCs w:val="22"/>
              </w:rPr>
              <w:t>-</w:t>
            </w:r>
            <w:r w:rsidR="00BC79D5">
              <w:rPr>
                <w:rFonts w:cs="Arial"/>
                <w:szCs w:val="22"/>
              </w:rPr>
              <w:t>32</w:t>
            </w:r>
            <w:r w:rsidR="00853565">
              <w:rPr>
                <w:rFonts w:cs="Arial"/>
                <w:szCs w:val="22"/>
              </w:rPr>
              <w:t>/2 Prov.)</w:t>
            </w:r>
            <w:r w:rsidR="002C55B5">
              <w:rPr>
                <w:rFonts w:cs="Arial"/>
                <w:szCs w:val="22"/>
              </w:rPr>
              <w:t xml:space="preserve"> and contain</w:t>
            </w:r>
            <w:r w:rsidR="00035E7D">
              <w:rPr>
                <w:rFonts w:cs="Arial"/>
                <w:szCs w:val="22"/>
              </w:rPr>
              <w:t>s</w:t>
            </w:r>
            <w:r w:rsidR="002C55B5">
              <w:rPr>
                <w:rFonts w:cs="Arial"/>
                <w:szCs w:val="22"/>
              </w:rPr>
              <w:t xml:space="preserve"> the propose</w:t>
            </w:r>
            <w:r w:rsidR="00035E7D">
              <w:rPr>
                <w:rFonts w:cs="Arial"/>
                <w:szCs w:val="22"/>
              </w:rPr>
              <w:t>d</w:t>
            </w:r>
            <w:r w:rsidR="002C55B5">
              <w:rPr>
                <w:rFonts w:cs="Arial"/>
                <w:szCs w:val="22"/>
              </w:rPr>
              <w:t xml:space="preserve"> </w:t>
            </w:r>
            <w:r w:rsidR="00572B46">
              <w:rPr>
                <w:rFonts w:cs="Arial"/>
                <w:szCs w:val="22"/>
              </w:rPr>
              <w:t>‘</w:t>
            </w:r>
            <w:r w:rsidR="00035E7D">
              <w:rPr>
                <w:rFonts w:cs="Arial"/>
                <w:szCs w:val="22"/>
              </w:rPr>
              <w:t>IOC Data Policy and Terms of Use (2023)</w:t>
            </w:r>
            <w:r w:rsidR="00572B46">
              <w:rPr>
                <w:rFonts w:cs="Arial"/>
                <w:szCs w:val="22"/>
              </w:rPr>
              <w:t>’</w:t>
            </w:r>
            <w:r w:rsidR="00035E7D">
              <w:rPr>
                <w:rFonts w:cs="Arial"/>
                <w:szCs w:val="22"/>
              </w:rPr>
              <w:t xml:space="preserve"> for the consideration of the Assembly. </w:t>
            </w:r>
          </w:p>
        </w:tc>
      </w:tr>
    </w:tbl>
    <w:p w14:paraId="75BE0AB6" w14:textId="77777777" w:rsidR="00746B89" w:rsidRPr="006842FA" w:rsidRDefault="00746B89" w:rsidP="005C7A36">
      <w:pPr>
        <w:pStyle w:val="Heading3"/>
        <w:sectPr w:rsidR="00746B89" w:rsidRPr="006842FA" w:rsidSect="003F7186">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1134" w:bottom="1134" w:left="1134" w:header="709" w:footer="680" w:gutter="0"/>
          <w:pgNumType w:start="1"/>
          <w:cols w:space="708"/>
          <w:titlePg/>
          <w:docGrid w:linePitch="360"/>
        </w:sectPr>
      </w:pPr>
    </w:p>
    <w:p w14:paraId="18ED463B" w14:textId="77777777" w:rsidR="00BC79D5" w:rsidRPr="00A15DC5" w:rsidRDefault="00BC79D5" w:rsidP="00A15DC5">
      <w:pPr>
        <w:spacing w:after="240"/>
        <w:rPr>
          <w:b/>
          <w:bCs/>
          <w:lang w:val="en-US"/>
        </w:rPr>
      </w:pPr>
      <w:r w:rsidRPr="00A15DC5">
        <w:rPr>
          <w:b/>
          <w:bCs/>
        </w:rPr>
        <w:lastRenderedPageBreak/>
        <w:t>Background</w:t>
      </w:r>
    </w:p>
    <w:p w14:paraId="1DD4D02E" w14:textId="43D4F0B0" w:rsidR="00BC79D5" w:rsidRPr="00A15DC5" w:rsidRDefault="00BC79D5" w:rsidP="00A15DC5">
      <w:pPr>
        <w:pStyle w:val="paranumbered"/>
        <w:spacing w:after="240" w:line="240" w:lineRule="auto"/>
        <w:rPr>
          <w:lang w:val="en-US"/>
        </w:rPr>
      </w:pPr>
      <w:r w:rsidRPr="00A15DC5">
        <w:rPr>
          <w:lang w:val="en-US"/>
        </w:rPr>
        <w:t xml:space="preserve">The IOC Assembly, </w:t>
      </w:r>
      <w:r w:rsidR="00BA4344">
        <w:rPr>
          <w:lang w:val="en-US"/>
        </w:rPr>
        <w:t>at</w:t>
      </w:r>
      <w:r w:rsidR="00BA4344" w:rsidRPr="00A15DC5">
        <w:rPr>
          <w:lang w:val="en-US"/>
        </w:rPr>
        <w:t xml:space="preserve"> </w:t>
      </w:r>
      <w:r w:rsidRPr="00A15DC5">
        <w:rPr>
          <w:lang w:val="en-US"/>
        </w:rPr>
        <w:t xml:space="preserve">its 22nd Session, adopted </w:t>
      </w:r>
      <w:r w:rsidR="00BA4344">
        <w:rPr>
          <w:lang w:val="en-US"/>
        </w:rPr>
        <w:t>the “</w:t>
      </w:r>
      <w:r w:rsidRPr="00A15DC5">
        <w:rPr>
          <w:lang w:val="en-US"/>
        </w:rPr>
        <w:t>IOC Oceanographic Data Exchange Policy</w:t>
      </w:r>
      <w:r w:rsidR="00BA4344">
        <w:rPr>
          <w:lang w:val="en-US"/>
        </w:rPr>
        <w:t xml:space="preserve">” through </w:t>
      </w:r>
      <w:hyperlink r:id="rId14" w:history="1">
        <w:r w:rsidR="00BA4344" w:rsidRPr="00572B46">
          <w:rPr>
            <w:rStyle w:val="Hyperlink"/>
            <w:lang w:val="en-US"/>
          </w:rPr>
          <w:t>Resolution XXII-6</w:t>
        </w:r>
      </w:hyperlink>
      <w:r w:rsidR="00BA4344">
        <w:rPr>
          <w:lang w:val="en-US"/>
        </w:rPr>
        <w:t xml:space="preserve"> in 2003 with a further revision of Clause </w:t>
      </w:r>
      <w:r w:rsidRPr="00A15DC5">
        <w:rPr>
          <w:lang w:val="en-US"/>
        </w:rPr>
        <w:t xml:space="preserve">5 </w:t>
      </w:r>
      <w:r w:rsidR="00BA4344">
        <w:rPr>
          <w:lang w:val="en-US"/>
        </w:rPr>
        <w:t xml:space="preserve">in </w:t>
      </w:r>
      <w:r w:rsidRPr="00A15DC5">
        <w:rPr>
          <w:lang w:val="en-US"/>
        </w:rPr>
        <w:t>2019</w:t>
      </w:r>
      <w:r w:rsidR="00BA4344">
        <w:rPr>
          <w:lang w:val="en-US"/>
        </w:rPr>
        <w:t>.</w:t>
      </w:r>
    </w:p>
    <w:p w14:paraId="169426A4" w14:textId="4FD74B1C" w:rsidR="00BC79D5" w:rsidRPr="00A15DC5" w:rsidRDefault="00BC79D5" w:rsidP="00A15DC5">
      <w:pPr>
        <w:pStyle w:val="paranumbered"/>
        <w:spacing w:after="240" w:line="240" w:lineRule="auto"/>
        <w:rPr>
          <w:lang w:val="en-US"/>
        </w:rPr>
      </w:pPr>
      <w:r w:rsidRPr="00A15DC5">
        <w:rPr>
          <w:lang w:val="en-US"/>
        </w:rPr>
        <w:t xml:space="preserve">At its meeting on 17 February 2021, the Management Group of the International Oceanographic Data and Information Exchange </w:t>
      </w:r>
      <w:proofErr w:type="spellStart"/>
      <w:r w:rsidRPr="00A15DC5">
        <w:rPr>
          <w:lang w:val="en-US"/>
        </w:rPr>
        <w:t>Programme</w:t>
      </w:r>
      <w:proofErr w:type="spellEnd"/>
      <w:r w:rsidRPr="00A15DC5">
        <w:rPr>
          <w:lang w:val="en-US"/>
        </w:rPr>
        <w:t xml:space="preserve"> (IODE) agreed that there were enough elements that warrant a revision of the IOC data exchange policy</w:t>
      </w:r>
      <w:r w:rsidR="006F0A5B">
        <w:rPr>
          <w:lang w:val="en-US"/>
        </w:rPr>
        <w:t>. A</w:t>
      </w:r>
      <w:r w:rsidRPr="00A15DC5">
        <w:rPr>
          <w:lang w:val="en-US"/>
        </w:rPr>
        <w:t xml:space="preserve"> new IOC data policy should further promote and support free and open exchange of data in the framework of IOC activities and programmes. The Management Group acknowledged the amount of effort that went into building consensus on the current policy, especially with respect to acknowledging the rights of countries and the non-binding nature of the policy, so any changes should be carefully considered. Suggestions were made to build on other models such as the data policy of WMO that has a main policy with core principles, and modular extensions pertaining to specific data types or applications and products. This way the scope of the policy could be further expanded more easily if needed without opening a debate on the core elements. The </w:t>
      </w:r>
      <w:proofErr w:type="gramStart"/>
      <w:r w:rsidRPr="00A15DC5">
        <w:rPr>
          <w:lang w:val="en-US"/>
        </w:rPr>
        <w:t>ultimate goal</w:t>
      </w:r>
      <w:proofErr w:type="gramEnd"/>
      <w:r w:rsidRPr="00A15DC5">
        <w:rPr>
          <w:lang w:val="en-US"/>
        </w:rPr>
        <w:t xml:space="preserve"> of the IOC policy is to increase global cooperation, </w:t>
      </w:r>
      <w:r w:rsidR="006F0A5B">
        <w:rPr>
          <w:lang w:val="en-US"/>
        </w:rPr>
        <w:t xml:space="preserve">to </w:t>
      </w:r>
      <w:r w:rsidRPr="00A15DC5">
        <w:rPr>
          <w:lang w:val="en-US"/>
        </w:rPr>
        <w:t>improve</w:t>
      </w:r>
      <w:r w:rsidR="006F0A5B">
        <w:rPr>
          <w:lang w:val="en-US"/>
        </w:rPr>
        <w:t xml:space="preserve"> the</w:t>
      </w:r>
      <w:r w:rsidRPr="00A15DC5">
        <w:rPr>
          <w:lang w:val="en-US"/>
        </w:rPr>
        <w:t xml:space="preserve"> sharing and </w:t>
      </w:r>
      <w:r w:rsidR="006F0A5B">
        <w:rPr>
          <w:lang w:val="en-US"/>
        </w:rPr>
        <w:t>use</w:t>
      </w:r>
      <w:r w:rsidR="006F0A5B" w:rsidRPr="00A15DC5">
        <w:rPr>
          <w:lang w:val="en-US"/>
        </w:rPr>
        <w:t xml:space="preserve"> </w:t>
      </w:r>
      <w:r w:rsidRPr="00A15DC5">
        <w:rPr>
          <w:lang w:val="en-US"/>
        </w:rPr>
        <w:t>of data</w:t>
      </w:r>
      <w:r w:rsidR="006F0A5B">
        <w:rPr>
          <w:lang w:val="en-US"/>
        </w:rPr>
        <w:t xml:space="preserve">. It is </w:t>
      </w:r>
      <w:r w:rsidRPr="00A15DC5">
        <w:rPr>
          <w:lang w:val="en-US"/>
        </w:rPr>
        <w:t xml:space="preserve">therefore important that data policies </w:t>
      </w:r>
      <w:r w:rsidR="006F0A5B">
        <w:rPr>
          <w:lang w:val="en-US"/>
        </w:rPr>
        <w:t>do</w:t>
      </w:r>
      <w:r w:rsidR="006F0A5B" w:rsidRPr="00A15DC5">
        <w:rPr>
          <w:lang w:val="en-US"/>
        </w:rPr>
        <w:t xml:space="preserve"> </w:t>
      </w:r>
      <w:r w:rsidRPr="00A15DC5">
        <w:rPr>
          <w:lang w:val="en-US"/>
        </w:rPr>
        <w:t xml:space="preserve">not </w:t>
      </w:r>
      <w:r w:rsidR="006F0A5B">
        <w:rPr>
          <w:lang w:val="en-US"/>
        </w:rPr>
        <w:t xml:space="preserve">hinder this </w:t>
      </w:r>
      <w:proofErr w:type="gramStart"/>
      <w:r w:rsidR="006F0A5B">
        <w:rPr>
          <w:lang w:val="en-US"/>
        </w:rPr>
        <w:t>process</w:t>
      </w:r>
      <w:r w:rsidRPr="00A15DC5">
        <w:rPr>
          <w:lang w:val="en-US"/>
        </w:rPr>
        <w:t>, but</w:t>
      </w:r>
      <w:proofErr w:type="gramEnd"/>
      <w:r w:rsidRPr="00A15DC5">
        <w:rPr>
          <w:lang w:val="en-US"/>
        </w:rPr>
        <w:t xml:space="preserve"> streamline </w:t>
      </w:r>
      <w:r w:rsidR="006F0A5B">
        <w:rPr>
          <w:lang w:val="en-US"/>
        </w:rPr>
        <w:t>it</w:t>
      </w:r>
      <w:r w:rsidR="006F0A5B" w:rsidRPr="00A15DC5">
        <w:rPr>
          <w:lang w:val="en-US"/>
        </w:rPr>
        <w:t xml:space="preserve"> </w:t>
      </w:r>
      <w:r w:rsidRPr="00A15DC5">
        <w:rPr>
          <w:lang w:val="en-US"/>
        </w:rPr>
        <w:t xml:space="preserve">within </w:t>
      </w:r>
      <w:r w:rsidR="006F0A5B">
        <w:rPr>
          <w:lang w:val="en-US"/>
        </w:rPr>
        <w:t>under mutually</w:t>
      </w:r>
      <w:r w:rsidR="006F0A5B" w:rsidRPr="00A15DC5">
        <w:rPr>
          <w:lang w:val="en-US"/>
        </w:rPr>
        <w:t xml:space="preserve"> </w:t>
      </w:r>
      <w:r w:rsidRPr="00A15DC5">
        <w:rPr>
          <w:lang w:val="en-US"/>
        </w:rPr>
        <w:t>agreed terms (e.g., use of a Creative Commons licence). The review of the current policy should ensure better alignment with data policies at national, regional and international level</w:t>
      </w:r>
      <w:r w:rsidR="00BA4344" w:rsidRPr="006F0A5B">
        <w:rPr>
          <w:lang w:val="en-US"/>
        </w:rPr>
        <w:t>s</w:t>
      </w:r>
      <w:r w:rsidRPr="00A15DC5">
        <w:rPr>
          <w:lang w:val="en-US"/>
        </w:rPr>
        <w:t xml:space="preserve"> as well as those from other sectors, and should reflect current international principles (such as FAIR), which did not exist in 2003.</w:t>
      </w:r>
    </w:p>
    <w:p w14:paraId="16511D23" w14:textId="559992AF" w:rsidR="00BC79D5" w:rsidRDefault="00BC79D5" w:rsidP="00C55DE1">
      <w:pPr>
        <w:pStyle w:val="paranumbered"/>
        <w:spacing w:after="240" w:line="240" w:lineRule="auto"/>
      </w:pPr>
      <w:r w:rsidRPr="00A63454">
        <w:t xml:space="preserve">In view of the </w:t>
      </w:r>
      <w:r w:rsidRPr="00A15DC5">
        <w:rPr>
          <w:lang w:val="en-US"/>
        </w:rPr>
        <w:t>complexity</w:t>
      </w:r>
      <w:r w:rsidRPr="00A63454">
        <w:t xml:space="preserve"> of the issue and the need for the most extensive inclusiveness possible</w:t>
      </w:r>
      <w:r w:rsidR="00D336E1">
        <w:t>,</w:t>
      </w:r>
      <w:r w:rsidRPr="00A63454">
        <w:t xml:space="preserve"> the IODE Co-Chairs </w:t>
      </w:r>
      <w:r>
        <w:rPr>
          <w:lang w:val="en-US"/>
        </w:rPr>
        <w:t>subsequently</w:t>
      </w:r>
      <w:r w:rsidRPr="00A63454">
        <w:t xml:space="preserve"> agreed on </w:t>
      </w:r>
      <w:r w:rsidR="00D336E1">
        <w:t xml:space="preserve">a 8-steps </w:t>
      </w:r>
      <w:r w:rsidRPr="00A63454">
        <w:t>process</w:t>
      </w:r>
      <w:r w:rsidR="00D336E1">
        <w:t xml:space="preserve"> as described in IOC Circular Letter </w:t>
      </w:r>
      <w:hyperlink r:id="rId15" w:history="1">
        <w:r w:rsidR="00D336E1" w:rsidRPr="00E77B5E">
          <w:rPr>
            <w:rStyle w:val="Hyperlink"/>
          </w:rPr>
          <w:t>28</w:t>
        </w:r>
        <w:r w:rsidR="00E77B5E" w:rsidRPr="00E77B5E">
          <w:rPr>
            <w:rStyle w:val="Hyperlink"/>
          </w:rPr>
          <w:t>6</w:t>
        </w:r>
        <w:r w:rsidR="00D336E1" w:rsidRPr="00E77B5E">
          <w:rPr>
            <w:rStyle w:val="Hyperlink"/>
          </w:rPr>
          <w:t>4</w:t>
        </w:r>
      </w:hyperlink>
      <w:r w:rsidR="00D336E1">
        <w:t xml:space="preserve"> of 9 November 2021 in order </w:t>
      </w:r>
      <w:r w:rsidRPr="00A63454">
        <w:t>to facilitate the work of the inter-sessional working group starting January 2022 with the following tentative timeline</w:t>
      </w:r>
      <w:r w:rsidR="00C55DE1">
        <w:t>.</w:t>
      </w:r>
    </w:p>
    <w:p w14:paraId="56F75024" w14:textId="181170FC" w:rsidR="00C55DE1" w:rsidRPr="00A15DC5" w:rsidRDefault="00C55DE1" w:rsidP="00A15DC5">
      <w:pPr>
        <w:spacing w:after="240"/>
        <w:rPr>
          <w:b/>
          <w:bCs/>
        </w:rPr>
      </w:pPr>
      <w:r w:rsidRPr="00A15DC5">
        <w:rPr>
          <w:b/>
          <w:bCs/>
        </w:rPr>
        <w:t xml:space="preserve">The development </w:t>
      </w:r>
      <w:proofErr w:type="gramStart"/>
      <w:r w:rsidRPr="00A15DC5">
        <w:rPr>
          <w:b/>
          <w:bCs/>
        </w:rPr>
        <w:t>process</w:t>
      </w:r>
      <w:proofErr w:type="gramEnd"/>
    </w:p>
    <w:p w14:paraId="1227458E" w14:textId="37F350C5" w:rsidR="00BC79D5" w:rsidRDefault="00BC79D5" w:rsidP="00A15DC5">
      <w:pPr>
        <w:pStyle w:val="paranumbered"/>
        <w:spacing w:before="0" w:after="240" w:line="240" w:lineRule="auto"/>
        <w:rPr>
          <w:lang w:val="en-US"/>
        </w:rPr>
      </w:pPr>
      <w:r w:rsidRPr="00FC047F">
        <w:rPr>
          <w:u w:val="single"/>
          <w:lang w:val="en-AU"/>
        </w:rPr>
        <w:t>STEP 1</w:t>
      </w:r>
      <w:r>
        <w:rPr>
          <w:lang w:val="en-AU"/>
        </w:rPr>
        <w:t xml:space="preserve">: a </w:t>
      </w:r>
      <w:r w:rsidRPr="00A63454">
        <w:t xml:space="preserve">desk study on existing policies (IOC, UN, non-UN) </w:t>
      </w:r>
      <w:r>
        <w:rPr>
          <w:lang w:val="en-US"/>
        </w:rPr>
        <w:t xml:space="preserve">was prepared </w:t>
      </w:r>
      <w:r w:rsidRPr="00A63454">
        <w:t>by the IOC/IODE Secretariat</w:t>
      </w:r>
      <w:r>
        <w:rPr>
          <w:lang w:val="en-US"/>
        </w:rPr>
        <w:t xml:space="preserve"> (Mr</w:t>
      </w:r>
      <w:r w:rsidR="00E77B5E">
        <w:rPr>
          <w:lang w:val="en-US"/>
        </w:rPr>
        <w:t> </w:t>
      </w:r>
      <w:r>
        <w:rPr>
          <w:lang w:val="en-US"/>
        </w:rPr>
        <w:t>Greg</w:t>
      </w:r>
      <w:r w:rsidR="00E77B5E">
        <w:rPr>
          <w:lang w:val="en-US"/>
        </w:rPr>
        <w:t> </w:t>
      </w:r>
      <w:r>
        <w:rPr>
          <w:lang w:val="en-US"/>
        </w:rPr>
        <w:t xml:space="preserve">Reed) and </w:t>
      </w:r>
      <w:r w:rsidR="00E77B5E">
        <w:rPr>
          <w:lang w:val="en-US"/>
        </w:rPr>
        <w:t xml:space="preserve">was </w:t>
      </w:r>
      <w:r>
        <w:rPr>
          <w:lang w:val="en-US"/>
        </w:rPr>
        <w:t xml:space="preserve">published on 8 February 2022 as Document </w:t>
      </w:r>
      <w:r w:rsidRPr="00FC047F">
        <w:rPr>
          <w:lang w:val="en-US"/>
        </w:rPr>
        <w:t>IOC/IWG-DATAPOLICY-I/5</w:t>
      </w:r>
      <w:r>
        <w:rPr>
          <w:lang w:val="en-US"/>
        </w:rPr>
        <w:t>.</w:t>
      </w:r>
    </w:p>
    <w:p w14:paraId="3CEB026A" w14:textId="57347F93" w:rsidR="00BC79D5" w:rsidRPr="00FB61F5" w:rsidRDefault="00BC79D5" w:rsidP="00A15DC5">
      <w:pPr>
        <w:pStyle w:val="paranumbered"/>
        <w:spacing w:after="240" w:line="240" w:lineRule="auto"/>
        <w:rPr>
          <w:lang w:val="en-US"/>
        </w:rPr>
      </w:pPr>
      <w:r w:rsidRPr="00FB61F5">
        <w:rPr>
          <w:u w:val="single"/>
          <w:lang w:val="en-US"/>
        </w:rPr>
        <w:t>STEP 2</w:t>
      </w:r>
      <w:r w:rsidRPr="00FB61F5">
        <w:rPr>
          <w:lang w:val="en-US"/>
        </w:rPr>
        <w:t xml:space="preserve">: IOC global and regional </w:t>
      </w:r>
      <w:proofErr w:type="spellStart"/>
      <w:r w:rsidRPr="00FB61F5">
        <w:rPr>
          <w:lang w:val="en-US"/>
        </w:rPr>
        <w:t>programmes</w:t>
      </w:r>
      <w:proofErr w:type="spellEnd"/>
      <w:r w:rsidRPr="00FB61F5">
        <w:rPr>
          <w:lang w:val="en-US"/>
        </w:rPr>
        <w:t xml:space="preserve"> were invited to designate their representatives </w:t>
      </w:r>
      <w:r w:rsidR="00FB61F5" w:rsidRPr="00FB61F5">
        <w:rPr>
          <w:lang w:val="en-US"/>
        </w:rPr>
        <w:t>to t</w:t>
      </w:r>
      <w:r w:rsidRPr="00FB61F5">
        <w:rPr>
          <w:lang w:val="en-US"/>
        </w:rPr>
        <w:t>he inter-sessional working group</w:t>
      </w:r>
      <w:r w:rsidR="00FB61F5" w:rsidRPr="00FB61F5">
        <w:rPr>
          <w:lang w:val="en-US"/>
        </w:rPr>
        <w:t>: Regional Subsidiary Bodies (</w:t>
      </w:r>
      <w:r w:rsidR="00FB61F5" w:rsidRPr="00A15DC5">
        <w:t>IOCAFRICA, IOCARIBE, WESTPAC, IOCINDIO</w:t>
      </w:r>
      <w:r w:rsidR="00E77B5E" w:rsidRPr="00A15DC5">
        <w:t>)</w:t>
      </w:r>
      <w:r w:rsidR="00FB61F5" w:rsidRPr="00A15DC5">
        <w:t xml:space="preserve">: 1-2 representatives each; IODE: 1-2 representatives; Ocean Science (HAB, Ocean Acidification and GOSR): 3 representatives; GOOS: 1-2 representatives; and Marine Policy and Regional Coordination: 1-2 representatives; </w:t>
      </w:r>
      <w:r w:rsidR="00FB61F5" w:rsidRPr="00A15DC5">
        <w:rPr>
          <w:lang w:val="en-US"/>
        </w:rPr>
        <w:t>T</w:t>
      </w:r>
      <w:proofErr w:type="spellStart"/>
      <w:r w:rsidR="00FB61F5" w:rsidRPr="00A15DC5">
        <w:t>sunami</w:t>
      </w:r>
      <w:proofErr w:type="spellEnd"/>
      <w:r w:rsidR="00FB61F5" w:rsidRPr="00A15DC5">
        <w:t>: 1-2 representatives</w:t>
      </w:r>
      <w:r w:rsidRPr="00FB61F5">
        <w:rPr>
          <w:lang w:val="en-US"/>
        </w:rPr>
        <w:t xml:space="preserve">. This process was completed in February 2022. </w:t>
      </w:r>
    </w:p>
    <w:p w14:paraId="530BA478" w14:textId="211110F5" w:rsidR="00BC79D5" w:rsidRPr="00E77B5E" w:rsidRDefault="00BC79D5" w:rsidP="00A15DC5">
      <w:pPr>
        <w:pStyle w:val="paranumbered"/>
        <w:spacing w:after="240" w:line="240" w:lineRule="auto"/>
      </w:pPr>
      <w:r w:rsidRPr="00E77B5E">
        <w:rPr>
          <w:u w:val="single"/>
          <w:lang w:val="en-US"/>
        </w:rPr>
        <w:t>STEP 3</w:t>
      </w:r>
      <w:r w:rsidRPr="00E77B5E">
        <w:rPr>
          <w:lang w:val="en-US"/>
        </w:rPr>
        <w:t xml:space="preserve">: the First meeting of the IOC Inter-sessional Working Group on the Revision of the IOC Oceanographic Data Exchange Policy (IWG-DATAPOLICY-I) was held as a hybrid meeting on 5-6 April 2022. The report is available as Document </w:t>
      </w:r>
      <w:hyperlink r:id="rId16" w:history="1">
        <w:r w:rsidRPr="00E77B5E">
          <w:rPr>
            <w:rStyle w:val="Hyperlink"/>
            <w:lang w:val="en-US"/>
          </w:rPr>
          <w:t>IOC/IWG-DATAPOLICY-I/3</w:t>
        </w:r>
      </w:hyperlink>
      <w:r w:rsidRPr="00E77B5E">
        <w:rPr>
          <w:lang w:val="en-US"/>
        </w:rPr>
        <w:t>.</w:t>
      </w:r>
      <w:r w:rsidR="00E77B5E" w:rsidRPr="00E77B5E">
        <w:rPr>
          <w:lang w:val="en-US"/>
        </w:rPr>
        <w:t xml:space="preserve"> </w:t>
      </w:r>
      <w:r w:rsidRPr="00E77B5E">
        <w:rPr>
          <w:lang w:val="en-US"/>
        </w:rPr>
        <w:t>The meeting recommended that revisions should add “terms of use/licensing” to the policy. The meeting also agreed on a work plan, timetable and assignment of responsibilities and identified UN and non-UN organizations and other partners that should be consulted in the process. The IWG designated Mr</w:t>
      </w:r>
      <w:r w:rsidR="00E77B5E">
        <w:rPr>
          <w:lang w:val="en-US"/>
        </w:rPr>
        <w:t> </w:t>
      </w:r>
      <w:r w:rsidRPr="00E77B5E">
        <w:rPr>
          <w:lang w:val="en-US"/>
        </w:rPr>
        <w:t xml:space="preserve">Taco De Bruin (IODE Co-Chair) as its Chair. </w:t>
      </w:r>
    </w:p>
    <w:p w14:paraId="66334491" w14:textId="14D5841D" w:rsidR="00BC79D5" w:rsidRPr="00A57DE5" w:rsidRDefault="00BC79D5" w:rsidP="00A15DC5">
      <w:pPr>
        <w:pStyle w:val="paranumbered"/>
        <w:spacing w:after="120" w:line="240" w:lineRule="auto"/>
        <w:rPr>
          <w:lang w:val="en-US"/>
        </w:rPr>
      </w:pPr>
      <w:r w:rsidRPr="00A57DE5">
        <w:rPr>
          <w:u w:val="single"/>
          <w:lang w:val="en-US"/>
        </w:rPr>
        <w:t>STEP 4</w:t>
      </w:r>
      <w:r w:rsidRPr="00A57DE5">
        <w:rPr>
          <w:lang w:val="en-US"/>
        </w:rPr>
        <w:t xml:space="preserve">: online drafting by the IWG members took place in April and May 2022 </w:t>
      </w:r>
      <w:r w:rsidR="00E77B5E">
        <w:rPr>
          <w:lang w:val="en-US"/>
        </w:rPr>
        <w:t>of</w:t>
      </w:r>
      <w:r w:rsidR="00E77B5E" w:rsidRPr="00A57DE5">
        <w:rPr>
          <w:lang w:val="en-US"/>
        </w:rPr>
        <w:t xml:space="preserve"> </w:t>
      </w:r>
      <w:r w:rsidRPr="00A57DE5">
        <w:rPr>
          <w:lang w:val="en-US"/>
        </w:rPr>
        <w:t xml:space="preserve">a draft </w:t>
      </w:r>
      <w:r w:rsidR="00572B46">
        <w:rPr>
          <w:lang w:val="en-US"/>
        </w:rPr>
        <w:t>‘</w:t>
      </w:r>
      <w:r w:rsidRPr="00A15DC5">
        <w:rPr>
          <w:lang w:val="en-US"/>
        </w:rPr>
        <w:t>IOC Data Policy and Terms of Use (2023)</w:t>
      </w:r>
      <w:r w:rsidR="00572B46">
        <w:rPr>
          <w:lang w:val="en-US"/>
        </w:rPr>
        <w:t>’</w:t>
      </w:r>
      <w:r w:rsidRPr="00A15DC5">
        <w:rPr>
          <w:lang w:val="en-US"/>
        </w:rPr>
        <w:t>.</w:t>
      </w:r>
      <w:r w:rsidR="00A57DE5" w:rsidRPr="00A57DE5">
        <w:rPr>
          <w:b/>
          <w:bCs/>
          <w:lang w:val="en-US"/>
        </w:rPr>
        <w:t xml:space="preserve"> </w:t>
      </w:r>
      <w:r w:rsidRPr="00A57DE5">
        <w:rPr>
          <w:lang w:val="en-US"/>
        </w:rPr>
        <w:t xml:space="preserve">This draft was shared with 18 organizations identified under Step 3 in June 2022 </w:t>
      </w:r>
      <w:r w:rsidR="00E77B5E">
        <w:rPr>
          <w:lang w:val="en-US"/>
        </w:rPr>
        <w:t>for</w:t>
      </w:r>
      <w:r w:rsidR="00E77B5E" w:rsidRPr="00A57DE5">
        <w:rPr>
          <w:lang w:val="en-US"/>
        </w:rPr>
        <w:t xml:space="preserve"> </w:t>
      </w:r>
      <w:r w:rsidRPr="00A57DE5">
        <w:rPr>
          <w:lang w:val="en-US"/>
        </w:rPr>
        <w:t xml:space="preserve">their comments. </w:t>
      </w:r>
    </w:p>
    <w:p w14:paraId="2593405D" w14:textId="007C04C6" w:rsidR="00BC79D5" w:rsidRDefault="00BC79D5" w:rsidP="00A15DC5">
      <w:pPr>
        <w:pStyle w:val="paranumbered"/>
        <w:numPr>
          <w:ilvl w:val="0"/>
          <w:numId w:val="0"/>
        </w:numPr>
        <w:spacing w:after="240" w:line="240" w:lineRule="auto"/>
        <w:ind w:left="709"/>
      </w:pPr>
      <w:r w:rsidRPr="00D359C5">
        <w:rPr>
          <w:u w:val="single"/>
          <w:lang w:val="en-US"/>
        </w:rPr>
        <w:t>STEP4A</w:t>
      </w:r>
      <w:r>
        <w:rPr>
          <w:lang w:val="en-US"/>
        </w:rPr>
        <w:t xml:space="preserve">: </w:t>
      </w:r>
      <w:r w:rsidR="009B7E38" w:rsidRPr="009B7E38">
        <w:rPr>
          <w:lang w:val="en-US"/>
        </w:rPr>
        <w:t xml:space="preserve">Based on the comments received by the mentioned </w:t>
      </w:r>
      <w:proofErr w:type="spellStart"/>
      <w:r w:rsidR="009B7E38" w:rsidRPr="009B7E38">
        <w:rPr>
          <w:lang w:val="en-US"/>
        </w:rPr>
        <w:t>organisations</w:t>
      </w:r>
      <w:proofErr w:type="spellEnd"/>
      <w:r w:rsidR="009B7E38" w:rsidRPr="009B7E38">
        <w:rPr>
          <w:lang w:val="en-US"/>
        </w:rPr>
        <w:t>, the Secretariat prepared a revision of the text and shared it with the IWG members for further discussion on 23 September 2022.</w:t>
      </w:r>
    </w:p>
    <w:p w14:paraId="59CF4BD6" w14:textId="603121B2" w:rsidR="00BC79D5" w:rsidRDefault="00BC79D5" w:rsidP="00A15DC5">
      <w:pPr>
        <w:pStyle w:val="paranumbered"/>
        <w:spacing w:before="0" w:after="120" w:line="240" w:lineRule="auto"/>
        <w:rPr>
          <w:lang w:val="en-US"/>
        </w:rPr>
      </w:pPr>
      <w:r w:rsidRPr="00D0654C">
        <w:rPr>
          <w:u w:val="single"/>
          <w:lang w:val="en-US"/>
        </w:rPr>
        <w:lastRenderedPageBreak/>
        <w:t>STEP 5</w:t>
      </w:r>
      <w:r>
        <w:rPr>
          <w:lang w:val="en-US"/>
        </w:rPr>
        <w:t xml:space="preserve">: on 30 September </w:t>
      </w:r>
      <w:r w:rsidR="009B7E38">
        <w:rPr>
          <w:lang w:val="en-US"/>
        </w:rPr>
        <w:t xml:space="preserve">2022, </w:t>
      </w:r>
      <w:r>
        <w:rPr>
          <w:lang w:val="en-US"/>
        </w:rPr>
        <w:t xml:space="preserve">IOC Member States (through their official </w:t>
      </w:r>
      <w:r w:rsidR="00FB61F5">
        <w:rPr>
          <w:lang w:val="en-US"/>
        </w:rPr>
        <w:t xml:space="preserve">focal </w:t>
      </w:r>
      <w:r>
        <w:rPr>
          <w:lang w:val="en-US"/>
        </w:rPr>
        <w:t>points) were invited to a</w:t>
      </w:r>
      <w:r w:rsidR="009B7E38">
        <w:rPr>
          <w:lang w:val="en-US"/>
        </w:rPr>
        <w:t xml:space="preserve">n online </w:t>
      </w:r>
      <w:r>
        <w:rPr>
          <w:lang w:val="en-US"/>
        </w:rPr>
        <w:t xml:space="preserve">briefing session with </w:t>
      </w:r>
      <w:r w:rsidR="009B7E38">
        <w:rPr>
          <w:lang w:val="en-US"/>
        </w:rPr>
        <w:t xml:space="preserve">English/French, Russian/Spanish </w:t>
      </w:r>
      <w:r>
        <w:rPr>
          <w:lang w:val="en-US"/>
        </w:rPr>
        <w:t>interpretation</w:t>
      </w:r>
      <w:r w:rsidR="009B7E38">
        <w:rPr>
          <w:lang w:val="en-US"/>
        </w:rPr>
        <w:t>.</w:t>
      </w:r>
      <w:r>
        <w:rPr>
          <w:lang w:val="en-US"/>
        </w:rPr>
        <w:t xml:space="preserve"> </w:t>
      </w:r>
      <w:r w:rsidR="009B7E38">
        <w:rPr>
          <w:lang w:val="en-US"/>
        </w:rPr>
        <w:t>On 21 October 2022, t</w:t>
      </w:r>
      <w:r>
        <w:rPr>
          <w:lang w:val="en-US"/>
        </w:rPr>
        <w:t xml:space="preserve">he session was organized </w:t>
      </w:r>
      <w:r w:rsidR="009B7E38">
        <w:rPr>
          <w:lang w:val="en-US"/>
        </w:rPr>
        <w:t xml:space="preserve">in two parts </w:t>
      </w:r>
      <w:r>
        <w:rPr>
          <w:lang w:val="en-US"/>
        </w:rPr>
        <w:t xml:space="preserve">to </w:t>
      </w:r>
      <w:r w:rsidR="009B7E38">
        <w:rPr>
          <w:lang w:val="en-US"/>
        </w:rPr>
        <w:t xml:space="preserve">allow </w:t>
      </w:r>
      <w:r>
        <w:rPr>
          <w:lang w:val="en-US"/>
        </w:rPr>
        <w:t xml:space="preserve">participants from different time zones to </w:t>
      </w:r>
      <w:r w:rsidR="009B7E38">
        <w:rPr>
          <w:lang w:val="en-US"/>
        </w:rPr>
        <w:t>attend</w:t>
      </w:r>
      <w:r>
        <w:rPr>
          <w:lang w:val="en-US"/>
        </w:rPr>
        <w:t xml:space="preserve">. </w:t>
      </w:r>
      <w:r w:rsidRPr="00D359C5">
        <w:rPr>
          <w:lang w:val="en-US"/>
        </w:rPr>
        <w:t>During this information session the draft version of the new policy (IOC Data Policy and Terms of Use (2023)</w:t>
      </w:r>
      <w:r>
        <w:rPr>
          <w:lang w:val="en-US"/>
        </w:rPr>
        <w:t>)</w:t>
      </w:r>
      <w:r w:rsidRPr="00D359C5">
        <w:rPr>
          <w:lang w:val="en-US"/>
        </w:rPr>
        <w:t xml:space="preserve"> </w:t>
      </w:r>
      <w:r>
        <w:rPr>
          <w:lang w:val="en-US"/>
        </w:rPr>
        <w:t>was</w:t>
      </w:r>
      <w:r w:rsidRPr="00D359C5">
        <w:rPr>
          <w:lang w:val="en-US"/>
        </w:rPr>
        <w:t xml:space="preserve"> presented</w:t>
      </w:r>
      <w:r w:rsidR="009B7E38">
        <w:rPr>
          <w:lang w:val="en-US"/>
        </w:rPr>
        <w:t xml:space="preserve">, </w:t>
      </w:r>
      <w:proofErr w:type="gramStart"/>
      <w:r w:rsidRPr="00D359C5">
        <w:rPr>
          <w:lang w:val="en-US"/>
        </w:rPr>
        <w:t>explained</w:t>
      </w:r>
      <w:proofErr w:type="gramEnd"/>
      <w:r w:rsidR="009B7E38">
        <w:rPr>
          <w:lang w:val="en-US"/>
        </w:rPr>
        <w:t xml:space="preserve"> and opened to discussion</w:t>
      </w:r>
      <w:r w:rsidRPr="00D359C5">
        <w:rPr>
          <w:lang w:val="en-US"/>
        </w:rPr>
        <w:t>.</w:t>
      </w:r>
      <w:r>
        <w:rPr>
          <w:lang w:val="en-US"/>
        </w:rPr>
        <w:t xml:space="preserve"> The main comments and feedback received are summarized as follows:</w:t>
      </w:r>
    </w:p>
    <w:p w14:paraId="009D2604" w14:textId="77777777" w:rsidR="00BC79D5" w:rsidRDefault="00BC79D5" w:rsidP="00A15DC5">
      <w:pPr>
        <w:pStyle w:val="ListParagraph"/>
        <w:numPr>
          <w:ilvl w:val="1"/>
          <w:numId w:val="7"/>
        </w:numPr>
        <w:tabs>
          <w:tab w:val="clear" w:pos="567"/>
        </w:tabs>
        <w:snapToGrid/>
        <w:spacing w:after="120"/>
        <w:ind w:left="1134" w:hanging="425"/>
        <w:contextualSpacing w:val="0"/>
        <w:jc w:val="both"/>
        <w:rPr>
          <w:rFonts w:cs="Arial"/>
          <w:lang w:val="en-US"/>
        </w:rPr>
      </w:pPr>
      <w:r>
        <w:rPr>
          <w:rFonts w:cs="Arial"/>
          <w:lang w:val="en-US"/>
        </w:rPr>
        <w:t xml:space="preserve">Licenses may be different for each data </w:t>
      </w:r>
      <w:proofErr w:type="spellStart"/>
      <w:r>
        <w:rPr>
          <w:rFonts w:cs="Arial"/>
          <w:lang w:val="en-US"/>
        </w:rPr>
        <w:t>centre</w:t>
      </w:r>
      <w:proofErr w:type="spellEnd"/>
      <w:r>
        <w:rPr>
          <w:rFonts w:cs="Arial"/>
          <w:lang w:val="en-US"/>
        </w:rPr>
        <w:t xml:space="preserve">/data provider or even between individual data sets. Data </w:t>
      </w:r>
      <w:proofErr w:type="spellStart"/>
      <w:r>
        <w:rPr>
          <w:rFonts w:cs="Arial"/>
          <w:lang w:val="en-US"/>
        </w:rPr>
        <w:t>centres</w:t>
      </w:r>
      <w:proofErr w:type="spellEnd"/>
      <w:r>
        <w:rPr>
          <w:rFonts w:cs="Arial"/>
          <w:lang w:val="en-US"/>
        </w:rPr>
        <w:t xml:space="preserve"> or data services that collect these from various sources may face huge challenges dealing with this variety of licenses;</w:t>
      </w:r>
    </w:p>
    <w:p w14:paraId="27C80FB1" w14:textId="01DD31D7" w:rsidR="00BC79D5" w:rsidRDefault="00BC79D5" w:rsidP="00A15DC5">
      <w:pPr>
        <w:pStyle w:val="ListParagraph"/>
        <w:numPr>
          <w:ilvl w:val="1"/>
          <w:numId w:val="7"/>
        </w:numPr>
        <w:tabs>
          <w:tab w:val="clear" w:pos="567"/>
        </w:tabs>
        <w:snapToGrid/>
        <w:spacing w:after="120"/>
        <w:ind w:left="1134" w:hanging="425"/>
        <w:contextualSpacing w:val="0"/>
        <w:jc w:val="both"/>
        <w:rPr>
          <w:rFonts w:cs="Arial"/>
          <w:lang w:val="en-US"/>
        </w:rPr>
      </w:pPr>
      <w:r>
        <w:rPr>
          <w:rFonts w:cs="Arial"/>
          <w:lang w:val="en-US"/>
        </w:rPr>
        <w:t xml:space="preserve">There should be a stronger focus on “free and open” as was the case in the 2019 data policy and more encouragement of </w:t>
      </w:r>
      <w:r w:rsidR="009B7E38">
        <w:rPr>
          <w:rFonts w:cs="Arial"/>
          <w:lang w:val="en-US"/>
        </w:rPr>
        <w:t xml:space="preserve">Member States </w:t>
      </w:r>
      <w:r>
        <w:rPr>
          <w:rFonts w:cs="Arial"/>
          <w:lang w:val="en-US"/>
        </w:rPr>
        <w:t>to share data;</w:t>
      </w:r>
    </w:p>
    <w:p w14:paraId="410EC188" w14:textId="22ED3677" w:rsidR="00BC79D5" w:rsidRDefault="00BC79D5" w:rsidP="00A15DC5">
      <w:pPr>
        <w:pStyle w:val="ListParagraph"/>
        <w:numPr>
          <w:ilvl w:val="1"/>
          <w:numId w:val="7"/>
        </w:numPr>
        <w:tabs>
          <w:tab w:val="clear" w:pos="567"/>
        </w:tabs>
        <w:snapToGrid/>
        <w:spacing w:after="120"/>
        <w:ind w:left="1134" w:hanging="425"/>
        <w:contextualSpacing w:val="0"/>
        <w:jc w:val="both"/>
        <w:rPr>
          <w:rFonts w:cs="Arial"/>
          <w:lang w:val="en-US"/>
        </w:rPr>
      </w:pPr>
      <w:r>
        <w:rPr>
          <w:rFonts w:cs="Arial"/>
          <w:lang w:val="en-US"/>
        </w:rPr>
        <w:t>It was noted that, unlike organizations like WMO, IOC does not operate under a convention so all participation in IOC is based on voluntary participation and contributions</w:t>
      </w:r>
      <w:r w:rsidR="00A57DE5">
        <w:rPr>
          <w:rFonts w:cs="Arial"/>
          <w:lang w:val="en-US"/>
        </w:rPr>
        <w:t>;</w:t>
      </w:r>
    </w:p>
    <w:p w14:paraId="6E2367A4" w14:textId="014F34F2" w:rsidR="00BC79D5" w:rsidRDefault="00BC79D5" w:rsidP="00A15DC5">
      <w:pPr>
        <w:pStyle w:val="ListParagraph"/>
        <w:numPr>
          <w:ilvl w:val="1"/>
          <w:numId w:val="7"/>
        </w:numPr>
        <w:tabs>
          <w:tab w:val="clear" w:pos="567"/>
        </w:tabs>
        <w:snapToGrid/>
        <w:spacing w:after="120"/>
        <w:ind w:left="1134" w:hanging="425"/>
        <w:contextualSpacing w:val="0"/>
        <w:jc w:val="both"/>
        <w:rPr>
          <w:rFonts w:cs="Arial"/>
          <w:lang w:val="en-US"/>
        </w:rPr>
      </w:pPr>
      <w:r>
        <w:rPr>
          <w:rFonts w:cs="Arial"/>
          <w:lang w:val="en-US"/>
        </w:rPr>
        <w:t>Need to split FAIR and CARE</w:t>
      </w:r>
      <w:r w:rsidR="00A57DE5">
        <w:rPr>
          <w:rFonts w:cs="Arial"/>
          <w:lang w:val="en-US"/>
        </w:rPr>
        <w:t>;</w:t>
      </w:r>
    </w:p>
    <w:p w14:paraId="5F4BF005" w14:textId="56AEE6DA" w:rsidR="00BC79D5" w:rsidRDefault="00BC79D5" w:rsidP="00A15DC5">
      <w:pPr>
        <w:pStyle w:val="ListParagraph"/>
        <w:numPr>
          <w:ilvl w:val="1"/>
          <w:numId w:val="7"/>
        </w:numPr>
        <w:tabs>
          <w:tab w:val="clear" w:pos="567"/>
        </w:tabs>
        <w:snapToGrid/>
        <w:spacing w:after="120"/>
        <w:ind w:left="1134" w:hanging="425"/>
        <w:contextualSpacing w:val="0"/>
        <w:jc w:val="both"/>
        <w:rPr>
          <w:rFonts w:cs="Arial"/>
          <w:lang w:val="en-US"/>
        </w:rPr>
      </w:pPr>
      <w:r>
        <w:rPr>
          <w:rFonts w:cs="Arial"/>
          <w:lang w:val="en-US"/>
        </w:rPr>
        <w:t>Need to elaborate more regarding best practices (documented)</w:t>
      </w:r>
      <w:r w:rsidR="00A57DE5">
        <w:rPr>
          <w:rFonts w:cs="Arial"/>
          <w:lang w:val="en-US"/>
        </w:rPr>
        <w:t>;</w:t>
      </w:r>
    </w:p>
    <w:p w14:paraId="7F43C9F4" w14:textId="7069F7FB" w:rsidR="00BC79D5" w:rsidRPr="00777C4F" w:rsidRDefault="00BC79D5" w:rsidP="00565CE4">
      <w:pPr>
        <w:pStyle w:val="ListParagraph"/>
        <w:numPr>
          <w:ilvl w:val="1"/>
          <w:numId w:val="7"/>
        </w:numPr>
        <w:tabs>
          <w:tab w:val="clear" w:pos="567"/>
        </w:tabs>
        <w:snapToGrid/>
        <w:spacing w:after="240"/>
        <w:ind w:left="1134" w:hanging="425"/>
        <w:contextualSpacing w:val="0"/>
        <w:jc w:val="both"/>
        <w:rPr>
          <w:rFonts w:cs="Arial"/>
          <w:lang w:val="en-US"/>
        </w:rPr>
      </w:pPr>
      <w:r>
        <w:rPr>
          <w:rFonts w:cs="Arial"/>
          <w:lang w:val="en-US"/>
        </w:rPr>
        <w:t xml:space="preserve">Should the principles of </w:t>
      </w:r>
      <w:r w:rsidR="00A15DC5">
        <w:rPr>
          <w:rFonts w:cs="Arial"/>
          <w:lang w:val="en-US"/>
        </w:rPr>
        <w:t xml:space="preserve">Ocean </w:t>
      </w:r>
      <w:proofErr w:type="spellStart"/>
      <w:r w:rsidR="00A15DC5">
        <w:rPr>
          <w:rFonts w:cs="Arial"/>
          <w:lang w:val="en-US"/>
        </w:rPr>
        <w:t>InfoHub</w:t>
      </w:r>
      <w:proofErr w:type="spellEnd"/>
      <w:r w:rsidR="00A15DC5">
        <w:rPr>
          <w:rFonts w:cs="Arial"/>
          <w:lang w:val="en-US"/>
        </w:rPr>
        <w:t xml:space="preserve"> (</w:t>
      </w:r>
      <w:r>
        <w:rPr>
          <w:rFonts w:cs="Arial"/>
          <w:lang w:val="en-US"/>
        </w:rPr>
        <w:t>OIH</w:t>
      </w:r>
      <w:r w:rsidR="00A15DC5">
        <w:rPr>
          <w:rFonts w:cs="Arial"/>
          <w:lang w:val="en-US"/>
        </w:rPr>
        <w:t>)</w:t>
      </w:r>
      <w:r>
        <w:rPr>
          <w:rFonts w:cs="Arial"/>
          <w:lang w:val="en-US"/>
        </w:rPr>
        <w:t xml:space="preserve"> be mentioned?</w:t>
      </w:r>
    </w:p>
    <w:p w14:paraId="6ABA6C6E" w14:textId="5EEB3DCD" w:rsidR="00BC79D5" w:rsidRDefault="00BC79D5" w:rsidP="00A15DC5">
      <w:pPr>
        <w:pStyle w:val="paranumbered"/>
        <w:spacing w:after="120" w:line="240" w:lineRule="auto"/>
        <w:rPr>
          <w:lang w:val="en-US"/>
        </w:rPr>
      </w:pPr>
      <w:r w:rsidRPr="00BC79D5">
        <w:rPr>
          <w:u w:val="single"/>
          <w:lang w:val="en-US"/>
        </w:rPr>
        <w:t>STEP 6</w:t>
      </w:r>
      <w:r w:rsidRPr="00BC79D5">
        <w:rPr>
          <w:lang w:val="en-US"/>
        </w:rPr>
        <w:t xml:space="preserve">: based upon the feedback in steps 4 and 5 a revised version of the draft policy was prepared. </w:t>
      </w:r>
    </w:p>
    <w:p w14:paraId="4B26E902" w14:textId="6BC4EB9E" w:rsidR="00BC79D5" w:rsidRDefault="00BC79D5" w:rsidP="00A15DC5">
      <w:pPr>
        <w:pStyle w:val="paranumbered"/>
        <w:numPr>
          <w:ilvl w:val="0"/>
          <w:numId w:val="0"/>
        </w:numPr>
        <w:spacing w:after="240" w:line="240" w:lineRule="auto"/>
        <w:ind w:left="709"/>
        <w:rPr>
          <w:lang w:val="en-US"/>
        </w:rPr>
      </w:pPr>
      <w:r w:rsidRPr="00D0654C">
        <w:rPr>
          <w:u w:val="single"/>
          <w:lang w:val="en-US"/>
        </w:rPr>
        <w:t>STEP 6A</w:t>
      </w:r>
      <w:r>
        <w:rPr>
          <w:lang w:val="en-US"/>
        </w:rPr>
        <w:t xml:space="preserve">: </w:t>
      </w:r>
      <w:r w:rsidRPr="00BC79D5">
        <w:t>The</w:t>
      </w:r>
      <w:r>
        <w:rPr>
          <w:lang w:val="en-US"/>
        </w:rPr>
        <w:t xml:space="preserve"> version of the draft policy mentioned in Step 6 was shared with the IODE community of IODE national coordinators for data management, IODE national coordinators for marine information management, ADU contact points and AIU contact points in December 2022.</w:t>
      </w:r>
    </w:p>
    <w:p w14:paraId="1BC6BEEA" w14:textId="7DB4F531" w:rsidR="00BC79D5" w:rsidRDefault="00BC79D5" w:rsidP="00A15DC5">
      <w:pPr>
        <w:pStyle w:val="paranumbered"/>
        <w:spacing w:after="240" w:line="240" w:lineRule="auto"/>
        <w:rPr>
          <w:lang w:val="en-US"/>
        </w:rPr>
      </w:pPr>
      <w:r w:rsidRPr="00BC79D5">
        <w:rPr>
          <w:u w:val="single"/>
          <w:lang w:val="en-US"/>
        </w:rPr>
        <w:t>STEP 7</w:t>
      </w:r>
      <w:r>
        <w:rPr>
          <w:lang w:val="en-US"/>
        </w:rPr>
        <w:t xml:space="preserve">: </w:t>
      </w:r>
      <w:r w:rsidRPr="00BC79D5">
        <w:rPr>
          <w:lang w:val="en-US"/>
        </w:rPr>
        <w:t>The IWG-DATAPOLICY submit</w:t>
      </w:r>
      <w:r>
        <w:rPr>
          <w:lang w:val="en-US"/>
        </w:rPr>
        <w:t>ted</w:t>
      </w:r>
      <w:r w:rsidRPr="00BC79D5">
        <w:rPr>
          <w:lang w:val="en-US"/>
        </w:rPr>
        <w:t xml:space="preserve"> the first draft of the new IOC data policy to IODE</w:t>
      </w:r>
      <w:r w:rsidR="00D336E1">
        <w:rPr>
          <w:lang w:val="en-US"/>
        </w:rPr>
        <w:t xml:space="preserve"> at its 27</w:t>
      </w:r>
      <w:r w:rsidR="00D336E1" w:rsidRPr="00A15DC5">
        <w:rPr>
          <w:vertAlign w:val="superscript"/>
          <w:lang w:val="en-US"/>
        </w:rPr>
        <w:t>th</w:t>
      </w:r>
      <w:r w:rsidR="00D336E1">
        <w:rPr>
          <w:lang w:val="en-US"/>
        </w:rPr>
        <w:t xml:space="preserve"> Session</w:t>
      </w:r>
      <w:r w:rsidRPr="00BC79D5">
        <w:rPr>
          <w:lang w:val="en-US"/>
        </w:rPr>
        <w:t xml:space="preserve"> </w:t>
      </w:r>
      <w:r>
        <w:rPr>
          <w:lang w:val="en-US"/>
        </w:rPr>
        <w:t xml:space="preserve">(UNESCO HQ, Paris, 22-23 March 2023) through </w:t>
      </w:r>
      <w:hyperlink r:id="rId17" w:history="1">
        <w:r w:rsidRPr="00BC79D5">
          <w:rPr>
            <w:rStyle w:val="Hyperlink"/>
            <w:lang w:val="en-US"/>
          </w:rPr>
          <w:t>Document IOC/IODE-XXVII/6.4</w:t>
        </w:r>
      </w:hyperlink>
      <w:r>
        <w:rPr>
          <w:lang w:val="en-US"/>
        </w:rPr>
        <w:t xml:space="preserve">. The IODE Committee expressed its great appreciation to the inter-sessional working group as well as all other </w:t>
      </w:r>
      <w:r w:rsidR="00D30061">
        <w:rPr>
          <w:lang w:val="en-US"/>
        </w:rPr>
        <w:t>experts</w:t>
      </w:r>
      <w:r>
        <w:rPr>
          <w:lang w:val="en-US"/>
        </w:rPr>
        <w:t xml:space="preserve"> who participated in the process leading to the new Policy and adopted </w:t>
      </w:r>
      <w:hyperlink r:id="rId18" w:anchor="rec2" w:history="1">
        <w:r w:rsidRPr="00BC79D5">
          <w:rPr>
            <w:rStyle w:val="Hyperlink"/>
            <w:lang w:val="en-US"/>
          </w:rPr>
          <w:t>Recommendation IODE-XXVII/6.4</w:t>
        </w:r>
      </w:hyperlink>
      <w:r>
        <w:rPr>
          <w:lang w:val="en-US"/>
        </w:rPr>
        <w:t xml:space="preserve"> </w:t>
      </w:r>
      <w:r w:rsidR="00C55DE1">
        <w:rPr>
          <w:lang w:val="en-US"/>
        </w:rPr>
        <w:t xml:space="preserve">for the consideration of the IOC Assembly </w:t>
      </w:r>
      <w:r>
        <w:rPr>
          <w:lang w:val="en-US"/>
        </w:rPr>
        <w:t>(</w:t>
      </w:r>
      <w:r w:rsidRPr="00BC79D5">
        <w:rPr>
          <w:lang w:val="en-US"/>
        </w:rPr>
        <w:t>IOC Data Policy and Terms of Use (2023)</w:t>
      </w:r>
      <w:r>
        <w:rPr>
          <w:lang w:val="en-US"/>
        </w:rPr>
        <w:t>)</w:t>
      </w:r>
      <w:r w:rsidR="00C55DE1">
        <w:rPr>
          <w:lang w:val="en-US"/>
        </w:rPr>
        <w:t xml:space="preserve">, which constitutes </w:t>
      </w:r>
      <w:r w:rsidR="00C55DE1" w:rsidRPr="00A15DC5">
        <w:rPr>
          <w:u w:val="single"/>
          <w:lang w:val="en-US"/>
        </w:rPr>
        <w:t>STEP 8</w:t>
      </w:r>
      <w:r w:rsidR="00C55DE1">
        <w:rPr>
          <w:lang w:val="en-US"/>
        </w:rPr>
        <w:t xml:space="preserve"> of the process</w:t>
      </w:r>
      <w:r>
        <w:rPr>
          <w:lang w:val="en-US"/>
        </w:rPr>
        <w:t>.</w:t>
      </w:r>
    </w:p>
    <w:p w14:paraId="492D6FC2" w14:textId="59CB9D80" w:rsidR="00BC79D5" w:rsidRPr="00BC79D5" w:rsidRDefault="00BC79D5" w:rsidP="00A15DC5">
      <w:pPr>
        <w:pStyle w:val="paranumbered"/>
        <w:spacing w:after="240" w:line="240" w:lineRule="auto"/>
        <w:rPr>
          <w:lang w:val="en-US"/>
        </w:rPr>
      </w:pPr>
      <w:r w:rsidRPr="00BC79D5">
        <w:rPr>
          <w:lang w:val="en-US"/>
        </w:rPr>
        <w:t xml:space="preserve">It is important to note that the </w:t>
      </w:r>
      <w:r w:rsidR="00572B46">
        <w:rPr>
          <w:lang w:val="en-US"/>
        </w:rPr>
        <w:t>‘</w:t>
      </w:r>
      <w:r w:rsidR="00C55DE1" w:rsidRPr="00CA3110">
        <w:rPr>
          <w:lang w:val="en-US"/>
        </w:rPr>
        <w:t>IOC Data Policy and Terms of Use (2023)</w:t>
      </w:r>
      <w:r w:rsidR="00572B46">
        <w:rPr>
          <w:lang w:val="en-US"/>
        </w:rPr>
        <w:t>’</w:t>
      </w:r>
      <w:r w:rsidR="00C55DE1">
        <w:rPr>
          <w:lang w:val="en-US"/>
        </w:rPr>
        <w:t xml:space="preserve"> </w:t>
      </w:r>
      <w:r w:rsidRPr="00BC79D5">
        <w:rPr>
          <w:lang w:val="en-US"/>
        </w:rPr>
        <w:t xml:space="preserve">is an “umbrella” policy that provides general guidelines agreed upon across all IOC </w:t>
      </w:r>
      <w:proofErr w:type="spellStart"/>
      <w:r w:rsidRPr="00BC79D5">
        <w:rPr>
          <w:lang w:val="en-US"/>
        </w:rPr>
        <w:t>programmes</w:t>
      </w:r>
      <w:proofErr w:type="spellEnd"/>
      <w:r w:rsidRPr="00BC79D5">
        <w:rPr>
          <w:lang w:val="en-US"/>
        </w:rPr>
        <w:t xml:space="preserve"> and projects. The IWG noted that IOC projects/</w:t>
      </w:r>
      <w:proofErr w:type="spellStart"/>
      <w:r w:rsidRPr="00BC79D5">
        <w:rPr>
          <w:lang w:val="en-US"/>
        </w:rPr>
        <w:t>programmes</w:t>
      </w:r>
      <w:proofErr w:type="spellEnd"/>
      <w:r w:rsidRPr="00BC79D5">
        <w:rPr>
          <w:lang w:val="en-US"/>
        </w:rPr>
        <w:t xml:space="preserve"> deal with a wide variety of data types that require different timelines, conditions of sharing and use licenses. It is therefore recommended that each of these communities develop more detailed implementation guidelines that respect the </w:t>
      </w:r>
      <w:r w:rsidR="00572B46">
        <w:rPr>
          <w:lang w:val="en-US"/>
        </w:rPr>
        <w:t>‘</w:t>
      </w:r>
      <w:r w:rsidRPr="00BC79D5">
        <w:rPr>
          <w:lang w:val="en-US"/>
        </w:rPr>
        <w:t>IOC Data Policy and Terms of Use (2023)</w:t>
      </w:r>
      <w:r w:rsidR="00572B46">
        <w:rPr>
          <w:lang w:val="en-US"/>
        </w:rPr>
        <w:t>’</w:t>
      </w:r>
      <w:r w:rsidRPr="00BC79D5">
        <w:rPr>
          <w:lang w:val="en-US"/>
        </w:rPr>
        <w:t xml:space="preserve"> </w:t>
      </w:r>
      <w:r w:rsidR="008E35A1">
        <w:rPr>
          <w:lang w:val="en-US"/>
        </w:rPr>
        <w:t xml:space="preserve">but </w:t>
      </w:r>
      <w:proofErr w:type="gramStart"/>
      <w:r w:rsidRPr="00BC79D5">
        <w:rPr>
          <w:lang w:val="en-US"/>
        </w:rPr>
        <w:t>tak</w:t>
      </w:r>
      <w:r w:rsidR="008E35A1">
        <w:rPr>
          <w:lang w:val="en-US"/>
        </w:rPr>
        <w:t>e</w:t>
      </w:r>
      <w:r w:rsidRPr="00BC79D5">
        <w:rPr>
          <w:lang w:val="en-US"/>
        </w:rPr>
        <w:t xml:space="preserve"> into account</w:t>
      </w:r>
      <w:proofErr w:type="gramEnd"/>
      <w:r w:rsidRPr="00BC79D5">
        <w:rPr>
          <w:lang w:val="en-US"/>
        </w:rPr>
        <w:t xml:space="preserve"> specific issues related to the data types they handle. Similarly, these </w:t>
      </w:r>
      <w:proofErr w:type="spellStart"/>
      <w:r w:rsidRPr="00BC79D5">
        <w:rPr>
          <w:lang w:val="en-US"/>
        </w:rPr>
        <w:t>programmes</w:t>
      </w:r>
      <w:proofErr w:type="spellEnd"/>
      <w:r w:rsidRPr="00BC79D5">
        <w:rPr>
          <w:lang w:val="en-US"/>
        </w:rPr>
        <w:t xml:space="preserve">/projects will need to consider that data </w:t>
      </w:r>
      <w:proofErr w:type="spellStart"/>
      <w:r w:rsidRPr="00A15DC5">
        <w:rPr>
          <w:lang w:val="en-US"/>
        </w:rPr>
        <w:t>centres</w:t>
      </w:r>
      <w:proofErr w:type="spellEnd"/>
      <w:r w:rsidR="00C55DE1" w:rsidRPr="00A15DC5">
        <w:rPr>
          <w:lang w:val="en-US"/>
        </w:rPr>
        <w:t xml:space="preserve"> </w:t>
      </w:r>
      <w:r w:rsidRPr="00A15DC5">
        <w:rPr>
          <w:lang w:val="en-US"/>
        </w:rPr>
        <w:t>/ data systems that</w:t>
      </w:r>
      <w:r w:rsidRPr="00BC79D5">
        <w:rPr>
          <w:lang w:val="en-US"/>
        </w:rPr>
        <w:t xml:space="preserve"> collect and disseminate data from a wide variety of data sources may face substantial technical challenges if they need to deal with widely varying use licenses. Specific agreements may be needed in such cases.</w:t>
      </w:r>
    </w:p>
    <w:p w14:paraId="6B52F161" w14:textId="77777777" w:rsidR="00BC79D5" w:rsidRPr="00A15DC5" w:rsidRDefault="00AD06D8" w:rsidP="00BC79D5">
      <w:pPr>
        <w:pStyle w:val="COI"/>
        <w:rPr>
          <w:b/>
          <w:bCs/>
        </w:rPr>
      </w:pPr>
      <w:r w:rsidRPr="00A15DC5">
        <w:rPr>
          <w:b/>
          <w:bCs/>
        </w:rPr>
        <w:t>Proposed decision</w:t>
      </w:r>
    </w:p>
    <w:p w14:paraId="10C1C20E" w14:textId="7366104A" w:rsidR="00AD06D8" w:rsidRPr="00BC79D5" w:rsidRDefault="00AD06D8" w:rsidP="00A15DC5">
      <w:pPr>
        <w:pStyle w:val="paranumbered"/>
        <w:spacing w:after="240" w:line="240" w:lineRule="auto"/>
        <w:rPr>
          <w:u w:val="single"/>
        </w:rPr>
      </w:pPr>
      <w:proofErr w:type="gramStart"/>
      <w:r w:rsidRPr="00003B31">
        <w:t xml:space="preserve">In </w:t>
      </w:r>
      <w:r w:rsidRPr="00AD06D8">
        <w:t>light</w:t>
      </w:r>
      <w:r w:rsidRPr="00003B31">
        <w:t xml:space="preserve"> of</w:t>
      </w:r>
      <w:proofErr w:type="gramEnd"/>
      <w:r w:rsidRPr="00003B31">
        <w:t xml:space="preserve"> the </w:t>
      </w:r>
      <w:r w:rsidRPr="00A15DC5">
        <w:rPr>
          <w:lang w:val="en-US"/>
        </w:rPr>
        <w:t>foregoing</w:t>
      </w:r>
      <w:r w:rsidRPr="00003B31">
        <w:t xml:space="preserve">, the IOC </w:t>
      </w:r>
      <w:r>
        <w:t>Assembly</w:t>
      </w:r>
      <w:r w:rsidRPr="00003B31">
        <w:t xml:space="preserve"> may wish to consider</w:t>
      </w:r>
      <w:r w:rsidR="00D336E1">
        <w:t xml:space="preserve"> Decision</w:t>
      </w:r>
      <w:r w:rsidRPr="00003B31">
        <w:t xml:space="preserve"> </w:t>
      </w:r>
      <w:r>
        <w:rPr>
          <w:lang w:val="en-US"/>
        </w:rPr>
        <w:t>IOC-</w:t>
      </w:r>
      <w:r w:rsidR="00BC79D5">
        <w:rPr>
          <w:lang w:val="en-US"/>
        </w:rPr>
        <w:t>32</w:t>
      </w:r>
      <w:r>
        <w:rPr>
          <w:b/>
        </w:rPr>
        <w:t>/</w:t>
      </w:r>
      <w:r w:rsidRPr="00003B31">
        <w:t>D</w:t>
      </w:r>
      <w:r w:rsidRPr="0068682C">
        <w:t>ec</w:t>
      </w:r>
      <w:r>
        <w:t>.</w:t>
      </w:r>
      <w:r w:rsidR="00BC79D5">
        <w:t>4</w:t>
      </w:r>
      <w:r>
        <w:t xml:space="preserve">.4 </w:t>
      </w:r>
      <w:r w:rsidR="00D336E1">
        <w:t xml:space="preserve">and the new </w:t>
      </w:r>
      <w:r w:rsidR="00572B46">
        <w:t>‘</w:t>
      </w:r>
      <w:r w:rsidR="00D336E1">
        <w:t>IOC Policy and Terms of Use (2023)</w:t>
      </w:r>
      <w:r w:rsidR="00572B46">
        <w:t>’</w:t>
      </w:r>
      <w:r w:rsidR="00D336E1">
        <w:t xml:space="preserve"> </w:t>
      </w:r>
      <w:r>
        <w:t>proposed in the Action Paper (IOC-</w:t>
      </w:r>
      <w:r w:rsidR="00BC79D5">
        <w:t>32</w:t>
      </w:r>
      <w:r>
        <w:t>/2 Prov.)</w:t>
      </w:r>
      <w:r w:rsidR="00D336E1">
        <w:t>.</w:t>
      </w:r>
    </w:p>
    <w:p w14:paraId="7B4BBF5C" w14:textId="77777777" w:rsidR="00AD06D8" w:rsidRDefault="00AD06D8" w:rsidP="00853565">
      <w:pPr>
        <w:pStyle w:val="COI"/>
      </w:pPr>
    </w:p>
    <w:sectPr w:rsidR="00AD06D8" w:rsidSect="003F7186">
      <w:headerReference w:type="even" r:id="rId19"/>
      <w:headerReference w:type="default" r:id="rId20"/>
      <w:headerReference w:type="first" r:id="rId21"/>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C99D1" w14:textId="77777777" w:rsidR="00B2190A" w:rsidRDefault="00B2190A">
      <w:r>
        <w:separator/>
      </w:r>
    </w:p>
  </w:endnote>
  <w:endnote w:type="continuationSeparator" w:id="0">
    <w:p w14:paraId="5D222172" w14:textId="77777777" w:rsidR="00B2190A" w:rsidRDefault="00B21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9E056" w14:textId="77777777" w:rsidR="00572B46" w:rsidRDefault="00572B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FC5BB" w14:textId="77777777" w:rsidR="00572B46" w:rsidRDefault="00572B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00C91" w14:textId="77777777" w:rsidR="00572B46" w:rsidRDefault="00572B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70849" w14:textId="77777777" w:rsidR="00B2190A" w:rsidRDefault="00B2190A">
      <w:r>
        <w:separator/>
      </w:r>
    </w:p>
  </w:footnote>
  <w:footnote w:type="continuationSeparator" w:id="0">
    <w:p w14:paraId="5097ADC2" w14:textId="77777777" w:rsidR="00B2190A" w:rsidRDefault="00B219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C5CDC" w14:textId="77777777" w:rsidR="00020AA1" w:rsidRPr="00C962F0" w:rsidRDefault="00020AA1">
    <w:pPr>
      <w:pStyle w:val="Header"/>
      <w:rPr>
        <w:szCs w:val="22"/>
      </w:rPr>
    </w:pPr>
    <w:r w:rsidRPr="00C962F0">
      <w:rPr>
        <w:szCs w:val="22"/>
      </w:rPr>
      <w:t>ICG/CARIBE-EWS II/WD </w:t>
    </w:r>
    <w:r w:rsidRPr="00C962F0">
      <w:rPr>
        <w:szCs w:val="22"/>
        <w:highlight w:val="cyan"/>
      </w:rPr>
      <w:t>__</w:t>
    </w:r>
  </w:p>
  <w:p w14:paraId="48634EFF" w14:textId="77777777" w:rsidR="00020AA1" w:rsidRPr="00C962F0" w:rsidRDefault="00020AA1">
    <w:pPr>
      <w:pStyle w:val="Header"/>
      <w:rPr>
        <w:szCs w:val="22"/>
      </w:rPr>
    </w:pPr>
    <w:r w:rsidRPr="00C962F0">
      <w:rPr>
        <w:szCs w:val="22"/>
      </w:rPr>
      <w:t>Page </w:t>
    </w:r>
    <w:r w:rsidRPr="00C962F0">
      <w:rPr>
        <w:rStyle w:val="PageNumber"/>
        <w:szCs w:val="22"/>
      </w:rPr>
      <w:fldChar w:fldCharType="begin"/>
    </w:r>
    <w:r w:rsidRPr="00C962F0">
      <w:rPr>
        <w:rStyle w:val="PageNumber"/>
        <w:szCs w:val="22"/>
      </w:rPr>
      <w:instrText xml:space="preserve"> PAGE </w:instrText>
    </w:r>
    <w:r w:rsidRPr="00C962F0">
      <w:rPr>
        <w:rStyle w:val="PageNumber"/>
        <w:szCs w:val="22"/>
      </w:rPr>
      <w:fldChar w:fldCharType="separate"/>
    </w:r>
    <w:r>
      <w:rPr>
        <w:rStyle w:val="PageNumber"/>
        <w:noProof/>
        <w:szCs w:val="22"/>
      </w:rPr>
      <w:t>2</w:t>
    </w:r>
    <w:r w:rsidRPr="00C962F0">
      <w:rPr>
        <w:rStyle w:val="PageNumbe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924D4" w14:textId="77777777" w:rsidR="00020AA1" w:rsidRPr="00746B89" w:rsidRDefault="00020AA1" w:rsidP="00DF2FB9">
    <w:pPr>
      <w:pStyle w:val="Header"/>
      <w:tabs>
        <w:tab w:val="clear" w:pos="8306"/>
      </w:tabs>
      <w:rPr>
        <w:szCs w:val="22"/>
      </w:rPr>
    </w:pPr>
    <w:r w:rsidRPr="00746B89">
      <w:rPr>
        <w:szCs w:val="22"/>
      </w:rPr>
      <w:t xml:space="preserve">IOC-XXIV/2 Annex </w:t>
    </w:r>
    <w:r w:rsidRPr="00746B89">
      <w:rPr>
        <w:szCs w:val="22"/>
        <w:highlight w:val="yellow"/>
      </w:rPr>
      <w:t>__</w:t>
    </w:r>
  </w:p>
  <w:p w14:paraId="4AA6D70B" w14:textId="77777777" w:rsidR="00020AA1" w:rsidRPr="00746B89" w:rsidRDefault="00020AA1" w:rsidP="00DF2FB9">
    <w:pPr>
      <w:pStyle w:val="Header"/>
      <w:tabs>
        <w:tab w:val="clear" w:pos="8306"/>
      </w:tabs>
      <w:rPr>
        <w:szCs w:val="22"/>
      </w:rPr>
    </w:pPr>
    <w:r w:rsidRPr="00746B89">
      <w:rPr>
        <w:szCs w:val="22"/>
      </w:rPr>
      <w:t>Page </w:t>
    </w:r>
    <w:r w:rsidRPr="00746B89">
      <w:rPr>
        <w:rStyle w:val="PageNumber"/>
        <w:szCs w:val="22"/>
      </w:rPr>
      <w:fldChar w:fldCharType="begin"/>
    </w:r>
    <w:r w:rsidRPr="00746B89">
      <w:rPr>
        <w:rStyle w:val="PageNumber"/>
        <w:szCs w:val="22"/>
      </w:rPr>
      <w:instrText xml:space="preserve"> PAGE </w:instrText>
    </w:r>
    <w:r w:rsidRPr="00746B89">
      <w:rPr>
        <w:rStyle w:val="PageNumber"/>
        <w:szCs w:val="22"/>
      </w:rPr>
      <w:fldChar w:fldCharType="separate"/>
    </w:r>
    <w:r>
      <w:rPr>
        <w:rStyle w:val="PageNumber"/>
        <w:noProof/>
        <w:szCs w:val="22"/>
      </w:rPr>
      <w:t>3</w:t>
    </w:r>
    <w:r w:rsidRPr="00746B89">
      <w:rPr>
        <w:rStyle w:val="PageNumber"/>
        <w:szCs w:val="22"/>
      </w:rPr>
      <w:fldChar w:fldCharType="end"/>
    </w:r>
  </w:p>
  <w:p w14:paraId="7D94AEC3" w14:textId="77777777" w:rsidR="00020AA1" w:rsidRPr="00DF2FB9" w:rsidRDefault="00020AA1"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623D0" w14:textId="2D8BCA17" w:rsidR="00020AA1" w:rsidRPr="005E544C" w:rsidRDefault="00020AA1" w:rsidP="00A15DC5">
    <w:pPr>
      <w:pStyle w:val="Marge"/>
      <w:tabs>
        <w:tab w:val="left" w:pos="6521"/>
      </w:tabs>
      <w:spacing w:after="0"/>
      <w:rPr>
        <w:rFonts w:cs="Arial"/>
        <w:b/>
        <w:szCs w:val="22"/>
      </w:rPr>
    </w:pPr>
    <w:r w:rsidRPr="005E544C">
      <w:rPr>
        <w:rFonts w:cs="Arial"/>
        <w:szCs w:val="22"/>
      </w:rPr>
      <w:t>Restricted Distribution</w:t>
    </w:r>
    <w:r w:rsidRPr="005E544C">
      <w:rPr>
        <w:rFonts w:cs="Arial"/>
        <w:szCs w:val="22"/>
      </w:rPr>
      <w:tab/>
    </w:r>
    <w:r w:rsidRPr="008A6E5C">
      <w:rPr>
        <w:rFonts w:cs="Arial"/>
        <w:b/>
        <w:sz w:val="36"/>
        <w:szCs w:val="36"/>
      </w:rPr>
      <w:t>IOC</w:t>
    </w:r>
    <w:r w:rsidR="00FC2521">
      <w:rPr>
        <w:rFonts w:cs="Arial"/>
        <w:b/>
        <w:sz w:val="36"/>
        <w:szCs w:val="36"/>
      </w:rPr>
      <w:t>-</w:t>
    </w:r>
    <w:r w:rsidR="005742D0">
      <w:rPr>
        <w:rFonts w:cs="Arial"/>
        <w:b/>
        <w:sz w:val="36"/>
        <w:szCs w:val="36"/>
      </w:rPr>
      <w:t>3</w:t>
    </w:r>
    <w:r w:rsidR="00BC79D5">
      <w:rPr>
        <w:rFonts w:cs="Arial"/>
        <w:b/>
        <w:sz w:val="36"/>
        <w:szCs w:val="36"/>
      </w:rPr>
      <w:t>2</w:t>
    </w:r>
    <w:r>
      <w:rPr>
        <w:rFonts w:cs="Arial"/>
        <w:b/>
        <w:sz w:val="36"/>
        <w:szCs w:val="36"/>
      </w:rPr>
      <w:t>/</w:t>
    </w:r>
    <w:r w:rsidR="00BC79D5">
      <w:rPr>
        <w:rFonts w:cs="Arial"/>
        <w:b/>
        <w:color w:val="000000" w:themeColor="text1"/>
        <w:sz w:val="36"/>
        <w:szCs w:val="36"/>
      </w:rPr>
      <w:t>4.</w:t>
    </w:r>
    <w:proofErr w:type="gramStart"/>
    <w:r w:rsidR="00BC79D5">
      <w:rPr>
        <w:rFonts w:cs="Arial"/>
        <w:b/>
        <w:color w:val="000000" w:themeColor="text1"/>
        <w:sz w:val="36"/>
        <w:szCs w:val="36"/>
      </w:rPr>
      <w:t>4</w:t>
    </w:r>
    <w:r w:rsidR="002C6394" w:rsidRPr="002C6394">
      <w:rPr>
        <w:rFonts w:cs="Arial"/>
        <w:b/>
        <w:color w:val="000000" w:themeColor="text1"/>
        <w:sz w:val="36"/>
        <w:szCs w:val="36"/>
      </w:rPr>
      <w:t>.</w:t>
    </w:r>
    <w:r w:rsidR="005742D0">
      <w:rPr>
        <w:rFonts w:cs="Arial"/>
        <w:b/>
        <w:sz w:val="36"/>
        <w:szCs w:val="36"/>
      </w:rPr>
      <w:t>Doc</w:t>
    </w:r>
    <w:proofErr w:type="gramEnd"/>
    <w:r w:rsidR="006F0A5B">
      <w:rPr>
        <w:rFonts w:cs="Arial"/>
        <w:b/>
        <w:sz w:val="36"/>
        <w:szCs w:val="36"/>
      </w:rPr>
      <w:t>(</w:t>
    </w:r>
    <w:r w:rsidR="00BC79D5">
      <w:rPr>
        <w:rFonts w:cs="Arial"/>
        <w:b/>
        <w:sz w:val="36"/>
        <w:szCs w:val="36"/>
      </w:rPr>
      <w:t>1</w:t>
    </w:r>
    <w:r w:rsidR="006F0A5B">
      <w:rPr>
        <w:rFonts w:cs="Arial"/>
        <w:b/>
        <w:sz w:val="36"/>
        <w:szCs w:val="36"/>
      </w:rPr>
      <w:t>)</w:t>
    </w:r>
  </w:p>
  <w:p w14:paraId="29D299B7" w14:textId="0936B090" w:rsidR="00020AA1" w:rsidRPr="005E544C" w:rsidRDefault="006F0A5B" w:rsidP="00A15DC5">
    <w:pPr>
      <w:tabs>
        <w:tab w:val="clear" w:pos="567"/>
        <w:tab w:val="left" w:pos="6521"/>
      </w:tabs>
      <w:jc w:val="both"/>
      <w:rPr>
        <w:rFonts w:cs="Arial"/>
        <w:szCs w:val="22"/>
      </w:rPr>
    </w:pPr>
    <w:r>
      <w:rPr>
        <w:noProof/>
      </w:rPr>
      <w:drawing>
        <wp:anchor distT="0" distB="0" distL="114300" distR="114300" simplePos="0" relativeHeight="251668480" behindDoc="0" locked="0" layoutInCell="1" allowOverlap="1" wp14:anchorId="2FEDFCD0" wp14:editId="5C2D139C">
          <wp:simplePos x="0" y="0"/>
          <wp:positionH relativeFrom="column">
            <wp:posOffset>-107950</wp:posOffset>
          </wp:positionH>
          <wp:positionV relativeFrom="paragraph">
            <wp:posOffset>191135</wp:posOffset>
          </wp:positionV>
          <wp:extent cx="1578610" cy="1047115"/>
          <wp:effectExtent l="0" t="0" r="2540" b="63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sidR="00020AA1" w:rsidRPr="005E544C">
      <w:rPr>
        <w:rFonts w:cs="Arial"/>
        <w:b/>
        <w:szCs w:val="22"/>
      </w:rPr>
      <w:tab/>
    </w:r>
    <w:r w:rsidR="00020AA1" w:rsidRPr="005E544C">
      <w:rPr>
        <w:rFonts w:cs="Arial"/>
        <w:szCs w:val="22"/>
      </w:rPr>
      <w:t xml:space="preserve">Paris, </w:t>
    </w:r>
    <w:r w:rsidR="00BC79D5">
      <w:rPr>
        <w:rFonts w:cs="Arial"/>
        <w:szCs w:val="22"/>
      </w:rPr>
      <w:t>1</w:t>
    </w:r>
    <w:r w:rsidR="00D30061">
      <w:rPr>
        <w:rFonts w:cs="Arial"/>
        <w:szCs w:val="22"/>
      </w:rPr>
      <w:t>7</w:t>
    </w:r>
    <w:r w:rsidR="00BC79D5">
      <w:rPr>
        <w:rFonts w:cs="Arial"/>
        <w:szCs w:val="22"/>
      </w:rPr>
      <w:t xml:space="preserve"> April 2023</w:t>
    </w:r>
  </w:p>
  <w:p w14:paraId="0F5FBA0E" w14:textId="3E6148F3" w:rsidR="00020AA1" w:rsidRPr="005E544C" w:rsidRDefault="00020AA1" w:rsidP="00A15DC5">
    <w:pPr>
      <w:tabs>
        <w:tab w:val="clear" w:pos="567"/>
        <w:tab w:val="left" w:pos="6521"/>
      </w:tabs>
      <w:jc w:val="both"/>
      <w:rPr>
        <w:rFonts w:cs="Arial"/>
        <w:szCs w:val="22"/>
      </w:rPr>
    </w:pPr>
    <w:r w:rsidRPr="005E544C">
      <w:rPr>
        <w:rFonts w:cs="Arial"/>
        <w:b/>
        <w:szCs w:val="22"/>
      </w:rPr>
      <w:tab/>
    </w:r>
    <w:r w:rsidRPr="005E544C">
      <w:rPr>
        <w:rFonts w:cs="Arial"/>
        <w:szCs w:val="22"/>
      </w:rPr>
      <w:t>Original: English</w:t>
    </w:r>
  </w:p>
  <w:p w14:paraId="667163E1" w14:textId="71B9C662" w:rsidR="00020AA1" w:rsidRPr="005E544C" w:rsidRDefault="00020AA1" w:rsidP="00E64936">
    <w:pPr>
      <w:tabs>
        <w:tab w:val="left" w:pos="-1440"/>
        <w:tab w:val="left" w:pos="-720"/>
        <w:tab w:val="left" w:pos="0"/>
        <w:tab w:val="left" w:pos="720"/>
        <w:tab w:val="left" w:pos="1440"/>
        <w:tab w:val="left" w:pos="2160"/>
        <w:tab w:val="left" w:pos="2880"/>
        <w:tab w:val="left" w:pos="3600"/>
        <w:tab w:val="left" w:pos="4320"/>
        <w:tab w:val="left" w:pos="5040"/>
        <w:tab w:val="left" w:pos="5220"/>
        <w:tab w:val="left" w:pos="5523"/>
        <w:tab w:val="left" w:pos="5760"/>
        <w:tab w:val="left" w:pos="6480"/>
        <w:tab w:val="left" w:pos="6660"/>
        <w:tab w:val="left" w:pos="7020"/>
      </w:tabs>
      <w:jc w:val="both"/>
      <w:rPr>
        <w:rFonts w:cs="Arial"/>
        <w:b/>
        <w:szCs w:val="22"/>
      </w:rPr>
    </w:pPr>
  </w:p>
  <w:p w14:paraId="2711A2CE" w14:textId="43D0EBD0" w:rsidR="00020AA1" w:rsidRDefault="00020AA1" w:rsidP="00DF2FB9">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rPr>
    </w:pPr>
  </w:p>
  <w:p w14:paraId="40F3757C" w14:textId="2FD786A7" w:rsidR="006F0A5B" w:rsidRDefault="006F0A5B" w:rsidP="00DF2FB9">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rPr>
    </w:pPr>
  </w:p>
  <w:p w14:paraId="7A559420" w14:textId="2BCF1849" w:rsidR="006F0A5B" w:rsidRDefault="006F0A5B" w:rsidP="00DF2FB9">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rPr>
    </w:pPr>
  </w:p>
  <w:p w14:paraId="42E382A9" w14:textId="51FE1363" w:rsidR="006F0A5B" w:rsidRDefault="006F0A5B" w:rsidP="00DF2FB9">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rPr>
    </w:pPr>
  </w:p>
  <w:p w14:paraId="1B3A8FEA" w14:textId="106A0A74" w:rsidR="006F0A5B" w:rsidRDefault="006F0A5B" w:rsidP="00DF2FB9">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rPr>
    </w:pPr>
  </w:p>
  <w:p w14:paraId="73A0B722" w14:textId="77777777" w:rsidR="006F0A5B" w:rsidRDefault="006F0A5B" w:rsidP="006F0A5B">
    <w:pPr>
      <w:tabs>
        <w:tab w:val="left" w:pos="-1440"/>
        <w:tab w:val="left" w:pos="-720"/>
        <w:tab w:val="left" w:pos="720"/>
        <w:tab w:val="left" w:pos="2160"/>
        <w:tab w:val="left" w:pos="3600"/>
        <w:tab w:val="left" w:pos="4320"/>
        <w:tab w:val="left" w:pos="5040"/>
        <w:tab w:val="left" w:pos="5523"/>
        <w:tab w:val="left" w:pos="6480"/>
      </w:tabs>
      <w:jc w:val="center"/>
      <w:rPr>
        <w:rFonts w:cs="Arial"/>
        <w:b/>
        <w:szCs w:val="22"/>
      </w:rPr>
    </w:pPr>
  </w:p>
  <w:p w14:paraId="5750CC60" w14:textId="791D49AF" w:rsidR="006F0A5B" w:rsidRPr="00423BDE" w:rsidRDefault="006F0A5B" w:rsidP="006F0A5B">
    <w:pPr>
      <w:tabs>
        <w:tab w:val="left" w:pos="-1440"/>
        <w:tab w:val="left" w:pos="-720"/>
        <w:tab w:val="left" w:pos="720"/>
        <w:tab w:val="left" w:pos="2160"/>
        <w:tab w:val="left" w:pos="3600"/>
        <w:tab w:val="left" w:pos="4320"/>
        <w:tab w:val="left" w:pos="5040"/>
        <w:tab w:val="left" w:pos="5523"/>
        <w:tab w:val="left" w:pos="6480"/>
      </w:tabs>
      <w:jc w:val="center"/>
      <w:rPr>
        <w:rFonts w:cs="Arial"/>
        <w:b/>
        <w:szCs w:val="22"/>
      </w:rPr>
    </w:pPr>
    <w:r w:rsidRPr="00423BDE">
      <w:rPr>
        <w:rFonts w:cs="Arial"/>
        <w:b/>
        <w:szCs w:val="22"/>
      </w:rPr>
      <w:t>INTERGOVERNMENTAL OCEANOGRAPHIC COMMISSION</w:t>
    </w:r>
  </w:p>
  <w:p w14:paraId="51BD55CB" w14:textId="77777777" w:rsidR="006F0A5B" w:rsidRPr="00423BDE" w:rsidRDefault="006F0A5B" w:rsidP="006F0A5B">
    <w:pPr>
      <w:tabs>
        <w:tab w:val="left" w:pos="-1440"/>
        <w:tab w:val="left" w:pos="-720"/>
        <w:tab w:val="left" w:pos="720"/>
        <w:tab w:val="left" w:pos="2160"/>
        <w:tab w:val="left" w:pos="3600"/>
        <w:tab w:val="left" w:pos="4320"/>
        <w:tab w:val="left" w:pos="5040"/>
        <w:tab w:val="left" w:pos="5523"/>
        <w:tab w:val="left" w:pos="6480"/>
      </w:tabs>
      <w:jc w:val="center"/>
      <w:rPr>
        <w:rFonts w:cs="Arial"/>
        <w:bCs/>
        <w:szCs w:val="22"/>
      </w:rPr>
    </w:pPr>
    <w:r w:rsidRPr="00423BDE">
      <w:rPr>
        <w:rFonts w:cs="Arial"/>
        <w:bCs/>
        <w:szCs w:val="22"/>
      </w:rPr>
      <w:t>(of UNESCO)</w:t>
    </w:r>
  </w:p>
  <w:p w14:paraId="67911B32" w14:textId="77777777" w:rsidR="006F0A5B" w:rsidRPr="00423BDE" w:rsidRDefault="006F0A5B" w:rsidP="006F0A5B">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cs="Arial"/>
        <w:b/>
        <w:szCs w:val="22"/>
      </w:rPr>
    </w:pPr>
  </w:p>
  <w:p w14:paraId="44CD2DD2" w14:textId="77777777" w:rsidR="006F0A5B" w:rsidRPr="009F24D8" w:rsidRDefault="006F0A5B" w:rsidP="006F0A5B">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b/>
      </w:rPr>
    </w:pPr>
    <w:r w:rsidRPr="009F24D8">
      <w:rPr>
        <w:rFonts w:cs="Arial"/>
        <w:b/>
      </w:rPr>
      <w:t>Thirt</w:t>
    </w:r>
    <w:r>
      <w:rPr>
        <w:rFonts w:cs="Arial"/>
        <w:b/>
      </w:rPr>
      <w:t xml:space="preserve">y-second </w:t>
    </w:r>
    <w:r w:rsidRPr="009F24D8">
      <w:rPr>
        <w:rFonts w:cs="Arial"/>
        <w:b/>
      </w:rPr>
      <w:t>Session of the Assembly</w:t>
    </w:r>
  </w:p>
  <w:p w14:paraId="0E63B745" w14:textId="77777777" w:rsidR="006F0A5B" w:rsidRPr="009F24D8" w:rsidRDefault="006F0A5B" w:rsidP="006F0A5B">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szCs w:val="22"/>
      </w:rPr>
    </w:pPr>
    <w:r w:rsidRPr="009F24D8">
      <w:rPr>
        <w:rFonts w:cs="Arial"/>
      </w:rPr>
      <w:t xml:space="preserve">UNESCO, </w:t>
    </w:r>
    <w:r>
      <w:rPr>
        <w:rFonts w:cs="Arial"/>
      </w:rPr>
      <w:t xml:space="preserve">21–30 </w:t>
    </w:r>
    <w:r w:rsidRPr="009F24D8">
      <w:rPr>
        <w:rFonts w:cs="Arial"/>
      </w:rPr>
      <w:t>June 20</w:t>
    </w:r>
    <w:r>
      <w:rPr>
        <w:rFonts w:cs="Arial"/>
      </w:rPr>
      <w:t>23</w:t>
    </w:r>
  </w:p>
  <w:p w14:paraId="227A8DB6" w14:textId="77777777" w:rsidR="006F0A5B" w:rsidRPr="00423BDE" w:rsidRDefault="006F0A5B" w:rsidP="006F0A5B">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Cs/>
        <w:szCs w:val="22"/>
      </w:rPr>
    </w:pPr>
  </w:p>
  <w:p w14:paraId="6A36CD0E" w14:textId="77777777" w:rsidR="00020AA1" w:rsidRPr="005E544C" w:rsidRDefault="00020AA1" w:rsidP="003F7186">
    <w:pPr>
      <w:tabs>
        <w:tab w:val="left" w:pos="-1440"/>
        <w:tab w:val="left" w:pos="-720"/>
        <w:tab w:val="left" w:pos="720"/>
        <w:tab w:val="left" w:pos="1440"/>
        <w:tab w:val="left" w:pos="2160"/>
        <w:tab w:val="left" w:pos="3600"/>
        <w:tab w:val="left" w:pos="4320"/>
        <w:tab w:val="left" w:pos="5040"/>
        <w:tab w:val="left" w:pos="5523"/>
        <w:tab w:val="left" w:pos="6480"/>
      </w:tabs>
      <w:ind w:left="2772"/>
      <w:rPr>
        <w:rFonts w:cs="Arial"/>
        <w:bCs/>
        <w:szCs w:val="22"/>
      </w:rPr>
    </w:pPr>
  </w:p>
  <w:p w14:paraId="53657511" w14:textId="77777777" w:rsidR="00020AA1" w:rsidRPr="005E544C" w:rsidRDefault="00020AA1" w:rsidP="00DF2FB9">
    <w:pPr>
      <w:jc w:val="center"/>
      <w:rPr>
        <w:rFonts w:cs="Arial"/>
        <w:szCs w:val="22"/>
      </w:rPr>
    </w:pPr>
  </w:p>
  <w:p w14:paraId="7648E4FD" w14:textId="77777777" w:rsidR="00020AA1" w:rsidRDefault="00020AA1" w:rsidP="00DF2FB9">
    <w:pPr>
      <w:jc w:val="center"/>
      <w:rPr>
        <w:rFonts w:cs="Arial"/>
        <w:szCs w:val="22"/>
      </w:rPr>
    </w:pPr>
  </w:p>
  <w:p w14:paraId="6585B99D" w14:textId="77777777" w:rsidR="00020AA1" w:rsidRDefault="00020AA1" w:rsidP="00DF2FB9">
    <w:pPr>
      <w:jc w:val="center"/>
      <w:rPr>
        <w:rFonts w:cs="Arial"/>
        <w:szCs w:val="22"/>
      </w:rPr>
    </w:pPr>
  </w:p>
  <w:p w14:paraId="562EB80A" w14:textId="77777777" w:rsidR="00020AA1" w:rsidRDefault="00020AA1" w:rsidP="00DF2FB9">
    <w:pPr>
      <w:jc w:val="center"/>
      <w:rPr>
        <w:rFonts w:cs="Arial"/>
        <w:szCs w:val="22"/>
      </w:rPr>
    </w:pPr>
  </w:p>
  <w:p w14:paraId="51BC0570" w14:textId="5CBF772C" w:rsidR="00020AA1" w:rsidRPr="008D2398" w:rsidRDefault="00020AA1" w:rsidP="00DF2FB9">
    <w:pPr>
      <w:pStyle w:val="Heading7"/>
      <w:tabs>
        <w:tab w:val="right" w:pos="9540"/>
      </w:tabs>
      <w:rPr>
        <w:rFonts w:cs="Arial"/>
        <w:sz w:val="24"/>
        <w:u w:val="none"/>
      </w:rPr>
    </w:pPr>
    <w:r w:rsidRPr="00413F17">
      <w:rPr>
        <w:rFonts w:cs="Arial"/>
        <w:sz w:val="24"/>
      </w:rPr>
      <w:t>I</w:t>
    </w:r>
    <w:r w:rsidRPr="008D2398">
      <w:rPr>
        <w:rFonts w:cs="Arial"/>
        <w:sz w:val="24"/>
      </w:rPr>
      <w:t xml:space="preserve">tem </w:t>
    </w:r>
    <w:r w:rsidR="00BC79D5">
      <w:rPr>
        <w:rFonts w:cs="Arial"/>
        <w:b/>
        <w:sz w:val="24"/>
      </w:rPr>
      <w:t>4</w:t>
    </w:r>
    <w:r w:rsidR="002C6394">
      <w:rPr>
        <w:rFonts w:cs="Arial"/>
        <w:b/>
        <w:sz w:val="24"/>
      </w:rPr>
      <w:t>.4.</w:t>
    </w:r>
    <w:r w:rsidR="00BC79D5">
      <w:rPr>
        <w:rFonts w:cs="Arial"/>
        <w:b/>
        <w:sz w:val="24"/>
      </w:rPr>
      <w:t xml:space="preserve"> </w:t>
    </w:r>
    <w:r w:rsidRPr="008D2398">
      <w:rPr>
        <w:rFonts w:cs="Arial"/>
        <w:sz w:val="24"/>
      </w:rPr>
      <w:t>of the Provisional Agenda</w:t>
    </w:r>
  </w:p>
  <w:p w14:paraId="35296AD6" w14:textId="77777777" w:rsidR="00020AA1" w:rsidRPr="005E544C" w:rsidRDefault="00020AA1" w:rsidP="00DF2FB9">
    <w:pPr>
      <w:rPr>
        <w:rFonts w:cs="Arial"/>
        <w:szCs w:val="22"/>
      </w:rPr>
    </w:pPr>
  </w:p>
  <w:p w14:paraId="10F462B8" w14:textId="77777777" w:rsidR="00020AA1" w:rsidRPr="005E544C" w:rsidRDefault="00020AA1" w:rsidP="00DF2FB9">
    <w:pPr>
      <w:rPr>
        <w:rFonts w:cs="Arial"/>
        <w:szCs w:val="22"/>
      </w:rPr>
    </w:pPr>
  </w:p>
  <w:p w14:paraId="0A7BF18E" w14:textId="1F59DBDA" w:rsidR="00020AA1" w:rsidRPr="009C15B1" w:rsidRDefault="00BC79D5" w:rsidP="009C15B1">
    <w:pPr>
      <w:pStyle w:val="Docheading"/>
    </w:pPr>
    <w:r w:rsidRPr="00BC79D5">
      <w:t>Revision of the IOC Oceanographic Data Exchange Policy</w:t>
    </w:r>
    <w:r>
      <w:t xml:space="preserve"> (2003, 2019)</w:t>
    </w:r>
  </w:p>
  <w:p w14:paraId="4FEE9DB7" w14:textId="77777777" w:rsidR="00020AA1" w:rsidRPr="005E544C" w:rsidRDefault="00020AA1" w:rsidP="00DF2FB9">
    <w:pPr>
      <w:pStyle w:val="Header"/>
      <w:rPr>
        <w:rFonts w:cs="Arial"/>
        <w:szCs w:val="22"/>
      </w:rPr>
    </w:pPr>
  </w:p>
  <w:p w14:paraId="10255A1D" w14:textId="77777777" w:rsidR="00020AA1" w:rsidRPr="005E544C" w:rsidRDefault="00020AA1">
    <w:pPr>
      <w:pStyle w:val="Header"/>
      <w:rPr>
        <w:rFonts w:cs="Arial"/>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EB8F4" w14:textId="6D20A243" w:rsidR="00EE10D0" w:rsidRPr="00EE10D0" w:rsidRDefault="00EE10D0" w:rsidP="00EE10D0">
    <w:pPr>
      <w:pStyle w:val="Header"/>
      <w:rPr>
        <w:rFonts w:cs="Arial"/>
        <w:color w:val="000000" w:themeColor="text1"/>
        <w:sz w:val="20"/>
        <w:szCs w:val="20"/>
      </w:rPr>
    </w:pPr>
    <w:r w:rsidRPr="00EE10D0">
      <w:rPr>
        <w:rFonts w:cs="Arial"/>
        <w:color w:val="000000" w:themeColor="text1"/>
        <w:sz w:val="20"/>
        <w:szCs w:val="20"/>
      </w:rPr>
      <w:t>IOC-3</w:t>
    </w:r>
    <w:r w:rsidR="00BC79D5">
      <w:rPr>
        <w:rFonts w:cs="Arial"/>
        <w:color w:val="000000" w:themeColor="text1"/>
        <w:sz w:val="20"/>
        <w:szCs w:val="20"/>
      </w:rPr>
      <w:t>2</w:t>
    </w:r>
    <w:r w:rsidRPr="00EE10D0">
      <w:rPr>
        <w:rFonts w:cs="Arial"/>
        <w:color w:val="000000" w:themeColor="text1"/>
        <w:sz w:val="20"/>
        <w:szCs w:val="20"/>
      </w:rPr>
      <w:t>/</w:t>
    </w:r>
    <w:r w:rsidR="00BC79D5">
      <w:rPr>
        <w:rFonts w:cs="Arial"/>
        <w:color w:val="000000" w:themeColor="text1"/>
        <w:sz w:val="20"/>
        <w:szCs w:val="20"/>
      </w:rPr>
      <w:t>4</w:t>
    </w:r>
    <w:r w:rsidRPr="00EE10D0">
      <w:rPr>
        <w:rFonts w:cs="Arial"/>
        <w:color w:val="000000" w:themeColor="text1"/>
        <w:sz w:val="20"/>
        <w:szCs w:val="20"/>
      </w:rPr>
      <w:t>.</w:t>
    </w:r>
    <w:proofErr w:type="gramStart"/>
    <w:r w:rsidRPr="00EE10D0">
      <w:rPr>
        <w:rFonts w:cs="Arial"/>
        <w:color w:val="000000" w:themeColor="text1"/>
        <w:sz w:val="20"/>
        <w:szCs w:val="20"/>
      </w:rPr>
      <w:t>4.Doc</w:t>
    </w:r>
    <w:proofErr w:type="gramEnd"/>
    <w:r w:rsidR="006F0A5B">
      <w:rPr>
        <w:rFonts w:cs="Arial"/>
        <w:color w:val="000000" w:themeColor="text1"/>
        <w:sz w:val="20"/>
        <w:szCs w:val="20"/>
      </w:rPr>
      <w:t>(1)</w:t>
    </w:r>
  </w:p>
  <w:p w14:paraId="6062F566" w14:textId="77777777" w:rsidR="00020AA1" w:rsidRPr="006842FA" w:rsidRDefault="00003B31" w:rsidP="00746B89">
    <w:pPr>
      <w:pStyle w:val="Header"/>
      <w:tabs>
        <w:tab w:val="clear" w:pos="8306"/>
      </w:tabs>
      <w:rPr>
        <w:rFonts w:cs="Arial"/>
        <w:sz w:val="20"/>
        <w:szCs w:val="20"/>
      </w:rPr>
    </w:pPr>
    <w:r>
      <w:rPr>
        <w:rFonts w:cs="Arial"/>
        <w:sz w:val="20"/>
        <w:szCs w:val="20"/>
      </w:rPr>
      <w:t>p</w:t>
    </w:r>
    <w:r w:rsidR="00020AA1" w:rsidRPr="006842FA">
      <w:rPr>
        <w:rFonts w:cs="Arial"/>
        <w:sz w:val="20"/>
        <w:szCs w:val="20"/>
      </w:rPr>
      <w:t>age </w:t>
    </w:r>
    <w:r w:rsidR="00020AA1" w:rsidRPr="006842FA">
      <w:rPr>
        <w:rStyle w:val="PageNumber"/>
        <w:rFonts w:cs="Arial"/>
        <w:sz w:val="20"/>
        <w:szCs w:val="20"/>
      </w:rPr>
      <w:fldChar w:fldCharType="begin"/>
    </w:r>
    <w:r w:rsidR="00020AA1" w:rsidRPr="006842FA">
      <w:rPr>
        <w:rStyle w:val="PageNumber"/>
        <w:rFonts w:cs="Arial"/>
        <w:sz w:val="20"/>
        <w:szCs w:val="20"/>
      </w:rPr>
      <w:instrText xml:space="preserve"> PAGE </w:instrText>
    </w:r>
    <w:r w:rsidR="00020AA1" w:rsidRPr="006842FA">
      <w:rPr>
        <w:rStyle w:val="PageNumber"/>
        <w:rFonts w:cs="Arial"/>
        <w:sz w:val="20"/>
        <w:szCs w:val="20"/>
      </w:rPr>
      <w:fldChar w:fldCharType="separate"/>
    </w:r>
    <w:r w:rsidR="00355412">
      <w:rPr>
        <w:rStyle w:val="PageNumber"/>
        <w:rFonts w:cs="Arial"/>
        <w:noProof/>
        <w:sz w:val="20"/>
        <w:szCs w:val="20"/>
      </w:rPr>
      <w:t>2</w:t>
    </w:r>
    <w:r w:rsidR="00020AA1" w:rsidRPr="006842FA">
      <w:rPr>
        <w:rStyle w:val="PageNumber"/>
        <w:rFonts w:cs="Arial"/>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A1FEF" w14:textId="17FDD868" w:rsidR="00EE10D0" w:rsidRPr="00EE10D0" w:rsidRDefault="00EE10D0" w:rsidP="00EE10D0">
    <w:pPr>
      <w:pStyle w:val="Header"/>
      <w:jc w:val="right"/>
      <w:rPr>
        <w:rFonts w:cs="Arial"/>
        <w:color w:val="000000" w:themeColor="text1"/>
        <w:sz w:val="20"/>
        <w:szCs w:val="20"/>
      </w:rPr>
    </w:pPr>
    <w:r w:rsidRPr="00EE10D0">
      <w:rPr>
        <w:rFonts w:cs="Arial"/>
        <w:color w:val="000000" w:themeColor="text1"/>
        <w:sz w:val="20"/>
        <w:szCs w:val="20"/>
      </w:rPr>
      <w:t>IOC-3</w:t>
    </w:r>
    <w:r w:rsidR="00BC79D5">
      <w:rPr>
        <w:rFonts w:cs="Arial"/>
        <w:color w:val="000000" w:themeColor="text1"/>
        <w:sz w:val="20"/>
        <w:szCs w:val="20"/>
      </w:rPr>
      <w:t>2</w:t>
    </w:r>
    <w:r w:rsidRPr="00EE10D0">
      <w:rPr>
        <w:rFonts w:cs="Arial"/>
        <w:color w:val="000000" w:themeColor="text1"/>
        <w:sz w:val="20"/>
        <w:szCs w:val="20"/>
      </w:rPr>
      <w:t>/</w:t>
    </w:r>
    <w:r w:rsidR="00BC79D5">
      <w:rPr>
        <w:rFonts w:cs="Arial"/>
        <w:color w:val="000000" w:themeColor="text1"/>
        <w:sz w:val="20"/>
        <w:szCs w:val="20"/>
      </w:rPr>
      <w:t>4</w:t>
    </w:r>
    <w:r w:rsidRPr="00EE10D0">
      <w:rPr>
        <w:rFonts w:cs="Arial"/>
        <w:color w:val="000000" w:themeColor="text1"/>
        <w:sz w:val="20"/>
        <w:szCs w:val="20"/>
      </w:rPr>
      <w:t>.</w:t>
    </w:r>
    <w:proofErr w:type="gramStart"/>
    <w:r w:rsidRPr="00EE10D0">
      <w:rPr>
        <w:rFonts w:cs="Arial"/>
        <w:color w:val="000000" w:themeColor="text1"/>
        <w:sz w:val="20"/>
        <w:szCs w:val="20"/>
      </w:rPr>
      <w:t>4.Doc</w:t>
    </w:r>
    <w:proofErr w:type="gramEnd"/>
    <w:r w:rsidR="006F0A5B">
      <w:rPr>
        <w:rFonts w:cs="Arial"/>
        <w:color w:val="000000" w:themeColor="text1"/>
        <w:sz w:val="20"/>
        <w:szCs w:val="20"/>
      </w:rPr>
      <w:t>(</w:t>
    </w:r>
    <w:r w:rsidR="00BC79D5">
      <w:rPr>
        <w:rFonts w:cs="Arial"/>
        <w:color w:val="000000" w:themeColor="text1"/>
        <w:sz w:val="20"/>
        <w:szCs w:val="20"/>
      </w:rPr>
      <w:t>1</w:t>
    </w:r>
    <w:r w:rsidR="006F0A5B">
      <w:rPr>
        <w:rFonts w:cs="Arial"/>
        <w:color w:val="000000" w:themeColor="text1"/>
        <w:sz w:val="20"/>
        <w:szCs w:val="20"/>
      </w:rPr>
      <w:t>)</w:t>
    </w:r>
  </w:p>
  <w:p w14:paraId="59307D7E" w14:textId="0063CF33" w:rsidR="00020AA1" w:rsidRPr="00FC2521" w:rsidRDefault="00EE10D0" w:rsidP="005742D0">
    <w:pPr>
      <w:pStyle w:val="Header"/>
      <w:tabs>
        <w:tab w:val="clear" w:pos="8306"/>
      </w:tabs>
      <w:ind w:left="7655"/>
      <w:rPr>
        <w:rFonts w:cs="Arial"/>
        <w:sz w:val="20"/>
        <w:szCs w:val="22"/>
        <w:lang w:val="fr-FR"/>
      </w:rPr>
    </w:pPr>
    <w:r>
      <w:rPr>
        <w:rFonts w:cs="Arial"/>
        <w:sz w:val="20"/>
        <w:szCs w:val="22"/>
        <w:lang w:val="fr-FR"/>
      </w:rPr>
      <w:tab/>
    </w:r>
    <w:r w:rsidR="00BC79D5">
      <w:rPr>
        <w:rFonts w:cs="Arial"/>
        <w:sz w:val="20"/>
        <w:szCs w:val="22"/>
        <w:lang w:val="fr-FR"/>
      </w:rPr>
      <w:t xml:space="preserve">  </w:t>
    </w:r>
    <w:proofErr w:type="gramStart"/>
    <w:r w:rsidR="00003B31" w:rsidRPr="00FC2521">
      <w:rPr>
        <w:rFonts w:cs="Arial"/>
        <w:sz w:val="20"/>
        <w:szCs w:val="22"/>
        <w:lang w:val="fr-FR"/>
      </w:rPr>
      <w:t>p</w:t>
    </w:r>
    <w:r w:rsidR="00020AA1" w:rsidRPr="00FC2521">
      <w:rPr>
        <w:rFonts w:cs="Arial"/>
        <w:sz w:val="20"/>
        <w:szCs w:val="22"/>
        <w:lang w:val="fr-FR"/>
      </w:rPr>
      <w:t>age</w:t>
    </w:r>
    <w:proofErr w:type="gramEnd"/>
    <w:r w:rsidR="00020AA1" w:rsidRPr="00FC2521">
      <w:rPr>
        <w:rFonts w:cs="Arial"/>
        <w:sz w:val="20"/>
        <w:szCs w:val="22"/>
        <w:lang w:val="fr-FR"/>
      </w:rPr>
      <w:t> </w:t>
    </w:r>
    <w:r w:rsidR="00020AA1" w:rsidRPr="00FC2521">
      <w:rPr>
        <w:rStyle w:val="PageNumber"/>
        <w:rFonts w:cs="Arial"/>
        <w:sz w:val="20"/>
        <w:szCs w:val="22"/>
      </w:rPr>
      <w:fldChar w:fldCharType="begin"/>
    </w:r>
    <w:r w:rsidR="00020AA1" w:rsidRPr="00FC2521">
      <w:rPr>
        <w:rStyle w:val="PageNumber"/>
        <w:rFonts w:cs="Arial"/>
        <w:sz w:val="20"/>
        <w:szCs w:val="22"/>
        <w:lang w:val="fr-FR"/>
      </w:rPr>
      <w:instrText xml:space="preserve"> PAGE </w:instrText>
    </w:r>
    <w:r w:rsidR="00020AA1" w:rsidRPr="00FC2521">
      <w:rPr>
        <w:rStyle w:val="PageNumber"/>
        <w:rFonts w:cs="Arial"/>
        <w:sz w:val="20"/>
        <w:szCs w:val="22"/>
      </w:rPr>
      <w:fldChar w:fldCharType="separate"/>
    </w:r>
    <w:r w:rsidR="00355412">
      <w:rPr>
        <w:rStyle w:val="PageNumber"/>
        <w:rFonts w:cs="Arial"/>
        <w:noProof/>
        <w:sz w:val="20"/>
        <w:szCs w:val="22"/>
        <w:lang w:val="fr-FR"/>
      </w:rPr>
      <w:t>3</w:t>
    </w:r>
    <w:r w:rsidR="00020AA1" w:rsidRPr="00FC2521">
      <w:rPr>
        <w:rStyle w:val="PageNumber"/>
        <w:rFonts w:cs="Arial"/>
        <w:sz w:val="20"/>
        <w:szCs w:val="22"/>
      </w:rPr>
      <w:fldChar w:fldCharType="end"/>
    </w:r>
  </w:p>
  <w:p w14:paraId="344B420F" w14:textId="77777777" w:rsidR="00020AA1" w:rsidRPr="00FC2521" w:rsidRDefault="00020AA1" w:rsidP="005742D0">
    <w:pPr>
      <w:pStyle w:val="Header"/>
      <w:ind w:left="7655"/>
      <w:rPr>
        <w:rFonts w:cs="Arial"/>
        <w:sz w:val="20"/>
        <w:szCs w:val="22"/>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7C42D" w14:textId="10107A99" w:rsidR="00020AA1" w:rsidRPr="00EE10D0" w:rsidRDefault="005742D0" w:rsidP="00294AD5">
    <w:pPr>
      <w:pStyle w:val="Header"/>
      <w:jc w:val="right"/>
      <w:rPr>
        <w:rFonts w:cs="Arial"/>
        <w:color w:val="000000" w:themeColor="text1"/>
        <w:sz w:val="20"/>
        <w:szCs w:val="20"/>
      </w:rPr>
    </w:pPr>
    <w:r w:rsidRPr="00EE10D0">
      <w:rPr>
        <w:rFonts w:cs="Arial"/>
        <w:color w:val="000000" w:themeColor="text1"/>
        <w:sz w:val="20"/>
        <w:szCs w:val="20"/>
      </w:rPr>
      <w:t>IOC-3</w:t>
    </w:r>
    <w:r w:rsidR="00BC79D5">
      <w:rPr>
        <w:rFonts w:cs="Arial"/>
        <w:color w:val="000000" w:themeColor="text1"/>
        <w:sz w:val="20"/>
        <w:szCs w:val="20"/>
      </w:rPr>
      <w:t>2</w:t>
    </w:r>
    <w:r w:rsidRPr="00EE10D0">
      <w:rPr>
        <w:rFonts w:cs="Arial"/>
        <w:color w:val="000000" w:themeColor="text1"/>
        <w:sz w:val="20"/>
        <w:szCs w:val="20"/>
      </w:rPr>
      <w:t>/</w:t>
    </w:r>
    <w:r w:rsidR="00BC79D5">
      <w:rPr>
        <w:rFonts w:cs="Arial"/>
        <w:color w:val="000000" w:themeColor="text1"/>
        <w:sz w:val="20"/>
        <w:szCs w:val="20"/>
      </w:rPr>
      <w:t>4</w:t>
    </w:r>
    <w:r w:rsidR="00EE10D0" w:rsidRPr="00EE10D0">
      <w:rPr>
        <w:rFonts w:cs="Arial"/>
        <w:color w:val="000000" w:themeColor="text1"/>
        <w:sz w:val="20"/>
        <w:szCs w:val="20"/>
      </w:rPr>
      <w:t>.</w:t>
    </w:r>
    <w:proofErr w:type="gramStart"/>
    <w:r w:rsidR="00EE10D0" w:rsidRPr="00EE10D0">
      <w:rPr>
        <w:rFonts w:cs="Arial"/>
        <w:color w:val="000000" w:themeColor="text1"/>
        <w:sz w:val="20"/>
        <w:szCs w:val="20"/>
      </w:rPr>
      <w:t>4.</w:t>
    </w:r>
    <w:r w:rsidRPr="00EE10D0">
      <w:rPr>
        <w:rFonts w:cs="Arial"/>
        <w:color w:val="000000" w:themeColor="text1"/>
        <w:sz w:val="20"/>
        <w:szCs w:val="20"/>
      </w:rPr>
      <w:t>Doc</w:t>
    </w:r>
    <w:proofErr w:type="gramEnd"/>
    <w:r w:rsidR="00C869D0">
      <w:rPr>
        <w:rFonts w:cs="Arial"/>
        <w:color w:val="000000" w:themeColor="text1"/>
        <w:sz w:val="20"/>
        <w:szCs w:val="20"/>
      </w:rPr>
      <w:t>(</w:t>
    </w:r>
    <w:r w:rsidR="00BC79D5">
      <w:rPr>
        <w:rFonts w:cs="Arial"/>
        <w:color w:val="000000" w:themeColor="text1"/>
        <w:sz w:val="20"/>
        <w:szCs w:val="20"/>
      </w:rPr>
      <w:t>1</w:t>
    </w:r>
    <w:r w:rsidR="00C869D0">
      <w:rPr>
        <w:rFonts w:cs="Arial"/>
        <w:color w:val="000000" w:themeColor="text1"/>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BB0C6A"/>
    <w:multiLevelType w:val="multilevel"/>
    <w:tmpl w:val="F9C6B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4" w15:restartNumberingAfterBreak="0">
    <w:nsid w:val="4B204C64"/>
    <w:multiLevelType w:val="hybridMultilevel"/>
    <w:tmpl w:val="C114D6EC"/>
    <w:lvl w:ilvl="0" w:tplc="D72441DE">
      <w:start w:val="1"/>
      <w:numFmt w:val="decimal"/>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AA07DD1"/>
    <w:multiLevelType w:val="multilevel"/>
    <w:tmpl w:val="F550C410"/>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BBE5D6B"/>
    <w:multiLevelType w:val="hybridMultilevel"/>
    <w:tmpl w:val="DFE2797A"/>
    <w:lvl w:ilvl="0" w:tplc="C5F001B6">
      <w:start w:val="1"/>
      <w:numFmt w:val="lowerRoman"/>
      <w:lvlText w:val="(%1)"/>
      <w:lvlJc w:val="left"/>
      <w:pPr>
        <w:ind w:left="720" w:hanging="360"/>
      </w:pPr>
      <w:rPr>
        <w:rFonts w:hint="default"/>
        <w:b w:val="0"/>
        <w:i/>
        <w:sz w:val="20"/>
        <w:szCs w:val="22"/>
      </w:rPr>
    </w:lvl>
    <w:lvl w:ilvl="1" w:tplc="FFFFFFFF">
      <w:start w:val="1"/>
      <w:numFmt w:val="decimal"/>
      <w:lvlText w:val="%2."/>
      <w:lvlJc w:val="left"/>
      <w:pPr>
        <w:ind w:left="1950" w:hanging="870"/>
      </w:pPr>
      <w:rPr>
        <w:rFonts w:hint="default"/>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3F70DA7"/>
    <w:multiLevelType w:val="hybridMultilevel"/>
    <w:tmpl w:val="60FAE58E"/>
    <w:lvl w:ilvl="0" w:tplc="040C000F">
      <w:start w:val="1"/>
      <w:numFmt w:val="decimal"/>
      <w:pStyle w:val="paranumbered"/>
      <w:lvlText w:val="%1."/>
      <w:lvlJc w:val="left"/>
      <w:pPr>
        <w:ind w:left="0" w:firstLine="0"/>
      </w:pPr>
      <w:rPr>
        <w:rFonts w:hint="default"/>
        <w:b w:val="0"/>
        <w:i w:val="0"/>
        <w:iCs/>
        <w:sz w:val="22"/>
      </w:rPr>
    </w:lvl>
    <w:lvl w:ilvl="1" w:tplc="08090019">
      <w:start w:val="1"/>
      <w:numFmt w:val="lowerLetter"/>
      <w:lvlText w:val="%2."/>
      <w:lvlJc w:val="left"/>
      <w:pPr>
        <w:ind w:left="1440" w:hanging="360"/>
      </w:pPr>
    </w:lvl>
    <w:lvl w:ilvl="2" w:tplc="012C41A6">
      <w:start w:val="1"/>
      <w:numFmt w:val="lowerRoman"/>
      <w:lvlText w:val="(%3)"/>
      <w:lvlJc w:val="left"/>
      <w:pPr>
        <w:ind w:left="2840" w:hanging="860"/>
      </w:pPr>
      <w:rPr>
        <w:rFonts w:hint="default"/>
        <w:b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5298880">
    <w:abstractNumId w:val="3"/>
  </w:num>
  <w:num w:numId="2" w16cid:durableId="2021737026">
    <w:abstractNumId w:val="4"/>
  </w:num>
  <w:num w:numId="3" w16cid:durableId="1939631682">
    <w:abstractNumId w:val="0"/>
  </w:num>
  <w:num w:numId="4" w16cid:durableId="1602639125">
    <w:abstractNumId w:val="1"/>
  </w:num>
  <w:num w:numId="5" w16cid:durableId="303198117">
    <w:abstractNumId w:val="7"/>
  </w:num>
  <w:num w:numId="6" w16cid:durableId="608393046">
    <w:abstractNumId w:val="2"/>
  </w:num>
  <w:num w:numId="7" w16cid:durableId="1608388187">
    <w:abstractNumId w:val="5"/>
  </w:num>
  <w:num w:numId="8" w16cid:durableId="1528522294">
    <w:abstractNumId w:val="6"/>
  </w:num>
  <w:num w:numId="9" w16cid:durableId="880673544">
    <w:abstractNumId w:val="7"/>
  </w:num>
  <w:num w:numId="10" w16cid:durableId="1916276538">
    <w:abstractNumId w:val="7"/>
  </w:num>
  <w:num w:numId="11" w16cid:durableId="1377504410">
    <w:abstractNumId w:val="7"/>
  </w:num>
  <w:num w:numId="12" w16cid:durableId="1564370419">
    <w:abstractNumId w:val="7"/>
  </w:num>
  <w:num w:numId="13" w16cid:durableId="1861814402">
    <w:abstractNumId w:val="7"/>
  </w:num>
  <w:num w:numId="14" w16cid:durableId="636297932">
    <w:abstractNumId w:val="7"/>
  </w:num>
  <w:num w:numId="15" w16cid:durableId="1397239249">
    <w:abstractNumId w:val="7"/>
  </w:num>
  <w:num w:numId="16" w16cid:durableId="2108229933">
    <w:abstractNumId w:val="7"/>
  </w:num>
  <w:num w:numId="17" w16cid:durableId="1360164088">
    <w:abstractNumId w:val="7"/>
  </w:num>
  <w:num w:numId="18" w16cid:durableId="934217008">
    <w:abstractNumId w:val="7"/>
  </w:num>
  <w:num w:numId="19" w16cid:durableId="211962994">
    <w:abstractNumId w:val="7"/>
  </w:num>
  <w:num w:numId="20" w16cid:durableId="1157182922">
    <w:abstractNumId w:val="7"/>
  </w:num>
  <w:num w:numId="21" w16cid:durableId="893548006">
    <w:abstractNumId w:val="7"/>
  </w:num>
  <w:num w:numId="22" w16cid:durableId="992367134">
    <w:abstractNumId w:val="7"/>
  </w:num>
  <w:num w:numId="23" w16cid:durableId="1328552762">
    <w:abstractNumId w:val="7"/>
  </w:num>
  <w:num w:numId="24" w16cid:durableId="1949846709">
    <w:abstractNumId w:val="7"/>
  </w:num>
  <w:num w:numId="25" w16cid:durableId="1314144106">
    <w:abstractNumId w:val="7"/>
  </w:num>
  <w:num w:numId="26" w16cid:durableId="630286395">
    <w:abstractNumId w:val="7"/>
  </w:num>
  <w:num w:numId="27" w16cid:durableId="1065639137">
    <w:abstractNumId w:val="7"/>
  </w:num>
  <w:num w:numId="28" w16cid:durableId="2111390609">
    <w:abstractNumId w:val="7"/>
  </w:num>
  <w:num w:numId="29" w16cid:durableId="2124420163">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394"/>
    <w:rsid w:val="00003B31"/>
    <w:rsid w:val="00010BBB"/>
    <w:rsid w:val="00020AA1"/>
    <w:rsid w:val="00020FEE"/>
    <w:rsid w:val="00035E7D"/>
    <w:rsid w:val="00085D6A"/>
    <w:rsid w:val="000F0254"/>
    <w:rsid w:val="000F1192"/>
    <w:rsid w:val="00123719"/>
    <w:rsid w:val="001241D7"/>
    <w:rsid w:val="0013656F"/>
    <w:rsid w:val="00137E97"/>
    <w:rsid w:val="001448C4"/>
    <w:rsid w:val="00155393"/>
    <w:rsid w:val="00167158"/>
    <w:rsid w:val="001836A8"/>
    <w:rsid w:val="00196052"/>
    <w:rsid w:val="001B3B24"/>
    <w:rsid w:val="001B5FE3"/>
    <w:rsid w:val="001C6455"/>
    <w:rsid w:val="0021210D"/>
    <w:rsid w:val="0025502B"/>
    <w:rsid w:val="00294AD5"/>
    <w:rsid w:val="002C55B5"/>
    <w:rsid w:val="002C6394"/>
    <w:rsid w:val="002C7DE3"/>
    <w:rsid w:val="002E0859"/>
    <w:rsid w:val="0034156B"/>
    <w:rsid w:val="00355412"/>
    <w:rsid w:val="003561BE"/>
    <w:rsid w:val="003805F5"/>
    <w:rsid w:val="003A7860"/>
    <w:rsid w:val="003D3711"/>
    <w:rsid w:val="003F55CF"/>
    <w:rsid w:val="003F7186"/>
    <w:rsid w:val="004031FB"/>
    <w:rsid w:val="00413F17"/>
    <w:rsid w:val="00424DE6"/>
    <w:rsid w:val="004529B8"/>
    <w:rsid w:val="00467E3F"/>
    <w:rsid w:val="004A135F"/>
    <w:rsid w:val="004C1625"/>
    <w:rsid w:val="004F7D6C"/>
    <w:rsid w:val="00565CE4"/>
    <w:rsid w:val="00572B46"/>
    <w:rsid w:val="005742D0"/>
    <w:rsid w:val="005C7A36"/>
    <w:rsid w:val="005C7D76"/>
    <w:rsid w:val="005E544C"/>
    <w:rsid w:val="006110DA"/>
    <w:rsid w:val="00633EA5"/>
    <w:rsid w:val="00644252"/>
    <w:rsid w:val="00654C89"/>
    <w:rsid w:val="00682613"/>
    <w:rsid w:val="006842FA"/>
    <w:rsid w:val="0068682C"/>
    <w:rsid w:val="00690A0C"/>
    <w:rsid w:val="00690FD2"/>
    <w:rsid w:val="00693199"/>
    <w:rsid w:val="006B4B95"/>
    <w:rsid w:val="006C18D9"/>
    <w:rsid w:val="006C6449"/>
    <w:rsid w:val="006F0A5B"/>
    <w:rsid w:val="00737A18"/>
    <w:rsid w:val="00746B89"/>
    <w:rsid w:val="0079212B"/>
    <w:rsid w:val="008048D2"/>
    <w:rsid w:val="0081004E"/>
    <w:rsid w:val="008338A6"/>
    <w:rsid w:val="0083502F"/>
    <w:rsid w:val="00853565"/>
    <w:rsid w:val="008A60C9"/>
    <w:rsid w:val="008A6E5C"/>
    <w:rsid w:val="008B384B"/>
    <w:rsid w:val="008D2398"/>
    <w:rsid w:val="008E35A1"/>
    <w:rsid w:val="008F6942"/>
    <w:rsid w:val="009026D3"/>
    <w:rsid w:val="009261A4"/>
    <w:rsid w:val="00993CA4"/>
    <w:rsid w:val="009B63AB"/>
    <w:rsid w:val="009B7E38"/>
    <w:rsid w:val="009C0A89"/>
    <w:rsid w:val="009C15B1"/>
    <w:rsid w:val="009E6A03"/>
    <w:rsid w:val="009F3A67"/>
    <w:rsid w:val="009F7769"/>
    <w:rsid w:val="00A11697"/>
    <w:rsid w:val="00A15DC5"/>
    <w:rsid w:val="00A25BC8"/>
    <w:rsid w:val="00A57DE5"/>
    <w:rsid w:val="00A75EC4"/>
    <w:rsid w:val="00AD06D8"/>
    <w:rsid w:val="00AD3D55"/>
    <w:rsid w:val="00B2190A"/>
    <w:rsid w:val="00B722DE"/>
    <w:rsid w:val="00B83068"/>
    <w:rsid w:val="00BA4344"/>
    <w:rsid w:val="00BC79D5"/>
    <w:rsid w:val="00BD6603"/>
    <w:rsid w:val="00BF069C"/>
    <w:rsid w:val="00BF3835"/>
    <w:rsid w:val="00C1002D"/>
    <w:rsid w:val="00C2635E"/>
    <w:rsid w:val="00C3684D"/>
    <w:rsid w:val="00C4032B"/>
    <w:rsid w:val="00C55DE1"/>
    <w:rsid w:val="00C6486C"/>
    <w:rsid w:val="00C648D3"/>
    <w:rsid w:val="00C75B02"/>
    <w:rsid w:val="00C869D0"/>
    <w:rsid w:val="00C962F0"/>
    <w:rsid w:val="00D013ED"/>
    <w:rsid w:val="00D30061"/>
    <w:rsid w:val="00D336E1"/>
    <w:rsid w:val="00D36BDC"/>
    <w:rsid w:val="00D5049E"/>
    <w:rsid w:val="00D55FEC"/>
    <w:rsid w:val="00DD0880"/>
    <w:rsid w:val="00DF2FB9"/>
    <w:rsid w:val="00E02305"/>
    <w:rsid w:val="00E04D21"/>
    <w:rsid w:val="00E63DEF"/>
    <w:rsid w:val="00E64936"/>
    <w:rsid w:val="00E66B85"/>
    <w:rsid w:val="00E77B5E"/>
    <w:rsid w:val="00EE0542"/>
    <w:rsid w:val="00EE10D0"/>
    <w:rsid w:val="00F463F2"/>
    <w:rsid w:val="00F66CC5"/>
    <w:rsid w:val="00F8186D"/>
    <w:rsid w:val="00FB61F5"/>
    <w:rsid w:val="00FC2521"/>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6309B5"/>
  <w15:docId w15:val="{3788035D-DE4E-944E-A67A-1C90C57D2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val="en-GB"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autoRedefine/>
    <w:qFormat/>
    <w:rsid w:val="005C7A36"/>
    <w:pPr>
      <w:keepNext/>
      <w:keepLines/>
      <w:spacing w:after="240"/>
      <w:outlineLvl w:val="2"/>
    </w:pPr>
    <w:rPr>
      <w:rFonts w:eastAsia="Arial Unicode MS"/>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uiPriority w:val="99"/>
    <w:semiHidden/>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link w:val="FootnoteTextChar"/>
    <w:uiPriority w:val="99"/>
    <w:semiHidden/>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rsid w:val="00F66CC5"/>
    <w:pPr>
      <w:tabs>
        <w:tab w:val="clear" w:pos="567"/>
        <w:tab w:val="left" w:pos="709"/>
      </w:tabs>
    </w:pPr>
    <w:rPr>
      <w:rFonts w:eastAsia="Arial Unicode MS"/>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3"/>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basedOn w:val="ParChar"/>
    <w:link w:val="Marge"/>
    <w:rsid w:val="00690FD2"/>
    <w:rPr>
      <w:rFonts w:ascii="Arial" w:hAnsi="Arial"/>
      <w:snapToGrid w:val="0"/>
      <w:sz w:val="22"/>
      <w:szCs w:val="24"/>
      <w:lang w:val="en-GB" w:eastAsia="en-US" w:bidi="ar-SA"/>
    </w:rPr>
  </w:style>
  <w:style w:type="character" w:customStyle="1" w:styleId="COIChar">
    <w:name w:val="COI Char"/>
    <w:link w:val="COI"/>
    <w:rsid w:val="00F66CC5"/>
    <w:rPr>
      <w:rFonts w:ascii="Arial" w:eastAsia="Arial Unicode MS" w:hAnsi="Arial"/>
      <w:snapToGrid w:val="0"/>
      <w:sz w:val="22"/>
      <w:szCs w:val="22"/>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uiPriority w:val="99"/>
    <w:rsid w:val="00C2635E"/>
    <w:rPr>
      <w:color w:val="0000FF" w:themeColor="hyperlink"/>
      <w:u w:val="single"/>
    </w:rPr>
  </w:style>
  <w:style w:type="character" w:styleId="FollowedHyperlink">
    <w:name w:val="FollowedHyperlink"/>
    <w:basedOn w:val="DefaultParagraphFont"/>
    <w:rsid w:val="00C4032B"/>
    <w:rPr>
      <w:color w:val="800080" w:themeColor="followedHyperlink"/>
      <w:u w:val="single"/>
    </w:rPr>
  </w:style>
  <w:style w:type="character" w:styleId="UnresolvedMention">
    <w:name w:val="Unresolved Mention"/>
    <w:basedOn w:val="DefaultParagraphFont"/>
    <w:uiPriority w:val="99"/>
    <w:semiHidden/>
    <w:unhideWhenUsed/>
    <w:rsid w:val="005742D0"/>
    <w:rPr>
      <w:color w:val="605E5C"/>
      <w:shd w:val="clear" w:color="auto" w:fill="E1DFDD"/>
    </w:rPr>
  </w:style>
  <w:style w:type="paragraph" w:customStyle="1" w:styleId="paranumbered">
    <w:name w:val="paranumbered"/>
    <w:basedOn w:val="Normal"/>
    <w:next w:val="Normal"/>
    <w:qFormat/>
    <w:rsid w:val="00EE10D0"/>
    <w:pPr>
      <w:numPr>
        <w:numId w:val="5"/>
      </w:numPr>
      <w:tabs>
        <w:tab w:val="clear" w:pos="567"/>
      </w:tabs>
      <w:snapToGrid/>
      <w:spacing w:before="120" w:line="276" w:lineRule="auto"/>
      <w:jc w:val="both"/>
    </w:pPr>
    <w:rPr>
      <w:rFonts w:eastAsia="Arial" w:cs="Arial"/>
      <w:snapToGrid/>
      <w:szCs w:val="22"/>
      <w:lang w:eastAsia="en-GB"/>
    </w:rPr>
  </w:style>
  <w:style w:type="paragraph" w:styleId="ListParagraph">
    <w:name w:val="List Paragraph"/>
    <w:basedOn w:val="Normal"/>
    <w:uiPriority w:val="34"/>
    <w:qFormat/>
    <w:rsid w:val="00654C89"/>
    <w:pPr>
      <w:ind w:left="720"/>
      <w:contextualSpacing/>
    </w:pPr>
  </w:style>
  <w:style w:type="character" w:customStyle="1" w:styleId="FootnoteTextChar">
    <w:name w:val="Footnote Text Char"/>
    <w:basedOn w:val="DefaultParagraphFont"/>
    <w:link w:val="FootnoteText"/>
    <w:uiPriority w:val="99"/>
    <w:semiHidden/>
    <w:rsid w:val="00BC79D5"/>
    <w:rPr>
      <w:rFonts w:ascii="Arial" w:hAnsi="Arial"/>
      <w:snapToGrid w:val="0"/>
      <w:lang w:val="en-GB" w:eastAsia="en-US"/>
    </w:rPr>
  </w:style>
  <w:style w:type="paragraph" w:customStyle="1" w:styleId="ListParagraph1">
    <w:name w:val="List Paragraph1"/>
    <w:basedOn w:val="Normal"/>
    <w:qFormat/>
    <w:rsid w:val="00BC79D5"/>
    <w:pPr>
      <w:widowControl w:val="0"/>
      <w:tabs>
        <w:tab w:val="clear" w:pos="567"/>
      </w:tabs>
      <w:autoSpaceDE w:val="0"/>
      <w:autoSpaceDN w:val="0"/>
      <w:adjustRightInd w:val="0"/>
      <w:snapToGrid/>
      <w:ind w:left="720"/>
      <w:contextualSpacing/>
      <w:jc w:val="both"/>
    </w:pPr>
    <w:rPr>
      <w:rFonts w:ascii="Times New Roman" w:hAnsi="Times New Roman"/>
      <w:snapToGrid/>
      <w:sz w:val="24"/>
    </w:rPr>
  </w:style>
  <w:style w:type="paragraph" w:styleId="Revision">
    <w:name w:val="Revision"/>
    <w:hidden/>
    <w:uiPriority w:val="99"/>
    <w:semiHidden/>
    <w:rsid w:val="00C869D0"/>
    <w:rPr>
      <w:rFonts w:ascii="Arial" w:hAnsi="Arial"/>
      <w:snapToGrid w:val="0"/>
      <w:sz w:val="22"/>
      <w:szCs w:val="24"/>
      <w:lang w:val="en-GB" w:eastAsia="en-US"/>
    </w:rPr>
  </w:style>
  <w:style w:type="character" w:styleId="CommentReference">
    <w:name w:val="annotation reference"/>
    <w:basedOn w:val="DefaultParagraphFont"/>
    <w:semiHidden/>
    <w:unhideWhenUsed/>
    <w:rsid w:val="009B7E38"/>
    <w:rPr>
      <w:sz w:val="16"/>
      <w:szCs w:val="16"/>
    </w:rPr>
  </w:style>
  <w:style w:type="paragraph" w:styleId="CommentText">
    <w:name w:val="annotation text"/>
    <w:basedOn w:val="Normal"/>
    <w:link w:val="CommentTextChar"/>
    <w:semiHidden/>
    <w:unhideWhenUsed/>
    <w:rsid w:val="009B7E38"/>
    <w:rPr>
      <w:sz w:val="20"/>
      <w:szCs w:val="20"/>
    </w:rPr>
  </w:style>
  <w:style w:type="character" w:customStyle="1" w:styleId="CommentTextChar">
    <w:name w:val="Comment Text Char"/>
    <w:basedOn w:val="DefaultParagraphFont"/>
    <w:link w:val="CommentText"/>
    <w:semiHidden/>
    <w:rsid w:val="009B7E38"/>
    <w:rPr>
      <w:rFonts w:ascii="Arial" w:hAnsi="Arial"/>
      <w:snapToGrid w:val="0"/>
      <w:lang w:val="en-GB" w:eastAsia="en-US"/>
    </w:rPr>
  </w:style>
  <w:style w:type="paragraph" w:styleId="CommentSubject">
    <w:name w:val="annotation subject"/>
    <w:basedOn w:val="CommentText"/>
    <w:next w:val="CommentText"/>
    <w:link w:val="CommentSubjectChar"/>
    <w:semiHidden/>
    <w:unhideWhenUsed/>
    <w:rsid w:val="009B7E38"/>
    <w:rPr>
      <w:b/>
      <w:bCs/>
    </w:rPr>
  </w:style>
  <w:style w:type="character" w:customStyle="1" w:styleId="CommentSubjectChar">
    <w:name w:val="Comment Subject Char"/>
    <w:basedOn w:val="CommentTextChar"/>
    <w:link w:val="CommentSubject"/>
    <w:semiHidden/>
    <w:rsid w:val="009B7E38"/>
    <w:rPr>
      <w:rFonts w:ascii="Arial" w:hAnsi="Arial"/>
      <w:b/>
      <w:bCs/>
      <w:snapToGrid w:val="0"/>
      <w:lang w:val="en-GB" w:eastAsia="en-US"/>
    </w:rPr>
  </w:style>
  <w:style w:type="paragraph" w:styleId="BalloonText">
    <w:name w:val="Balloon Text"/>
    <w:basedOn w:val="Normal"/>
    <w:link w:val="BalloonTextChar"/>
    <w:semiHidden/>
    <w:unhideWhenUsed/>
    <w:rsid w:val="0025502B"/>
    <w:rPr>
      <w:rFonts w:ascii="Segoe UI" w:hAnsi="Segoe UI" w:cs="Segoe UI"/>
      <w:sz w:val="18"/>
      <w:szCs w:val="18"/>
    </w:rPr>
  </w:style>
  <w:style w:type="character" w:customStyle="1" w:styleId="BalloonTextChar">
    <w:name w:val="Balloon Text Char"/>
    <w:basedOn w:val="DefaultParagraphFont"/>
    <w:link w:val="BalloonText"/>
    <w:semiHidden/>
    <w:rsid w:val="0025502B"/>
    <w:rPr>
      <w:rFonts w:ascii="Segoe UI" w:hAnsi="Segoe UI" w:cs="Segoe UI"/>
      <w:snapToGrid w:val="0"/>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iode.org/index.php?option=com_content&amp;view=article&amp;id=747&amp;Itemid=100437" TargetMode="Externa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oceanexpert.org/document/31329" TargetMode="External"/><Relationship Id="rId2" Type="http://schemas.openxmlformats.org/officeDocument/2006/relationships/numbering" Target="numbering.xml"/><Relationship Id="rId16" Type="http://schemas.openxmlformats.org/officeDocument/2006/relationships/hyperlink" Target="https://oceanexpert.org/document/30237"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oceanexpert.org/document/29299"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unesdoc.unesco.org/ark:/48223/pf0000372654.locale=en"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A02A6-F08F-4C3F-BC3F-3F14E7AB8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1222</Words>
  <Characters>6794</Characters>
  <Application>Microsoft Office Word</Application>
  <DocSecurity>0</DocSecurity>
  <Lines>56</Lines>
  <Paragraphs>15</Paragraphs>
  <ScaleCrop>false</ScaleCrop>
  <HeadingPairs>
    <vt:vector size="6" baseType="variant">
      <vt:variant>
        <vt:lpstr>Rubrik</vt:lpstr>
      </vt:variant>
      <vt:variant>
        <vt:i4>1</vt:i4>
      </vt:variant>
      <vt:variant>
        <vt:lpstr>Title</vt:lpstr>
      </vt:variant>
      <vt:variant>
        <vt:i4>1</vt:i4>
      </vt:variant>
      <vt:variant>
        <vt:lpstr>Titre</vt:lpstr>
      </vt:variant>
      <vt:variant>
        <vt:i4>1</vt:i4>
      </vt:variant>
    </vt:vector>
  </HeadingPairs>
  <TitlesOfParts>
    <vt:vector size="3" baseType="lpstr">
      <vt:lpstr>The Road to the UN Year</vt:lpstr>
      <vt:lpstr>The Road to the UN Year</vt:lpstr>
      <vt:lpstr>The Road to the UN Year</vt:lpstr>
    </vt:vector>
  </TitlesOfParts>
  <Company>UNESCO</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Peter Pissierssens</dc:creator>
  <cp:lastModifiedBy>Boned, Patrice</cp:lastModifiedBy>
  <cp:revision>3</cp:revision>
  <cp:lastPrinted>2023-05-17T15:06:00Z</cp:lastPrinted>
  <dcterms:created xsi:type="dcterms:W3CDTF">2023-05-17T15:04:00Z</dcterms:created>
  <dcterms:modified xsi:type="dcterms:W3CDTF">2023-05-17T15:06:00Z</dcterms:modified>
</cp:coreProperties>
</file>