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6F15" w14:textId="77777777" w:rsidR="00EB3895" w:rsidRPr="006C07E7" w:rsidRDefault="00EB3895" w:rsidP="00EB3895">
      <w:pPr>
        <w:pStyle w:val="Titre1"/>
        <w:spacing w:before="480"/>
        <w:jc w:val="left"/>
        <w:rPr>
          <w:rFonts w:asciiTheme="minorBidi" w:hAnsiTheme="minorBidi" w:cstheme="minorBidi"/>
        </w:rPr>
      </w:pPr>
    </w:p>
    <w:p w14:paraId="748272EF" w14:textId="435004E9" w:rsidR="00EB3895" w:rsidRPr="006C07E7" w:rsidRDefault="00EB3895" w:rsidP="00EB3895">
      <w:pPr>
        <w:pStyle w:val="Titre1"/>
        <w:spacing w:before="1800" w:after="0"/>
        <w:rPr>
          <w:rFonts w:asciiTheme="minorBidi" w:hAnsiTheme="minorBidi" w:cstheme="minorBidi"/>
        </w:rPr>
      </w:pPr>
      <w:r w:rsidRPr="006C07E7">
        <w:rPr>
          <w:rFonts w:asciiTheme="minorBidi" w:hAnsiTheme="minorBidi" w:cstheme="minorBidi"/>
        </w:rPr>
        <w:t xml:space="preserve">COMMISSION OCÉANOGRAPHIQUE </w:t>
      </w:r>
      <w:r w:rsidR="00DA71B9" w:rsidRPr="006C07E7">
        <w:rPr>
          <w:rFonts w:asciiTheme="minorBidi" w:hAnsiTheme="minorBidi" w:cstheme="minorBidi"/>
        </w:rPr>
        <w:t>I</w:t>
      </w:r>
      <w:r w:rsidRPr="006C07E7">
        <w:rPr>
          <w:rFonts w:asciiTheme="minorBidi" w:hAnsiTheme="minorBidi" w:cstheme="minorBidi"/>
        </w:rPr>
        <w:t>NTERGOUVERNEMENTALE</w:t>
      </w:r>
    </w:p>
    <w:p w14:paraId="0F1DC779" w14:textId="5BE7761C" w:rsidR="00EB3895" w:rsidRPr="006C07E7" w:rsidRDefault="00EB3895" w:rsidP="00EB3895">
      <w:pPr>
        <w:jc w:val="center"/>
        <w:rPr>
          <w:rFonts w:asciiTheme="minorBidi" w:hAnsiTheme="minorBidi" w:cstheme="minorBidi"/>
          <w:bCs/>
        </w:rPr>
      </w:pPr>
      <w:r w:rsidRPr="006C07E7">
        <w:rPr>
          <w:rFonts w:asciiTheme="minorBidi" w:hAnsiTheme="minorBidi" w:cstheme="minorBidi"/>
          <w:bCs/>
        </w:rPr>
        <w:t>(de l</w:t>
      </w:r>
      <w:r w:rsidR="008F5C53">
        <w:rPr>
          <w:rFonts w:asciiTheme="minorBidi" w:hAnsiTheme="minorBidi" w:cstheme="minorBidi"/>
          <w:bCs/>
        </w:rPr>
        <w:t>’</w:t>
      </w:r>
      <w:r w:rsidRPr="006C07E7">
        <w:rPr>
          <w:rFonts w:asciiTheme="minorBidi" w:hAnsiTheme="minorBidi" w:cstheme="minorBidi"/>
          <w:bCs/>
        </w:rPr>
        <w:t>UNESCO)</w:t>
      </w:r>
    </w:p>
    <w:p w14:paraId="5B0D4193" w14:textId="0F83C860" w:rsidR="00EB3895" w:rsidRPr="006C07E7" w:rsidRDefault="000723F0" w:rsidP="00EB3895">
      <w:pPr>
        <w:spacing w:before="240"/>
        <w:jc w:val="center"/>
        <w:rPr>
          <w:rFonts w:asciiTheme="minorBidi" w:hAnsiTheme="minorBidi" w:cstheme="minorBidi"/>
          <w:b/>
        </w:rPr>
      </w:pPr>
      <w:r w:rsidRPr="006C07E7">
        <w:rPr>
          <w:rFonts w:asciiTheme="minorBidi" w:hAnsiTheme="minorBidi" w:cstheme="minorBidi"/>
          <w:b/>
        </w:rPr>
        <w:t>Trente-deuxi</w:t>
      </w:r>
      <w:r w:rsidR="00EB3895" w:rsidRPr="006C07E7">
        <w:rPr>
          <w:rFonts w:asciiTheme="minorBidi" w:hAnsiTheme="minorBidi" w:cstheme="minorBidi"/>
          <w:b/>
        </w:rPr>
        <w:t xml:space="preserve">ème session </w:t>
      </w:r>
      <w:r w:rsidRPr="006C07E7">
        <w:rPr>
          <w:rFonts w:asciiTheme="minorBidi" w:hAnsiTheme="minorBidi" w:cstheme="minorBidi"/>
          <w:b/>
        </w:rPr>
        <w:t>de l</w:t>
      </w:r>
      <w:r w:rsidR="008F5C53">
        <w:rPr>
          <w:rFonts w:asciiTheme="minorBidi" w:hAnsiTheme="minorBidi" w:cstheme="minorBidi"/>
          <w:b/>
        </w:rPr>
        <w:t>’</w:t>
      </w:r>
      <w:r w:rsidRPr="006C07E7">
        <w:rPr>
          <w:rFonts w:asciiTheme="minorBidi" w:hAnsiTheme="minorBidi" w:cstheme="minorBidi"/>
          <w:b/>
        </w:rPr>
        <w:t>Assemblée</w:t>
      </w:r>
      <w:r w:rsidR="00EB3895" w:rsidRPr="006C07E7">
        <w:rPr>
          <w:rFonts w:asciiTheme="minorBidi" w:hAnsiTheme="minorBidi" w:cstheme="minorBidi"/>
          <w:b/>
        </w:rPr>
        <w:br/>
      </w:r>
      <w:r w:rsidR="00EB3895" w:rsidRPr="006C07E7">
        <w:rPr>
          <w:rFonts w:asciiTheme="minorBidi" w:hAnsiTheme="minorBidi" w:cstheme="minorBidi"/>
          <w:bCs/>
        </w:rPr>
        <w:t>UNESCO, P</w:t>
      </w:r>
      <w:r w:rsidR="00EB3895" w:rsidRPr="00A473BF">
        <w:rPr>
          <w:rFonts w:asciiTheme="minorBidi" w:hAnsiTheme="minorBidi" w:cstheme="minorBidi"/>
          <w:bCs/>
        </w:rPr>
        <w:t xml:space="preserve">aris, </w:t>
      </w:r>
      <w:r w:rsidRPr="00A473BF">
        <w:rPr>
          <w:rFonts w:asciiTheme="minorBidi" w:hAnsiTheme="minorBidi" w:cstheme="minorBidi"/>
          <w:bCs/>
        </w:rPr>
        <w:t>2</w:t>
      </w:r>
      <w:r w:rsidR="0042223B" w:rsidRPr="00A473BF">
        <w:rPr>
          <w:rFonts w:asciiTheme="minorBidi" w:hAnsiTheme="minorBidi" w:cstheme="minorBidi"/>
          <w:bCs/>
        </w:rPr>
        <w:t>1</w:t>
      </w:r>
      <w:r w:rsidRPr="00A473BF">
        <w:rPr>
          <w:rFonts w:asciiTheme="minorBidi" w:hAnsiTheme="minorBidi" w:cstheme="minorBidi"/>
          <w:bCs/>
        </w:rPr>
        <w:t>-3</w:t>
      </w:r>
      <w:r w:rsidRPr="006C07E7">
        <w:rPr>
          <w:rFonts w:asciiTheme="minorBidi" w:hAnsiTheme="minorBidi" w:cstheme="minorBidi"/>
          <w:bCs/>
        </w:rPr>
        <w:t>0</w:t>
      </w:r>
      <w:r w:rsidR="00393110">
        <w:rPr>
          <w:rFonts w:asciiTheme="minorBidi" w:hAnsiTheme="minorBidi" w:cstheme="minorBidi"/>
          <w:bCs/>
        </w:rPr>
        <w:t> </w:t>
      </w:r>
      <w:r w:rsidR="00EB3895" w:rsidRPr="006C07E7">
        <w:rPr>
          <w:rFonts w:asciiTheme="minorBidi" w:hAnsiTheme="minorBidi" w:cstheme="minorBidi"/>
          <w:bCs/>
        </w:rPr>
        <w:t>juin 202</w:t>
      </w:r>
      <w:r w:rsidRPr="006C07E7">
        <w:rPr>
          <w:rFonts w:asciiTheme="minorBidi" w:hAnsiTheme="minorBidi" w:cstheme="minorBidi"/>
          <w:bCs/>
        </w:rPr>
        <w:t>3</w:t>
      </w:r>
    </w:p>
    <w:p w14:paraId="607D1C93" w14:textId="04585F7D" w:rsidR="00EB3895" w:rsidRPr="006C07E7" w:rsidRDefault="005C7D01" w:rsidP="00A473BF">
      <w:pPr>
        <w:pStyle w:val="Titre1"/>
        <w:spacing w:before="360" w:after="480"/>
        <w:jc w:val="left"/>
        <w:rPr>
          <w:rFonts w:asciiTheme="minorBidi" w:hAnsiTheme="minorBidi" w:cstheme="minorBidi"/>
          <w:b w:val="0"/>
          <w:bCs w:val="0"/>
          <w:u w:val="single"/>
        </w:rPr>
      </w:pPr>
      <w:r w:rsidRPr="006C07E7">
        <w:rPr>
          <w:rFonts w:asciiTheme="minorBidi" w:hAnsiTheme="minorBidi" w:cstheme="minorBidi"/>
          <w:b w:val="0"/>
          <w:bCs w:val="0"/>
          <w:u w:val="single"/>
        </w:rPr>
        <w:t>Point</w:t>
      </w:r>
      <w:r w:rsidR="00393110">
        <w:rPr>
          <w:rFonts w:asciiTheme="minorBidi" w:hAnsiTheme="minorBidi" w:cstheme="minorBidi"/>
          <w:b w:val="0"/>
          <w:bCs w:val="0"/>
          <w:u w:val="single"/>
        </w:rPr>
        <w:t> </w:t>
      </w:r>
      <w:r w:rsidR="00AA714F">
        <w:rPr>
          <w:rFonts w:asciiTheme="minorBidi" w:hAnsiTheme="minorBidi" w:cstheme="minorBidi"/>
          <w:u w:val="single"/>
        </w:rPr>
        <w:t>4</w:t>
      </w:r>
      <w:r w:rsidRPr="006C07E7">
        <w:rPr>
          <w:rFonts w:asciiTheme="minorBidi" w:hAnsiTheme="minorBidi" w:cstheme="minorBidi"/>
          <w:u w:val="single"/>
        </w:rPr>
        <w:t>.</w:t>
      </w:r>
      <w:r w:rsidR="007143D2">
        <w:rPr>
          <w:rFonts w:asciiTheme="minorBidi" w:hAnsiTheme="minorBidi" w:cstheme="minorBidi"/>
          <w:u w:val="single"/>
        </w:rPr>
        <w:t>1</w:t>
      </w:r>
      <w:r w:rsidRPr="006C07E7">
        <w:rPr>
          <w:rFonts w:asciiTheme="minorBidi" w:hAnsiTheme="minorBidi" w:cstheme="minorBidi"/>
          <w:b w:val="0"/>
          <w:bCs w:val="0"/>
          <w:u w:val="single"/>
        </w:rPr>
        <w:t xml:space="preserve"> de l</w:t>
      </w:r>
      <w:r w:rsidR="008F5C53">
        <w:rPr>
          <w:rFonts w:asciiTheme="minorBidi" w:hAnsiTheme="minorBidi" w:cstheme="minorBidi"/>
          <w:b w:val="0"/>
          <w:bCs w:val="0"/>
          <w:u w:val="single"/>
        </w:rPr>
        <w:t>’</w:t>
      </w:r>
      <w:r w:rsidRPr="006C07E7">
        <w:rPr>
          <w:rFonts w:asciiTheme="minorBidi" w:hAnsiTheme="minorBidi" w:cstheme="minorBidi"/>
          <w:b w:val="0"/>
          <w:bCs w:val="0"/>
          <w:u w:val="single"/>
        </w:rPr>
        <w:t>ordre du jour provisoire</w:t>
      </w:r>
    </w:p>
    <w:p w14:paraId="3A7A8BD7" w14:textId="6D374CDC" w:rsidR="005C7D01" w:rsidRPr="006C07E7" w:rsidRDefault="007143D2" w:rsidP="007143D2">
      <w:pPr>
        <w:tabs>
          <w:tab w:val="left" w:pos="-1440"/>
          <w:tab w:val="left" w:pos="-720"/>
          <w:tab w:val="left" w:pos="720"/>
          <w:tab w:val="left" w:pos="1440"/>
          <w:tab w:val="left" w:pos="2160"/>
          <w:tab w:val="left" w:pos="3600"/>
          <w:tab w:val="left" w:pos="4320"/>
          <w:tab w:val="left" w:pos="5040"/>
          <w:tab w:val="left" w:pos="5523"/>
          <w:tab w:val="left" w:pos="6480"/>
        </w:tabs>
        <w:spacing w:after="480"/>
        <w:jc w:val="center"/>
        <w:rPr>
          <w:rFonts w:asciiTheme="minorBidi" w:hAnsiTheme="minorBidi" w:cstheme="minorBidi"/>
          <w:b/>
          <w:bCs/>
          <w:caps/>
        </w:rPr>
      </w:pPr>
      <w:r w:rsidRPr="007143D2">
        <w:rPr>
          <w:rFonts w:asciiTheme="minorBidi" w:hAnsiTheme="minorBidi" w:cstheme="minorBidi"/>
          <w:b/>
          <w:bCs/>
        </w:rPr>
        <w:t>RAPPORT INTÉRIMAIRE SUR L’EXAMEN</w:t>
      </w:r>
      <w:r>
        <w:rPr>
          <w:rFonts w:asciiTheme="minorBidi" w:hAnsiTheme="minorBidi" w:cstheme="minorBidi"/>
          <w:b/>
          <w:bCs/>
        </w:rPr>
        <w:br/>
      </w:r>
      <w:r w:rsidRPr="007143D2">
        <w:rPr>
          <w:rFonts w:asciiTheme="minorBidi" w:hAnsiTheme="minorBidi" w:cstheme="minorBidi"/>
          <w:b/>
          <w:bCs/>
        </w:rPr>
        <w:t>DE LA GOUVERNANCE DE LA GEBCO (2023)</w:t>
      </w:r>
    </w:p>
    <w:tbl>
      <w:tblPr>
        <w:tblStyle w:val="Grilledutableau"/>
        <w:tblW w:w="0" w:type="auto"/>
        <w:jc w:val="center"/>
        <w:tblLook w:val="04A0" w:firstRow="1" w:lastRow="0" w:firstColumn="1" w:lastColumn="0" w:noHBand="0" w:noVBand="1"/>
      </w:tblPr>
      <w:tblGrid>
        <w:gridCol w:w="8226"/>
      </w:tblGrid>
      <w:tr w:rsidR="005C7D01" w:rsidRPr="006C07E7" w14:paraId="1A94C8A9" w14:textId="77777777" w:rsidTr="008E427E">
        <w:trPr>
          <w:jc w:val="center"/>
        </w:trPr>
        <w:tc>
          <w:tcPr>
            <w:tcW w:w="8226" w:type="dxa"/>
          </w:tcPr>
          <w:p w14:paraId="1FD6FF16" w14:textId="77777777" w:rsidR="005C7D01" w:rsidRPr="006C07E7" w:rsidRDefault="005C7D01" w:rsidP="00A473BF">
            <w:pPr>
              <w:tabs>
                <w:tab w:val="clear" w:pos="567"/>
              </w:tabs>
              <w:spacing w:before="60" w:after="240"/>
              <w:jc w:val="center"/>
              <w:rPr>
                <w:rFonts w:asciiTheme="minorBidi" w:eastAsia="Times New Roman" w:hAnsiTheme="minorBidi" w:cstheme="minorBidi"/>
                <w:b/>
                <w:bCs/>
                <w:szCs w:val="22"/>
                <w:u w:val="single"/>
                <w:lang w:eastAsia="en-US"/>
              </w:rPr>
            </w:pPr>
            <w:r w:rsidRPr="006C07E7">
              <w:rPr>
                <w:rFonts w:asciiTheme="minorBidi" w:eastAsia="Times New Roman" w:hAnsiTheme="minorBidi" w:cstheme="minorBidi"/>
                <w:b/>
                <w:bCs/>
                <w:szCs w:val="22"/>
                <w:u w:val="single"/>
                <w:lang w:eastAsia="en-US"/>
              </w:rPr>
              <w:t>Résumé</w:t>
            </w:r>
          </w:p>
          <w:p w14:paraId="24C0CACA" w14:textId="77777777" w:rsidR="007143D2" w:rsidRPr="007143D2" w:rsidRDefault="007143D2" w:rsidP="007143D2">
            <w:pPr>
              <w:spacing w:after="240"/>
              <w:ind w:left="170" w:right="170"/>
              <w:jc w:val="both"/>
              <w:rPr>
                <w:rFonts w:asciiTheme="minorBidi" w:hAnsiTheme="minorBidi" w:cstheme="minorBidi"/>
              </w:rPr>
            </w:pPr>
            <w:r w:rsidRPr="007143D2">
              <w:rPr>
                <w:rFonts w:asciiTheme="minorBidi" w:hAnsiTheme="minorBidi" w:cstheme="minorBidi"/>
              </w:rPr>
              <w:t>À la suite de la décision EC-55/3.1 du Conseil exécutif (2022) et de la création de l’Équipe chargée du projet d’examen de la gouvernance de la Carte générale bathymétrique des océans (GEBCO), le présent document préparé par l’Organisation hydrographique internationale (OHI)/le Secrétaire de la GEBCO apporte des précisions sur les travaux accomplis à ce jour concernant l’examen de la gouvernance de la GEBCO et sur les prochaines étapes proposées.</w:t>
            </w:r>
          </w:p>
          <w:p w14:paraId="13307FCD" w14:textId="77777777" w:rsidR="007143D2" w:rsidRPr="007143D2" w:rsidRDefault="007143D2" w:rsidP="007143D2">
            <w:pPr>
              <w:spacing w:after="240"/>
              <w:ind w:left="170" w:right="170"/>
              <w:jc w:val="both"/>
              <w:rPr>
                <w:rFonts w:asciiTheme="minorBidi" w:hAnsiTheme="minorBidi" w:cstheme="minorBidi"/>
              </w:rPr>
            </w:pPr>
            <w:r w:rsidRPr="007143D2">
              <w:rPr>
                <w:rFonts w:asciiTheme="minorBidi" w:hAnsiTheme="minorBidi" w:cstheme="minorBidi"/>
                <w:u w:val="single"/>
              </w:rPr>
              <w:t>Incidences financières</w:t>
            </w:r>
            <w:r w:rsidRPr="007143D2">
              <w:rPr>
                <w:rFonts w:asciiTheme="minorBidi" w:hAnsiTheme="minorBidi" w:cstheme="minorBidi"/>
              </w:rPr>
              <w:t> : aucune.</w:t>
            </w:r>
          </w:p>
          <w:p w14:paraId="60C2571C" w14:textId="417BBB9C" w:rsidR="005C7D01" w:rsidRPr="007143D2" w:rsidRDefault="007143D2" w:rsidP="007143D2">
            <w:pPr>
              <w:spacing w:after="240"/>
              <w:ind w:left="170" w:right="170"/>
              <w:jc w:val="both"/>
              <w:rPr>
                <w:rFonts w:asciiTheme="minorBidi" w:hAnsiTheme="minorBidi" w:cstheme="minorBidi"/>
              </w:rPr>
            </w:pPr>
            <w:r w:rsidRPr="008E427E">
              <w:rPr>
                <w:rFonts w:asciiTheme="minorBidi" w:hAnsiTheme="minorBidi" w:cstheme="minorBidi"/>
                <w:u w:val="single"/>
              </w:rPr>
              <w:t xml:space="preserve">La </w:t>
            </w:r>
            <w:r w:rsidRPr="007143D2">
              <w:rPr>
                <w:rFonts w:asciiTheme="minorBidi" w:hAnsiTheme="minorBidi" w:cstheme="minorBidi"/>
                <w:u w:val="single"/>
              </w:rPr>
              <w:t>décision proposée</w:t>
            </w:r>
            <w:r w:rsidRPr="007143D2">
              <w:rPr>
                <w:rFonts w:asciiTheme="minorBidi" w:hAnsiTheme="minorBidi" w:cstheme="minorBidi"/>
              </w:rPr>
              <w:t xml:space="preserve"> porte la cote A-32/4.1 dans le Document relatif aux décisions à adopter (document IOC</w:t>
            </w:r>
            <w:r w:rsidR="004B181E">
              <w:rPr>
                <w:rFonts w:asciiTheme="minorBidi" w:hAnsiTheme="minorBidi" w:cstheme="minorBidi"/>
              </w:rPr>
              <w:t>/A</w:t>
            </w:r>
            <w:r w:rsidRPr="007143D2">
              <w:rPr>
                <w:rFonts w:asciiTheme="minorBidi" w:hAnsiTheme="minorBidi" w:cstheme="minorBidi"/>
              </w:rPr>
              <w:t>-32/AP</w:t>
            </w:r>
            <w:r w:rsidR="008E427E">
              <w:rPr>
                <w:rFonts w:asciiTheme="minorBidi" w:hAnsiTheme="minorBidi" w:cstheme="minorBidi"/>
              </w:rPr>
              <w:t> </w:t>
            </w:r>
            <w:r w:rsidRPr="007143D2">
              <w:rPr>
                <w:rFonts w:asciiTheme="minorBidi" w:hAnsiTheme="minorBidi" w:cstheme="minorBidi"/>
              </w:rPr>
              <w:t>Prov.). L’Assemblée de la COI est invitée à prendre note de ces nouveaux éléments. Le Secrétaire exécutif présenterait les conclusions de l’examen de la gouvernance de la GEBCO au Conseil exécutif à sa</w:t>
            </w:r>
            <w:r w:rsidR="008E427E">
              <w:rPr>
                <w:rFonts w:asciiTheme="minorBidi" w:hAnsiTheme="minorBidi" w:cstheme="minorBidi"/>
              </w:rPr>
              <w:t> </w:t>
            </w:r>
            <w:r w:rsidRPr="007143D2">
              <w:rPr>
                <w:rFonts w:asciiTheme="minorBidi" w:hAnsiTheme="minorBidi" w:cstheme="minorBidi"/>
              </w:rPr>
              <w:t>57</w:t>
            </w:r>
            <w:r w:rsidRPr="007143D2">
              <w:rPr>
                <w:rFonts w:asciiTheme="minorBidi" w:hAnsiTheme="minorBidi" w:cstheme="minorBidi"/>
                <w:vertAlign w:val="superscript"/>
              </w:rPr>
              <w:t>e</w:t>
            </w:r>
            <w:r w:rsidRPr="007143D2">
              <w:rPr>
                <w:rFonts w:asciiTheme="minorBidi" w:hAnsiTheme="minorBidi" w:cstheme="minorBidi"/>
              </w:rPr>
              <w:t> session en 2024</w:t>
            </w:r>
            <w:r w:rsidR="00AA714F" w:rsidRPr="00AA714F">
              <w:rPr>
                <w:rFonts w:asciiTheme="minorBidi" w:hAnsiTheme="minorBidi" w:cstheme="minorBidi"/>
              </w:rPr>
              <w:t>.</w:t>
            </w:r>
          </w:p>
        </w:tc>
      </w:tr>
    </w:tbl>
    <w:p w14:paraId="28A7702B" w14:textId="77777777" w:rsidR="005C7D01" w:rsidRPr="006C07E7" w:rsidRDefault="005C7D01" w:rsidP="00B2519D">
      <w:pPr>
        <w:spacing w:after="240"/>
        <w:rPr>
          <w:rFonts w:asciiTheme="minorBidi" w:eastAsia="Times New Roman" w:hAnsiTheme="minorBidi" w:cstheme="minorBidi"/>
          <w:b/>
          <w:bCs/>
          <w:szCs w:val="22"/>
          <w:lang w:eastAsia="en-US"/>
        </w:rPr>
        <w:sectPr w:rsidR="005C7D01" w:rsidRPr="006C07E7" w:rsidSect="000723F0">
          <w:headerReference w:type="even" r:id="rId8"/>
          <w:headerReference w:type="default" r:id="rId9"/>
          <w:headerReference w:type="first" r:id="rId10"/>
          <w:pgSz w:w="11906" w:h="16838" w:code="9"/>
          <w:pgMar w:top="1418" w:right="1134" w:bottom="1134" w:left="1134" w:header="851" w:footer="680" w:gutter="0"/>
          <w:pgNumType w:start="1"/>
          <w:cols w:space="708"/>
          <w:titlePg/>
          <w:docGrid w:linePitch="360"/>
        </w:sectPr>
      </w:pPr>
    </w:p>
    <w:p w14:paraId="7CE1E8AD" w14:textId="77777777" w:rsidR="007143D2" w:rsidRPr="007143D2" w:rsidRDefault="007143D2" w:rsidP="007143D2">
      <w:pPr>
        <w:tabs>
          <w:tab w:val="clear" w:pos="567"/>
        </w:tabs>
        <w:snapToGrid/>
        <w:spacing w:after="240"/>
        <w:jc w:val="both"/>
        <w:rPr>
          <w:rFonts w:eastAsia="Times New Roman" w:cs="Arial"/>
          <w:b/>
          <w:bCs/>
          <w:snapToGrid/>
          <w:szCs w:val="22"/>
        </w:rPr>
      </w:pPr>
      <w:r w:rsidRPr="007143D2">
        <w:rPr>
          <w:rFonts w:eastAsia="DengXian" w:cs="Arial"/>
          <w:b/>
          <w:bCs/>
          <w:snapToGrid/>
          <w:szCs w:val="22"/>
        </w:rPr>
        <w:lastRenderedPageBreak/>
        <w:t>Introduction</w:t>
      </w:r>
    </w:p>
    <w:p w14:paraId="01A83E45" w14:textId="02D024F0" w:rsidR="007143D2" w:rsidRPr="007143D2" w:rsidRDefault="007143D2" w:rsidP="007143D2">
      <w:pPr>
        <w:pStyle w:val="Marge"/>
      </w:pPr>
      <w:r w:rsidRPr="007143D2">
        <w:t>1.</w:t>
      </w:r>
      <w:r>
        <w:tab/>
      </w:r>
      <w:r w:rsidRPr="004B181E">
        <w:rPr>
          <w:spacing w:val="-2"/>
        </w:rPr>
        <w:t>Compte tenu de l’évolution du paysage des politiques relatives à l’océan</w:t>
      </w:r>
      <w:r w:rsidR="008E427E">
        <w:rPr>
          <w:spacing w:val="-2"/>
        </w:rPr>
        <w:t>,</w:t>
      </w:r>
      <w:r w:rsidRPr="004B181E">
        <w:rPr>
          <w:spacing w:val="-2"/>
        </w:rPr>
        <w:t xml:space="preserve"> de la visibilité croissante dont bénéficie la GEBCO grâce aux travaux menés dans le cadre du projet GEBCO</w:t>
      </w:r>
      <w:r w:rsidR="008E427E">
        <w:rPr>
          <w:spacing w:val="-2"/>
        </w:rPr>
        <w:noBreakHyphen/>
      </w:r>
      <w:r w:rsidRPr="004B181E">
        <w:rPr>
          <w:spacing w:val="-2"/>
        </w:rPr>
        <w:t>Nippon Foundation intitulé « Seabed 2030 »</w:t>
      </w:r>
      <w:r w:rsidR="008E427E">
        <w:rPr>
          <w:spacing w:val="-2"/>
        </w:rPr>
        <w:t xml:space="preserve">, </w:t>
      </w:r>
      <w:r w:rsidRPr="004B181E">
        <w:rPr>
          <w:spacing w:val="-2"/>
        </w:rPr>
        <w:t>et de la nécessité de mobiliser davantage de parties prenantes, le Comité directeur de la GEBCO (GC-GEBCO) a décidé, à sa 38</w:t>
      </w:r>
      <w:r w:rsidRPr="004B181E">
        <w:rPr>
          <w:spacing w:val="-2"/>
          <w:vertAlign w:val="superscript"/>
        </w:rPr>
        <w:t>e</w:t>
      </w:r>
      <w:r w:rsidRPr="004B181E">
        <w:rPr>
          <w:spacing w:val="-2"/>
        </w:rPr>
        <w:t> session en avril 2022, de créer une équipe de projet chargée de procéder à un examen de la gouvernance de la GEBCO (ci</w:t>
      </w:r>
      <w:r w:rsidR="008E427E">
        <w:rPr>
          <w:spacing w:val="-2"/>
        </w:rPr>
        <w:noBreakHyphen/>
      </w:r>
      <w:r w:rsidRPr="004B181E">
        <w:rPr>
          <w:spacing w:val="-2"/>
        </w:rPr>
        <w:t>après « l’examen »). Cette équipe de projet devait être dirigée par le Secrétaire de la GEBCO (Président) et soutenue par un représentant de la COI auprès de la GEBCO (Vice-Président). Ce faisant, le GC</w:t>
      </w:r>
      <w:r w:rsidR="008E427E">
        <w:rPr>
          <w:spacing w:val="-2"/>
        </w:rPr>
        <w:noBreakHyphen/>
      </w:r>
      <w:r w:rsidRPr="004B181E">
        <w:rPr>
          <w:spacing w:val="-2"/>
        </w:rPr>
        <w:t>GEBCO a noté que « </w:t>
      </w:r>
      <w:r w:rsidRPr="004B181E">
        <w:rPr>
          <w:i/>
          <w:iCs/>
          <w:spacing w:val="-2"/>
        </w:rPr>
        <w:t>bien qu’il s’agisse clairement d’une démarche nécessaire et utile</w:t>
      </w:r>
      <w:r w:rsidRPr="004B181E">
        <w:rPr>
          <w:spacing w:val="-2"/>
        </w:rPr>
        <w:t> », cette tâche pourrait s’avérer considérable et l’équipe de projet « </w:t>
      </w:r>
      <w:r w:rsidRPr="004B181E">
        <w:rPr>
          <w:i/>
          <w:iCs/>
          <w:spacing w:val="-2"/>
        </w:rPr>
        <w:t>devrait se montrer prudente pour ne pas la rendre trop détaillée ou trop fastidieuse</w:t>
      </w:r>
      <w:r w:rsidRPr="004B181E">
        <w:rPr>
          <w:spacing w:val="-2"/>
        </w:rPr>
        <w:t> ». Il a donc été convenu que l’objectif devrait être de produire « </w:t>
      </w:r>
      <w:r w:rsidRPr="004B181E">
        <w:rPr>
          <w:i/>
          <w:iCs/>
          <w:spacing w:val="-2"/>
        </w:rPr>
        <w:t>un processus d’amélioration continue reproductible, plutôt qu’un simple rapport indépendant</w:t>
      </w:r>
      <w:r w:rsidRPr="004B181E">
        <w:rPr>
          <w:spacing w:val="-2"/>
        </w:rPr>
        <w:t> ».</w:t>
      </w:r>
    </w:p>
    <w:p w14:paraId="2E6995A3" w14:textId="651ACB7E" w:rsidR="007143D2" w:rsidRPr="007143D2" w:rsidRDefault="007143D2" w:rsidP="007143D2">
      <w:pPr>
        <w:pStyle w:val="Marge"/>
        <w:rPr>
          <w:lang w:val="en-GB"/>
        </w:rPr>
      </w:pPr>
      <w:r>
        <w:t>2.</w:t>
      </w:r>
      <w:r>
        <w:tab/>
      </w:r>
      <w:r w:rsidRPr="007143D2">
        <w:t>L’examen porte principalement sur la cartographie et la mobilisation des parties prenantes ; l’état des lieux de l’organisation et de la structure fonctionnelle existantes ; l’examen de la structure et du cadre juridiques ; l’analyse des lacunes des instruments de gouvernance existants ; l’examen de la situation financière ; et la formulation de constatations et de recommandations.</w:t>
      </w:r>
    </w:p>
    <w:p w14:paraId="239E6D61" w14:textId="6F166831" w:rsidR="007143D2" w:rsidRPr="007143D2" w:rsidRDefault="007143D2" w:rsidP="007143D2">
      <w:pPr>
        <w:pStyle w:val="Marge"/>
      </w:pPr>
      <w:r>
        <w:t>3.</w:t>
      </w:r>
      <w:r>
        <w:tab/>
      </w:r>
      <w:r w:rsidRPr="004B181E">
        <w:rPr>
          <w:spacing w:val="-3"/>
        </w:rPr>
        <w:t>Les travaux entrepris jusqu’à présent montrent sans conteste qu’il s’agit en effet d’une tâche complexe qui a considérablement puisé dans les ressources des secrétariats de l’OHI et de la COI. C’est la raison pour laquelle il a été décidé de reporter la remise finale des constatations au GC</w:t>
      </w:r>
      <w:r w:rsidR="008E427E">
        <w:rPr>
          <w:spacing w:val="-3"/>
        </w:rPr>
        <w:noBreakHyphen/>
      </w:r>
      <w:r w:rsidRPr="004B181E">
        <w:rPr>
          <w:spacing w:val="-3"/>
        </w:rPr>
        <w:t>GEBCO à sa 40</w:t>
      </w:r>
      <w:r w:rsidRPr="004B181E">
        <w:rPr>
          <w:spacing w:val="-3"/>
          <w:vertAlign w:val="superscript"/>
        </w:rPr>
        <w:t>e</w:t>
      </w:r>
      <w:r w:rsidRPr="004B181E">
        <w:rPr>
          <w:spacing w:val="-3"/>
        </w:rPr>
        <w:t> session en novembre 2023, avant d’en rendre compte aux organisations mères.</w:t>
      </w:r>
    </w:p>
    <w:p w14:paraId="0FD6D515" w14:textId="7E4D66E0" w:rsidR="007143D2" w:rsidRPr="007143D2" w:rsidRDefault="007143D2" w:rsidP="007143D2">
      <w:pPr>
        <w:pStyle w:val="Marge"/>
        <w:rPr>
          <w:bCs/>
          <w:lang w:val="en-GB"/>
        </w:rPr>
      </w:pPr>
      <w:r>
        <w:t>4.</w:t>
      </w:r>
      <w:r>
        <w:tab/>
      </w:r>
      <w:r w:rsidRPr="007143D2">
        <w:t>Le présent rapport fait le point sur les progrès réalisés à ce jour, y compris les premières constatations et les prochaines étapes.</w:t>
      </w:r>
    </w:p>
    <w:p w14:paraId="3FB93040" w14:textId="77777777" w:rsidR="007143D2" w:rsidRPr="007143D2" w:rsidRDefault="007143D2" w:rsidP="007143D2">
      <w:pPr>
        <w:keepNext/>
        <w:tabs>
          <w:tab w:val="clear" w:pos="567"/>
        </w:tabs>
        <w:snapToGrid/>
        <w:spacing w:after="240"/>
        <w:jc w:val="both"/>
        <w:rPr>
          <w:rFonts w:eastAsia="Times New Roman" w:cs="Arial"/>
          <w:i/>
          <w:iCs/>
          <w:snapToGrid/>
          <w:szCs w:val="22"/>
          <w:u w:val="single"/>
        </w:rPr>
      </w:pPr>
      <w:r w:rsidRPr="007143D2">
        <w:rPr>
          <w:rFonts w:eastAsia="DengXian" w:cs="Arial"/>
          <w:i/>
          <w:iCs/>
          <w:snapToGrid/>
          <w:szCs w:val="22"/>
          <w:u w:val="single"/>
        </w:rPr>
        <w:t>Processus – travaux menés jusqu’à présent</w:t>
      </w:r>
    </w:p>
    <w:p w14:paraId="3E7CF07D" w14:textId="284E7667" w:rsidR="007143D2" w:rsidRPr="007143D2" w:rsidRDefault="007143D2" w:rsidP="007143D2">
      <w:pPr>
        <w:pStyle w:val="Marge"/>
      </w:pPr>
      <w:r>
        <w:t>5.</w:t>
      </w:r>
      <w:r>
        <w:tab/>
      </w:r>
      <w:r w:rsidRPr="007143D2">
        <w:t>À la suite de l’approbation de la proposition de création de l’Équipe chargée du projet d’examen de la gouvernance de la GEBCO (ci-après « l’Équipe ») par le Comité de coordination interrégional de l’OHI (</w:t>
      </w:r>
      <w:r w:rsidRPr="007143D2">
        <w:rPr>
          <w:b/>
          <w:bCs/>
        </w:rPr>
        <w:t>IRCC</w:t>
      </w:r>
      <w:r w:rsidRPr="007143D2">
        <w:t>) à sa 14</w:t>
      </w:r>
      <w:r w:rsidRPr="007143D2">
        <w:rPr>
          <w:vertAlign w:val="superscript"/>
        </w:rPr>
        <w:t>e</w:t>
      </w:r>
      <w:r w:rsidRPr="007143D2">
        <w:t> session et le Conseil exécutif de la COI à sa 55</w:t>
      </w:r>
      <w:r w:rsidRPr="007143D2">
        <w:rPr>
          <w:vertAlign w:val="superscript"/>
        </w:rPr>
        <w:t>e</w:t>
      </w:r>
      <w:r w:rsidRPr="007143D2">
        <w:t> session, les travaux d’examen de la gouvernance ont débuté. Il a été convenu que les travaux porteraient initialement sur l’état des lieux de la structure organisationnelle et fonctionnelle de la GEBCO, ce qui permettrait d’entamer une analyse des lacunes des différents instruments de gouvernance en s’appuyant sur les premières constatations. Compte tenu de l’ampleur et de la complexité de cette tâche, il était nécessaire de se focaliser dans un premier temps sur les principales entités de la GEBCO (à savoir ses sous-comités) et sur leurs relations avec leurs organisations mères.</w:t>
      </w:r>
    </w:p>
    <w:p w14:paraId="5A22B67D" w14:textId="77777777" w:rsidR="007143D2" w:rsidRPr="007143D2" w:rsidRDefault="007143D2" w:rsidP="007143D2">
      <w:pPr>
        <w:keepNext/>
        <w:tabs>
          <w:tab w:val="clear" w:pos="567"/>
        </w:tabs>
        <w:snapToGrid/>
        <w:spacing w:after="240"/>
        <w:jc w:val="both"/>
        <w:rPr>
          <w:rFonts w:eastAsia="Times New Roman" w:cs="Arial"/>
          <w:i/>
          <w:iCs/>
          <w:snapToGrid/>
          <w:szCs w:val="22"/>
          <w:u w:val="single"/>
        </w:rPr>
      </w:pPr>
      <w:r w:rsidRPr="007143D2">
        <w:rPr>
          <w:rFonts w:eastAsia="DengXian" w:cs="Arial"/>
          <w:i/>
          <w:iCs/>
          <w:snapToGrid/>
          <w:szCs w:val="22"/>
          <w:u w:val="single"/>
        </w:rPr>
        <w:t>Alignement sur la stratégie</w:t>
      </w:r>
    </w:p>
    <w:p w14:paraId="00BFB367" w14:textId="4DF5E69D" w:rsidR="007143D2" w:rsidRPr="007143D2" w:rsidRDefault="007143D2" w:rsidP="007143D2">
      <w:pPr>
        <w:pStyle w:val="Marge"/>
      </w:pPr>
      <w:r>
        <w:t>6.</w:t>
      </w:r>
      <w:r>
        <w:tab/>
      </w:r>
      <w:r w:rsidRPr="007143D2">
        <w:t>Le GC-GEBCO, à ses 38</w:t>
      </w:r>
      <w:r w:rsidRPr="007143D2">
        <w:rPr>
          <w:vertAlign w:val="superscript"/>
        </w:rPr>
        <w:t>e</w:t>
      </w:r>
      <w:r w:rsidRPr="007143D2">
        <w:t xml:space="preserve"> et 39</w:t>
      </w:r>
      <w:r w:rsidRPr="007143D2">
        <w:rPr>
          <w:vertAlign w:val="superscript"/>
        </w:rPr>
        <w:t>e</w:t>
      </w:r>
      <w:r w:rsidRPr="007143D2">
        <w:t> sessions, a reconnu qu’en règle générale, un examen de la gouvernance de ce type serait entrepris dans le cadre d’une stratégie organisationnelle sous une forme ou une autre, afin de s’assurer du bon déroulement de cette démarche. De plus, il a noté que l’examen de la gouvernance ne serait probablement pas mené à bien tant que la nouvelle stratégie de la GEBCO n’aurait pas atteint un certain degré de maturité.</w:t>
      </w:r>
    </w:p>
    <w:p w14:paraId="55522FAA" w14:textId="77777777" w:rsidR="007143D2" w:rsidRPr="007143D2" w:rsidRDefault="007143D2" w:rsidP="007143D2">
      <w:pPr>
        <w:keepNext/>
        <w:tabs>
          <w:tab w:val="clear" w:pos="567"/>
        </w:tabs>
        <w:snapToGrid/>
        <w:spacing w:after="240"/>
        <w:jc w:val="both"/>
        <w:rPr>
          <w:rFonts w:eastAsia="Times New Roman" w:cs="Arial"/>
          <w:i/>
          <w:iCs/>
          <w:snapToGrid/>
          <w:szCs w:val="22"/>
          <w:u w:val="single"/>
        </w:rPr>
      </w:pPr>
      <w:r w:rsidRPr="007143D2">
        <w:rPr>
          <w:rFonts w:eastAsia="DengXian" w:cs="Arial"/>
          <w:i/>
          <w:iCs/>
          <w:snapToGrid/>
          <w:szCs w:val="22"/>
          <w:u w:val="single"/>
        </w:rPr>
        <w:t>Considérations initiales</w:t>
      </w:r>
    </w:p>
    <w:p w14:paraId="4CFB5DE8" w14:textId="0211667F" w:rsidR="007143D2" w:rsidRPr="007143D2" w:rsidRDefault="007143D2" w:rsidP="00B50B1F">
      <w:pPr>
        <w:pStyle w:val="Marge"/>
        <w:spacing w:after="120"/>
      </w:pPr>
      <w:r>
        <w:t>7.</w:t>
      </w:r>
      <w:r>
        <w:tab/>
      </w:r>
      <w:r w:rsidRPr="007143D2">
        <w:t>Afin de parvenir au premier ensemble de constatations présenté dans le présent document, une série de questions a été élaborée afin de veiller à ce que le processus d’évaluation essentiellement qualitatif suive une démarche cohérente et reproductible :</w:t>
      </w:r>
    </w:p>
    <w:p w14:paraId="624E67B8" w14:textId="77777777" w:rsidR="007143D2" w:rsidRPr="007143D2" w:rsidRDefault="007143D2" w:rsidP="00B50B1F">
      <w:pPr>
        <w:numPr>
          <w:ilvl w:val="0"/>
          <w:numId w:val="41"/>
        </w:numPr>
        <w:tabs>
          <w:tab w:val="clear" w:pos="567"/>
        </w:tabs>
        <w:snapToGrid/>
        <w:spacing w:after="120"/>
        <w:ind w:left="851" w:hanging="284"/>
        <w:jc w:val="both"/>
        <w:rPr>
          <w:rFonts w:eastAsia="Times New Roman" w:cs="Arial"/>
          <w:bCs/>
          <w:snapToGrid/>
          <w:szCs w:val="22"/>
        </w:rPr>
      </w:pPr>
      <w:r w:rsidRPr="007143D2">
        <w:rPr>
          <w:rFonts w:eastAsia="DengXian" w:cs="Arial"/>
          <w:snapToGrid/>
          <w:szCs w:val="22"/>
        </w:rPr>
        <w:t>Les instruments de gouvernance pertinents existent-ils ?</w:t>
      </w:r>
    </w:p>
    <w:p w14:paraId="74EDE0E5" w14:textId="77777777" w:rsidR="007143D2" w:rsidRPr="007143D2" w:rsidRDefault="007143D2" w:rsidP="00B50B1F">
      <w:pPr>
        <w:numPr>
          <w:ilvl w:val="0"/>
          <w:numId w:val="41"/>
        </w:numPr>
        <w:tabs>
          <w:tab w:val="clear" w:pos="567"/>
        </w:tabs>
        <w:snapToGrid/>
        <w:spacing w:after="120"/>
        <w:ind w:left="851" w:hanging="284"/>
        <w:jc w:val="both"/>
        <w:rPr>
          <w:rFonts w:eastAsia="Times New Roman" w:cs="Arial"/>
          <w:bCs/>
          <w:snapToGrid/>
          <w:szCs w:val="22"/>
        </w:rPr>
      </w:pPr>
      <w:r w:rsidRPr="007143D2">
        <w:rPr>
          <w:rFonts w:eastAsia="DengXian" w:cs="Arial"/>
          <w:snapToGrid/>
          <w:szCs w:val="22"/>
        </w:rPr>
        <w:t>Les instruments de gouvernance sont-ils à jour et étayent-ils de manière adéquate les travaux du groupe ou du comité ?</w:t>
      </w:r>
    </w:p>
    <w:p w14:paraId="64D9B656" w14:textId="77777777" w:rsidR="007143D2" w:rsidRPr="007143D2" w:rsidRDefault="007143D2" w:rsidP="00B50B1F">
      <w:pPr>
        <w:numPr>
          <w:ilvl w:val="0"/>
          <w:numId w:val="41"/>
        </w:numPr>
        <w:tabs>
          <w:tab w:val="clear" w:pos="567"/>
        </w:tabs>
        <w:snapToGrid/>
        <w:spacing w:after="120"/>
        <w:ind w:left="851" w:hanging="284"/>
        <w:jc w:val="both"/>
        <w:rPr>
          <w:rFonts w:eastAsia="Times New Roman" w:cs="Arial"/>
          <w:bCs/>
          <w:snapToGrid/>
          <w:szCs w:val="22"/>
        </w:rPr>
      </w:pPr>
      <w:r w:rsidRPr="007143D2">
        <w:rPr>
          <w:rFonts w:eastAsia="DengXian" w:cs="Arial"/>
          <w:snapToGrid/>
          <w:szCs w:val="22"/>
        </w:rPr>
        <w:lastRenderedPageBreak/>
        <w:t>Le plan de travail est-il clair, actuel et structuré de manière logique ?</w:t>
      </w:r>
    </w:p>
    <w:p w14:paraId="0F34F8E8" w14:textId="77777777" w:rsidR="007143D2" w:rsidRPr="007143D2" w:rsidRDefault="007143D2" w:rsidP="00B50B1F">
      <w:pPr>
        <w:numPr>
          <w:ilvl w:val="0"/>
          <w:numId w:val="41"/>
        </w:numPr>
        <w:tabs>
          <w:tab w:val="clear" w:pos="567"/>
        </w:tabs>
        <w:snapToGrid/>
        <w:spacing w:after="120"/>
        <w:ind w:left="851" w:hanging="284"/>
        <w:jc w:val="both"/>
        <w:rPr>
          <w:rFonts w:eastAsia="Times New Roman" w:cs="Arial"/>
          <w:bCs/>
          <w:snapToGrid/>
          <w:szCs w:val="22"/>
        </w:rPr>
      </w:pPr>
      <w:r w:rsidRPr="007143D2">
        <w:rPr>
          <w:rFonts w:eastAsia="DengXian" w:cs="Arial"/>
          <w:snapToGrid/>
          <w:szCs w:val="22"/>
        </w:rPr>
        <w:t>Les travaux du GC-GEBCO et des sous-comités sont-ils correctement structurés du point de vue de la hiérarchie d’exécution des programmes ?</w:t>
      </w:r>
    </w:p>
    <w:p w14:paraId="7E3D92D3" w14:textId="77777777" w:rsidR="007143D2" w:rsidRPr="007143D2" w:rsidRDefault="007143D2" w:rsidP="00B50B1F">
      <w:pPr>
        <w:numPr>
          <w:ilvl w:val="0"/>
          <w:numId w:val="41"/>
        </w:numPr>
        <w:tabs>
          <w:tab w:val="clear" w:pos="567"/>
        </w:tabs>
        <w:snapToGrid/>
        <w:spacing w:after="120"/>
        <w:ind w:left="851" w:hanging="284"/>
        <w:jc w:val="both"/>
        <w:rPr>
          <w:rFonts w:eastAsia="Times New Roman" w:cs="Arial"/>
          <w:bCs/>
          <w:snapToGrid/>
          <w:szCs w:val="22"/>
        </w:rPr>
      </w:pPr>
      <w:r w:rsidRPr="007143D2">
        <w:rPr>
          <w:rFonts w:eastAsia="DengXian" w:cs="Arial"/>
          <w:snapToGrid/>
          <w:szCs w:val="22"/>
        </w:rPr>
        <w:t>La composition du groupe ou du comité est-elle adaptée et existe-t-il des obstacles à une contribution efficace de la part de celui-ci ?</w:t>
      </w:r>
    </w:p>
    <w:p w14:paraId="1B36B1D9" w14:textId="77777777" w:rsidR="007143D2" w:rsidRPr="007143D2" w:rsidRDefault="007143D2" w:rsidP="004B181E">
      <w:pPr>
        <w:numPr>
          <w:ilvl w:val="0"/>
          <w:numId w:val="41"/>
        </w:numPr>
        <w:tabs>
          <w:tab w:val="clear" w:pos="567"/>
        </w:tabs>
        <w:snapToGrid/>
        <w:spacing w:after="240"/>
        <w:ind w:left="851" w:hanging="284"/>
        <w:jc w:val="both"/>
        <w:rPr>
          <w:rFonts w:eastAsia="DengXian" w:cs="Arial"/>
          <w:snapToGrid/>
          <w:szCs w:val="22"/>
        </w:rPr>
      </w:pPr>
      <w:r w:rsidRPr="007143D2">
        <w:rPr>
          <w:rFonts w:eastAsia="DengXian" w:cs="Arial"/>
          <w:snapToGrid/>
          <w:szCs w:val="22"/>
        </w:rPr>
        <w:t>Les pratiques de travail pertinentes sont-elles suffisamment claires, formalisées et adaptées à l’objectif visé ?</w:t>
      </w:r>
    </w:p>
    <w:p w14:paraId="1C519BCA" w14:textId="77777777" w:rsidR="007143D2" w:rsidRPr="007143D2" w:rsidRDefault="007143D2" w:rsidP="007143D2">
      <w:pPr>
        <w:keepNext/>
        <w:tabs>
          <w:tab w:val="clear" w:pos="567"/>
        </w:tabs>
        <w:snapToGrid/>
        <w:spacing w:after="240"/>
        <w:jc w:val="both"/>
        <w:rPr>
          <w:rFonts w:eastAsia="Times New Roman" w:cs="Arial"/>
          <w:i/>
          <w:iCs/>
          <w:snapToGrid/>
          <w:szCs w:val="22"/>
          <w:u w:val="single"/>
        </w:rPr>
      </w:pPr>
      <w:r w:rsidRPr="007143D2">
        <w:rPr>
          <w:rFonts w:eastAsia="DengXian" w:cs="Arial"/>
          <w:i/>
          <w:iCs/>
          <w:snapToGrid/>
          <w:szCs w:val="22"/>
          <w:u w:val="single"/>
        </w:rPr>
        <w:t>Groupe consultatif externe</w:t>
      </w:r>
    </w:p>
    <w:p w14:paraId="01D25294" w14:textId="5277DB90" w:rsidR="007143D2" w:rsidRPr="007143D2" w:rsidRDefault="007143D2" w:rsidP="007143D2">
      <w:pPr>
        <w:pStyle w:val="Marge"/>
      </w:pPr>
      <w:r>
        <w:t>8.</w:t>
      </w:r>
      <w:r>
        <w:tab/>
      </w:r>
      <w:r w:rsidRPr="007143D2">
        <w:t>Le mandat et le règlement intérieur de l’Équipe indiquent que celle-ci « </w:t>
      </w:r>
      <w:r w:rsidRPr="007143D2">
        <w:rPr>
          <w:i/>
          <w:iCs/>
        </w:rPr>
        <w:t>est habilitée à trouver des candidats qualifiés au Groupe consultatif [externe] et à les engager en tant que de besoin afin de donner l’assurance au Comité directeur de la GEBCO (et aux organes auxquels elle doit rendre des comptes) que les travaux menés sont de qualité, impartiaux et que les recommandations formulées sont objectives</w:t>
      </w:r>
      <w:r w:rsidRPr="007143D2">
        <w:t> » (voir document </w:t>
      </w:r>
      <w:hyperlink r:id="rId11" w:history="1">
        <w:r w:rsidRPr="007143D2">
          <w:rPr>
            <w:color w:val="0000FF"/>
            <w:u w:val="single"/>
          </w:rPr>
          <w:t>IOC/EC-55/3.1.Doc(4)</w:t>
        </w:r>
      </w:hyperlink>
      <w:r w:rsidRPr="007143D2">
        <w:t>). L’Équipe a attentivement réfléchi à la manière dont elle utiliserait une telle ressource et décidé que le rôle qui conviendrait le mieux à ce groupe serait l’examen externe ou l’examen par les pairs du rapport final.</w:t>
      </w:r>
    </w:p>
    <w:p w14:paraId="7CB6A219" w14:textId="0E723D3C" w:rsidR="007143D2" w:rsidRPr="007143D2" w:rsidRDefault="007143D2" w:rsidP="007143D2">
      <w:pPr>
        <w:pStyle w:val="Marge"/>
        <w:rPr>
          <w:b/>
          <w:bCs/>
          <w:lang w:val="en-GB"/>
        </w:rPr>
      </w:pPr>
      <w:r>
        <w:t>9.</w:t>
      </w:r>
      <w:r>
        <w:tab/>
      </w:r>
      <w:r w:rsidRPr="007143D2">
        <w:t>À ce jour, trois postes recensés ont été pourvus et il ne reste plus qu’à nommer un représentant des entreprises. Le Groupe consultatif d’experts est actuellement composé :</w:t>
      </w:r>
    </w:p>
    <w:p w14:paraId="05758AFB" w14:textId="79C7914C" w:rsidR="007143D2" w:rsidRPr="00251914" w:rsidRDefault="004B181E" w:rsidP="00B50B1F">
      <w:pPr>
        <w:tabs>
          <w:tab w:val="clear" w:pos="567"/>
        </w:tabs>
        <w:snapToGrid/>
        <w:spacing w:after="120" w:line="259" w:lineRule="auto"/>
        <w:ind w:left="851" w:hanging="284"/>
        <w:jc w:val="both"/>
        <w:rPr>
          <w:rFonts w:eastAsia="Times New Roman" w:cs="Arial"/>
          <w:bCs/>
          <w:snapToGrid/>
          <w:szCs w:val="22"/>
        </w:rPr>
      </w:pPr>
      <w:r>
        <w:rPr>
          <w:rFonts w:eastAsia="DengXian" w:cs="Arial"/>
          <w:snapToGrid/>
          <w:szCs w:val="22"/>
        </w:rPr>
        <w:t>-</w:t>
      </w:r>
      <w:r>
        <w:rPr>
          <w:rFonts w:eastAsia="DengXian" w:cs="Arial"/>
          <w:snapToGrid/>
          <w:szCs w:val="22"/>
        </w:rPr>
        <w:tab/>
      </w:r>
      <w:r w:rsidR="007143D2" w:rsidRPr="007143D2">
        <w:rPr>
          <w:rFonts w:eastAsia="DengXian" w:cs="Arial"/>
          <w:snapToGrid/>
          <w:szCs w:val="22"/>
        </w:rPr>
        <w:t xml:space="preserve">d’une </w:t>
      </w:r>
      <w:r w:rsidR="007143D2" w:rsidRPr="007143D2">
        <w:rPr>
          <w:rFonts w:eastAsia="DengXian" w:cs="Arial"/>
          <w:snapToGrid/>
          <w:szCs w:val="22"/>
          <w:u w:val="single"/>
        </w:rPr>
        <w:t>représentante juridique</w:t>
      </w:r>
      <w:r w:rsidR="007143D2" w:rsidRPr="007143D2">
        <w:rPr>
          <w:rFonts w:eastAsia="DengXian" w:cs="Arial"/>
          <w:snapToGrid/>
          <w:szCs w:val="22"/>
        </w:rPr>
        <w:t xml:space="preserve"> – Mme Virginie Tassin Campane</w:t>
      </w:r>
      <w:r w:rsidR="007143D2" w:rsidRPr="00251914">
        <w:rPr>
          <w:rFonts w:eastAsia="DengXian" w:cs="Arial"/>
          <w:snapToGrid/>
          <w:szCs w:val="22"/>
        </w:rPr>
        <w:t>lla, avocat à la Cour (barreau de Paris), avocat membre de l’Union européenne (UE) et de l’Association européenne de libre</w:t>
      </w:r>
      <w:r w:rsidR="002A63E3" w:rsidRPr="00251914">
        <w:rPr>
          <w:rFonts w:eastAsia="DengXian" w:cs="Arial"/>
          <w:snapToGrid/>
          <w:szCs w:val="22"/>
        </w:rPr>
        <w:noBreakHyphen/>
      </w:r>
      <w:r w:rsidR="007143D2" w:rsidRPr="00251914">
        <w:rPr>
          <w:rFonts w:eastAsia="DengXian" w:cs="Arial"/>
          <w:snapToGrid/>
          <w:szCs w:val="22"/>
        </w:rPr>
        <w:t>échange (AELE) (barreau de Zürich) et Vice-</w:t>
      </w:r>
      <w:r w:rsidR="00B50B1F" w:rsidRPr="00251914">
        <w:rPr>
          <w:rFonts w:eastAsia="DengXian" w:cs="Arial"/>
          <w:snapToGrid/>
          <w:szCs w:val="22"/>
        </w:rPr>
        <w:t>P</w:t>
      </w:r>
      <w:r w:rsidR="007143D2" w:rsidRPr="00251914">
        <w:rPr>
          <w:rFonts w:eastAsia="DengXian" w:cs="Arial"/>
          <w:snapToGrid/>
          <w:szCs w:val="22"/>
        </w:rPr>
        <w:t>résidente du Conseil scientifique de l’Institut du droit économique de la mer (INDEMER) (Monaco) ;</w:t>
      </w:r>
    </w:p>
    <w:p w14:paraId="096166F9" w14:textId="36BE5899" w:rsidR="007143D2" w:rsidRPr="007143D2" w:rsidRDefault="004B181E" w:rsidP="00B50B1F">
      <w:pPr>
        <w:tabs>
          <w:tab w:val="clear" w:pos="567"/>
        </w:tabs>
        <w:snapToGrid/>
        <w:spacing w:after="120" w:line="259" w:lineRule="auto"/>
        <w:ind w:left="851" w:hanging="284"/>
        <w:jc w:val="both"/>
        <w:rPr>
          <w:rFonts w:eastAsia="Times New Roman" w:cs="Arial"/>
          <w:bCs/>
          <w:snapToGrid/>
          <w:szCs w:val="22"/>
        </w:rPr>
      </w:pPr>
      <w:r w:rsidRPr="00251914">
        <w:rPr>
          <w:rFonts w:eastAsia="DengXian" w:cs="Arial"/>
          <w:snapToGrid/>
          <w:szCs w:val="22"/>
        </w:rPr>
        <w:t>-</w:t>
      </w:r>
      <w:r w:rsidRPr="00251914">
        <w:rPr>
          <w:rFonts w:eastAsia="DengXian" w:cs="Arial"/>
          <w:snapToGrid/>
          <w:szCs w:val="22"/>
        </w:rPr>
        <w:tab/>
      </w:r>
      <w:r w:rsidR="007143D2" w:rsidRPr="00251914">
        <w:rPr>
          <w:rFonts w:eastAsia="DengXian" w:cs="Arial"/>
          <w:snapToGrid/>
          <w:szCs w:val="22"/>
        </w:rPr>
        <w:t xml:space="preserve">d’une </w:t>
      </w:r>
      <w:r w:rsidR="007143D2" w:rsidRPr="00251914">
        <w:rPr>
          <w:rFonts w:eastAsia="DengXian" w:cs="Arial"/>
          <w:snapToGrid/>
          <w:szCs w:val="22"/>
          <w:u w:val="single"/>
        </w:rPr>
        <w:t>représentante financière</w:t>
      </w:r>
      <w:r w:rsidR="007143D2" w:rsidRPr="00251914">
        <w:rPr>
          <w:rFonts w:eastAsia="DengXian" w:cs="Arial"/>
          <w:snapToGrid/>
          <w:szCs w:val="22"/>
        </w:rPr>
        <w:t xml:space="preserve"> – Mme Sandrine Brunel du Secrét</w:t>
      </w:r>
      <w:r w:rsidR="007143D2" w:rsidRPr="007143D2">
        <w:rPr>
          <w:rFonts w:eastAsia="DengXian" w:cs="Arial"/>
          <w:snapToGrid/>
          <w:szCs w:val="22"/>
        </w:rPr>
        <w:t>ariat de l’OHI ;</w:t>
      </w:r>
    </w:p>
    <w:p w14:paraId="78B8233D" w14:textId="6E11E66F" w:rsidR="007143D2" w:rsidRPr="007143D2" w:rsidRDefault="004B181E" w:rsidP="00B50B1F">
      <w:pPr>
        <w:tabs>
          <w:tab w:val="clear" w:pos="567"/>
        </w:tabs>
        <w:snapToGrid/>
        <w:spacing w:after="120" w:line="259" w:lineRule="auto"/>
        <w:ind w:left="851" w:hanging="284"/>
        <w:jc w:val="both"/>
        <w:rPr>
          <w:rFonts w:eastAsia="Times New Roman" w:cs="Arial"/>
          <w:bCs/>
          <w:snapToGrid/>
          <w:szCs w:val="22"/>
        </w:rPr>
      </w:pPr>
      <w:r>
        <w:rPr>
          <w:rFonts w:eastAsia="DengXian" w:cs="Arial"/>
          <w:snapToGrid/>
          <w:szCs w:val="22"/>
        </w:rPr>
        <w:t>-</w:t>
      </w:r>
      <w:r>
        <w:rPr>
          <w:rFonts w:eastAsia="DengXian" w:cs="Arial"/>
          <w:snapToGrid/>
          <w:szCs w:val="22"/>
        </w:rPr>
        <w:tab/>
      </w:r>
      <w:r w:rsidR="007143D2" w:rsidRPr="007143D2">
        <w:rPr>
          <w:rFonts w:eastAsia="DengXian" w:cs="Arial"/>
          <w:snapToGrid/>
          <w:szCs w:val="22"/>
        </w:rPr>
        <w:t xml:space="preserve">d’un </w:t>
      </w:r>
      <w:r w:rsidR="007143D2" w:rsidRPr="007143D2">
        <w:rPr>
          <w:rFonts w:eastAsia="DengXian" w:cs="Arial"/>
          <w:snapToGrid/>
          <w:szCs w:val="22"/>
          <w:u w:val="single"/>
        </w:rPr>
        <w:t>représentant du milieu universitaire</w:t>
      </w:r>
      <w:r w:rsidR="007143D2" w:rsidRPr="007143D2">
        <w:rPr>
          <w:rFonts w:eastAsia="DengXian" w:cs="Arial"/>
          <w:snapToGrid/>
          <w:szCs w:val="22"/>
        </w:rPr>
        <w:t xml:space="preserve"> – M. Paul Elsner de l’Université de Londres ;</w:t>
      </w:r>
    </w:p>
    <w:p w14:paraId="4B2CD19F" w14:textId="353E2450" w:rsidR="007143D2" w:rsidRPr="007143D2" w:rsidRDefault="004B181E" w:rsidP="004B181E">
      <w:pPr>
        <w:tabs>
          <w:tab w:val="clear" w:pos="567"/>
        </w:tabs>
        <w:snapToGrid/>
        <w:spacing w:after="240" w:line="259" w:lineRule="auto"/>
        <w:ind w:left="851" w:hanging="284"/>
        <w:jc w:val="both"/>
        <w:rPr>
          <w:rFonts w:eastAsia="DengXian" w:cs="Arial"/>
          <w:snapToGrid/>
          <w:szCs w:val="22"/>
        </w:rPr>
      </w:pPr>
      <w:r>
        <w:rPr>
          <w:rFonts w:eastAsia="DengXian" w:cs="Arial"/>
          <w:snapToGrid/>
          <w:szCs w:val="22"/>
        </w:rPr>
        <w:t>-</w:t>
      </w:r>
      <w:r>
        <w:rPr>
          <w:rFonts w:eastAsia="DengXian" w:cs="Arial"/>
          <w:snapToGrid/>
          <w:szCs w:val="22"/>
        </w:rPr>
        <w:tab/>
      </w:r>
      <w:r w:rsidR="007143D2" w:rsidRPr="007143D2">
        <w:rPr>
          <w:rFonts w:eastAsia="DengXian" w:cs="Arial"/>
          <w:snapToGrid/>
          <w:szCs w:val="22"/>
        </w:rPr>
        <w:t xml:space="preserve">d’un </w:t>
      </w:r>
      <w:r w:rsidR="007143D2" w:rsidRPr="007143D2">
        <w:rPr>
          <w:rFonts w:eastAsia="DengXian" w:cs="Arial"/>
          <w:snapToGrid/>
          <w:szCs w:val="22"/>
          <w:u w:val="single"/>
        </w:rPr>
        <w:t>représentant des entreprises/du secteur privé</w:t>
      </w:r>
      <w:r w:rsidR="007143D2" w:rsidRPr="007143D2">
        <w:rPr>
          <w:rFonts w:eastAsia="DengXian" w:cs="Arial"/>
          <w:snapToGrid/>
          <w:szCs w:val="22"/>
        </w:rPr>
        <w:t xml:space="preserve"> –</w:t>
      </w:r>
      <w:r w:rsidR="007143D2" w:rsidRPr="007143D2">
        <w:rPr>
          <w:rFonts w:eastAsia="DengXian" w:cs="Arial"/>
          <w:i/>
          <w:iCs/>
          <w:snapToGrid/>
          <w:szCs w:val="22"/>
        </w:rPr>
        <w:t xml:space="preserve"> </w:t>
      </w:r>
      <w:r w:rsidR="00B50B1F" w:rsidRPr="00B50B1F">
        <w:rPr>
          <w:rFonts w:eastAsia="DengXian" w:cs="Arial"/>
          <w:i/>
          <w:iCs/>
          <w:snapToGrid/>
          <w:szCs w:val="22"/>
        </w:rPr>
        <w:t>[</w:t>
      </w:r>
      <w:r w:rsidR="007143D2" w:rsidRPr="007143D2">
        <w:rPr>
          <w:rFonts w:eastAsia="DengXian" w:cs="Arial"/>
          <w:i/>
          <w:iCs/>
          <w:snapToGrid/>
          <w:szCs w:val="22"/>
        </w:rPr>
        <w:t>à confirmer</w:t>
      </w:r>
      <w:r w:rsidR="00B50B1F" w:rsidRPr="00B50B1F">
        <w:rPr>
          <w:rFonts w:eastAsia="DengXian" w:cs="Arial"/>
          <w:i/>
          <w:iCs/>
          <w:snapToGrid/>
          <w:szCs w:val="22"/>
        </w:rPr>
        <w:t>]</w:t>
      </w:r>
      <w:r w:rsidR="007143D2" w:rsidRPr="007143D2">
        <w:rPr>
          <w:rFonts w:eastAsia="DengXian" w:cs="Arial"/>
          <w:snapToGrid/>
          <w:szCs w:val="22"/>
        </w:rPr>
        <w:t>.</w:t>
      </w:r>
    </w:p>
    <w:p w14:paraId="1172A159" w14:textId="77777777" w:rsidR="007143D2" w:rsidRPr="007143D2" w:rsidRDefault="007143D2" w:rsidP="007143D2">
      <w:pPr>
        <w:keepNext/>
        <w:tabs>
          <w:tab w:val="clear" w:pos="567"/>
        </w:tabs>
        <w:snapToGrid/>
        <w:spacing w:before="360" w:after="240"/>
        <w:jc w:val="both"/>
        <w:rPr>
          <w:rFonts w:eastAsia="Times New Roman" w:cs="Arial"/>
          <w:b/>
          <w:bCs/>
          <w:snapToGrid/>
          <w:szCs w:val="22"/>
        </w:rPr>
      </w:pPr>
      <w:r w:rsidRPr="007143D2">
        <w:rPr>
          <w:rFonts w:eastAsia="DengXian" w:cs="Arial"/>
          <w:b/>
          <w:bCs/>
          <w:snapToGrid/>
          <w:szCs w:val="22"/>
        </w:rPr>
        <w:t>Synthèse des premières constatations</w:t>
      </w:r>
    </w:p>
    <w:p w14:paraId="75A48BFA" w14:textId="062FB413" w:rsidR="007143D2" w:rsidRPr="007143D2" w:rsidRDefault="007143D2" w:rsidP="007143D2">
      <w:pPr>
        <w:pStyle w:val="Marge"/>
        <w:rPr>
          <w:bCs/>
          <w:lang w:val="en-GB"/>
        </w:rPr>
      </w:pPr>
      <w:r>
        <w:t>10.</w:t>
      </w:r>
      <w:r>
        <w:tab/>
      </w:r>
      <w:r w:rsidRPr="007143D2">
        <w:t>L’état des lieux organisationnel et fonctionnel initial de la GEBCO a permis de parvenir aux premières constatations ci-dessous.</w:t>
      </w:r>
    </w:p>
    <w:p w14:paraId="449ADBF3" w14:textId="77777777" w:rsidR="007143D2" w:rsidRPr="007143D2" w:rsidRDefault="007143D2" w:rsidP="007143D2">
      <w:pPr>
        <w:keepNext/>
        <w:tabs>
          <w:tab w:val="clear" w:pos="567"/>
        </w:tabs>
        <w:snapToGrid/>
        <w:spacing w:after="240"/>
        <w:jc w:val="both"/>
        <w:rPr>
          <w:rFonts w:eastAsia="Times New Roman" w:cs="Arial"/>
          <w:i/>
          <w:iCs/>
          <w:snapToGrid/>
          <w:szCs w:val="22"/>
          <w:u w:val="single"/>
        </w:rPr>
      </w:pPr>
      <w:r w:rsidRPr="007143D2">
        <w:rPr>
          <w:rFonts w:eastAsia="DengXian" w:cs="Arial"/>
          <w:i/>
          <w:iCs/>
          <w:snapToGrid/>
          <w:szCs w:val="22"/>
          <w:u w:val="single"/>
        </w:rPr>
        <w:t>État des lieux organisationnel</w:t>
      </w:r>
    </w:p>
    <w:p w14:paraId="03F4C2F0" w14:textId="1F0A242C" w:rsidR="007143D2" w:rsidRPr="007143D2" w:rsidRDefault="007143D2" w:rsidP="007143D2">
      <w:pPr>
        <w:pStyle w:val="Marge"/>
      </w:pPr>
      <w:r>
        <w:t>11.</w:t>
      </w:r>
      <w:r>
        <w:tab/>
      </w:r>
      <w:r w:rsidRPr="007143D2">
        <w:t>La GEBCO repose sur un comité directeur et cinq sous-comités. Au fil du temps, un certain nombre d’organismes associés et d’activités de projet se sont greffés ; le plus important d’entre eux est le projet « Seabed 2030 », chapeauté par la GEBCO et la Nippon Foundation.</w:t>
      </w:r>
    </w:p>
    <w:p w14:paraId="5FE71381" w14:textId="204100DA" w:rsidR="007143D2" w:rsidRPr="007143D2" w:rsidRDefault="007143D2" w:rsidP="007143D2">
      <w:pPr>
        <w:pStyle w:val="Marge"/>
        <w:rPr>
          <w:bCs/>
          <w:lang w:val="en-GB"/>
        </w:rPr>
      </w:pPr>
      <w:r>
        <w:t>12.</w:t>
      </w:r>
      <w:r>
        <w:tab/>
      </w:r>
      <w:r w:rsidRPr="004B181E">
        <w:rPr>
          <w:spacing w:val="-2"/>
        </w:rPr>
        <w:t xml:space="preserve">Afin d’évaluer l’état de la gouvernance associée (et des instruments qui s’y rapportent), un état des lieux organisationnel a été entrepris. La </w:t>
      </w:r>
      <w:r w:rsidRPr="004B181E">
        <w:rPr>
          <w:i/>
          <w:iCs/>
          <w:spacing w:val="-2"/>
        </w:rPr>
        <w:t>figure 1</w:t>
      </w:r>
      <w:r w:rsidRPr="004B181E">
        <w:rPr>
          <w:spacing w:val="-2"/>
        </w:rPr>
        <w:t xml:space="preserve"> est un organigramme qui illustre la structure fonctionnelle et les rapports hiérarchiques de la constellation entourant actuellement la GEBCO. Plus de 25 relations fonctionnelles ont été recensées, puis décrites et codifiées. Au sein des principaux organes de la GEBCO, une analyse des lacunes des instruments de gouvernance a été entreprise.</w:t>
      </w:r>
    </w:p>
    <w:p w14:paraId="3EE41D0C" w14:textId="21DC4BF6" w:rsidR="007143D2" w:rsidRPr="007143D2" w:rsidRDefault="007143D2" w:rsidP="007143D2">
      <w:pPr>
        <w:pStyle w:val="Marge"/>
        <w:rPr>
          <w:bCs/>
          <w:lang w:val="en-GB"/>
        </w:rPr>
      </w:pPr>
      <w:r>
        <w:t>13.</w:t>
      </w:r>
      <w:r>
        <w:tab/>
      </w:r>
      <w:r w:rsidRPr="007143D2">
        <w:t>Les premières constatations ci-dessous ont été présentées au GC-GEBCO à sa 39</w:t>
      </w:r>
      <w:r w:rsidRPr="007143D2">
        <w:rPr>
          <w:vertAlign w:val="superscript"/>
        </w:rPr>
        <w:t>e</w:t>
      </w:r>
      <w:r w:rsidRPr="007143D2">
        <w:t> session pour discussion. Elles sont présentées par entité organisationnelle. Chaque constatation a été classée par « type » et, s’il y avait lieu, une recommandation quant aux mesures à prendre par la suite a été proposée. Il convient de noter que les recommandations proposées (lorsqu’elles ont été formulées) visent à stimuler la discussion ; elles doivent être approuvées par les organismes concernés, puis par le GC-GEBCO à sa 40</w:t>
      </w:r>
      <w:r w:rsidRPr="007143D2">
        <w:rPr>
          <w:vertAlign w:val="superscript"/>
        </w:rPr>
        <w:t>e</w:t>
      </w:r>
      <w:r w:rsidRPr="007143D2">
        <w:t> session.</w:t>
      </w:r>
    </w:p>
    <w:p w14:paraId="0730047E" w14:textId="77777777" w:rsidR="007143D2" w:rsidRPr="007143D2" w:rsidRDefault="007143D2" w:rsidP="004B181E">
      <w:pPr>
        <w:keepNext/>
        <w:tabs>
          <w:tab w:val="clear" w:pos="567"/>
        </w:tabs>
        <w:snapToGrid/>
        <w:spacing w:line="259" w:lineRule="auto"/>
        <w:ind w:left="792"/>
        <w:jc w:val="both"/>
        <w:rPr>
          <w:rFonts w:eastAsia="DengXian" w:cs="Arial"/>
          <w:snapToGrid/>
          <w:szCs w:val="22"/>
        </w:rPr>
      </w:pPr>
      <w:r w:rsidRPr="007143D2">
        <w:rPr>
          <w:rFonts w:eastAsia="DengXian" w:cs="Arial"/>
          <w:noProof/>
          <w:snapToGrid/>
          <w:szCs w:val="22"/>
        </w:rPr>
        <w:lastRenderedPageBreak/>
        <mc:AlternateContent>
          <mc:Choice Requires="wpg">
            <w:drawing>
              <wp:anchor distT="0" distB="0" distL="114300" distR="114300" simplePos="0" relativeHeight="251659264" behindDoc="0" locked="0" layoutInCell="1" allowOverlap="1" wp14:anchorId="615B96EF" wp14:editId="54D68834">
                <wp:simplePos x="0" y="0"/>
                <wp:positionH relativeFrom="column">
                  <wp:posOffset>654315</wp:posOffset>
                </wp:positionH>
                <wp:positionV relativeFrom="paragraph">
                  <wp:posOffset>260802</wp:posOffset>
                </wp:positionV>
                <wp:extent cx="4566299" cy="2174875"/>
                <wp:effectExtent l="0" t="0" r="5715" b="0"/>
                <wp:wrapNone/>
                <wp:docPr id="12" name="Groupe 12"/>
                <wp:cNvGraphicFramePr/>
                <a:graphic xmlns:a="http://schemas.openxmlformats.org/drawingml/2006/main">
                  <a:graphicData uri="http://schemas.microsoft.com/office/word/2010/wordprocessingGroup">
                    <wpg:wgp>
                      <wpg:cNvGrpSpPr/>
                      <wpg:grpSpPr>
                        <a:xfrm>
                          <a:off x="0" y="0"/>
                          <a:ext cx="4566299" cy="2174875"/>
                          <a:chOff x="-43892" y="0"/>
                          <a:chExt cx="4566356" cy="2175177"/>
                        </a:xfrm>
                      </wpg:grpSpPr>
                      <wps:wsp>
                        <wps:cNvPr id="307" name="Zone de texte 2"/>
                        <wps:cNvSpPr txBox="1">
                          <a:spLocks noChangeArrowheads="1"/>
                        </wps:cNvSpPr>
                        <wps:spPr bwMode="auto">
                          <a:xfrm>
                            <a:off x="5024" y="120581"/>
                            <a:ext cx="366713" cy="104775"/>
                          </a:xfrm>
                          <a:prstGeom prst="rect">
                            <a:avLst/>
                          </a:prstGeom>
                          <a:solidFill>
                            <a:srgbClr val="FFFFFF"/>
                          </a:solidFill>
                          <a:ln w="9525">
                            <a:noFill/>
                            <a:miter lim="800000"/>
                            <a:headEnd/>
                            <a:tailEnd/>
                          </a:ln>
                        </wps:spPr>
                        <wps:txbx>
                          <w:txbxContent>
                            <w:p w14:paraId="3F39B872" w14:textId="77777777" w:rsidR="007143D2" w:rsidRPr="00CB641A" w:rsidRDefault="007143D2" w:rsidP="007143D2">
                              <w:pPr>
                                <w:jc w:val="center"/>
                                <w:rPr>
                                  <w:b/>
                                  <w:bCs/>
                                  <w:sz w:val="10"/>
                                  <w:szCs w:val="10"/>
                                </w:rPr>
                              </w:pPr>
                              <w:r w:rsidRPr="00CB641A">
                                <w:rPr>
                                  <w:b/>
                                  <w:bCs/>
                                  <w:sz w:val="10"/>
                                  <w:szCs w:val="10"/>
                                </w:rPr>
                                <w:t>Assemblée</w:t>
                              </w:r>
                            </w:p>
                          </w:txbxContent>
                        </wps:txbx>
                        <wps:bodyPr rot="0" vert="horz" wrap="square" lIns="0" tIns="0" rIns="0" bIns="0" anchor="t" anchorCtr="0">
                          <a:noAutofit/>
                        </wps:bodyPr>
                      </wps:wsp>
                      <wps:wsp>
                        <wps:cNvPr id="2" name="Zone de texte 2"/>
                        <wps:cNvSpPr txBox="1">
                          <a:spLocks noChangeArrowheads="1"/>
                        </wps:cNvSpPr>
                        <wps:spPr bwMode="auto">
                          <a:xfrm>
                            <a:off x="839037" y="0"/>
                            <a:ext cx="366713" cy="104775"/>
                          </a:xfrm>
                          <a:prstGeom prst="rect">
                            <a:avLst/>
                          </a:prstGeom>
                          <a:solidFill>
                            <a:srgbClr val="FFFFFF"/>
                          </a:solidFill>
                          <a:ln w="9525">
                            <a:noFill/>
                            <a:miter lim="800000"/>
                            <a:headEnd/>
                            <a:tailEnd/>
                          </a:ln>
                        </wps:spPr>
                        <wps:txbx>
                          <w:txbxContent>
                            <w:p w14:paraId="2465BC51" w14:textId="77777777" w:rsidR="007143D2" w:rsidRPr="00CB641A" w:rsidRDefault="007143D2" w:rsidP="007143D2">
                              <w:pPr>
                                <w:jc w:val="center"/>
                                <w:rPr>
                                  <w:b/>
                                  <w:bCs/>
                                  <w:sz w:val="10"/>
                                  <w:szCs w:val="10"/>
                                </w:rPr>
                              </w:pPr>
                              <w:r w:rsidRPr="00CB641A">
                                <w:rPr>
                                  <w:b/>
                                  <w:bCs/>
                                  <w:sz w:val="10"/>
                                  <w:szCs w:val="10"/>
                                </w:rPr>
                                <w:t>Assemblée</w:t>
                              </w:r>
                            </w:p>
                          </w:txbxContent>
                        </wps:txbx>
                        <wps:bodyPr rot="0" vert="horz" wrap="square" lIns="0" tIns="0" rIns="0" bIns="0" anchor="t" anchorCtr="0">
                          <a:noAutofit/>
                        </wps:bodyPr>
                      </wps:wsp>
                      <wps:wsp>
                        <wps:cNvPr id="3" name="Zone de texte 3"/>
                        <wps:cNvSpPr txBox="1">
                          <a:spLocks noChangeArrowheads="1"/>
                        </wps:cNvSpPr>
                        <wps:spPr bwMode="auto">
                          <a:xfrm>
                            <a:off x="839037" y="221064"/>
                            <a:ext cx="366713" cy="104775"/>
                          </a:xfrm>
                          <a:prstGeom prst="rect">
                            <a:avLst/>
                          </a:prstGeom>
                          <a:solidFill>
                            <a:srgbClr val="FFFFFF"/>
                          </a:solidFill>
                          <a:ln w="9525">
                            <a:noFill/>
                            <a:miter lim="800000"/>
                            <a:headEnd/>
                            <a:tailEnd/>
                          </a:ln>
                        </wps:spPr>
                        <wps:txbx>
                          <w:txbxContent>
                            <w:p w14:paraId="6DF62D2A" w14:textId="77777777" w:rsidR="007143D2" w:rsidRPr="00CB641A" w:rsidRDefault="007143D2" w:rsidP="007143D2">
                              <w:pPr>
                                <w:jc w:val="center"/>
                                <w:rPr>
                                  <w:b/>
                                  <w:bCs/>
                                  <w:sz w:val="10"/>
                                  <w:szCs w:val="10"/>
                                </w:rPr>
                              </w:pPr>
                              <w:r w:rsidRPr="00CB641A">
                                <w:rPr>
                                  <w:b/>
                                  <w:bCs/>
                                  <w:sz w:val="10"/>
                                  <w:szCs w:val="10"/>
                                </w:rPr>
                                <w:t>Conseil</w:t>
                              </w:r>
                            </w:p>
                          </w:txbxContent>
                        </wps:txbx>
                        <wps:bodyPr rot="0" vert="horz" wrap="square" lIns="0" tIns="0" rIns="0" bIns="0" anchor="t" anchorCtr="0">
                          <a:noAutofit/>
                        </wps:bodyPr>
                      </wps:wsp>
                      <wps:wsp>
                        <wps:cNvPr id="5" name="Zone de texte 2"/>
                        <wps:cNvSpPr txBox="1">
                          <a:spLocks noChangeArrowheads="1"/>
                        </wps:cNvSpPr>
                        <wps:spPr bwMode="auto">
                          <a:xfrm>
                            <a:off x="-43892" y="336814"/>
                            <a:ext cx="438917" cy="109477"/>
                          </a:xfrm>
                          <a:prstGeom prst="rect">
                            <a:avLst/>
                          </a:prstGeom>
                          <a:solidFill>
                            <a:srgbClr val="FFFFFF"/>
                          </a:solidFill>
                          <a:ln w="9525">
                            <a:noFill/>
                            <a:miter lim="800000"/>
                            <a:headEnd/>
                            <a:tailEnd/>
                          </a:ln>
                        </wps:spPr>
                        <wps:txbx>
                          <w:txbxContent>
                            <w:p w14:paraId="182F97E0" w14:textId="77777777" w:rsidR="007143D2" w:rsidRPr="00CB641A" w:rsidRDefault="007143D2" w:rsidP="00B50B1F">
                              <w:pPr>
                                <w:jc w:val="center"/>
                                <w:rPr>
                                  <w:b/>
                                  <w:bCs/>
                                  <w:sz w:val="10"/>
                                  <w:szCs w:val="10"/>
                                </w:rPr>
                              </w:pPr>
                              <w:r w:rsidRPr="00CB641A">
                                <w:rPr>
                                  <w:b/>
                                  <w:bCs/>
                                  <w:sz w:val="10"/>
                                  <w:szCs w:val="10"/>
                                </w:rPr>
                                <w:t>Conseil exéc.</w:t>
                              </w:r>
                            </w:p>
                          </w:txbxContent>
                        </wps:txbx>
                        <wps:bodyPr rot="0" vert="horz" wrap="square" lIns="0" tIns="0" rIns="0" bIns="0" anchor="t" anchorCtr="0">
                          <a:noAutofit/>
                        </wps:bodyPr>
                      </wps:wsp>
                      <wps:wsp>
                        <wps:cNvPr id="7" name="Zone de texte 7"/>
                        <wps:cNvSpPr txBox="1">
                          <a:spLocks noChangeArrowheads="1"/>
                        </wps:cNvSpPr>
                        <wps:spPr bwMode="auto">
                          <a:xfrm>
                            <a:off x="352374" y="1156490"/>
                            <a:ext cx="281600" cy="79359"/>
                          </a:xfrm>
                          <a:prstGeom prst="rect">
                            <a:avLst/>
                          </a:prstGeom>
                          <a:solidFill>
                            <a:srgbClr val="FFFFFF"/>
                          </a:solidFill>
                          <a:ln w="9525">
                            <a:noFill/>
                            <a:miter lim="800000"/>
                            <a:headEnd/>
                            <a:tailEnd/>
                          </a:ln>
                        </wps:spPr>
                        <wps:txbx>
                          <w:txbxContent>
                            <w:p w14:paraId="74E22A56" w14:textId="77777777" w:rsidR="007143D2" w:rsidRPr="00957D58" w:rsidRDefault="007143D2" w:rsidP="007143D2">
                              <w:pPr>
                                <w:jc w:val="center"/>
                                <w:rPr>
                                  <w:b/>
                                  <w:bCs/>
                                  <w:spacing w:val="-3"/>
                                  <w:sz w:val="8"/>
                                  <w:szCs w:val="8"/>
                                </w:rPr>
                              </w:pPr>
                              <w:r w:rsidRPr="00957D58">
                                <w:rPr>
                                  <w:b/>
                                  <w:bCs/>
                                  <w:spacing w:val="-3"/>
                                  <w:sz w:val="8"/>
                                  <w:szCs w:val="8"/>
                                </w:rPr>
                                <w:t>GC-GEBCO</w:t>
                              </w:r>
                            </w:p>
                          </w:txbxContent>
                        </wps:txbx>
                        <wps:bodyPr rot="0" vert="horz" wrap="square" lIns="0" tIns="0" rIns="0" bIns="0" anchor="t" anchorCtr="0">
                          <a:noAutofit/>
                        </wps:bodyPr>
                      </wps:wsp>
                      <wps:wsp>
                        <wps:cNvPr id="8" name="Zone de texte 8"/>
                        <wps:cNvSpPr txBox="1">
                          <a:spLocks noChangeArrowheads="1"/>
                        </wps:cNvSpPr>
                        <wps:spPr bwMode="auto">
                          <a:xfrm>
                            <a:off x="1085216" y="2047975"/>
                            <a:ext cx="318770" cy="127202"/>
                          </a:xfrm>
                          <a:prstGeom prst="rect">
                            <a:avLst/>
                          </a:prstGeom>
                          <a:solidFill>
                            <a:srgbClr val="FFFFFF"/>
                          </a:solidFill>
                          <a:ln w="9525">
                            <a:noFill/>
                            <a:miter lim="800000"/>
                            <a:headEnd/>
                            <a:tailEnd/>
                          </a:ln>
                        </wps:spPr>
                        <wps:txbx>
                          <w:txbxContent>
                            <w:p w14:paraId="237F2DC3" w14:textId="77777777" w:rsidR="007143D2" w:rsidRPr="00B50B1F" w:rsidRDefault="007143D2" w:rsidP="00B50B1F">
                              <w:pPr>
                                <w:jc w:val="center"/>
                                <w:rPr>
                                  <w:b/>
                                  <w:bCs/>
                                  <w:sz w:val="8"/>
                                  <w:szCs w:val="8"/>
                                </w:rPr>
                              </w:pPr>
                              <w:r w:rsidRPr="00B50B1F">
                                <w:rPr>
                                  <w:b/>
                                  <w:bCs/>
                                  <w:sz w:val="8"/>
                                  <w:szCs w:val="8"/>
                                </w:rPr>
                                <w:t xml:space="preserve">Projet </w:t>
                              </w:r>
                              <w:r w:rsidRPr="00B50B1F">
                                <w:rPr>
                                  <w:b/>
                                  <w:bCs/>
                                  <w:sz w:val="8"/>
                                  <w:szCs w:val="8"/>
                                </w:rPr>
                                <w:br/>
                                <w:t>NF-UNH</w:t>
                              </w:r>
                            </w:p>
                          </w:txbxContent>
                        </wps:txbx>
                        <wps:bodyPr rot="0" vert="horz" wrap="square" lIns="0" tIns="0" rIns="0" bIns="0" anchor="t" anchorCtr="0">
                          <a:noAutofit/>
                        </wps:bodyPr>
                      </wps:wsp>
                      <wps:wsp>
                        <wps:cNvPr id="10" name="Zone de texte 10"/>
                        <wps:cNvSpPr txBox="1">
                          <a:spLocks noChangeArrowheads="1"/>
                        </wps:cNvSpPr>
                        <wps:spPr bwMode="auto">
                          <a:xfrm>
                            <a:off x="3652514" y="987030"/>
                            <a:ext cx="869950" cy="196805"/>
                          </a:xfrm>
                          <a:prstGeom prst="rect">
                            <a:avLst/>
                          </a:prstGeom>
                          <a:solidFill>
                            <a:srgbClr val="FFFFFF"/>
                          </a:solidFill>
                          <a:ln w="9525">
                            <a:noFill/>
                            <a:miter lim="800000"/>
                            <a:headEnd/>
                            <a:tailEnd/>
                          </a:ln>
                        </wps:spPr>
                        <wps:txbx>
                          <w:txbxContent>
                            <w:p w14:paraId="610B69E1" w14:textId="77777777" w:rsidR="007143D2" w:rsidRPr="00777124" w:rsidRDefault="007143D2" w:rsidP="007143D2">
                              <w:pPr>
                                <w:jc w:val="center"/>
                                <w:rPr>
                                  <w:b/>
                                  <w:bCs/>
                                  <w:sz w:val="10"/>
                                  <w:szCs w:val="10"/>
                                </w:rPr>
                              </w:pPr>
                              <w:r w:rsidRPr="00777124">
                                <w:rPr>
                                  <w:b/>
                                  <w:bCs/>
                                  <w:sz w:val="10"/>
                                  <w:szCs w:val="10"/>
                                </w:rPr>
                                <w:t>Parrains SB2030 (OHI, COI, NF, SB2030, GC-GEBCO)</w:t>
                              </w:r>
                            </w:p>
                          </w:txbxContent>
                        </wps:txbx>
                        <wps:bodyPr rot="0" vert="horz" wrap="square" lIns="0" tIns="0" rIns="0" bIns="0" anchor="t" anchorCtr="0">
                          <a:noAutofit/>
                        </wps:bodyPr>
                      </wps:wsp>
                      <wps:wsp>
                        <wps:cNvPr id="13" name="Zone de texte 13"/>
                        <wps:cNvSpPr txBox="1">
                          <a:spLocks noChangeArrowheads="1"/>
                        </wps:cNvSpPr>
                        <wps:spPr bwMode="auto">
                          <a:xfrm>
                            <a:off x="3351095" y="1662008"/>
                            <a:ext cx="402735" cy="124967"/>
                          </a:xfrm>
                          <a:prstGeom prst="rect">
                            <a:avLst/>
                          </a:prstGeom>
                          <a:solidFill>
                            <a:srgbClr val="FFFFFF"/>
                          </a:solidFill>
                          <a:ln w="9525">
                            <a:noFill/>
                            <a:miter lim="800000"/>
                            <a:headEnd/>
                            <a:tailEnd/>
                          </a:ln>
                        </wps:spPr>
                        <wps:txbx>
                          <w:txbxContent>
                            <w:p w14:paraId="0DE9C6FD" w14:textId="77777777" w:rsidR="007143D2" w:rsidRPr="00625CCC" w:rsidRDefault="007143D2" w:rsidP="00625CCC">
                              <w:pPr>
                                <w:spacing w:before="20" w:line="216" w:lineRule="auto"/>
                                <w:jc w:val="center"/>
                                <w:rPr>
                                  <w:b/>
                                  <w:bCs/>
                                  <w:sz w:val="7"/>
                                  <w:szCs w:val="7"/>
                                </w:rPr>
                              </w:pPr>
                              <w:r w:rsidRPr="00625CCC">
                                <w:rPr>
                                  <w:b/>
                                  <w:bCs/>
                                  <w:sz w:val="7"/>
                                  <w:szCs w:val="7"/>
                                </w:rPr>
                                <w:t>Comité directeur stratégique</w:t>
                              </w:r>
                            </w:p>
                          </w:txbxContent>
                        </wps:txbx>
                        <wps:bodyPr rot="0" vert="horz" wrap="square" lIns="0" tIns="0" rIns="0" bIns="0" anchor="t" anchorCtr="0">
                          <a:noAutofit/>
                        </wps:bodyPr>
                      </wps:wsp>
                      <wps:wsp>
                        <wps:cNvPr id="14" name="Zone de texte 14"/>
                        <wps:cNvSpPr txBox="1">
                          <a:spLocks noChangeArrowheads="1"/>
                        </wps:cNvSpPr>
                        <wps:spPr bwMode="auto">
                          <a:xfrm>
                            <a:off x="2336242" y="1688648"/>
                            <a:ext cx="818515" cy="75904"/>
                          </a:xfrm>
                          <a:prstGeom prst="rect">
                            <a:avLst/>
                          </a:prstGeom>
                          <a:solidFill>
                            <a:srgbClr val="FFFFFF"/>
                          </a:solidFill>
                          <a:ln w="9525">
                            <a:noFill/>
                            <a:miter lim="800000"/>
                            <a:headEnd/>
                            <a:tailEnd/>
                          </a:ln>
                        </wps:spPr>
                        <wps:txbx>
                          <w:txbxContent>
                            <w:p w14:paraId="5C83A11D" w14:textId="77777777" w:rsidR="007143D2" w:rsidRPr="00A76E1E" w:rsidRDefault="007143D2" w:rsidP="00B50B1F">
                              <w:pPr>
                                <w:spacing w:line="216" w:lineRule="auto"/>
                                <w:rPr>
                                  <w:b/>
                                  <w:bCs/>
                                  <w:sz w:val="10"/>
                                  <w:szCs w:val="10"/>
                                </w:rPr>
                              </w:pPr>
                              <w:r w:rsidRPr="00A76E1E">
                                <w:rPr>
                                  <w:b/>
                                  <w:bCs/>
                                  <w:sz w:val="10"/>
                                  <w:szCs w:val="10"/>
                                </w:rPr>
                                <w:t>Équipe chargée du projet</w:t>
                              </w:r>
                            </w:p>
                          </w:txbxContent>
                        </wps:txbx>
                        <wps:bodyPr rot="0" vert="horz" wrap="square" lIns="0" tIns="0" rIns="0" bIns="0" anchor="b" anchorCtr="0">
                          <a:noAutofit/>
                        </wps:bodyPr>
                      </wps:wsp>
                      <wps:wsp>
                        <wps:cNvPr id="11" name="Zone de texte 11"/>
                        <wps:cNvSpPr txBox="1">
                          <a:spLocks noChangeArrowheads="1"/>
                        </wps:cNvSpPr>
                        <wps:spPr bwMode="auto">
                          <a:xfrm>
                            <a:off x="577780" y="1602713"/>
                            <a:ext cx="287655" cy="104775"/>
                          </a:xfrm>
                          <a:prstGeom prst="rect">
                            <a:avLst/>
                          </a:prstGeom>
                          <a:solidFill>
                            <a:srgbClr val="FFFFFF"/>
                          </a:solidFill>
                          <a:ln w="9525">
                            <a:noFill/>
                            <a:miter lim="800000"/>
                            <a:headEnd/>
                            <a:tailEnd/>
                          </a:ln>
                        </wps:spPr>
                        <wps:txbx>
                          <w:txbxContent>
                            <w:p w14:paraId="70A608E5" w14:textId="77777777" w:rsidR="007143D2" w:rsidRPr="00CB641A" w:rsidRDefault="007143D2" w:rsidP="007143D2">
                              <w:pPr>
                                <w:jc w:val="center"/>
                                <w:rPr>
                                  <w:b/>
                                  <w:bCs/>
                                  <w:sz w:val="10"/>
                                  <w:szCs w:val="10"/>
                                </w:rPr>
                              </w:pPr>
                              <w:r>
                                <w:rPr>
                                  <w:b/>
                                  <w:bCs/>
                                  <w:sz w:val="10"/>
                                  <w:szCs w:val="10"/>
                                </w:rPr>
                                <w:t>SCTCO</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15B96EF" id="Groupe 12" o:spid="_x0000_s1026" style="position:absolute;left:0;text-align:left;margin-left:51.5pt;margin-top:20.55pt;width:359.55pt;height:171.25pt;z-index:251659264;mso-width-relative:margin;mso-height-relative:margin" coordorigin="-438" coordsize="45663,21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">
                <v:shapetype id="_x0000_t202" coordsize="21600,21600" o:spt="202" path="m,l,21600r21600,l21600,xe">
                  <v:stroke joinstyle="miter"/>
                  <v:path gradientshapeok="t" o:connecttype="rect"/>
                </v:shapetype>
                <v:shape id="_x0000_s1027" type="#_x0000_t202" style="position:absolute;left:50;top:1205;width:3667;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" stroked="f">
                  <v:textbox inset="0,0,0,0">
                    <w:txbxContent>
                      <w:p w14:paraId="3F39B872" w14:textId="77777777" w:rsidR="007143D2" w:rsidRPr="00CB641A" w:rsidRDefault="007143D2" w:rsidP="007143D2">
                        <w:pPr>
                          <w:jc w:val="center"/>
                          <w:rPr>
                            <w:b/>
                            <w:bCs/>
                            <w:sz w:val="10"/>
                            <w:szCs w:val="10"/>
                          </w:rPr>
                        </w:pPr>
                        <w:r w:rsidRPr="00CB641A">
                          <w:rPr>
                            <w:b/>
                            <w:bCs/>
                            <w:sz w:val="10"/>
                            <w:szCs w:val="10"/>
                          </w:rPr>
                          <w:t>Assemblée</w:t>
                        </w:r>
                      </w:p>
                    </w:txbxContent>
                  </v:textbox>
                </v:shape>
                <v:shape id="_x0000_s1028" type="#_x0000_t202" style="position:absolute;left:8390;width:3667;height:1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" stroked="f">
                  <v:textbox inset="0,0,0,0">
                    <w:txbxContent>
                      <w:p w14:paraId="2465BC51" w14:textId="77777777" w:rsidR="007143D2" w:rsidRPr="00CB641A" w:rsidRDefault="007143D2" w:rsidP="007143D2">
                        <w:pPr>
                          <w:jc w:val="center"/>
                          <w:rPr>
                            <w:b/>
                            <w:bCs/>
                            <w:sz w:val="10"/>
                            <w:szCs w:val="10"/>
                          </w:rPr>
                        </w:pPr>
                        <w:r w:rsidRPr="00CB641A">
                          <w:rPr>
                            <w:b/>
                            <w:bCs/>
                            <w:sz w:val="10"/>
                            <w:szCs w:val="10"/>
                          </w:rPr>
                          <w:t>Assemblée</w:t>
                        </w:r>
                      </w:p>
                    </w:txbxContent>
                  </v:textbox>
                </v:shape>
                <v:shape id="Zone de texte 3" o:spid="_x0000_s1029" type="#_x0000_t202" style="position:absolute;left:8390;top:2210;width:3667;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6DF62D2A" w14:textId="77777777" w:rsidR="007143D2" w:rsidRPr="00CB641A" w:rsidRDefault="007143D2" w:rsidP="007143D2">
                        <w:pPr>
                          <w:jc w:val="center"/>
                          <w:rPr>
                            <w:b/>
                            <w:bCs/>
                            <w:sz w:val="10"/>
                            <w:szCs w:val="10"/>
                          </w:rPr>
                        </w:pPr>
                        <w:r w:rsidRPr="00CB641A">
                          <w:rPr>
                            <w:b/>
                            <w:bCs/>
                            <w:sz w:val="10"/>
                            <w:szCs w:val="10"/>
                          </w:rPr>
                          <w:t>Conseil</w:t>
                        </w:r>
                      </w:p>
                    </w:txbxContent>
                  </v:textbox>
                </v:shape>
                <v:shape id="_x0000_s1030" type="#_x0000_t202" style="position:absolute;left:-438;top:3368;width:4388;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rE6wgAAANoAAAAPAAAAZHJzL2Rvd25yZXYueG1sRI9Pi8Iw&#10;FMTvC36H8AQvi6YKyl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BR3rE6wgAAANoAAAAPAAAA&#10;AAAAAAAAAAAAAAcCAABkcnMvZG93bnJldi54bWxQSwUGAAAAAAMAAwC3AAAA9gIAAAAA&#10;" stroked="f">
                  <v:textbox inset="0,0,0,0">
                    <w:txbxContent>
                      <w:p w14:paraId="182F97E0" w14:textId="77777777" w:rsidR="007143D2" w:rsidRPr="00CB641A" w:rsidRDefault="007143D2" w:rsidP="00B50B1F">
                        <w:pPr>
                          <w:jc w:val="center"/>
                          <w:rPr>
                            <w:b/>
                            <w:bCs/>
                            <w:sz w:val="10"/>
                            <w:szCs w:val="10"/>
                          </w:rPr>
                        </w:pPr>
                        <w:r w:rsidRPr="00CB641A">
                          <w:rPr>
                            <w:b/>
                            <w:bCs/>
                            <w:sz w:val="10"/>
                            <w:szCs w:val="10"/>
                          </w:rPr>
                          <w:t>Conseil exéc.</w:t>
                        </w:r>
                      </w:p>
                    </w:txbxContent>
                  </v:textbox>
                </v:shape>
                <v:shape id="Zone de texte 7" o:spid="_x0000_s1031" type="#_x0000_t202" style="position:absolute;left:3523;top:11564;width:2816;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" stroked="f">
                  <v:textbox inset="0,0,0,0">
                    <w:txbxContent>
                      <w:p w14:paraId="74E22A56" w14:textId="77777777" w:rsidR="007143D2" w:rsidRPr="00957D58" w:rsidRDefault="007143D2" w:rsidP="007143D2">
                        <w:pPr>
                          <w:jc w:val="center"/>
                          <w:rPr>
                            <w:b/>
                            <w:bCs/>
                            <w:spacing w:val="-3"/>
                            <w:sz w:val="8"/>
                            <w:szCs w:val="8"/>
                          </w:rPr>
                        </w:pPr>
                        <w:r w:rsidRPr="00957D58">
                          <w:rPr>
                            <w:b/>
                            <w:bCs/>
                            <w:spacing w:val="-3"/>
                            <w:sz w:val="8"/>
                            <w:szCs w:val="8"/>
                          </w:rPr>
                          <w:t>GC-GEBCO</w:t>
                        </w:r>
                      </w:p>
                    </w:txbxContent>
                  </v:textbox>
                </v:shape>
                <v:shape id="Zone de texte 8" o:spid="_x0000_s1032" type="#_x0000_t202" style="position:absolute;left:10852;top:20479;width:3187;height:1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14:paraId="237F2DC3" w14:textId="77777777" w:rsidR="007143D2" w:rsidRPr="00B50B1F" w:rsidRDefault="007143D2" w:rsidP="00B50B1F">
                        <w:pPr>
                          <w:jc w:val="center"/>
                          <w:rPr>
                            <w:b/>
                            <w:bCs/>
                            <w:sz w:val="8"/>
                            <w:szCs w:val="8"/>
                          </w:rPr>
                        </w:pPr>
                        <w:r w:rsidRPr="00B50B1F">
                          <w:rPr>
                            <w:b/>
                            <w:bCs/>
                            <w:sz w:val="8"/>
                            <w:szCs w:val="8"/>
                          </w:rPr>
                          <w:t xml:space="preserve">Projet </w:t>
                        </w:r>
                        <w:r w:rsidRPr="00B50B1F">
                          <w:rPr>
                            <w:b/>
                            <w:bCs/>
                            <w:sz w:val="8"/>
                            <w:szCs w:val="8"/>
                          </w:rPr>
                          <w:br/>
                          <w:t>NF-UNH</w:t>
                        </w:r>
                      </w:p>
                    </w:txbxContent>
                  </v:textbox>
                </v:shape>
                <v:shape id="Zone de texte 10" o:spid="_x0000_s1033" type="#_x0000_t202" style="position:absolute;left:36525;top:9870;width:8699;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" stroked="f">
                  <v:textbox inset="0,0,0,0">
                    <w:txbxContent>
                      <w:p w14:paraId="610B69E1" w14:textId="77777777" w:rsidR="007143D2" w:rsidRPr="00777124" w:rsidRDefault="007143D2" w:rsidP="007143D2">
                        <w:pPr>
                          <w:jc w:val="center"/>
                          <w:rPr>
                            <w:b/>
                            <w:bCs/>
                            <w:sz w:val="10"/>
                            <w:szCs w:val="10"/>
                          </w:rPr>
                        </w:pPr>
                        <w:r w:rsidRPr="00777124">
                          <w:rPr>
                            <w:b/>
                            <w:bCs/>
                            <w:sz w:val="10"/>
                            <w:szCs w:val="10"/>
                          </w:rPr>
                          <w:t>Parrains SB2030 (OHI, COI, NF, SB2030, GC-GEBCO)</w:t>
                        </w:r>
                      </w:p>
                    </w:txbxContent>
                  </v:textbox>
                </v:shape>
                <v:shape id="Zone de texte 13" o:spid="_x0000_s1034" type="#_x0000_t202" style="position:absolute;left:33510;top:16620;width:4028;height:1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EopwgAAANsAAAAPAAAAZHJzL2Rvd25yZXYueG1sRE9La8JA&#10;EL4L/Q/LFHqRumkK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Bp8EopwgAAANsAAAAPAAAA&#10;AAAAAAAAAAAAAAcCAABkcnMvZG93bnJldi54bWxQSwUGAAAAAAMAAwC3AAAA9gIAAAAA&#10;" stroked="f">
                  <v:textbox inset="0,0,0,0">
                    <w:txbxContent>
                      <w:p w14:paraId="0DE9C6FD" w14:textId="77777777" w:rsidR="007143D2" w:rsidRPr="00625CCC" w:rsidRDefault="007143D2" w:rsidP="00625CCC">
                        <w:pPr>
                          <w:spacing w:before="20" w:line="216" w:lineRule="auto"/>
                          <w:jc w:val="center"/>
                          <w:rPr>
                            <w:b/>
                            <w:bCs/>
                            <w:sz w:val="7"/>
                            <w:szCs w:val="7"/>
                          </w:rPr>
                        </w:pPr>
                        <w:r w:rsidRPr="00625CCC">
                          <w:rPr>
                            <w:b/>
                            <w:bCs/>
                            <w:sz w:val="7"/>
                            <w:szCs w:val="7"/>
                          </w:rPr>
                          <w:t>Comité directeur stratégique</w:t>
                        </w:r>
                      </w:p>
                    </w:txbxContent>
                  </v:textbox>
                </v:shape>
                <v:shape id="Zone de texte 14" o:spid="_x0000_s1035" type="#_x0000_t202" style="position:absolute;left:23362;top:16886;width:8185;height:75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" stroked="f">
                  <v:textbox inset="0,0,0,0">
                    <w:txbxContent>
                      <w:p w14:paraId="5C83A11D" w14:textId="77777777" w:rsidR="007143D2" w:rsidRPr="00A76E1E" w:rsidRDefault="007143D2" w:rsidP="00B50B1F">
                        <w:pPr>
                          <w:spacing w:line="216" w:lineRule="auto"/>
                          <w:rPr>
                            <w:b/>
                            <w:bCs/>
                            <w:sz w:val="10"/>
                            <w:szCs w:val="10"/>
                          </w:rPr>
                        </w:pPr>
                        <w:r w:rsidRPr="00A76E1E">
                          <w:rPr>
                            <w:b/>
                            <w:bCs/>
                            <w:sz w:val="10"/>
                            <w:szCs w:val="10"/>
                          </w:rPr>
                          <w:t>Équipe chargée du projet</w:t>
                        </w:r>
                      </w:p>
                    </w:txbxContent>
                  </v:textbox>
                </v:shape>
                <v:shape id="Zone de texte 11" o:spid="_x0000_s1036" type="#_x0000_t202" style="position:absolute;left:5777;top:16027;width:2877;height:1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" stroked="f">
                  <v:textbox inset="0,0,0,0">
                    <w:txbxContent>
                      <w:p w14:paraId="70A608E5" w14:textId="77777777" w:rsidR="007143D2" w:rsidRPr="00CB641A" w:rsidRDefault="007143D2" w:rsidP="007143D2">
                        <w:pPr>
                          <w:jc w:val="center"/>
                          <w:rPr>
                            <w:b/>
                            <w:bCs/>
                            <w:sz w:val="10"/>
                            <w:szCs w:val="10"/>
                          </w:rPr>
                        </w:pPr>
                        <w:r>
                          <w:rPr>
                            <w:b/>
                            <w:bCs/>
                            <w:sz w:val="10"/>
                            <w:szCs w:val="10"/>
                          </w:rPr>
                          <w:t>SCTCO</w:t>
                        </w:r>
                      </w:p>
                    </w:txbxContent>
                  </v:textbox>
                </v:shape>
              </v:group>
            </w:pict>
          </mc:Fallback>
        </mc:AlternateContent>
      </w:r>
      <w:r w:rsidRPr="007143D2">
        <w:rPr>
          <w:rFonts w:eastAsia="Times New Roman" w:cs="Arial"/>
          <w:b/>
          <w:bCs/>
          <w:noProof/>
          <w:snapToGrid/>
          <w:szCs w:val="22"/>
        </w:rPr>
        <w:drawing>
          <wp:inline distT="0" distB="0" distL="0" distR="0" wp14:anchorId="2ED366A1" wp14:editId="7F14EF86">
            <wp:extent cx="4830445" cy="4208145"/>
            <wp:effectExtent l="0" t="0" r="8255" b="190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30445" cy="4208145"/>
                    </a:xfrm>
                    <a:prstGeom prst="rect">
                      <a:avLst/>
                    </a:prstGeom>
                    <a:noFill/>
                    <a:ln>
                      <a:noFill/>
                    </a:ln>
                  </pic:spPr>
                </pic:pic>
              </a:graphicData>
            </a:graphic>
          </wp:inline>
        </w:drawing>
      </w:r>
    </w:p>
    <w:p w14:paraId="5828FBFC" w14:textId="77777777" w:rsidR="007143D2" w:rsidRPr="007143D2" w:rsidRDefault="007143D2" w:rsidP="007143D2">
      <w:pPr>
        <w:tabs>
          <w:tab w:val="clear" w:pos="567"/>
        </w:tabs>
        <w:snapToGrid/>
        <w:jc w:val="center"/>
        <w:rPr>
          <w:rFonts w:eastAsia="Times New Roman" w:cs="Arial"/>
          <w:i/>
          <w:iCs/>
          <w:snapToGrid/>
          <w:szCs w:val="22"/>
          <w:lang w:val="en-GB" w:eastAsia="ja-JP"/>
        </w:rPr>
      </w:pPr>
      <w:r w:rsidRPr="00C57F9D">
        <w:rPr>
          <w:rFonts w:eastAsia="MS Mincho" w:cs="Arial"/>
          <w:i/>
          <w:iCs/>
          <w:snapToGrid/>
          <w:szCs w:val="22"/>
          <w:lang w:eastAsia="ja-JP"/>
        </w:rPr>
        <w:t>Figure 1 – Structure fonctionnelle de la GEBCO et des entités associées</w:t>
      </w:r>
    </w:p>
    <w:p w14:paraId="41F1D97A" w14:textId="77777777" w:rsidR="007143D2" w:rsidRPr="007143D2" w:rsidRDefault="007143D2" w:rsidP="004B181E">
      <w:pPr>
        <w:keepNext/>
        <w:tabs>
          <w:tab w:val="clear" w:pos="567"/>
        </w:tabs>
        <w:snapToGrid/>
        <w:spacing w:before="240" w:after="200"/>
        <w:jc w:val="both"/>
        <w:rPr>
          <w:rFonts w:eastAsia="Times New Roman" w:cs="Arial"/>
          <w:i/>
          <w:iCs/>
          <w:snapToGrid/>
          <w:szCs w:val="22"/>
          <w:u w:val="single"/>
        </w:rPr>
      </w:pPr>
      <w:r w:rsidRPr="007143D2">
        <w:rPr>
          <w:rFonts w:eastAsia="DengXian" w:cs="Arial"/>
          <w:i/>
          <w:iCs/>
          <w:snapToGrid/>
          <w:szCs w:val="22"/>
          <w:u w:val="single"/>
        </w:rPr>
        <w:t>Structure de travail de la GEBCO</w:t>
      </w:r>
    </w:p>
    <w:p w14:paraId="7630F5F5" w14:textId="4915A280" w:rsidR="007143D2" w:rsidRPr="007143D2" w:rsidRDefault="007143D2" w:rsidP="004B181E">
      <w:pPr>
        <w:pStyle w:val="Marge"/>
        <w:spacing w:after="200"/>
        <w:rPr>
          <w:bCs/>
          <w:lang w:val="en-GB"/>
        </w:rPr>
      </w:pPr>
      <w:r>
        <w:t>14.</w:t>
      </w:r>
      <w:r>
        <w:tab/>
      </w:r>
      <w:r w:rsidRPr="007143D2">
        <w:t>Dans le cadre de la structure organisationnelle décrite ci-dessus, un examen du (des) plan(s) de travail de la GEBCO a été entrepris. L’examen de la hiérarchie programmatique et des mécanismes d’établissement de rapports a constitué un volet crucial de cette activité. Les premières observations ont fait apparaître que le plan de travail était devenu très compliqué et comportait de nombreuses tâches, dont la plupart devaient être classé</w:t>
      </w:r>
      <w:r w:rsidR="002B08FF">
        <w:t>e</w:t>
      </w:r>
      <w:r w:rsidRPr="007143D2">
        <w:t>s par ordre de priorité et éventuellement regroupées en ensembles plus faciles à gérer. La nécessité d’établir un conseil programmatique spécialisé et de publier plus régulièrement des rapports financiers/prévisions financières fera l’objet d’un examen plus approfondi.</w:t>
      </w:r>
    </w:p>
    <w:p w14:paraId="4F58B3A3" w14:textId="77777777" w:rsidR="007143D2" w:rsidRPr="007143D2" w:rsidRDefault="007143D2" w:rsidP="004B181E">
      <w:pPr>
        <w:keepNext/>
        <w:tabs>
          <w:tab w:val="clear" w:pos="567"/>
        </w:tabs>
        <w:snapToGrid/>
        <w:spacing w:after="200"/>
        <w:jc w:val="both"/>
        <w:rPr>
          <w:rFonts w:eastAsia="Times New Roman" w:cs="Arial"/>
          <w:i/>
          <w:iCs/>
          <w:snapToGrid/>
          <w:szCs w:val="22"/>
          <w:u w:val="single"/>
        </w:rPr>
      </w:pPr>
      <w:r w:rsidRPr="007143D2">
        <w:rPr>
          <w:rFonts w:eastAsia="DengXian" w:cs="Arial"/>
          <w:i/>
          <w:iCs/>
          <w:snapToGrid/>
          <w:szCs w:val="22"/>
          <w:u w:val="single"/>
        </w:rPr>
        <w:t>Organisations mères</w:t>
      </w:r>
    </w:p>
    <w:p w14:paraId="18F042F8" w14:textId="6B9EB41C" w:rsidR="007143D2" w:rsidRPr="007143D2" w:rsidRDefault="007143D2" w:rsidP="004B181E">
      <w:pPr>
        <w:pStyle w:val="Marge"/>
        <w:spacing w:after="200"/>
        <w:rPr>
          <w:bCs/>
          <w:lang w:val="en-GB"/>
        </w:rPr>
      </w:pPr>
      <w:r>
        <w:t>15.</w:t>
      </w:r>
      <w:r>
        <w:tab/>
      </w:r>
      <w:r w:rsidRPr="007143D2">
        <w:t xml:space="preserve">Le </w:t>
      </w:r>
      <w:r w:rsidRPr="007143D2">
        <w:rPr>
          <w:i/>
          <w:iCs/>
        </w:rPr>
        <w:t>tableau 1</w:t>
      </w:r>
      <w:r w:rsidRPr="007143D2">
        <w:t xml:space="preserve"> récapitule les principales constatations relatives aux deux organisations mères. L’examen des instruments de gouvernance existants a montré que le mémorandum d’accord entre les deux organisations était antérieur à des évolutions capitales, telles que la Décennie des Nations</w:t>
      </w:r>
      <w:r w:rsidR="003429AB">
        <w:t> </w:t>
      </w:r>
      <w:r w:rsidRPr="007143D2">
        <w:t>Unies pour les sciences océaniques au service du développement durable (2021-2030) et le projet « Seabed 2030 ».</w:t>
      </w:r>
    </w:p>
    <w:p w14:paraId="5445D3E6" w14:textId="77777777" w:rsidR="007143D2" w:rsidRPr="007143D2" w:rsidRDefault="007143D2" w:rsidP="004B181E">
      <w:pPr>
        <w:keepNext/>
        <w:tabs>
          <w:tab w:val="clear" w:pos="567"/>
        </w:tabs>
        <w:snapToGrid/>
        <w:spacing w:after="180"/>
        <w:jc w:val="both"/>
        <w:rPr>
          <w:rFonts w:eastAsia="MS Mincho" w:cs="Arial"/>
          <w:i/>
          <w:iCs/>
          <w:snapToGrid/>
          <w:szCs w:val="22"/>
          <w:lang w:val="en-GB" w:eastAsia="ja-JP"/>
        </w:rPr>
      </w:pPr>
      <w:r w:rsidRPr="007143D2">
        <w:rPr>
          <w:rFonts w:eastAsia="MS Mincho" w:cs="Arial"/>
          <w:i/>
          <w:iCs/>
          <w:snapToGrid/>
          <w:szCs w:val="22"/>
          <w:lang w:eastAsia="ja-JP"/>
        </w:rPr>
        <w:t>Tableau 1 – Premières constatations sur les organisations mères</w:t>
      </w:r>
    </w:p>
    <w:tbl>
      <w:tblPr>
        <w:tblW w:w="5000" w:type="pct"/>
        <w:tblLayout w:type="fixed"/>
        <w:tblLook w:val="04A0" w:firstRow="1" w:lastRow="0" w:firstColumn="1" w:lastColumn="0" w:noHBand="0" w:noVBand="1"/>
      </w:tblPr>
      <w:tblGrid>
        <w:gridCol w:w="1839"/>
        <w:gridCol w:w="1277"/>
        <w:gridCol w:w="3121"/>
        <w:gridCol w:w="3391"/>
      </w:tblGrid>
      <w:tr w:rsidR="007143D2" w:rsidRPr="007143D2" w14:paraId="67FCF0E7" w14:textId="77777777" w:rsidTr="004B181E">
        <w:trPr>
          <w:trHeight w:val="290"/>
        </w:trPr>
        <w:tc>
          <w:tcPr>
            <w:tcW w:w="955" w:type="pct"/>
            <w:tcBorders>
              <w:top w:val="single" w:sz="4" w:space="0" w:color="auto"/>
              <w:left w:val="single" w:sz="4" w:space="0" w:color="auto"/>
              <w:bottom w:val="single" w:sz="4" w:space="0" w:color="auto"/>
              <w:right w:val="single" w:sz="4" w:space="0" w:color="auto"/>
            </w:tcBorders>
            <w:shd w:val="clear" w:color="auto" w:fill="auto"/>
            <w:noWrap/>
            <w:hideMark/>
          </w:tcPr>
          <w:p w14:paraId="15DEF40D" w14:textId="77777777" w:rsidR="007143D2" w:rsidRPr="007143D2" w:rsidRDefault="007143D2" w:rsidP="004B181E">
            <w:pPr>
              <w:keepNext/>
              <w:tabs>
                <w:tab w:val="clear" w:pos="567"/>
              </w:tabs>
              <w:snapToGrid/>
              <w:spacing w:before="40" w:after="120" w:line="259" w:lineRule="auto"/>
              <w:jc w:val="both"/>
              <w:rPr>
                <w:rFonts w:eastAsia="Times New Roman" w:cs="Arial"/>
                <w:b/>
                <w:bCs/>
                <w:snapToGrid/>
                <w:color w:val="000000"/>
                <w:szCs w:val="22"/>
              </w:rPr>
            </w:pPr>
            <w:r w:rsidRPr="007143D2">
              <w:rPr>
                <w:rFonts w:eastAsia="DengXian" w:cs="Arial"/>
                <w:b/>
                <w:bCs/>
                <w:snapToGrid/>
                <w:szCs w:val="22"/>
              </w:rPr>
              <w:t>Constatation n°</w:t>
            </w:r>
          </w:p>
        </w:tc>
        <w:tc>
          <w:tcPr>
            <w:tcW w:w="663" w:type="pct"/>
            <w:tcBorders>
              <w:top w:val="single" w:sz="4" w:space="0" w:color="auto"/>
              <w:left w:val="nil"/>
              <w:bottom w:val="single" w:sz="4" w:space="0" w:color="auto"/>
              <w:right w:val="single" w:sz="4" w:space="0" w:color="auto"/>
            </w:tcBorders>
            <w:shd w:val="clear" w:color="auto" w:fill="auto"/>
            <w:noWrap/>
            <w:hideMark/>
          </w:tcPr>
          <w:p w14:paraId="254553DE" w14:textId="77777777" w:rsidR="007143D2" w:rsidRPr="007143D2" w:rsidRDefault="007143D2" w:rsidP="004B181E">
            <w:pPr>
              <w:keepNext/>
              <w:tabs>
                <w:tab w:val="clear" w:pos="567"/>
              </w:tabs>
              <w:snapToGrid/>
              <w:spacing w:before="40" w:after="120" w:line="259" w:lineRule="auto"/>
              <w:jc w:val="both"/>
              <w:rPr>
                <w:rFonts w:eastAsia="Times New Roman" w:cs="Arial"/>
                <w:b/>
                <w:bCs/>
                <w:snapToGrid/>
                <w:color w:val="000000"/>
                <w:szCs w:val="22"/>
              </w:rPr>
            </w:pPr>
            <w:r w:rsidRPr="007143D2">
              <w:rPr>
                <w:rFonts w:eastAsia="DengXian" w:cs="Arial"/>
                <w:b/>
                <w:bCs/>
                <w:snapToGrid/>
                <w:szCs w:val="22"/>
              </w:rPr>
              <w:t>Type</w:t>
            </w:r>
          </w:p>
        </w:tc>
        <w:tc>
          <w:tcPr>
            <w:tcW w:w="1621" w:type="pct"/>
            <w:tcBorders>
              <w:top w:val="single" w:sz="4" w:space="0" w:color="auto"/>
              <w:left w:val="nil"/>
              <w:bottom w:val="single" w:sz="4" w:space="0" w:color="auto"/>
              <w:right w:val="single" w:sz="4" w:space="0" w:color="auto"/>
            </w:tcBorders>
            <w:shd w:val="clear" w:color="auto" w:fill="auto"/>
            <w:noWrap/>
            <w:hideMark/>
          </w:tcPr>
          <w:p w14:paraId="6FAF2783" w14:textId="77777777" w:rsidR="007143D2" w:rsidRPr="007143D2" w:rsidRDefault="007143D2" w:rsidP="004B181E">
            <w:pPr>
              <w:keepNext/>
              <w:tabs>
                <w:tab w:val="clear" w:pos="567"/>
              </w:tabs>
              <w:snapToGrid/>
              <w:spacing w:before="40" w:after="120" w:line="259" w:lineRule="auto"/>
              <w:jc w:val="both"/>
              <w:rPr>
                <w:rFonts w:eastAsia="Times New Roman" w:cs="Arial"/>
                <w:b/>
                <w:bCs/>
                <w:snapToGrid/>
                <w:color w:val="000000"/>
                <w:szCs w:val="22"/>
              </w:rPr>
            </w:pPr>
            <w:r w:rsidRPr="007143D2">
              <w:rPr>
                <w:rFonts w:eastAsia="DengXian" w:cs="Arial"/>
                <w:b/>
                <w:bCs/>
                <w:snapToGrid/>
                <w:szCs w:val="22"/>
              </w:rPr>
              <w:t>Précisions</w:t>
            </w:r>
          </w:p>
        </w:tc>
        <w:tc>
          <w:tcPr>
            <w:tcW w:w="1762" w:type="pct"/>
            <w:tcBorders>
              <w:top w:val="single" w:sz="4" w:space="0" w:color="auto"/>
              <w:left w:val="nil"/>
              <w:bottom w:val="single" w:sz="4" w:space="0" w:color="auto"/>
              <w:right w:val="single" w:sz="4" w:space="0" w:color="auto"/>
            </w:tcBorders>
            <w:shd w:val="clear" w:color="auto" w:fill="auto"/>
            <w:noWrap/>
            <w:hideMark/>
          </w:tcPr>
          <w:p w14:paraId="2D8BD1D0" w14:textId="77777777" w:rsidR="007143D2" w:rsidRPr="007143D2" w:rsidRDefault="007143D2" w:rsidP="004B181E">
            <w:pPr>
              <w:keepNext/>
              <w:tabs>
                <w:tab w:val="clear" w:pos="567"/>
              </w:tabs>
              <w:snapToGrid/>
              <w:spacing w:before="40" w:after="120" w:line="259" w:lineRule="auto"/>
              <w:jc w:val="both"/>
              <w:rPr>
                <w:rFonts w:eastAsia="Times New Roman" w:cs="Arial"/>
                <w:b/>
                <w:bCs/>
                <w:snapToGrid/>
                <w:color w:val="000000"/>
                <w:szCs w:val="22"/>
              </w:rPr>
            </w:pPr>
            <w:r w:rsidRPr="007143D2">
              <w:rPr>
                <w:rFonts w:eastAsia="DengXian" w:cs="Arial"/>
                <w:b/>
                <w:bCs/>
                <w:snapToGrid/>
                <w:szCs w:val="22"/>
              </w:rPr>
              <w:t>Recommandation</w:t>
            </w:r>
          </w:p>
        </w:tc>
      </w:tr>
      <w:tr w:rsidR="007143D2" w:rsidRPr="007143D2" w14:paraId="13DA11FF" w14:textId="77777777" w:rsidTr="004B181E">
        <w:trPr>
          <w:trHeight w:val="557"/>
        </w:trPr>
        <w:tc>
          <w:tcPr>
            <w:tcW w:w="955" w:type="pct"/>
            <w:tcBorders>
              <w:top w:val="nil"/>
              <w:left w:val="single" w:sz="4" w:space="0" w:color="auto"/>
              <w:bottom w:val="single" w:sz="4" w:space="0" w:color="auto"/>
              <w:right w:val="single" w:sz="4" w:space="0" w:color="auto"/>
            </w:tcBorders>
            <w:shd w:val="clear" w:color="auto" w:fill="auto"/>
            <w:noWrap/>
            <w:hideMark/>
          </w:tcPr>
          <w:p w14:paraId="6DB2ADAD" w14:textId="77777777" w:rsidR="007143D2" w:rsidRPr="007143D2" w:rsidRDefault="007143D2" w:rsidP="00EC056F">
            <w:pPr>
              <w:tabs>
                <w:tab w:val="clear" w:pos="567"/>
              </w:tabs>
              <w:snapToGrid/>
              <w:spacing w:before="40" w:after="160" w:line="259" w:lineRule="auto"/>
              <w:jc w:val="both"/>
              <w:rPr>
                <w:rFonts w:eastAsia="Times New Roman" w:cs="Arial"/>
                <w:snapToGrid/>
                <w:color w:val="000000"/>
                <w:szCs w:val="22"/>
              </w:rPr>
            </w:pPr>
            <w:r w:rsidRPr="007143D2">
              <w:rPr>
                <w:rFonts w:eastAsia="DengXian" w:cs="Arial"/>
                <w:snapToGrid/>
                <w:szCs w:val="22"/>
              </w:rPr>
              <w:t>OHI-COI 1</w:t>
            </w:r>
          </w:p>
        </w:tc>
        <w:tc>
          <w:tcPr>
            <w:tcW w:w="663" w:type="pct"/>
            <w:tcBorders>
              <w:top w:val="nil"/>
              <w:left w:val="nil"/>
              <w:bottom w:val="single" w:sz="4" w:space="0" w:color="auto"/>
              <w:right w:val="single" w:sz="4" w:space="0" w:color="auto"/>
            </w:tcBorders>
            <w:shd w:val="clear" w:color="auto" w:fill="auto"/>
            <w:hideMark/>
          </w:tcPr>
          <w:p w14:paraId="7ABDA4EE" w14:textId="77777777" w:rsidR="007143D2" w:rsidRPr="007143D2" w:rsidRDefault="007143D2" w:rsidP="00EC056F">
            <w:pPr>
              <w:tabs>
                <w:tab w:val="clear" w:pos="567"/>
              </w:tabs>
              <w:snapToGrid/>
              <w:spacing w:before="40" w:after="160" w:line="259" w:lineRule="auto"/>
              <w:jc w:val="both"/>
              <w:rPr>
                <w:rFonts w:eastAsia="Times New Roman" w:cs="Arial"/>
                <w:snapToGrid/>
                <w:color w:val="000000"/>
                <w:szCs w:val="22"/>
              </w:rPr>
            </w:pPr>
            <w:r w:rsidRPr="007143D2">
              <w:rPr>
                <w:rFonts w:eastAsia="DengXian" w:cs="Arial"/>
                <w:snapToGrid/>
                <w:szCs w:val="22"/>
              </w:rPr>
              <w:t>Instrument</w:t>
            </w:r>
          </w:p>
        </w:tc>
        <w:tc>
          <w:tcPr>
            <w:tcW w:w="1621" w:type="pct"/>
            <w:tcBorders>
              <w:top w:val="nil"/>
              <w:left w:val="nil"/>
              <w:bottom w:val="single" w:sz="4" w:space="0" w:color="auto"/>
              <w:right w:val="single" w:sz="4" w:space="0" w:color="auto"/>
            </w:tcBorders>
            <w:shd w:val="clear" w:color="auto" w:fill="auto"/>
            <w:hideMark/>
          </w:tcPr>
          <w:p w14:paraId="586D2BA1" w14:textId="77777777" w:rsidR="007143D2" w:rsidRPr="007143D2" w:rsidRDefault="007143D2" w:rsidP="00EC056F">
            <w:pPr>
              <w:tabs>
                <w:tab w:val="clear" w:pos="567"/>
              </w:tabs>
              <w:snapToGrid/>
              <w:spacing w:before="40" w:after="120" w:line="259" w:lineRule="auto"/>
              <w:rPr>
                <w:rFonts w:eastAsia="Times New Roman" w:cs="Arial"/>
                <w:snapToGrid/>
                <w:color w:val="000000"/>
                <w:szCs w:val="22"/>
              </w:rPr>
            </w:pPr>
            <w:r w:rsidRPr="007143D2">
              <w:rPr>
                <w:rFonts w:eastAsia="DengXian" w:cs="Arial"/>
                <w:snapToGrid/>
                <w:szCs w:val="22"/>
              </w:rPr>
              <w:t>Le mémorandum d’accord entre les deux organisations est obsolète et antérieur au projet « Seabed 2030 » et à la Décennie de l’Océan.</w:t>
            </w:r>
          </w:p>
        </w:tc>
        <w:tc>
          <w:tcPr>
            <w:tcW w:w="1762" w:type="pct"/>
            <w:tcBorders>
              <w:top w:val="nil"/>
              <w:left w:val="nil"/>
              <w:bottom w:val="single" w:sz="4" w:space="0" w:color="auto"/>
              <w:right w:val="single" w:sz="4" w:space="0" w:color="auto"/>
            </w:tcBorders>
            <w:shd w:val="clear" w:color="auto" w:fill="auto"/>
            <w:hideMark/>
          </w:tcPr>
          <w:p w14:paraId="6F2FB25A" w14:textId="42707AEA" w:rsidR="007143D2" w:rsidRPr="007143D2" w:rsidRDefault="007143D2" w:rsidP="00EC056F">
            <w:pPr>
              <w:tabs>
                <w:tab w:val="clear" w:pos="567"/>
              </w:tabs>
              <w:snapToGrid/>
              <w:spacing w:before="40" w:after="160" w:line="259" w:lineRule="auto"/>
              <w:rPr>
                <w:rFonts w:eastAsia="Times New Roman" w:cs="Arial"/>
                <w:snapToGrid/>
                <w:color w:val="000000"/>
                <w:szCs w:val="22"/>
              </w:rPr>
            </w:pPr>
            <w:r w:rsidRPr="007143D2">
              <w:rPr>
                <w:rFonts w:eastAsia="DengXian" w:cs="Arial"/>
                <w:snapToGrid/>
                <w:szCs w:val="22"/>
              </w:rPr>
              <w:t>Réexaminer et actualiser le mémorandum d’accord</w:t>
            </w:r>
          </w:p>
        </w:tc>
      </w:tr>
    </w:tbl>
    <w:p w14:paraId="2FF11B4F" w14:textId="77777777" w:rsidR="007143D2" w:rsidRPr="007143D2" w:rsidRDefault="007143D2" w:rsidP="004B181E">
      <w:pPr>
        <w:keepNext/>
        <w:tabs>
          <w:tab w:val="clear" w:pos="567"/>
        </w:tabs>
        <w:snapToGrid/>
        <w:spacing w:before="240" w:after="240"/>
        <w:jc w:val="both"/>
        <w:rPr>
          <w:rFonts w:eastAsia="Times New Roman" w:cs="Arial"/>
          <w:i/>
          <w:iCs/>
          <w:snapToGrid/>
          <w:szCs w:val="22"/>
          <w:u w:val="single"/>
        </w:rPr>
      </w:pPr>
      <w:r w:rsidRPr="007143D2">
        <w:rPr>
          <w:rFonts w:eastAsia="DengXian" w:cs="Arial"/>
          <w:i/>
          <w:iCs/>
          <w:snapToGrid/>
          <w:szCs w:val="22"/>
          <w:u w:val="single"/>
        </w:rPr>
        <w:lastRenderedPageBreak/>
        <w:t>Comité directeur de la GEBCO (GC-GEBCO)</w:t>
      </w:r>
    </w:p>
    <w:p w14:paraId="4FB17DF7" w14:textId="1BB0CD59" w:rsidR="007143D2" w:rsidRPr="007143D2" w:rsidRDefault="007143D2" w:rsidP="007143D2">
      <w:pPr>
        <w:pStyle w:val="Marge"/>
      </w:pPr>
      <w:r>
        <w:t>16.</w:t>
      </w:r>
      <w:r>
        <w:tab/>
      </w:r>
      <w:r w:rsidRPr="007143D2">
        <w:t xml:space="preserve">Le </w:t>
      </w:r>
      <w:r w:rsidRPr="007143D2">
        <w:rPr>
          <w:i/>
          <w:iCs/>
        </w:rPr>
        <w:t>tableau 2</w:t>
      </w:r>
      <w:r w:rsidRPr="007143D2">
        <w:t xml:space="preserve"> récapitule les constatations relatives au GC-GEBCO. Celles-ci concernent principalement la composition du GC-GEBCO et la structure actuelle du portefeuille d’activités. La nature des constatations reflète largement la façon dont les travaux de la GEBCO ont évolué au cours des dernières années pour devenir un portefeuille complexe de tâches variées.</w:t>
      </w:r>
    </w:p>
    <w:p w14:paraId="673A4585" w14:textId="77777777" w:rsidR="007143D2" w:rsidRPr="007143D2" w:rsidRDefault="007143D2" w:rsidP="003429AB">
      <w:pPr>
        <w:keepNext/>
        <w:tabs>
          <w:tab w:val="clear" w:pos="567"/>
        </w:tabs>
        <w:snapToGrid/>
        <w:spacing w:after="180"/>
        <w:jc w:val="both"/>
        <w:rPr>
          <w:rFonts w:eastAsia="MS Mincho" w:cs="Arial"/>
          <w:i/>
          <w:iCs/>
          <w:snapToGrid/>
          <w:szCs w:val="22"/>
          <w:lang w:val="en-GB" w:eastAsia="ja-JP"/>
        </w:rPr>
      </w:pPr>
      <w:r w:rsidRPr="007143D2">
        <w:rPr>
          <w:rFonts w:eastAsia="MS Mincho" w:cs="Arial"/>
          <w:i/>
          <w:iCs/>
          <w:snapToGrid/>
          <w:szCs w:val="22"/>
          <w:lang w:eastAsia="ja-JP"/>
        </w:rPr>
        <w:t>Tableau 2 – Premières constatations sur le GC-GEBCO</w:t>
      </w:r>
    </w:p>
    <w:tbl>
      <w:tblPr>
        <w:tblW w:w="5000" w:type="pct"/>
        <w:tblLayout w:type="fixed"/>
        <w:tblLook w:val="04A0" w:firstRow="1" w:lastRow="0" w:firstColumn="1" w:lastColumn="0" w:noHBand="0" w:noVBand="1"/>
      </w:tblPr>
      <w:tblGrid>
        <w:gridCol w:w="1839"/>
        <w:gridCol w:w="1417"/>
        <w:gridCol w:w="3403"/>
        <w:gridCol w:w="2969"/>
      </w:tblGrid>
      <w:tr w:rsidR="00EC056F" w:rsidRPr="007143D2" w14:paraId="4DC6D97A" w14:textId="77777777" w:rsidTr="00EC056F">
        <w:trPr>
          <w:trHeight w:val="290"/>
        </w:trPr>
        <w:tc>
          <w:tcPr>
            <w:tcW w:w="955" w:type="pct"/>
            <w:tcBorders>
              <w:top w:val="single" w:sz="4" w:space="0" w:color="auto"/>
              <w:left w:val="single" w:sz="4" w:space="0" w:color="auto"/>
              <w:bottom w:val="single" w:sz="4" w:space="0" w:color="auto"/>
              <w:right w:val="single" w:sz="4" w:space="0" w:color="auto"/>
            </w:tcBorders>
            <w:shd w:val="clear" w:color="auto" w:fill="auto"/>
            <w:tcMar>
              <w:left w:w="85" w:type="dxa"/>
              <w:right w:w="28" w:type="dxa"/>
            </w:tcMar>
            <w:hideMark/>
          </w:tcPr>
          <w:p w14:paraId="4189E286" w14:textId="77777777" w:rsidR="007143D2" w:rsidRPr="007143D2" w:rsidRDefault="007143D2" w:rsidP="00EC056F">
            <w:pPr>
              <w:keepNext/>
              <w:tabs>
                <w:tab w:val="clear" w:pos="567"/>
              </w:tabs>
              <w:snapToGrid/>
              <w:spacing w:before="40" w:after="120" w:line="259" w:lineRule="auto"/>
              <w:jc w:val="both"/>
              <w:rPr>
                <w:rFonts w:eastAsia="Times New Roman" w:cs="Arial"/>
                <w:b/>
                <w:bCs/>
                <w:snapToGrid/>
                <w:color w:val="000000"/>
                <w:spacing w:val="-3"/>
                <w:szCs w:val="22"/>
              </w:rPr>
            </w:pPr>
            <w:r w:rsidRPr="007143D2">
              <w:rPr>
                <w:rFonts w:eastAsia="DengXian" w:cs="Arial"/>
                <w:b/>
                <w:bCs/>
                <w:snapToGrid/>
                <w:spacing w:val="-3"/>
                <w:szCs w:val="22"/>
              </w:rPr>
              <w:t>Constatation n°</w:t>
            </w:r>
          </w:p>
        </w:tc>
        <w:tc>
          <w:tcPr>
            <w:tcW w:w="736" w:type="pct"/>
            <w:tcBorders>
              <w:top w:val="single" w:sz="4" w:space="0" w:color="auto"/>
              <w:left w:val="nil"/>
              <w:bottom w:val="single" w:sz="4" w:space="0" w:color="auto"/>
              <w:right w:val="single" w:sz="4" w:space="0" w:color="auto"/>
            </w:tcBorders>
            <w:shd w:val="clear" w:color="auto" w:fill="auto"/>
            <w:tcMar>
              <w:left w:w="85" w:type="dxa"/>
              <w:right w:w="28" w:type="dxa"/>
            </w:tcMar>
            <w:hideMark/>
          </w:tcPr>
          <w:p w14:paraId="61C3F509" w14:textId="77777777" w:rsidR="007143D2" w:rsidRPr="007143D2" w:rsidRDefault="007143D2" w:rsidP="00EC056F">
            <w:pPr>
              <w:keepNext/>
              <w:tabs>
                <w:tab w:val="clear" w:pos="567"/>
              </w:tabs>
              <w:snapToGrid/>
              <w:spacing w:before="40" w:after="120" w:line="259" w:lineRule="auto"/>
              <w:jc w:val="both"/>
              <w:rPr>
                <w:rFonts w:eastAsia="Times New Roman" w:cs="Arial"/>
                <w:b/>
                <w:bCs/>
                <w:snapToGrid/>
                <w:color w:val="000000"/>
                <w:szCs w:val="22"/>
              </w:rPr>
            </w:pPr>
            <w:r w:rsidRPr="007143D2">
              <w:rPr>
                <w:rFonts w:eastAsia="DengXian" w:cs="Arial"/>
                <w:b/>
                <w:bCs/>
                <w:snapToGrid/>
                <w:szCs w:val="22"/>
              </w:rPr>
              <w:t>Type</w:t>
            </w:r>
          </w:p>
        </w:tc>
        <w:tc>
          <w:tcPr>
            <w:tcW w:w="1767" w:type="pct"/>
            <w:tcBorders>
              <w:top w:val="single" w:sz="4" w:space="0" w:color="auto"/>
              <w:left w:val="nil"/>
              <w:bottom w:val="single" w:sz="4" w:space="0" w:color="auto"/>
              <w:right w:val="single" w:sz="4" w:space="0" w:color="auto"/>
            </w:tcBorders>
            <w:shd w:val="clear" w:color="auto" w:fill="auto"/>
            <w:tcMar>
              <w:left w:w="85" w:type="dxa"/>
              <w:right w:w="57" w:type="dxa"/>
            </w:tcMar>
            <w:hideMark/>
          </w:tcPr>
          <w:p w14:paraId="359C499D" w14:textId="77777777" w:rsidR="007143D2" w:rsidRPr="007143D2" w:rsidRDefault="007143D2" w:rsidP="00EC056F">
            <w:pPr>
              <w:keepNext/>
              <w:tabs>
                <w:tab w:val="clear" w:pos="567"/>
              </w:tabs>
              <w:snapToGrid/>
              <w:spacing w:before="40" w:after="120" w:line="259" w:lineRule="auto"/>
              <w:rPr>
                <w:rFonts w:eastAsia="Times New Roman" w:cs="Arial"/>
                <w:b/>
                <w:bCs/>
                <w:snapToGrid/>
                <w:color w:val="000000"/>
                <w:szCs w:val="22"/>
              </w:rPr>
            </w:pPr>
            <w:r w:rsidRPr="007143D2">
              <w:rPr>
                <w:rFonts w:eastAsia="DengXian" w:cs="Arial"/>
                <w:b/>
                <w:bCs/>
                <w:snapToGrid/>
                <w:szCs w:val="22"/>
              </w:rPr>
              <w:t>Précisions</w:t>
            </w:r>
          </w:p>
        </w:tc>
        <w:tc>
          <w:tcPr>
            <w:tcW w:w="1542" w:type="pct"/>
            <w:tcBorders>
              <w:top w:val="single" w:sz="4" w:space="0" w:color="auto"/>
              <w:left w:val="nil"/>
              <w:bottom w:val="single" w:sz="4" w:space="0" w:color="auto"/>
              <w:right w:val="single" w:sz="4" w:space="0" w:color="auto"/>
            </w:tcBorders>
            <w:shd w:val="clear" w:color="auto" w:fill="auto"/>
            <w:tcMar>
              <w:left w:w="85" w:type="dxa"/>
              <w:right w:w="57" w:type="dxa"/>
            </w:tcMar>
            <w:hideMark/>
          </w:tcPr>
          <w:p w14:paraId="47C0E2BA" w14:textId="77777777" w:rsidR="007143D2" w:rsidRPr="007143D2" w:rsidRDefault="007143D2" w:rsidP="00EC056F">
            <w:pPr>
              <w:keepNext/>
              <w:tabs>
                <w:tab w:val="clear" w:pos="567"/>
              </w:tabs>
              <w:snapToGrid/>
              <w:spacing w:before="40" w:after="120" w:line="259" w:lineRule="auto"/>
              <w:rPr>
                <w:rFonts w:eastAsia="Times New Roman" w:cs="Arial"/>
                <w:b/>
                <w:bCs/>
                <w:snapToGrid/>
                <w:color w:val="000000"/>
                <w:szCs w:val="22"/>
              </w:rPr>
            </w:pPr>
            <w:r w:rsidRPr="007143D2">
              <w:rPr>
                <w:rFonts w:eastAsia="DengXian" w:cs="Arial"/>
                <w:b/>
                <w:bCs/>
                <w:snapToGrid/>
                <w:szCs w:val="22"/>
              </w:rPr>
              <w:t>Recommandation</w:t>
            </w:r>
          </w:p>
        </w:tc>
      </w:tr>
      <w:tr w:rsidR="007143D2" w:rsidRPr="007143D2" w14:paraId="2467F4A3" w14:textId="77777777" w:rsidTr="00EC056F">
        <w:trPr>
          <w:trHeight w:val="870"/>
        </w:trPr>
        <w:tc>
          <w:tcPr>
            <w:tcW w:w="955" w:type="pct"/>
            <w:tcBorders>
              <w:top w:val="nil"/>
              <w:left w:val="single" w:sz="4" w:space="0" w:color="auto"/>
              <w:bottom w:val="single" w:sz="4" w:space="0" w:color="auto"/>
              <w:right w:val="single" w:sz="4" w:space="0" w:color="auto"/>
            </w:tcBorders>
            <w:shd w:val="clear" w:color="auto" w:fill="auto"/>
            <w:tcMar>
              <w:left w:w="85" w:type="dxa"/>
              <w:right w:w="28" w:type="dxa"/>
            </w:tcMar>
            <w:hideMark/>
          </w:tcPr>
          <w:p w14:paraId="60920A57" w14:textId="77777777" w:rsidR="007143D2" w:rsidRPr="007143D2" w:rsidRDefault="007143D2" w:rsidP="007143D2">
            <w:pPr>
              <w:tabs>
                <w:tab w:val="clear" w:pos="567"/>
              </w:tabs>
              <w:snapToGrid/>
              <w:spacing w:after="160" w:line="259" w:lineRule="auto"/>
              <w:jc w:val="both"/>
              <w:rPr>
                <w:rFonts w:eastAsia="Times New Roman" w:cs="Arial"/>
                <w:snapToGrid/>
                <w:color w:val="000000"/>
                <w:szCs w:val="22"/>
              </w:rPr>
            </w:pPr>
            <w:r w:rsidRPr="007143D2">
              <w:rPr>
                <w:rFonts w:eastAsia="DengXian" w:cs="Arial"/>
                <w:snapToGrid/>
                <w:szCs w:val="22"/>
              </w:rPr>
              <w:t>GC-GEBCO 1</w:t>
            </w:r>
          </w:p>
        </w:tc>
        <w:tc>
          <w:tcPr>
            <w:tcW w:w="736" w:type="pct"/>
            <w:tcBorders>
              <w:top w:val="nil"/>
              <w:left w:val="nil"/>
              <w:bottom w:val="single" w:sz="4" w:space="0" w:color="auto"/>
              <w:right w:val="single" w:sz="4" w:space="0" w:color="auto"/>
            </w:tcBorders>
            <w:shd w:val="clear" w:color="auto" w:fill="auto"/>
            <w:tcMar>
              <w:left w:w="85" w:type="dxa"/>
              <w:right w:w="28" w:type="dxa"/>
            </w:tcMar>
            <w:hideMark/>
          </w:tcPr>
          <w:p w14:paraId="5DA39075" w14:textId="77777777" w:rsidR="007143D2" w:rsidRPr="007143D2" w:rsidRDefault="007143D2" w:rsidP="007143D2">
            <w:pPr>
              <w:tabs>
                <w:tab w:val="clear" w:pos="567"/>
              </w:tabs>
              <w:snapToGrid/>
              <w:spacing w:after="160" w:line="259" w:lineRule="auto"/>
              <w:jc w:val="both"/>
              <w:rPr>
                <w:rFonts w:eastAsia="Times New Roman" w:cs="Arial"/>
                <w:snapToGrid/>
                <w:color w:val="000000"/>
                <w:szCs w:val="22"/>
              </w:rPr>
            </w:pPr>
            <w:r w:rsidRPr="007143D2">
              <w:rPr>
                <w:rFonts w:eastAsia="DengXian" w:cs="Arial"/>
                <w:snapToGrid/>
                <w:szCs w:val="22"/>
              </w:rPr>
              <w:t>Instrument</w:t>
            </w:r>
          </w:p>
        </w:tc>
        <w:tc>
          <w:tcPr>
            <w:tcW w:w="1767" w:type="pct"/>
            <w:tcBorders>
              <w:top w:val="nil"/>
              <w:left w:val="nil"/>
              <w:bottom w:val="single" w:sz="4" w:space="0" w:color="auto"/>
              <w:right w:val="single" w:sz="4" w:space="0" w:color="auto"/>
            </w:tcBorders>
            <w:shd w:val="clear" w:color="auto" w:fill="auto"/>
            <w:tcMar>
              <w:left w:w="85" w:type="dxa"/>
              <w:right w:w="57" w:type="dxa"/>
            </w:tcMar>
            <w:hideMark/>
          </w:tcPr>
          <w:p w14:paraId="66E9C513" w14:textId="4C439E22" w:rsidR="007143D2" w:rsidRPr="007143D2" w:rsidRDefault="007143D2" w:rsidP="00EC056F">
            <w:pPr>
              <w:tabs>
                <w:tab w:val="clear" w:pos="567"/>
              </w:tabs>
              <w:snapToGrid/>
              <w:spacing w:after="160" w:line="259" w:lineRule="auto"/>
              <w:rPr>
                <w:rFonts w:eastAsia="Times New Roman" w:cs="Arial"/>
                <w:snapToGrid/>
                <w:color w:val="000000"/>
                <w:szCs w:val="22"/>
              </w:rPr>
            </w:pPr>
            <w:r w:rsidRPr="007143D2">
              <w:rPr>
                <w:rFonts w:eastAsia="DengXian" w:cs="Arial"/>
                <w:snapToGrid/>
                <w:szCs w:val="22"/>
              </w:rPr>
              <w:t>Le mandat est généralement adapté à l’objectif visé, mais devrait être révisé à la lumière de</w:t>
            </w:r>
            <w:r w:rsidR="00EC056F">
              <w:rPr>
                <w:rFonts w:eastAsia="DengXian" w:cs="Arial"/>
                <w:snapToGrid/>
                <w:szCs w:val="22"/>
              </w:rPr>
              <w:t> </w:t>
            </w:r>
            <w:r w:rsidRPr="007143D2">
              <w:rPr>
                <w:rFonts w:eastAsia="DengXian" w:cs="Arial"/>
                <w:snapToGrid/>
                <w:szCs w:val="22"/>
              </w:rPr>
              <w:t>la stratégie afin de garantir la cohérence des objectifs.</w:t>
            </w:r>
          </w:p>
        </w:tc>
        <w:tc>
          <w:tcPr>
            <w:tcW w:w="1542" w:type="pct"/>
            <w:tcBorders>
              <w:top w:val="nil"/>
              <w:left w:val="nil"/>
              <w:bottom w:val="single" w:sz="4" w:space="0" w:color="auto"/>
              <w:right w:val="single" w:sz="4" w:space="0" w:color="auto"/>
            </w:tcBorders>
            <w:shd w:val="clear" w:color="auto" w:fill="auto"/>
            <w:tcMar>
              <w:left w:w="85" w:type="dxa"/>
              <w:right w:w="57" w:type="dxa"/>
            </w:tcMar>
            <w:hideMark/>
          </w:tcPr>
          <w:p w14:paraId="313A4B4F" w14:textId="35A3F826" w:rsidR="007143D2" w:rsidRPr="007143D2" w:rsidRDefault="007143D2" w:rsidP="00EC056F">
            <w:pPr>
              <w:tabs>
                <w:tab w:val="clear" w:pos="567"/>
              </w:tabs>
              <w:snapToGrid/>
              <w:spacing w:after="160" w:line="259" w:lineRule="auto"/>
              <w:rPr>
                <w:rFonts w:eastAsia="Times New Roman" w:cs="Arial"/>
                <w:snapToGrid/>
                <w:color w:val="000000"/>
                <w:szCs w:val="22"/>
              </w:rPr>
            </w:pPr>
            <w:r w:rsidRPr="007143D2">
              <w:rPr>
                <w:rFonts w:eastAsia="DengXian" w:cs="Arial"/>
                <w:snapToGrid/>
                <w:szCs w:val="22"/>
              </w:rPr>
              <w:t>Réviser le mandat pour qu’il corresponde à la stratégie</w:t>
            </w:r>
          </w:p>
        </w:tc>
      </w:tr>
      <w:tr w:rsidR="007143D2" w:rsidRPr="007143D2" w14:paraId="7A73D566" w14:textId="77777777" w:rsidTr="00EC056F">
        <w:trPr>
          <w:trHeight w:val="580"/>
        </w:trPr>
        <w:tc>
          <w:tcPr>
            <w:tcW w:w="955" w:type="pct"/>
            <w:tcBorders>
              <w:top w:val="nil"/>
              <w:left w:val="single" w:sz="4" w:space="0" w:color="auto"/>
              <w:bottom w:val="single" w:sz="4" w:space="0" w:color="auto"/>
              <w:right w:val="single" w:sz="4" w:space="0" w:color="auto"/>
            </w:tcBorders>
            <w:shd w:val="clear" w:color="auto" w:fill="auto"/>
            <w:tcMar>
              <w:left w:w="85" w:type="dxa"/>
              <w:right w:w="28" w:type="dxa"/>
            </w:tcMar>
            <w:hideMark/>
          </w:tcPr>
          <w:p w14:paraId="4320CA03" w14:textId="77777777" w:rsidR="007143D2" w:rsidRPr="007143D2" w:rsidRDefault="007143D2" w:rsidP="007143D2">
            <w:pPr>
              <w:tabs>
                <w:tab w:val="clear" w:pos="567"/>
              </w:tabs>
              <w:snapToGrid/>
              <w:spacing w:after="160" w:line="259" w:lineRule="auto"/>
              <w:jc w:val="both"/>
              <w:rPr>
                <w:rFonts w:eastAsia="Times New Roman" w:cs="Arial"/>
                <w:snapToGrid/>
                <w:color w:val="000000"/>
                <w:szCs w:val="22"/>
              </w:rPr>
            </w:pPr>
            <w:r w:rsidRPr="007143D2">
              <w:rPr>
                <w:rFonts w:eastAsia="DengXian" w:cs="Arial"/>
                <w:snapToGrid/>
                <w:szCs w:val="22"/>
              </w:rPr>
              <w:t>GC-GEBCO 2</w:t>
            </w:r>
          </w:p>
        </w:tc>
        <w:tc>
          <w:tcPr>
            <w:tcW w:w="736" w:type="pct"/>
            <w:tcBorders>
              <w:top w:val="nil"/>
              <w:left w:val="nil"/>
              <w:bottom w:val="single" w:sz="4" w:space="0" w:color="auto"/>
              <w:right w:val="single" w:sz="4" w:space="0" w:color="auto"/>
            </w:tcBorders>
            <w:shd w:val="clear" w:color="auto" w:fill="auto"/>
            <w:tcMar>
              <w:left w:w="85" w:type="dxa"/>
              <w:right w:w="28" w:type="dxa"/>
            </w:tcMar>
            <w:hideMark/>
          </w:tcPr>
          <w:p w14:paraId="5BF2A2CA" w14:textId="77777777" w:rsidR="007143D2" w:rsidRPr="007143D2" w:rsidRDefault="007143D2" w:rsidP="007143D2">
            <w:pPr>
              <w:tabs>
                <w:tab w:val="clear" w:pos="567"/>
              </w:tabs>
              <w:snapToGrid/>
              <w:spacing w:after="160" w:line="259" w:lineRule="auto"/>
              <w:jc w:val="both"/>
              <w:rPr>
                <w:rFonts w:eastAsia="Times New Roman" w:cs="Arial"/>
                <w:snapToGrid/>
                <w:color w:val="000000"/>
                <w:szCs w:val="22"/>
              </w:rPr>
            </w:pPr>
            <w:r w:rsidRPr="007143D2">
              <w:rPr>
                <w:rFonts w:eastAsia="DengXian" w:cs="Arial"/>
                <w:snapToGrid/>
                <w:szCs w:val="22"/>
              </w:rPr>
              <w:t>Processus</w:t>
            </w:r>
          </w:p>
        </w:tc>
        <w:tc>
          <w:tcPr>
            <w:tcW w:w="1767" w:type="pct"/>
            <w:tcBorders>
              <w:top w:val="nil"/>
              <w:left w:val="nil"/>
              <w:bottom w:val="single" w:sz="4" w:space="0" w:color="auto"/>
              <w:right w:val="single" w:sz="4" w:space="0" w:color="auto"/>
            </w:tcBorders>
            <w:shd w:val="clear" w:color="auto" w:fill="auto"/>
            <w:tcMar>
              <w:left w:w="85" w:type="dxa"/>
              <w:right w:w="57" w:type="dxa"/>
            </w:tcMar>
            <w:hideMark/>
          </w:tcPr>
          <w:p w14:paraId="065C0716" w14:textId="77777777" w:rsidR="007143D2" w:rsidRPr="007143D2" w:rsidRDefault="007143D2" w:rsidP="00EC056F">
            <w:pPr>
              <w:tabs>
                <w:tab w:val="clear" w:pos="567"/>
              </w:tabs>
              <w:snapToGrid/>
              <w:spacing w:after="160" w:line="259" w:lineRule="auto"/>
              <w:rPr>
                <w:rFonts w:eastAsia="Times New Roman" w:cs="Arial"/>
                <w:snapToGrid/>
                <w:color w:val="000000"/>
                <w:szCs w:val="22"/>
              </w:rPr>
            </w:pPr>
            <w:r w:rsidRPr="007143D2">
              <w:rPr>
                <w:rFonts w:eastAsia="DengXian" w:cs="Arial"/>
                <w:snapToGrid/>
                <w:szCs w:val="22"/>
              </w:rPr>
              <w:t>Aucun tableau de bord n’existe pour le portefeuille d’activités/les projets ; les programmes manquent de structure.</w:t>
            </w:r>
          </w:p>
        </w:tc>
        <w:tc>
          <w:tcPr>
            <w:tcW w:w="1542" w:type="pct"/>
            <w:tcBorders>
              <w:top w:val="nil"/>
              <w:left w:val="nil"/>
              <w:bottom w:val="single" w:sz="4" w:space="0" w:color="auto"/>
              <w:right w:val="single" w:sz="4" w:space="0" w:color="auto"/>
            </w:tcBorders>
            <w:shd w:val="clear" w:color="auto" w:fill="auto"/>
            <w:tcMar>
              <w:left w:w="85" w:type="dxa"/>
              <w:right w:w="57" w:type="dxa"/>
            </w:tcMar>
            <w:hideMark/>
          </w:tcPr>
          <w:p w14:paraId="13889975" w14:textId="7028320E" w:rsidR="007143D2" w:rsidRPr="007143D2" w:rsidRDefault="007143D2" w:rsidP="00EC056F">
            <w:pPr>
              <w:tabs>
                <w:tab w:val="clear" w:pos="567"/>
              </w:tabs>
              <w:snapToGrid/>
              <w:spacing w:after="160" w:line="259" w:lineRule="auto"/>
              <w:rPr>
                <w:rFonts w:eastAsia="Times New Roman" w:cs="Arial"/>
                <w:snapToGrid/>
                <w:color w:val="000000"/>
                <w:szCs w:val="22"/>
              </w:rPr>
            </w:pPr>
            <w:r w:rsidRPr="007143D2">
              <w:rPr>
                <w:rFonts w:eastAsia="DengXian" w:cs="Arial"/>
                <w:snapToGrid/>
                <w:szCs w:val="22"/>
              </w:rPr>
              <w:t>À traiter par le GC-GEBCO à sa 39</w:t>
            </w:r>
            <w:r w:rsidRPr="007143D2">
              <w:rPr>
                <w:rFonts w:eastAsia="DengXian" w:cs="Arial"/>
                <w:snapToGrid/>
                <w:szCs w:val="22"/>
                <w:vertAlign w:val="superscript"/>
              </w:rPr>
              <w:t>e</w:t>
            </w:r>
            <w:r w:rsidRPr="007143D2">
              <w:rPr>
                <w:rFonts w:eastAsia="DengXian" w:cs="Arial"/>
                <w:snapToGrid/>
                <w:szCs w:val="22"/>
              </w:rPr>
              <w:t> session</w:t>
            </w:r>
          </w:p>
        </w:tc>
      </w:tr>
      <w:tr w:rsidR="007143D2" w:rsidRPr="007143D2" w14:paraId="40847D22" w14:textId="77777777" w:rsidTr="00EC056F">
        <w:trPr>
          <w:trHeight w:val="1450"/>
        </w:trPr>
        <w:tc>
          <w:tcPr>
            <w:tcW w:w="955" w:type="pct"/>
            <w:tcBorders>
              <w:top w:val="nil"/>
              <w:left w:val="single" w:sz="4" w:space="0" w:color="auto"/>
              <w:bottom w:val="single" w:sz="4" w:space="0" w:color="auto"/>
              <w:right w:val="single" w:sz="4" w:space="0" w:color="auto"/>
            </w:tcBorders>
            <w:shd w:val="clear" w:color="auto" w:fill="auto"/>
            <w:tcMar>
              <w:left w:w="85" w:type="dxa"/>
              <w:right w:w="28" w:type="dxa"/>
            </w:tcMar>
            <w:hideMark/>
          </w:tcPr>
          <w:p w14:paraId="48CE973A" w14:textId="77777777" w:rsidR="007143D2" w:rsidRPr="007143D2" w:rsidRDefault="007143D2" w:rsidP="007143D2">
            <w:pPr>
              <w:tabs>
                <w:tab w:val="clear" w:pos="567"/>
              </w:tabs>
              <w:snapToGrid/>
              <w:spacing w:after="160" w:line="259" w:lineRule="auto"/>
              <w:jc w:val="both"/>
              <w:rPr>
                <w:rFonts w:eastAsia="Times New Roman" w:cs="Arial"/>
                <w:snapToGrid/>
                <w:color w:val="000000"/>
                <w:szCs w:val="22"/>
              </w:rPr>
            </w:pPr>
            <w:r w:rsidRPr="007143D2">
              <w:rPr>
                <w:rFonts w:eastAsia="DengXian" w:cs="Arial"/>
                <w:snapToGrid/>
                <w:szCs w:val="22"/>
              </w:rPr>
              <w:t>GC-GEBCO 3</w:t>
            </w:r>
          </w:p>
        </w:tc>
        <w:tc>
          <w:tcPr>
            <w:tcW w:w="736" w:type="pct"/>
            <w:tcBorders>
              <w:top w:val="nil"/>
              <w:left w:val="nil"/>
              <w:bottom w:val="single" w:sz="4" w:space="0" w:color="auto"/>
              <w:right w:val="single" w:sz="4" w:space="0" w:color="auto"/>
            </w:tcBorders>
            <w:shd w:val="clear" w:color="auto" w:fill="auto"/>
            <w:tcMar>
              <w:left w:w="85" w:type="dxa"/>
              <w:right w:w="28" w:type="dxa"/>
            </w:tcMar>
            <w:hideMark/>
          </w:tcPr>
          <w:p w14:paraId="388C5893" w14:textId="77777777" w:rsidR="007143D2" w:rsidRPr="007143D2" w:rsidRDefault="007143D2" w:rsidP="007143D2">
            <w:pPr>
              <w:tabs>
                <w:tab w:val="clear" w:pos="567"/>
              </w:tabs>
              <w:snapToGrid/>
              <w:spacing w:after="160" w:line="259" w:lineRule="auto"/>
              <w:jc w:val="both"/>
              <w:rPr>
                <w:rFonts w:eastAsia="Times New Roman" w:cs="Arial"/>
                <w:snapToGrid/>
                <w:color w:val="000000"/>
                <w:szCs w:val="22"/>
              </w:rPr>
            </w:pPr>
            <w:r w:rsidRPr="007143D2">
              <w:rPr>
                <w:rFonts w:eastAsia="DengXian" w:cs="Arial"/>
                <w:snapToGrid/>
                <w:szCs w:val="22"/>
              </w:rPr>
              <w:t>Composition</w:t>
            </w:r>
          </w:p>
        </w:tc>
        <w:tc>
          <w:tcPr>
            <w:tcW w:w="1767" w:type="pct"/>
            <w:tcBorders>
              <w:top w:val="nil"/>
              <w:left w:val="nil"/>
              <w:bottom w:val="single" w:sz="4" w:space="0" w:color="auto"/>
              <w:right w:val="single" w:sz="4" w:space="0" w:color="auto"/>
            </w:tcBorders>
            <w:shd w:val="clear" w:color="auto" w:fill="auto"/>
            <w:tcMar>
              <w:left w:w="85" w:type="dxa"/>
              <w:right w:w="57" w:type="dxa"/>
            </w:tcMar>
            <w:hideMark/>
          </w:tcPr>
          <w:p w14:paraId="7B2EC455" w14:textId="77777777" w:rsidR="007143D2" w:rsidRPr="007143D2" w:rsidRDefault="007143D2" w:rsidP="00EC056F">
            <w:pPr>
              <w:tabs>
                <w:tab w:val="clear" w:pos="567"/>
              </w:tabs>
              <w:snapToGrid/>
              <w:spacing w:after="160" w:line="259" w:lineRule="auto"/>
              <w:rPr>
                <w:rFonts w:eastAsia="Times New Roman" w:cs="Arial"/>
                <w:snapToGrid/>
                <w:color w:val="000000"/>
                <w:szCs w:val="22"/>
              </w:rPr>
            </w:pPr>
            <w:r w:rsidRPr="007143D2">
              <w:rPr>
                <w:rFonts w:eastAsia="DengXian" w:cs="Arial"/>
                <w:snapToGrid/>
                <w:szCs w:val="22"/>
              </w:rPr>
              <w:t>La composition (en particulier le statut de membre de droit) est problématique dans la mesure où il existe un risque de conflit d’intérêts lorsque les membres du Comité bénéficient de financements de projets de la GEBCO.</w:t>
            </w:r>
          </w:p>
        </w:tc>
        <w:tc>
          <w:tcPr>
            <w:tcW w:w="1542" w:type="pct"/>
            <w:tcBorders>
              <w:top w:val="nil"/>
              <w:left w:val="nil"/>
              <w:bottom w:val="single" w:sz="4" w:space="0" w:color="auto"/>
              <w:right w:val="single" w:sz="4" w:space="0" w:color="auto"/>
            </w:tcBorders>
            <w:shd w:val="clear" w:color="auto" w:fill="auto"/>
            <w:tcMar>
              <w:left w:w="85" w:type="dxa"/>
              <w:right w:w="57" w:type="dxa"/>
            </w:tcMar>
            <w:hideMark/>
          </w:tcPr>
          <w:p w14:paraId="4C2EF547" w14:textId="51153520" w:rsidR="007143D2" w:rsidRPr="007143D2" w:rsidRDefault="007143D2" w:rsidP="00EC056F">
            <w:pPr>
              <w:tabs>
                <w:tab w:val="clear" w:pos="567"/>
              </w:tabs>
              <w:snapToGrid/>
              <w:spacing w:after="160" w:line="259" w:lineRule="auto"/>
              <w:rPr>
                <w:rFonts w:eastAsia="Times New Roman" w:cs="Arial"/>
                <w:snapToGrid/>
                <w:color w:val="000000"/>
                <w:szCs w:val="22"/>
              </w:rPr>
            </w:pPr>
            <w:r w:rsidRPr="007143D2">
              <w:rPr>
                <w:rFonts w:eastAsia="DengXian" w:cs="Arial"/>
                <w:snapToGrid/>
                <w:szCs w:val="22"/>
              </w:rPr>
              <w:t>À traiter par le GC-GEBCO à sa 39</w:t>
            </w:r>
            <w:r w:rsidRPr="007143D2">
              <w:rPr>
                <w:rFonts w:eastAsia="DengXian" w:cs="Arial"/>
                <w:snapToGrid/>
                <w:szCs w:val="22"/>
                <w:vertAlign w:val="superscript"/>
              </w:rPr>
              <w:t>e</w:t>
            </w:r>
            <w:r w:rsidRPr="007143D2">
              <w:rPr>
                <w:rFonts w:eastAsia="DengXian" w:cs="Arial"/>
                <w:snapToGrid/>
                <w:szCs w:val="22"/>
              </w:rPr>
              <w:t> session</w:t>
            </w:r>
          </w:p>
        </w:tc>
      </w:tr>
      <w:tr w:rsidR="007143D2" w:rsidRPr="007143D2" w14:paraId="7122EEDA" w14:textId="77777777" w:rsidTr="00EC056F">
        <w:trPr>
          <w:trHeight w:val="580"/>
        </w:trPr>
        <w:tc>
          <w:tcPr>
            <w:tcW w:w="955" w:type="pct"/>
            <w:tcBorders>
              <w:top w:val="nil"/>
              <w:left w:val="single" w:sz="4" w:space="0" w:color="auto"/>
              <w:bottom w:val="single" w:sz="4" w:space="0" w:color="auto"/>
              <w:right w:val="single" w:sz="4" w:space="0" w:color="auto"/>
            </w:tcBorders>
            <w:shd w:val="clear" w:color="auto" w:fill="auto"/>
            <w:tcMar>
              <w:left w:w="85" w:type="dxa"/>
              <w:right w:w="28" w:type="dxa"/>
            </w:tcMar>
            <w:hideMark/>
          </w:tcPr>
          <w:p w14:paraId="35C1611C" w14:textId="77777777" w:rsidR="007143D2" w:rsidRPr="007143D2" w:rsidRDefault="007143D2" w:rsidP="007143D2">
            <w:pPr>
              <w:tabs>
                <w:tab w:val="clear" w:pos="567"/>
              </w:tabs>
              <w:snapToGrid/>
              <w:spacing w:after="160" w:line="259" w:lineRule="auto"/>
              <w:jc w:val="both"/>
              <w:rPr>
                <w:rFonts w:eastAsia="Times New Roman" w:cs="Arial"/>
                <w:snapToGrid/>
                <w:color w:val="000000"/>
                <w:szCs w:val="22"/>
              </w:rPr>
            </w:pPr>
            <w:r w:rsidRPr="007143D2">
              <w:rPr>
                <w:rFonts w:eastAsia="DengXian" w:cs="Arial"/>
                <w:snapToGrid/>
                <w:szCs w:val="22"/>
              </w:rPr>
              <w:t>GC-GEBCO 4</w:t>
            </w:r>
          </w:p>
        </w:tc>
        <w:tc>
          <w:tcPr>
            <w:tcW w:w="736" w:type="pct"/>
            <w:tcBorders>
              <w:top w:val="nil"/>
              <w:left w:val="nil"/>
              <w:bottom w:val="single" w:sz="4" w:space="0" w:color="auto"/>
              <w:right w:val="single" w:sz="4" w:space="0" w:color="auto"/>
            </w:tcBorders>
            <w:shd w:val="clear" w:color="auto" w:fill="auto"/>
            <w:tcMar>
              <w:left w:w="85" w:type="dxa"/>
              <w:right w:w="28" w:type="dxa"/>
            </w:tcMar>
            <w:hideMark/>
          </w:tcPr>
          <w:p w14:paraId="56B74E41" w14:textId="77777777" w:rsidR="007143D2" w:rsidRPr="007143D2" w:rsidRDefault="007143D2" w:rsidP="007143D2">
            <w:pPr>
              <w:tabs>
                <w:tab w:val="clear" w:pos="567"/>
              </w:tabs>
              <w:snapToGrid/>
              <w:spacing w:after="160" w:line="259" w:lineRule="auto"/>
              <w:jc w:val="both"/>
              <w:rPr>
                <w:rFonts w:eastAsia="Times New Roman" w:cs="Arial"/>
                <w:snapToGrid/>
                <w:color w:val="000000"/>
                <w:szCs w:val="22"/>
              </w:rPr>
            </w:pPr>
            <w:r w:rsidRPr="007143D2">
              <w:rPr>
                <w:rFonts w:eastAsia="DengXian" w:cs="Arial"/>
                <w:snapToGrid/>
                <w:szCs w:val="22"/>
              </w:rPr>
              <w:t>Financement</w:t>
            </w:r>
          </w:p>
        </w:tc>
        <w:tc>
          <w:tcPr>
            <w:tcW w:w="1767" w:type="pct"/>
            <w:tcBorders>
              <w:top w:val="nil"/>
              <w:left w:val="nil"/>
              <w:bottom w:val="single" w:sz="4" w:space="0" w:color="auto"/>
              <w:right w:val="single" w:sz="4" w:space="0" w:color="auto"/>
            </w:tcBorders>
            <w:shd w:val="clear" w:color="auto" w:fill="auto"/>
            <w:tcMar>
              <w:left w:w="85" w:type="dxa"/>
              <w:right w:w="57" w:type="dxa"/>
            </w:tcMar>
            <w:hideMark/>
          </w:tcPr>
          <w:p w14:paraId="514200B5" w14:textId="77777777" w:rsidR="007143D2" w:rsidRPr="007143D2" w:rsidRDefault="007143D2" w:rsidP="00EC056F">
            <w:pPr>
              <w:tabs>
                <w:tab w:val="clear" w:pos="567"/>
              </w:tabs>
              <w:snapToGrid/>
              <w:spacing w:after="160" w:line="259" w:lineRule="auto"/>
              <w:rPr>
                <w:rFonts w:eastAsia="Times New Roman" w:cs="Arial"/>
                <w:snapToGrid/>
                <w:color w:val="000000"/>
                <w:szCs w:val="22"/>
              </w:rPr>
            </w:pPr>
            <w:r w:rsidRPr="007143D2">
              <w:rPr>
                <w:rFonts w:eastAsia="DengXian" w:cs="Arial"/>
                <w:snapToGrid/>
                <w:szCs w:val="22"/>
              </w:rPr>
              <w:t>Il n’existe pas d’orientation formelle sur la gestion financière et la reddition de comptes.</w:t>
            </w:r>
          </w:p>
        </w:tc>
        <w:tc>
          <w:tcPr>
            <w:tcW w:w="1542" w:type="pct"/>
            <w:tcBorders>
              <w:top w:val="nil"/>
              <w:left w:val="nil"/>
              <w:bottom w:val="single" w:sz="4" w:space="0" w:color="auto"/>
              <w:right w:val="single" w:sz="4" w:space="0" w:color="auto"/>
            </w:tcBorders>
            <w:shd w:val="clear" w:color="auto" w:fill="auto"/>
            <w:tcMar>
              <w:left w:w="85" w:type="dxa"/>
              <w:right w:w="57" w:type="dxa"/>
            </w:tcMar>
            <w:hideMark/>
          </w:tcPr>
          <w:p w14:paraId="6C220B93" w14:textId="635CF981" w:rsidR="007143D2" w:rsidRPr="007143D2" w:rsidRDefault="007143D2" w:rsidP="00EC056F">
            <w:pPr>
              <w:tabs>
                <w:tab w:val="clear" w:pos="567"/>
              </w:tabs>
              <w:snapToGrid/>
              <w:spacing w:after="160" w:line="259" w:lineRule="auto"/>
              <w:rPr>
                <w:rFonts w:eastAsia="Times New Roman" w:cs="Arial"/>
                <w:snapToGrid/>
                <w:color w:val="000000"/>
                <w:szCs w:val="22"/>
              </w:rPr>
            </w:pPr>
            <w:r w:rsidRPr="007143D2">
              <w:rPr>
                <w:rFonts w:eastAsia="DengXian" w:cs="Arial"/>
                <w:snapToGrid/>
                <w:szCs w:val="22"/>
              </w:rPr>
              <w:t>En prendre note et le mentionner dans l’examen financier. Obtenir des conseils externes</w:t>
            </w:r>
          </w:p>
        </w:tc>
      </w:tr>
      <w:tr w:rsidR="007143D2" w:rsidRPr="007143D2" w14:paraId="15EFCBD8" w14:textId="77777777" w:rsidTr="00EC056F">
        <w:trPr>
          <w:trHeight w:val="870"/>
        </w:trPr>
        <w:tc>
          <w:tcPr>
            <w:tcW w:w="955" w:type="pct"/>
            <w:tcBorders>
              <w:top w:val="nil"/>
              <w:left w:val="single" w:sz="4" w:space="0" w:color="auto"/>
              <w:bottom w:val="single" w:sz="4" w:space="0" w:color="auto"/>
              <w:right w:val="single" w:sz="4" w:space="0" w:color="auto"/>
            </w:tcBorders>
            <w:shd w:val="clear" w:color="auto" w:fill="auto"/>
            <w:tcMar>
              <w:left w:w="85" w:type="dxa"/>
              <w:right w:w="28" w:type="dxa"/>
            </w:tcMar>
            <w:hideMark/>
          </w:tcPr>
          <w:p w14:paraId="64320320" w14:textId="77777777" w:rsidR="007143D2" w:rsidRPr="007143D2" w:rsidRDefault="007143D2" w:rsidP="007143D2">
            <w:pPr>
              <w:tabs>
                <w:tab w:val="clear" w:pos="567"/>
              </w:tabs>
              <w:snapToGrid/>
              <w:spacing w:after="160" w:line="259" w:lineRule="auto"/>
              <w:jc w:val="both"/>
              <w:rPr>
                <w:rFonts w:eastAsia="Times New Roman" w:cs="Arial"/>
                <w:snapToGrid/>
                <w:color w:val="000000"/>
                <w:szCs w:val="22"/>
              </w:rPr>
            </w:pPr>
            <w:r w:rsidRPr="007143D2">
              <w:rPr>
                <w:rFonts w:eastAsia="DengXian" w:cs="Arial"/>
                <w:snapToGrid/>
                <w:szCs w:val="22"/>
              </w:rPr>
              <w:t>GC-GEBCO 5</w:t>
            </w:r>
          </w:p>
        </w:tc>
        <w:tc>
          <w:tcPr>
            <w:tcW w:w="736" w:type="pct"/>
            <w:tcBorders>
              <w:top w:val="nil"/>
              <w:left w:val="nil"/>
              <w:bottom w:val="single" w:sz="4" w:space="0" w:color="auto"/>
              <w:right w:val="single" w:sz="4" w:space="0" w:color="auto"/>
            </w:tcBorders>
            <w:shd w:val="clear" w:color="auto" w:fill="auto"/>
            <w:tcMar>
              <w:left w:w="85" w:type="dxa"/>
              <w:right w:w="28" w:type="dxa"/>
            </w:tcMar>
            <w:hideMark/>
          </w:tcPr>
          <w:p w14:paraId="6DAECC0C" w14:textId="77777777" w:rsidR="007143D2" w:rsidRPr="007143D2" w:rsidRDefault="007143D2" w:rsidP="007143D2">
            <w:pPr>
              <w:tabs>
                <w:tab w:val="clear" w:pos="567"/>
              </w:tabs>
              <w:snapToGrid/>
              <w:spacing w:after="160" w:line="259" w:lineRule="auto"/>
              <w:jc w:val="both"/>
              <w:rPr>
                <w:rFonts w:eastAsia="Times New Roman" w:cs="Arial"/>
                <w:snapToGrid/>
                <w:color w:val="000000"/>
                <w:szCs w:val="22"/>
              </w:rPr>
            </w:pPr>
            <w:r w:rsidRPr="007143D2">
              <w:rPr>
                <w:rFonts w:eastAsia="DengXian" w:cs="Arial"/>
                <w:snapToGrid/>
                <w:szCs w:val="22"/>
              </w:rPr>
              <w:t xml:space="preserve">Personnel </w:t>
            </w:r>
          </w:p>
        </w:tc>
        <w:tc>
          <w:tcPr>
            <w:tcW w:w="1767" w:type="pct"/>
            <w:tcBorders>
              <w:top w:val="nil"/>
              <w:left w:val="nil"/>
              <w:bottom w:val="single" w:sz="4" w:space="0" w:color="auto"/>
              <w:right w:val="single" w:sz="4" w:space="0" w:color="auto"/>
            </w:tcBorders>
            <w:shd w:val="clear" w:color="auto" w:fill="auto"/>
            <w:tcMar>
              <w:left w:w="85" w:type="dxa"/>
              <w:right w:w="57" w:type="dxa"/>
            </w:tcMar>
            <w:hideMark/>
          </w:tcPr>
          <w:p w14:paraId="65D6D800" w14:textId="2B86C1CE" w:rsidR="007143D2" w:rsidRPr="007143D2" w:rsidRDefault="007143D2" w:rsidP="00EC056F">
            <w:pPr>
              <w:tabs>
                <w:tab w:val="clear" w:pos="567"/>
              </w:tabs>
              <w:snapToGrid/>
              <w:spacing w:after="160" w:line="259" w:lineRule="auto"/>
              <w:rPr>
                <w:rFonts w:eastAsia="Times New Roman" w:cs="Arial"/>
                <w:snapToGrid/>
                <w:color w:val="000000"/>
                <w:szCs w:val="22"/>
              </w:rPr>
            </w:pPr>
            <w:r w:rsidRPr="007143D2">
              <w:rPr>
                <w:rFonts w:eastAsia="DengXian" w:cs="Arial"/>
                <w:snapToGrid/>
                <w:szCs w:val="22"/>
              </w:rPr>
              <w:t>L’utilisation de l’adresse postale de l’OHI/la COI pour les projets subordonnés et le statut des personnes qui travaillent sur ceux</w:t>
            </w:r>
            <w:r w:rsidR="003429AB">
              <w:rPr>
                <w:rFonts w:eastAsia="DengXian" w:cs="Arial"/>
                <w:snapToGrid/>
                <w:szCs w:val="22"/>
              </w:rPr>
              <w:noBreakHyphen/>
            </w:r>
            <w:r w:rsidRPr="007143D2">
              <w:rPr>
                <w:rFonts w:eastAsia="DengXian" w:cs="Arial"/>
                <w:snapToGrid/>
                <w:szCs w:val="22"/>
              </w:rPr>
              <w:t>ci posent question.</w:t>
            </w:r>
          </w:p>
        </w:tc>
        <w:tc>
          <w:tcPr>
            <w:tcW w:w="1542" w:type="pct"/>
            <w:tcBorders>
              <w:top w:val="nil"/>
              <w:left w:val="nil"/>
              <w:bottom w:val="single" w:sz="4" w:space="0" w:color="auto"/>
              <w:right w:val="single" w:sz="4" w:space="0" w:color="auto"/>
            </w:tcBorders>
            <w:shd w:val="clear" w:color="auto" w:fill="auto"/>
            <w:tcMar>
              <w:left w:w="85" w:type="dxa"/>
              <w:right w:w="57" w:type="dxa"/>
            </w:tcMar>
            <w:hideMark/>
          </w:tcPr>
          <w:p w14:paraId="7E296AB6" w14:textId="6E739661" w:rsidR="007143D2" w:rsidRPr="007143D2" w:rsidRDefault="007143D2" w:rsidP="00EC056F">
            <w:pPr>
              <w:tabs>
                <w:tab w:val="clear" w:pos="567"/>
              </w:tabs>
              <w:snapToGrid/>
              <w:spacing w:after="160" w:line="259" w:lineRule="auto"/>
              <w:rPr>
                <w:rFonts w:eastAsia="Times New Roman" w:cs="Arial"/>
                <w:snapToGrid/>
                <w:color w:val="000000"/>
                <w:szCs w:val="22"/>
              </w:rPr>
            </w:pPr>
            <w:r w:rsidRPr="007143D2">
              <w:rPr>
                <w:rFonts w:eastAsia="DengXian" w:cs="Arial"/>
                <w:snapToGrid/>
                <w:szCs w:val="22"/>
              </w:rPr>
              <w:t>Charger l’OHI d’en discuter avec le Gouvernement de Monaco</w:t>
            </w:r>
          </w:p>
        </w:tc>
      </w:tr>
      <w:tr w:rsidR="007143D2" w:rsidRPr="007143D2" w14:paraId="15389843" w14:textId="77777777" w:rsidTr="00EC056F">
        <w:trPr>
          <w:trHeight w:val="1450"/>
        </w:trPr>
        <w:tc>
          <w:tcPr>
            <w:tcW w:w="955" w:type="pct"/>
            <w:tcBorders>
              <w:top w:val="nil"/>
              <w:left w:val="single" w:sz="4" w:space="0" w:color="auto"/>
              <w:bottom w:val="single" w:sz="4" w:space="0" w:color="auto"/>
              <w:right w:val="single" w:sz="4" w:space="0" w:color="auto"/>
            </w:tcBorders>
            <w:shd w:val="clear" w:color="auto" w:fill="auto"/>
            <w:tcMar>
              <w:left w:w="85" w:type="dxa"/>
              <w:right w:w="28" w:type="dxa"/>
            </w:tcMar>
            <w:hideMark/>
          </w:tcPr>
          <w:p w14:paraId="2B6BDD89" w14:textId="77777777" w:rsidR="007143D2" w:rsidRPr="007143D2" w:rsidRDefault="007143D2" w:rsidP="007143D2">
            <w:pPr>
              <w:tabs>
                <w:tab w:val="clear" w:pos="567"/>
              </w:tabs>
              <w:snapToGrid/>
              <w:spacing w:after="160" w:line="259" w:lineRule="auto"/>
              <w:jc w:val="both"/>
              <w:rPr>
                <w:rFonts w:eastAsia="Times New Roman" w:cs="Arial"/>
                <w:snapToGrid/>
                <w:color w:val="000000"/>
                <w:szCs w:val="22"/>
              </w:rPr>
            </w:pPr>
            <w:r w:rsidRPr="007143D2">
              <w:rPr>
                <w:rFonts w:eastAsia="DengXian" w:cs="Arial"/>
                <w:snapToGrid/>
                <w:szCs w:val="22"/>
              </w:rPr>
              <w:t>GC-GEBCO 6</w:t>
            </w:r>
          </w:p>
        </w:tc>
        <w:tc>
          <w:tcPr>
            <w:tcW w:w="736" w:type="pct"/>
            <w:tcBorders>
              <w:top w:val="nil"/>
              <w:left w:val="nil"/>
              <w:bottom w:val="single" w:sz="4" w:space="0" w:color="auto"/>
              <w:right w:val="single" w:sz="4" w:space="0" w:color="auto"/>
            </w:tcBorders>
            <w:shd w:val="clear" w:color="auto" w:fill="auto"/>
            <w:tcMar>
              <w:left w:w="85" w:type="dxa"/>
              <w:right w:w="28" w:type="dxa"/>
            </w:tcMar>
            <w:hideMark/>
          </w:tcPr>
          <w:p w14:paraId="641E8FDB" w14:textId="77777777" w:rsidR="007143D2" w:rsidRPr="007143D2" w:rsidRDefault="007143D2" w:rsidP="007143D2">
            <w:pPr>
              <w:tabs>
                <w:tab w:val="clear" w:pos="567"/>
              </w:tabs>
              <w:snapToGrid/>
              <w:spacing w:after="160" w:line="259" w:lineRule="auto"/>
              <w:jc w:val="both"/>
              <w:rPr>
                <w:rFonts w:eastAsia="Times New Roman" w:cs="Arial"/>
                <w:snapToGrid/>
                <w:color w:val="000000"/>
                <w:szCs w:val="22"/>
              </w:rPr>
            </w:pPr>
            <w:r w:rsidRPr="007143D2">
              <w:rPr>
                <w:rFonts w:eastAsia="DengXian" w:cs="Arial"/>
                <w:snapToGrid/>
                <w:szCs w:val="22"/>
              </w:rPr>
              <w:t>Composition</w:t>
            </w:r>
          </w:p>
        </w:tc>
        <w:tc>
          <w:tcPr>
            <w:tcW w:w="1767" w:type="pct"/>
            <w:tcBorders>
              <w:top w:val="nil"/>
              <w:left w:val="nil"/>
              <w:bottom w:val="single" w:sz="4" w:space="0" w:color="auto"/>
              <w:right w:val="single" w:sz="4" w:space="0" w:color="auto"/>
            </w:tcBorders>
            <w:shd w:val="clear" w:color="auto" w:fill="auto"/>
            <w:tcMar>
              <w:left w:w="85" w:type="dxa"/>
              <w:right w:w="57" w:type="dxa"/>
            </w:tcMar>
            <w:hideMark/>
          </w:tcPr>
          <w:p w14:paraId="0381C284" w14:textId="1E55BA06" w:rsidR="007143D2" w:rsidRPr="007143D2" w:rsidRDefault="007143D2" w:rsidP="00EC056F">
            <w:pPr>
              <w:tabs>
                <w:tab w:val="clear" w:pos="567"/>
              </w:tabs>
              <w:snapToGrid/>
              <w:spacing w:after="160" w:line="259" w:lineRule="auto"/>
              <w:rPr>
                <w:rFonts w:eastAsia="Times New Roman" w:cs="Arial"/>
                <w:snapToGrid/>
                <w:color w:val="000000"/>
                <w:szCs w:val="22"/>
              </w:rPr>
            </w:pPr>
            <w:r w:rsidRPr="007143D2">
              <w:rPr>
                <w:rFonts w:eastAsia="DengXian" w:cs="Arial"/>
                <w:snapToGrid/>
                <w:szCs w:val="22"/>
              </w:rPr>
              <w:t>Contrairement aux membres du GC</w:t>
            </w:r>
            <w:r w:rsidR="003429AB">
              <w:rPr>
                <w:rFonts w:eastAsia="DengXian" w:cs="Arial"/>
                <w:snapToGrid/>
                <w:szCs w:val="22"/>
              </w:rPr>
              <w:noBreakHyphen/>
            </w:r>
            <w:r w:rsidRPr="007143D2">
              <w:rPr>
                <w:rFonts w:eastAsia="DengXian" w:cs="Arial"/>
                <w:snapToGrid/>
                <w:szCs w:val="22"/>
              </w:rPr>
              <w:t>GEBCO nommés par l’OHI/la COI, les Présidents des sous-comités du GC-GEBCO ne sont pas tenus d’assister aux réunions annuelles, en veillant à ce que les frais de voyage et de séjour soient pris en charge par leur employeur ou à leurs propres dépens.</w:t>
            </w:r>
          </w:p>
        </w:tc>
        <w:tc>
          <w:tcPr>
            <w:tcW w:w="1542" w:type="pct"/>
            <w:tcBorders>
              <w:top w:val="nil"/>
              <w:left w:val="nil"/>
              <w:bottom w:val="single" w:sz="4" w:space="0" w:color="auto"/>
              <w:right w:val="single" w:sz="4" w:space="0" w:color="auto"/>
            </w:tcBorders>
            <w:shd w:val="clear" w:color="auto" w:fill="auto"/>
            <w:tcMar>
              <w:left w:w="85" w:type="dxa"/>
              <w:right w:w="57" w:type="dxa"/>
            </w:tcMar>
            <w:hideMark/>
          </w:tcPr>
          <w:p w14:paraId="24100265" w14:textId="75DCEE0B" w:rsidR="007143D2" w:rsidRPr="007143D2" w:rsidRDefault="007143D2" w:rsidP="00EC056F">
            <w:pPr>
              <w:tabs>
                <w:tab w:val="clear" w:pos="567"/>
              </w:tabs>
              <w:snapToGrid/>
              <w:spacing w:after="160" w:line="259" w:lineRule="auto"/>
              <w:rPr>
                <w:rFonts w:eastAsia="Times New Roman" w:cs="Arial"/>
                <w:snapToGrid/>
                <w:color w:val="000000"/>
                <w:szCs w:val="22"/>
              </w:rPr>
            </w:pPr>
            <w:r w:rsidRPr="007143D2">
              <w:rPr>
                <w:rFonts w:eastAsia="DengXian" w:cs="Arial"/>
                <w:snapToGrid/>
                <w:szCs w:val="22"/>
              </w:rPr>
              <w:t xml:space="preserve">Adapter le mandat pour préciser qu’au moment de leur entrée en fonction, ces </w:t>
            </w:r>
            <w:r w:rsidR="003429AB">
              <w:rPr>
                <w:rFonts w:eastAsia="DengXian" w:cs="Arial"/>
                <w:snapToGrid/>
                <w:szCs w:val="22"/>
              </w:rPr>
              <w:t>P</w:t>
            </w:r>
            <w:r w:rsidRPr="007143D2">
              <w:rPr>
                <w:rFonts w:eastAsia="DengXian" w:cs="Arial"/>
                <w:snapToGrid/>
                <w:szCs w:val="22"/>
              </w:rPr>
              <w:t>résidents sont tenus d’avoir le soutien de leur organisation ou les moyens personnels d’assister aux réunions du GC-GEBCO</w:t>
            </w:r>
          </w:p>
        </w:tc>
      </w:tr>
    </w:tbl>
    <w:p w14:paraId="37360554" w14:textId="77777777" w:rsidR="007143D2" w:rsidRPr="007143D2" w:rsidRDefault="007143D2" w:rsidP="007143D2">
      <w:pPr>
        <w:keepNext/>
        <w:tabs>
          <w:tab w:val="clear" w:pos="567"/>
        </w:tabs>
        <w:snapToGrid/>
        <w:spacing w:before="480" w:after="240"/>
        <w:jc w:val="both"/>
        <w:rPr>
          <w:rFonts w:eastAsia="DengXian" w:cs="Arial"/>
          <w:snapToGrid/>
          <w:szCs w:val="22"/>
        </w:rPr>
      </w:pPr>
      <w:r w:rsidRPr="007143D2">
        <w:rPr>
          <w:rFonts w:eastAsia="DengXian" w:cs="Arial"/>
          <w:i/>
          <w:iCs/>
          <w:snapToGrid/>
          <w:szCs w:val="22"/>
          <w:u w:val="single"/>
        </w:rPr>
        <w:lastRenderedPageBreak/>
        <w:t>Sous-comité technique sur la cartographie des océans (SCTCO)</w:t>
      </w:r>
    </w:p>
    <w:p w14:paraId="2E7729D4" w14:textId="20920216" w:rsidR="007143D2" w:rsidRPr="007143D2" w:rsidRDefault="007143D2" w:rsidP="007143D2">
      <w:pPr>
        <w:pStyle w:val="Marge"/>
        <w:rPr>
          <w:bCs/>
          <w:lang w:val="en-GB"/>
        </w:rPr>
      </w:pPr>
      <w:r>
        <w:t>17.</w:t>
      </w:r>
      <w:r>
        <w:tab/>
      </w:r>
      <w:r w:rsidRPr="007143D2">
        <w:t xml:space="preserve">Le </w:t>
      </w:r>
      <w:r w:rsidRPr="007143D2">
        <w:rPr>
          <w:i/>
          <w:iCs/>
        </w:rPr>
        <w:t>tableau 3</w:t>
      </w:r>
      <w:r w:rsidRPr="007143D2">
        <w:t xml:space="preserve"> récapitule les premières constatations relatives au SCTCO. Le SCTCO est le sous</w:t>
      </w:r>
      <w:r w:rsidR="00995F3E">
        <w:noBreakHyphen/>
      </w:r>
      <w:r w:rsidRPr="007143D2">
        <w:t>comité qui possède le programme de travail le plus vaste et le plus complexe (à l’exception peut</w:t>
      </w:r>
      <w:r w:rsidR="00995F3E">
        <w:noBreakHyphen/>
      </w:r>
      <w:r w:rsidRPr="007143D2">
        <w:t>être du Sous-Comité des noms du relief sous-marin (SCUFN)). À ce titre, il entretient un certain nombre de relations fonctionnelles et de dépendances avec des entités externes. Plusieurs constatations portent sur la manière dont ces relations pourraient être formalisées et sur la possibilité de regrouper des tâches. Cette dernière démarche ne pourra sans doute être menée qu’une fois la stratégie de la GEBCO finalisée.</w:t>
      </w:r>
    </w:p>
    <w:p w14:paraId="2C8C7A57" w14:textId="77777777" w:rsidR="007143D2" w:rsidRPr="007143D2" w:rsidRDefault="007143D2" w:rsidP="00EC056F">
      <w:pPr>
        <w:keepNext/>
        <w:tabs>
          <w:tab w:val="clear" w:pos="567"/>
        </w:tabs>
        <w:snapToGrid/>
        <w:spacing w:after="180"/>
        <w:jc w:val="both"/>
        <w:rPr>
          <w:rFonts w:eastAsia="MS Mincho" w:cs="Arial"/>
          <w:i/>
          <w:iCs/>
          <w:snapToGrid/>
          <w:szCs w:val="22"/>
          <w:lang w:val="en-GB" w:eastAsia="ja-JP"/>
        </w:rPr>
      </w:pPr>
      <w:r w:rsidRPr="007143D2">
        <w:rPr>
          <w:rFonts w:eastAsia="MS Mincho" w:cs="Arial"/>
          <w:i/>
          <w:iCs/>
          <w:snapToGrid/>
          <w:szCs w:val="22"/>
          <w:lang w:eastAsia="ja-JP"/>
        </w:rPr>
        <w:t>Tableau 3 – Premières constatations sur le SCTCO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700"/>
        <w:gridCol w:w="2979"/>
        <w:gridCol w:w="3252"/>
      </w:tblGrid>
      <w:tr w:rsidR="007143D2" w:rsidRPr="007143D2" w14:paraId="1B688982" w14:textId="77777777" w:rsidTr="00EC056F">
        <w:trPr>
          <w:trHeight w:val="290"/>
        </w:trPr>
        <w:tc>
          <w:tcPr>
            <w:tcW w:w="881" w:type="pct"/>
            <w:shd w:val="clear" w:color="auto" w:fill="auto"/>
            <w:noWrap/>
            <w:tcMar>
              <w:left w:w="85" w:type="dxa"/>
              <w:right w:w="28" w:type="dxa"/>
            </w:tcMar>
            <w:hideMark/>
          </w:tcPr>
          <w:p w14:paraId="243E2AA8" w14:textId="77777777" w:rsidR="007143D2" w:rsidRPr="007143D2" w:rsidRDefault="007143D2" w:rsidP="00EC056F">
            <w:pPr>
              <w:keepNext/>
              <w:tabs>
                <w:tab w:val="clear" w:pos="567"/>
              </w:tabs>
              <w:snapToGrid/>
              <w:spacing w:before="40" w:after="120" w:line="259" w:lineRule="auto"/>
              <w:jc w:val="both"/>
              <w:rPr>
                <w:rFonts w:eastAsia="DengXian" w:cs="Arial"/>
                <w:b/>
                <w:bCs/>
                <w:snapToGrid/>
                <w:color w:val="000000"/>
                <w:spacing w:val="-3"/>
                <w:szCs w:val="22"/>
              </w:rPr>
            </w:pPr>
            <w:r w:rsidRPr="007143D2">
              <w:rPr>
                <w:rFonts w:eastAsia="DengXian" w:cs="Arial"/>
                <w:b/>
                <w:bCs/>
                <w:snapToGrid/>
                <w:spacing w:val="-3"/>
                <w:szCs w:val="22"/>
              </w:rPr>
              <w:t>Constatation n°</w:t>
            </w:r>
          </w:p>
        </w:tc>
        <w:tc>
          <w:tcPr>
            <w:tcW w:w="883" w:type="pct"/>
            <w:shd w:val="clear" w:color="auto" w:fill="auto"/>
            <w:noWrap/>
            <w:tcMar>
              <w:left w:w="85" w:type="dxa"/>
              <w:right w:w="28" w:type="dxa"/>
            </w:tcMar>
            <w:hideMark/>
          </w:tcPr>
          <w:p w14:paraId="7FF73AB5" w14:textId="77777777" w:rsidR="007143D2" w:rsidRPr="007143D2" w:rsidRDefault="007143D2" w:rsidP="00EC056F">
            <w:pPr>
              <w:keepNext/>
              <w:tabs>
                <w:tab w:val="clear" w:pos="567"/>
              </w:tabs>
              <w:snapToGrid/>
              <w:spacing w:before="40" w:after="120" w:line="259" w:lineRule="auto"/>
              <w:jc w:val="both"/>
              <w:rPr>
                <w:rFonts w:eastAsia="DengXian" w:cs="Arial"/>
                <w:b/>
                <w:bCs/>
                <w:snapToGrid/>
                <w:color w:val="000000"/>
                <w:szCs w:val="22"/>
              </w:rPr>
            </w:pPr>
            <w:r w:rsidRPr="007143D2">
              <w:rPr>
                <w:rFonts w:eastAsia="DengXian" w:cs="Arial"/>
                <w:b/>
                <w:bCs/>
                <w:snapToGrid/>
                <w:szCs w:val="22"/>
              </w:rPr>
              <w:t>Type</w:t>
            </w:r>
          </w:p>
        </w:tc>
        <w:tc>
          <w:tcPr>
            <w:tcW w:w="1547" w:type="pct"/>
            <w:shd w:val="clear" w:color="auto" w:fill="auto"/>
            <w:noWrap/>
            <w:tcMar>
              <w:left w:w="85" w:type="dxa"/>
              <w:right w:w="28" w:type="dxa"/>
            </w:tcMar>
            <w:hideMark/>
          </w:tcPr>
          <w:p w14:paraId="4A941D20" w14:textId="77777777" w:rsidR="007143D2" w:rsidRPr="007143D2" w:rsidRDefault="007143D2" w:rsidP="00EC056F">
            <w:pPr>
              <w:keepNext/>
              <w:tabs>
                <w:tab w:val="clear" w:pos="567"/>
              </w:tabs>
              <w:snapToGrid/>
              <w:spacing w:before="40" w:after="120" w:line="259" w:lineRule="auto"/>
              <w:jc w:val="both"/>
              <w:rPr>
                <w:rFonts w:eastAsia="DengXian" w:cs="Arial"/>
                <w:b/>
                <w:bCs/>
                <w:snapToGrid/>
                <w:color w:val="000000"/>
                <w:szCs w:val="22"/>
              </w:rPr>
            </w:pPr>
            <w:r w:rsidRPr="007143D2">
              <w:rPr>
                <w:rFonts w:eastAsia="DengXian" w:cs="Arial"/>
                <w:b/>
                <w:bCs/>
                <w:snapToGrid/>
                <w:szCs w:val="22"/>
              </w:rPr>
              <w:t>Précisions</w:t>
            </w:r>
          </w:p>
        </w:tc>
        <w:tc>
          <w:tcPr>
            <w:tcW w:w="1690" w:type="pct"/>
            <w:shd w:val="clear" w:color="auto" w:fill="auto"/>
            <w:noWrap/>
            <w:tcMar>
              <w:left w:w="85" w:type="dxa"/>
              <w:right w:w="28" w:type="dxa"/>
            </w:tcMar>
            <w:hideMark/>
          </w:tcPr>
          <w:p w14:paraId="2F2E39B4" w14:textId="77777777" w:rsidR="007143D2" w:rsidRPr="007143D2" w:rsidRDefault="007143D2" w:rsidP="00EC056F">
            <w:pPr>
              <w:keepNext/>
              <w:tabs>
                <w:tab w:val="clear" w:pos="567"/>
              </w:tabs>
              <w:snapToGrid/>
              <w:spacing w:before="40" w:after="120" w:line="259" w:lineRule="auto"/>
              <w:jc w:val="both"/>
              <w:rPr>
                <w:rFonts w:eastAsia="DengXian" w:cs="Arial"/>
                <w:b/>
                <w:bCs/>
                <w:snapToGrid/>
                <w:color w:val="000000"/>
                <w:szCs w:val="22"/>
              </w:rPr>
            </w:pPr>
            <w:r w:rsidRPr="007143D2">
              <w:rPr>
                <w:rFonts w:eastAsia="DengXian" w:cs="Arial"/>
                <w:b/>
                <w:bCs/>
                <w:snapToGrid/>
                <w:szCs w:val="22"/>
              </w:rPr>
              <w:t>Recommandation</w:t>
            </w:r>
          </w:p>
        </w:tc>
      </w:tr>
      <w:tr w:rsidR="007143D2" w:rsidRPr="007143D2" w14:paraId="6311D909" w14:textId="77777777" w:rsidTr="00EC056F">
        <w:trPr>
          <w:trHeight w:val="870"/>
        </w:trPr>
        <w:tc>
          <w:tcPr>
            <w:tcW w:w="881" w:type="pct"/>
            <w:shd w:val="clear" w:color="auto" w:fill="auto"/>
            <w:noWrap/>
            <w:tcMar>
              <w:left w:w="85" w:type="dxa"/>
              <w:right w:w="28" w:type="dxa"/>
            </w:tcMar>
            <w:hideMark/>
          </w:tcPr>
          <w:p w14:paraId="146FEEE9" w14:textId="77777777" w:rsidR="007143D2" w:rsidRPr="007143D2" w:rsidRDefault="007143D2" w:rsidP="007143D2">
            <w:pPr>
              <w:tabs>
                <w:tab w:val="clear" w:pos="567"/>
              </w:tabs>
              <w:snapToGrid/>
              <w:spacing w:after="160" w:line="259" w:lineRule="auto"/>
              <w:jc w:val="both"/>
              <w:rPr>
                <w:rFonts w:eastAsia="DengXian" w:cs="Arial"/>
                <w:snapToGrid/>
                <w:color w:val="000000"/>
                <w:szCs w:val="22"/>
              </w:rPr>
            </w:pPr>
            <w:r w:rsidRPr="007143D2">
              <w:rPr>
                <w:rFonts w:eastAsia="DengXian" w:cs="Arial"/>
                <w:snapToGrid/>
                <w:szCs w:val="22"/>
              </w:rPr>
              <w:t>SCTCO 1</w:t>
            </w:r>
          </w:p>
        </w:tc>
        <w:tc>
          <w:tcPr>
            <w:tcW w:w="883" w:type="pct"/>
            <w:shd w:val="clear" w:color="auto" w:fill="auto"/>
            <w:tcMar>
              <w:left w:w="85" w:type="dxa"/>
              <w:right w:w="28" w:type="dxa"/>
            </w:tcMar>
            <w:hideMark/>
          </w:tcPr>
          <w:p w14:paraId="252D1A57" w14:textId="77777777" w:rsidR="007143D2" w:rsidRPr="007143D2" w:rsidRDefault="007143D2" w:rsidP="007143D2">
            <w:pPr>
              <w:tabs>
                <w:tab w:val="clear" w:pos="567"/>
              </w:tabs>
              <w:snapToGrid/>
              <w:spacing w:after="160" w:line="259" w:lineRule="auto"/>
              <w:jc w:val="both"/>
              <w:rPr>
                <w:rFonts w:eastAsia="DengXian" w:cs="Arial"/>
                <w:snapToGrid/>
                <w:color w:val="000000"/>
                <w:szCs w:val="22"/>
              </w:rPr>
            </w:pPr>
            <w:r w:rsidRPr="007143D2">
              <w:rPr>
                <w:rFonts w:eastAsia="DengXian" w:cs="Arial"/>
                <w:snapToGrid/>
                <w:szCs w:val="22"/>
              </w:rPr>
              <w:t>Instrument</w:t>
            </w:r>
          </w:p>
        </w:tc>
        <w:tc>
          <w:tcPr>
            <w:tcW w:w="1547" w:type="pct"/>
            <w:shd w:val="clear" w:color="auto" w:fill="auto"/>
            <w:tcMar>
              <w:left w:w="85" w:type="dxa"/>
              <w:right w:w="28" w:type="dxa"/>
            </w:tcMar>
            <w:hideMark/>
          </w:tcPr>
          <w:p w14:paraId="4E585033" w14:textId="77777777" w:rsidR="007143D2" w:rsidRPr="007143D2" w:rsidRDefault="007143D2" w:rsidP="00EC056F">
            <w:pPr>
              <w:tabs>
                <w:tab w:val="clear" w:pos="567"/>
              </w:tabs>
              <w:snapToGrid/>
              <w:spacing w:after="120" w:line="259" w:lineRule="auto"/>
              <w:rPr>
                <w:rFonts w:eastAsia="DengXian" w:cs="Arial"/>
                <w:snapToGrid/>
                <w:color w:val="000000"/>
                <w:szCs w:val="22"/>
              </w:rPr>
            </w:pPr>
            <w:r w:rsidRPr="007143D2">
              <w:rPr>
                <w:rFonts w:eastAsia="DengXian" w:cs="Arial"/>
                <w:snapToGrid/>
                <w:szCs w:val="22"/>
              </w:rPr>
              <w:t>Le mandat est généralement adapté à l’objectif visé, mais devrait être révisé à la lumière de la stratégie afin de garantir la cohérence des objectifs.</w:t>
            </w:r>
          </w:p>
        </w:tc>
        <w:tc>
          <w:tcPr>
            <w:tcW w:w="1690" w:type="pct"/>
            <w:shd w:val="clear" w:color="auto" w:fill="auto"/>
            <w:tcMar>
              <w:left w:w="85" w:type="dxa"/>
              <w:right w:w="28" w:type="dxa"/>
            </w:tcMar>
            <w:hideMark/>
          </w:tcPr>
          <w:p w14:paraId="2D099124" w14:textId="171CB90E" w:rsidR="007143D2" w:rsidRPr="007143D2" w:rsidRDefault="007143D2" w:rsidP="007143D2">
            <w:pPr>
              <w:tabs>
                <w:tab w:val="clear" w:pos="567"/>
              </w:tabs>
              <w:snapToGrid/>
              <w:spacing w:after="160" w:line="259" w:lineRule="auto"/>
              <w:rPr>
                <w:rFonts w:eastAsia="DengXian" w:cs="Arial"/>
                <w:snapToGrid/>
                <w:color w:val="000000"/>
                <w:szCs w:val="22"/>
              </w:rPr>
            </w:pPr>
            <w:r w:rsidRPr="007143D2">
              <w:rPr>
                <w:rFonts w:eastAsia="DengXian" w:cs="Arial"/>
                <w:snapToGrid/>
                <w:szCs w:val="22"/>
              </w:rPr>
              <w:t>Réviser le mandat pour qu’il corresponde à la stratégie</w:t>
            </w:r>
          </w:p>
        </w:tc>
      </w:tr>
      <w:tr w:rsidR="007143D2" w:rsidRPr="007143D2" w14:paraId="7E441536" w14:textId="77777777" w:rsidTr="00EC056F">
        <w:trPr>
          <w:trHeight w:val="870"/>
        </w:trPr>
        <w:tc>
          <w:tcPr>
            <w:tcW w:w="881" w:type="pct"/>
            <w:shd w:val="clear" w:color="auto" w:fill="auto"/>
            <w:noWrap/>
            <w:tcMar>
              <w:left w:w="85" w:type="dxa"/>
              <w:right w:w="28" w:type="dxa"/>
            </w:tcMar>
          </w:tcPr>
          <w:p w14:paraId="3EC008A2" w14:textId="77777777" w:rsidR="007143D2" w:rsidRPr="007143D2" w:rsidRDefault="007143D2" w:rsidP="007143D2">
            <w:pPr>
              <w:tabs>
                <w:tab w:val="clear" w:pos="567"/>
              </w:tabs>
              <w:snapToGrid/>
              <w:spacing w:after="160" w:line="259" w:lineRule="auto"/>
              <w:jc w:val="both"/>
              <w:rPr>
                <w:rFonts w:eastAsia="DengXian" w:cs="Arial"/>
                <w:snapToGrid/>
                <w:color w:val="000000"/>
                <w:szCs w:val="22"/>
              </w:rPr>
            </w:pPr>
            <w:r w:rsidRPr="007143D2">
              <w:rPr>
                <w:rFonts w:eastAsia="DengXian" w:cs="Arial"/>
                <w:snapToGrid/>
                <w:szCs w:val="22"/>
              </w:rPr>
              <w:t>SCTCO 2</w:t>
            </w:r>
          </w:p>
        </w:tc>
        <w:tc>
          <w:tcPr>
            <w:tcW w:w="883" w:type="pct"/>
            <w:shd w:val="clear" w:color="auto" w:fill="auto"/>
            <w:tcMar>
              <w:left w:w="85" w:type="dxa"/>
              <w:right w:w="28" w:type="dxa"/>
            </w:tcMar>
          </w:tcPr>
          <w:p w14:paraId="68180AF0" w14:textId="77777777" w:rsidR="007143D2" w:rsidRPr="007143D2" w:rsidRDefault="007143D2" w:rsidP="007143D2">
            <w:pPr>
              <w:tabs>
                <w:tab w:val="clear" w:pos="567"/>
              </w:tabs>
              <w:snapToGrid/>
              <w:spacing w:after="160" w:line="259" w:lineRule="auto"/>
              <w:jc w:val="both"/>
              <w:rPr>
                <w:rFonts w:eastAsia="DengXian" w:cs="Arial"/>
                <w:snapToGrid/>
                <w:color w:val="000000"/>
                <w:spacing w:val="-3"/>
                <w:szCs w:val="22"/>
              </w:rPr>
            </w:pPr>
            <w:r w:rsidRPr="007143D2">
              <w:rPr>
                <w:rFonts w:eastAsia="DengXian" w:cs="Arial"/>
                <w:snapToGrid/>
                <w:spacing w:val="-3"/>
                <w:szCs w:val="22"/>
              </w:rPr>
              <w:t>Fonctionnement</w:t>
            </w:r>
          </w:p>
        </w:tc>
        <w:tc>
          <w:tcPr>
            <w:tcW w:w="1547" w:type="pct"/>
            <w:shd w:val="clear" w:color="auto" w:fill="auto"/>
            <w:tcMar>
              <w:left w:w="85" w:type="dxa"/>
              <w:right w:w="28" w:type="dxa"/>
            </w:tcMar>
          </w:tcPr>
          <w:p w14:paraId="7D687C17" w14:textId="77777777" w:rsidR="007143D2" w:rsidRPr="007143D2" w:rsidRDefault="007143D2" w:rsidP="007143D2">
            <w:pPr>
              <w:tabs>
                <w:tab w:val="clear" w:pos="567"/>
              </w:tabs>
              <w:snapToGrid/>
              <w:spacing w:after="160" w:line="259" w:lineRule="auto"/>
              <w:rPr>
                <w:rFonts w:eastAsia="DengXian" w:cs="Arial"/>
                <w:snapToGrid/>
                <w:color w:val="000000"/>
                <w:szCs w:val="22"/>
              </w:rPr>
            </w:pPr>
            <w:r w:rsidRPr="007143D2">
              <w:rPr>
                <w:rFonts w:eastAsia="DengXian" w:cs="Arial"/>
                <w:snapToGrid/>
                <w:szCs w:val="22"/>
              </w:rPr>
              <w:t>Le plan de travail est très complexe et pourrait être rationalisé.</w:t>
            </w:r>
          </w:p>
        </w:tc>
        <w:tc>
          <w:tcPr>
            <w:tcW w:w="1690" w:type="pct"/>
            <w:shd w:val="clear" w:color="auto" w:fill="auto"/>
            <w:tcMar>
              <w:left w:w="85" w:type="dxa"/>
              <w:right w:w="28" w:type="dxa"/>
            </w:tcMar>
          </w:tcPr>
          <w:p w14:paraId="2C6D7591" w14:textId="43F4090E" w:rsidR="007143D2" w:rsidRPr="007143D2" w:rsidRDefault="007143D2" w:rsidP="00EC056F">
            <w:pPr>
              <w:tabs>
                <w:tab w:val="clear" w:pos="567"/>
              </w:tabs>
              <w:snapToGrid/>
              <w:spacing w:after="120" w:line="259" w:lineRule="auto"/>
              <w:rPr>
                <w:rFonts w:eastAsia="DengXian" w:cs="Arial"/>
                <w:snapToGrid/>
                <w:color w:val="000000"/>
                <w:szCs w:val="22"/>
              </w:rPr>
            </w:pPr>
            <w:r w:rsidRPr="007143D2">
              <w:rPr>
                <w:rFonts w:eastAsia="DengXian" w:cs="Arial"/>
                <w:snapToGrid/>
                <w:szCs w:val="22"/>
              </w:rPr>
              <w:t>Rationaliser le plan de travail pour réduire le nombre de tâches et apporter plus de clarté</w:t>
            </w:r>
          </w:p>
        </w:tc>
      </w:tr>
      <w:tr w:rsidR="007143D2" w:rsidRPr="007143D2" w14:paraId="4AE864FD" w14:textId="77777777" w:rsidTr="00EC056F">
        <w:trPr>
          <w:trHeight w:val="870"/>
        </w:trPr>
        <w:tc>
          <w:tcPr>
            <w:tcW w:w="881" w:type="pct"/>
            <w:shd w:val="clear" w:color="auto" w:fill="auto"/>
            <w:noWrap/>
            <w:tcMar>
              <w:left w:w="85" w:type="dxa"/>
              <w:right w:w="28" w:type="dxa"/>
            </w:tcMar>
          </w:tcPr>
          <w:p w14:paraId="14EEBB25" w14:textId="77777777" w:rsidR="007143D2" w:rsidRPr="007143D2" w:rsidRDefault="007143D2" w:rsidP="007143D2">
            <w:pPr>
              <w:tabs>
                <w:tab w:val="clear" w:pos="567"/>
              </w:tabs>
              <w:snapToGrid/>
              <w:spacing w:after="160" w:line="259" w:lineRule="auto"/>
              <w:jc w:val="both"/>
              <w:rPr>
                <w:rFonts w:eastAsia="DengXian" w:cs="Arial"/>
                <w:snapToGrid/>
                <w:color w:val="000000"/>
                <w:szCs w:val="22"/>
              </w:rPr>
            </w:pPr>
            <w:r w:rsidRPr="007143D2">
              <w:rPr>
                <w:rFonts w:eastAsia="DengXian" w:cs="Arial"/>
                <w:snapToGrid/>
                <w:szCs w:val="22"/>
              </w:rPr>
              <w:t>SCTCO 3</w:t>
            </w:r>
          </w:p>
        </w:tc>
        <w:tc>
          <w:tcPr>
            <w:tcW w:w="883" w:type="pct"/>
            <w:shd w:val="clear" w:color="auto" w:fill="auto"/>
            <w:tcMar>
              <w:left w:w="85" w:type="dxa"/>
              <w:right w:w="28" w:type="dxa"/>
            </w:tcMar>
          </w:tcPr>
          <w:p w14:paraId="258E3E1B" w14:textId="77777777" w:rsidR="007143D2" w:rsidRPr="007143D2" w:rsidRDefault="007143D2" w:rsidP="007143D2">
            <w:pPr>
              <w:tabs>
                <w:tab w:val="clear" w:pos="567"/>
              </w:tabs>
              <w:snapToGrid/>
              <w:spacing w:after="160" w:line="259" w:lineRule="auto"/>
              <w:jc w:val="both"/>
              <w:rPr>
                <w:rFonts w:eastAsia="DengXian" w:cs="Arial"/>
                <w:snapToGrid/>
                <w:color w:val="000000"/>
                <w:szCs w:val="22"/>
              </w:rPr>
            </w:pPr>
            <w:r w:rsidRPr="007143D2">
              <w:rPr>
                <w:rFonts w:eastAsia="DengXian" w:cs="Arial"/>
                <w:snapToGrid/>
                <w:szCs w:val="22"/>
              </w:rPr>
              <w:t>Instrument</w:t>
            </w:r>
          </w:p>
        </w:tc>
        <w:tc>
          <w:tcPr>
            <w:tcW w:w="1547" w:type="pct"/>
            <w:shd w:val="clear" w:color="auto" w:fill="auto"/>
            <w:tcMar>
              <w:left w:w="85" w:type="dxa"/>
              <w:right w:w="28" w:type="dxa"/>
            </w:tcMar>
          </w:tcPr>
          <w:p w14:paraId="5CF1461B" w14:textId="3208F191" w:rsidR="007143D2" w:rsidRPr="007143D2" w:rsidRDefault="007143D2" w:rsidP="00EC056F">
            <w:pPr>
              <w:tabs>
                <w:tab w:val="clear" w:pos="567"/>
              </w:tabs>
              <w:snapToGrid/>
              <w:spacing w:after="120" w:line="259" w:lineRule="auto"/>
              <w:rPr>
                <w:rFonts w:eastAsia="DengXian" w:cs="Arial"/>
                <w:snapToGrid/>
                <w:color w:val="000000"/>
                <w:szCs w:val="22"/>
              </w:rPr>
            </w:pPr>
            <w:r w:rsidRPr="007143D2">
              <w:rPr>
                <w:rFonts w:eastAsia="DengXian" w:cs="Arial"/>
                <w:snapToGrid/>
                <w:szCs w:val="22"/>
              </w:rPr>
              <w:t>Aucun instrument ne définit le rôle de l’Agence d’observation océanique et atmosphérique des États</w:t>
            </w:r>
            <w:r w:rsidR="00EC056F">
              <w:rPr>
                <w:rFonts w:eastAsia="DengXian" w:cs="Arial"/>
                <w:snapToGrid/>
                <w:szCs w:val="22"/>
              </w:rPr>
              <w:noBreakHyphen/>
            </w:r>
            <w:r w:rsidRPr="007143D2">
              <w:rPr>
                <w:rFonts w:eastAsia="DengXian" w:cs="Arial"/>
                <w:snapToGrid/>
                <w:szCs w:val="22"/>
              </w:rPr>
              <w:t>Unis (NOAA) dans l’hébergement des archives de la GEBCO par le Centre de données OHI pour la bathymétrie numérique (DCDB).</w:t>
            </w:r>
          </w:p>
        </w:tc>
        <w:tc>
          <w:tcPr>
            <w:tcW w:w="1690" w:type="pct"/>
            <w:shd w:val="clear" w:color="auto" w:fill="auto"/>
            <w:tcMar>
              <w:left w:w="85" w:type="dxa"/>
              <w:right w:w="28" w:type="dxa"/>
            </w:tcMar>
          </w:tcPr>
          <w:p w14:paraId="2F1B71C5" w14:textId="040C360E" w:rsidR="007143D2" w:rsidRPr="007143D2" w:rsidRDefault="007143D2" w:rsidP="007143D2">
            <w:pPr>
              <w:tabs>
                <w:tab w:val="clear" w:pos="567"/>
              </w:tabs>
              <w:snapToGrid/>
              <w:spacing w:after="160" w:line="259" w:lineRule="auto"/>
              <w:rPr>
                <w:rFonts w:eastAsia="DengXian" w:cs="Arial"/>
                <w:snapToGrid/>
                <w:color w:val="000000"/>
                <w:szCs w:val="22"/>
              </w:rPr>
            </w:pPr>
            <w:r w:rsidRPr="007143D2">
              <w:rPr>
                <w:rFonts w:eastAsia="DengXian" w:cs="Arial"/>
                <w:snapToGrid/>
                <w:szCs w:val="22"/>
              </w:rPr>
              <w:t>Incorporer ce point dans le mémorandum d’accord OHI</w:t>
            </w:r>
            <w:r w:rsidR="00EC056F">
              <w:rPr>
                <w:rFonts w:eastAsia="DengXian" w:cs="Arial"/>
                <w:snapToGrid/>
                <w:szCs w:val="22"/>
              </w:rPr>
              <w:noBreakHyphen/>
            </w:r>
            <w:r w:rsidRPr="007143D2">
              <w:rPr>
                <w:rFonts w:eastAsia="DengXian" w:cs="Arial"/>
                <w:snapToGrid/>
                <w:szCs w:val="22"/>
              </w:rPr>
              <w:t>DCDB</w:t>
            </w:r>
          </w:p>
        </w:tc>
      </w:tr>
      <w:tr w:rsidR="007143D2" w:rsidRPr="007143D2" w14:paraId="7D48E88C" w14:textId="77777777" w:rsidTr="00EC056F">
        <w:trPr>
          <w:trHeight w:val="870"/>
        </w:trPr>
        <w:tc>
          <w:tcPr>
            <w:tcW w:w="881" w:type="pct"/>
            <w:shd w:val="clear" w:color="auto" w:fill="auto"/>
            <w:noWrap/>
            <w:tcMar>
              <w:left w:w="85" w:type="dxa"/>
              <w:right w:w="28" w:type="dxa"/>
            </w:tcMar>
          </w:tcPr>
          <w:p w14:paraId="50771041" w14:textId="77777777" w:rsidR="007143D2" w:rsidRPr="007143D2" w:rsidRDefault="007143D2" w:rsidP="007143D2">
            <w:pPr>
              <w:tabs>
                <w:tab w:val="clear" w:pos="567"/>
              </w:tabs>
              <w:snapToGrid/>
              <w:spacing w:after="160" w:line="259" w:lineRule="auto"/>
              <w:jc w:val="both"/>
              <w:rPr>
                <w:rFonts w:eastAsia="DengXian" w:cs="Arial"/>
                <w:snapToGrid/>
                <w:color w:val="000000"/>
                <w:szCs w:val="22"/>
              </w:rPr>
            </w:pPr>
            <w:r w:rsidRPr="007143D2">
              <w:rPr>
                <w:rFonts w:eastAsia="DengXian" w:cs="Arial"/>
                <w:snapToGrid/>
                <w:szCs w:val="22"/>
              </w:rPr>
              <w:t>SCTCO 4</w:t>
            </w:r>
          </w:p>
        </w:tc>
        <w:tc>
          <w:tcPr>
            <w:tcW w:w="883" w:type="pct"/>
            <w:shd w:val="clear" w:color="auto" w:fill="auto"/>
            <w:tcMar>
              <w:left w:w="85" w:type="dxa"/>
              <w:right w:w="28" w:type="dxa"/>
            </w:tcMar>
          </w:tcPr>
          <w:p w14:paraId="02B77F5C" w14:textId="77777777" w:rsidR="007143D2" w:rsidRPr="007143D2" w:rsidRDefault="007143D2" w:rsidP="007143D2">
            <w:pPr>
              <w:tabs>
                <w:tab w:val="clear" w:pos="567"/>
              </w:tabs>
              <w:snapToGrid/>
              <w:spacing w:after="160" w:line="259" w:lineRule="auto"/>
              <w:jc w:val="both"/>
              <w:rPr>
                <w:rFonts w:eastAsia="DengXian" w:cs="Arial"/>
                <w:snapToGrid/>
                <w:color w:val="000000"/>
                <w:szCs w:val="22"/>
              </w:rPr>
            </w:pPr>
            <w:r w:rsidRPr="007143D2">
              <w:rPr>
                <w:rFonts w:eastAsia="DengXian" w:cs="Arial"/>
                <w:snapToGrid/>
                <w:szCs w:val="22"/>
              </w:rPr>
              <w:t>Instrument</w:t>
            </w:r>
          </w:p>
        </w:tc>
        <w:tc>
          <w:tcPr>
            <w:tcW w:w="1547" w:type="pct"/>
            <w:shd w:val="clear" w:color="auto" w:fill="auto"/>
            <w:tcMar>
              <w:left w:w="85" w:type="dxa"/>
              <w:right w:w="28" w:type="dxa"/>
            </w:tcMar>
          </w:tcPr>
          <w:p w14:paraId="549D958E" w14:textId="77777777" w:rsidR="007143D2" w:rsidRPr="007143D2" w:rsidRDefault="007143D2" w:rsidP="00EC056F">
            <w:pPr>
              <w:tabs>
                <w:tab w:val="clear" w:pos="567"/>
              </w:tabs>
              <w:snapToGrid/>
              <w:spacing w:after="120" w:line="259" w:lineRule="auto"/>
              <w:rPr>
                <w:rFonts w:eastAsia="DengXian" w:cs="Arial"/>
                <w:snapToGrid/>
                <w:color w:val="000000"/>
                <w:spacing w:val="-3"/>
                <w:szCs w:val="22"/>
              </w:rPr>
            </w:pPr>
            <w:r w:rsidRPr="007143D2">
              <w:rPr>
                <w:rFonts w:eastAsia="DengXian" w:cs="Arial"/>
                <w:snapToGrid/>
                <w:spacing w:val="-3"/>
                <w:szCs w:val="22"/>
              </w:rPr>
              <w:t>Aucun instrument ne définit le rôle du Centre océanographique national du Royaume-Uni (NOC)/Centre britannique de données océanographiques (BODC) dans la gestion du site Web de la GEBCO.</w:t>
            </w:r>
          </w:p>
        </w:tc>
        <w:tc>
          <w:tcPr>
            <w:tcW w:w="1690" w:type="pct"/>
            <w:shd w:val="clear" w:color="auto" w:fill="auto"/>
            <w:tcMar>
              <w:left w:w="85" w:type="dxa"/>
              <w:right w:w="28" w:type="dxa"/>
            </w:tcMar>
          </w:tcPr>
          <w:p w14:paraId="3C7F5E14" w14:textId="63827400" w:rsidR="007143D2" w:rsidRPr="007143D2" w:rsidRDefault="007143D2" w:rsidP="007143D2">
            <w:pPr>
              <w:tabs>
                <w:tab w:val="clear" w:pos="567"/>
              </w:tabs>
              <w:snapToGrid/>
              <w:spacing w:after="160" w:line="259" w:lineRule="auto"/>
              <w:rPr>
                <w:rFonts w:eastAsia="DengXian" w:cs="Arial"/>
                <w:snapToGrid/>
                <w:color w:val="000000"/>
                <w:szCs w:val="22"/>
              </w:rPr>
            </w:pPr>
            <w:r w:rsidRPr="007143D2">
              <w:rPr>
                <w:rFonts w:eastAsia="DengXian" w:cs="Arial"/>
                <w:snapToGrid/>
                <w:szCs w:val="22"/>
              </w:rPr>
              <w:t>Charger l’OHI/la COI d’envisager l’établissement d’un mémorandum d’accord</w:t>
            </w:r>
          </w:p>
        </w:tc>
      </w:tr>
      <w:tr w:rsidR="007143D2" w:rsidRPr="007143D2" w14:paraId="05F80442" w14:textId="77777777" w:rsidTr="00EC056F">
        <w:trPr>
          <w:trHeight w:val="870"/>
        </w:trPr>
        <w:tc>
          <w:tcPr>
            <w:tcW w:w="881" w:type="pct"/>
            <w:shd w:val="clear" w:color="auto" w:fill="auto"/>
            <w:noWrap/>
            <w:tcMar>
              <w:left w:w="85" w:type="dxa"/>
              <w:right w:w="28" w:type="dxa"/>
            </w:tcMar>
          </w:tcPr>
          <w:p w14:paraId="710E4768" w14:textId="77777777" w:rsidR="007143D2" w:rsidRPr="007143D2" w:rsidRDefault="007143D2" w:rsidP="007143D2">
            <w:pPr>
              <w:tabs>
                <w:tab w:val="clear" w:pos="567"/>
              </w:tabs>
              <w:snapToGrid/>
              <w:spacing w:after="160" w:line="259" w:lineRule="auto"/>
              <w:jc w:val="both"/>
              <w:rPr>
                <w:rFonts w:eastAsia="DengXian" w:cs="Arial"/>
                <w:snapToGrid/>
                <w:color w:val="000000"/>
                <w:szCs w:val="22"/>
              </w:rPr>
            </w:pPr>
            <w:r w:rsidRPr="007143D2">
              <w:rPr>
                <w:rFonts w:eastAsia="DengXian" w:cs="Arial"/>
                <w:snapToGrid/>
                <w:szCs w:val="22"/>
              </w:rPr>
              <w:t>SCTCO 5</w:t>
            </w:r>
          </w:p>
        </w:tc>
        <w:tc>
          <w:tcPr>
            <w:tcW w:w="883" w:type="pct"/>
            <w:shd w:val="clear" w:color="auto" w:fill="auto"/>
            <w:tcMar>
              <w:left w:w="85" w:type="dxa"/>
              <w:right w:w="28" w:type="dxa"/>
            </w:tcMar>
          </w:tcPr>
          <w:p w14:paraId="4BD6470F" w14:textId="77777777" w:rsidR="007143D2" w:rsidRPr="007143D2" w:rsidRDefault="007143D2" w:rsidP="007143D2">
            <w:pPr>
              <w:tabs>
                <w:tab w:val="clear" w:pos="567"/>
              </w:tabs>
              <w:snapToGrid/>
              <w:spacing w:after="160" w:line="259" w:lineRule="auto"/>
              <w:jc w:val="both"/>
              <w:rPr>
                <w:rFonts w:eastAsia="DengXian" w:cs="Arial"/>
                <w:snapToGrid/>
                <w:color w:val="000000"/>
                <w:szCs w:val="22"/>
              </w:rPr>
            </w:pPr>
            <w:r w:rsidRPr="007143D2">
              <w:rPr>
                <w:rFonts w:eastAsia="DengXian" w:cs="Arial"/>
                <w:snapToGrid/>
                <w:szCs w:val="22"/>
              </w:rPr>
              <w:t>Composition</w:t>
            </w:r>
          </w:p>
        </w:tc>
        <w:tc>
          <w:tcPr>
            <w:tcW w:w="1547" w:type="pct"/>
            <w:shd w:val="clear" w:color="auto" w:fill="auto"/>
            <w:tcMar>
              <w:left w:w="85" w:type="dxa"/>
              <w:right w:w="28" w:type="dxa"/>
            </w:tcMar>
          </w:tcPr>
          <w:p w14:paraId="7670E20A" w14:textId="77777777" w:rsidR="007143D2" w:rsidRPr="007143D2" w:rsidRDefault="007143D2" w:rsidP="007143D2">
            <w:pPr>
              <w:tabs>
                <w:tab w:val="clear" w:pos="567"/>
              </w:tabs>
              <w:snapToGrid/>
              <w:spacing w:after="160" w:line="259" w:lineRule="auto"/>
              <w:rPr>
                <w:rFonts w:eastAsia="DengXian" w:cs="Arial"/>
                <w:snapToGrid/>
                <w:color w:val="000000"/>
                <w:szCs w:val="22"/>
              </w:rPr>
            </w:pPr>
            <w:r w:rsidRPr="007143D2">
              <w:rPr>
                <w:rFonts w:eastAsia="DengXian" w:cs="Arial"/>
                <w:snapToGrid/>
                <w:szCs w:val="22"/>
              </w:rPr>
              <w:t>Il est nécessaire de disposer d’un secrétaire dédié, capable de gérer des réunions plus fréquentes.</w:t>
            </w:r>
          </w:p>
        </w:tc>
        <w:tc>
          <w:tcPr>
            <w:tcW w:w="1690" w:type="pct"/>
            <w:shd w:val="clear" w:color="auto" w:fill="auto"/>
            <w:tcMar>
              <w:left w:w="85" w:type="dxa"/>
              <w:right w:w="28" w:type="dxa"/>
            </w:tcMar>
          </w:tcPr>
          <w:p w14:paraId="639C806F" w14:textId="1EA917B1" w:rsidR="007143D2" w:rsidRPr="007143D2" w:rsidRDefault="007143D2" w:rsidP="00EC056F">
            <w:pPr>
              <w:tabs>
                <w:tab w:val="clear" w:pos="567"/>
              </w:tabs>
              <w:snapToGrid/>
              <w:spacing w:after="120" w:line="259" w:lineRule="auto"/>
              <w:rPr>
                <w:rFonts w:eastAsia="DengXian" w:cs="Arial"/>
                <w:snapToGrid/>
                <w:color w:val="000000"/>
                <w:szCs w:val="22"/>
              </w:rPr>
            </w:pPr>
            <w:r w:rsidRPr="007143D2">
              <w:rPr>
                <w:rFonts w:eastAsia="DengXian" w:cs="Arial"/>
                <w:snapToGrid/>
                <w:szCs w:val="22"/>
              </w:rPr>
              <w:t>Désigner un secrétaire parmi les membres, définir ses conditions d’exercice et mettre à jour le mandat en conséquence</w:t>
            </w:r>
          </w:p>
        </w:tc>
      </w:tr>
      <w:tr w:rsidR="007143D2" w:rsidRPr="007143D2" w14:paraId="1ACF79C9" w14:textId="77777777" w:rsidTr="00EC056F">
        <w:trPr>
          <w:trHeight w:val="870"/>
        </w:trPr>
        <w:tc>
          <w:tcPr>
            <w:tcW w:w="881" w:type="pct"/>
            <w:shd w:val="clear" w:color="auto" w:fill="auto"/>
            <w:noWrap/>
            <w:tcMar>
              <w:left w:w="85" w:type="dxa"/>
              <w:right w:w="28" w:type="dxa"/>
            </w:tcMar>
          </w:tcPr>
          <w:p w14:paraId="16C81AF7" w14:textId="77777777" w:rsidR="007143D2" w:rsidRPr="007143D2" w:rsidRDefault="007143D2" w:rsidP="00EC056F">
            <w:pPr>
              <w:tabs>
                <w:tab w:val="clear" w:pos="567"/>
              </w:tabs>
              <w:snapToGrid/>
              <w:spacing w:line="259" w:lineRule="auto"/>
              <w:jc w:val="both"/>
              <w:rPr>
                <w:rFonts w:eastAsia="DengXian" w:cs="Arial"/>
                <w:snapToGrid/>
                <w:color w:val="000000"/>
                <w:szCs w:val="22"/>
              </w:rPr>
            </w:pPr>
            <w:r w:rsidRPr="007143D2">
              <w:rPr>
                <w:rFonts w:eastAsia="DengXian" w:cs="Arial"/>
                <w:snapToGrid/>
                <w:szCs w:val="22"/>
              </w:rPr>
              <w:t>SCTCO 6</w:t>
            </w:r>
          </w:p>
        </w:tc>
        <w:tc>
          <w:tcPr>
            <w:tcW w:w="883" w:type="pct"/>
            <w:shd w:val="clear" w:color="auto" w:fill="auto"/>
            <w:tcMar>
              <w:left w:w="85" w:type="dxa"/>
              <w:right w:w="28" w:type="dxa"/>
            </w:tcMar>
          </w:tcPr>
          <w:p w14:paraId="15BF380B" w14:textId="77777777" w:rsidR="007143D2" w:rsidRPr="007143D2" w:rsidRDefault="007143D2" w:rsidP="00EC056F">
            <w:pPr>
              <w:tabs>
                <w:tab w:val="clear" w:pos="567"/>
              </w:tabs>
              <w:snapToGrid/>
              <w:spacing w:line="259" w:lineRule="auto"/>
              <w:jc w:val="both"/>
              <w:rPr>
                <w:rFonts w:eastAsia="DengXian" w:cs="Arial"/>
                <w:snapToGrid/>
                <w:color w:val="000000"/>
                <w:szCs w:val="22"/>
              </w:rPr>
            </w:pPr>
            <w:r w:rsidRPr="007143D2">
              <w:rPr>
                <w:rFonts w:eastAsia="DengXian" w:cs="Arial"/>
                <w:snapToGrid/>
                <w:szCs w:val="22"/>
              </w:rPr>
              <w:t>Instrument</w:t>
            </w:r>
          </w:p>
        </w:tc>
        <w:tc>
          <w:tcPr>
            <w:tcW w:w="1547" w:type="pct"/>
            <w:shd w:val="clear" w:color="auto" w:fill="auto"/>
            <w:tcMar>
              <w:left w:w="85" w:type="dxa"/>
              <w:right w:w="28" w:type="dxa"/>
            </w:tcMar>
          </w:tcPr>
          <w:p w14:paraId="63D5CE51" w14:textId="77777777" w:rsidR="007143D2" w:rsidRPr="007143D2" w:rsidRDefault="007143D2" w:rsidP="00EC056F">
            <w:pPr>
              <w:tabs>
                <w:tab w:val="clear" w:pos="567"/>
              </w:tabs>
              <w:snapToGrid/>
              <w:spacing w:after="120" w:line="259" w:lineRule="auto"/>
              <w:rPr>
                <w:rFonts w:eastAsia="DengXian" w:cs="Arial"/>
                <w:snapToGrid/>
                <w:color w:val="000000"/>
                <w:szCs w:val="22"/>
              </w:rPr>
            </w:pPr>
            <w:r w:rsidRPr="007143D2">
              <w:rPr>
                <w:rFonts w:eastAsia="DengXian" w:cs="Arial"/>
                <w:snapToGrid/>
                <w:szCs w:val="22"/>
              </w:rPr>
              <w:t>Aucun instrument/accord officiel ne décrit l’interface avec le projet « Seabed 2030 ».</w:t>
            </w:r>
          </w:p>
        </w:tc>
        <w:tc>
          <w:tcPr>
            <w:tcW w:w="1690" w:type="pct"/>
            <w:shd w:val="clear" w:color="auto" w:fill="auto"/>
            <w:tcMar>
              <w:left w:w="85" w:type="dxa"/>
              <w:right w:w="28" w:type="dxa"/>
            </w:tcMar>
          </w:tcPr>
          <w:p w14:paraId="1C58EED7" w14:textId="77777777" w:rsidR="007143D2" w:rsidRPr="007143D2" w:rsidRDefault="007143D2" w:rsidP="00EC056F">
            <w:pPr>
              <w:tabs>
                <w:tab w:val="clear" w:pos="567"/>
              </w:tabs>
              <w:snapToGrid/>
              <w:spacing w:line="259" w:lineRule="auto"/>
              <w:rPr>
                <w:rFonts w:eastAsia="DengXian" w:cs="Arial"/>
                <w:snapToGrid/>
                <w:color w:val="000000"/>
                <w:szCs w:val="22"/>
              </w:rPr>
            </w:pPr>
            <w:r w:rsidRPr="007143D2">
              <w:rPr>
                <w:rFonts w:eastAsia="DengXian" w:cs="Arial"/>
                <w:snapToGrid/>
                <w:szCs w:val="22"/>
              </w:rPr>
              <w:t>Étudier cette question après la 39</w:t>
            </w:r>
            <w:r w:rsidRPr="007143D2">
              <w:rPr>
                <w:rFonts w:eastAsia="DengXian" w:cs="Arial"/>
                <w:snapToGrid/>
                <w:szCs w:val="22"/>
                <w:vertAlign w:val="superscript"/>
              </w:rPr>
              <w:t>e</w:t>
            </w:r>
            <w:r w:rsidRPr="007143D2">
              <w:rPr>
                <w:rFonts w:eastAsia="DengXian" w:cs="Arial"/>
                <w:snapToGrid/>
                <w:szCs w:val="22"/>
              </w:rPr>
              <w:t> session du GC-GEBCO ?</w:t>
            </w:r>
          </w:p>
        </w:tc>
      </w:tr>
      <w:tr w:rsidR="007143D2" w:rsidRPr="007143D2" w14:paraId="7C4F22DF" w14:textId="77777777" w:rsidTr="00EC056F">
        <w:trPr>
          <w:trHeight w:val="870"/>
        </w:trPr>
        <w:tc>
          <w:tcPr>
            <w:tcW w:w="881" w:type="pct"/>
            <w:shd w:val="clear" w:color="auto" w:fill="auto"/>
            <w:noWrap/>
            <w:tcMar>
              <w:left w:w="85" w:type="dxa"/>
              <w:right w:w="28" w:type="dxa"/>
            </w:tcMar>
          </w:tcPr>
          <w:p w14:paraId="247FD908" w14:textId="77777777" w:rsidR="007143D2" w:rsidRPr="007143D2" w:rsidRDefault="007143D2" w:rsidP="007143D2">
            <w:pPr>
              <w:tabs>
                <w:tab w:val="clear" w:pos="567"/>
              </w:tabs>
              <w:snapToGrid/>
              <w:spacing w:after="160" w:line="259" w:lineRule="auto"/>
              <w:jc w:val="both"/>
              <w:rPr>
                <w:rFonts w:eastAsia="DengXian" w:cs="Arial"/>
                <w:snapToGrid/>
                <w:color w:val="000000"/>
                <w:szCs w:val="22"/>
              </w:rPr>
            </w:pPr>
            <w:r w:rsidRPr="007143D2">
              <w:rPr>
                <w:rFonts w:eastAsia="DengXian" w:cs="Arial"/>
                <w:snapToGrid/>
                <w:szCs w:val="22"/>
              </w:rPr>
              <w:lastRenderedPageBreak/>
              <w:t>SCTCO 7</w:t>
            </w:r>
          </w:p>
        </w:tc>
        <w:tc>
          <w:tcPr>
            <w:tcW w:w="883" w:type="pct"/>
            <w:shd w:val="clear" w:color="auto" w:fill="auto"/>
            <w:tcMar>
              <w:left w:w="85" w:type="dxa"/>
              <w:right w:w="28" w:type="dxa"/>
            </w:tcMar>
          </w:tcPr>
          <w:p w14:paraId="57B5C68C" w14:textId="77777777" w:rsidR="007143D2" w:rsidRPr="007143D2" w:rsidRDefault="007143D2" w:rsidP="007143D2">
            <w:pPr>
              <w:tabs>
                <w:tab w:val="clear" w:pos="567"/>
              </w:tabs>
              <w:snapToGrid/>
              <w:spacing w:after="160" w:line="259" w:lineRule="auto"/>
              <w:jc w:val="both"/>
              <w:rPr>
                <w:rFonts w:eastAsia="DengXian" w:cs="Arial"/>
                <w:snapToGrid/>
                <w:color w:val="000000"/>
                <w:szCs w:val="22"/>
              </w:rPr>
            </w:pPr>
            <w:r w:rsidRPr="007143D2">
              <w:rPr>
                <w:rFonts w:eastAsia="DengXian" w:cs="Arial"/>
                <w:snapToGrid/>
                <w:szCs w:val="22"/>
              </w:rPr>
              <w:t>Produit</w:t>
            </w:r>
          </w:p>
        </w:tc>
        <w:tc>
          <w:tcPr>
            <w:tcW w:w="1547" w:type="pct"/>
            <w:shd w:val="clear" w:color="auto" w:fill="auto"/>
            <w:tcMar>
              <w:left w:w="85" w:type="dxa"/>
              <w:right w:w="28" w:type="dxa"/>
            </w:tcMar>
          </w:tcPr>
          <w:p w14:paraId="738EBD00" w14:textId="77777777" w:rsidR="007143D2" w:rsidRPr="007143D2" w:rsidRDefault="007143D2" w:rsidP="007143D2">
            <w:pPr>
              <w:tabs>
                <w:tab w:val="clear" w:pos="567"/>
              </w:tabs>
              <w:snapToGrid/>
              <w:spacing w:after="160" w:line="259" w:lineRule="auto"/>
              <w:rPr>
                <w:rFonts w:eastAsia="DengXian" w:cs="Arial"/>
                <w:snapToGrid/>
                <w:color w:val="000000"/>
                <w:szCs w:val="22"/>
              </w:rPr>
            </w:pPr>
            <w:r w:rsidRPr="007143D2">
              <w:rPr>
                <w:rFonts w:eastAsia="DengXian" w:cs="Arial"/>
                <w:snapToGrid/>
                <w:szCs w:val="22"/>
              </w:rPr>
              <w:t>Aucune déclaration officielle n’établit la propriété des produits de la GEBCO.</w:t>
            </w:r>
          </w:p>
        </w:tc>
        <w:tc>
          <w:tcPr>
            <w:tcW w:w="1690" w:type="pct"/>
            <w:shd w:val="clear" w:color="auto" w:fill="auto"/>
            <w:tcMar>
              <w:left w:w="85" w:type="dxa"/>
              <w:right w:w="28" w:type="dxa"/>
            </w:tcMar>
          </w:tcPr>
          <w:p w14:paraId="45F5A887" w14:textId="57FEA629" w:rsidR="007143D2" w:rsidRPr="007143D2" w:rsidRDefault="007143D2" w:rsidP="00EC056F">
            <w:pPr>
              <w:tabs>
                <w:tab w:val="clear" w:pos="567"/>
              </w:tabs>
              <w:snapToGrid/>
              <w:spacing w:after="120" w:line="259" w:lineRule="auto"/>
              <w:rPr>
                <w:rFonts w:eastAsia="DengXian" w:cs="Arial"/>
                <w:snapToGrid/>
                <w:color w:val="000000"/>
                <w:szCs w:val="22"/>
              </w:rPr>
            </w:pPr>
            <w:r w:rsidRPr="007143D2">
              <w:rPr>
                <w:rFonts w:eastAsia="DengXian" w:cs="Arial"/>
                <w:snapToGrid/>
                <w:szCs w:val="22"/>
              </w:rPr>
              <w:t>Donner à tous les produits de la GEBCO une référence de publication officielle de l’OHI/la COI, par exemple Atlas numérique</w:t>
            </w:r>
          </w:p>
        </w:tc>
      </w:tr>
    </w:tbl>
    <w:p w14:paraId="02F9D16E" w14:textId="77777777" w:rsidR="007143D2" w:rsidRPr="007143D2" w:rsidRDefault="007143D2" w:rsidP="001F19BC">
      <w:pPr>
        <w:keepNext/>
        <w:tabs>
          <w:tab w:val="clear" w:pos="567"/>
        </w:tabs>
        <w:snapToGrid/>
        <w:spacing w:before="360" w:after="240"/>
        <w:jc w:val="both"/>
        <w:rPr>
          <w:rFonts w:eastAsia="Times New Roman" w:cs="Arial"/>
          <w:i/>
          <w:iCs/>
          <w:snapToGrid/>
          <w:szCs w:val="22"/>
          <w:u w:val="single"/>
        </w:rPr>
      </w:pPr>
      <w:r w:rsidRPr="007143D2">
        <w:rPr>
          <w:rFonts w:eastAsia="DengXian" w:cs="Arial"/>
          <w:i/>
          <w:iCs/>
          <w:snapToGrid/>
          <w:szCs w:val="22"/>
          <w:u w:val="single"/>
        </w:rPr>
        <w:t>Sous-comité sur la cartographie régionale sous-marine (SCRUM)</w:t>
      </w:r>
    </w:p>
    <w:p w14:paraId="44E42BB9" w14:textId="04111277" w:rsidR="007143D2" w:rsidRPr="007143D2" w:rsidRDefault="007143D2" w:rsidP="007143D2">
      <w:pPr>
        <w:pStyle w:val="Marge"/>
        <w:rPr>
          <w:b/>
          <w:lang w:val="en-GB"/>
        </w:rPr>
      </w:pPr>
      <w:r>
        <w:t>18.</w:t>
      </w:r>
      <w:r>
        <w:tab/>
      </w:r>
      <w:r w:rsidRPr="007143D2">
        <w:t xml:space="preserve">Le </w:t>
      </w:r>
      <w:r w:rsidRPr="007143D2">
        <w:rPr>
          <w:i/>
          <w:iCs/>
        </w:rPr>
        <w:t>tableau 4</w:t>
      </w:r>
      <w:r w:rsidRPr="007143D2">
        <w:t xml:space="preserve"> récapitule les premières constatations relatives au SCRUM. La principale difficulté mise en évidence concernant les travaux du SCRUM est largement identique à celle concernant d’autres activités/organes tels que le SCTCO et le projet « Seabed 2030 ». Les discussions avec l’équipe de la Présidente du SCRUM ont clairement fait ressortir qu’il faudrait sans doute clarifier l’énoncé du plan de travail plutôt que d’ajuster toute activité de manière significative.</w:t>
      </w:r>
    </w:p>
    <w:p w14:paraId="006E2BFC" w14:textId="77777777" w:rsidR="007143D2" w:rsidRPr="007143D2" w:rsidRDefault="007143D2" w:rsidP="00EC056F">
      <w:pPr>
        <w:keepNext/>
        <w:tabs>
          <w:tab w:val="clear" w:pos="567"/>
        </w:tabs>
        <w:snapToGrid/>
        <w:spacing w:after="180"/>
        <w:jc w:val="both"/>
        <w:rPr>
          <w:rFonts w:eastAsia="MS Mincho" w:cs="Arial"/>
          <w:i/>
          <w:iCs/>
          <w:snapToGrid/>
          <w:szCs w:val="22"/>
          <w:lang w:val="en-GB" w:eastAsia="ja-JP"/>
        </w:rPr>
      </w:pPr>
      <w:r w:rsidRPr="00C57F9D">
        <w:rPr>
          <w:rFonts w:eastAsia="MS Mincho" w:cs="Arial"/>
          <w:i/>
          <w:iCs/>
          <w:snapToGrid/>
          <w:szCs w:val="22"/>
          <w:lang w:eastAsia="ja-JP"/>
        </w:rPr>
        <w:t>Tableau 4 – Premières constatations sur le SCRUM</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419"/>
        <w:gridCol w:w="3259"/>
        <w:gridCol w:w="3252"/>
      </w:tblGrid>
      <w:tr w:rsidR="00EC056F" w:rsidRPr="007143D2" w14:paraId="6A074341" w14:textId="77777777" w:rsidTr="001F19BC">
        <w:trPr>
          <w:trHeight w:val="290"/>
        </w:trPr>
        <w:tc>
          <w:tcPr>
            <w:tcW w:w="881" w:type="pct"/>
            <w:shd w:val="clear" w:color="auto" w:fill="auto"/>
            <w:noWrap/>
            <w:tcMar>
              <w:left w:w="85" w:type="dxa"/>
              <w:right w:w="57" w:type="dxa"/>
            </w:tcMar>
            <w:hideMark/>
          </w:tcPr>
          <w:p w14:paraId="1D9A0983" w14:textId="77777777" w:rsidR="007143D2" w:rsidRPr="007143D2" w:rsidRDefault="007143D2" w:rsidP="00EC056F">
            <w:pPr>
              <w:keepNext/>
              <w:tabs>
                <w:tab w:val="clear" w:pos="567"/>
              </w:tabs>
              <w:snapToGrid/>
              <w:spacing w:before="40" w:after="120" w:line="259" w:lineRule="auto"/>
              <w:jc w:val="both"/>
              <w:rPr>
                <w:rFonts w:eastAsia="DengXian" w:cs="Arial"/>
                <w:b/>
                <w:bCs/>
                <w:snapToGrid/>
                <w:color w:val="000000"/>
                <w:spacing w:val="-4"/>
                <w:szCs w:val="22"/>
              </w:rPr>
            </w:pPr>
            <w:r w:rsidRPr="007143D2">
              <w:rPr>
                <w:rFonts w:eastAsia="DengXian" w:cs="Arial"/>
                <w:b/>
                <w:bCs/>
                <w:snapToGrid/>
                <w:spacing w:val="-4"/>
                <w:szCs w:val="22"/>
              </w:rPr>
              <w:t>Constatation n°</w:t>
            </w:r>
          </w:p>
        </w:tc>
        <w:tc>
          <w:tcPr>
            <w:tcW w:w="737" w:type="pct"/>
            <w:shd w:val="clear" w:color="auto" w:fill="auto"/>
            <w:noWrap/>
            <w:tcMar>
              <w:left w:w="85" w:type="dxa"/>
              <w:right w:w="57" w:type="dxa"/>
            </w:tcMar>
            <w:hideMark/>
          </w:tcPr>
          <w:p w14:paraId="396BAB73" w14:textId="77777777" w:rsidR="007143D2" w:rsidRPr="007143D2" w:rsidRDefault="007143D2" w:rsidP="00EC056F">
            <w:pPr>
              <w:keepNext/>
              <w:tabs>
                <w:tab w:val="clear" w:pos="567"/>
              </w:tabs>
              <w:snapToGrid/>
              <w:spacing w:before="40" w:after="120" w:line="259" w:lineRule="auto"/>
              <w:jc w:val="both"/>
              <w:rPr>
                <w:rFonts w:eastAsia="DengXian" w:cs="Arial"/>
                <w:b/>
                <w:bCs/>
                <w:snapToGrid/>
                <w:color w:val="000000"/>
                <w:szCs w:val="22"/>
              </w:rPr>
            </w:pPr>
            <w:r w:rsidRPr="007143D2">
              <w:rPr>
                <w:rFonts w:eastAsia="DengXian" w:cs="Arial"/>
                <w:b/>
                <w:bCs/>
                <w:snapToGrid/>
                <w:szCs w:val="22"/>
              </w:rPr>
              <w:t>Type</w:t>
            </w:r>
          </w:p>
        </w:tc>
        <w:tc>
          <w:tcPr>
            <w:tcW w:w="1693" w:type="pct"/>
            <w:shd w:val="clear" w:color="auto" w:fill="auto"/>
            <w:noWrap/>
            <w:tcMar>
              <w:left w:w="85" w:type="dxa"/>
              <w:right w:w="57" w:type="dxa"/>
            </w:tcMar>
            <w:hideMark/>
          </w:tcPr>
          <w:p w14:paraId="729D3D58" w14:textId="77777777" w:rsidR="007143D2" w:rsidRPr="007143D2" w:rsidRDefault="007143D2" w:rsidP="00EC056F">
            <w:pPr>
              <w:keepNext/>
              <w:tabs>
                <w:tab w:val="clear" w:pos="567"/>
              </w:tabs>
              <w:snapToGrid/>
              <w:spacing w:before="40" w:after="120" w:line="259" w:lineRule="auto"/>
              <w:jc w:val="both"/>
              <w:rPr>
                <w:rFonts w:eastAsia="DengXian" w:cs="Arial"/>
                <w:b/>
                <w:bCs/>
                <w:snapToGrid/>
                <w:color w:val="000000"/>
                <w:szCs w:val="22"/>
              </w:rPr>
            </w:pPr>
            <w:r w:rsidRPr="007143D2">
              <w:rPr>
                <w:rFonts w:eastAsia="DengXian" w:cs="Arial"/>
                <w:b/>
                <w:bCs/>
                <w:snapToGrid/>
                <w:szCs w:val="22"/>
              </w:rPr>
              <w:t>Précisions</w:t>
            </w:r>
          </w:p>
        </w:tc>
        <w:tc>
          <w:tcPr>
            <w:tcW w:w="1689" w:type="pct"/>
            <w:shd w:val="clear" w:color="auto" w:fill="auto"/>
            <w:noWrap/>
            <w:tcMar>
              <w:left w:w="85" w:type="dxa"/>
              <w:right w:w="57" w:type="dxa"/>
            </w:tcMar>
            <w:hideMark/>
          </w:tcPr>
          <w:p w14:paraId="154743F8" w14:textId="77777777" w:rsidR="007143D2" w:rsidRPr="007143D2" w:rsidRDefault="007143D2" w:rsidP="00EC056F">
            <w:pPr>
              <w:keepNext/>
              <w:tabs>
                <w:tab w:val="clear" w:pos="567"/>
              </w:tabs>
              <w:snapToGrid/>
              <w:spacing w:before="40" w:after="120" w:line="259" w:lineRule="auto"/>
              <w:jc w:val="both"/>
              <w:rPr>
                <w:rFonts w:eastAsia="DengXian" w:cs="Arial"/>
                <w:b/>
                <w:bCs/>
                <w:snapToGrid/>
                <w:color w:val="000000"/>
                <w:szCs w:val="22"/>
              </w:rPr>
            </w:pPr>
            <w:r w:rsidRPr="007143D2">
              <w:rPr>
                <w:rFonts w:eastAsia="DengXian" w:cs="Arial"/>
                <w:b/>
                <w:bCs/>
                <w:snapToGrid/>
                <w:szCs w:val="22"/>
              </w:rPr>
              <w:t>Recommandation</w:t>
            </w:r>
          </w:p>
        </w:tc>
      </w:tr>
      <w:tr w:rsidR="00EC056F" w:rsidRPr="007143D2" w14:paraId="0C2A11D6" w14:textId="77777777" w:rsidTr="001F19BC">
        <w:trPr>
          <w:trHeight w:val="870"/>
        </w:trPr>
        <w:tc>
          <w:tcPr>
            <w:tcW w:w="881" w:type="pct"/>
            <w:shd w:val="clear" w:color="auto" w:fill="auto"/>
            <w:noWrap/>
            <w:tcMar>
              <w:left w:w="85" w:type="dxa"/>
              <w:right w:w="57" w:type="dxa"/>
            </w:tcMar>
            <w:hideMark/>
          </w:tcPr>
          <w:p w14:paraId="33ABFD5D" w14:textId="77777777" w:rsidR="007143D2" w:rsidRPr="007143D2" w:rsidRDefault="007143D2" w:rsidP="00EC056F">
            <w:pPr>
              <w:tabs>
                <w:tab w:val="clear" w:pos="567"/>
              </w:tabs>
              <w:snapToGrid/>
              <w:spacing w:after="120" w:line="259" w:lineRule="auto"/>
              <w:jc w:val="both"/>
              <w:rPr>
                <w:rFonts w:eastAsia="DengXian" w:cs="Arial"/>
                <w:snapToGrid/>
                <w:color w:val="000000"/>
                <w:szCs w:val="22"/>
              </w:rPr>
            </w:pPr>
            <w:r w:rsidRPr="007143D2">
              <w:rPr>
                <w:rFonts w:eastAsia="DengXian" w:cs="Arial"/>
                <w:snapToGrid/>
                <w:szCs w:val="22"/>
              </w:rPr>
              <w:t>SCRUM 1</w:t>
            </w:r>
          </w:p>
        </w:tc>
        <w:tc>
          <w:tcPr>
            <w:tcW w:w="737" w:type="pct"/>
            <w:shd w:val="clear" w:color="auto" w:fill="auto"/>
            <w:tcMar>
              <w:left w:w="85" w:type="dxa"/>
              <w:right w:w="57" w:type="dxa"/>
            </w:tcMar>
            <w:hideMark/>
          </w:tcPr>
          <w:p w14:paraId="6823B013" w14:textId="77777777" w:rsidR="007143D2" w:rsidRPr="007143D2" w:rsidRDefault="007143D2" w:rsidP="00EC056F">
            <w:pPr>
              <w:tabs>
                <w:tab w:val="clear" w:pos="567"/>
              </w:tabs>
              <w:snapToGrid/>
              <w:spacing w:after="120" w:line="259" w:lineRule="auto"/>
              <w:jc w:val="both"/>
              <w:rPr>
                <w:rFonts w:eastAsia="DengXian" w:cs="Arial"/>
                <w:snapToGrid/>
                <w:color w:val="000000"/>
                <w:szCs w:val="22"/>
              </w:rPr>
            </w:pPr>
            <w:r w:rsidRPr="007143D2">
              <w:rPr>
                <w:rFonts w:eastAsia="DengXian" w:cs="Arial"/>
                <w:snapToGrid/>
                <w:szCs w:val="22"/>
              </w:rPr>
              <w:t>Instrument</w:t>
            </w:r>
          </w:p>
        </w:tc>
        <w:tc>
          <w:tcPr>
            <w:tcW w:w="1693" w:type="pct"/>
            <w:shd w:val="clear" w:color="auto" w:fill="auto"/>
            <w:tcMar>
              <w:left w:w="85" w:type="dxa"/>
              <w:right w:w="57" w:type="dxa"/>
            </w:tcMar>
            <w:hideMark/>
          </w:tcPr>
          <w:p w14:paraId="3C26BA32" w14:textId="77777777" w:rsidR="007143D2" w:rsidRPr="007143D2" w:rsidRDefault="007143D2" w:rsidP="00EC056F">
            <w:pPr>
              <w:tabs>
                <w:tab w:val="clear" w:pos="567"/>
              </w:tabs>
              <w:snapToGrid/>
              <w:spacing w:after="120" w:line="259" w:lineRule="auto"/>
              <w:rPr>
                <w:rFonts w:eastAsia="DengXian" w:cs="Arial"/>
                <w:snapToGrid/>
                <w:color w:val="000000"/>
                <w:szCs w:val="22"/>
              </w:rPr>
            </w:pPr>
            <w:r w:rsidRPr="007143D2">
              <w:rPr>
                <w:rFonts w:eastAsia="DengXian" w:cs="Arial"/>
                <w:snapToGrid/>
                <w:szCs w:val="22"/>
              </w:rPr>
              <w:t>Le mandat est généralement adapté à l’objectif visé, mais devrait être révisé à la lumière de la stratégie afin de garantir la cohérence des objectifs.</w:t>
            </w:r>
          </w:p>
        </w:tc>
        <w:tc>
          <w:tcPr>
            <w:tcW w:w="1689" w:type="pct"/>
            <w:shd w:val="clear" w:color="auto" w:fill="auto"/>
            <w:tcMar>
              <w:left w:w="85" w:type="dxa"/>
              <w:right w:w="57" w:type="dxa"/>
            </w:tcMar>
            <w:hideMark/>
          </w:tcPr>
          <w:p w14:paraId="34C1DC38" w14:textId="73E5426B" w:rsidR="007143D2" w:rsidRPr="007143D2" w:rsidRDefault="007143D2" w:rsidP="00EC056F">
            <w:pPr>
              <w:tabs>
                <w:tab w:val="clear" w:pos="567"/>
              </w:tabs>
              <w:snapToGrid/>
              <w:spacing w:after="120" w:line="259" w:lineRule="auto"/>
              <w:rPr>
                <w:rFonts w:eastAsia="DengXian" w:cs="Arial"/>
                <w:snapToGrid/>
                <w:color w:val="000000"/>
                <w:szCs w:val="22"/>
              </w:rPr>
            </w:pPr>
            <w:r w:rsidRPr="007143D2">
              <w:rPr>
                <w:rFonts w:eastAsia="DengXian" w:cs="Arial"/>
                <w:snapToGrid/>
                <w:szCs w:val="22"/>
              </w:rPr>
              <w:t>Réviser le mandat pour qu’il corresponde à la stratégie</w:t>
            </w:r>
          </w:p>
        </w:tc>
      </w:tr>
      <w:tr w:rsidR="00EC056F" w:rsidRPr="007143D2" w14:paraId="487E95EC" w14:textId="77777777" w:rsidTr="001F19BC">
        <w:trPr>
          <w:trHeight w:val="870"/>
        </w:trPr>
        <w:tc>
          <w:tcPr>
            <w:tcW w:w="881" w:type="pct"/>
            <w:shd w:val="clear" w:color="auto" w:fill="auto"/>
            <w:noWrap/>
            <w:tcMar>
              <w:left w:w="85" w:type="dxa"/>
              <w:right w:w="57" w:type="dxa"/>
            </w:tcMar>
          </w:tcPr>
          <w:p w14:paraId="44FAE8C7" w14:textId="77777777" w:rsidR="007143D2" w:rsidRPr="007143D2" w:rsidRDefault="007143D2" w:rsidP="00EC056F">
            <w:pPr>
              <w:tabs>
                <w:tab w:val="clear" w:pos="567"/>
              </w:tabs>
              <w:snapToGrid/>
              <w:spacing w:after="120" w:line="259" w:lineRule="auto"/>
              <w:jc w:val="both"/>
              <w:rPr>
                <w:rFonts w:eastAsia="DengXian" w:cs="Arial"/>
                <w:snapToGrid/>
                <w:color w:val="000000"/>
                <w:szCs w:val="22"/>
              </w:rPr>
            </w:pPr>
            <w:r w:rsidRPr="007143D2">
              <w:rPr>
                <w:rFonts w:eastAsia="DengXian" w:cs="Arial"/>
                <w:snapToGrid/>
                <w:szCs w:val="22"/>
              </w:rPr>
              <w:t>SCRUM 2</w:t>
            </w:r>
          </w:p>
        </w:tc>
        <w:tc>
          <w:tcPr>
            <w:tcW w:w="737" w:type="pct"/>
            <w:shd w:val="clear" w:color="auto" w:fill="auto"/>
            <w:tcMar>
              <w:left w:w="85" w:type="dxa"/>
              <w:right w:w="57" w:type="dxa"/>
            </w:tcMar>
          </w:tcPr>
          <w:p w14:paraId="68C0F04F" w14:textId="1FE8A041" w:rsidR="007143D2" w:rsidRPr="007143D2" w:rsidRDefault="007143D2" w:rsidP="00EC056F">
            <w:pPr>
              <w:tabs>
                <w:tab w:val="clear" w:pos="567"/>
              </w:tabs>
              <w:snapToGrid/>
              <w:spacing w:after="120" w:line="259" w:lineRule="auto"/>
              <w:rPr>
                <w:rFonts w:eastAsia="DengXian" w:cs="Arial"/>
                <w:snapToGrid/>
                <w:color w:val="000000"/>
                <w:szCs w:val="22"/>
              </w:rPr>
            </w:pPr>
            <w:r w:rsidRPr="007143D2">
              <w:rPr>
                <w:rFonts w:eastAsia="DengXian" w:cs="Arial"/>
                <w:snapToGrid/>
                <w:szCs w:val="22"/>
              </w:rPr>
              <w:t xml:space="preserve">Plan </w:t>
            </w:r>
            <w:r w:rsidR="00C57F9D">
              <w:rPr>
                <w:rFonts w:eastAsia="DengXian" w:cs="Arial"/>
                <w:snapToGrid/>
                <w:szCs w:val="22"/>
              </w:rPr>
              <w:br/>
            </w:r>
            <w:r w:rsidRPr="007143D2">
              <w:rPr>
                <w:rFonts w:eastAsia="DengXian" w:cs="Arial"/>
                <w:snapToGrid/>
                <w:szCs w:val="22"/>
              </w:rPr>
              <w:t>de travail</w:t>
            </w:r>
          </w:p>
        </w:tc>
        <w:tc>
          <w:tcPr>
            <w:tcW w:w="1693" w:type="pct"/>
            <w:shd w:val="clear" w:color="auto" w:fill="auto"/>
            <w:tcMar>
              <w:left w:w="85" w:type="dxa"/>
              <w:right w:w="57" w:type="dxa"/>
            </w:tcMar>
          </w:tcPr>
          <w:p w14:paraId="4CCFF49E" w14:textId="77777777" w:rsidR="007143D2" w:rsidRPr="007143D2" w:rsidRDefault="007143D2" w:rsidP="00EC056F">
            <w:pPr>
              <w:tabs>
                <w:tab w:val="clear" w:pos="567"/>
              </w:tabs>
              <w:snapToGrid/>
              <w:spacing w:after="120" w:line="259" w:lineRule="auto"/>
              <w:rPr>
                <w:rFonts w:eastAsia="DengXian" w:cs="Arial"/>
                <w:snapToGrid/>
                <w:color w:val="000000"/>
                <w:szCs w:val="22"/>
              </w:rPr>
            </w:pPr>
            <w:r w:rsidRPr="007143D2">
              <w:rPr>
                <w:rFonts w:eastAsia="DengXian" w:cs="Arial"/>
                <w:snapToGrid/>
                <w:szCs w:val="22"/>
              </w:rPr>
              <w:t>Le champ d’activité chevauche potentiellement celui du SCTCO/du projet « Seabed 2030 ». Peut-être simplement clarifier le plan de travail.</w:t>
            </w:r>
          </w:p>
        </w:tc>
        <w:tc>
          <w:tcPr>
            <w:tcW w:w="1689" w:type="pct"/>
            <w:shd w:val="clear" w:color="auto" w:fill="auto"/>
            <w:tcMar>
              <w:left w:w="85" w:type="dxa"/>
              <w:right w:w="57" w:type="dxa"/>
            </w:tcMar>
          </w:tcPr>
          <w:p w14:paraId="60E83D25" w14:textId="3D31F297" w:rsidR="007143D2" w:rsidRPr="007143D2" w:rsidRDefault="007143D2" w:rsidP="00EC056F">
            <w:pPr>
              <w:tabs>
                <w:tab w:val="clear" w:pos="567"/>
              </w:tabs>
              <w:snapToGrid/>
              <w:spacing w:after="120" w:line="259" w:lineRule="auto"/>
              <w:rPr>
                <w:rFonts w:eastAsia="DengXian" w:cs="Arial"/>
                <w:snapToGrid/>
                <w:color w:val="000000"/>
                <w:szCs w:val="22"/>
              </w:rPr>
            </w:pPr>
            <w:r w:rsidRPr="007143D2">
              <w:rPr>
                <w:rFonts w:eastAsia="DengXian" w:cs="Arial"/>
                <w:snapToGrid/>
                <w:szCs w:val="22"/>
              </w:rPr>
              <w:t>Travailler avec d’autres sous</w:t>
            </w:r>
            <w:r w:rsidR="001F19BC">
              <w:rPr>
                <w:rFonts w:eastAsia="DengXian" w:cs="Arial"/>
                <w:snapToGrid/>
                <w:szCs w:val="22"/>
              </w:rPr>
              <w:noBreakHyphen/>
            </w:r>
            <w:r w:rsidRPr="007143D2">
              <w:rPr>
                <w:rFonts w:eastAsia="DengXian" w:cs="Arial"/>
                <w:snapToGrid/>
                <w:szCs w:val="22"/>
              </w:rPr>
              <w:t>comités et l’équipe du projet « Seabed 2030 » pour revoir le plan de travail et ajouter des précisions si nécessaire afin de clarifier les domaines d’intérêt commun</w:t>
            </w:r>
          </w:p>
        </w:tc>
      </w:tr>
      <w:tr w:rsidR="00EC056F" w:rsidRPr="007143D2" w14:paraId="40B1361E" w14:textId="77777777" w:rsidTr="001F19BC">
        <w:trPr>
          <w:trHeight w:val="870"/>
        </w:trPr>
        <w:tc>
          <w:tcPr>
            <w:tcW w:w="881" w:type="pct"/>
            <w:shd w:val="clear" w:color="auto" w:fill="auto"/>
            <w:noWrap/>
            <w:tcMar>
              <w:left w:w="85" w:type="dxa"/>
              <w:right w:w="57" w:type="dxa"/>
            </w:tcMar>
          </w:tcPr>
          <w:p w14:paraId="3B4A64A3" w14:textId="77777777" w:rsidR="007143D2" w:rsidRPr="007143D2" w:rsidRDefault="007143D2" w:rsidP="00EC056F">
            <w:pPr>
              <w:tabs>
                <w:tab w:val="clear" w:pos="567"/>
              </w:tabs>
              <w:snapToGrid/>
              <w:spacing w:after="120" w:line="259" w:lineRule="auto"/>
              <w:jc w:val="both"/>
              <w:rPr>
                <w:rFonts w:eastAsia="DengXian" w:cs="Arial"/>
                <w:snapToGrid/>
                <w:color w:val="000000"/>
                <w:szCs w:val="22"/>
              </w:rPr>
            </w:pPr>
            <w:r w:rsidRPr="007143D2">
              <w:rPr>
                <w:rFonts w:eastAsia="DengXian" w:cs="Arial"/>
                <w:snapToGrid/>
                <w:szCs w:val="22"/>
              </w:rPr>
              <w:t>SCRUM 3</w:t>
            </w:r>
          </w:p>
        </w:tc>
        <w:tc>
          <w:tcPr>
            <w:tcW w:w="737" w:type="pct"/>
            <w:shd w:val="clear" w:color="auto" w:fill="auto"/>
            <w:tcMar>
              <w:left w:w="85" w:type="dxa"/>
              <w:right w:w="57" w:type="dxa"/>
            </w:tcMar>
          </w:tcPr>
          <w:p w14:paraId="30039C41" w14:textId="3A58B13C" w:rsidR="007143D2" w:rsidRPr="007143D2" w:rsidRDefault="007143D2" w:rsidP="00EC056F">
            <w:pPr>
              <w:tabs>
                <w:tab w:val="clear" w:pos="567"/>
              </w:tabs>
              <w:snapToGrid/>
              <w:spacing w:after="120" w:line="259" w:lineRule="auto"/>
              <w:rPr>
                <w:rFonts w:eastAsia="DengXian" w:cs="Arial"/>
                <w:snapToGrid/>
                <w:color w:val="000000"/>
                <w:szCs w:val="22"/>
              </w:rPr>
            </w:pPr>
            <w:r w:rsidRPr="007143D2">
              <w:rPr>
                <w:rFonts w:eastAsia="DengXian" w:cs="Arial"/>
                <w:snapToGrid/>
                <w:szCs w:val="22"/>
              </w:rPr>
              <w:t xml:space="preserve">Plan </w:t>
            </w:r>
            <w:r w:rsidR="00C57F9D">
              <w:rPr>
                <w:rFonts w:eastAsia="DengXian" w:cs="Arial"/>
                <w:snapToGrid/>
                <w:szCs w:val="22"/>
              </w:rPr>
              <w:br/>
            </w:r>
            <w:r w:rsidRPr="007143D2">
              <w:rPr>
                <w:rFonts w:eastAsia="DengXian" w:cs="Arial"/>
                <w:snapToGrid/>
                <w:szCs w:val="22"/>
              </w:rPr>
              <w:t>de travail</w:t>
            </w:r>
          </w:p>
        </w:tc>
        <w:tc>
          <w:tcPr>
            <w:tcW w:w="1693" w:type="pct"/>
            <w:shd w:val="clear" w:color="auto" w:fill="auto"/>
            <w:tcMar>
              <w:left w:w="85" w:type="dxa"/>
              <w:right w:w="57" w:type="dxa"/>
            </w:tcMar>
          </w:tcPr>
          <w:p w14:paraId="158E37B1" w14:textId="77777777" w:rsidR="007143D2" w:rsidRPr="007143D2" w:rsidRDefault="007143D2" w:rsidP="00EC056F">
            <w:pPr>
              <w:tabs>
                <w:tab w:val="clear" w:pos="567"/>
              </w:tabs>
              <w:snapToGrid/>
              <w:spacing w:after="120" w:line="259" w:lineRule="auto"/>
              <w:rPr>
                <w:rFonts w:eastAsia="DengXian" w:cs="Arial"/>
                <w:snapToGrid/>
                <w:color w:val="000000"/>
                <w:szCs w:val="22"/>
              </w:rPr>
            </w:pPr>
            <w:r w:rsidRPr="007143D2">
              <w:rPr>
                <w:rFonts w:eastAsia="DengXian" w:cs="Arial"/>
                <w:snapToGrid/>
                <w:szCs w:val="22"/>
              </w:rPr>
              <w:t>Le plan de travail est complexe et pourrait être rationalisé.</w:t>
            </w:r>
          </w:p>
        </w:tc>
        <w:tc>
          <w:tcPr>
            <w:tcW w:w="1689" w:type="pct"/>
            <w:shd w:val="clear" w:color="auto" w:fill="auto"/>
            <w:tcMar>
              <w:left w:w="85" w:type="dxa"/>
              <w:right w:w="57" w:type="dxa"/>
            </w:tcMar>
          </w:tcPr>
          <w:p w14:paraId="0BFB3F1F" w14:textId="40345E1A" w:rsidR="007143D2" w:rsidRPr="007143D2" w:rsidRDefault="007143D2" w:rsidP="00EC056F">
            <w:pPr>
              <w:tabs>
                <w:tab w:val="clear" w:pos="567"/>
              </w:tabs>
              <w:snapToGrid/>
              <w:spacing w:after="120" w:line="259" w:lineRule="auto"/>
              <w:rPr>
                <w:rFonts w:eastAsia="DengXian" w:cs="Arial"/>
                <w:snapToGrid/>
                <w:color w:val="000000"/>
                <w:szCs w:val="22"/>
              </w:rPr>
            </w:pPr>
            <w:r w:rsidRPr="007143D2">
              <w:rPr>
                <w:rFonts w:eastAsia="DengXian" w:cs="Arial"/>
                <w:snapToGrid/>
                <w:szCs w:val="22"/>
              </w:rPr>
              <w:t>Réviser le plan de travail une fois la stratégie publiée et convenir d’un ordre de priorité</w:t>
            </w:r>
          </w:p>
        </w:tc>
      </w:tr>
      <w:tr w:rsidR="00EC056F" w:rsidRPr="007143D2" w14:paraId="4AD254DD" w14:textId="77777777" w:rsidTr="001F19BC">
        <w:trPr>
          <w:trHeight w:val="870"/>
        </w:trPr>
        <w:tc>
          <w:tcPr>
            <w:tcW w:w="881" w:type="pct"/>
            <w:shd w:val="clear" w:color="auto" w:fill="auto"/>
            <w:noWrap/>
            <w:tcMar>
              <w:left w:w="85" w:type="dxa"/>
              <w:right w:w="57" w:type="dxa"/>
            </w:tcMar>
          </w:tcPr>
          <w:p w14:paraId="6975FD07" w14:textId="77777777" w:rsidR="007143D2" w:rsidRPr="007143D2" w:rsidRDefault="007143D2" w:rsidP="00EC056F">
            <w:pPr>
              <w:tabs>
                <w:tab w:val="clear" w:pos="567"/>
              </w:tabs>
              <w:snapToGrid/>
              <w:spacing w:after="120" w:line="259" w:lineRule="auto"/>
              <w:jc w:val="both"/>
              <w:rPr>
                <w:rFonts w:eastAsia="DengXian" w:cs="Arial"/>
                <w:snapToGrid/>
                <w:color w:val="000000"/>
                <w:szCs w:val="22"/>
              </w:rPr>
            </w:pPr>
            <w:r w:rsidRPr="007143D2">
              <w:rPr>
                <w:rFonts w:eastAsia="DengXian" w:cs="Arial"/>
                <w:snapToGrid/>
                <w:szCs w:val="22"/>
              </w:rPr>
              <w:t>SCRUM 4</w:t>
            </w:r>
          </w:p>
        </w:tc>
        <w:tc>
          <w:tcPr>
            <w:tcW w:w="737" w:type="pct"/>
            <w:shd w:val="clear" w:color="auto" w:fill="auto"/>
            <w:tcMar>
              <w:left w:w="85" w:type="dxa"/>
              <w:right w:w="57" w:type="dxa"/>
            </w:tcMar>
          </w:tcPr>
          <w:p w14:paraId="6E78F777" w14:textId="77777777" w:rsidR="007143D2" w:rsidRPr="007143D2" w:rsidRDefault="007143D2" w:rsidP="00EC056F">
            <w:pPr>
              <w:tabs>
                <w:tab w:val="clear" w:pos="567"/>
              </w:tabs>
              <w:snapToGrid/>
              <w:spacing w:after="120" w:line="259" w:lineRule="auto"/>
              <w:jc w:val="both"/>
              <w:rPr>
                <w:rFonts w:eastAsia="DengXian" w:cs="Arial"/>
                <w:snapToGrid/>
                <w:color w:val="000000"/>
                <w:szCs w:val="22"/>
              </w:rPr>
            </w:pPr>
            <w:r w:rsidRPr="007143D2">
              <w:rPr>
                <w:rFonts w:eastAsia="DengXian" w:cs="Arial"/>
                <w:snapToGrid/>
                <w:szCs w:val="22"/>
              </w:rPr>
              <w:t>Processus</w:t>
            </w:r>
          </w:p>
        </w:tc>
        <w:tc>
          <w:tcPr>
            <w:tcW w:w="1693" w:type="pct"/>
            <w:shd w:val="clear" w:color="auto" w:fill="auto"/>
            <w:tcMar>
              <w:left w:w="85" w:type="dxa"/>
              <w:right w:w="57" w:type="dxa"/>
            </w:tcMar>
          </w:tcPr>
          <w:p w14:paraId="31BA8F16" w14:textId="78A208F8" w:rsidR="007143D2" w:rsidRPr="007143D2" w:rsidRDefault="007143D2" w:rsidP="00EC056F">
            <w:pPr>
              <w:tabs>
                <w:tab w:val="clear" w:pos="567"/>
              </w:tabs>
              <w:snapToGrid/>
              <w:spacing w:after="120" w:line="259" w:lineRule="auto"/>
              <w:rPr>
                <w:rFonts w:eastAsia="DengXian" w:cs="Arial"/>
                <w:snapToGrid/>
                <w:color w:val="000000"/>
                <w:szCs w:val="22"/>
              </w:rPr>
            </w:pPr>
            <w:r w:rsidRPr="007143D2">
              <w:rPr>
                <w:rFonts w:eastAsia="DengXian" w:cs="Arial"/>
                <w:snapToGrid/>
                <w:szCs w:val="22"/>
              </w:rPr>
              <w:t>Le calendrier des réunions pourrait être modifié de manière à organiser une réunion virtuelle préparatoire et</w:t>
            </w:r>
            <w:r w:rsidR="00C57F9D">
              <w:rPr>
                <w:rFonts w:eastAsia="DengXian" w:cs="Arial"/>
                <w:snapToGrid/>
                <w:szCs w:val="22"/>
              </w:rPr>
              <w:t> </w:t>
            </w:r>
            <w:r w:rsidRPr="007143D2">
              <w:rPr>
                <w:rFonts w:eastAsia="DengXian" w:cs="Arial"/>
                <w:snapToGrid/>
                <w:szCs w:val="22"/>
              </w:rPr>
              <w:t>une réunion présentielle en parallèle du colloque « Map the</w:t>
            </w:r>
            <w:r w:rsidR="00C57F9D">
              <w:rPr>
                <w:rFonts w:eastAsia="DengXian" w:cs="Arial"/>
                <w:snapToGrid/>
                <w:szCs w:val="22"/>
              </w:rPr>
              <w:t> </w:t>
            </w:r>
            <w:r w:rsidRPr="007143D2">
              <w:rPr>
                <w:rFonts w:eastAsia="DengXian" w:cs="Arial"/>
                <w:snapToGrid/>
                <w:szCs w:val="22"/>
              </w:rPr>
              <w:t>Gaps » et de la session du</w:t>
            </w:r>
            <w:r w:rsidR="00C57F9D">
              <w:rPr>
                <w:rFonts w:eastAsia="DengXian" w:cs="Arial"/>
                <w:snapToGrid/>
                <w:szCs w:val="22"/>
              </w:rPr>
              <w:t> </w:t>
            </w:r>
            <w:r w:rsidRPr="007143D2">
              <w:rPr>
                <w:rFonts w:eastAsia="DengXian" w:cs="Arial"/>
                <w:snapToGrid/>
                <w:szCs w:val="22"/>
              </w:rPr>
              <w:t>GC</w:t>
            </w:r>
            <w:r w:rsidR="00C57F9D">
              <w:rPr>
                <w:rFonts w:eastAsia="DengXian" w:cs="Arial"/>
                <w:snapToGrid/>
                <w:szCs w:val="22"/>
              </w:rPr>
              <w:noBreakHyphen/>
            </w:r>
            <w:r w:rsidRPr="007143D2">
              <w:rPr>
                <w:rFonts w:eastAsia="DengXian" w:cs="Arial"/>
                <w:snapToGrid/>
                <w:szCs w:val="22"/>
              </w:rPr>
              <w:t>GEBCO.</w:t>
            </w:r>
          </w:p>
        </w:tc>
        <w:tc>
          <w:tcPr>
            <w:tcW w:w="1689" w:type="pct"/>
            <w:shd w:val="clear" w:color="auto" w:fill="auto"/>
            <w:tcMar>
              <w:left w:w="85" w:type="dxa"/>
              <w:right w:w="57" w:type="dxa"/>
            </w:tcMar>
          </w:tcPr>
          <w:p w14:paraId="5D100666" w14:textId="340ADDB8" w:rsidR="007143D2" w:rsidRPr="007143D2" w:rsidRDefault="007143D2" w:rsidP="00EC056F">
            <w:pPr>
              <w:tabs>
                <w:tab w:val="clear" w:pos="567"/>
              </w:tabs>
              <w:snapToGrid/>
              <w:spacing w:after="120" w:line="259" w:lineRule="auto"/>
              <w:rPr>
                <w:rFonts w:eastAsia="DengXian" w:cs="Arial"/>
                <w:snapToGrid/>
                <w:color w:val="000000"/>
                <w:szCs w:val="22"/>
              </w:rPr>
            </w:pPr>
            <w:r w:rsidRPr="007143D2">
              <w:rPr>
                <w:rFonts w:eastAsia="DengXian" w:cs="Arial"/>
                <w:snapToGrid/>
                <w:szCs w:val="22"/>
              </w:rPr>
              <w:t>Charger le SCRUM d’élaborer et d’approuver une routine qui convienne à ses membres</w:t>
            </w:r>
          </w:p>
        </w:tc>
      </w:tr>
    </w:tbl>
    <w:p w14:paraId="020E8C03" w14:textId="77777777" w:rsidR="007143D2" w:rsidRPr="007143D2" w:rsidRDefault="007143D2" w:rsidP="001F19BC">
      <w:pPr>
        <w:keepNext/>
        <w:tabs>
          <w:tab w:val="clear" w:pos="567"/>
        </w:tabs>
        <w:snapToGrid/>
        <w:spacing w:before="360" w:after="240"/>
        <w:jc w:val="both"/>
        <w:rPr>
          <w:rFonts w:eastAsia="Times New Roman" w:cs="Arial"/>
          <w:i/>
          <w:iCs/>
          <w:snapToGrid/>
          <w:szCs w:val="22"/>
          <w:u w:val="single"/>
        </w:rPr>
      </w:pPr>
      <w:r w:rsidRPr="007143D2">
        <w:rPr>
          <w:rFonts w:eastAsia="DengXian" w:cs="Arial"/>
          <w:i/>
          <w:iCs/>
          <w:snapToGrid/>
          <w:szCs w:val="22"/>
          <w:u w:val="single"/>
        </w:rPr>
        <w:t>Sous-comité sur les communications, la promotion et l’engagement public (SCOPE)</w:t>
      </w:r>
    </w:p>
    <w:p w14:paraId="031E0DE2" w14:textId="53F72A3B" w:rsidR="007143D2" w:rsidRPr="007143D2" w:rsidRDefault="007143D2" w:rsidP="001F19BC">
      <w:pPr>
        <w:pStyle w:val="Marge"/>
        <w:spacing w:after="300"/>
        <w:rPr>
          <w:lang w:val="en-GB"/>
        </w:rPr>
      </w:pPr>
      <w:r>
        <w:t>19.</w:t>
      </w:r>
      <w:r>
        <w:tab/>
      </w:r>
      <w:r w:rsidRPr="007143D2">
        <w:t xml:space="preserve">Le </w:t>
      </w:r>
      <w:r w:rsidRPr="007143D2">
        <w:rPr>
          <w:i/>
          <w:iCs/>
        </w:rPr>
        <w:t>tableau 5</w:t>
      </w:r>
      <w:r w:rsidRPr="007143D2">
        <w:t xml:space="preserve"> récapitule les premières constatations relatives au SCOPE. Les principales difficultés concernent les interactions entre le SCOPE et les autres organes de la GEBCO, y compris les organisations mères. Étant donné que l’objectif du SCOPE est de coordonner et de soutenir les exigences de la GEBCO en matière de promotion et de communication, une coordination étroite avec les autres organes de la GEBCO s’avère essentielle. En outre, les organisations mères étant des organisations intergouvernementales qui doivent rendre des comptes à leurs États membres, il est nécessaire de disposer d’un moyen plus efficace de soutenir les travaux du SCOPE. Il semble </w:t>
      </w:r>
      <w:r w:rsidRPr="007143D2">
        <w:lastRenderedPageBreak/>
        <w:t>que cet objectif pourrait être atteint par la création d’une nouvelle catégorie de participation/de membres pour les responsables de la communication de l’organisation mère ainsi que par la formalisation d’un processus d’examen des supports de communication prévus.</w:t>
      </w:r>
    </w:p>
    <w:p w14:paraId="330752D3" w14:textId="77777777" w:rsidR="007143D2" w:rsidRPr="007143D2" w:rsidRDefault="007143D2" w:rsidP="00EC056F">
      <w:pPr>
        <w:keepNext/>
        <w:tabs>
          <w:tab w:val="clear" w:pos="567"/>
        </w:tabs>
        <w:snapToGrid/>
        <w:spacing w:after="180"/>
        <w:jc w:val="both"/>
        <w:rPr>
          <w:rFonts w:eastAsia="MS Mincho" w:cs="Arial"/>
          <w:i/>
          <w:iCs/>
          <w:snapToGrid/>
          <w:szCs w:val="22"/>
          <w:lang w:val="en-GB" w:eastAsia="ja-JP"/>
        </w:rPr>
      </w:pPr>
      <w:r w:rsidRPr="007143D2">
        <w:rPr>
          <w:rFonts w:eastAsia="MS Mincho" w:cs="Arial"/>
          <w:i/>
          <w:iCs/>
          <w:snapToGrid/>
          <w:szCs w:val="22"/>
          <w:lang w:eastAsia="ja-JP"/>
        </w:rPr>
        <w:t>Tableau 5 – Premières constatations sur le SCOPE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1417"/>
        <w:gridCol w:w="3118"/>
        <w:gridCol w:w="3254"/>
      </w:tblGrid>
      <w:tr w:rsidR="007143D2" w:rsidRPr="007143D2" w14:paraId="60435983" w14:textId="77777777" w:rsidTr="001F19BC">
        <w:trPr>
          <w:trHeight w:val="290"/>
          <w:tblHeader/>
        </w:trPr>
        <w:tc>
          <w:tcPr>
            <w:tcW w:w="955" w:type="pct"/>
            <w:shd w:val="clear" w:color="auto" w:fill="auto"/>
            <w:noWrap/>
            <w:tcMar>
              <w:left w:w="85" w:type="dxa"/>
              <w:right w:w="57" w:type="dxa"/>
            </w:tcMar>
            <w:hideMark/>
          </w:tcPr>
          <w:p w14:paraId="3B012A36" w14:textId="77777777" w:rsidR="007143D2" w:rsidRPr="007143D2" w:rsidRDefault="007143D2" w:rsidP="007143D2">
            <w:pPr>
              <w:keepNext/>
              <w:tabs>
                <w:tab w:val="clear" w:pos="567"/>
              </w:tabs>
              <w:snapToGrid/>
              <w:spacing w:after="160" w:line="259" w:lineRule="auto"/>
              <w:jc w:val="both"/>
              <w:rPr>
                <w:rFonts w:eastAsia="DengXian" w:cs="Arial"/>
                <w:b/>
                <w:bCs/>
                <w:snapToGrid/>
                <w:color w:val="000000"/>
                <w:spacing w:val="-3"/>
                <w:szCs w:val="22"/>
              </w:rPr>
            </w:pPr>
            <w:r w:rsidRPr="007143D2">
              <w:rPr>
                <w:rFonts w:eastAsia="DengXian" w:cs="Arial"/>
                <w:b/>
                <w:bCs/>
                <w:snapToGrid/>
                <w:spacing w:val="-3"/>
                <w:szCs w:val="22"/>
              </w:rPr>
              <w:t>Constatation n°</w:t>
            </w:r>
          </w:p>
        </w:tc>
        <w:tc>
          <w:tcPr>
            <w:tcW w:w="736" w:type="pct"/>
            <w:shd w:val="clear" w:color="auto" w:fill="auto"/>
            <w:noWrap/>
            <w:tcMar>
              <w:left w:w="85" w:type="dxa"/>
              <w:right w:w="57" w:type="dxa"/>
            </w:tcMar>
            <w:hideMark/>
          </w:tcPr>
          <w:p w14:paraId="36BD2957" w14:textId="77777777" w:rsidR="007143D2" w:rsidRPr="007143D2" w:rsidRDefault="007143D2" w:rsidP="007143D2">
            <w:pPr>
              <w:keepNext/>
              <w:tabs>
                <w:tab w:val="clear" w:pos="567"/>
              </w:tabs>
              <w:snapToGrid/>
              <w:spacing w:after="160" w:line="259" w:lineRule="auto"/>
              <w:jc w:val="both"/>
              <w:rPr>
                <w:rFonts w:eastAsia="DengXian" w:cs="Arial"/>
                <w:b/>
                <w:bCs/>
                <w:snapToGrid/>
                <w:color w:val="000000"/>
                <w:szCs w:val="22"/>
              </w:rPr>
            </w:pPr>
            <w:r w:rsidRPr="007143D2">
              <w:rPr>
                <w:rFonts w:eastAsia="DengXian" w:cs="Arial"/>
                <w:b/>
                <w:bCs/>
                <w:snapToGrid/>
                <w:szCs w:val="22"/>
              </w:rPr>
              <w:t>Type</w:t>
            </w:r>
          </w:p>
        </w:tc>
        <w:tc>
          <w:tcPr>
            <w:tcW w:w="1619" w:type="pct"/>
            <w:shd w:val="clear" w:color="auto" w:fill="auto"/>
            <w:noWrap/>
            <w:tcMar>
              <w:left w:w="85" w:type="dxa"/>
              <w:right w:w="57" w:type="dxa"/>
            </w:tcMar>
            <w:hideMark/>
          </w:tcPr>
          <w:p w14:paraId="11E7D2A3" w14:textId="77777777" w:rsidR="007143D2" w:rsidRPr="007143D2" w:rsidRDefault="007143D2" w:rsidP="007143D2">
            <w:pPr>
              <w:keepNext/>
              <w:tabs>
                <w:tab w:val="clear" w:pos="567"/>
              </w:tabs>
              <w:snapToGrid/>
              <w:spacing w:after="160" w:line="259" w:lineRule="auto"/>
              <w:jc w:val="both"/>
              <w:rPr>
                <w:rFonts w:eastAsia="DengXian" w:cs="Arial"/>
                <w:b/>
                <w:bCs/>
                <w:snapToGrid/>
                <w:color w:val="000000"/>
                <w:szCs w:val="22"/>
              </w:rPr>
            </w:pPr>
            <w:r w:rsidRPr="007143D2">
              <w:rPr>
                <w:rFonts w:eastAsia="DengXian" w:cs="Arial"/>
                <w:b/>
                <w:bCs/>
                <w:snapToGrid/>
                <w:szCs w:val="22"/>
              </w:rPr>
              <w:t>Précisions</w:t>
            </w:r>
          </w:p>
        </w:tc>
        <w:tc>
          <w:tcPr>
            <w:tcW w:w="1690" w:type="pct"/>
            <w:shd w:val="clear" w:color="auto" w:fill="auto"/>
            <w:noWrap/>
            <w:tcMar>
              <w:left w:w="85" w:type="dxa"/>
              <w:right w:w="57" w:type="dxa"/>
            </w:tcMar>
            <w:hideMark/>
          </w:tcPr>
          <w:p w14:paraId="05887D80" w14:textId="77777777" w:rsidR="007143D2" w:rsidRPr="007143D2" w:rsidRDefault="007143D2" w:rsidP="007143D2">
            <w:pPr>
              <w:keepNext/>
              <w:tabs>
                <w:tab w:val="clear" w:pos="567"/>
              </w:tabs>
              <w:snapToGrid/>
              <w:spacing w:after="160" w:line="259" w:lineRule="auto"/>
              <w:jc w:val="both"/>
              <w:rPr>
                <w:rFonts w:eastAsia="DengXian" w:cs="Arial"/>
                <w:b/>
                <w:bCs/>
                <w:snapToGrid/>
                <w:color w:val="000000"/>
                <w:szCs w:val="22"/>
              </w:rPr>
            </w:pPr>
            <w:r w:rsidRPr="007143D2">
              <w:rPr>
                <w:rFonts w:eastAsia="DengXian" w:cs="Arial"/>
                <w:b/>
                <w:bCs/>
                <w:snapToGrid/>
                <w:szCs w:val="22"/>
              </w:rPr>
              <w:t>Recommandation</w:t>
            </w:r>
          </w:p>
        </w:tc>
      </w:tr>
      <w:tr w:rsidR="007143D2" w:rsidRPr="007143D2" w14:paraId="34286A0B" w14:textId="77777777" w:rsidTr="001F19BC">
        <w:trPr>
          <w:trHeight w:val="870"/>
        </w:trPr>
        <w:tc>
          <w:tcPr>
            <w:tcW w:w="955" w:type="pct"/>
            <w:shd w:val="clear" w:color="auto" w:fill="auto"/>
            <w:noWrap/>
            <w:tcMar>
              <w:left w:w="85" w:type="dxa"/>
              <w:right w:w="57" w:type="dxa"/>
            </w:tcMar>
            <w:hideMark/>
          </w:tcPr>
          <w:p w14:paraId="12CDD168" w14:textId="77777777" w:rsidR="007143D2" w:rsidRPr="007143D2" w:rsidRDefault="007143D2" w:rsidP="001F19BC">
            <w:pPr>
              <w:tabs>
                <w:tab w:val="clear" w:pos="567"/>
              </w:tabs>
              <w:snapToGrid/>
              <w:spacing w:after="120" w:line="259" w:lineRule="auto"/>
              <w:jc w:val="both"/>
              <w:rPr>
                <w:rFonts w:eastAsia="DengXian" w:cs="Arial"/>
                <w:snapToGrid/>
                <w:color w:val="000000"/>
                <w:szCs w:val="22"/>
              </w:rPr>
            </w:pPr>
            <w:r w:rsidRPr="007143D2">
              <w:rPr>
                <w:rFonts w:eastAsia="DengXian" w:cs="Arial"/>
                <w:snapToGrid/>
                <w:szCs w:val="22"/>
              </w:rPr>
              <w:t>SCOPE 1</w:t>
            </w:r>
          </w:p>
        </w:tc>
        <w:tc>
          <w:tcPr>
            <w:tcW w:w="736" w:type="pct"/>
            <w:shd w:val="clear" w:color="auto" w:fill="auto"/>
            <w:tcMar>
              <w:left w:w="85" w:type="dxa"/>
              <w:right w:w="57" w:type="dxa"/>
            </w:tcMar>
            <w:hideMark/>
          </w:tcPr>
          <w:p w14:paraId="7CE73BF3" w14:textId="77777777" w:rsidR="007143D2" w:rsidRPr="007143D2" w:rsidRDefault="007143D2" w:rsidP="001F19BC">
            <w:pPr>
              <w:tabs>
                <w:tab w:val="clear" w:pos="567"/>
              </w:tabs>
              <w:snapToGrid/>
              <w:spacing w:after="120" w:line="259" w:lineRule="auto"/>
              <w:jc w:val="both"/>
              <w:rPr>
                <w:rFonts w:eastAsia="DengXian" w:cs="Arial"/>
                <w:snapToGrid/>
                <w:color w:val="000000"/>
                <w:szCs w:val="22"/>
              </w:rPr>
            </w:pPr>
            <w:r w:rsidRPr="007143D2">
              <w:rPr>
                <w:rFonts w:eastAsia="DengXian" w:cs="Arial"/>
                <w:snapToGrid/>
                <w:szCs w:val="22"/>
              </w:rPr>
              <w:t>Instrument</w:t>
            </w:r>
          </w:p>
        </w:tc>
        <w:tc>
          <w:tcPr>
            <w:tcW w:w="1619" w:type="pct"/>
            <w:shd w:val="clear" w:color="auto" w:fill="auto"/>
            <w:tcMar>
              <w:left w:w="85" w:type="dxa"/>
              <w:right w:w="57" w:type="dxa"/>
            </w:tcMar>
            <w:hideMark/>
          </w:tcPr>
          <w:p w14:paraId="4DF3C9D2" w14:textId="77777777" w:rsidR="007143D2" w:rsidRPr="007143D2" w:rsidRDefault="007143D2" w:rsidP="001F19BC">
            <w:pPr>
              <w:tabs>
                <w:tab w:val="clear" w:pos="567"/>
              </w:tabs>
              <w:snapToGrid/>
              <w:spacing w:after="120" w:line="259" w:lineRule="auto"/>
              <w:rPr>
                <w:rFonts w:eastAsia="DengXian" w:cs="Arial"/>
                <w:snapToGrid/>
                <w:color w:val="000000"/>
                <w:szCs w:val="22"/>
              </w:rPr>
            </w:pPr>
            <w:r w:rsidRPr="007143D2">
              <w:rPr>
                <w:rFonts w:eastAsia="DengXian" w:cs="Arial"/>
                <w:snapToGrid/>
                <w:szCs w:val="22"/>
              </w:rPr>
              <w:t>Le mandat est généralement adapté à l’objectif visé, mais devrait être révisé à la lumière de la stratégie afin de garantir la cohérence des objectifs.</w:t>
            </w:r>
          </w:p>
        </w:tc>
        <w:tc>
          <w:tcPr>
            <w:tcW w:w="1690" w:type="pct"/>
            <w:shd w:val="clear" w:color="auto" w:fill="auto"/>
            <w:tcMar>
              <w:left w:w="85" w:type="dxa"/>
              <w:right w:w="57" w:type="dxa"/>
            </w:tcMar>
            <w:hideMark/>
          </w:tcPr>
          <w:p w14:paraId="1C925089" w14:textId="7B3EFD2A" w:rsidR="007143D2" w:rsidRPr="007143D2" w:rsidRDefault="007143D2" w:rsidP="001F19BC">
            <w:pPr>
              <w:tabs>
                <w:tab w:val="clear" w:pos="567"/>
              </w:tabs>
              <w:snapToGrid/>
              <w:spacing w:after="120" w:line="259" w:lineRule="auto"/>
              <w:rPr>
                <w:rFonts w:eastAsia="DengXian" w:cs="Arial"/>
                <w:snapToGrid/>
                <w:color w:val="000000"/>
                <w:szCs w:val="22"/>
              </w:rPr>
            </w:pPr>
            <w:r w:rsidRPr="007143D2">
              <w:rPr>
                <w:rFonts w:eastAsia="DengXian" w:cs="Arial"/>
                <w:snapToGrid/>
                <w:szCs w:val="22"/>
              </w:rPr>
              <w:t>Réviser le mandat pour qu’il corresponde à la stratégie</w:t>
            </w:r>
          </w:p>
        </w:tc>
      </w:tr>
      <w:tr w:rsidR="007143D2" w:rsidRPr="007143D2" w14:paraId="1DEE2CC0" w14:textId="77777777" w:rsidTr="001F19BC">
        <w:trPr>
          <w:trHeight w:val="870"/>
        </w:trPr>
        <w:tc>
          <w:tcPr>
            <w:tcW w:w="955" w:type="pct"/>
            <w:shd w:val="clear" w:color="auto" w:fill="auto"/>
            <w:noWrap/>
            <w:tcMar>
              <w:left w:w="85" w:type="dxa"/>
              <w:right w:w="57" w:type="dxa"/>
            </w:tcMar>
          </w:tcPr>
          <w:p w14:paraId="0D78EC69" w14:textId="77777777" w:rsidR="007143D2" w:rsidRPr="007143D2" w:rsidRDefault="007143D2" w:rsidP="001F19BC">
            <w:pPr>
              <w:tabs>
                <w:tab w:val="clear" w:pos="567"/>
              </w:tabs>
              <w:snapToGrid/>
              <w:spacing w:after="120" w:line="259" w:lineRule="auto"/>
              <w:jc w:val="both"/>
              <w:rPr>
                <w:rFonts w:eastAsia="DengXian" w:cs="Arial"/>
                <w:snapToGrid/>
                <w:color w:val="000000"/>
                <w:szCs w:val="22"/>
              </w:rPr>
            </w:pPr>
            <w:r w:rsidRPr="007143D2">
              <w:rPr>
                <w:rFonts w:eastAsia="DengXian" w:cs="Arial"/>
                <w:snapToGrid/>
                <w:szCs w:val="22"/>
              </w:rPr>
              <w:t>SCOPE 2</w:t>
            </w:r>
          </w:p>
        </w:tc>
        <w:tc>
          <w:tcPr>
            <w:tcW w:w="736" w:type="pct"/>
            <w:shd w:val="clear" w:color="auto" w:fill="auto"/>
            <w:tcMar>
              <w:left w:w="85" w:type="dxa"/>
              <w:right w:w="57" w:type="dxa"/>
            </w:tcMar>
          </w:tcPr>
          <w:p w14:paraId="73122566" w14:textId="77777777" w:rsidR="007143D2" w:rsidRPr="007143D2" w:rsidRDefault="007143D2" w:rsidP="001F19BC">
            <w:pPr>
              <w:tabs>
                <w:tab w:val="clear" w:pos="567"/>
              </w:tabs>
              <w:snapToGrid/>
              <w:spacing w:after="120" w:line="259" w:lineRule="auto"/>
              <w:jc w:val="both"/>
              <w:rPr>
                <w:rFonts w:eastAsia="DengXian" w:cs="Arial"/>
                <w:snapToGrid/>
                <w:color w:val="000000"/>
                <w:szCs w:val="22"/>
              </w:rPr>
            </w:pPr>
            <w:r w:rsidRPr="007143D2">
              <w:rPr>
                <w:rFonts w:eastAsia="DengXian" w:cs="Arial"/>
                <w:snapToGrid/>
                <w:szCs w:val="22"/>
              </w:rPr>
              <w:t>Processus</w:t>
            </w:r>
          </w:p>
        </w:tc>
        <w:tc>
          <w:tcPr>
            <w:tcW w:w="1619" w:type="pct"/>
            <w:shd w:val="clear" w:color="auto" w:fill="auto"/>
            <w:tcMar>
              <w:left w:w="85" w:type="dxa"/>
              <w:right w:w="57" w:type="dxa"/>
            </w:tcMar>
          </w:tcPr>
          <w:p w14:paraId="1A31AF2C" w14:textId="413F1247" w:rsidR="007143D2" w:rsidRPr="007143D2" w:rsidRDefault="007143D2" w:rsidP="001F19BC">
            <w:pPr>
              <w:tabs>
                <w:tab w:val="clear" w:pos="567"/>
              </w:tabs>
              <w:snapToGrid/>
              <w:spacing w:after="120" w:line="259" w:lineRule="auto"/>
              <w:rPr>
                <w:rFonts w:eastAsia="DengXian" w:cs="Arial"/>
                <w:snapToGrid/>
                <w:color w:val="000000"/>
                <w:szCs w:val="22"/>
              </w:rPr>
            </w:pPr>
            <w:r w:rsidRPr="007143D2">
              <w:rPr>
                <w:rFonts w:eastAsia="DengXian" w:cs="Arial"/>
                <w:snapToGrid/>
                <w:szCs w:val="22"/>
              </w:rPr>
              <w:t>Il serait éventuellement nécessaire de définir un processus officiel d’approbation des supports de</w:t>
            </w:r>
            <w:r w:rsidR="00C57F9D">
              <w:rPr>
                <w:rFonts w:eastAsia="DengXian" w:cs="Arial"/>
                <w:snapToGrid/>
                <w:szCs w:val="22"/>
              </w:rPr>
              <w:t> </w:t>
            </w:r>
            <w:r w:rsidRPr="007143D2">
              <w:rPr>
                <w:rFonts w:eastAsia="DengXian" w:cs="Arial"/>
                <w:snapToGrid/>
                <w:szCs w:val="22"/>
              </w:rPr>
              <w:t>communication ayant trait à d’autres sous-comités ou organes.</w:t>
            </w:r>
          </w:p>
        </w:tc>
        <w:tc>
          <w:tcPr>
            <w:tcW w:w="1690" w:type="pct"/>
            <w:shd w:val="clear" w:color="auto" w:fill="auto"/>
            <w:tcMar>
              <w:left w:w="85" w:type="dxa"/>
              <w:right w:w="57" w:type="dxa"/>
            </w:tcMar>
          </w:tcPr>
          <w:p w14:paraId="7F19DADC" w14:textId="3A8323D4" w:rsidR="007143D2" w:rsidRPr="007143D2" w:rsidRDefault="007143D2" w:rsidP="001F19BC">
            <w:pPr>
              <w:tabs>
                <w:tab w:val="clear" w:pos="567"/>
              </w:tabs>
              <w:snapToGrid/>
              <w:spacing w:after="120" w:line="259" w:lineRule="auto"/>
              <w:rPr>
                <w:rFonts w:eastAsia="DengXian" w:cs="Arial"/>
                <w:snapToGrid/>
                <w:color w:val="000000"/>
                <w:szCs w:val="22"/>
              </w:rPr>
            </w:pPr>
            <w:r w:rsidRPr="007143D2">
              <w:rPr>
                <w:rFonts w:eastAsia="DengXian" w:cs="Arial"/>
                <w:snapToGrid/>
                <w:szCs w:val="22"/>
              </w:rPr>
              <w:t>Établir un diagramme du processus pouvant être annexé au mandat</w:t>
            </w:r>
          </w:p>
        </w:tc>
      </w:tr>
      <w:tr w:rsidR="007143D2" w:rsidRPr="007143D2" w14:paraId="2EC54918" w14:textId="77777777" w:rsidTr="001F19BC">
        <w:trPr>
          <w:trHeight w:val="870"/>
        </w:trPr>
        <w:tc>
          <w:tcPr>
            <w:tcW w:w="955" w:type="pct"/>
            <w:shd w:val="clear" w:color="auto" w:fill="auto"/>
            <w:noWrap/>
            <w:tcMar>
              <w:left w:w="85" w:type="dxa"/>
              <w:right w:w="57" w:type="dxa"/>
            </w:tcMar>
          </w:tcPr>
          <w:p w14:paraId="55377AEB" w14:textId="77777777" w:rsidR="007143D2" w:rsidRPr="007143D2" w:rsidRDefault="007143D2" w:rsidP="001F19BC">
            <w:pPr>
              <w:tabs>
                <w:tab w:val="clear" w:pos="567"/>
              </w:tabs>
              <w:snapToGrid/>
              <w:spacing w:after="120" w:line="259" w:lineRule="auto"/>
              <w:jc w:val="both"/>
              <w:rPr>
                <w:rFonts w:eastAsia="DengXian" w:cs="Arial"/>
                <w:snapToGrid/>
                <w:color w:val="000000"/>
                <w:szCs w:val="22"/>
              </w:rPr>
            </w:pPr>
            <w:r w:rsidRPr="007143D2">
              <w:rPr>
                <w:rFonts w:eastAsia="DengXian" w:cs="Arial"/>
                <w:snapToGrid/>
                <w:szCs w:val="22"/>
              </w:rPr>
              <w:t>SCOPE 3</w:t>
            </w:r>
          </w:p>
        </w:tc>
        <w:tc>
          <w:tcPr>
            <w:tcW w:w="736" w:type="pct"/>
            <w:shd w:val="clear" w:color="auto" w:fill="auto"/>
            <w:tcMar>
              <w:left w:w="85" w:type="dxa"/>
              <w:right w:w="57" w:type="dxa"/>
            </w:tcMar>
          </w:tcPr>
          <w:p w14:paraId="4C7379EA" w14:textId="77777777" w:rsidR="007143D2" w:rsidRPr="007143D2" w:rsidRDefault="007143D2" w:rsidP="001F19BC">
            <w:pPr>
              <w:tabs>
                <w:tab w:val="clear" w:pos="567"/>
              </w:tabs>
              <w:snapToGrid/>
              <w:spacing w:after="120" w:line="259" w:lineRule="auto"/>
              <w:jc w:val="both"/>
              <w:rPr>
                <w:rFonts w:eastAsia="DengXian" w:cs="Arial"/>
                <w:snapToGrid/>
                <w:color w:val="000000"/>
                <w:szCs w:val="22"/>
              </w:rPr>
            </w:pPr>
            <w:r w:rsidRPr="007143D2">
              <w:rPr>
                <w:rFonts w:eastAsia="DengXian" w:cs="Arial"/>
                <w:snapToGrid/>
                <w:szCs w:val="22"/>
              </w:rPr>
              <w:t>Processus</w:t>
            </w:r>
          </w:p>
        </w:tc>
        <w:tc>
          <w:tcPr>
            <w:tcW w:w="1619" w:type="pct"/>
            <w:shd w:val="clear" w:color="auto" w:fill="auto"/>
            <w:tcMar>
              <w:left w:w="85" w:type="dxa"/>
              <w:right w:w="57" w:type="dxa"/>
            </w:tcMar>
          </w:tcPr>
          <w:p w14:paraId="0518D91B" w14:textId="4D1F2965" w:rsidR="007143D2" w:rsidRPr="007143D2" w:rsidRDefault="007143D2" w:rsidP="001F19BC">
            <w:pPr>
              <w:tabs>
                <w:tab w:val="clear" w:pos="567"/>
              </w:tabs>
              <w:snapToGrid/>
              <w:spacing w:after="120" w:line="259" w:lineRule="auto"/>
              <w:rPr>
                <w:rFonts w:eastAsia="DengXian" w:cs="Arial"/>
                <w:snapToGrid/>
                <w:color w:val="000000"/>
                <w:szCs w:val="22"/>
              </w:rPr>
            </w:pPr>
            <w:r w:rsidRPr="007143D2">
              <w:rPr>
                <w:rFonts w:eastAsia="DengXian" w:cs="Arial"/>
                <w:snapToGrid/>
                <w:szCs w:val="22"/>
              </w:rPr>
              <w:t>Le calendrier des réunions pourrait être modifié de manière à organiser une réunion virtuelle préparatoire et une réunion présentielle en parallèle du colloque « Map the Gaps » et de la session du</w:t>
            </w:r>
            <w:r w:rsidR="00C57F9D">
              <w:rPr>
                <w:rFonts w:eastAsia="DengXian" w:cs="Arial"/>
                <w:snapToGrid/>
                <w:szCs w:val="22"/>
              </w:rPr>
              <w:t> </w:t>
            </w:r>
            <w:r w:rsidRPr="007143D2">
              <w:rPr>
                <w:rFonts w:eastAsia="DengXian" w:cs="Arial"/>
                <w:snapToGrid/>
                <w:szCs w:val="22"/>
              </w:rPr>
              <w:t>GC-GEBCO.</w:t>
            </w:r>
          </w:p>
        </w:tc>
        <w:tc>
          <w:tcPr>
            <w:tcW w:w="1690" w:type="pct"/>
            <w:shd w:val="clear" w:color="auto" w:fill="auto"/>
            <w:tcMar>
              <w:left w:w="85" w:type="dxa"/>
              <w:right w:w="57" w:type="dxa"/>
            </w:tcMar>
          </w:tcPr>
          <w:p w14:paraId="254DA525" w14:textId="54024153" w:rsidR="007143D2" w:rsidRPr="007143D2" w:rsidRDefault="007143D2" w:rsidP="001F19BC">
            <w:pPr>
              <w:tabs>
                <w:tab w:val="clear" w:pos="567"/>
              </w:tabs>
              <w:snapToGrid/>
              <w:spacing w:after="120" w:line="259" w:lineRule="auto"/>
              <w:rPr>
                <w:rFonts w:eastAsia="DengXian" w:cs="Arial"/>
                <w:snapToGrid/>
                <w:color w:val="000000"/>
                <w:szCs w:val="22"/>
              </w:rPr>
            </w:pPr>
            <w:r w:rsidRPr="007143D2">
              <w:rPr>
                <w:rFonts w:eastAsia="DengXian" w:cs="Arial"/>
                <w:snapToGrid/>
                <w:szCs w:val="22"/>
              </w:rPr>
              <w:t>Charger le SCRUM d’élaborer et d’approuver une routine qui convienne à ses membres</w:t>
            </w:r>
          </w:p>
        </w:tc>
      </w:tr>
      <w:tr w:rsidR="007143D2" w:rsidRPr="007143D2" w14:paraId="3C0BB621" w14:textId="77777777" w:rsidTr="001F19BC">
        <w:trPr>
          <w:trHeight w:val="870"/>
        </w:trPr>
        <w:tc>
          <w:tcPr>
            <w:tcW w:w="955" w:type="pct"/>
            <w:shd w:val="clear" w:color="auto" w:fill="auto"/>
            <w:noWrap/>
            <w:tcMar>
              <w:left w:w="85" w:type="dxa"/>
              <w:right w:w="57" w:type="dxa"/>
            </w:tcMar>
          </w:tcPr>
          <w:p w14:paraId="6191F096" w14:textId="77777777" w:rsidR="007143D2" w:rsidRPr="007143D2" w:rsidRDefault="007143D2" w:rsidP="001F19BC">
            <w:pPr>
              <w:tabs>
                <w:tab w:val="clear" w:pos="567"/>
              </w:tabs>
              <w:snapToGrid/>
              <w:spacing w:after="120" w:line="259" w:lineRule="auto"/>
              <w:jc w:val="both"/>
              <w:rPr>
                <w:rFonts w:eastAsia="DengXian" w:cs="Arial"/>
                <w:snapToGrid/>
                <w:color w:val="000000"/>
                <w:szCs w:val="22"/>
              </w:rPr>
            </w:pPr>
            <w:r w:rsidRPr="007143D2">
              <w:rPr>
                <w:rFonts w:eastAsia="DengXian" w:cs="Arial"/>
                <w:snapToGrid/>
                <w:szCs w:val="22"/>
              </w:rPr>
              <w:t>SCOPE 4</w:t>
            </w:r>
          </w:p>
        </w:tc>
        <w:tc>
          <w:tcPr>
            <w:tcW w:w="736" w:type="pct"/>
            <w:shd w:val="clear" w:color="auto" w:fill="auto"/>
            <w:tcMar>
              <w:left w:w="85" w:type="dxa"/>
              <w:right w:w="57" w:type="dxa"/>
            </w:tcMar>
          </w:tcPr>
          <w:p w14:paraId="36C7A6A6" w14:textId="77777777" w:rsidR="007143D2" w:rsidRPr="007143D2" w:rsidRDefault="007143D2" w:rsidP="001F19BC">
            <w:pPr>
              <w:tabs>
                <w:tab w:val="clear" w:pos="567"/>
              </w:tabs>
              <w:snapToGrid/>
              <w:spacing w:after="120" w:line="259" w:lineRule="auto"/>
              <w:jc w:val="both"/>
              <w:rPr>
                <w:rFonts w:eastAsia="DengXian" w:cs="Arial"/>
                <w:snapToGrid/>
                <w:color w:val="000000"/>
                <w:szCs w:val="22"/>
              </w:rPr>
            </w:pPr>
            <w:r w:rsidRPr="007143D2">
              <w:rPr>
                <w:rFonts w:eastAsia="DengXian" w:cs="Arial"/>
                <w:snapToGrid/>
                <w:szCs w:val="22"/>
              </w:rPr>
              <w:t>Composition</w:t>
            </w:r>
          </w:p>
        </w:tc>
        <w:tc>
          <w:tcPr>
            <w:tcW w:w="1619" w:type="pct"/>
            <w:shd w:val="clear" w:color="auto" w:fill="auto"/>
            <w:tcMar>
              <w:left w:w="85" w:type="dxa"/>
              <w:right w:w="57" w:type="dxa"/>
            </w:tcMar>
          </w:tcPr>
          <w:p w14:paraId="24510752" w14:textId="77777777" w:rsidR="007143D2" w:rsidRPr="007143D2" w:rsidRDefault="007143D2" w:rsidP="001F19BC">
            <w:pPr>
              <w:tabs>
                <w:tab w:val="clear" w:pos="567"/>
              </w:tabs>
              <w:snapToGrid/>
              <w:spacing w:after="120" w:line="259" w:lineRule="auto"/>
              <w:rPr>
                <w:rFonts w:eastAsia="DengXian" w:cs="Arial"/>
                <w:snapToGrid/>
                <w:color w:val="000000"/>
                <w:szCs w:val="22"/>
              </w:rPr>
            </w:pPr>
            <w:r w:rsidRPr="007143D2">
              <w:rPr>
                <w:rFonts w:eastAsia="DengXian" w:cs="Arial"/>
                <w:snapToGrid/>
                <w:szCs w:val="22"/>
              </w:rPr>
              <w:t>Le rôle des représentants de l’OHI/de la COI n’est pas clair et aucun processus d’examen des activités de communication externe n’a été mis en place.</w:t>
            </w:r>
          </w:p>
        </w:tc>
        <w:tc>
          <w:tcPr>
            <w:tcW w:w="1690" w:type="pct"/>
            <w:shd w:val="clear" w:color="auto" w:fill="auto"/>
            <w:tcMar>
              <w:left w:w="85" w:type="dxa"/>
              <w:right w:w="57" w:type="dxa"/>
            </w:tcMar>
          </w:tcPr>
          <w:p w14:paraId="5392A689" w14:textId="1D8F661A" w:rsidR="007143D2" w:rsidRPr="007143D2" w:rsidRDefault="007143D2" w:rsidP="001F19BC">
            <w:pPr>
              <w:tabs>
                <w:tab w:val="clear" w:pos="567"/>
              </w:tabs>
              <w:snapToGrid/>
              <w:spacing w:after="120" w:line="259" w:lineRule="auto"/>
              <w:rPr>
                <w:rFonts w:eastAsia="DengXian" w:cs="Arial"/>
                <w:snapToGrid/>
                <w:color w:val="000000"/>
                <w:szCs w:val="22"/>
              </w:rPr>
            </w:pPr>
            <w:r w:rsidRPr="007143D2">
              <w:rPr>
                <w:rFonts w:eastAsia="DengXian" w:cs="Arial"/>
                <w:snapToGrid/>
                <w:szCs w:val="22"/>
              </w:rPr>
              <w:t>Envisager de créer une nouvelle catégorie de participation au SCOPE pour les représentants de l’OHI/de la</w:t>
            </w:r>
            <w:r w:rsidR="001372A0">
              <w:rPr>
                <w:rFonts w:eastAsia="DengXian" w:cs="Arial"/>
                <w:snapToGrid/>
                <w:szCs w:val="22"/>
              </w:rPr>
              <w:t> </w:t>
            </w:r>
            <w:r w:rsidRPr="007143D2">
              <w:rPr>
                <w:rFonts w:eastAsia="DengXian" w:cs="Arial"/>
                <w:snapToGrid/>
                <w:szCs w:val="22"/>
              </w:rPr>
              <w:t>COI responsables des communications</w:t>
            </w:r>
          </w:p>
        </w:tc>
      </w:tr>
    </w:tbl>
    <w:p w14:paraId="2856DA18" w14:textId="77777777" w:rsidR="007143D2" w:rsidRPr="007143D2" w:rsidRDefault="007143D2" w:rsidP="001F19BC">
      <w:pPr>
        <w:keepNext/>
        <w:tabs>
          <w:tab w:val="clear" w:pos="567"/>
        </w:tabs>
        <w:snapToGrid/>
        <w:spacing w:before="300" w:after="240"/>
        <w:jc w:val="both"/>
        <w:rPr>
          <w:rFonts w:eastAsia="Times New Roman" w:cs="Arial"/>
          <w:b/>
          <w:bCs/>
          <w:snapToGrid/>
          <w:szCs w:val="22"/>
          <w:u w:val="single"/>
        </w:rPr>
      </w:pPr>
      <w:r w:rsidRPr="007143D2">
        <w:rPr>
          <w:rFonts w:eastAsia="DengXian" w:cs="Arial"/>
          <w:b/>
          <w:bCs/>
          <w:snapToGrid/>
          <w:szCs w:val="22"/>
          <w:u w:val="single"/>
        </w:rPr>
        <w:t>Sous-comité sur l’éducation et la formation (SCET)</w:t>
      </w:r>
    </w:p>
    <w:p w14:paraId="26F996D9" w14:textId="7EEB4846" w:rsidR="007143D2" w:rsidRPr="007143D2" w:rsidRDefault="007143D2" w:rsidP="007143D2">
      <w:pPr>
        <w:pStyle w:val="Marge"/>
        <w:rPr>
          <w:bCs/>
          <w:lang w:val="en-GB"/>
        </w:rPr>
      </w:pPr>
      <w:r>
        <w:t>20.</w:t>
      </w:r>
      <w:r>
        <w:tab/>
      </w:r>
      <w:r w:rsidRPr="007143D2">
        <w:t xml:space="preserve">Le </w:t>
      </w:r>
      <w:r w:rsidRPr="007143D2">
        <w:rPr>
          <w:i/>
          <w:iCs/>
        </w:rPr>
        <w:t>tableau 6</w:t>
      </w:r>
      <w:r w:rsidRPr="007143D2">
        <w:t xml:space="preserve"> récapitule les constatations relatives au SCET. Le SCET est le sous-comité le plus récent et se trouve encore dans sa phase de démarrage. Ainsi, la seule constatation concerne la nécessité de réviser le mandat lorsque la nouvelle stratégie de la GEBCO aura été élaborée.</w:t>
      </w:r>
    </w:p>
    <w:p w14:paraId="501CCB49" w14:textId="77777777" w:rsidR="007143D2" w:rsidRPr="007143D2" w:rsidRDefault="007143D2" w:rsidP="001F19BC">
      <w:pPr>
        <w:keepNext/>
        <w:tabs>
          <w:tab w:val="clear" w:pos="567"/>
        </w:tabs>
        <w:snapToGrid/>
        <w:spacing w:after="180"/>
        <w:jc w:val="both"/>
        <w:rPr>
          <w:rFonts w:eastAsia="MS Mincho" w:cs="Arial"/>
          <w:i/>
          <w:iCs/>
          <w:snapToGrid/>
          <w:szCs w:val="22"/>
          <w:lang w:val="en-GB" w:eastAsia="ja-JP"/>
        </w:rPr>
      </w:pPr>
      <w:r w:rsidRPr="007143D2">
        <w:rPr>
          <w:rFonts w:eastAsia="MS Mincho" w:cs="Arial"/>
          <w:i/>
          <w:iCs/>
          <w:snapToGrid/>
          <w:szCs w:val="22"/>
          <w:lang w:eastAsia="ja-JP"/>
        </w:rPr>
        <w:t>Tableau 6 – Premières constatations sur le SCET</w:t>
      </w:r>
    </w:p>
    <w:tbl>
      <w:tblPr>
        <w:tblW w:w="5000" w:type="pct"/>
        <w:tblLayout w:type="fixed"/>
        <w:tblLook w:val="04A0" w:firstRow="1" w:lastRow="0" w:firstColumn="1" w:lastColumn="0" w:noHBand="0" w:noVBand="1"/>
      </w:tblPr>
      <w:tblGrid>
        <w:gridCol w:w="1839"/>
        <w:gridCol w:w="1417"/>
        <w:gridCol w:w="3050"/>
        <w:gridCol w:w="3322"/>
      </w:tblGrid>
      <w:tr w:rsidR="007143D2" w:rsidRPr="007143D2" w14:paraId="34A457D6" w14:textId="77777777" w:rsidTr="001F19BC">
        <w:trPr>
          <w:cantSplit/>
          <w:trHeight w:val="290"/>
        </w:trPr>
        <w:tc>
          <w:tcPr>
            <w:tcW w:w="955" w:type="pct"/>
            <w:tcBorders>
              <w:top w:val="single" w:sz="4" w:space="0" w:color="auto"/>
              <w:left w:val="single" w:sz="4" w:space="0" w:color="auto"/>
              <w:bottom w:val="single" w:sz="4" w:space="0" w:color="auto"/>
              <w:right w:val="single" w:sz="4" w:space="0" w:color="auto"/>
            </w:tcBorders>
            <w:shd w:val="clear" w:color="auto" w:fill="auto"/>
            <w:noWrap/>
            <w:tcMar>
              <w:left w:w="85" w:type="dxa"/>
              <w:right w:w="57" w:type="dxa"/>
            </w:tcMar>
            <w:hideMark/>
          </w:tcPr>
          <w:p w14:paraId="7BAFA228" w14:textId="77777777" w:rsidR="007143D2" w:rsidRPr="007143D2" w:rsidRDefault="007143D2" w:rsidP="001F19BC">
            <w:pPr>
              <w:keepNext/>
              <w:tabs>
                <w:tab w:val="clear" w:pos="567"/>
              </w:tabs>
              <w:snapToGrid/>
              <w:spacing w:before="40" w:after="120" w:line="259" w:lineRule="auto"/>
              <w:jc w:val="both"/>
              <w:rPr>
                <w:rFonts w:eastAsia="DengXian" w:cs="Arial"/>
                <w:b/>
                <w:bCs/>
                <w:snapToGrid/>
                <w:color w:val="000000"/>
                <w:spacing w:val="-3"/>
                <w:szCs w:val="22"/>
              </w:rPr>
            </w:pPr>
            <w:r w:rsidRPr="007143D2">
              <w:rPr>
                <w:rFonts w:eastAsia="DengXian" w:cs="Arial"/>
                <w:b/>
                <w:bCs/>
                <w:snapToGrid/>
                <w:spacing w:val="-3"/>
                <w:szCs w:val="22"/>
              </w:rPr>
              <w:t>Constatation n°</w:t>
            </w:r>
          </w:p>
        </w:tc>
        <w:tc>
          <w:tcPr>
            <w:tcW w:w="736" w:type="pct"/>
            <w:tcBorders>
              <w:top w:val="single" w:sz="4" w:space="0" w:color="auto"/>
              <w:left w:val="nil"/>
              <w:bottom w:val="single" w:sz="4" w:space="0" w:color="auto"/>
              <w:right w:val="single" w:sz="4" w:space="0" w:color="auto"/>
            </w:tcBorders>
            <w:shd w:val="clear" w:color="auto" w:fill="auto"/>
            <w:noWrap/>
            <w:tcMar>
              <w:left w:w="85" w:type="dxa"/>
              <w:right w:w="57" w:type="dxa"/>
            </w:tcMar>
            <w:hideMark/>
          </w:tcPr>
          <w:p w14:paraId="1BECD54A" w14:textId="77777777" w:rsidR="007143D2" w:rsidRPr="007143D2" w:rsidRDefault="007143D2" w:rsidP="001F19BC">
            <w:pPr>
              <w:keepNext/>
              <w:tabs>
                <w:tab w:val="clear" w:pos="567"/>
              </w:tabs>
              <w:snapToGrid/>
              <w:spacing w:before="40" w:after="120" w:line="259" w:lineRule="auto"/>
              <w:jc w:val="both"/>
              <w:rPr>
                <w:rFonts w:eastAsia="DengXian" w:cs="Arial"/>
                <w:b/>
                <w:bCs/>
                <w:snapToGrid/>
                <w:color w:val="000000"/>
                <w:szCs w:val="22"/>
              </w:rPr>
            </w:pPr>
            <w:r w:rsidRPr="007143D2">
              <w:rPr>
                <w:rFonts w:eastAsia="DengXian" w:cs="Arial"/>
                <w:b/>
                <w:bCs/>
                <w:snapToGrid/>
                <w:szCs w:val="22"/>
              </w:rPr>
              <w:t>Type</w:t>
            </w:r>
          </w:p>
        </w:tc>
        <w:tc>
          <w:tcPr>
            <w:tcW w:w="1584" w:type="pct"/>
            <w:tcBorders>
              <w:top w:val="single" w:sz="4" w:space="0" w:color="auto"/>
              <w:left w:val="nil"/>
              <w:bottom w:val="single" w:sz="4" w:space="0" w:color="auto"/>
              <w:right w:val="single" w:sz="4" w:space="0" w:color="auto"/>
            </w:tcBorders>
            <w:shd w:val="clear" w:color="auto" w:fill="auto"/>
            <w:noWrap/>
            <w:tcMar>
              <w:left w:w="85" w:type="dxa"/>
              <w:right w:w="57" w:type="dxa"/>
            </w:tcMar>
            <w:hideMark/>
          </w:tcPr>
          <w:p w14:paraId="67BF3BFE" w14:textId="77777777" w:rsidR="007143D2" w:rsidRPr="007143D2" w:rsidRDefault="007143D2" w:rsidP="001F19BC">
            <w:pPr>
              <w:keepNext/>
              <w:tabs>
                <w:tab w:val="clear" w:pos="567"/>
              </w:tabs>
              <w:snapToGrid/>
              <w:spacing w:before="40" w:after="120" w:line="259" w:lineRule="auto"/>
              <w:jc w:val="both"/>
              <w:rPr>
                <w:rFonts w:eastAsia="DengXian" w:cs="Arial"/>
                <w:b/>
                <w:bCs/>
                <w:snapToGrid/>
                <w:color w:val="000000"/>
                <w:szCs w:val="22"/>
              </w:rPr>
            </w:pPr>
            <w:r w:rsidRPr="007143D2">
              <w:rPr>
                <w:rFonts w:eastAsia="DengXian" w:cs="Arial"/>
                <w:b/>
                <w:bCs/>
                <w:snapToGrid/>
                <w:szCs w:val="22"/>
              </w:rPr>
              <w:t>Précisions</w:t>
            </w:r>
          </w:p>
        </w:tc>
        <w:tc>
          <w:tcPr>
            <w:tcW w:w="1725" w:type="pct"/>
            <w:tcBorders>
              <w:top w:val="single" w:sz="4" w:space="0" w:color="auto"/>
              <w:left w:val="nil"/>
              <w:bottom w:val="single" w:sz="4" w:space="0" w:color="auto"/>
              <w:right w:val="single" w:sz="4" w:space="0" w:color="auto"/>
            </w:tcBorders>
            <w:shd w:val="clear" w:color="auto" w:fill="auto"/>
            <w:noWrap/>
            <w:tcMar>
              <w:left w:w="85" w:type="dxa"/>
              <w:right w:w="57" w:type="dxa"/>
            </w:tcMar>
            <w:hideMark/>
          </w:tcPr>
          <w:p w14:paraId="2E6D5D63" w14:textId="77777777" w:rsidR="007143D2" w:rsidRPr="007143D2" w:rsidRDefault="007143D2" w:rsidP="001F19BC">
            <w:pPr>
              <w:keepNext/>
              <w:tabs>
                <w:tab w:val="clear" w:pos="567"/>
              </w:tabs>
              <w:snapToGrid/>
              <w:spacing w:before="40" w:after="120" w:line="259" w:lineRule="auto"/>
              <w:jc w:val="both"/>
              <w:rPr>
                <w:rFonts w:eastAsia="DengXian" w:cs="Arial"/>
                <w:b/>
                <w:bCs/>
                <w:snapToGrid/>
                <w:color w:val="000000"/>
                <w:szCs w:val="22"/>
              </w:rPr>
            </w:pPr>
            <w:r w:rsidRPr="007143D2">
              <w:rPr>
                <w:rFonts w:eastAsia="DengXian" w:cs="Arial"/>
                <w:b/>
                <w:bCs/>
                <w:snapToGrid/>
                <w:szCs w:val="22"/>
              </w:rPr>
              <w:t>Recommandation</w:t>
            </w:r>
          </w:p>
        </w:tc>
      </w:tr>
      <w:tr w:rsidR="007143D2" w:rsidRPr="007143D2" w14:paraId="5C9814E1" w14:textId="77777777" w:rsidTr="001F19BC">
        <w:trPr>
          <w:cantSplit/>
          <w:trHeight w:val="870"/>
        </w:trPr>
        <w:tc>
          <w:tcPr>
            <w:tcW w:w="955" w:type="pct"/>
            <w:tcBorders>
              <w:top w:val="nil"/>
              <w:left w:val="single" w:sz="4" w:space="0" w:color="auto"/>
              <w:bottom w:val="single" w:sz="4" w:space="0" w:color="auto"/>
              <w:right w:val="single" w:sz="4" w:space="0" w:color="auto"/>
            </w:tcBorders>
            <w:shd w:val="clear" w:color="auto" w:fill="auto"/>
            <w:noWrap/>
            <w:tcMar>
              <w:left w:w="85" w:type="dxa"/>
              <w:right w:w="57" w:type="dxa"/>
            </w:tcMar>
            <w:hideMark/>
          </w:tcPr>
          <w:p w14:paraId="1FCA816A" w14:textId="77777777" w:rsidR="007143D2" w:rsidRPr="007143D2" w:rsidRDefault="007143D2" w:rsidP="001F19BC">
            <w:pPr>
              <w:tabs>
                <w:tab w:val="clear" w:pos="567"/>
              </w:tabs>
              <w:snapToGrid/>
              <w:spacing w:after="120" w:line="259" w:lineRule="auto"/>
              <w:jc w:val="both"/>
              <w:rPr>
                <w:rFonts w:eastAsia="DengXian" w:cs="Arial"/>
                <w:snapToGrid/>
                <w:color w:val="000000"/>
                <w:szCs w:val="22"/>
              </w:rPr>
            </w:pPr>
            <w:r w:rsidRPr="007143D2">
              <w:rPr>
                <w:rFonts w:eastAsia="DengXian" w:cs="Arial"/>
                <w:snapToGrid/>
                <w:szCs w:val="22"/>
              </w:rPr>
              <w:t>SCET 1</w:t>
            </w:r>
          </w:p>
        </w:tc>
        <w:tc>
          <w:tcPr>
            <w:tcW w:w="736" w:type="pct"/>
            <w:tcBorders>
              <w:top w:val="nil"/>
              <w:left w:val="nil"/>
              <w:bottom w:val="single" w:sz="4" w:space="0" w:color="auto"/>
              <w:right w:val="single" w:sz="4" w:space="0" w:color="auto"/>
            </w:tcBorders>
            <w:shd w:val="clear" w:color="auto" w:fill="auto"/>
            <w:tcMar>
              <w:left w:w="85" w:type="dxa"/>
              <w:right w:w="57" w:type="dxa"/>
            </w:tcMar>
            <w:hideMark/>
          </w:tcPr>
          <w:p w14:paraId="36D37CBA" w14:textId="77777777" w:rsidR="007143D2" w:rsidRPr="007143D2" w:rsidRDefault="007143D2" w:rsidP="001F19BC">
            <w:pPr>
              <w:tabs>
                <w:tab w:val="clear" w:pos="567"/>
              </w:tabs>
              <w:snapToGrid/>
              <w:spacing w:after="120" w:line="259" w:lineRule="auto"/>
              <w:jc w:val="both"/>
              <w:rPr>
                <w:rFonts w:eastAsia="DengXian" w:cs="Arial"/>
                <w:snapToGrid/>
                <w:color w:val="000000"/>
                <w:szCs w:val="22"/>
              </w:rPr>
            </w:pPr>
            <w:r w:rsidRPr="007143D2">
              <w:rPr>
                <w:rFonts w:eastAsia="DengXian" w:cs="Arial"/>
                <w:snapToGrid/>
                <w:szCs w:val="22"/>
              </w:rPr>
              <w:t>Instrument</w:t>
            </w:r>
          </w:p>
        </w:tc>
        <w:tc>
          <w:tcPr>
            <w:tcW w:w="1584" w:type="pct"/>
            <w:tcBorders>
              <w:top w:val="nil"/>
              <w:left w:val="nil"/>
              <w:bottom w:val="single" w:sz="4" w:space="0" w:color="auto"/>
              <w:right w:val="single" w:sz="4" w:space="0" w:color="auto"/>
            </w:tcBorders>
            <w:shd w:val="clear" w:color="auto" w:fill="auto"/>
            <w:tcMar>
              <w:left w:w="85" w:type="dxa"/>
              <w:right w:w="57" w:type="dxa"/>
            </w:tcMar>
            <w:hideMark/>
          </w:tcPr>
          <w:p w14:paraId="6A64AE67" w14:textId="77777777" w:rsidR="007143D2" w:rsidRPr="007143D2" w:rsidRDefault="007143D2" w:rsidP="001F19BC">
            <w:pPr>
              <w:tabs>
                <w:tab w:val="clear" w:pos="567"/>
              </w:tabs>
              <w:snapToGrid/>
              <w:spacing w:after="120" w:line="259" w:lineRule="auto"/>
              <w:rPr>
                <w:rFonts w:eastAsia="DengXian" w:cs="Arial"/>
                <w:snapToGrid/>
                <w:color w:val="000000"/>
                <w:szCs w:val="22"/>
              </w:rPr>
            </w:pPr>
            <w:r w:rsidRPr="007143D2">
              <w:rPr>
                <w:rFonts w:eastAsia="DengXian" w:cs="Arial"/>
                <w:snapToGrid/>
                <w:szCs w:val="22"/>
              </w:rPr>
              <w:t>Le mandat est généralement adapté à l’objectif visé, mais devrait être révisé à la lumière de la stratégie afin de garantir la cohérence des objectifs.</w:t>
            </w:r>
          </w:p>
        </w:tc>
        <w:tc>
          <w:tcPr>
            <w:tcW w:w="1725" w:type="pct"/>
            <w:tcBorders>
              <w:top w:val="nil"/>
              <w:left w:val="nil"/>
              <w:bottom w:val="single" w:sz="4" w:space="0" w:color="auto"/>
              <w:right w:val="single" w:sz="4" w:space="0" w:color="auto"/>
            </w:tcBorders>
            <w:shd w:val="clear" w:color="auto" w:fill="auto"/>
            <w:tcMar>
              <w:left w:w="85" w:type="dxa"/>
              <w:right w:w="57" w:type="dxa"/>
            </w:tcMar>
            <w:hideMark/>
          </w:tcPr>
          <w:p w14:paraId="3383A685" w14:textId="214CBA08" w:rsidR="007143D2" w:rsidRPr="007143D2" w:rsidRDefault="007143D2" w:rsidP="001F19BC">
            <w:pPr>
              <w:tabs>
                <w:tab w:val="clear" w:pos="567"/>
              </w:tabs>
              <w:snapToGrid/>
              <w:spacing w:after="120" w:line="259" w:lineRule="auto"/>
              <w:rPr>
                <w:rFonts w:eastAsia="DengXian" w:cs="Arial"/>
                <w:snapToGrid/>
                <w:color w:val="000000"/>
                <w:szCs w:val="22"/>
              </w:rPr>
            </w:pPr>
            <w:r w:rsidRPr="007143D2">
              <w:rPr>
                <w:rFonts w:eastAsia="DengXian" w:cs="Arial"/>
                <w:snapToGrid/>
                <w:szCs w:val="22"/>
              </w:rPr>
              <w:t>Réviser le mandat pour qu’il corresponde à la stratégie</w:t>
            </w:r>
          </w:p>
        </w:tc>
      </w:tr>
    </w:tbl>
    <w:p w14:paraId="5165F067" w14:textId="77777777" w:rsidR="007143D2" w:rsidRPr="007143D2" w:rsidRDefault="007143D2" w:rsidP="001F19BC">
      <w:pPr>
        <w:pStyle w:val="Titre3"/>
        <w:rPr>
          <w:snapToGrid/>
        </w:rPr>
      </w:pPr>
      <w:r w:rsidRPr="007143D2">
        <w:rPr>
          <w:rFonts w:eastAsia="DengXian"/>
          <w:snapToGrid/>
        </w:rPr>
        <w:lastRenderedPageBreak/>
        <w:t>Prochaines étapes</w:t>
      </w:r>
    </w:p>
    <w:p w14:paraId="5C82372A" w14:textId="3B29B132" w:rsidR="007143D2" w:rsidRPr="004A0B80" w:rsidRDefault="007143D2" w:rsidP="001F19BC">
      <w:pPr>
        <w:pStyle w:val="Marge"/>
        <w:rPr>
          <w:rFonts w:eastAsia="Arial Unicode MS"/>
        </w:rPr>
      </w:pPr>
      <w:r>
        <w:rPr>
          <w:rFonts w:eastAsia="DengXian"/>
          <w:snapToGrid/>
        </w:rPr>
        <w:t>21.</w:t>
      </w:r>
      <w:r>
        <w:rPr>
          <w:rFonts w:eastAsia="DengXian"/>
          <w:snapToGrid/>
        </w:rPr>
        <w:tab/>
      </w:r>
      <w:r w:rsidRPr="007143D2">
        <w:rPr>
          <w:rFonts w:eastAsia="DengXian"/>
          <w:snapToGrid/>
        </w:rPr>
        <w:t>Les premières constatations présentées dans le présent document ont fait l’objet d’une discussion avec les équipes des Présidents des organes de la GEBCO concernés. En raison de la complexité de l’activité, et malgré les progrès significatifs accomplis pour achever des éléments essentiels de l’examen, le Comité directeur de la GEBCO doit encore discuter du rapport final et des recommandations lors de sa 40</w:t>
      </w:r>
      <w:r w:rsidRPr="007143D2">
        <w:rPr>
          <w:rFonts w:eastAsia="DengXian"/>
          <w:snapToGrid/>
          <w:vertAlign w:val="superscript"/>
        </w:rPr>
        <w:t>e</w:t>
      </w:r>
      <w:r w:rsidRPr="007143D2">
        <w:rPr>
          <w:rFonts w:eastAsia="DengXian"/>
          <w:snapToGrid/>
        </w:rPr>
        <w:t xml:space="preserve"> session en novembre 2023, avant que les </w:t>
      </w:r>
      <w:r w:rsidR="001372A0" w:rsidRPr="001372A0">
        <w:rPr>
          <w:rFonts w:eastAsia="DengXian"/>
          <w:snapToGrid/>
        </w:rPr>
        <w:t>organisations mères ne les examinent en 2024.</w:t>
      </w:r>
    </w:p>
    <w:p w14:paraId="62711E9A" w14:textId="77777777" w:rsidR="004A0B80" w:rsidRDefault="004A0B80" w:rsidP="008E6E54">
      <w:pPr>
        <w:pStyle w:val="Marge"/>
      </w:pPr>
    </w:p>
    <w:sectPr w:rsidR="004A0B80" w:rsidSect="003F7186">
      <w:headerReference w:type="even" r:id="rId13"/>
      <w:headerReference w:type="default" r:id="rId14"/>
      <w:footerReference w:type="even" r:id="rId15"/>
      <w:footerReference w:type="default" r:id="rId16"/>
      <w:headerReference w:type="first" r:id="rId17"/>
      <w:footerReference w:type="first" r:id="rId18"/>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B370E" w14:textId="77777777" w:rsidR="0071233D" w:rsidRDefault="0071233D">
      <w:r>
        <w:separator/>
      </w:r>
    </w:p>
  </w:endnote>
  <w:endnote w:type="continuationSeparator" w:id="0">
    <w:p w14:paraId="6B2EB416" w14:textId="77777777" w:rsidR="0071233D" w:rsidRDefault="00712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DEC92" w14:textId="77777777" w:rsidR="00732C1F" w:rsidRDefault="00732C1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2F738" w14:textId="77777777" w:rsidR="00732C1F" w:rsidRDefault="00732C1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56230" w14:textId="77777777" w:rsidR="00732C1F" w:rsidRDefault="00732C1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57AF1" w14:textId="77777777" w:rsidR="0071233D" w:rsidRDefault="0071233D">
      <w:r>
        <w:separator/>
      </w:r>
    </w:p>
  </w:footnote>
  <w:footnote w:type="continuationSeparator" w:id="0">
    <w:p w14:paraId="22B433DA" w14:textId="77777777" w:rsidR="0071233D" w:rsidRDefault="00712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7D8F" w14:textId="118AB966" w:rsidR="003F3C42" w:rsidRPr="00FF54F5" w:rsidRDefault="003F3C42" w:rsidP="003F3C42">
    <w:pPr>
      <w:pStyle w:val="En-tte"/>
      <w:spacing w:after="240"/>
      <w:rPr>
        <w:rFonts w:cs="Arial"/>
        <w:bCs/>
        <w:szCs w:val="22"/>
      </w:rPr>
    </w:pPr>
    <w:bookmarkStart w:id="0" w:name="_Hlk130197366"/>
    <w:r w:rsidRPr="00352423">
      <w:rPr>
        <w:rFonts w:cs="Arial"/>
        <w:bCs/>
        <w:szCs w:val="22"/>
      </w:rPr>
      <w:t>IOC/</w:t>
    </w:r>
    <w:r w:rsidR="000723F0">
      <w:rPr>
        <w:rFonts w:cs="Arial"/>
        <w:bCs/>
        <w:szCs w:val="22"/>
      </w:rPr>
      <w:t>A-32/2.1.Doc Prov.</w:t>
    </w:r>
    <w:bookmarkEnd w:id="0"/>
    <w:r w:rsidRPr="00FF54F5">
      <w:rPr>
        <w:rFonts w:cs="Arial"/>
        <w:bCs/>
        <w:szCs w:val="22"/>
      </w:rPr>
      <w:t xml:space="preserve"> – page </w:t>
    </w:r>
    <w:sdt>
      <w:sdtPr>
        <w:rPr>
          <w:rFonts w:cs="Arial"/>
          <w:bCs/>
          <w:szCs w:val="22"/>
        </w:rPr>
        <w:id w:val="554519101"/>
        <w:docPartObj>
          <w:docPartGallery w:val="Page Numbers (Top of Page)"/>
          <w:docPartUnique/>
        </w:docPartObj>
      </w:sdtPr>
      <w:sdtEndPr/>
      <w:sdtContent>
        <w:r w:rsidRPr="00FF54F5">
          <w:rPr>
            <w:rFonts w:cs="Arial"/>
            <w:bCs/>
            <w:szCs w:val="22"/>
          </w:rPr>
          <w:fldChar w:fldCharType="begin"/>
        </w:r>
        <w:r w:rsidRPr="00FF54F5">
          <w:rPr>
            <w:rFonts w:cs="Arial"/>
            <w:bCs/>
            <w:szCs w:val="22"/>
          </w:rPr>
          <w:instrText>PAGE   \* MERGEFORMAT</w:instrText>
        </w:r>
        <w:r w:rsidRPr="00FF54F5">
          <w:rPr>
            <w:rFonts w:cs="Arial"/>
            <w:bCs/>
            <w:szCs w:val="22"/>
          </w:rPr>
          <w:fldChar w:fldCharType="separate"/>
        </w:r>
        <w:r>
          <w:rPr>
            <w:rFonts w:cs="Arial"/>
            <w:bCs/>
            <w:szCs w:val="22"/>
          </w:rPr>
          <w:t>2</w:t>
        </w:r>
        <w:r w:rsidRPr="00FF54F5">
          <w:rPr>
            <w:rFonts w:cs="Arial"/>
            <w:bCs/>
            <w:szCs w:val="22"/>
          </w:rPr>
          <w:fldChar w:fldCharType="end"/>
        </w:r>
      </w:sdtContent>
    </w:sdt>
  </w:p>
  <w:p w14:paraId="46CE599C" w14:textId="069EC3C1" w:rsidR="00755CED" w:rsidRPr="003F3C42" w:rsidRDefault="00755CED" w:rsidP="003F3C4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D428" w14:textId="07025ACC" w:rsidR="00755CED" w:rsidRDefault="000723F0" w:rsidP="000723F0">
    <w:pPr>
      <w:pStyle w:val="En-tte"/>
      <w:jc w:val="right"/>
    </w:pPr>
    <w:r w:rsidRPr="00352423">
      <w:rPr>
        <w:rFonts w:cs="Arial"/>
        <w:bCs/>
        <w:szCs w:val="22"/>
      </w:rPr>
      <w:t>IOC/</w:t>
    </w:r>
    <w:r>
      <w:rPr>
        <w:rFonts w:cs="Arial"/>
        <w:bCs/>
        <w:szCs w:val="22"/>
      </w:rPr>
      <w:t>A-32/2.1.Doc Prov. – page</w:t>
    </w:r>
    <w:r w:rsidR="00393110">
      <w:rPr>
        <w:rFonts w:cs="Arial"/>
        <w:bCs/>
        <w:szCs w:val="22"/>
      </w:rPr>
      <w:t> </w:t>
    </w:r>
    <w:r w:rsidR="00755CED">
      <w:fldChar w:fldCharType="begin"/>
    </w:r>
    <w:r w:rsidR="00755CED">
      <w:instrText>PAGE   \* MERGEFORMAT</w:instrText>
    </w:r>
    <w:r w:rsidR="00755CED">
      <w:fldChar w:fldCharType="separate"/>
    </w:r>
    <w:r w:rsidR="004D05D2">
      <w:rPr>
        <w:noProof/>
      </w:rPr>
      <w:t>13</w:t>
    </w:r>
    <w:r w:rsidR="00755CE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C99A" w14:textId="3A6F683D" w:rsidR="00EB3895" w:rsidRDefault="000723F0">
    <w:pPr>
      <w:pStyle w:val="En-tte"/>
    </w:pPr>
    <w:r>
      <w:rPr>
        <w:noProof/>
      </w:rPr>
      <mc:AlternateContent>
        <mc:Choice Requires="wps">
          <w:drawing>
            <wp:anchor distT="45720" distB="45720" distL="114300" distR="114300" simplePos="0" relativeHeight="251661312" behindDoc="0" locked="0" layoutInCell="1" allowOverlap="1" wp14:anchorId="695F0820" wp14:editId="5BFDF62F">
              <wp:simplePos x="0" y="0"/>
              <wp:positionH relativeFrom="column">
                <wp:posOffset>3575050</wp:posOffset>
              </wp:positionH>
              <wp:positionV relativeFrom="paragraph">
                <wp:posOffset>-93980</wp:posOffset>
              </wp:positionV>
              <wp:extent cx="2660015" cy="1404620"/>
              <wp:effectExtent l="0" t="0" r="0" b="12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015" cy="1404620"/>
                      </a:xfrm>
                      <a:prstGeom prst="rect">
                        <a:avLst/>
                      </a:prstGeom>
                      <a:noFill/>
                      <a:ln w="9525">
                        <a:noFill/>
                        <a:miter lim="800000"/>
                        <a:headEnd/>
                        <a:tailEnd/>
                      </a:ln>
                    </wps:spPr>
                    <wps:txbx>
                      <w:txbxContent>
                        <w:p w14:paraId="6C6242B4" w14:textId="45E7EFEE" w:rsidR="00EB3895" w:rsidRPr="002A5D14" w:rsidRDefault="00EB3895" w:rsidP="00EB3895">
                          <w:pPr>
                            <w:pStyle w:val="Marge"/>
                            <w:tabs>
                              <w:tab w:val="left" w:pos="6237"/>
                              <w:tab w:val="left" w:pos="7088"/>
                            </w:tabs>
                            <w:spacing w:after="0"/>
                            <w:rPr>
                              <w:rFonts w:cs="Arial"/>
                              <w:b/>
                              <w:sz w:val="36"/>
                              <w:szCs w:val="36"/>
                            </w:rPr>
                          </w:pPr>
                          <w:bookmarkStart w:id="1" w:name="_Hlk54263549"/>
                          <w:r w:rsidRPr="002A5D14">
                            <w:rPr>
                              <w:rFonts w:cs="Arial"/>
                              <w:b/>
                              <w:sz w:val="36"/>
                              <w:szCs w:val="36"/>
                            </w:rPr>
                            <w:t>IOC/</w:t>
                          </w:r>
                          <w:r w:rsidR="000723F0">
                            <w:rPr>
                              <w:rFonts w:cs="Arial"/>
                              <w:b/>
                              <w:sz w:val="36"/>
                              <w:szCs w:val="36"/>
                            </w:rPr>
                            <w:t>A-32</w:t>
                          </w:r>
                          <w:r w:rsidRPr="002A5D14">
                            <w:rPr>
                              <w:rFonts w:cs="Arial"/>
                              <w:b/>
                              <w:sz w:val="36"/>
                              <w:szCs w:val="36"/>
                            </w:rPr>
                            <w:t>/</w:t>
                          </w:r>
                          <w:bookmarkEnd w:id="1"/>
                          <w:r w:rsidR="00AA714F">
                            <w:rPr>
                              <w:rFonts w:cs="Arial"/>
                              <w:b/>
                              <w:sz w:val="36"/>
                              <w:szCs w:val="36"/>
                            </w:rPr>
                            <w:t>4</w:t>
                          </w:r>
                          <w:r w:rsidR="006C07E7">
                            <w:rPr>
                              <w:rFonts w:cs="Arial"/>
                              <w:b/>
                              <w:sz w:val="36"/>
                              <w:szCs w:val="36"/>
                            </w:rPr>
                            <w:t>.</w:t>
                          </w:r>
                          <w:r w:rsidR="007143D2">
                            <w:rPr>
                              <w:rFonts w:cs="Arial"/>
                              <w:b/>
                              <w:sz w:val="36"/>
                              <w:szCs w:val="36"/>
                            </w:rPr>
                            <w:t>1</w:t>
                          </w:r>
                          <w:r w:rsidR="00F97E19">
                            <w:rPr>
                              <w:rFonts w:cs="Arial"/>
                              <w:b/>
                              <w:sz w:val="36"/>
                              <w:szCs w:val="36"/>
                            </w:rPr>
                            <w:t>.Doc(1)</w:t>
                          </w:r>
                        </w:p>
                        <w:p w14:paraId="10A5E3DC" w14:textId="7524EF26"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AA714F">
                            <w:rPr>
                              <w:rFonts w:cs="Arial"/>
                              <w:szCs w:val="22"/>
                            </w:rPr>
                            <w:t>2</w:t>
                          </w:r>
                          <w:r w:rsidR="007143D2">
                            <w:rPr>
                              <w:rFonts w:cs="Arial"/>
                              <w:szCs w:val="22"/>
                            </w:rPr>
                            <w:t>9</w:t>
                          </w:r>
                          <w:r w:rsidR="003864FF">
                            <w:rPr>
                              <w:rFonts w:cs="Arial"/>
                              <w:szCs w:val="22"/>
                            </w:rPr>
                            <w:t xml:space="preserve"> </w:t>
                          </w:r>
                          <w:r w:rsidR="00AA714F">
                            <w:rPr>
                              <w:rFonts w:cs="Arial"/>
                              <w:szCs w:val="22"/>
                            </w:rPr>
                            <w:t>mai</w:t>
                          </w:r>
                          <w:r w:rsidRPr="002A5D14">
                            <w:rPr>
                              <w:rFonts w:cs="Arial"/>
                              <w:szCs w:val="22"/>
                            </w:rPr>
                            <w:t xml:space="preserve"> 202</w:t>
                          </w:r>
                          <w:r w:rsidR="000723F0">
                            <w:rPr>
                              <w:rFonts w:cs="Arial"/>
                              <w:szCs w:val="22"/>
                            </w:rPr>
                            <w:t>3</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5F0820" id="_x0000_t202" coordsize="21600,21600" o:spt="202" path="m,l,21600r21600,l21600,xe">
              <v:stroke joinstyle="miter"/>
              <v:path gradientshapeok="t" o:connecttype="rect"/>
            </v:shapetype>
            <v:shape id="Zone de texte 2" o:spid="_x0000_s1037" type="#_x0000_t202" style="position:absolute;margin-left:281.5pt;margin-top:-7.4pt;width:209.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" filled="f" stroked="f">
              <v:textbox style="mso-fit-shape-to-text:t">
                <w:txbxContent>
                  <w:p w14:paraId="6C6242B4" w14:textId="45E7EFEE" w:rsidR="00EB3895" w:rsidRPr="002A5D14" w:rsidRDefault="00EB3895" w:rsidP="00EB3895">
                    <w:pPr>
                      <w:pStyle w:val="Marge"/>
                      <w:tabs>
                        <w:tab w:val="left" w:pos="6237"/>
                        <w:tab w:val="left" w:pos="7088"/>
                      </w:tabs>
                      <w:spacing w:after="0"/>
                      <w:rPr>
                        <w:rFonts w:cs="Arial"/>
                        <w:b/>
                        <w:sz w:val="36"/>
                        <w:szCs w:val="36"/>
                      </w:rPr>
                    </w:pPr>
                    <w:bookmarkStart w:id="2" w:name="_Hlk54263549"/>
                    <w:r w:rsidRPr="002A5D14">
                      <w:rPr>
                        <w:rFonts w:cs="Arial"/>
                        <w:b/>
                        <w:sz w:val="36"/>
                        <w:szCs w:val="36"/>
                      </w:rPr>
                      <w:t>IOC/</w:t>
                    </w:r>
                    <w:r w:rsidR="000723F0">
                      <w:rPr>
                        <w:rFonts w:cs="Arial"/>
                        <w:b/>
                        <w:sz w:val="36"/>
                        <w:szCs w:val="36"/>
                      </w:rPr>
                      <w:t>A-32</w:t>
                    </w:r>
                    <w:r w:rsidRPr="002A5D14">
                      <w:rPr>
                        <w:rFonts w:cs="Arial"/>
                        <w:b/>
                        <w:sz w:val="36"/>
                        <w:szCs w:val="36"/>
                      </w:rPr>
                      <w:t>/</w:t>
                    </w:r>
                    <w:bookmarkEnd w:id="2"/>
                    <w:r w:rsidR="00AA714F">
                      <w:rPr>
                        <w:rFonts w:cs="Arial"/>
                        <w:b/>
                        <w:sz w:val="36"/>
                        <w:szCs w:val="36"/>
                      </w:rPr>
                      <w:t>4</w:t>
                    </w:r>
                    <w:r w:rsidR="006C07E7">
                      <w:rPr>
                        <w:rFonts w:cs="Arial"/>
                        <w:b/>
                        <w:sz w:val="36"/>
                        <w:szCs w:val="36"/>
                      </w:rPr>
                      <w:t>.</w:t>
                    </w:r>
                    <w:r w:rsidR="007143D2">
                      <w:rPr>
                        <w:rFonts w:cs="Arial"/>
                        <w:b/>
                        <w:sz w:val="36"/>
                        <w:szCs w:val="36"/>
                      </w:rPr>
                      <w:t>1</w:t>
                    </w:r>
                    <w:r w:rsidR="00F97E19">
                      <w:rPr>
                        <w:rFonts w:cs="Arial"/>
                        <w:b/>
                        <w:sz w:val="36"/>
                        <w:szCs w:val="36"/>
                      </w:rPr>
                      <w:t>.Doc(1)</w:t>
                    </w:r>
                  </w:p>
                  <w:p w14:paraId="10A5E3DC" w14:textId="7524EF26"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AA714F">
                      <w:rPr>
                        <w:rFonts w:cs="Arial"/>
                        <w:szCs w:val="22"/>
                      </w:rPr>
                      <w:t>2</w:t>
                    </w:r>
                    <w:r w:rsidR="007143D2">
                      <w:rPr>
                        <w:rFonts w:cs="Arial"/>
                        <w:szCs w:val="22"/>
                      </w:rPr>
                      <w:t>9</w:t>
                    </w:r>
                    <w:r w:rsidR="003864FF">
                      <w:rPr>
                        <w:rFonts w:cs="Arial"/>
                        <w:szCs w:val="22"/>
                      </w:rPr>
                      <w:t xml:space="preserve"> </w:t>
                    </w:r>
                    <w:r w:rsidR="00AA714F">
                      <w:rPr>
                        <w:rFonts w:cs="Arial"/>
                        <w:szCs w:val="22"/>
                      </w:rPr>
                      <w:t>mai</w:t>
                    </w:r>
                    <w:r w:rsidRPr="002A5D14">
                      <w:rPr>
                        <w:rFonts w:cs="Arial"/>
                        <w:szCs w:val="22"/>
                      </w:rPr>
                      <w:t xml:space="preserve"> 202</w:t>
                    </w:r>
                    <w:r w:rsidR="000723F0">
                      <w:rPr>
                        <w:rFonts w:cs="Arial"/>
                        <w:szCs w:val="22"/>
                      </w:rPr>
                      <w:t>3</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v:textbox>
              <w10:wrap type="square"/>
            </v:shape>
          </w:pict>
        </mc:Fallback>
      </mc:AlternateContent>
    </w:r>
    <w:r w:rsidR="00DA71B9">
      <w:rPr>
        <w:rFonts w:cs="Arial"/>
        <w:b/>
        <w:noProof/>
        <w:snapToGrid/>
        <w:szCs w:val="22"/>
        <w:lang w:eastAsia="fr-FR"/>
      </w:rPr>
      <w:drawing>
        <wp:anchor distT="0" distB="0" distL="114300" distR="114300" simplePos="0" relativeHeight="251659264" behindDoc="0" locked="0" layoutInCell="1" allowOverlap="1" wp14:anchorId="50B79300" wp14:editId="2EBE22C5">
          <wp:simplePos x="0" y="0"/>
          <wp:positionH relativeFrom="column">
            <wp:posOffset>-103201</wp:posOffset>
          </wp:positionH>
          <wp:positionV relativeFrom="paragraph">
            <wp:posOffset>254000</wp:posOffset>
          </wp:positionV>
          <wp:extent cx="1578610" cy="1047115"/>
          <wp:effectExtent l="0" t="0" r="2540" b="63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EB3895">
      <w:t>Distribution limitée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C66BE" w14:textId="6FF05AFF" w:rsidR="00020AA1" w:rsidRPr="006842FA" w:rsidRDefault="00E26B0D" w:rsidP="00AA714F">
    <w:pPr>
      <w:pStyle w:val="En-tte"/>
      <w:rPr>
        <w:rFonts w:cs="Arial"/>
        <w:sz w:val="20"/>
        <w:szCs w:val="20"/>
      </w:rPr>
    </w:pPr>
    <w:r>
      <w:t>IOC</w:t>
    </w:r>
    <w:r w:rsidR="00E41528">
      <w:t>/A</w:t>
    </w:r>
    <w:r>
      <w:t>-32/</w:t>
    </w:r>
    <w:r w:rsidR="00AA714F">
      <w:t>4</w:t>
    </w:r>
    <w:r>
      <w:t>.</w:t>
    </w:r>
    <w:r w:rsidR="007143D2">
      <w:t>1</w:t>
    </w:r>
    <w:r w:rsidR="006C07E7">
      <w:t>.</w:t>
    </w:r>
    <w:r>
      <w:t>Doc(1)</w:t>
    </w:r>
    <w:r w:rsidR="00AA714F">
      <w:t xml:space="preserve"> – </w:t>
    </w:r>
    <w:r w:rsidRPr="00732C1F">
      <w:rPr>
        <w:rFonts w:cs="Arial"/>
        <w:szCs w:val="22"/>
      </w:rPr>
      <w:t>page </w:t>
    </w:r>
    <w:r w:rsidRPr="00732C1F">
      <w:rPr>
        <w:rStyle w:val="Numrodepage"/>
        <w:rFonts w:cs="Arial"/>
        <w:szCs w:val="22"/>
      </w:rPr>
      <w:fldChar w:fldCharType="begin"/>
    </w:r>
    <w:r w:rsidRPr="00732C1F">
      <w:rPr>
        <w:rStyle w:val="Numrodepage"/>
        <w:rFonts w:cs="Arial"/>
        <w:szCs w:val="22"/>
      </w:rPr>
      <w:instrText xml:space="preserve"> PAGE </w:instrText>
    </w:r>
    <w:r w:rsidRPr="00732C1F">
      <w:rPr>
        <w:rStyle w:val="Numrodepage"/>
        <w:rFonts w:cs="Arial"/>
        <w:szCs w:val="22"/>
      </w:rPr>
      <w:fldChar w:fldCharType="separate"/>
    </w:r>
    <w:r w:rsidRPr="00732C1F">
      <w:rPr>
        <w:rStyle w:val="Numrodepage"/>
        <w:rFonts w:cs="Arial"/>
        <w:noProof/>
        <w:szCs w:val="22"/>
      </w:rPr>
      <w:t>2</w:t>
    </w:r>
    <w:r w:rsidRPr="00732C1F">
      <w:rPr>
        <w:rStyle w:val="Numrodepage"/>
        <w:rFonts w:cs="Arial"/>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C54F" w14:textId="6E497AE3" w:rsidR="00020AA1" w:rsidRPr="00732C1F" w:rsidRDefault="00E26B0D" w:rsidP="00AA714F">
    <w:pPr>
      <w:pStyle w:val="En-tte"/>
      <w:ind w:left="6521"/>
      <w:rPr>
        <w:rFonts w:cs="Arial"/>
        <w:color w:val="000000" w:themeColor="text1"/>
        <w:sz w:val="20"/>
        <w:szCs w:val="20"/>
      </w:rPr>
    </w:pPr>
    <w:r>
      <w:t>IOC</w:t>
    </w:r>
    <w:r w:rsidR="00E41528">
      <w:t>/A</w:t>
    </w:r>
    <w:r>
      <w:t>-32/</w:t>
    </w:r>
    <w:r w:rsidR="00AA714F">
      <w:t>4</w:t>
    </w:r>
    <w:r w:rsidR="00AD04A3">
      <w:t>.</w:t>
    </w:r>
    <w:r w:rsidR="007143D2">
      <w:t>1</w:t>
    </w:r>
    <w:r>
      <w:t>.Doc(1)</w:t>
    </w:r>
    <w:r w:rsidR="00AA714F">
      <w:t xml:space="preserve"> – </w:t>
    </w:r>
    <w:r w:rsidRPr="00732C1F">
      <w:rPr>
        <w:rFonts w:cs="Arial"/>
      </w:rPr>
      <w:t>page </w:t>
    </w:r>
    <w:r w:rsidRPr="00732C1F">
      <w:rPr>
        <w:rStyle w:val="Numrodepage"/>
        <w:rFonts w:cs="Arial"/>
      </w:rPr>
      <w:fldChar w:fldCharType="begin"/>
    </w:r>
    <w:r w:rsidRPr="00732C1F">
      <w:rPr>
        <w:rStyle w:val="Numrodepage"/>
        <w:rFonts w:cs="Arial"/>
      </w:rPr>
      <w:instrText xml:space="preserve"> PAGE </w:instrText>
    </w:r>
    <w:r w:rsidRPr="00732C1F">
      <w:rPr>
        <w:rStyle w:val="Numrodepage"/>
        <w:rFonts w:cs="Arial"/>
      </w:rPr>
      <w:fldChar w:fldCharType="separate"/>
    </w:r>
    <w:r w:rsidRPr="00732C1F">
      <w:rPr>
        <w:rStyle w:val="Numrodepage"/>
        <w:rFonts w:cs="Arial"/>
        <w:noProof/>
      </w:rPr>
      <w:t>3</w:t>
    </w:r>
    <w:r w:rsidRPr="00732C1F">
      <w:rPr>
        <w:rStyle w:val="Numrodepage"/>
        <w:rFonts w:cs="Arial"/>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2736" w14:textId="75187474" w:rsidR="00020AA1" w:rsidRPr="00EE10D0" w:rsidRDefault="00E26B0D" w:rsidP="00294AD5">
    <w:pPr>
      <w:pStyle w:val="En-tte"/>
      <w:jc w:val="right"/>
      <w:rPr>
        <w:rFonts w:cs="Arial"/>
        <w:color w:val="000000" w:themeColor="text1"/>
        <w:sz w:val="20"/>
        <w:szCs w:val="20"/>
      </w:rPr>
    </w:pPr>
    <w:r>
      <w:t>IOC</w:t>
    </w:r>
    <w:r w:rsidR="00E41528">
      <w:t>/A</w:t>
    </w:r>
    <w:r>
      <w:t>-32/</w:t>
    </w:r>
    <w:r w:rsidR="00AA714F">
      <w:t>4</w:t>
    </w:r>
    <w:r>
      <w:t>.</w:t>
    </w:r>
    <w:r w:rsidR="007143D2">
      <w:t>1</w:t>
    </w:r>
    <w:r w:rsidR="006C07E7">
      <w:t>.</w:t>
    </w:r>
    <w:r>
      <w:t>Doc(1)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22D"/>
    <w:multiLevelType w:val="hybridMultilevel"/>
    <w:tmpl w:val="AAF29886"/>
    <w:lvl w:ilvl="0" w:tplc="365CB736">
      <w:start w:val="14"/>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16674"/>
    <w:multiLevelType w:val="hybridMultilevel"/>
    <w:tmpl w:val="942A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1378B"/>
    <w:multiLevelType w:val="hybridMultilevel"/>
    <w:tmpl w:val="3B14E6C8"/>
    <w:lvl w:ilvl="0" w:tplc="040C000B">
      <w:start w:val="1"/>
      <w:numFmt w:val="bullet"/>
      <w:lvlText w:val=""/>
      <w:lvlJc w:val="left"/>
      <w:pPr>
        <w:tabs>
          <w:tab w:val="num" w:pos="360"/>
        </w:tabs>
        <w:ind w:left="284" w:hanging="284"/>
      </w:pPr>
      <w:rPr>
        <w:rFonts w:ascii="Wingdings" w:hAnsi="Wingdings"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08A0156F"/>
    <w:multiLevelType w:val="hybridMultilevel"/>
    <w:tmpl w:val="09C4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8286609"/>
    <w:multiLevelType w:val="hybridMultilevel"/>
    <w:tmpl w:val="208C25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F617D2A"/>
    <w:multiLevelType w:val="multilevel"/>
    <w:tmpl w:val="2BC6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1E1474"/>
    <w:multiLevelType w:val="hybridMultilevel"/>
    <w:tmpl w:val="C616F7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E907F22"/>
    <w:multiLevelType w:val="hybridMultilevel"/>
    <w:tmpl w:val="1E48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B14D83"/>
    <w:multiLevelType w:val="singleLevel"/>
    <w:tmpl w:val="6BB68568"/>
    <w:lvl w:ilvl="0">
      <w:start w:val="1"/>
      <w:numFmt w:val="bullet"/>
      <w:lvlText w:val=""/>
      <w:lvlJc w:val="left"/>
      <w:pPr>
        <w:tabs>
          <w:tab w:val="num" w:pos="644"/>
        </w:tabs>
        <w:ind w:left="284" w:firstLine="0"/>
      </w:pPr>
      <w:rPr>
        <w:rFonts w:ascii="Symbol" w:hAnsi="Symbol" w:hint="default"/>
      </w:rPr>
    </w:lvl>
  </w:abstractNum>
  <w:abstractNum w:abstractNumId="10"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34FF52C0"/>
    <w:multiLevelType w:val="hybridMultilevel"/>
    <w:tmpl w:val="599ABC30"/>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797719"/>
    <w:multiLevelType w:val="hybridMultilevel"/>
    <w:tmpl w:val="76925F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01306C"/>
    <w:multiLevelType w:val="hybridMultilevel"/>
    <w:tmpl w:val="BC082A6A"/>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831B9C"/>
    <w:multiLevelType w:val="hybridMultilevel"/>
    <w:tmpl w:val="DF56947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AD1543"/>
    <w:multiLevelType w:val="hybridMultilevel"/>
    <w:tmpl w:val="36221EB4"/>
    <w:lvl w:ilvl="0" w:tplc="0409000F">
      <w:start w:val="1"/>
      <w:numFmt w:val="decimal"/>
      <w:lvlText w:val="%1."/>
      <w:lvlJc w:val="left"/>
      <w:pPr>
        <w:ind w:left="720" w:hanging="360"/>
      </w:pPr>
      <w:rPr>
        <w:rFonts w:hint="default"/>
      </w:rPr>
    </w:lvl>
    <w:lvl w:ilvl="1" w:tplc="59F0D662">
      <w:start w:val="9"/>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204C64"/>
    <w:multiLevelType w:val="hybridMultilevel"/>
    <w:tmpl w:val="F092B0E8"/>
    <w:lvl w:ilvl="0" w:tplc="62A28114">
      <w:start w:val="1"/>
      <w:numFmt w:val="decimal"/>
      <w:lvlText w:val="%1."/>
      <w:lvlJc w:val="left"/>
      <w:pPr>
        <w:tabs>
          <w:tab w:val="num" w:pos="567"/>
        </w:tabs>
        <w:ind w:left="0" w:firstLine="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1A6FFD"/>
    <w:multiLevelType w:val="hybridMultilevel"/>
    <w:tmpl w:val="3314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8B64C0"/>
    <w:multiLevelType w:val="hybridMultilevel"/>
    <w:tmpl w:val="4002E85A"/>
    <w:lvl w:ilvl="0" w:tplc="0F8AA590">
      <w:start w:val="1"/>
      <w:numFmt w:val="lowerRoman"/>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5E05B7"/>
    <w:multiLevelType w:val="hybridMultilevel"/>
    <w:tmpl w:val="B4ACCC7A"/>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20" w15:restartNumberingAfterBreak="0">
    <w:nsid w:val="548C3970"/>
    <w:multiLevelType w:val="hybridMultilevel"/>
    <w:tmpl w:val="9B720B5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A07DD1"/>
    <w:multiLevelType w:val="multilevel"/>
    <w:tmpl w:val="F550C41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CC7617"/>
    <w:multiLevelType w:val="hybridMultilevel"/>
    <w:tmpl w:val="5E5EB96E"/>
    <w:lvl w:ilvl="0" w:tplc="0F8AA590">
      <w:start w:val="1"/>
      <w:numFmt w:val="lowerRoman"/>
      <w:lvlText w:val="(%1) "/>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E204EE3"/>
    <w:multiLevelType w:val="hybridMultilevel"/>
    <w:tmpl w:val="599ABC30"/>
    <w:lvl w:ilvl="0" w:tplc="95B4AF8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B976B3"/>
    <w:multiLevelType w:val="hybridMultilevel"/>
    <w:tmpl w:val="0C08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213DA8"/>
    <w:multiLevelType w:val="hybridMultilevel"/>
    <w:tmpl w:val="0C8CB9BA"/>
    <w:lvl w:ilvl="0" w:tplc="39BC45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392D55"/>
    <w:multiLevelType w:val="hybridMultilevel"/>
    <w:tmpl w:val="B628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334174"/>
    <w:multiLevelType w:val="hybridMultilevel"/>
    <w:tmpl w:val="A2D68D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2469A9"/>
    <w:multiLevelType w:val="hybridMultilevel"/>
    <w:tmpl w:val="BC082A6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12451D"/>
    <w:multiLevelType w:val="hybridMultilevel"/>
    <w:tmpl w:val="0168714A"/>
    <w:lvl w:ilvl="0" w:tplc="B43E528A">
      <w:start w:val="1"/>
      <w:numFmt w:val="lowerRoman"/>
      <w:lvlText w:val="(%1)"/>
      <w:lvlJc w:val="left"/>
      <w:pPr>
        <w:ind w:left="-54" w:hanging="720"/>
      </w:pPr>
      <w:rPr>
        <w:rFonts w:ascii="Arial" w:hAnsi="Arial" w:cs="Arial" w:hint="default"/>
        <w:sz w:val="22"/>
        <w:szCs w:val="22"/>
      </w:rPr>
    </w:lvl>
    <w:lvl w:ilvl="1" w:tplc="040C0019">
      <w:start w:val="1"/>
      <w:numFmt w:val="lowerLetter"/>
      <w:lvlText w:val="%2."/>
      <w:lvlJc w:val="left"/>
      <w:pPr>
        <w:ind w:left="306" w:hanging="360"/>
      </w:pPr>
    </w:lvl>
    <w:lvl w:ilvl="2" w:tplc="040C001B">
      <w:start w:val="1"/>
      <w:numFmt w:val="lowerRoman"/>
      <w:lvlText w:val="%3."/>
      <w:lvlJc w:val="right"/>
      <w:pPr>
        <w:ind w:left="1026" w:hanging="180"/>
      </w:pPr>
    </w:lvl>
    <w:lvl w:ilvl="3" w:tplc="040C000F">
      <w:start w:val="1"/>
      <w:numFmt w:val="decimal"/>
      <w:lvlText w:val="%4."/>
      <w:lvlJc w:val="left"/>
      <w:pPr>
        <w:ind w:left="1746" w:hanging="360"/>
      </w:pPr>
    </w:lvl>
    <w:lvl w:ilvl="4" w:tplc="040C0019">
      <w:start w:val="1"/>
      <w:numFmt w:val="lowerLetter"/>
      <w:lvlText w:val="%5."/>
      <w:lvlJc w:val="left"/>
      <w:pPr>
        <w:ind w:left="2466" w:hanging="360"/>
      </w:pPr>
    </w:lvl>
    <w:lvl w:ilvl="5" w:tplc="040C001B">
      <w:start w:val="1"/>
      <w:numFmt w:val="lowerRoman"/>
      <w:lvlText w:val="%6."/>
      <w:lvlJc w:val="right"/>
      <w:pPr>
        <w:ind w:left="3186" w:hanging="180"/>
      </w:pPr>
    </w:lvl>
    <w:lvl w:ilvl="6" w:tplc="040C000F">
      <w:start w:val="1"/>
      <w:numFmt w:val="decimal"/>
      <w:lvlText w:val="%7."/>
      <w:lvlJc w:val="left"/>
      <w:pPr>
        <w:ind w:left="3906" w:hanging="360"/>
      </w:pPr>
    </w:lvl>
    <w:lvl w:ilvl="7" w:tplc="040C0019">
      <w:start w:val="1"/>
      <w:numFmt w:val="lowerLetter"/>
      <w:lvlText w:val="%8."/>
      <w:lvlJc w:val="left"/>
      <w:pPr>
        <w:ind w:left="4626" w:hanging="360"/>
      </w:pPr>
    </w:lvl>
    <w:lvl w:ilvl="8" w:tplc="040C001B">
      <w:start w:val="1"/>
      <w:numFmt w:val="lowerRoman"/>
      <w:lvlText w:val="%9."/>
      <w:lvlJc w:val="right"/>
      <w:pPr>
        <w:ind w:left="5346" w:hanging="180"/>
      </w:pPr>
    </w:lvl>
  </w:abstractNum>
  <w:abstractNum w:abstractNumId="30" w15:restartNumberingAfterBreak="0">
    <w:nsid w:val="73F70DA7"/>
    <w:multiLevelType w:val="hybridMultilevel"/>
    <w:tmpl w:val="60FAE58E"/>
    <w:lvl w:ilvl="0" w:tplc="040C000F">
      <w:start w:val="1"/>
      <w:numFmt w:val="decimal"/>
      <w:pStyle w:val="paranumbered"/>
      <w:lvlText w:val="%1."/>
      <w:lvlJc w:val="left"/>
      <w:pPr>
        <w:ind w:left="0" w:firstLine="0"/>
      </w:pPr>
      <w:rPr>
        <w:rFonts w:hint="default"/>
        <w:b w:val="0"/>
        <w:i w:val="0"/>
        <w:iCs/>
        <w:sz w:val="22"/>
      </w:rPr>
    </w:lvl>
    <w:lvl w:ilvl="1" w:tplc="08090019">
      <w:start w:val="1"/>
      <w:numFmt w:val="lowerLetter"/>
      <w:lvlText w:val="%2."/>
      <w:lvlJc w:val="left"/>
      <w:pPr>
        <w:ind w:left="1440" w:hanging="360"/>
      </w:pPr>
    </w:lvl>
    <w:lvl w:ilvl="2" w:tplc="012C41A6">
      <w:start w:val="1"/>
      <w:numFmt w:val="lowerRoman"/>
      <w:lvlText w:val="(%3)"/>
      <w:lvlJc w:val="left"/>
      <w:pPr>
        <w:ind w:left="2840" w:hanging="8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716554"/>
    <w:multiLevelType w:val="hybridMultilevel"/>
    <w:tmpl w:val="28BE8246"/>
    <w:lvl w:ilvl="0" w:tplc="460CBEE8">
      <w:start w:val="1"/>
      <w:numFmt w:val="decimal"/>
      <w:lvlText w:val="%1."/>
      <w:lvlJc w:val="left"/>
      <w:pPr>
        <w:ind w:left="720" w:hanging="360"/>
      </w:pPr>
      <w:rPr>
        <w:rFonts w:eastAsia="Times New Roman"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E54C84"/>
    <w:multiLevelType w:val="hybridMultilevel"/>
    <w:tmpl w:val="6EA0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314570"/>
    <w:multiLevelType w:val="hybridMultilevel"/>
    <w:tmpl w:val="1988FF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3331786">
    <w:abstractNumId w:val="9"/>
  </w:num>
  <w:num w:numId="2" w16cid:durableId="1267154687">
    <w:abstractNumId w:val="9"/>
  </w:num>
  <w:num w:numId="3" w16cid:durableId="963846369">
    <w:abstractNumId w:val="4"/>
  </w:num>
  <w:num w:numId="4" w16cid:durableId="773785167">
    <w:abstractNumId w:val="23"/>
  </w:num>
  <w:num w:numId="5" w16cid:durableId="1013070056">
    <w:abstractNumId w:val="11"/>
  </w:num>
  <w:num w:numId="6" w16cid:durableId="1339650376">
    <w:abstractNumId w:val="13"/>
  </w:num>
  <w:num w:numId="7" w16cid:durableId="1812166786">
    <w:abstractNumId w:val="28"/>
  </w:num>
  <w:num w:numId="8" w16cid:durableId="1854416480">
    <w:abstractNumId w:val="20"/>
  </w:num>
  <w:num w:numId="9" w16cid:durableId="501549823">
    <w:abstractNumId w:val="4"/>
  </w:num>
  <w:num w:numId="10" w16cid:durableId="944380961">
    <w:abstractNumId w:val="4"/>
  </w:num>
  <w:num w:numId="11" w16cid:durableId="909577179">
    <w:abstractNumId w:val="4"/>
  </w:num>
  <w:num w:numId="12" w16cid:durableId="1677732752">
    <w:abstractNumId w:val="4"/>
  </w:num>
  <w:num w:numId="13" w16cid:durableId="1577281272">
    <w:abstractNumId w:val="15"/>
  </w:num>
  <w:num w:numId="14" w16cid:durableId="579562946">
    <w:abstractNumId w:val="1"/>
  </w:num>
  <w:num w:numId="15" w16cid:durableId="316300898">
    <w:abstractNumId w:val="14"/>
  </w:num>
  <w:num w:numId="16" w16cid:durableId="1343095299">
    <w:abstractNumId w:val="4"/>
  </w:num>
  <w:num w:numId="17" w16cid:durableId="1151142221">
    <w:abstractNumId w:val="2"/>
  </w:num>
  <w:num w:numId="18" w16cid:durableId="1353873736">
    <w:abstractNumId w:val="4"/>
  </w:num>
  <w:num w:numId="19" w16cid:durableId="58868506">
    <w:abstractNumId w:val="0"/>
  </w:num>
  <w:num w:numId="20" w16cid:durableId="10712709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2445787">
    <w:abstractNumId w:val="19"/>
  </w:num>
  <w:num w:numId="22" w16cid:durableId="1691495095">
    <w:abstractNumId w:val="6"/>
  </w:num>
  <w:num w:numId="23" w16cid:durableId="932591313">
    <w:abstractNumId w:val="32"/>
  </w:num>
  <w:num w:numId="24" w16cid:durableId="2087409397">
    <w:abstractNumId w:val="3"/>
  </w:num>
  <w:num w:numId="25" w16cid:durableId="1493058797">
    <w:abstractNumId w:val="26"/>
  </w:num>
  <w:num w:numId="26" w16cid:durableId="38868474">
    <w:abstractNumId w:val="8"/>
  </w:num>
  <w:num w:numId="27" w16cid:durableId="550772872">
    <w:abstractNumId w:val="24"/>
  </w:num>
  <w:num w:numId="28" w16cid:durableId="1107196363">
    <w:abstractNumId w:val="12"/>
  </w:num>
  <w:num w:numId="29" w16cid:durableId="888885141">
    <w:abstractNumId w:val="33"/>
  </w:num>
  <w:num w:numId="30" w16cid:durableId="321665268">
    <w:abstractNumId w:val="17"/>
  </w:num>
  <w:num w:numId="31" w16cid:durableId="1412461504">
    <w:abstractNumId w:val="27"/>
  </w:num>
  <w:num w:numId="32" w16cid:durableId="431317579">
    <w:abstractNumId w:val="10"/>
  </w:num>
  <w:num w:numId="33" w16cid:durableId="1526167761">
    <w:abstractNumId w:val="29"/>
  </w:num>
  <w:num w:numId="34" w16cid:durableId="1911691351">
    <w:abstractNumId w:val="30"/>
  </w:num>
  <w:num w:numId="35" w16cid:durableId="1782336897">
    <w:abstractNumId w:val="21"/>
  </w:num>
  <w:num w:numId="36" w16cid:durableId="19119621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82993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34663764">
    <w:abstractNumId w:val="18"/>
  </w:num>
  <w:num w:numId="39" w16cid:durableId="1067144908">
    <w:abstractNumId w:val="16"/>
  </w:num>
  <w:num w:numId="40" w16cid:durableId="13508378">
    <w:abstractNumId w:val="7"/>
  </w:num>
  <w:num w:numId="41" w16cid:durableId="1151486322">
    <w:abstractNumId w:val="25"/>
  </w:num>
  <w:num w:numId="42" w16cid:durableId="1359429464">
    <w:abstractNumId w:val="31"/>
  </w:num>
  <w:num w:numId="43" w16cid:durableId="6884856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8"/>
    <w:rsid w:val="00005781"/>
    <w:rsid w:val="000723F0"/>
    <w:rsid w:val="000727E5"/>
    <w:rsid w:val="000B0E4E"/>
    <w:rsid w:val="000C0052"/>
    <w:rsid w:val="000D2E63"/>
    <w:rsid w:val="000D39FC"/>
    <w:rsid w:val="000D3EF4"/>
    <w:rsid w:val="000D4E4C"/>
    <w:rsid w:val="000E3C91"/>
    <w:rsid w:val="000E55CB"/>
    <w:rsid w:val="000E7AEA"/>
    <w:rsid w:val="000F1DBA"/>
    <w:rsid w:val="000F258B"/>
    <w:rsid w:val="00100A35"/>
    <w:rsid w:val="001041D4"/>
    <w:rsid w:val="0011081B"/>
    <w:rsid w:val="0011114C"/>
    <w:rsid w:val="001372A0"/>
    <w:rsid w:val="00157FDC"/>
    <w:rsid w:val="0017170A"/>
    <w:rsid w:val="00177B08"/>
    <w:rsid w:val="001912E2"/>
    <w:rsid w:val="001A6E27"/>
    <w:rsid w:val="001B38AD"/>
    <w:rsid w:val="001C6211"/>
    <w:rsid w:val="001E413E"/>
    <w:rsid w:val="001F157F"/>
    <w:rsid w:val="001F19BC"/>
    <w:rsid w:val="001F1F04"/>
    <w:rsid w:val="001F5D62"/>
    <w:rsid w:val="001F60FA"/>
    <w:rsid w:val="00201171"/>
    <w:rsid w:val="00213953"/>
    <w:rsid w:val="00223B71"/>
    <w:rsid w:val="00234C33"/>
    <w:rsid w:val="00251914"/>
    <w:rsid w:val="00261E65"/>
    <w:rsid w:val="002750C1"/>
    <w:rsid w:val="0029264C"/>
    <w:rsid w:val="002A63E3"/>
    <w:rsid w:val="002B08FF"/>
    <w:rsid w:val="002B4B18"/>
    <w:rsid w:val="002D2C1D"/>
    <w:rsid w:val="002E70A1"/>
    <w:rsid w:val="00310E5D"/>
    <w:rsid w:val="00311ECE"/>
    <w:rsid w:val="003210F7"/>
    <w:rsid w:val="0032163E"/>
    <w:rsid w:val="003259B7"/>
    <w:rsid w:val="00331FD9"/>
    <w:rsid w:val="003429AB"/>
    <w:rsid w:val="0034355C"/>
    <w:rsid w:val="00346C46"/>
    <w:rsid w:val="003557A8"/>
    <w:rsid w:val="00363D04"/>
    <w:rsid w:val="003829C6"/>
    <w:rsid w:val="003864FF"/>
    <w:rsid w:val="00393110"/>
    <w:rsid w:val="00397DEC"/>
    <w:rsid w:val="003B58D6"/>
    <w:rsid w:val="003C5CD1"/>
    <w:rsid w:val="003D46DA"/>
    <w:rsid w:val="003D4875"/>
    <w:rsid w:val="003E2147"/>
    <w:rsid w:val="003E27AC"/>
    <w:rsid w:val="003F3C42"/>
    <w:rsid w:val="003F5DC6"/>
    <w:rsid w:val="00401C01"/>
    <w:rsid w:val="0041299F"/>
    <w:rsid w:val="0042223B"/>
    <w:rsid w:val="00425D61"/>
    <w:rsid w:val="00442B8B"/>
    <w:rsid w:val="004573F3"/>
    <w:rsid w:val="004618DE"/>
    <w:rsid w:val="00463EA2"/>
    <w:rsid w:val="00484032"/>
    <w:rsid w:val="004949FD"/>
    <w:rsid w:val="00494C58"/>
    <w:rsid w:val="00494E3A"/>
    <w:rsid w:val="004A0B80"/>
    <w:rsid w:val="004A327F"/>
    <w:rsid w:val="004B08C6"/>
    <w:rsid w:val="004B181E"/>
    <w:rsid w:val="004C1526"/>
    <w:rsid w:val="004C1D3F"/>
    <w:rsid w:val="004C3E47"/>
    <w:rsid w:val="004D05D2"/>
    <w:rsid w:val="004D0F08"/>
    <w:rsid w:val="00503F9D"/>
    <w:rsid w:val="005126B1"/>
    <w:rsid w:val="00512E11"/>
    <w:rsid w:val="00513180"/>
    <w:rsid w:val="005169D0"/>
    <w:rsid w:val="00533732"/>
    <w:rsid w:val="00552708"/>
    <w:rsid w:val="00596B7E"/>
    <w:rsid w:val="005B5EF5"/>
    <w:rsid w:val="005C7D01"/>
    <w:rsid w:val="005D54DD"/>
    <w:rsid w:val="005D6192"/>
    <w:rsid w:val="005E79A6"/>
    <w:rsid w:val="00623957"/>
    <w:rsid w:val="00625CCC"/>
    <w:rsid w:val="00632A9F"/>
    <w:rsid w:val="00652AA9"/>
    <w:rsid w:val="00655725"/>
    <w:rsid w:val="006659EC"/>
    <w:rsid w:val="00673F0C"/>
    <w:rsid w:val="006835E4"/>
    <w:rsid w:val="0068572F"/>
    <w:rsid w:val="0068583F"/>
    <w:rsid w:val="00695BA3"/>
    <w:rsid w:val="0069684F"/>
    <w:rsid w:val="006A3031"/>
    <w:rsid w:val="006A397C"/>
    <w:rsid w:val="006B387E"/>
    <w:rsid w:val="006C07E7"/>
    <w:rsid w:val="006C0CBD"/>
    <w:rsid w:val="006C2C65"/>
    <w:rsid w:val="006C5D80"/>
    <w:rsid w:val="006D052A"/>
    <w:rsid w:val="006D2B0E"/>
    <w:rsid w:val="006D36DB"/>
    <w:rsid w:val="006D6768"/>
    <w:rsid w:val="006E2A83"/>
    <w:rsid w:val="006E5256"/>
    <w:rsid w:val="0071233D"/>
    <w:rsid w:val="007143D2"/>
    <w:rsid w:val="00732C1F"/>
    <w:rsid w:val="00736351"/>
    <w:rsid w:val="00737E04"/>
    <w:rsid w:val="007449EA"/>
    <w:rsid w:val="00751056"/>
    <w:rsid w:val="00753AFA"/>
    <w:rsid w:val="00755CED"/>
    <w:rsid w:val="0076179E"/>
    <w:rsid w:val="0076217F"/>
    <w:rsid w:val="0076594C"/>
    <w:rsid w:val="007701CE"/>
    <w:rsid w:val="00773D5C"/>
    <w:rsid w:val="00777124"/>
    <w:rsid w:val="00783CE9"/>
    <w:rsid w:val="00791216"/>
    <w:rsid w:val="007A3E25"/>
    <w:rsid w:val="007A45CC"/>
    <w:rsid w:val="007A49EB"/>
    <w:rsid w:val="007A7EC6"/>
    <w:rsid w:val="007C2E52"/>
    <w:rsid w:val="007C2EBA"/>
    <w:rsid w:val="007C403E"/>
    <w:rsid w:val="007D593C"/>
    <w:rsid w:val="007E2085"/>
    <w:rsid w:val="007E6082"/>
    <w:rsid w:val="007F2BA5"/>
    <w:rsid w:val="00814BE9"/>
    <w:rsid w:val="00817C9A"/>
    <w:rsid w:val="00820275"/>
    <w:rsid w:val="00826B85"/>
    <w:rsid w:val="00835BC3"/>
    <w:rsid w:val="00844919"/>
    <w:rsid w:val="0085153D"/>
    <w:rsid w:val="008608E4"/>
    <w:rsid w:val="008735A8"/>
    <w:rsid w:val="00873BED"/>
    <w:rsid w:val="00884C43"/>
    <w:rsid w:val="008852E4"/>
    <w:rsid w:val="008A6802"/>
    <w:rsid w:val="008C24D0"/>
    <w:rsid w:val="008C59A5"/>
    <w:rsid w:val="008E427E"/>
    <w:rsid w:val="008E4541"/>
    <w:rsid w:val="008E6E54"/>
    <w:rsid w:val="008F5C53"/>
    <w:rsid w:val="00902342"/>
    <w:rsid w:val="00904C98"/>
    <w:rsid w:val="009053BE"/>
    <w:rsid w:val="009063B7"/>
    <w:rsid w:val="00906B79"/>
    <w:rsid w:val="00907D3B"/>
    <w:rsid w:val="00915495"/>
    <w:rsid w:val="009173FE"/>
    <w:rsid w:val="00920B40"/>
    <w:rsid w:val="00932970"/>
    <w:rsid w:val="0094145B"/>
    <w:rsid w:val="00957D58"/>
    <w:rsid w:val="00972BBF"/>
    <w:rsid w:val="0098415A"/>
    <w:rsid w:val="00995F3E"/>
    <w:rsid w:val="009E53F6"/>
    <w:rsid w:val="009E6CEB"/>
    <w:rsid w:val="00A00B63"/>
    <w:rsid w:val="00A23875"/>
    <w:rsid w:val="00A33021"/>
    <w:rsid w:val="00A36041"/>
    <w:rsid w:val="00A44962"/>
    <w:rsid w:val="00A473BF"/>
    <w:rsid w:val="00A70F48"/>
    <w:rsid w:val="00AA5787"/>
    <w:rsid w:val="00AA714F"/>
    <w:rsid w:val="00AD04A3"/>
    <w:rsid w:val="00B143FE"/>
    <w:rsid w:val="00B243F2"/>
    <w:rsid w:val="00B2519D"/>
    <w:rsid w:val="00B331B5"/>
    <w:rsid w:val="00B33A92"/>
    <w:rsid w:val="00B366AC"/>
    <w:rsid w:val="00B50B1F"/>
    <w:rsid w:val="00B54018"/>
    <w:rsid w:val="00B54421"/>
    <w:rsid w:val="00B557FF"/>
    <w:rsid w:val="00B80382"/>
    <w:rsid w:val="00B872CA"/>
    <w:rsid w:val="00B9306B"/>
    <w:rsid w:val="00BC1245"/>
    <w:rsid w:val="00BD5A86"/>
    <w:rsid w:val="00BE3F20"/>
    <w:rsid w:val="00BE4CB9"/>
    <w:rsid w:val="00C05FC8"/>
    <w:rsid w:val="00C108A8"/>
    <w:rsid w:val="00C138E0"/>
    <w:rsid w:val="00C3501E"/>
    <w:rsid w:val="00C41845"/>
    <w:rsid w:val="00C55031"/>
    <w:rsid w:val="00C57F9D"/>
    <w:rsid w:val="00C84B6A"/>
    <w:rsid w:val="00C90193"/>
    <w:rsid w:val="00C91036"/>
    <w:rsid w:val="00C97B94"/>
    <w:rsid w:val="00CA1880"/>
    <w:rsid w:val="00CA38AC"/>
    <w:rsid w:val="00CA48CF"/>
    <w:rsid w:val="00CC085D"/>
    <w:rsid w:val="00CC3A67"/>
    <w:rsid w:val="00CC501A"/>
    <w:rsid w:val="00CD0322"/>
    <w:rsid w:val="00CD6FC9"/>
    <w:rsid w:val="00CE5093"/>
    <w:rsid w:val="00CE7C2F"/>
    <w:rsid w:val="00D23B0B"/>
    <w:rsid w:val="00D23EDD"/>
    <w:rsid w:val="00D302AD"/>
    <w:rsid w:val="00D4515E"/>
    <w:rsid w:val="00D74351"/>
    <w:rsid w:val="00D76292"/>
    <w:rsid w:val="00D766AC"/>
    <w:rsid w:val="00D86646"/>
    <w:rsid w:val="00D93CCD"/>
    <w:rsid w:val="00DA51A1"/>
    <w:rsid w:val="00DA71B9"/>
    <w:rsid w:val="00DC1F0C"/>
    <w:rsid w:val="00DC7F96"/>
    <w:rsid w:val="00DD53BA"/>
    <w:rsid w:val="00DD6E32"/>
    <w:rsid w:val="00DE001A"/>
    <w:rsid w:val="00DF1829"/>
    <w:rsid w:val="00E174A3"/>
    <w:rsid w:val="00E26B0D"/>
    <w:rsid w:val="00E41528"/>
    <w:rsid w:val="00E55601"/>
    <w:rsid w:val="00E55674"/>
    <w:rsid w:val="00E55EEC"/>
    <w:rsid w:val="00E5717B"/>
    <w:rsid w:val="00E621C7"/>
    <w:rsid w:val="00E62C51"/>
    <w:rsid w:val="00E65D5E"/>
    <w:rsid w:val="00E71F05"/>
    <w:rsid w:val="00E80CF6"/>
    <w:rsid w:val="00E912CA"/>
    <w:rsid w:val="00E91C7F"/>
    <w:rsid w:val="00E94EF8"/>
    <w:rsid w:val="00EA0B5B"/>
    <w:rsid w:val="00EB3895"/>
    <w:rsid w:val="00EB66F7"/>
    <w:rsid w:val="00EC056F"/>
    <w:rsid w:val="00ED39E0"/>
    <w:rsid w:val="00ED3F8B"/>
    <w:rsid w:val="00F017CE"/>
    <w:rsid w:val="00F04FBD"/>
    <w:rsid w:val="00F077E7"/>
    <w:rsid w:val="00F078B6"/>
    <w:rsid w:val="00F11D29"/>
    <w:rsid w:val="00F2174D"/>
    <w:rsid w:val="00F57865"/>
    <w:rsid w:val="00F70E63"/>
    <w:rsid w:val="00F85B2D"/>
    <w:rsid w:val="00F90CD8"/>
    <w:rsid w:val="00F92310"/>
    <w:rsid w:val="00F94805"/>
    <w:rsid w:val="00F97E19"/>
    <w:rsid w:val="00FA3154"/>
    <w:rsid w:val="00FA6E86"/>
    <w:rsid w:val="00FC48FE"/>
    <w:rsid w:val="00FC7B23"/>
    <w:rsid w:val="00FD39C7"/>
    <w:rsid w:val="00FD630B"/>
    <w:rsid w:val="00FF108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7C3A3"/>
  <w15:docId w15:val="{28A6BD04-9FF5-4433-985C-844F35F5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Titre1">
    <w:name w:val="heading 1"/>
    <w:basedOn w:val="Normal"/>
    <w:next w:val="Marge"/>
    <w:qFormat/>
    <w:rsid w:val="001F1F04"/>
    <w:pPr>
      <w:keepNext/>
      <w:keepLines/>
      <w:spacing w:before="240" w:after="240"/>
      <w:jc w:val="center"/>
      <w:outlineLvl w:val="0"/>
    </w:pPr>
    <w:rPr>
      <w:rFonts w:eastAsia="Times New Roman"/>
      <w:b/>
      <w:bCs/>
      <w:kern w:val="28"/>
      <w:lang w:eastAsia="en-US"/>
    </w:rPr>
  </w:style>
  <w:style w:type="paragraph" w:styleId="Titre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Titre3">
    <w:name w:val="heading 3"/>
    <w:basedOn w:val="Normal"/>
    <w:next w:val="Marge"/>
    <w:qFormat/>
    <w:pPr>
      <w:keepNext/>
      <w:keepLines/>
      <w:spacing w:after="240"/>
      <w:ind w:left="567" w:hanging="567"/>
      <w:outlineLvl w:val="2"/>
    </w:pPr>
    <w:rPr>
      <w:rFonts w:eastAsia="Times New Roman"/>
      <w:b/>
      <w:bCs/>
      <w:lang w:eastAsia="en-US"/>
    </w:rPr>
  </w:style>
  <w:style w:type="paragraph" w:styleId="Titre4">
    <w:name w:val="heading 4"/>
    <w:basedOn w:val="Normal"/>
    <w:next w:val="Marge"/>
    <w:qFormat/>
    <w:pPr>
      <w:keepNext/>
      <w:keepLines/>
      <w:spacing w:after="240"/>
      <w:outlineLvl w:val="3"/>
    </w:pPr>
    <w:rPr>
      <w:rFonts w:eastAsia="Times New Roman"/>
      <w:b/>
      <w:bCs/>
      <w:lang w:eastAsia="en-US"/>
    </w:rPr>
  </w:style>
  <w:style w:type="paragraph" w:styleId="Titre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Titre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Titre7">
    <w:name w:val="heading 7"/>
    <w:basedOn w:val="Normal"/>
    <w:next w:val="Normal"/>
    <w:qFormat/>
    <w:pPr>
      <w:keepNext/>
      <w:spacing w:after="240"/>
      <w:jc w:val="both"/>
      <w:outlineLvl w:val="6"/>
    </w:pPr>
    <w:rPr>
      <w:rFonts w:ascii="Times New Roman" w:hAnsi="Times New Roman"/>
      <w:snapToGrid/>
      <w:color w:val="000000"/>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Appelnotedebasdep">
    <w:name w:val="footnote reference"/>
    <w:uiPriority w:val="99"/>
    <w:semiHidden/>
    <w:rPr>
      <w:vertAlign w:val="superscript"/>
    </w:rPr>
  </w:style>
  <w:style w:type="paragraph" w:styleId="En-tte">
    <w:name w:val="header"/>
    <w:basedOn w:val="Normal"/>
    <w:link w:val="En-tteCar"/>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link w:val="MargeChar"/>
    <w:pPr>
      <w:ind w:firstLine="0"/>
    </w:pPr>
  </w:style>
  <w:style w:type="paragraph" w:styleId="Notedebasdepage">
    <w:name w:val="footnote text"/>
    <w:basedOn w:val="Normal"/>
    <w:link w:val="NotedebasdepageCar"/>
    <w:uiPriority w:val="99"/>
    <w:semiHidden/>
    <w:pPr>
      <w:ind w:left="567" w:hanging="567"/>
    </w:pPr>
    <w:rPr>
      <w:rFonts w:eastAsia="Times New Roman"/>
      <w:sz w:val="20"/>
      <w:szCs w:val="20"/>
      <w:lang w:eastAsia="en-US"/>
    </w:rPr>
  </w:style>
  <w:style w:type="paragraph" w:styleId="Pieddepage">
    <w:name w:val="footer"/>
    <w:basedOn w:val="Normal"/>
    <w:pPr>
      <w:tabs>
        <w:tab w:val="center" w:pos="4153"/>
        <w:tab w:val="right" w:pos="8306"/>
      </w:tabs>
    </w:pPr>
    <w:rPr>
      <w:rFonts w:eastAsia="Times New Roman"/>
      <w:lang w:eastAsia="en-US"/>
    </w:rPr>
  </w:style>
  <w:style w:type="paragraph" w:styleId="Corpsdetexte3">
    <w:name w:val="Body Text 3"/>
    <w:basedOn w:val="Normal"/>
    <w:rPr>
      <w:color w:val="000080"/>
    </w:rPr>
  </w:style>
  <w:style w:type="character" w:styleId="Numrodepage">
    <w:name w:val="page number"/>
    <w:basedOn w:val="Policepardfaut"/>
  </w:style>
  <w:style w:type="paragraph" w:customStyle="1" w:styleId="TIRETbul1cm">
    <w:name w:val="TIRET bul 1cm"/>
    <w:basedOn w:val="Normal"/>
    <w:pPr>
      <w:numPr>
        <w:numId w:val="3"/>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Grilledutableau">
    <w:name w:val="Table Grid"/>
    <w:basedOn w:val="TableauNormal"/>
    <w:uiPriority w:val="59"/>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A36041"/>
    <w:rPr>
      <w:rFonts w:ascii="Tahoma" w:hAnsi="Tahoma" w:cs="Tahoma"/>
      <w:sz w:val="16"/>
      <w:szCs w:val="16"/>
    </w:rPr>
  </w:style>
  <w:style w:type="character" w:customStyle="1" w:styleId="TextedebullesCar">
    <w:name w:val="Texte de bulles Car"/>
    <w:link w:val="Textedebulles"/>
    <w:rsid w:val="00A36041"/>
    <w:rPr>
      <w:rFonts w:ascii="Tahoma" w:hAnsi="Tahoma" w:cs="Tahoma"/>
      <w:snapToGrid w:val="0"/>
      <w:sz w:val="16"/>
      <w:szCs w:val="16"/>
      <w:lang w:eastAsia="zh-CN"/>
    </w:rPr>
  </w:style>
  <w:style w:type="paragraph" w:styleId="Corpsdetexte">
    <w:name w:val="Body Text"/>
    <w:basedOn w:val="Normal"/>
    <w:link w:val="CorpsdetexteCar"/>
    <w:rsid w:val="005169D0"/>
    <w:pPr>
      <w:spacing w:after="120"/>
    </w:pPr>
  </w:style>
  <w:style w:type="character" w:customStyle="1" w:styleId="CorpsdetexteCar">
    <w:name w:val="Corps de texte Car"/>
    <w:link w:val="Corpsdetexte"/>
    <w:uiPriority w:val="99"/>
    <w:rsid w:val="005169D0"/>
    <w:rPr>
      <w:rFonts w:ascii="Arial" w:hAnsi="Arial"/>
      <w:snapToGrid w:val="0"/>
      <w:sz w:val="22"/>
      <w:szCs w:val="24"/>
    </w:rPr>
  </w:style>
  <w:style w:type="paragraph" w:styleId="Paragraphedeliste">
    <w:name w:val="List Paragraph"/>
    <w:basedOn w:val="Normal"/>
    <w:uiPriority w:val="34"/>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Lienhypertexte">
    <w:name w:val="Hyperlink"/>
    <w:uiPriority w:val="99"/>
    <w:unhideWhenUsed/>
    <w:rsid w:val="00100A35"/>
    <w:rPr>
      <w:color w:val="0000FF"/>
      <w:u w:val="single"/>
    </w:rPr>
  </w:style>
  <w:style w:type="paragraph" w:styleId="TM1">
    <w:name w:val="toc 1"/>
    <w:basedOn w:val="Normal"/>
    <w:next w:val="Normal"/>
    <w:autoRedefine/>
    <w:uiPriority w:val="39"/>
    <w:unhideWhenUsed/>
    <w:rsid w:val="00100A35"/>
    <w:pPr>
      <w:tabs>
        <w:tab w:val="clear" w:pos="567"/>
        <w:tab w:val="right" w:leader="dot" w:pos="9071"/>
      </w:tabs>
      <w:snapToGrid/>
    </w:pPr>
    <w:rPr>
      <w:rFonts w:eastAsia="Calibri" w:cs="Arial"/>
      <w:noProof/>
      <w:snapToGrid/>
      <w:szCs w:val="22"/>
      <w:lang w:val="en-GB" w:eastAsia="de-DE"/>
    </w:rPr>
  </w:style>
  <w:style w:type="character" w:customStyle="1" w:styleId="newskoshortdesc">
    <w:name w:val="newskoshortdesc"/>
    <w:basedOn w:val="Policepardfaut"/>
    <w:rsid w:val="007A7EC6"/>
  </w:style>
  <w:style w:type="character" w:customStyle="1" w:styleId="newskolongdesc">
    <w:name w:val="newskolongdesc"/>
    <w:basedOn w:val="Policepardfaut"/>
    <w:rsid w:val="007A7EC6"/>
  </w:style>
  <w:style w:type="paragraph" w:styleId="Titre">
    <w:name w:val="Title"/>
    <w:basedOn w:val="Normal"/>
    <w:link w:val="TitreCar"/>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reCar">
    <w:name w:val="Titre Car"/>
    <w:basedOn w:val="Policepardfaut"/>
    <w:link w:val="Titre"/>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eauweb1">
    <w:name w:val="Table Web 1"/>
    <w:basedOn w:val="Tableau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rsid w:val="007A7EC6"/>
    <w:pPr>
      <w:tabs>
        <w:tab w:val="clear" w:pos="567"/>
      </w:tabs>
      <w:snapToGrid/>
    </w:pPr>
    <w:rPr>
      <w:rFonts w:ascii="Courier New" w:eastAsia="Times New Roman" w:hAnsi="Courier New"/>
      <w:snapToGrid/>
      <w:sz w:val="20"/>
      <w:szCs w:val="20"/>
      <w:lang w:val="en-US" w:eastAsia="en-US"/>
    </w:rPr>
  </w:style>
  <w:style w:type="character" w:customStyle="1" w:styleId="TextebrutCar">
    <w:name w:val="Texte brut Car"/>
    <w:basedOn w:val="Policepardfaut"/>
    <w:link w:val="Textebrut"/>
    <w:rsid w:val="007A7EC6"/>
    <w:rPr>
      <w:rFonts w:ascii="Courier New" w:eastAsia="Times New Roman" w:hAnsi="Courier New"/>
      <w:lang w:val="en-US" w:eastAsia="en-US"/>
    </w:rPr>
  </w:style>
  <w:style w:type="character" w:styleId="lev">
    <w:name w:val="Strong"/>
    <w:qFormat/>
    <w:rsid w:val="007A7EC6"/>
    <w:rPr>
      <w:b/>
      <w:bCs/>
    </w:rPr>
  </w:style>
  <w:style w:type="table" w:styleId="Tableauweb2">
    <w:name w:val="Table Web 2"/>
    <w:basedOn w:val="Tableau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hmedutableau">
    <w:name w:val="Table Theme"/>
    <w:basedOn w:val="Tableau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rsid w:val="007A7EC6"/>
    <w:pPr>
      <w:tabs>
        <w:tab w:val="clear" w:pos="567"/>
      </w:tabs>
      <w:snapToGrid/>
      <w:ind w:left="720"/>
      <w:jc w:val="both"/>
    </w:pPr>
    <w:rPr>
      <w:rFonts w:eastAsia="Times New Roman"/>
      <w:snapToGrid/>
      <w:szCs w:val="20"/>
      <w:lang w:val="en-GB" w:eastAsia="en-US"/>
    </w:rPr>
  </w:style>
  <w:style w:type="character" w:customStyle="1" w:styleId="Retraitcorpsdetexte2Car">
    <w:name w:val="Retrait corps de texte 2 Car"/>
    <w:basedOn w:val="Policepardfaut"/>
    <w:link w:val="Retraitcorpsdetexte2"/>
    <w:rsid w:val="007A7EC6"/>
    <w:rPr>
      <w:rFonts w:ascii="Arial" w:eastAsia="Times New Roman" w:hAnsi="Arial"/>
      <w:sz w:val="22"/>
      <w:lang w:val="en-GB" w:eastAsia="en-US"/>
    </w:rPr>
  </w:style>
  <w:style w:type="paragraph" w:styleId="Retraitcorpsdetexte">
    <w:name w:val="Body Text Indent"/>
    <w:basedOn w:val="Normal"/>
    <w:link w:val="RetraitcorpsdetexteC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RetraitcorpsdetexteCar">
    <w:name w:val="Retrait corps de texte Car"/>
    <w:basedOn w:val="Policepardfaut"/>
    <w:link w:val="Retraitcorpsdetexte"/>
    <w:rsid w:val="007A7EC6"/>
    <w:rPr>
      <w:rFonts w:ascii="Arial" w:eastAsia="Times New Roman" w:hAnsi="Arial" w:cs="Arial"/>
      <w:sz w:val="22"/>
      <w:lang w:val="en-GB" w:eastAsia="en-US"/>
    </w:rPr>
  </w:style>
  <w:style w:type="character" w:styleId="Accentuation">
    <w:name w:val="Emphasis"/>
    <w:uiPriority w:val="20"/>
    <w:qFormat/>
    <w:rsid w:val="007A7EC6"/>
    <w:rPr>
      <w:b/>
      <w:bCs/>
      <w:i w:val="0"/>
      <w:iCs w:val="0"/>
    </w:rPr>
  </w:style>
  <w:style w:type="paragraph" w:styleId="Date">
    <w:name w:val="Date"/>
    <w:basedOn w:val="Normal"/>
    <w:next w:val="Normal"/>
    <w:link w:val="DateCar"/>
    <w:rsid w:val="007A7EC6"/>
    <w:pPr>
      <w:tabs>
        <w:tab w:val="clear" w:pos="567"/>
      </w:tabs>
      <w:snapToGrid/>
    </w:pPr>
    <w:rPr>
      <w:rFonts w:ascii="Times New Roman" w:eastAsia="Times New Roman" w:hAnsi="Times New Roman"/>
      <w:snapToGrid/>
      <w:sz w:val="24"/>
      <w:lang w:val="x-none" w:eastAsia="en-US"/>
    </w:rPr>
  </w:style>
  <w:style w:type="character" w:customStyle="1" w:styleId="DateCar">
    <w:name w:val="Date Car"/>
    <w:basedOn w:val="Policepardfaut"/>
    <w:link w:val="Date"/>
    <w:rsid w:val="007A7EC6"/>
    <w:rPr>
      <w:rFonts w:eastAsia="Times New Roman"/>
      <w:sz w:val="24"/>
      <w:szCs w:val="24"/>
      <w:lang w:val="x-none" w:eastAsia="en-US"/>
    </w:rPr>
  </w:style>
  <w:style w:type="paragraph" w:styleId="Sansinterligne">
    <w:name w:val="No Spacing"/>
    <w:basedOn w:val="Normal"/>
    <w:link w:val="SansinterligneCar"/>
    <w:qFormat/>
    <w:rsid w:val="007A7EC6"/>
    <w:pPr>
      <w:tabs>
        <w:tab w:val="clear" w:pos="567"/>
      </w:tabs>
      <w:snapToGrid/>
    </w:pPr>
    <w:rPr>
      <w:rFonts w:ascii="Times New Roman" w:eastAsia="Times New Roman" w:hAnsi="Times New Roman"/>
      <w:snapToGrid/>
      <w:sz w:val="24"/>
      <w:lang w:eastAsia="fr-FR"/>
    </w:rPr>
  </w:style>
  <w:style w:type="character" w:customStyle="1" w:styleId="SansinterligneCar">
    <w:name w:val="Sans interligne Car"/>
    <w:link w:val="Sansinterligne"/>
    <w:rsid w:val="007A7EC6"/>
    <w:rPr>
      <w:rFonts w:eastAsia="Times New Roman"/>
      <w:sz w:val="24"/>
      <w:szCs w:val="24"/>
      <w:lang w:eastAsia="fr-FR"/>
    </w:rPr>
  </w:style>
  <w:style w:type="character" w:styleId="Lienhypertextesuivivisit">
    <w:name w:val="FollowedHyperlink"/>
    <w:rsid w:val="007A7EC6"/>
    <w:rPr>
      <w:color w:val="800080"/>
      <w:u w:val="single"/>
    </w:rPr>
  </w:style>
  <w:style w:type="character" w:customStyle="1" w:styleId="fn">
    <w:name w:val="fn"/>
    <w:basedOn w:val="Policepardfaut"/>
    <w:rsid w:val="007A7EC6"/>
  </w:style>
  <w:style w:type="character" w:styleId="Marquedecommentaire">
    <w:name w:val="annotation reference"/>
    <w:rsid w:val="007A7EC6"/>
    <w:rPr>
      <w:sz w:val="16"/>
      <w:szCs w:val="16"/>
    </w:rPr>
  </w:style>
  <w:style w:type="paragraph" w:styleId="Commentaire">
    <w:name w:val="annotation text"/>
    <w:basedOn w:val="Normal"/>
    <w:link w:val="CommentaireC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CommentaireCar">
    <w:name w:val="Commentaire Car"/>
    <w:basedOn w:val="Policepardfaut"/>
    <w:link w:val="Commentaire"/>
    <w:rsid w:val="007A7EC6"/>
    <w:rPr>
      <w:rFonts w:eastAsia="Times New Roman"/>
      <w:lang w:val="en-US" w:eastAsia="en-US"/>
    </w:rPr>
  </w:style>
  <w:style w:type="paragraph" w:styleId="Objetducommentaire">
    <w:name w:val="annotation subject"/>
    <w:basedOn w:val="Commentaire"/>
    <w:next w:val="Commentaire"/>
    <w:link w:val="ObjetducommentaireCar"/>
    <w:rsid w:val="007A7EC6"/>
    <w:rPr>
      <w:b/>
      <w:bCs/>
      <w:lang w:val="x-none" w:eastAsia="x-none"/>
    </w:rPr>
  </w:style>
  <w:style w:type="character" w:customStyle="1" w:styleId="ObjetducommentaireCar">
    <w:name w:val="Objet du commentaire Car"/>
    <w:basedOn w:val="CommentaireCar"/>
    <w:link w:val="Objetducommentaire"/>
    <w:rsid w:val="007A7EC6"/>
    <w:rPr>
      <w:rFonts w:eastAsia="Times New Roman"/>
      <w:b/>
      <w:bCs/>
      <w:lang w:val="x-none" w:eastAsia="x-none"/>
    </w:rPr>
  </w:style>
  <w:style w:type="paragraph" w:styleId="Rvision">
    <w:name w:val="Revision"/>
    <w:hidden/>
    <w:uiPriority w:val="99"/>
    <w:semiHidden/>
    <w:rsid w:val="007A7EC6"/>
    <w:rPr>
      <w:rFonts w:eastAsia="Times New Roman"/>
      <w:sz w:val="24"/>
      <w:szCs w:val="24"/>
      <w:lang w:val="en-US" w:eastAsia="en-US"/>
    </w:rPr>
  </w:style>
  <w:style w:type="table" w:customStyle="1" w:styleId="TableGrid">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character" w:customStyle="1" w:styleId="NotedebasdepageCar">
    <w:name w:val="Note de bas de page Car"/>
    <w:link w:val="Notedebasdepage"/>
    <w:uiPriority w:val="99"/>
    <w:semiHidden/>
    <w:rsid w:val="007A7EC6"/>
    <w:rPr>
      <w:rFonts w:ascii="Arial" w:eastAsia="Times New Roman" w:hAnsi="Arial"/>
      <w:snapToGrid w:val="0"/>
      <w:lang w:eastAsia="en-US"/>
    </w:rPr>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eauclassique1">
    <w:name w:val="Table Classic 1"/>
    <w:basedOn w:val="Tableau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Notedefin">
    <w:name w:val="endnote text"/>
    <w:basedOn w:val="Normal"/>
    <w:link w:val="NotedefinC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NotedefinCar">
    <w:name w:val="Note de fin Car"/>
    <w:basedOn w:val="Policepardfaut"/>
    <w:link w:val="Notedefin"/>
    <w:rsid w:val="007A7EC6"/>
    <w:rPr>
      <w:rFonts w:eastAsia="Times New Roman"/>
      <w:lang w:val="en-US" w:eastAsia="en-US"/>
    </w:rPr>
  </w:style>
  <w:style w:type="character" w:styleId="Appeldenotedefin">
    <w:name w:val="endnote reference"/>
    <w:rsid w:val="007A7EC6"/>
    <w:rPr>
      <w:vertAlign w:val="superscript"/>
    </w:rPr>
  </w:style>
  <w:style w:type="character" w:customStyle="1" w:styleId="En-tteCar">
    <w:name w:val="En-tête Car"/>
    <w:basedOn w:val="Policepardfaut"/>
    <w:link w:val="En-tte"/>
    <w:uiPriority w:val="99"/>
    <w:locked/>
    <w:rsid w:val="003F3C42"/>
    <w:rPr>
      <w:rFonts w:ascii="Arial" w:eastAsia="Times New Roman" w:hAnsi="Arial"/>
      <w:snapToGrid w:val="0"/>
      <w:sz w:val="22"/>
      <w:szCs w:val="24"/>
      <w:lang w:eastAsia="en-US"/>
    </w:rPr>
  </w:style>
  <w:style w:type="character" w:customStyle="1" w:styleId="MargeChar">
    <w:name w:val="Marge Char"/>
    <w:basedOn w:val="Policepardfaut"/>
    <w:link w:val="Marge"/>
    <w:rsid w:val="003864FF"/>
    <w:rPr>
      <w:rFonts w:ascii="Arial" w:eastAsia="Times New Roman" w:hAnsi="Arial"/>
      <w:snapToGrid w:val="0"/>
      <w:sz w:val="22"/>
      <w:szCs w:val="24"/>
      <w:lang w:eastAsia="en-US"/>
    </w:rPr>
  </w:style>
  <w:style w:type="paragraph" w:customStyle="1" w:styleId="COI">
    <w:name w:val="COI"/>
    <w:basedOn w:val="Marge"/>
    <w:link w:val="COIChar"/>
    <w:rsid w:val="003864FF"/>
    <w:pPr>
      <w:tabs>
        <w:tab w:val="clear" w:pos="567"/>
        <w:tab w:val="left" w:pos="709"/>
      </w:tabs>
    </w:pPr>
    <w:rPr>
      <w:rFonts w:eastAsia="Arial Unicode MS"/>
      <w:szCs w:val="22"/>
      <w:lang w:val="en-GB"/>
    </w:rPr>
  </w:style>
  <w:style w:type="character" w:customStyle="1" w:styleId="COIChar">
    <w:name w:val="COI Char"/>
    <w:link w:val="COI"/>
    <w:rsid w:val="003864FF"/>
    <w:rPr>
      <w:rFonts w:ascii="Arial" w:eastAsia="Arial Unicode MS" w:hAnsi="Arial"/>
      <w:snapToGrid w:val="0"/>
      <w:sz w:val="22"/>
      <w:szCs w:val="22"/>
      <w:lang w:val="en-GB" w:eastAsia="en-US"/>
    </w:rPr>
  </w:style>
  <w:style w:type="paragraph" w:customStyle="1" w:styleId="paranumbered">
    <w:name w:val="paranumbered"/>
    <w:basedOn w:val="Normal"/>
    <w:next w:val="Normal"/>
    <w:qFormat/>
    <w:rsid w:val="003864FF"/>
    <w:pPr>
      <w:numPr>
        <w:numId w:val="34"/>
      </w:numPr>
      <w:tabs>
        <w:tab w:val="clear" w:pos="567"/>
      </w:tabs>
      <w:snapToGrid/>
      <w:spacing w:before="120" w:line="276" w:lineRule="auto"/>
      <w:jc w:val="both"/>
    </w:pPr>
    <w:rPr>
      <w:rFonts w:eastAsia="Arial" w:cs="Arial"/>
      <w:snapToGrid/>
      <w:szCs w:val="22"/>
      <w:lang w:val="en-GB" w:eastAsia="en-GB"/>
    </w:rPr>
  </w:style>
  <w:style w:type="character" w:styleId="Mentionnonrsolue">
    <w:name w:val="Unresolved Mention"/>
    <w:basedOn w:val="Policepardfaut"/>
    <w:uiPriority w:val="99"/>
    <w:semiHidden/>
    <w:unhideWhenUsed/>
    <w:rsid w:val="00B331B5"/>
    <w:rPr>
      <w:color w:val="605E5C"/>
      <w:shd w:val="clear" w:color="auto" w:fill="E1DFDD"/>
    </w:rPr>
  </w:style>
  <w:style w:type="table" w:customStyle="1" w:styleId="Grilledutableau1">
    <w:name w:val="Grille du tableau1"/>
    <w:basedOn w:val="TableauNormal"/>
    <w:next w:val="Grilledutableau"/>
    <w:rsid w:val="004A0B80"/>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FF1088"/>
    <w:pPr>
      <w:tabs>
        <w:tab w:val="clear" w:pos="567"/>
      </w:tabs>
      <w:snapToGrid/>
      <w:spacing w:before="100" w:beforeAutospacing="1" w:after="100" w:afterAutospacing="1"/>
    </w:pPr>
    <w:rPr>
      <w:rFonts w:ascii="Times New Roman" w:eastAsia="Times New Roman" w:hAnsi="Times New Roman"/>
      <w:snapToGrid/>
      <w:sz w:val="24"/>
    </w:rPr>
  </w:style>
  <w:style w:type="character" w:customStyle="1" w:styleId="cf01">
    <w:name w:val="cf01"/>
    <w:basedOn w:val="Policepardfaut"/>
    <w:rsid w:val="00FF108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362420">
      <w:bodyDiv w:val="1"/>
      <w:marLeft w:val="0"/>
      <w:marRight w:val="0"/>
      <w:marTop w:val="0"/>
      <w:marBottom w:val="0"/>
      <w:divBdr>
        <w:top w:val="none" w:sz="0" w:space="0" w:color="auto"/>
        <w:left w:val="none" w:sz="0" w:space="0" w:color="auto"/>
        <w:bottom w:val="none" w:sz="0" w:space="0" w:color="auto"/>
        <w:right w:val="none" w:sz="0" w:space="0" w:color="auto"/>
      </w:divBdr>
    </w:div>
    <w:div w:id="203923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3046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6B20C-12F1-4343-B109-22E8025C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3021</Words>
  <Characters>16559</Characters>
  <Application>Microsoft Office Word</Application>
  <DocSecurity>0</DocSecurity>
  <Lines>459</Lines>
  <Paragraphs>210</Paragraphs>
  <ScaleCrop>false</ScaleCrop>
  <HeadingPairs>
    <vt:vector size="2" baseType="variant">
      <vt:variant>
        <vt:lpstr>Titre</vt:lpstr>
      </vt:variant>
      <vt:variant>
        <vt:i4>1</vt:i4>
      </vt:variant>
    </vt:vector>
  </HeadingPairs>
  <TitlesOfParts>
    <vt:vector size="1" baseType="lpstr">
      <vt:lpstr>Rapport intérimaire sur l’examen de la gouvernance de la GEBCO (2023)</vt:lpstr>
    </vt:vector>
  </TitlesOfParts>
  <Company>Unesco</Company>
  <LinksUpToDate>false</LinksUpToDate>
  <CharactersWithSpaces>19370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intérimaire sur l’examen de la gouvernance de la GEBCO (2023)</dc:title>
  <dc:subject>IOC/A-32/4.1.Doc(1)</dc:subject>
  <dc:creator>as.machu@unesco.org</dc:creator>
  <cp:keywords>18.12F</cp:keywords>
  <dc:description/>
  <cp:lastModifiedBy>Machu, Anne-sophie</cp:lastModifiedBy>
  <cp:revision>7</cp:revision>
  <cp:lastPrinted>2012-08-02T14:52:00Z</cp:lastPrinted>
  <dcterms:created xsi:type="dcterms:W3CDTF">2023-06-07T12:53:00Z</dcterms:created>
  <dcterms:modified xsi:type="dcterms:W3CDTF">2023-06-07T13:02:00Z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vt:lpwstr>
  </property>
  <property fmtid="{D5CDD505-2E9C-101B-9397-08002B2CF9AE}" pid="3" name="JobDCPMS">
    <vt:lpwstr>202301808</vt:lpwstr>
  </property>
</Properties>
</file>