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508" w:type="dxa"/>
        <w:jc w:val="center"/>
        <w:tblLayout w:type="fixed"/>
        <w:tblLook w:val="04A0" w:firstRow="1" w:lastRow="0" w:firstColumn="1" w:lastColumn="0" w:noHBand="0" w:noVBand="1"/>
      </w:tblPr>
      <w:tblGrid>
        <w:gridCol w:w="7508"/>
      </w:tblGrid>
      <w:tr w:rsidR="00173221" w:rsidRPr="00670684" w14:paraId="3CE1A9CD" w14:textId="77777777" w:rsidTr="00523732">
        <w:trPr>
          <w:trHeight w:val="3878"/>
          <w:jc w:val="center"/>
        </w:trPr>
        <w:tc>
          <w:tcPr>
            <w:tcW w:w="7508" w:type="dxa"/>
          </w:tcPr>
          <w:p w14:paraId="5C52748C" w14:textId="77777777" w:rsidR="00173221" w:rsidRPr="00670684" w:rsidRDefault="00173221" w:rsidP="00EA7C6C">
            <w:pPr>
              <w:spacing w:before="120" w:after="240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  <w:lang w:val="ru-RU"/>
              </w:rPr>
            </w:pPr>
            <w:r w:rsidRPr="00A17D4F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Резюме</w:t>
            </w:r>
          </w:p>
          <w:p w14:paraId="638FE51B" w14:textId="62E78295" w:rsidR="00173221" w:rsidRPr="00670684" w:rsidRDefault="00523732" w:rsidP="00523732">
            <w:pPr>
              <w:widowControl w:val="0"/>
              <w:shd w:val="clear" w:color="auto" w:fill="FFFFFF"/>
              <w:adjustRightInd w:val="0"/>
              <w:spacing w:after="24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17D4F">
              <w:rPr>
                <w:rFonts w:ascii="Arial" w:hAnsi="Arial" w:cs="Arial"/>
                <w:sz w:val="22"/>
                <w:szCs w:val="22"/>
                <w:lang w:val="ru-RU"/>
              </w:rPr>
              <w:t xml:space="preserve">В свете решения Исполнительного совета EC-55/3.1 (2022 г.) и учреждения проектной группы по обзору управления ГЕБКО в настоящем документе, подготовленном секретарем МГО/ГЕБКО, содержатся подробная информация о проделанной на сегодняшний день работе в рамках обзора управления ГЕБКО, а также предлагаемые дальнейшие меры. </w:t>
            </w:r>
          </w:p>
          <w:p w14:paraId="7655F2B7" w14:textId="33F281A8" w:rsidR="00983B66" w:rsidRPr="00670684" w:rsidRDefault="00173221" w:rsidP="00983B66">
            <w:pPr>
              <w:widowControl w:val="0"/>
              <w:shd w:val="clear" w:color="auto" w:fill="FFFFFF"/>
              <w:adjustRightInd w:val="0"/>
              <w:spacing w:after="240"/>
              <w:ind w:right="284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17D4F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Финансовые последствия</w:t>
            </w:r>
            <w:r w:rsidRPr="00A17D4F">
              <w:rPr>
                <w:rFonts w:ascii="Arial" w:hAnsi="Arial" w:cs="Arial"/>
                <w:sz w:val="22"/>
                <w:szCs w:val="22"/>
                <w:lang w:val="ru-RU"/>
              </w:rPr>
              <w:t>: отсутствуют.</w:t>
            </w:r>
          </w:p>
          <w:p w14:paraId="4A15AED9" w14:textId="51B7EDE8" w:rsidR="00173221" w:rsidRPr="00670684" w:rsidRDefault="0060561B" w:rsidP="00BC6020">
            <w:pPr>
              <w:spacing w:after="120"/>
              <w:jc w:val="both"/>
              <w:rPr>
                <w:rFonts w:ascii="Arial" w:eastAsia="Calibri" w:hAnsi="Arial" w:cs="Arial"/>
                <w:bCs/>
                <w:sz w:val="22"/>
                <w:u w:val="single"/>
                <w:lang w:val="ru-RU"/>
              </w:rPr>
            </w:pPr>
            <w:r w:rsidRPr="00A17D4F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Предлагаемое решение</w:t>
            </w:r>
            <w:r w:rsidRPr="00A17D4F">
              <w:rPr>
                <w:rFonts w:ascii="Arial" w:hAnsi="Arial" w:cs="Arial"/>
                <w:sz w:val="22"/>
                <w:szCs w:val="22"/>
                <w:lang w:val="ru-RU"/>
              </w:rPr>
              <w:t xml:space="preserve"> приводится в документе о принятых и предлагаемых мерах (документ IOC</w:t>
            </w:r>
            <w:r w:rsidR="006F12AE" w:rsidRPr="006F12AE">
              <w:rPr>
                <w:rFonts w:ascii="Arial" w:hAnsi="Arial" w:cs="Arial"/>
                <w:sz w:val="22"/>
                <w:szCs w:val="22"/>
                <w:lang w:val="ru-RU"/>
              </w:rPr>
              <w:t>/</w:t>
            </w:r>
            <w:r w:rsidR="006F12AE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A17D4F">
              <w:rPr>
                <w:rFonts w:ascii="Arial" w:hAnsi="Arial" w:cs="Arial"/>
                <w:sz w:val="22"/>
                <w:szCs w:val="22"/>
                <w:lang w:val="ru-RU"/>
              </w:rPr>
              <w:t xml:space="preserve">-32/AP </w:t>
            </w:r>
            <w:proofErr w:type="spellStart"/>
            <w:r w:rsidRPr="00A17D4F">
              <w:rPr>
                <w:rFonts w:ascii="Arial" w:hAnsi="Arial" w:cs="Arial"/>
                <w:sz w:val="22"/>
                <w:szCs w:val="22"/>
                <w:lang w:val="ru-RU"/>
              </w:rPr>
              <w:t>Prov</w:t>
            </w:r>
            <w:proofErr w:type="spellEnd"/>
            <w:r w:rsidRPr="00A17D4F">
              <w:rPr>
                <w:rFonts w:ascii="Arial" w:hAnsi="Arial" w:cs="Arial"/>
                <w:sz w:val="22"/>
                <w:szCs w:val="22"/>
                <w:lang w:val="ru-RU"/>
              </w:rPr>
              <w:t>.) в качестве решения</w:t>
            </w:r>
            <w:r w:rsidR="006F12AE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A17D4F">
              <w:rPr>
                <w:rFonts w:ascii="Arial" w:hAnsi="Arial" w:cs="Arial"/>
                <w:sz w:val="22"/>
                <w:szCs w:val="22"/>
                <w:lang w:val="ru-RU"/>
              </w:rPr>
              <w:t>А</w:t>
            </w:r>
            <w:r w:rsidR="006F12AE">
              <w:rPr>
                <w:rFonts w:ascii="Arial" w:hAnsi="Arial" w:cs="Arial"/>
                <w:sz w:val="22"/>
                <w:szCs w:val="22"/>
                <w:lang w:val="ru-RU"/>
              </w:rPr>
              <w:noBreakHyphen/>
            </w:r>
            <w:r w:rsidRPr="00A17D4F">
              <w:rPr>
                <w:rFonts w:ascii="Arial" w:hAnsi="Arial" w:cs="Arial"/>
                <w:sz w:val="22"/>
                <w:szCs w:val="22"/>
                <w:lang w:val="ru-RU"/>
              </w:rPr>
              <w:t>32/4.1. Ассамблее МОК предлагается принять к сведению достигнутые результаты. Исполнительный секретарь представит результаты обзора управления ГЕБКО Исполнительному совету на его 57</w:t>
            </w:r>
            <w:r w:rsidR="006F12AE">
              <w:rPr>
                <w:rFonts w:ascii="Arial" w:hAnsi="Arial" w:cs="Arial"/>
                <w:sz w:val="22"/>
                <w:szCs w:val="22"/>
                <w:lang w:val="ru-RU"/>
              </w:rPr>
              <w:noBreakHyphen/>
            </w:r>
            <w:r w:rsidRPr="00A17D4F">
              <w:rPr>
                <w:rFonts w:ascii="Arial" w:hAnsi="Arial" w:cs="Arial"/>
                <w:sz w:val="22"/>
                <w:szCs w:val="22"/>
                <w:lang w:val="ru-RU"/>
              </w:rPr>
              <w:t>й</w:t>
            </w:r>
            <w:r w:rsidR="006F12AE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A17D4F">
              <w:rPr>
                <w:rFonts w:ascii="Arial" w:hAnsi="Arial" w:cs="Arial"/>
                <w:sz w:val="22"/>
                <w:szCs w:val="22"/>
                <w:lang w:val="ru-RU"/>
              </w:rPr>
              <w:t>сессии в 2024</w:t>
            </w:r>
            <w:r w:rsidR="00723F9E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A17D4F">
              <w:rPr>
                <w:rFonts w:ascii="Arial" w:hAnsi="Arial" w:cs="Arial"/>
                <w:sz w:val="22"/>
                <w:szCs w:val="22"/>
                <w:lang w:val="ru-RU"/>
              </w:rPr>
              <w:t>г.</w:t>
            </w:r>
            <w:r w:rsidRPr="00A17D4F">
              <w:rPr>
                <w:sz w:val="22"/>
                <w:szCs w:val="22"/>
                <w:lang w:val="ru-RU"/>
              </w:rPr>
              <w:t xml:space="preserve"> </w:t>
            </w:r>
          </w:p>
        </w:tc>
      </w:tr>
    </w:tbl>
    <w:p w14:paraId="383BF7B0" w14:textId="77777777" w:rsidR="00173221" w:rsidRPr="00670684" w:rsidRDefault="00173221" w:rsidP="00173221">
      <w:pPr>
        <w:rPr>
          <w:rFonts w:ascii="Arial" w:eastAsia="Times New Roman" w:hAnsi="Arial" w:cs="Arial"/>
          <w:lang w:val="ru-RU" w:eastAsia="en-US"/>
        </w:rPr>
      </w:pPr>
      <w:r w:rsidRPr="00670684">
        <w:rPr>
          <w:rFonts w:ascii="Arial" w:hAnsi="Arial" w:cs="Arial"/>
          <w:b/>
          <w:bCs/>
          <w:lang w:val="ru-RU"/>
        </w:rPr>
        <w:br w:type="page"/>
      </w:r>
    </w:p>
    <w:p w14:paraId="6C3A8EEF" w14:textId="77777777" w:rsidR="00523732" w:rsidRPr="00A17D4F" w:rsidRDefault="00523732" w:rsidP="00D96148">
      <w:pPr>
        <w:spacing w:after="240" w:line="240" w:lineRule="auto"/>
        <w:jc w:val="both"/>
        <w:rPr>
          <w:rFonts w:ascii="Arial" w:eastAsia="Times New Roman" w:hAnsi="Arial" w:cs="Arial"/>
          <w:b/>
          <w:bCs/>
        </w:rPr>
      </w:pPr>
      <w:r w:rsidRPr="00A17D4F">
        <w:rPr>
          <w:rFonts w:ascii="Arial" w:hAnsi="Arial" w:cs="Arial"/>
          <w:b/>
          <w:bCs/>
          <w:lang w:val="ru-RU"/>
        </w:rPr>
        <w:lastRenderedPageBreak/>
        <w:t>Введение</w:t>
      </w:r>
    </w:p>
    <w:p w14:paraId="603AD953" w14:textId="12D626CA" w:rsidR="00523732" w:rsidRPr="00670684" w:rsidRDefault="00523732" w:rsidP="00D96148">
      <w:pPr>
        <w:pStyle w:val="ListParagraph"/>
        <w:widowControl/>
        <w:numPr>
          <w:ilvl w:val="0"/>
          <w:numId w:val="5"/>
        </w:numPr>
        <w:spacing w:after="240" w:line="240" w:lineRule="auto"/>
        <w:ind w:left="0" w:firstLine="0"/>
        <w:contextualSpacing w:val="0"/>
        <w:rPr>
          <w:rFonts w:cs="Arial"/>
          <w:lang w:val="ru-RU"/>
        </w:rPr>
      </w:pPr>
      <w:r w:rsidRPr="00A17D4F">
        <w:rPr>
          <w:rFonts w:cs="Arial"/>
          <w:lang w:val="ru-RU"/>
        </w:rPr>
        <w:t xml:space="preserve">В контексте меняющегося ландшафта политики освоения ресурсов океанов, повышения </w:t>
      </w:r>
      <w:r w:rsidR="00ED3341">
        <w:rPr>
          <w:rFonts w:cs="Arial"/>
          <w:lang w:val="ru-RU"/>
        </w:rPr>
        <w:t xml:space="preserve">наглядности </w:t>
      </w:r>
      <w:r w:rsidRPr="00A17D4F">
        <w:rPr>
          <w:rFonts w:cs="Arial"/>
          <w:lang w:val="ru-RU"/>
        </w:rPr>
        <w:t>ГЕБКО благодаря работе в рамках проекта «Морское дно – 2030» фонда «Ниппон»/ГЕБКО, а также в свете необходимости привлечения все большего числа заинтересованных сторон Руководящий комитет по ГЕБКО (РКГ) на своем 38-м совещании (РКГ-38, апрель 2022</w:t>
      </w:r>
      <w:r w:rsidR="00ED3341">
        <w:rPr>
          <w:rFonts w:cs="Arial"/>
          <w:lang w:val="ru-RU"/>
        </w:rPr>
        <w:t> </w:t>
      </w:r>
      <w:r w:rsidRPr="00A17D4F">
        <w:rPr>
          <w:rFonts w:cs="Arial"/>
          <w:lang w:val="ru-RU"/>
        </w:rPr>
        <w:t xml:space="preserve">г.) постановил учредить проектную группу для проведения обзора управления ГЕБКО (именуемую </w:t>
      </w:r>
      <w:r w:rsidR="00ED3341">
        <w:rPr>
          <w:rFonts w:cs="Arial"/>
          <w:lang w:val="ru-RU"/>
        </w:rPr>
        <w:t xml:space="preserve">далее </w:t>
      </w:r>
      <w:r w:rsidRPr="00A17D4F">
        <w:rPr>
          <w:rFonts w:cs="Arial"/>
          <w:lang w:val="ru-RU"/>
        </w:rPr>
        <w:t xml:space="preserve">ПГОУГ). Проектную группу должен был возглавить секретарь ГЕБКО (председатель) при поддержке представителя ГЕБКО МОК (заместитель председателя). При этом РКГ отметил, что «речь, безусловно, идет о крайне необходимой и целесообразной инициативе», но при этом </w:t>
      </w:r>
      <w:r w:rsidR="00111EFD">
        <w:rPr>
          <w:rFonts w:cs="Arial"/>
          <w:lang w:val="ru-RU"/>
        </w:rPr>
        <w:t xml:space="preserve">задача может быть </w:t>
      </w:r>
      <w:r w:rsidRPr="00A17D4F">
        <w:rPr>
          <w:rFonts w:cs="Arial"/>
          <w:lang w:val="ru-RU"/>
        </w:rPr>
        <w:t>масштабн</w:t>
      </w:r>
      <w:r w:rsidR="00111EFD">
        <w:rPr>
          <w:rFonts w:cs="Arial"/>
          <w:lang w:val="ru-RU"/>
        </w:rPr>
        <w:t xml:space="preserve">ой </w:t>
      </w:r>
      <w:r w:rsidRPr="00A17D4F">
        <w:rPr>
          <w:rFonts w:cs="Arial"/>
          <w:lang w:val="ru-RU"/>
        </w:rPr>
        <w:t>и проектной группе «необходимо</w:t>
      </w:r>
      <w:r w:rsidR="00ED3341">
        <w:rPr>
          <w:rFonts w:cs="Arial"/>
          <w:lang w:val="ru-RU"/>
        </w:rPr>
        <w:t xml:space="preserve"> внимательно следить за тем</w:t>
      </w:r>
      <w:r w:rsidRPr="00A17D4F">
        <w:rPr>
          <w:rFonts w:cs="Arial"/>
          <w:lang w:val="ru-RU"/>
        </w:rPr>
        <w:t xml:space="preserve">, чтобы обзор не стал </w:t>
      </w:r>
      <w:r w:rsidR="00111EFD">
        <w:rPr>
          <w:rFonts w:cs="Arial"/>
          <w:lang w:val="ru-RU"/>
        </w:rPr>
        <w:t xml:space="preserve">слишком подробным </w:t>
      </w:r>
      <w:r w:rsidRPr="00A17D4F">
        <w:rPr>
          <w:rFonts w:cs="Arial"/>
          <w:lang w:val="ru-RU"/>
        </w:rPr>
        <w:t xml:space="preserve">или обременительным». В связи с этим было решено, что задача </w:t>
      </w:r>
      <w:r w:rsidR="00111EFD">
        <w:rPr>
          <w:rFonts w:cs="Arial"/>
          <w:lang w:val="ru-RU"/>
        </w:rPr>
        <w:t xml:space="preserve">обзора </w:t>
      </w:r>
      <w:r w:rsidRPr="00A17D4F">
        <w:rPr>
          <w:rFonts w:cs="Arial"/>
          <w:lang w:val="ru-RU"/>
        </w:rPr>
        <w:t xml:space="preserve">должна заключаться в </w:t>
      </w:r>
      <w:r w:rsidR="00111EFD">
        <w:rPr>
          <w:rFonts w:cs="Arial"/>
          <w:lang w:val="ru-RU"/>
        </w:rPr>
        <w:t xml:space="preserve">организации </w:t>
      </w:r>
      <w:r w:rsidRPr="00A17D4F">
        <w:rPr>
          <w:rFonts w:cs="Arial"/>
          <w:lang w:val="ru-RU"/>
        </w:rPr>
        <w:t xml:space="preserve">«воспроизводимого процесса непрерывного совершенствования работы, а не просто в подготовке отдельного доклада». </w:t>
      </w:r>
    </w:p>
    <w:p w14:paraId="1E73477D" w14:textId="77777777" w:rsidR="00523732" w:rsidRPr="00670684" w:rsidRDefault="00523732" w:rsidP="00D96148">
      <w:pPr>
        <w:pStyle w:val="ListParagraph"/>
        <w:widowControl/>
        <w:numPr>
          <w:ilvl w:val="0"/>
          <w:numId w:val="5"/>
        </w:numPr>
        <w:spacing w:after="240" w:line="240" w:lineRule="auto"/>
        <w:ind w:left="0" w:firstLine="0"/>
        <w:contextualSpacing w:val="0"/>
        <w:rPr>
          <w:rFonts w:cs="Arial"/>
          <w:szCs w:val="22"/>
          <w:lang w:val="ru-RU"/>
        </w:rPr>
      </w:pPr>
      <w:r w:rsidRPr="00A17D4F">
        <w:rPr>
          <w:rFonts w:cs="Arial"/>
          <w:lang w:val="ru-RU"/>
        </w:rPr>
        <w:t>Основные аспекты обзора включают в себя определение круга заинтересованных сторон и активности их участия, анализ существующей организационной и функциональной структуры, анализ организационно-правовой формы и правовых основ деятельности, анализ пробелов в существующих механизмах управления, обзор финансового положения и формулирование выводов и рекомендаций.</w:t>
      </w:r>
    </w:p>
    <w:p w14:paraId="1D00E975" w14:textId="5F4C704C" w:rsidR="00523732" w:rsidRPr="00670684" w:rsidRDefault="00523732" w:rsidP="00D96148">
      <w:pPr>
        <w:pStyle w:val="ListParagraph"/>
        <w:widowControl/>
        <w:numPr>
          <w:ilvl w:val="0"/>
          <w:numId w:val="5"/>
        </w:numPr>
        <w:spacing w:after="240" w:line="240" w:lineRule="auto"/>
        <w:ind w:left="0" w:firstLine="0"/>
        <w:contextualSpacing w:val="0"/>
        <w:rPr>
          <w:rFonts w:cs="Arial"/>
          <w:bCs/>
          <w:szCs w:val="22"/>
          <w:lang w:val="ru-RU"/>
        </w:rPr>
      </w:pPr>
      <w:r w:rsidRPr="00A17D4F">
        <w:rPr>
          <w:rFonts w:cs="Arial"/>
          <w:lang w:val="ru-RU"/>
        </w:rPr>
        <w:t xml:space="preserve">Проделанная к настоящему времени работа свидетельствует о том, что проведение обзора действительно оказалось сложной задачей, требующей значительных ресурсов секретариатов МГО и МОК. Именно по этой причине было принято решение отложить представление окончательных выводов до РКГ-40 (ноябрь 2023 г.) перед их дальнейшим представлением головным организациям. </w:t>
      </w:r>
    </w:p>
    <w:p w14:paraId="3E12C7AC" w14:textId="77777777" w:rsidR="00523732" w:rsidRPr="00670684" w:rsidRDefault="00523732" w:rsidP="00D96148">
      <w:pPr>
        <w:pStyle w:val="ListParagraph"/>
        <w:widowControl/>
        <w:numPr>
          <w:ilvl w:val="0"/>
          <w:numId w:val="5"/>
        </w:numPr>
        <w:spacing w:after="240" w:line="240" w:lineRule="auto"/>
        <w:ind w:left="0" w:firstLine="0"/>
        <w:contextualSpacing w:val="0"/>
        <w:rPr>
          <w:rFonts w:cs="Arial"/>
          <w:bCs/>
          <w:szCs w:val="22"/>
          <w:lang w:val="ru-RU"/>
        </w:rPr>
      </w:pPr>
      <w:r w:rsidRPr="00A17D4F">
        <w:rPr>
          <w:rFonts w:cs="Arial"/>
          <w:lang w:val="ru-RU"/>
        </w:rPr>
        <w:t>В настоящем докладе представлена обновленная информация о проделанной на сегодняшний день работе, включая первоначальные выводы и дальнейшие меры.</w:t>
      </w:r>
    </w:p>
    <w:p w14:paraId="4351A5F1" w14:textId="20412FFF" w:rsidR="00523732" w:rsidRPr="00670684" w:rsidRDefault="00523732" w:rsidP="00D96148">
      <w:pPr>
        <w:spacing w:after="240" w:line="240" w:lineRule="auto"/>
        <w:jc w:val="both"/>
        <w:rPr>
          <w:rFonts w:ascii="Arial" w:eastAsia="Times New Roman" w:hAnsi="Arial" w:cs="Arial"/>
          <w:i/>
          <w:iCs/>
          <w:u w:val="single"/>
          <w:lang w:val="ru-RU"/>
        </w:rPr>
      </w:pPr>
      <w:r w:rsidRPr="00A17D4F">
        <w:rPr>
          <w:rFonts w:ascii="Arial" w:hAnsi="Arial" w:cs="Arial"/>
          <w:i/>
          <w:iCs/>
          <w:u w:val="single"/>
          <w:lang w:val="ru-RU"/>
        </w:rPr>
        <w:t xml:space="preserve">Процесс </w:t>
      </w:r>
      <w:r w:rsidR="00D96148">
        <w:rPr>
          <w:rFonts w:ascii="Arial" w:hAnsi="Arial" w:cs="Arial"/>
          <w:i/>
          <w:iCs/>
          <w:u w:val="single"/>
          <w:lang w:val="ru-RU"/>
        </w:rPr>
        <w:t>–</w:t>
      </w:r>
      <w:r w:rsidRPr="00A17D4F">
        <w:rPr>
          <w:rFonts w:ascii="Arial" w:hAnsi="Arial" w:cs="Arial"/>
          <w:i/>
          <w:iCs/>
          <w:u w:val="single"/>
          <w:lang w:val="ru-RU"/>
        </w:rPr>
        <w:t xml:space="preserve"> проделанная на сегодняшний день работа</w:t>
      </w:r>
    </w:p>
    <w:p w14:paraId="7C72A1E5" w14:textId="60966BE9" w:rsidR="00523732" w:rsidRPr="00670684" w:rsidRDefault="00523732" w:rsidP="00D96148">
      <w:pPr>
        <w:pStyle w:val="ListParagraph"/>
        <w:widowControl/>
        <w:numPr>
          <w:ilvl w:val="0"/>
          <w:numId w:val="5"/>
        </w:numPr>
        <w:spacing w:after="240" w:line="240" w:lineRule="auto"/>
        <w:ind w:left="0" w:firstLine="0"/>
        <w:contextualSpacing w:val="0"/>
        <w:rPr>
          <w:rFonts w:cs="Arial"/>
          <w:bCs/>
          <w:szCs w:val="22"/>
          <w:lang w:val="ru-RU"/>
        </w:rPr>
      </w:pPr>
      <w:r w:rsidRPr="00A17D4F">
        <w:rPr>
          <w:rFonts w:cs="Arial"/>
          <w:lang w:val="ru-RU"/>
        </w:rPr>
        <w:t>После того, как Межрегиональн</w:t>
      </w:r>
      <w:r w:rsidR="00111EFD">
        <w:rPr>
          <w:rFonts w:cs="Arial"/>
          <w:lang w:val="ru-RU"/>
        </w:rPr>
        <w:t>ый</w:t>
      </w:r>
      <w:r w:rsidRPr="00A17D4F">
        <w:rPr>
          <w:rFonts w:cs="Arial"/>
          <w:lang w:val="ru-RU"/>
        </w:rPr>
        <w:t xml:space="preserve"> координационн</w:t>
      </w:r>
      <w:r w:rsidR="00111EFD">
        <w:rPr>
          <w:rFonts w:cs="Arial"/>
          <w:lang w:val="ru-RU"/>
        </w:rPr>
        <w:t>ый</w:t>
      </w:r>
      <w:r w:rsidRPr="00A17D4F">
        <w:rPr>
          <w:rFonts w:cs="Arial"/>
          <w:lang w:val="ru-RU"/>
        </w:rPr>
        <w:t xml:space="preserve"> комитет МГО (</w:t>
      </w:r>
      <w:r w:rsidRPr="00A17D4F">
        <w:rPr>
          <w:rFonts w:cs="Arial"/>
          <w:b/>
          <w:bCs/>
          <w:lang w:val="ru-RU"/>
        </w:rPr>
        <w:t>МРКК</w:t>
      </w:r>
      <w:r w:rsidRPr="00A17D4F">
        <w:rPr>
          <w:rFonts w:cs="Arial"/>
          <w:lang w:val="ru-RU"/>
        </w:rPr>
        <w:t xml:space="preserve">) </w:t>
      </w:r>
      <w:r w:rsidR="00111EFD">
        <w:rPr>
          <w:rFonts w:cs="Arial"/>
          <w:lang w:val="ru-RU"/>
        </w:rPr>
        <w:t>на своей 14</w:t>
      </w:r>
      <w:r w:rsidR="00D96148">
        <w:rPr>
          <w:rFonts w:cs="Arial"/>
          <w:lang w:val="ru-RU"/>
        </w:rPr>
        <w:noBreakHyphen/>
      </w:r>
      <w:r w:rsidR="00111EFD">
        <w:rPr>
          <w:rFonts w:cs="Arial"/>
          <w:lang w:val="ru-RU"/>
        </w:rPr>
        <w:t>й</w:t>
      </w:r>
      <w:r w:rsidR="00D96148">
        <w:rPr>
          <w:rFonts w:cs="Arial"/>
          <w:lang w:val="en-US"/>
        </w:rPr>
        <w:t> </w:t>
      </w:r>
      <w:r w:rsidR="00111EFD">
        <w:rPr>
          <w:rFonts w:cs="Arial"/>
          <w:lang w:val="ru-RU"/>
        </w:rPr>
        <w:t xml:space="preserve">сессии </w:t>
      </w:r>
      <w:r w:rsidRPr="00A17D4F">
        <w:rPr>
          <w:rFonts w:cs="Arial"/>
          <w:lang w:val="ru-RU"/>
        </w:rPr>
        <w:t xml:space="preserve">и Исполнительный совет МОК </w:t>
      </w:r>
      <w:proofErr w:type="gramStart"/>
      <w:r w:rsidRPr="00A17D4F">
        <w:rPr>
          <w:rFonts w:cs="Arial"/>
          <w:lang w:val="ru-RU"/>
        </w:rPr>
        <w:t>на своей 55-й сессии</w:t>
      </w:r>
      <w:proofErr w:type="gramEnd"/>
      <w:r w:rsidRPr="00A17D4F">
        <w:rPr>
          <w:rFonts w:cs="Arial"/>
          <w:lang w:val="ru-RU"/>
        </w:rPr>
        <w:t xml:space="preserve"> одобрили предложение о создании проектной группы по обзору управления ГЕБКО (ПГОУГ), началась работа по обзору механизмов управления. Было решено, что изначально работа будет сосредоточена на анализе организационной и функциональной структуры ГЕБКО, что позволит начать анализ пробелов различных механизмов управления и сформулировать первоначальные выводы. Учитывая масштаб и сложность задачи, необходимо было изначально сосредоточить внимание на основных структурах программы ГЕБКО (являющихся подкомитетами) и их отношениях с головными организациями.  </w:t>
      </w:r>
    </w:p>
    <w:p w14:paraId="767212F8" w14:textId="77777777" w:rsidR="00523732" w:rsidRPr="00A17D4F" w:rsidRDefault="00523732" w:rsidP="00D96148">
      <w:pPr>
        <w:tabs>
          <w:tab w:val="left" w:pos="567"/>
        </w:tabs>
        <w:spacing w:after="240" w:line="240" w:lineRule="auto"/>
        <w:jc w:val="both"/>
        <w:rPr>
          <w:rFonts w:ascii="Arial" w:eastAsia="Times New Roman" w:hAnsi="Arial" w:cs="Arial"/>
          <w:i/>
          <w:iCs/>
          <w:u w:val="single"/>
        </w:rPr>
      </w:pPr>
      <w:r w:rsidRPr="00A17D4F">
        <w:rPr>
          <w:rFonts w:ascii="Arial" w:hAnsi="Arial" w:cs="Arial"/>
          <w:i/>
          <w:iCs/>
          <w:u w:val="single"/>
          <w:lang w:val="ru-RU"/>
        </w:rPr>
        <w:t>Согласование со стратегией</w:t>
      </w:r>
    </w:p>
    <w:p w14:paraId="14E5E815" w14:textId="338072AB" w:rsidR="00523732" w:rsidRPr="00670684" w:rsidRDefault="00523732" w:rsidP="00D96148">
      <w:pPr>
        <w:pStyle w:val="ListParagraph"/>
        <w:widowControl/>
        <w:numPr>
          <w:ilvl w:val="0"/>
          <w:numId w:val="5"/>
        </w:numPr>
        <w:spacing w:after="240" w:line="240" w:lineRule="auto"/>
        <w:ind w:left="0" w:firstLine="0"/>
        <w:contextualSpacing w:val="0"/>
        <w:rPr>
          <w:rFonts w:cs="Arial"/>
          <w:bCs/>
          <w:szCs w:val="22"/>
          <w:lang w:val="ru-RU"/>
        </w:rPr>
      </w:pPr>
      <w:r w:rsidRPr="00A17D4F">
        <w:rPr>
          <w:rFonts w:cs="Arial"/>
          <w:lang w:val="ru-RU"/>
        </w:rPr>
        <w:t xml:space="preserve">В ходе 38-го и 39-го совещаний РКГ было признано, что обзор управления такого рода, как правило, проводится на основе определенной организационной стратегии, чтобы обеспечить ее надлежащее осуществление. Кроме того, отмечалось, </w:t>
      </w:r>
      <w:r w:rsidR="00593E3B">
        <w:rPr>
          <w:rFonts w:cs="Arial"/>
          <w:lang w:val="ru-RU"/>
        </w:rPr>
        <w:t xml:space="preserve">обзор сложно было бы завершить до того, как будут осуществлены первые этапы </w:t>
      </w:r>
      <w:r w:rsidRPr="00A17D4F">
        <w:rPr>
          <w:rFonts w:cs="Arial"/>
          <w:lang w:val="ru-RU"/>
        </w:rPr>
        <w:t>нов</w:t>
      </w:r>
      <w:r w:rsidR="00593E3B">
        <w:rPr>
          <w:rFonts w:cs="Arial"/>
          <w:lang w:val="ru-RU"/>
        </w:rPr>
        <w:t>ой</w:t>
      </w:r>
      <w:r w:rsidRPr="00A17D4F">
        <w:rPr>
          <w:rFonts w:cs="Arial"/>
          <w:lang w:val="ru-RU"/>
        </w:rPr>
        <w:t xml:space="preserve"> стратеги</w:t>
      </w:r>
      <w:r w:rsidR="00593E3B">
        <w:rPr>
          <w:rFonts w:cs="Arial"/>
          <w:lang w:val="ru-RU"/>
        </w:rPr>
        <w:t>и</w:t>
      </w:r>
      <w:r w:rsidRPr="00A17D4F">
        <w:rPr>
          <w:rFonts w:cs="Arial"/>
          <w:lang w:val="ru-RU"/>
        </w:rPr>
        <w:t xml:space="preserve"> ГЕБКО. </w:t>
      </w:r>
    </w:p>
    <w:p w14:paraId="0ADBCC0E" w14:textId="77777777" w:rsidR="00523732" w:rsidRPr="00A17D4F" w:rsidRDefault="00523732" w:rsidP="00D96148">
      <w:pPr>
        <w:tabs>
          <w:tab w:val="left" w:pos="567"/>
        </w:tabs>
        <w:spacing w:after="240" w:line="240" w:lineRule="auto"/>
        <w:jc w:val="both"/>
        <w:rPr>
          <w:rFonts w:ascii="Arial" w:eastAsia="Times New Roman" w:hAnsi="Arial" w:cs="Arial"/>
          <w:i/>
          <w:iCs/>
          <w:u w:val="single"/>
        </w:rPr>
      </w:pPr>
      <w:r w:rsidRPr="00A17D4F">
        <w:rPr>
          <w:rFonts w:ascii="Arial" w:hAnsi="Arial" w:cs="Arial"/>
          <w:i/>
          <w:iCs/>
          <w:u w:val="single"/>
          <w:lang w:val="ru-RU"/>
        </w:rPr>
        <w:t>Исходные замечания</w:t>
      </w:r>
    </w:p>
    <w:p w14:paraId="246971EC" w14:textId="00AF1FD6" w:rsidR="00523732" w:rsidRPr="00670684" w:rsidRDefault="00523732" w:rsidP="00D96148">
      <w:pPr>
        <w:pStyle w:val="ListParagraph"/>
        <w:widowControl/>
        <w:numPr>
          <w:ilvl w:val="0"/>
          <w:numId w:val="5"/>
        </w:numPr>
        <w:spacing w:after="240" w:line="240" w:lineRule="auto"/>
        <w:ind w:left="0" w:firstLine="0"/>
        <w:contextualSpacing w:val="0"/>
        <w:rPr>
          <w:rFonts w:cs="Arial"/>
          <w:bCs/>
          <w:szCs w:val="22"/>
          <w:lang w:val="ru-RU"/>
        </w:rPr>
      </w:pPr>
      <w:r w:rsidRPr="00A17D4F">
        <w:rPr>
          <w:rFonts w:cs="Arial"/>
          <w:lang w:val="ru-RU"/>
        </w:rPr>
        <w:t xml:space="preserve">Для определения </w:t>
      </w:r>
      <w:r w:rsidR="00593E3B">
        <w:rPr>
          <w:rFonts w:cs="Arial"/>
          <w:lang w:val="ru-RU"/>
        </w:rPr>
        <w:t xml:space="preserve">первого </w:t>
      </w:r>
      <w:r w:rsidRPr="00A17D4F">
        <w:rPr>
          <w:rFonts w:cs="Arial"/>
          <w:lang w:val="ru-RU"/>
        </w:rPr>
        <w:t xml:space="preserve">круга выводов, </w:t>
      </w:r>
      <w:r w:rsidR="00593E3B">
        <w:rPr>
          <w:rFonts w:cs="Arial"/>
          <w:lang w:val="ru-RU"/>
        </w:rPr>
        <w:t xml:space="preserve">которые </w:t>
      </w:r>
      <w:r w:rsidRPr="00A17D4F">
        <w:rPr>
          <w:rFonts w:cs="Arial"/>
          <w:lang w:val="ru-RU"/>
        </w:rPr>
        <w:t>представлен</w:t>
      </w:r>
      <w:r w:rsidR="00593E3B">
        <w:rPr>
          <w:rFonts w:cs="Arial"/>
          <w:lang w:val="ru-RU"/>
        </w:rPr>
        <w:t>ы</w:t>
      </w:r>
      <w:r w:rsidRPr="00A17D4F">
        <w:rPr>
          <w:rFonts w:cs="Arial"/>
          <w:lang w:val="ru-RU"/>
        </w:rPr>
        <w:t xml:space="preserve"> в настоящем документе, была разработана серия вопросов, чтобы обеспечить последовательный и воспроизводимый подход к процессу оценки преимущественно качественного характера: </w:t>
      </w:r>
    </w:p>
    <w:p w14:paraId="602D4269" w14:textId="596501C6" w:rsidR="00523732" w:rsidRPr="00670684" w:rsidRDefault="00523732" w:rsidP="00D96148">
      <w:pPr>
        <w:numPr>
          <w:ilvl w:val="0"/>
          <w:numId w:val="4"/>
        </w:numPr>
        <w:spacing w:after="240" w:line="240" w:lineRule="auto"/>
        <w:ind w:left="1134" w:hanging="567"/>
        <w:jc w:val="both"/>
        <w:rPr>
          <w:rFonts w:ascii="Arial" w:eastAsia="Times New Roman" w:hAnsi="Arial" w:cs="Arial"/>
          <w:bCs/>
          <w:lang w:val="ru-RU"/>
        </w:rPr>
      </w:pPr>
      <w:r w:rsidRPr="00A17D4F">
        <w:rPr>
          <w:rFonts w:ascii="Arial" w:hAnsi="Arial" w:cs="Arial"/>
          <w:lang w:val="ru-RU"/>
        </w:rPr>
        <w:t xml:space="preserve">Существуют ли </w:t>
      </w:r>
      <w:r w:rsidR="00593E3B">
        <w:rPr>
          <w:rFonts w:ascii="Arial" w:hAnsi="Arial" w:cs="Arial"/>
          <w:lang w:val="ru-RU"/>
        </w:rPr>
        <w:t xml:space="preserve">надлежащие </w:t>
      </w:r>
      <w:r w:rsidRPr="00A17D4F">
        <w:rPr>
          <w:rFonts w:ascii="Arial" w:hAnsi="Arial" w:cs="Arial"/>
          <w:lang w:val="ru-RU"/>
        </w:rPr>
        <w:t>механизмы управления?</w:t>
      </w:r>
    </w:p>
    <w:p w14:paraId="4359AB68" w14:textId="593A4ED7" w:rsidR="00523732" w:rsidRPr="00670684" w:rsidRDefault="00523732" w:rsidP="00D96148">
      <w:pPr>
        <w:numPr>
          <w:ilvl w:val="0"/>
          <w:numId w:val="4"/>
        </w:numPr>
        <w:spacing w:after="240" w:line="240" w:lineRule="auto"/>
        <w:ind w:left="1134" w:hanging="567"/>
        <w:jc w:val="both"/>
        <w:rPr>
          <w:rFonts w:ascii="Arial" w:eastAsia="Times New Roman" w:hAnsi="Arial" w:cs="Arial"/>
          <w:bCs/>
          <w:lang w:val="ru-RU"/>
        </w:rPr>
      </w:pPr>
      <w:r w:rsidRPr="00A17D4F">
        <w:rPr>
          <w:rFonts w:ascii="Arial" w:hAnsi="Arial" w:cs="Arial"/>
          <w:lang w:val="ru-RU"/>
        </w:rPr>
        <w:t>Являются ли механизмы управления актуальными и поддерживают ли они должным образом работу группы или комитета?</w:t>
      </w:r>
    </w:p>
    <w:p w14:paraId="621198E2" w14:textId="463F25EB" w:rsidR="00523732" w:rsidRPr="00670684" w:rsidRDefault="00593E3B" w:rsidP="00D96148">
      <w:pPr>
        <w:numPr>
          <w:ilvl w:val="0"/>
          <w:numId w:val="4"/>
        </w:numPr>
        <w:spacing w:after="240" w:line="240" w:lineRule="auto"/>
        <w:ind w:left="1134" w:hanging="567"/>
        <w:jc w:val="both"/>
        <w:rPr>
          <w:rFonts w:ascii="Arial" w:eastAsia="Times New Roman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Существует </w:t>
      </w:r>
      <w:r w:rsidR="00523732" w:rsidRPr="00A17D4F">
        <w:rPr>
          <w:rFonts w:ascii="Arial" w:hAnsi="Arial" w:cs="Arial"/>
          <w:lang w:val="ru-RU"/>
        </w:rPr>
        <w:t>ли четки</w:t>
      </w:r>
      <w:r>
        <w:rPr>
          <w:rFonts w:ascii="Arial" w:hAnsi="Arial" w:cs="Arial"/>
          <w:lang w:val="ru-RU"/>
        </w:rPr>
        <w:t>й</w:t>
      </w:r>
      <w:r w:rsidR="00523732" w:rsidRPr="00A17D4F">
        <w:rPr>
          <w:rFonts w:ascii="Arial" w:hAnsi="Arial" w:cs="Arial"/>
          <w:lang w:val="ru-RU"/>
        </w:rPr>
        <w:t>, актуальны</w:t>
      </w:r>
      <w:r>
        <w:rPr>
          <w:rFonts w:ascii="Arial" w:hAnsi="Arial" w:cs="Arial"/>
          <w:lang w:val="ru-RU"/>
        </w:rPr>
        <w:t>й</w:t>
      </w:r>
      <w:r w:rsidR="00523732" w:rsidRPr="00A17D4F">
        <w:rPr>
          <w:rFonts w:ascii="Arial" w:hAnsi="Arial" w:cs="Arial"/>
          <w:lang w:val="ru-RU"/>
        </w:rPr>
        <w:t xml:space="preserve"> и логически структурированны</w:t>
      </w:r>
      <w:r>
        <w:rPr>
          <w:rFonts w:ascii="Arial" w:hAnsi="Arial" w:cs="Arial"/>
          <w:lang w:val="ru-RU"/>
        </w:rPr>
        <w:t>й</w:t>
      </w:r>
      <w:r w:rsidRPr="00593E3B">
        <w:rPr>
          <w:rFonts w:ascii="Arial" w:hAnsi="Arial" w:cs="Arial"/>
          <w:lang w:val="ru-RU"/>
        </w:rPr>
        <w:t xml:space="preserve"> </w:t>
      </w:r>
      <w:r w:rsidRPr="00A17D4F">
        <w:rPr>
          <w:rFonts w:ascii="Arial" w:hAnsi="Arial" w:cs="Arial"/>
          <w:lang w:val="ru-RU"/>
        </w:rPr>
        <w:t>план работы</w:t>
      </w:r>
      <w:r w:rsidR="00523732" w:rsidRPr="00A17D4F">
        <w:rPr>
          <w:rFonts w:ascii="Arial" w:hAnsi="Arial" w:cs="Arial"/>
          <w:lang w:val="ru-RU"/>
        </w:rPr>
        <w:t>?</w:t>
      </w:r>
    </w:p>
    <w:p w14:paraId="582309B7" w14:textId="7C8779F7" w:rsidR="00523732" w:rsidRPr="00670684" w:rsidRDefault="00523732" w:rsidP="00D96148">
      <w:pPr>
        <w:numPr>
          <w:ilvl w:val="0"/>
          <w:numId w:val="4"/>
        </w:numPr>
        <w:spacing w:after="240" w:line="240" w:lineRule="auto"/>
        <w:ind w:left="1134" w:hanging="567"/>
        <w:jc w:val="both"/>
        <w:rPr>
          <w:rFonts w:ascii="Arial" w:eastAsia="Times New Roman" w:hAnsi="Arial" w:cs="Arial"/>
          <w:bCs/>
          <w:lang w:val="ru-RU"/>
        </w:rPr>
      </w:pPr>
      <w:r w:rsidRPr="00A17D4F">
        <w:rPr>
          <w:rFonts w:ascii="Arial" w:hAnsi="Arial" w:cs="Arial"/>
          <w:lang w:val="ru-RU"/>
        </w:rPr>
        <w:t>Соответствует ли организация работы РКГ и подкомитетов иерархии выполнения программы?</w:t>
      </w:r>
    </w:p>
    <w:p w14:paraId="533895BC" w14:textId="7E9D074B" w:rsidR="00523732" w:rsidRPr="00670684" w:rsidRDefault="00593E3B" w:rsidP="00D96148">
      <w:pPr>
        <w:numPr>
          <w:ilvl w:val="0"/>
          <w:numId w:val="4"/>
        </w:numPr>
        <w:spacing w:after="240" w:line="240" w:lineRule="auto"/>
        <w:ind w:left="1134" w:hanging="567"/>
        <w:jc w:val="both"/>
        <w:rPr>
          <w:rFonts w:ascii="Arial" w:eastAsia="Times New Roman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Соответствует </w:t>
      </w:r>
      <w:r w:rsidR="00523732" w:rsidRPr="00A17D4F">
        <w:rPr>
          <w:rFonts w:ascii="Arial" w:hAnsi="Arial" w:cs="Arial"/>
          <w:lang w:val="ru-RU"/>
        </w:rPr>
        <w:t xml:space="preserve">ли членский состав группы или комитета </w:t>
      </w:r>
      <w:r>
        <w:rPr>
          <w:rFonts w:ascii="Arial" w:hAnsi="Arial" w:cs="Arial"/>
          <w:lang w:val="ru-RU"/>
        </w:rPr>
        <w:t xml:space="preserve">поставленным задачам </w:t>
      </w:r>
      <w:r w:rsidR="00523732" w:rsidRPr="00A17D4F">
        <w:rPr>
          <w:rFonts w:ascii="Arial" w:hAnsi="Arial" w:cs="Arial"/>
          <w:lang w:val="ru-RU"/>
        </w:rPr>
        <w:t>и существуют ли какие-либо препятствия для их эффективного участия в работе?</w:t>
      </w:r>
    </w:p>
    <w:p w14:paraId="3CD5287C" w14:textId="692DD4BC" w:rsidR="00523732" w:rsidRPr="00670684" w:rsidRDefault="00F609F1" w:rsidP="00D96148">
      <w:pPr>
        <w:numPr>
          <w:ilvl w:val="0"/>
          <w:numId w:val="4"/>
        </w:numPr>
        <w:spacing w:after="240" w:line="240" w:lineRule="auto"/>
        <w:ind w:left="1134" w:hanging="567"/>
        <w:jc w:val="both"/>
        <w:rPr>
          <w:rFonts w:ascii="Arial" w:eastAsia="Times New Roman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Можно ли утверждать, что </w:t>
      </w:r>
      <w:r w:rsidR="00593E3B">
        <w:rPr>
          <w:rFonts w:ascii="Arial" w:hAnsi="Arial" w:cs="Arial"/>
          <w:lang w:val="ru-RU"/>
        </w:rPr>
        <w:t xml:space="preserve">используемые </w:t>
      </w:r>
      <w:r w:rsidR="00523732" w:rsidRPr="00A17D4F">
        <w:rPr>
          <w:rFonts w:ascii="Arial" w:hAnsi="Arial" w:cs="Arial"/>
          <w:lang w:val="ru-RU"/>
        </w:rPr>
        <w:t xml:space="preserve">методы работы четко определены, официально утверждены и отвечают поставленным целям? </w:t>
      </w:r>
    </w:p>
    <w:p w14:paraId="1A259064" w14:textId="77777777" w:rsidR="00523732" w:rsidRPr="00A17D4F" w:rsidRDefault="00523732" w:rsidP="00D96148">
      <w:pPr>
        <w:spacing w:after="240" w:line="240" w:lineRule="auto"/>
        <w:jc w:val="both"/>
        <w:rPr>
          <w:rFonts w:ascii="Arial" w:eastAsia="Times New Roman" w:hAnsi="Arial" w:cs="Arial"/>
          <w:i/>
          <w:iCs/>
          <w:u w:val="single"/>
        </w:rPr>
      </w:pPr>
      <w:r w:rsidRPr="00A17D4F">
        <w:rPr>
          <w:rFonts w:ascii="Arial" w:hAnsi="Arial" w:cs="Arial"/>
          <w:i/>
          <w:iCs/>
          <w:u w:val="single"/>
          <w:lang w:val="ru-RU"/>
        </w:rPr>
        <w:t>Внешняя консультативная группа</w:t>
      </w:r>
    </w:p>
    <w:p w14:paraId="42477BEA" w14:textId="29ACE5B2" w:rsidR="00523732" w:rsidRPr="00670684" w:rsidRDefault="00523732" w:rsidP="00D96148">
      <w:pPr>
        <w:pStyle w:val="ListParagraph"/>
        <w:widowControl/>
        <w:numPr>
          <w:ilvl w:val="0"/>
          <w:numId w:val="5"/>
        </w:numPr>
        <w:spacing w:after="240" w:line="240" w:lineRule="auto"/>
        <w:ind w:left="0" w:firstLine="0"/>
        <w:contextualSpacing w:val="0"/>
        <w:rPr>
          <w:rFonts w:cs="Arial"/>
          <w:b/>
          <w:bCs/>
          <w:szCs w:val="22"/>
          <w:lang w:val="ru-RU"/>
        </w:rPr>
      </w:pPr>
      <w:r w:rsidRPr="00A17D4F">
        <w:rPr>
          <w:rFonts w:cs="Arial"/>
          <w:lang w:val="ru-RU"/>
        </w:rPr>
        <w:t>Согласно кругу ведения и правилам процедуры ПГОУ ГЕБКО</w:t>
      </w:r>
      <w:r w:rsidR="00E31BD3">
        <w:rPr>
          <w:rFonts w:cs="Arial"/>
          <w:lang w:val="ru-RU"/>
        </w:rPr>
        <w:t>,</w:t>
      </w:r>
      <w:r w:rsidRPr="00A17D4F">
        <w:rPr>
          <w:rFonts w:cs="Arial"/>
          <w:lang w:val="ru-RU"/>
        </w:rPr>
        <w:t xml:space="preserve"> «проектная группа уполномочена определять обладающих необходимой квалификацией членов внешней консультативной группы и привлекать их </w:t>
      </w:r>
      <w:r w:rsidR="00E31BD3">
        <w:rPr>
          <w:rFonts w:cs="Arial"/>
          <w:lang w:val="ru-RU"/>
        </w:rPr>
        <w:t xml:space="preserve">к своей работе </w:t>
      </w:r>
      <w:r w:rsidRPr="00A17D4F">
        <w:rPr>
          <w:rFonts w:cs="Arial"/>
          <w:lang w:val="ru-RU"/>
        </w:rPr>
        <w:t xml:space="preserve">по мере необходимости, с тем чтобы гарантировать РКГ (и органам, которым он подотчетен) достаточный уровень качества и беспристрастность проводимой работы, а также объективность выносимых рекомендаций» (см. </w:t>
      </w:r>
      <w:hyperlink r:id="rId7" w:history="1">
        <w:r w:rsidRPr="00685BAE">
          <w:rPr>
            <w:rStyle w:val="Hyperlink"/>
            <w:rFonts w:cs="Arial"/>
            <w:lang w:val="ru-RU"/>
          </w:rPr>
          <w:t>IOC/EC-55/3.1.Doc(4)</w:t>
        </w:r>
      </w:hyperlink>
      <w:r w:rsidRPr="00A17D4F">
        <w:rPr>
          <w:rFonts w:cs="Arial"/>
          <w:lang w:val="ru-RU"/>
        </w:rPr>
        <w:t xml:space="preserve">). ПГОУГ подробно изучила вопрос об использовании такого ресурса и постановила, что наиболее целесообразно использовать его для внешнего или коллегиального обзора итогового доклада. </w:t>
      </w:r>
    </w:p>
    <w:p w14:paraId="2D14CD72" w14:textId="364375DB" w:rsidR="00523732" w:rsidRPr="00A17D4F" w:rsidRDefault="00523732" w:rsidP="00D96148">
      <w:pPr>
        <w:pStyle w:val="ListParagraph"/>
        <w:widowControl/>
        <w:numPr>
          <w:ilvl w:val="0"/>
          <w:numId w:val="5"/>
        </w:numPr>
        <w:spacing w:after="240" w:line="240" w:lineRule="auto"/>
        <w:ind w:left="0" w:firstLine="0"/>
        <w:contextualSpacing w:val="0"/>
        <w:rPr>
          <w:rFonts w:cs="Arial"/>
          <w:b/>
          <w:bCs/>
          <w:szCs w:val="22"/>
        </w:rPr>
      </w:pPr>
      <w:r w:rsidRPr="00A17D4F">
        <w:rPr>
          <w:rFonts w:cs="Arial"/>
          <w:lang w:val="ru-RU"/>
        </w:rPr>
        <w:t>На сегодняшний день назначено три представителя, и осталось назначить только представителя промышленности. В настоящее время в состав консультативной группы экспертов входят:</w:t>
      </w:r>
    </w:p>
    <w:p w14:paraId="17D111CD" w14:textId="5E310731" w:rsidR="00523732" w:rsidRPr="00670684" w:rsidRDefault="00523732" w:rsidP="00D96148">
      <w:pPr>
        <w:spacing w:after="240" w:line="240" w:lineRule="auto"/>
        <w:ind w:left="567"/>
        <w:rPr>
          <w:rFonts w:ascii="Arial" w:eastAsia="Times New Roman" w:hAnsi="Arial" w:cs="Arial"/>
          <w:bCs/>
          <w:lang w:val="ru-RU"/>
        </w:rPr>
      </w:pPr>
      <w:r w:rsidRPr="00A17D4F">
        <w:rPr>
          <w:rFonts w:ascii="Arial" w:hAnsi="Arial" w:cs="Arial"/>
          <w:lang w:val="ru-RU"/>
        </w:rPr>
        <w:t xml:space="preserve">Представитель по правовым вопросам – д-р Виржини </w:t>
      </w:r>
      <w:proofErr w:type="spellStart"/>
      <w:r w:rsidRPr="00A17D4F">
        <w:rPr>
          <w:rFonts w:ascii="Arial" w:hAnsi="Arial" w:cs="Arial"/>
          <w:lang w:val="ru-RU"/>
        </w:rPr>
        <w:t>Тассен</w:t>
      </w:r>
      <w:proofErr w:type="spellEnd"/>
      <w:r w:rsidRPr="00A17D4F">
        <w:rPr>
          <w:rFonts w:ascii="Arial" w:hAnsi="Arial" w:cs="Arial"/>
          <w:lang w:val="ru-RU"/>
        </w:rPr>
        <w:t xml:space="preserve"> Кампанелла, член Парижской коллегии адвокатов, адвокат ЕС/ЕАСТ (Цюрих), заместитель председателя научного совета Института экономического морского права (Монако)</w:t>
      </w:r>
    </w:p>
    <w:p w14:paraId="4AA49953" w14:textId="77777777" w:rsidR="00523732" w:rsidRPr="00670684" w:rsidRDefault="00523732" w:rsidP="00D96148">
      <w:pPr>
        <w:spacing w:after="240" w:line="240" w:lineRule="auto"/>
        <w:ind w:left="567"/>
        <w:rPr>
          <w:rFonts w:ascii="Arial" w:eastAsia="Times New Roman" w:hAnsi="Arial" w:cs="Arial"/>
          <w:bCs/>
          <w:lang w:val="ru-RU"/>
        </w:rPr>
      </w:pPr>
      <w:r w:rsidRPr="00A17D4F">
        <w:rPr>
          <w:rFonts w:ascii="Arial" w:hAnsi="Arial" w:cs="Arial"/>
          <w:lang w:val="ru-RU"/>
        </w:rPr>
        <w:t xml:space="preserve">Финансовый представитель – г-жа Сандрин </w:t>
      </w:r>
      <w:proofErr w:type="spellStart"/>
      <w:r w:rsidRPr="00A17D4F">
        <w:rPr>
          <w:rFonts w:ascii="Arial" w:hAnsi="Arial" w:cs="Arial"/>
          <w:lang w:val="ru-RU"/>
        </w:rPr>
        <w:t>Брюнель</w:t>
      </w:r>
      <w:proofErr w:type="spellEnd"/>
      <w:r w:rsidRPr="00A17D4F">
        <w:rPr>
          <w:rFonts w:ascii="Arial" w:hAnsi="Arial" w:cs="Arial"/>
          <w:lang w:val="ru-RU"/>
        </w:rPr>
        <w:t>, Секретариат МГО</w:t>
      </w:r>
    </w:p>
    <w:p w14:paraId="279AD34E" w14:textId="77777777" w:rsidR="00523732" w:rsidRPr="00670684" w:rsidRDefault="00523732" w:rsidP="00D96148">
      <w:pPr>
        <w:spacing w:after="240" w:line="240" w:lineRule="auto"/>
        <w:ind w:left="567"/>
        <w:rPr>
          <w:rFonts w:ascii="Arial" w:eastAsia="Times New Roman" w:hAnsi="Arial" w:cs="Arial"/>
          <w:bCs/>
          <w:lang w:val="ru-RU"/>
        </w:rPr>
      </w:pPr>
      <w:r w:rsidRPr="00A17D4F">
        <w:rPr>
          <w:rFonts w:ascii="Arial" w:hAnsi="Arial" w:cs="Arial"/>
          <w:lang w:val="ru-RU"/>
        </w:rPr>
        <w:t xml:space="preserve">Представитель академических кругов – д-р Пол </w:t>
      </w:r>
      <w:proofErr w:type="spellStart"/>
      <w:r w:rsidRPr="00A17D4F">
        <w:rPr>
          <w:rFonts w:ascii="Arial" w:hAnsi="Arial" w:cs="Arial"/>
          <w:lang w:val="ru-RU"/>
        </w:rPr>
        <w:t>Элснер</w:t>
      </w:r>
      <w:proofErr w:type="spellEnd"/>
      <w:r w:rsidRPr="00A17D4F">
        <w:rPr>
          <w:rFonts w:ascii="Arial" w:hAnsi="Arial" w:cs="Arial"/>
          <w:lang w:val="ru-RU"/>
        </w:rPr>
        <w:t>, Лондонский университет</w:t>
      </w:r>
    </w:p>
    <w:p w14:paraId="67A8A15C" w14:textId="38C5FE6F" w:rsidR="00523732" w:rsidRPr="00670684" w:rsidRDefault="00523732" w:rsidP="00D96148">
      <w:pPr>
        <w:spacing w:after="240" w:line="240" w:lineRule="auto"/>
        <w:ind w:left="567"/>
        <w:rPr>
          <w:rFonts w:ascii="Arial" w:eastAsia="Times New Roman" w:hAnsi="Arial" w:cs="Arial"/>
          <w:bCs/>
          <w:lang w:val="ru-RU"/>
        </w:rPr>
      </w:pPr>
      <w:r w:rsidRPr="00A17D4F">
        <w:rPr>
          <w:rFonts w:ascii="Arial" w:hAnsi="Arial" w:cs="Arial"/>
          <w:lang w:val="ru-RU"/>
        </w:rPr>
        <w:t xml:space="preserve">Представитель промышленности/частного сектора </w:t>
      </w:r>
      <w:r w:rsidR="00215C33">
        <w:rPr>
          <w:rFonts w:ascii="Arial" w:hAnsi="Arial" w:cs="Arial"/>
          <w:lang w:val="ru-RU"/>
        </w:rPr>
        <w:t>–</w:t>
      </w:r>
      <w:r w:rsidR="00215C33" w:rsidRPr="00215C33">
        <w:rPr>
          <w:rFonts w:ascii="Arial" w:hAnsi="Arial" w:cs="Arial"/>
          <w:lang w:val="ru-RU"/>
        </w:rPr>
        <w:t xml:space="preserve"> </w:t>
      </w:r>
      <w:r w:rsidRPr="00A17D4F">
        <w:rPr>
          <w:rFonts w:ascii="Arial" w:hAnsi="Arial" w:cs="Arial"/>
          <w:lang w:val="ru-RU"/>
        </w:rPr>
        <w:t xml:space="preserve">[будет дополнено] </w:t>
      </w:r>
    </w:p>
    <w:p w14:paraId="4B432701" w14:textId="77777777" w:rsidR="00523732" w:rsidRPr="00A17D4F" w:rsidRDefault="00523732" w:rsidP="00D96148">
      <w:pPr>
        <w:spacing w:after="240" w:line="240" w:lineRule="auto"/>
        <w:jc w:val="both"/>
        <w:rPr>
          <w:rFonts w:ascii="Arial" w:eastAsia="Times New Roman" w:hAnsi="Arial" w:cs="Arial"/>
          <w:b/>
          <w:bCs/>
        </w:rPr>
      </w:pPr>
      <w:r w:rsidRPr="00A17D4F">
        <w:rPr>
          <w:rFonts w:ascii="Arial" w:hAnsi="Arial" w:cs="Arial"/>
          <w:b/>
          <w:bCs/>
          <w:lang w:val="ru-RU"/>
        </w:rPr>
        <w:t>Резюме первоначальных выводов</w:t>
      </w:r>
    </w:p>
    <w:p w14:paraId="221892A4" w14:textId="1E472051" w:rsidR="00523732" w:rsidRPr="00670684" w:rsidRDefault="00523732" w:rsidP="00D96148">
      <w:pPr>
        <w:pStyle w:val="ListParagraph"/>
        <w:widowControl/>
        <w:numPr>
          <w:ilvl w:val="0"/>
          <w:numId w:val="5"/>
        </w:numPr>
        <w:spacing w:after="240" w:line="240" w:lineRule="auto"/>
        <w:ind w:left="0" w:firstLine="0"/>
        <w:contextualSpacing w:val="0"/>
        <w:rPr>
          <w:rFonts w:cs="Arial"/>
          <w:bCs/>
          <w:szCs w:val="22"/>
          <w:lang w:val="ru-RU"/>
        </w:rPr>
      </w:pPr>
      <w:r w:rsidRPr="00A17D4F">
        <w:rPr>
          <w:rFonts w:cs="Arial"/>
          <w:lang w:val="ru-RU"/>
        </w:rPr>
        <w:t>Первоначальный анализ организационной и функциональной структуры программы ГЕБКО позволил сделать следующие выводы.</w:t>
      </w:r>
    </w:p>
    <w:p w14:paraId="5A88519B" w14:textId="77777777" w:rsidR="00523732" w:rsidRPr="00A17D4F" w:rsidRDefault="00523732" w:rsidP="00D96148">
      <w:pPr>
        <w:tabs>
          <w:tab w:val="left" w:pos="567"/>
        </w:tabs>
        <w:spacing w:after="240" w:line="240" w:lineRule="auto"/>
        <w:jc w:val="both"/>
        <w:rPr>
          <w:rFonts w:ascii="Arial" w:eastAsia="Times New Roman" w:hAnsi="Arial" w:cs="Arial"/>
          <w:i/>
          <w:iCs/>
          <w:u w:val="single"/>
        </w:rPr>
      </w:pPr>
      <w:r w:rsidRPr="00A17D4F">
        <w:rPr>
          <w:rFonts w:ascii="Arial" w:hAnsi="Arial" w:cs="Arial"/>
          <w:i/>
          <w:iCs/>
          <w:u w:val="single"/>
          <w:lang w:val="ru-RU"/>
        </w:rPr>
        <w:lastRenderedPageBreak/>
        <w:t>Анализ организационной структуры</w:t>
      </w:r>
    </w:p>
    <w:p w14:paraId="7BB22CB0" w14:textId="1E49E55D" w:rsidR="00523732" w:rsidRPr="00670684" w:rsidRDefault="00523732" w:rsidP="00D96148">
      <w:pPr>
        <w:pStyle w:val="ListParagraph"/>
        <w:widowControl/>
        <w:numPr>
          <w:ilvl w:val="0"/>
          <w:numId w:val="5"/>
        </w:numPr>
        <w:spacing w:after="240" w:line="240" w:lineRule="auto"/>
        <w:ind w:left="0" w:firstLine="0"/>
        <w:contextualSpacing w:val="0"/>
        <w:rPr>
          <w:rFonts w:cs="Arial"/>
          <w:bCs/>
          <w:szCs w:val="22"/>
          <w:lang w:val="ru-RU"/>
        </w:rPr>
      </w:pPr>
      <w:r w:rsidRPr="00A17D4F">
        <w:rPr>
          <w:rFonts w:cs="Arial"/>
          <w:lang w:val="ru-RU"/>
        </w:rPr>
        <w:t>Центральным ядром программы ГЕБКО являются Руководящий комитет и пять подкомитетов. Со временем появились ряд ассоциированных органов и проектные инициативы</w:t>
      </w:r>
      <w:r w:rsidR="00A601DB">
        <w:rPr>
          <w:rFonts w:cs="Arial"/>
          <w:lang w:val="ru-RU"/>
        </w:rPr>
        <w:t>,</w:t>
      </w:r>
      <w:r w:rsidRPr="00A17D4F">
        <w:rPr>
          <w:rFonts w:cs="Arial"/>
          <w:lang w:val="ru-RU"/>
        </w:rPr>
        <w:t xml:space="preserve"> наиболее известной из которых является проект «Морское дно – 2030» фонда «Ниппон»/</w:t>
      </w:r>
      <w:r w:rsidR="00756677">
        <w:rPr>
          <w:rFonts w:cs="Arial"/>
          <w:lang w:val="ru-RU"/>
        </w:rPr>
        <w:br/>
      </w:r>
      <w:r w:rsidRPr="00A17D4F">
        <w:rPr>
          <w:rFonts w:cs="Arial"/>
          <w:lang w:val="ru-RU"/>
        </w:rPr>
        <w:t xml:space="preserve">ГЕБКО. </w:t>
      </w:r>
    </w:p>
    <w:p w14:paraId="4B6E6084" w14:textId="382F8094" w:rsidR="00523732" w:rsidRPr="00670684" w:rsidRDefault="00523732" w:rsidP="00D96148">
      <w:pPr>
        <w:pStyle w:val="ListParagraph"/>
        <w:widowControl/>
        <w:numPr>
          <w:ilvl w:val="0"/>
          <w:numId w:val="5"/>
        </w:numPr>
        <w:spacing w:after="240" w:line="240" w:lineRule="auto"/>
        <w:ind w:left="0" w:firstLine="0"/>
        <w:contextualSpacing w:val="0"/>
        <w:rPr>
          <w:rFonts w:cs="Arial"/>
          <w:bCs/>
          <w:szCs w:val="22"/>
          <w:lang w:val="ru-RU"/>
        </w:rPr>
      </w:pPr>
      <w:r w:rsidRPr="00A17D4F">
        <w:rPr>
          <w:rFonts w:cs="Arial"/>
          <w:lang w:val="ru-RU"/>
        </w:rPr>
        <w:t xml:space="preserve">Для оценки положения дел в области соответствующего управления (и механизмов), был проведен анализ организационной структуры. На </w:t>
      </w:r>
      <w:r w:rsidRPr="00A17D4F">
        <w:rPr>
          <w:rFonts w:cs="Arial"/>
          <w:i/>
          <w:iCs/>
          <w:lang w:val="ru-RU"/>
        </w:rPr>
        <w:t>рисунке 1</w:t>
      </w:r>
      <w:r w:rsidRPr="00A17D4F">
        <w:rPr>
          <w:rFonts w:cs="Arial"/>
          <w:lang w:val="ru-RU"/>
        </w:rPr>
        <w:t xml:space="preserve"> представлена органиграмма, демонстрирующая функциональную структуру и порядок подотчетности современного сообщества ГЕБКО. Было выявлено более 25 функциональных взаимосвязей, каждая из которых была описана и кодифицирована. В рамках основных органов ГЕБКО был проведен анализ пробелов в механизмах управления.</w:t>
      </w:r>
    </w:p>
    <w:p w14:paraId="087FCCA5" w14:textId="2596C7BA" w:rsidR="00EB14F0" w:rsidRPr="00A17D4F" w:rsidRDefault="00EB14F0" w:rsidP="00D96148">
      <w:pPr>
        <w:pStyle w:val="ListParagraph"/>
        <w:widowControl/>
        <w:numPr>
          <w:ilvl w:val="0"/>
          <w:numId w:val="5"/>
        </w:numPr>
        <w:spacing w:after="240" w:line="240" w:lineRule="auto"/>
        <w:ind w:left="0" w:firstLine="0"/>
        <w:contextualSpacing w:val="0"/>
        <w:rPr>
          <w:rFonts w:cs="Arial"/>
          <w:bCs/>
          <w:szCs w:val="22"/>
        </w:rPr>
      </w:pPr>
      <w:r w:rsidRPr="00A17D4F">
        <w:rPr>
          <w:rFonts w:cs="Arial"/>
          <w:lang w:val="ru-RU"/>
        </w:rPr>
        <w:t>П</w:t>
      </w:r>
      <w:r w:rsidR="009A73E8">
        <w:rPr>
          <w:rFonts w:cs="Arial"/>
          <w:lang w:val="ru-RU"/>
        </w:rPr>
        <w:t>риведенные ниже п</w:t>
      </w:r>
      <w:r w:rsidRPr="00A17D4F">
        <w:rPr>
          <w:rFonts w:cs="Arial"/>
          <w:lang w:val="ru-RU"/>
        </w:rPr>
        <w:t>ервоначальные выводы</w:t>
      </w:r>
      <w:r w:rsidR="006B6850">
        <w:rPr>
          <w:rFonts w:cs="Arial"/>
          <w:lang w:val="ru-RU"/>
        </w:rPr>
        <w:t xml:space="preserve"> </w:t>
      </w:r>
      <w:r w:rsidRPr="00A17D4F">
        <w:rPr>
          <w:rFonts w:cs="Arial"/>
          <w:lang w:val="ru-RU"/>
        </w:rPr>
        <w:t>были представлены на обсуждение РКГ-39</w:t>
      </w:r>
      <w:r w:rsidR="009A73E8">
        <w:rPr>
          <w:rFonts w:cs="Arial"/>
          <w:lang w:val="ru-RU"/>
        </w:rPr>
        <w:t xml:space="preserve"> </w:t>
      </w:r>
      <w:r w:rsidRPr="00A17D4F">
        <w:rPr>
          <w:rFonts w:cs="Arial"/>
          <w:lang w:val="ru-RU"/>
        </w:rPr>
        <w:t xml:space="preserve">в разбивке по организационным структурам. </w:t>
      </w:r>
      <w:r w:rsidR="009A73E8">
        <w:rPr>
          <w:rFonts w:cs="Arial"/>
          <w:lang w:val="ru-RU"/>
        </w:rPr>
        <w:t xml:space="preserve">Была составлена классификация </w:t>
      </w:r>
      <w:r w:rsidRPr="00A17D4F">
        <w:rPr>
          <w:rFonts w:cs="Arial"/>
          <w:lang w:val="ru-RU"/>
        </w:rPr>
        <w:t>вывод</w:t>
      </w:r>
      <w:r w:rsidR="009A73E8">
        <w:rPr>
          <w:rFonts w:cs="Arial"/>
          <w:lang w:val="ru-RU"/>
        </w:rPr>
        <w:t>ов</w:t>
      </w:r>
      <w:r w:rsidRPr="00A17D4F">
        <w:rPr>
          <w:rFonts w:cs="Arial"/>
          <w:lang w:val="ru-RU"/>
        </w:rPr>
        <w:t xml:space="preserve"> по тип</w:t>
      </w:r>
      <w:r w:rsidR="009A73E8">
        <w:rPr>
          <w:rFonts w:cs="Arial"/>
          <w:lang w:val="ru-RU"/>
        </w:rPr>
        <w:t>ам</w:t>
      </w:r>
      <w:r w:rsidRPr="00A17D4F">
        <w:rPr>
          <w:rFonts w:cs="Arial"/>
          <w:lang w:val="ru-RU"/>
        </w:rPr>
        <w:t xml:space="preserve"> и в соответствующих случаях </w:t>
      </w:r>
      <w:r w:rsidR="009A73E8">
        <w:rPr>
          <w:rFonts w:cs="Arial"/>
          <w:lang w:val="ru-RU"/>
        </w:rPr>
        <w:t xml:space="preserve">предложены рекомендации относительно </w:t>
      </w:r>
      <w:r w:rsidRPr="00A17D4F">
        <w:rPr>
          <w:rFonts w:cs="Arial"/>
          <w:lang w:val="ru-RU"/>
        </w:rPr>
        <w:t>дальнейши</w:t>
      </w:r>
      <w:r w:rsidR="009A73E8">
        <w:rPr>
          <w:rFonts w:cs="Arial"/>
          <w:lang w:val="ru-RU"/>
        </w:rPr>
        <w:t>х</w:t>
      </w:r>
      <w:r w:rsidRPr="00A17D4F">
        <w:rPr>
          <w:rFonts w:cs="Arial"/>
          <w:lang w:val="ru-RU"/>
        </w:rPr>
        <w:t xml:space="preserve"> мер. Следует отметить, что предложенные рекомендации (если таковые</w:t>
      </w:r>
      <w:r w:rsidR="009A73E8">
        <w:rPr>
          <w:rFonts w:cs="Arial"/>
          <w:lang w:val="ru-RU"/>
        </w:rPr>
        <w:t xml:space="preserve"> были вынесены</w:t>
      </w:r>
      <w:r w:rsidRPr="00A17D4F">
        <w:rPr>
          <w:rFonts w:cs="Arial"/>
          <w:lang w:val="ru-RU"/>
        </w:rPr>
        <w:t>) призваны содействовать обсуждениям и подлежат согласованию с затрагиваемыми органами и, в конечном счете, одобрению РКГ-40.</w:t>
      </w:r>
    </w:p>
    <w:p w14:paraId="24301D86" w14:textId="1C979501" w:rsidR="00523732" w:rsidRPr="008B3A97" w:rsidRDefault="00523732" w:rsidP="00523732">
      <w:pPr>
        <w:keepNext/>
        <w:ind w:left="792"/>
        <w:jc w:val="both"/>
        <w:rPr>
          <w:rFonts w:ascii="Arial" w:hAnsi="Arial" w:cs="Arial"/>
        </w:rPr>
      </w:pPr>
      <w:r w:rsidRPr="00B41D51">
        <w:rPr>
          <w:rFonts w:ascii="Arial" w:eastAsia="Times New Roman" w:hAnsi="Arial" w:cs="Arial"/>
          <w:b/>
          <w:bCs/>
          <w:noProof/>
          <w:lang w:eastAsia="en-US"/>
        </w:rPr>
        <w:drawing>
          <wp:inline distT="0" distB="0" distL="0" distR="0" wp14:anchorId="5C98C7EC" wp14:editId="3A2E4847">
            <wp:extent cx="4830445" cy="4208145"/>
            <wp:effectExtent l="0" t="0" r="825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445" cy="420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966E2" w14:textId="22925D3B" w:rsidR="00523732" w:rsidRPr="00670684" w:rsidRDefault="00523732" w:rsidP="00496C20">
      <w:pPr>
        <w:pStyle w:val="Caption"/>
        <w:jc w:val="center"/>
        <w:rPr>
          <w:rFonts w:ascii="Arial" w:eastAsia="Times New Roman" w:hAnsi="Arial" w:cs="Arial"/>
          <w:b w:val="0"/>
          <w:bCs w:val="0"/>
          <w:i/>
          <w:iCs/>
          <w:sz w:val="24"/>
          <w:szCs w:val="24"/>
          <w:lang w:val="ru-RU"/>
        </w:rPr>
      </w:pPr>
      <w:r w:rsidRPr="00A17D4F">
        <w:rPr>
          <w:rFonts w:ascii="Arial" w:hAnsi="Arial" w:cs="Arial"/>
          <w:b w:val="0"/>
          <w:bCs w:val="0"/>
          <w:i/>
          <w:iCs/>
          <w:sz w:val="22"/>
          <w:szCs w:val="22"/>
          <w:lang w:val="ru-RU"/>
        </w:rPr>
        <w:t>Рисунок 1 – Функциональная структура программы ГЕБКО и ассоциированных органов</w:t>
      </w:r>
    </w:p>
    <w:p w14:paraId="5DAAA15C" w14:textId="77777777" w:rsidR="00523732" w:rsidRPr="00A17D4F" w:rsidRDefault="00523732" w:rsidP="008F7BBE">
      <w:pPr>
        <w:spacing w:before="240" w:after="240" w:line="240" w:lineRule="auto"/>
        <w:jc w:val="both"/>
        <w:rPr>
          <w:rFonts w:ascii="Arial" w:eastAsia="Times New Roman" w:hAnsi="Arial" w:cs="Arial"/>
          <w:i/>
          <w:iCs/>
          <w:u w:val="single"/>
        </w:rPr>
      </w:pPr>
      <w:r w:rsidRPr="00A17D4F">
        <w:rPr>
          <w:rFonts w:ascii="Arial" w:hAnsi="Arial" w:cs="Arial"/>
          <w:i/>
          <w:iCs/>
          <w:u w:val="single"/>
          <w:lang w:val="ru-RU"/>
        </w:rPr>
        <w:lastRenderedPageBreak/>
        <w:t>Структура работы программы ГЕБКО</w:t>
      </w:r>
    </w:p>
    <w:p w14:paraId="0FD621F3" w14:textId="4BA1D6B4" w:rsidR="00523732" w:rsidRPr="00670684" w:rsidRDefault="00523732" w:rsidP="008F7BBE">
      <w:pPr>
        <w:pStyle w:val="ListParagraph"/>
        <w:widowControl/>
        <w:numPr>
          <w:ilvl w:val="0"/>
          <w:numId w:val="5"/>
        </w:numPr>
        <w:tabs>
          <w:tab w:val="left" w:pos="709"/>
        </w:tabs>
        <w:spacing w:after="240" w:line="240" w:lineRule="auto"/>
        <w:ind w:left="0" w:firstLine="0"/>
        <w:contextualSpacing w:val="0"/>
        <w:rPr>
          <w:rFonts w:cs="Arial"/>
          <w:bCs/>
          <w:szCs w:val="22"/>
          <w:lang w:val="ru-RU"/>
        </w:rPr>
      </w:pPr>
      <w:r w:rsidRPr="00A17D4F">
        <w:rPr>
          <w:rFonts w:cs="Arial"/>
          <w:szCs w:val="22"/>
          <w:lang w:val="ru-RU"/>
        </w:rPr>
        <w:t xml:space="preserve">В рамках </w:t>
      </w:r>
      <w:r w:rsidR="009A73E8">
        <w:rPr>
          <w:rFonts w:cs="Arial"/>
          <w:szCs w:val="22"/>
          <w:lang w:val="ru-RU"/>
        </w:rPr>
        <w:t xml:space="preserve">приведенной выше </w:t>
      </w:r>
      <w:r w:rsidRPr="00A17D4F">
        <w:rPr>
          <w:rFonts w:cs="Arial"/>
          <w:szCs w:val="22"/>
          <w:lang w:val="ru-RU"/>
        </w:rPr>
        <w:t xml:space="preserve">организационной структуры был проведен </w:t>
      </w:r>
      <w:r w:rsidR="009A73E8">
        <w:rPr>
          <w:rFonts w:cs="Arial"/>
          <w:szCs w:val="22"/>
          <w:lang w:val="ru-RU"/>
        </w:rPr>
        <w:t xml:space="preserve">анализ </w:t>
      </w:r>
      <w:r w:rsidRPr="00A17D4F">
        <w:rPr>
          <w:rFonts w:cs="Arial"/>
          <w:szCs w:val="22"/>
          <w:lang w:val="ru-RU"/>
        </w:rPr>
        <w:t xml:space="preserve">плана (планов) работы ГЕБКО. Внимание главным образом было сосредоточено на анализе программной иерархии и механизмов отчетности. Согласно предварительным заключениям, план работы стал слишком сложным, с большим числом направлений работы, </w:t>
      </w:r>
      <w:r w:rsidR="009A73E8">
        <w:rPr>
          <w:rFonts w:cs="Arial"/>
          <w:szCs w:val="22"/>
          <w:lang w:val="ru-RU"/>
        </w:rPr>
        <w:t xml:space="preserve">при этом </w:t>
      </w:r>
      <w:r w:rsidRPr="00A17D4F">
        <w:rPr>
          <w:rFonts w:cs="Arial"/>
          <w:szCs w:val="22"/>
          <w:lang w:val="ru-RU"/>
        </w:rPr>
        <w:t xml:space="preserve">для многих из </w:t>
      </w:r>
      <w:r w:rsidR="009A73E8">
        <w:rPr>
          <w:rFonts w:cs="Arial"/>
          <w:szCs w:val="22"/>
          <w:lang w:val="ru-RU"/>
        </w:rPr>
        <w:t xml:space="preserve">них </w:t>
      </w:r>
      <w:r w:rsidRPr="00A17D4F">
        <w:rPr>
          <w:rFonts w:cs="Arial"/>
          <w:szCs w:val="22"/>
          <w:lang w:val="ru-RU"/>
        </w:rPr>
        <w:t xml:space="preserve">необходимо определить </w:t>
      </w:r>
      <w:r w:rsidR="009A73E8">
        <w:rPr>
          <w:rFonts w:cs="Arial"/>
          <w:szCs w:val="22"/>
          <w:lang w:val="ru-RU"/>
        </w:rPr>
        <w:t xml:space="preserve">порядок </w:t>
      </w:r>
      <w:r w:rsidRPr="00A17D4F">
        <w:rPr>
          <w:rFonts w:cs="Arial"/>
          <w:szCs w:val="22"/>
          <w:lang w:val="ru-RU"/>
        </w:rPr>
        <w:t>приоритетност</w:t>
      </w:r>
      <w:r w:rsidR="009A73E8">
        <w:rPr>
          <w:rFonts w:cs="Arial"/>
          <w:szCs w:val="22"/>
          <w:lang w:val="ru-RU"/>
        </w:rPr>
        <w:t>и</w:t>
      </w:r>
      <w:r w:rsidRPr="00A17D4F">
        <w:rPr>
          <w:rFonts w:cs="Arial"/>
          <w:szCs w:val="22"/>
          <w:lang w:val="ru-RU"/>
        </w:rPr>
        <w:t xml:space="preserve">, </w:t>
      </w:r>
      <w:r w:rsidR="009A73E8">
        <w:rPr>
          <w:rFonts w:cs="Arial"/>
          <w:szCs w:val="22"/>
          <w:lang w:val="ru-RU"/>
        </w:rPr>
        <w:t xml:space="preserve">можно было бы </w:t>
      </w:r>
      <w:r w:rsidRPr="00A17D4F">
        <w:rPr>
          <w:rFonts w:cs="Arial"/>
          <w:szCs w:val="22"/>
          <w:lang w:val="ru-RU"/>
        </w:rPr>
        <w:t xml:space="preserve">также </w:t>
      </w:r>
      <w:r w:rsidR="009A73E8">
        <w:rPr>
          <w:rFonts w:cs="Arial"/>
          <w:szCs w:val="22"/>
          <w:lang w:val="ru-RU"/>
        </w:rPr>
        <w:t xml:space="preserve">объединить </w:t>
      </w:r>
      <w:r w:rsidRPr="00A17D4F">
        <w:rPr>
          <w:rFonts w:cs="Arial"/>
          <w:szCs w:val="22"/>
          <w:lang w:val="ru-RU"/>
        </w:rPr>
        <w:t>их в модули</w:t>
      </w:r>
      <w:r w:rsidR="009A73E8">
        <w:rPr>
          <w:rFonts w:cs="Arial"/>
          <w:szCs w:val="22"/>
          <w:lang w:val="ru-RU"/>
        </w:rPr>
        <w:t>, с которыми было бы удобнее работать</w:t>
      </w:r>
      <w:r w:rsidRPr="00A17D4F">
        <w:rPr>
          <w:rFonts w:cs="Arial"/>
          <w:szCs w:val="22"/>
          <w:lang w:val="ru-RU"/>
        </w:rPr>
        <w:t>. В дальнейшем будет рассмотрена необходимость создания специального совета по программе и более регулярного процесса финансовой отчетности/перспективного анализа.</w:t>
      </w:r>
    </w:p>
    <w:p w14:paraId="6967BFD2" w14:textId="77777777" w:rsidR="00523732" w:rsidRPr="00A17D4F" w:rsidRDefault="00523732" w:rsidP="008F7BBE">
      <w:pPr>
        <w:spacing w:after="240" w:line="240" w:lineRule="auto"/>
        <w:jc w:val="both"/>
        <w:rPr>
          <w:rFonts w:ascii="Arial" w:eastAsia="Times New Roman" w:hAnsi="Arial" w:cs="Arial"/>
          <w:i/>
          <w:iCs/>
          <w:u w:val="single"/>
        </w:rPr>
      </w:pPr>
      <w:r w:rsidRPr="00A17D4F">
        <w:rPr>
          <w:rFonts w:ascii="Arial" w:hAnsi="Arial" w:cs="Arial"/>
          <w:i/>
          <w:iCs/>
          <w:u w:val="single"/>
          <w:lang w:val="ru-RU"/>
        </w:rPr>
        <w:t>Головные организации</w:t>
      </w:r>
    </w:p>
    <w:p w14:paraId="6B95B039" w14:textId="2BDF149D" w:rsidR="00523732" w:rsidRPr="00B05C31" w:rsidRDefault="00523732" w:rsidP="008F7BBE">
      <w:pPr>
        <w:pStyle w:val="ListParagraph"/>
        <w:widowControl/>
        <w:numPr>
          <w:ilvl w:val="0"/>
          <w:numId w:val="5"/>
        </w:numPr>
        <w:tabs>
          <w:tab w:val="left" w:pos="709"/>
        </w:tabs>
        <w:spacing w:after="240" w:line="240" w:lineRule="auto"/>
        <w:ind w:left="0" w:firstLine="0"/>
        <w:contextualSpacing w:val="0"/>
        <w:rPr>
          <w:rFonts w:cs="Arial"/>
          <w:bCs/>
          <w:szCs w:val="22"/>
          <w:lang w:val="ru-RU"/>
        </w:rPr>
      </w:pPr>
      <w:r w:rsidRPr="00A17D4F">
        <w:rPr>
          <w:rFonts w:cs="Arial"/>
          <w:szCs w:val="22"/>
          <w:lang w:val="ru-RU"/>
        </w:rPr>
        <w:t xml:space="preserve">В </w:t>
      </w:r>
      <w:r w:rsidRPr="00A17D4F">
        <w:rPr>
          <w:rFonts w:cs="Arial"/>
          <w:i/>
          <w:iCs/>
          <w:szCs w:val="22"/>
          <w:lang w:val="ru-RU"/>
        </w:rPr>
        <w:t>таблице 1</w:t>
      </w:r>
      <w:r w:rsidRPr="00A17D4F">
        <w:rPr>
          <w:rFonts w:cs="Arial"/>
          <w:szCs w:val="22"/>
          <w:lang w:val="ru-RU"/>
        </w:rPr>
        <w:t xml:space="preserve"> кратко изложены основные выводы, касающиеся двух головных организаций. Обзор существующих механизмов управления показал, что </w:t>
      </w:r>
      <w:proofErr w:type="spellStart"/>
      <w:r w:rsidRPr="00A17D4F">
        <w:rPr>
          <w:rFonts w:cs="Arial"/>
          <w:szCs w:val="22"/>
          <w:lang w:val="ru-RU"/>
        </w:rPr>
        <w:t>МоВ</w:t>
      </w:r>
      <w:proofErr w:type="spellEnd"/>
      <w:r w:rsidRPr="00A17D4F">
        <w:rPr>
          <w:rFonts w:cs="Arial"/>
          <w:szCs w:val="22"/>
          <w:lang w:val="ru-RU"/>
        </w:rPr>
        <w:t xml:space="preserve"> между двумя организациями был заключен до начала </w:t>
      </w:r>
      <w:r w:rsidR="009A73E8">
        <w:rPr>
          <w:rFonts w:cs="Arial"/>
          <w:szCs w:val="22"/>
          <w:lang w:val="ru-RU"/>
        </w:rPr>
        <w:t xml:space="preserve">реализации </w:t>
      </w:r>
      <w:r w:rsidRPr="00A17D4F">
        <w:rPr>
          <w:rFonts w:cs="Arial"/>
          <w:szCs w:val="22"/>
          <w:lang w:val="ru-RU"/>
        </w:rPr>
        <w:t>таких ключевых инициатив, как Десятилетие ООН, посвященное науке об океане в интересах устойчивого развития (2021-2030 гг.) и проект «Морское дно – 2030».</w:t>
      </w:r>
    </w:p>
    <w:p w14:paraId="33D795D1" w14:textId="609EB9E4" w:rsidR="00523732" w:rsidRPr="00670684" w:rsidRDefault="00523732" w:rsidP="008F7BBE">
      <w:pPr>
        <w:pStyle w:val="Caption"/>
        <w:keepNext/>
        <w:spacing w:after="240"/>
        <w:jc w:val="both"/>
        <w:rPr>
          <w:rFonts w:ascii="Arial" w:hAnsi="Arial" w:cs="Arial"/>
          <w:b w:val="0"/>
          <w:bCs w:val="0"/>
          <w:i/>
          <w:iCs/>
          <w:sz w:val="22"/>
          <w:szCs w:val="22"/>
          <w:lang w:val="ru-RU"/>
        </w:rPr>
      </w:pPr>
      <w:r w:rsidRPr="00850AC5">
        <w:rPr>
          <w:rFonts w:ascii="Arial" w:hAnsi="Arial" w:cs="Arial"/>
          <w:b w:val="0"/>
          <w:bCs w:val="0"/>
          <w:i/>
          <w:iCs/>
          <w:sz w:val="22"/>
          <w:szCs w:val="22"/>
          <w:lang w:val="ru-RU"/>
        </w:rPr>
        <w:t>Таблица 1 – Первоначальные выводы в отношении головных организаций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80"/>
        <w:gridCol w:w="1383"/>
        <w:gridCol w:w="3272"/>
        <w:gridCol w:w="3393"/>
      </w:tblGrid>
      <w:tr w:rsidR="00523732" w:rsidRPr="00A17D4F" w14:paraId="2106CA8F" w14:textId="77777777" w:rsidTr="00496C20">
        <w:trPr>
          <w:trHeight w:val="290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C9D1E" w14:textId="77777777" w:rsidR="00523732" w:rsidRPr="00A17D4F" w:rsidRDefault="00523732" w:rsidP="00FA445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17D4F">
              <w:rPr>
                <w:rFonts w:ascii="Arial" w:hAnsi="Arial" w:cs="Arial"/>
                <w:b/>
                <w:bCs/>
                <w:lang w:val="ru-RU"/>
              </w:rPr>
              <w:t>Код вывода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43D9F" w14:textId="77777777" w:rsidR="00523732" w:rsidRPr="00A17D4F" w:rsidRDefault="00523732" w:rsidP="00FA445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17D4F">
              <w:rPr>
                <w:rFonts w:ascii="Arial" w:hAnsi="Arial" w:cs="Arial"/>
                <w:b/>
                <w:bCs/>
                <w:lang w:val="ru-RU"/>
              </w:rPr>
              <w:t>Тип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CDFAC" w14:textId="1AB68219" w:rsidR="00523732" w:rsidRPr="00A17D4F" w:rsidRDefault="00A46D8E" w:rsidP="00FA445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Описание</w:t>
            </w:r>
          </w:p>
        </w:tc>
        <w:tc>
          <w:tcPr>
            <w:tcW w:w="1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D73F8" w14:textId="77777777" w:rsidR="00523732" w:rsidRPr="00A17D4F" w:rsidRDefault="00523732" w:rsidP="00FA445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17D4F">
              <w:rPr>
                <w:rFonts w:ascii="Arial" w:hAnsi="Arial" w:cs="Arial"/>
                <w:b/>
                <w:bCs/>
                <w:lang w:val="ru-RU"/>
              </w:rPr>
              <w:t>Рекомендация</w:t>
            </w:r>
          </w:p>
        </w:tc>
      </w:tr>
      <w:tr w:rsidR="00523732" w:rsidRPr="00A17D4F" w14:paraId="212009BD" w14:textId="77777777" w:rsidTr="00496C20">
        <w:trPr>
          <w:trHeight w:val="870"/>
        </w:trPr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5A525" w14:textId="110A7A22" w:rsidR="00523732" w:rsidRPr="00A17D4F" w:rsidRDefault="00523732" w:rsidP="008F7BBE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 xml:space="preserve">МГО </w:t>
            </w:r>
            <w:r w:rsidR="008F7BBE">
              <w:rPr>
                <w:rFonts w:ascii="Arial" w:hAnsi="Arial" w:cs="Arial"/>
                <w:lang w:val="ru-RU"/>
              </w:rPr>
              <w:t>–</w:t>
            </w:r>
            <w:r w:rsidRPr="00A17D4F">
              <w:rPr>
                <w:rFonts w:ascii="Arial" w:hAnsi="Arial" w:cs="Arial"/>
                <w:lang w:val="ru-RU"/>
              </w:rPr>
              <w:t xml:space="preserve"> МОК 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D4413" w14:textId="77777777" w:rsidR="00523732" w:rsidRPr="00A17D4F" w:rsidRDefault="00523732" w:rsidP="008F7BBE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>Документ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95941" w14:textId="0DE3C578" w:rsidR="00523732" w:rsidRPr="00670684" w:rsidRDefault="00523732" w:rsidP="008F7BBE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  <w:proofErr w:type="spellStart"/>
            <w:r w:rsidRPr="00A17D4F">
              <w:rPr>
                <w:rFonts w:ascii="Arial" w:hAnsi="Arial" w:cs="Arial"/>
                <w:lang w:val="ru-RU"/>
              </w:rPr>
              <w:t>МоВ</w:t>
            </w:r>
            <w:proofErr w:type="spellEnd"/>
            <w:r w:rsidRPr="00A17D4F">
              <w:rPr>
                <w:rFonts w:ascii="Arial" w:hAnsi="Arial" w:cs="Arial"/>
                <w:lang w:val="ru-RU"/>
              </w:rPr>
              <w:t xml:space="preserve"> между двумя организациями устарел и был заключен до начала проекта «Морское дно – 2030» и Десятилети</w:t>
            </w:r>
            <w:r w:rsidR="006B6850">
              <w:rPr>
                <w:rFonts w:ascii="Arial" w:hAnsi="Arial" w:cs="Arial"/>
                <w:lang w:val="ru-RU"/>
              </w:rPr>
              <w:t>я</w:t>
            </w:r>
            <w:r w:rsidRPr="00A17D4F">
              <w:rPr>
                <w:rFonts w:ascii="Arial" w:hAnsi="Arial" w:cs="Arial"/>
                <w:lang w:val="ru-RU"/>
              </w:rPr>
              <w:t xml:space="preserve"> океана ООН</w:t>
            </w:r>
          </w:p>
        </w:tc>
        <w:tc>
          <w:tcPr>
            <w:tcW w:w="1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1EFF9" w14:textId="77777777" w:rsidR="00523732" w:rsidRPr="00A17D4F" w:rsidRDefault="00523732" w:rsidP="008F7BBE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 xml:space="preserve">Пересмотр и обновление </w:t>
            </w:r>
            <w:proofErr w:type="spellStart"/>
            <w:r w:rsidRPr="00A17D4F">
              <w:rPr>
                <w:rFonts w:ascii="Arial" w:hAnsi="Arial" w:cs="Arial"/>
                <w:lang w:val="ru-RU"/>
              </w:rPr>
              <w:t>МоВ</w:t>
            </w:r>
            <w:proofErr w:type="spellEnd"/>
          </w:p>
        </w:tc>
      </w:tr>
    </w:tbl>
    <w:p w14:paraId="6F531344" w14:textId="30BD6B6D" w:rsidR="00523732" w:rsidRPr="00670684" w:rsidRDefault="00523732" w:rsidP="008F7BBE">
      <w:pPr>
        <w:spacing w:before="240" w:after="240" w:line="240" w:lineRule="auto"/>
        <w:jc w:val="both"/>
        <w:rPr>
          <w:rFonts w:ascii="Arial" w:eastAsia="Times New Roman" w:hAnsi="Arial" w:cs="Arial"/>
          <w:i/>
          <w:iCs/>
          <w:u w:val="single"/>
          <w:lang w:val="ru-RU"/>
        </w:rPr>
      </w:pPr>
      <w:r w:rsidRPr="00A17D4F">
        <w:rPr>
          <w:rFonts w:ascii="Arial" w:hAnsi="Arial" w:cs="Arial"/>
          <w:i/>
          <w:iCs/>
          <w:u w:val="single"/>
          <w:lang w:val="ru-RU"/>
        </w:rPr>
        <w:t>Руководящий комитет по ГЕБКО (РКГ)</w:t>
      </w:r>
    </w:p>
    <w:p w14:paraId="4973A547" w14:textId="16DA9549" w:rsidR="00523732" w:rsidRPr="00670684" w:rsidRDefault="00523732" w:rsidP="00FA4452">
      <w:pPr>
        <w:pStyle w:val="ListParagraph"/>
        <w:numPr>
          <w:ilvl w:val="0"/>
          <w:numId w:val="5"/>
        </w:numPr>
        <w:spacing w:after="240" w:line="240" w:lineRule="auto"/>
        <w:ind w:left="0" w:firstLine="0"/>
        <w:contextualSpacing w:val="0"/>
        <w:rPr>
          <w:rFonts w:cs="Arial"/>
          <w:bCs/>
          <w:szCs w:val="22"/>
          <w:lang w:val="ru-RU"/>
        </w:rPr>
      </w:pPr>
      <w:r w:rsidRPr="00A17D4F">
        <w:rPr>
          <w:rFonts w:cs="Arial"/>
          <w:szCs w:val="22"/>
          <w:lang w:val="ru-RU"/>
        </w:rPr>
        <w:t xml:space="preserve">В </w:t>
      </w:r>
      <w:r w:rsidRPr="00A17D4F">
        <w:rPr>
          <w:rFonts w:cs="Arial"/>
          <w:i/>
          <w:iCs/>
          <w:szCs w:val="22"/>
          <w:lang w:val="ru-RU"/>
        </w:rPr>
        <w:t>таблице 2</w:t>
      </w:r>
      <w:r w:rsidRPr="00A17D4F">
        <w:rPr>
          <w:rFonts w:cs="Arial"/>
          <w:szCs w:val="22"/>
          <w:lang w:val="ru-RU"/>
        </w:rPr>
        <w:t xml:space="preserve"> кратко изложены выводы, касающиеся РКГ. Основные вопросы касаются членства в РКГ, а также структуры нынешнего портфеля</w:t>
      </w:r>
      <w:r w:rsidR="009A73E8">
        <w:rPr>
          <w:rFonts w:cs="Arial"/>
          <w:szCs w:val="22"/>
          <w:lang w:val="ru-RU"/>
        </w:rPr>
        <w:t xml:space="preserve"> проектов</w:t>
      </w:r>
      <w:r w:rsidRPr="00A17D4F">
        <w:rPr>
          <w:rFonts w:cs="Arial"/>
          <w:szCs w:val="22"/>
          <w:lang w:val="ru-RU"/>
        </w:rPr>
        <w:t xml:space="preserve">. Характер выводов в значительной степени отражает </w:t>
      </w:r>
      <w:r w:rsidR="009A73E8">
        <w:rPr>
          <w:rFonts w:cs="Arial"/>
          <w:szCs w:val="22"/>
          <w:lang w:val="ru-RU"/>
        </w:rPr>
        <w:t xml:space="preserve">преобразование </w:t>
      </w:r>
      <w:r w:rsidRPr="00A17D4F">
        <w:rPr>
          <w:rFonts w:cs="Arial"/>
          <w:szCs w:val="22"/>
          <w:lang w:val="ru-RU"/>
        </w:rPr>
        <w:t xml:space="preserve">программы работы ГЕБКО за последние годы в сложный комплекс различных направлений работы. </w:t>
      </w:r>
    </w:p>
    <w:p w14:paraId="145DCB1B" w14:textId="2D9DDAEE" w:rsidR="00523732" w:rsidRPr="00670684" w:rsidRDefault="00523732" w:rsidP="008F7BBE">
      <w:pPr>
        <w:pStyle w:val="Caption"/>
        <w:keepNext/>
        <w:spacing w:after="240"/>
        <w:jc w:val="both"/>
        <w:rPr>
          <w:rFonts w:ascii="Arial" w:hAnsi="Arial" w:cs="Arial"/>
          <w:b w:val="0"/>
          <w:bCs w:val="0"/>
          <w:i/>
          <w:iCs/>
          <w:sz w:val="22"/>
          <w:szCs w:val="22"/>
          <w:lang w:val="ru-RU"/>
        </w:rPr>
      </w:pPr>
      <w:r w:rsidRPr="00850AC5">
        <w:rPr>
          <w:rFonts w:ascii="Arial" w:hAnsi="Arial" w:cs="Arial"/>
          <w:b w:val="0"/>
          <w:bCs w:val="0"/>
          <w:i/>
          <w:iCs/>
          <w:sz w:val="22"/>
          <w:szCs w:val="22"/>
          <w:lang w:val="ru-RU"/>
        </w:rPr>
        <w:t>Таблица 2 – Первоначальные выводы в отношении РКГ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64"/>
        <w:gridCol w:w="1386"/>
        <w:gridCol w:w="3362"/>
        <w:gridCol w:w="3316"/>
      </w:tblGrid>
      <w:tr w:rsidR="00523732" w:rsidRPr="00A17D4F" w14:paraId="33733999" w14:textId="77777777" w:rsidTr="00FA4452">
        <w:trPr>
          <w:trHeight w:val="290"/>
          <w:tblHeader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D97D3" w14:textId="77777777" w:rsidR="00523732" w:rsidRPr="00A17D4F" w:rsidRDefault="00523732" w:rsidP="00FA445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17D4F">
              <w:rPr>
                <w:rFonts w:ascii="Arial" w:hAnsi="Arial" w:cs="Arial"/>
                <w:b/>
                <w:bCs/>
                <w:lang w:val="ru-RU"/>
              </w:rPr>
              <w:t>Код вывода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64C4D" w14:textId="77777777" w:rsidR="00523732" w:rsidRPr="00A17D4F" w:rsidRDefault="00523732" w:rsidP="00FA445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17D4F">
              <w:rPr>
                <w:rFonts w:ascii="Arial" w:hAnsi="Arial" w:cs="Arial"/>
                <w:b/>
                <w:bCs/>
                <w:lang w:val="ru-RU"/>
              </w:rPr>
              <w:t>Тип</w:t>
            </w:r>
          </w:p>
        </w:tc>
        <w:tc>
          <w:tcPr>
            <w:tcW w:w="1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9E6DD" w14:textId="5A9DE0CB" w:rsidR="00523732" w:rsidRPr="00A17D4F" w:rsidRDefault="00A46D8E" w:rsidP="00FA445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Описание</w:t>
            </w:r>
          </w:p>
        </w:tc>
        <w:tc>
          <w:tcPr>
            <w:tcW w:w="1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A6B4D" w14:textId="77777777" w:rsidR="00523732" w:rsidRPr="00A17D4F" w:rsidRDefault="00523732" w:rsidP="00FA445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17D4F">
              <w:rPr>
                <w:rFonts w:ascii="Arial" w:hAnsi="Arial" w:cs="Arial"/>
                <w:b/>
                <w:bCs/>
                <w:lang w:val="ru-RU"/>
              </w:rPr>
              <w:t>Рекомендация</w:t>
            </w:r>
          </w:p>
        </w:tc>
      </w:tr>
      <w:tr w:rsidR="00523732" w:rsidRPr="00670684" w14:paraId="145F6A14" w14:textId="77777777" w:rsidTr="00FA4452">
        <w:trPr>
          <w:trHeight w:val="870"/>
        </w:trPr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56724" w14:textId="77777777" w:rsidR="00523732" w:rsidRPr="00A17D4F" w:rsidRDefault="00523732" w:rsidP="008F7BBE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>РКГ 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2B1A3" w14:textId="77777777" w:rsidR="00523732" w:rsidRPr="00A17D4F" w:rsidRDefault="00523732" w:rsidP="008F7BBE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>Документ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580BA" w14:textId="3B70F186" w:rsidR="00523732" w:rsidRPr="00670684" w:rsidRDefault="00523732" w:rsidP="008F7BBE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A17D4F">
              <w:rPr>
                <w:rFonts w:ascii="Arial" w:hAnsi="Arial" w:cs="Arial"/>
                <w:lang w:val="ru-RU"/>
              </w:rPr>
              <w:t xml:space="preserve">Круг ведения в целом отвечает поставленным целям, но должен быть пересмотрен </w:t>
            </w:r>
            <w:r w:rsidR="009A73E8">
              <w:rPr>
                <w:rFonts w:ascii="Arial" w:hAnsi="Arial" w:cs="Arial"/>
                <w:lang w:val="ru-RU"/>
              </w:rPr>
              <w:t>с учетом с</w:t>
            </w:r>
            <w:r w:rsidRPr="00A17D4F">
              <w:rPr>
                <w:rFonts w:ascii="Arial" w:hAnsi="Arial" w:cs="Arial"/>
                <w:lang w:val="ru-RU"/>
              </w:rPr>
              <w:t>тратегии для обеспечения соответствия задач</w:t>
            </w:r>
          </w:p>
        </w:tc>
        <w:tc>
          <w:tcPr>
            <w:tcW w:w="1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81020" w14:textId="76EE87CE" w:rsidR="00523732" w:rsidRPr="00670684" w:rsidRDefault="00523732" w:rsidP="008F7BBE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A17D4F">
              <w:rPr>
                <w:rFonts w:ascii="Arial" w:hAnsi="Arial" w:cs="Arial"/>
                <w:lang w:val="ru-RU"/>
              </w:rPr>
              <w:t xml:space="preserve">Пересмотр круга ведения для обеспечения соответствия </w:t>
            </w:r>
            <w:r w:rsidR="009A73E8">
              <w:rPr>
                <w:rFonts w:ascii="Arial" w:hAnsi="Arial" w:cs="Arial"/>
                <w:lang w:val="ru-RU"/>
              </w:rPr>
              <w:t>с</w:t>
            </w:r>
            <w:r w:rsidRPr="00A17D4F">
              <w:rPr>
                <w:rFonts w:ascii="Arial" w:hAnsi="Arial" w:cs="Arial"/>
                <w:lang w:val="ru-RU"/>
              </w:rPr>
              <w:t>тратегии</w:t>
            </w:r>
          </w:p>
        </w:tc>
      </w:tr>
      <w:tr w:rsidR="00523732" w:rsidRPr="00A17D4F" w14:paraId="65295E64" w14:textId="77777777" w:rsidTr="00FA4452">
        <w:trPr>
          <w:trHeight w:val="580"/>
        </w:trPr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53B90" w14:textId="77777777" w:rsidR="00523732" w:rsidRPr="00A17D4F" w:rsidRDefault="00523732" w:rsidP="008F7BBE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>РКГ 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AC2ED" w14:textId="77777777" w:rsidR="00523732" w:rsidRPr="00A17D4F" w:rsidRDefault="00523732" w:rsidP="008F7BBE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>Процесс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4E01B" w14:textId="77777777" w:rsidR="00523732" w:rsidRPr="00670684" w:rsidRDefault="00523732" w:rsidP="008F7BBE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A17D4F">
              <w:rPr>
                <w:rFonts w:ascii="Arial" w:hAnsi="Arial" w:cs="Arial"/>
                <w:lang w:val="ru-RU"/>
              </w:rPr>
              <w:t>Отсутствие совета по портфелю проектов/проектам и отсутствие структуры программы</w:t>
            </w:r>
          </w:p>
        </w:tc>
        <w:tc>
          <w:tcPr>
            <w:tcW w:w="1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635C3" w14:textId="77777777" w:rsidR="00523732" w:rsidRPr="00A17D4F" w:rsidRDefault="00523732" w:rsidP="008F7BBE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>Обсуждение в ходе РКГ-39</w:t>
            </w:r>
          </w:p>
        </w:tc>
      </w:tr>
      <w:tr w:rsidR="00523732" w:rsidRPr="00A17D4F" w14:paraId="5D7594B6" w14:textId="77777777" w:rsidTr="00FA4452">
        <w:trPr>
          <w:trHeight w:val="1450"/>
        </w:trPr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71963" w14:textId="77777777" w:rsidR="00523732" w:rsidRPr="00A17D4F" w:rsidRDefault="00523732" w:rsidP="008F7BBE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>РКГ 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5DCDB" w14:textId="77777777" w:rsidR="00523732" w:rsidRPr="00A17D4F" w:rsidRDefault="00523732" w:rsidP="008F7BBE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>Членский состав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69AFF" w14:textId="73707593" w:rsidR="00523732" w:rsidRPr="00670684" w:rsidRDefault="009A73E8" w:rsidP="008F7BBE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Имеются проблемы с ч</w:t>
            </w:r>
            <w:r w:rsidR="00523732" w:rsidRPr="00A17D4F">
              <w:rPr>
                <w:rFonts w:ascii="Arial" w:hAnsi="Arial" w:cs="Arial"/>
                <w:lang w:val="ru-RU"/>
              </w:rPr>
              <w:t>ленство</w:t>
            </w:r>
            <w:r>
              <w:rPr>
                <w:rFonts w:ascii="Arial" w:hAnsi="Arial" w:cs="Arial"/>
                <w:lang w:val="ru-RU"/>
              </w:rPr>
              <w:t>м</w:t>
            </w:r>
            <w:r w:rsidR="00523732" w:rsidRPr="00A17D4F">
              <w:rPr>
                <w:rFonts w:ascii="Arial" w:hAnsi="Arial" w:cs="Arial"/>
                <w:lang w:val="ru-RU"/>
              </w:rPr>
              <w:t xml:space="preserve"> (особенно</w:t>
            </w:r>
            <w:r>
              <w:rPr>
                <w:rFonts w:ascii="Arial" w:hAnsi="Arial" w:cs="Arial"/>
                <w:lang w:val="ru-RU"/>
              </w:rPr>
              <w:t xml:space="preserve"> по должности</w:t>
            </w:r>
            <w:r w:rsidR="00523732" w:rsidRPr="00A17D4F">
              <w:rPr>
                <w:rFonts w:ascii="Arial" w:hAnsi="Arial" w:cs="Arial"/>
                <w:lang w:val="ru-RU"/>
              </w:rPr>
              <w:t>), поскольку существует риск конфликта интересов, когда члены комитета одновременно являются получателями средств в рамках проектов ГЕБКО</w:t>
            </w:r>
          </w:p>
        </w:tc>
        <w:tc>
          <w:tcPr>
            <w:tcW w:w="1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4EF85" w14:textId="77777777" w:rsidR="00523732" w:rsidRPr="00A17D4F" w:rsidRDefault="00523732" w:rsidP="008F7BBE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>Обсуждение в ходе РКГ-39</w:t>
            </w:r>
          </w:p>
        </w:tc>
      </w:tr>
      <w:tr w:rsidR="00523732" w:rsidRPr="00ED3341" w14:paraId="0F759B68" w14:textId="77777777" w:rsidTr="00FA4452">
        <w:trPr>
          <w:trHeight w:val="580"/>
        </w:trPr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6EA54" w14:textId="77777777" w:rsidR="00523732" w:rsidRPr="00A17D4F" w:rsidRDefault="00523732" w:rsidP="008F7BBE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>РКГ 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854B0" w14:textId="77777777" w:rsidR="00523732" w:rsidRPr="00A17D4F" w:rsidRDefault="00523732" w:rsidP="008F7BBE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>Финансирование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591F2" w14:textId="77777777" w:rsidR="00523732" w:rsidRPr="00670684" w:rsidRDefault="00523732" w:rsidP="008F7BBE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A17D4F">
              <w:rPr>
                <w:rFonts w:ascii="Arial" w:hAnsi="Arial" w:cs="Arial"/>
                <w:lang w:val="ru-RU"/>
              </w:rPr>
              <w:t>Отсутствие официальных руководящих указаний в области финансового управления и подотчетности</w:t>
            </w:r>
          </w:p>
        </w:tc>
        <w:tc>
          <w:tcPr>
            <w:tcW w:w="1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CCF9D" w14:textId="19CD7782" w:rsidR="00523732" w:rsidRPr="00670684" w:rsidRDefault="00523732" w:rsidP="006B685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A17D4F">
              <w:rPr>
                <w:rFonts w:ascii="Arial" w:hAnsi="Arial" w:cs="Arial"/>
                <w:lang w:val="ru-RU"/>
              </w:rPr>
              <w:t>Принятие к сведению  и включение в финансовый обзор</w:t>
            </w:r>
            <w:r w:rsidR="006B6850">
              <w:rPr>
                <w:rFonts w:ascii="Arial" w:hAnsi="Arial" w:cs="Arial"/>
                <w:lang w:val="ru-RU"/>
              </w:rPr>
              <w:t xml:space="preserve">. </w:t>
            </w:r>
            <w:r w:rsidRPr="00A17D4F">
              <w:rPr>
                <w:rFonts w:ascii="Arial" w:hAnsi="Arial" w:cs="Arial"/>
                <w:lang w:val="ru-RU"/>
              </w:rPr>
              <w:t>Привлечение внешнего консультанта</w:t>
            </w:r>
          </w:p>
        </w:tc>
      </w:tr>
      <w:tr w:rsidR="00523732" w:rsidRPr="00670684" w14:paraId="50E333CB" w14:textId="77777777" w:rsidTr="00FA4452">
        <w:trPr>
          <w:trHeight w:val="532"/>
        </w:trPr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7AD03" w14:textId="77777777" w:rsidR="00523732" w:rsidRPr="00A17D4F" w:rsidRDefault="00523732" w:rsidP="008F7BBE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>РКГ 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529D3" w14:textId="77777777" w:rsidR="00523732" w:rsidRPr="00A17D4F" w:rsidRDefault="00523732" w:rsidP="008F7BBE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 xml:space="preserve">Сотрудники 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26669" w14:textId="1C1EF04E" w:rsidR="00523732" w:rsidRPr="00670684" w:rsidRDefault="00523732" w:rsidP="008F7BBE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A17D4F">
              <w:rPr>
                <w:rFonts w:ascii="Arial" w:hAnsi="Arial" w:cs="Arial"/>
                <w:lang w:val="ru-RU"/>
              </w:rPr>
              <w:t xml:space="preserve">Трудности с проектами подведомственных структур, использующих </w:t>
            </w:r>
            <w:r w:rsidR="009A73E8">
              <w:rPr>
                <w:rFonts w:ascii="Arial" w:hAnsi="Arial" w:cs="Arial"/>
                <w:lang w:val="ru-RU"/>
              </w:rPr>
              <w:t xml:space="preserve">при работе над ними </w:t>
            </w:r>
            <w:r w:rsidRPr="00A17D4F">
              <w:rPr>
                <w:rFonts w:ascii="Arial" w:hAnsi="Arial" w:cs="Arial"/>
                <w:lang w:val="ru-RU"/>
              </w:rPr>
              <w:t xml:space="preserve">почтовый адрес МГО/МОК, и статус </w:t>
            </w:r>
            <w:r w:rsidR="009A73E8">
              <w:rPr>
                <w:rFonts w:ascii="Arial" w:hAnsi="Arial" w:cs="Arial"/>
                <w:lang w:val="ru-RU"/>
              </w:rPr>
              <w:t xml:space="preserve">отдельных </w:t>
            </w:r>
            <w:r w:rsidRPr="00A17D4F">
              <w:rPr>
                <w:rFonts w:ascii="Arial" w:hAnsi="Arial" w:cs="Arial"/>
                <w:lang w:val="ru-RU"/>
              </w:rPr>
              <w:t>лиц</w:t>
            </w:r>
          </w:p>
        </w:tc>
        <w:tc>
          <w:tcPr>
            <w:tcW w:w="1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F8D0E" w14:textId="6FD27D83" w:rsidR="00523732" w:rsidRPr="00670684" w:rsidRDefault="00523732" w:rsidP="008F7BBE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A17D4F">
              <w:rPr>
                <w:rFonts w:ascii="Arial" w:hAnsi="Arial" w:cs="Arial"/>
                <w:lang w:val="ru-RU"/>
              </w:rPr>
              <w:t>Обсуждение этих вопросов МГО с правительством Монако</w:t>
            </w:r>
          </w:p>
        </w:tc>
      </w:tr>
      <w:tr w:rsidR="00523732" w:rsidRPr="00670684" w14:paraId="4DF51C97" w14:textId="77777777" w:rsidTr="00FA4452">
        <w:trPr>
          <w:trHeight w:val="1450"/>
        </w:trPr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6C731" w14:textId="77777777" w:rsidR="00523732" w:rsidRPr="00A17D4F" w:rsidRDefault="00523732" w:rsidP="008F7BBE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>РКГ 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4717A" w14:textId="77777777" w:rsidR="00523732" w:rsidRPr="00A17D4F" w:rsidRDefault="00523732" w:rsidP="008F7BBE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>Членский состав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22486" w14:textId="1C27EB7F" w:rsidR="00523732" w:rsidRPr="00670684" w:rsidRDefault="00523732" w:rsidP="008F7BBE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A17D4F">
              <w:rPr>
                <w:rFonts w:ascii="Arial" w:hAnsi="Arial" w:cs="Arial"/>
                <w:lang w:val="ru-RU"/>
              </w:rPr>
              <w:t>В отличие от назначаемых МГО/МОК членов РКГ, членство председателя подкомитета в РКГ не является обязательным условием для участия в ежегодных совещаниях, при этом соответствующие путевые расходы и суточные покрываются работодателем или за счет личных средств</w:t>
            </w:r>
          </w:p>
        </w:tc>
        <w:tc>
          <w:tcPr>
            <w:tcW w:w="1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FDBEE" w14:textId="77777777" w:rsidR="00523732" w:rsidRPr="00670684" w:rsidRDefault="00523732" w:rsidP="008F7BBE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A17D4F">
              <w:rPr>
                <w:rFonts w:ascii="Arial" w:hAnsi="Arial" w:cs="Arial"/>
                <w:lang w:val="ru-RU"/>
              </w:rPr>
              <w:t>Скорректировать круг ведения, обозначив, что должность председателя подкомитета предполагает поддержку работодателя или покрытие расходов из личных средств для участия в совещаниях РКГ</w:t>
            </w:r>
          </w:p>
        </w:tc>
      </w:tr>
    </w:tbl>
    <w:p w14:paraId="4C11B7A5" w14:textId="5141D8FB" w:rsidR="00523732" w:rsidRPr="00670684" w:rsidRDefault="00523732" w:rsidP="00FA4452">
      <w:pPr>
        <w:spacing w:before="240" w:after="240" w:line="240" w:lineRule="auto"/>
        <w:jc w:val="both"/>
        <w:rPr>
          <w:rFonts w:ascii="Arial" w:eastAsia="Times New Roman" w:hAnsi="Arial" w:cs="Arial"/>
          <w:i/>
          <w:iCs/>
          <w:u w:val="single"/>
          <w:lang w:val="ru-RU"/>
        </w:rPr>
      </w:pPr>
      <w:r w:rsidRPr="00A17D4F">
        <w:rPr>
          <w:rFonts w:ascii="Arial" w:hAnsi="Arial" w:cs="Arial"/>
          <w:i/>
          <w:iCs/>
          <w:u w:val="single"/>
          <w:lang w:val="ru-RU"/>
        </w:rPr>
        <w:t>Технический подкомитет по картированию океанов (ТПКО)</w:t>
      </w:r>
      <w:r w:rsidRPr="00A17D4F">
        <w:rPr>
          <w:rFonts w:ascii="Arial" w:hAnsi="Arial" w:cs="Arial"/>
          <w:lang w:val="ru-RU"/>
        </w:rPr>
        <w:t xml:space="preserve"> </w:t>
      </w:r>
    </w:p>
    <w:p w14:paraId="6181AD85" w14:textId="42DF45A5" w:rsidR="00523732" w:rsidRPr="00670684" w:rsidRDefault="00523732" w:rsidP="00FA4452">
      <w:pPr>
        <w:pStyle w:val="ListParagraph"/>
        <w:widowControl/>
        <w:numPr>
          <w:ilvl w:val="0"/>
          <w:numId w:val="5"/>
        </w:numPr>
        <w:spacing w:after="240" w:line="240" w:lineRule="auto"/>
        <w:ind w:left="0" w:firstLine="0"/>
        <w:contextualSpacing w:val="0"/>
        <w:rPr>
          <w:rFonts w:cs="Arial"/>
          <w:bCs/>
          <w:szCs w:val="22"/>
          <w:lang w:val="ru-RU"/>
        </w:rPr>
      </w:pPr>
      <w:r w:rsidRPr="00A17D4F">
        <w:rPr>
          <w:rFonts w:cs="Arial"/>
          <w:szCs w:val="22"/>
          <w:lang w:val="ru-RU"/>
        </w:rPr>
        <w:t xml:space="preserve">В </w:t>
      </w:r>
      <w:r w:rsidRPr="00A17D4F">
        <w:rPr>
          <w:rFonts w:cs="Arial"/>
          <w:i/>
          <w:iCs/>
          <w:szCs w:val="22"/>
          <w:lang w:val="ru-RU"/>
        </w:rPr>
        <w:t>таблице 3</w:t>
      </w:r>
      <w:r w:rsidRPr="00A17D4F">
        <w:rPr>
          <w:rFonts w:cs="Arial"/>
          <w:szCs w:val="22"/>
          <w:lang w:val="ru-RU"/>
        </w:rPr>
        <w:t xml:space="preserve"> кратко изложены первоначальные выводы, касающиеся ТПКО. У ТПКО (за исключением, возможно, подкомитета по названиям элементов подводного рельефа – ПНЭПР) самая обширная и комплексная программа работы. В этой связи для него характерны функциональные взаимосвязи со внешними структурами и зависимость от них. Ряд выводов касаются официального закрепления этих взаимосвязей, а также </w:t>
      </w:r>
      <w:r w:rsidRPr="00A17D4F">
        <w:rPr>
          <w:rFonts w:cs="Arial"/>
          <w:szCs w:val="22"/>
          <w:lang w:val="ru-RU"/>
        </w:rPr>
        <w:lastRenderedPageBreak/>
        <w:t>потенциальной консолидации направлений работы. Последнее, вероятно, станет возможным только после завершения разработки стратегии ГЕБКО.</w:t>
      </w:r>
    </w:p>
    <w:p w14:paraId="31E4D0D3" w14:textId="402A25F0" w:rsidR="00523732" w:rsidRPr="00670684" w:rsidRDefault="00523732" w:rsidP="00FA4452">
      <w:pPr>
        <w:pStyle w:val="Caption"/>
        <w:keepNext/>
        <w:spacing w:after="240"/>
        <w:jc w:val="both"/>
        <w:rPr>
          <w:rFonts w:ascii="Arial" w:hAnsi="Arial" w:cs="Arial"/>
          <w:b w:val="0"/>
          <w:bCs w:val="0"/>
          <w:i/>
          <w:iCs/>
          <w:sz w:val="22"/>
          <w:szCs w:val="22"/>
          <w:lang w:val="ru-RU"/>
        </w:rPr>
      </w:pPr>
      <w:r w:rsidRPr="00850AC5">
        <w:rPr>
          <w:rFonts w:ascii="Arial" w:hAnsi="Arial" w:cs="Arial"/>
          <w:b w:val="0"/>
          <w:bCs w:val="0"/>
          <w:i/>
          <w:iCs/>
          <w:sz w:val="22"/>
          <w:szCs w:val="22"/>
          <w:lang w:val="ru-RU"/>
        </w:rPr>
        <w:t>Таблица 3 – Первоначальные выводы в отношении ТПКО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1516"/>
        <w:gridCol w:w="3208"/>
        <w:gridCol w:w="3324"/>
      </w:tblGrid>
      <w:tr w:rsidR="00523732" w:rsidRPr="00A17D4F" w14:paraId="5933D3D7" w14:textId="77777777" w:rsidTr="00BB6E95">
        <w:trPr>
          <w:trHeight w:val="290"/>
          <w:tblHeader/>
        </w:trPr>
        <w:tc>
          <w:tcPr>
            <w:tcW w:w="820" w:type="pct"/>
            <w:shd w:val="clear" w:color="auto" w:fill="auto"/>
            <w:noWrap/>
            <w:hideMark/>
          </w:tcPr>
          <w:p w14:paraId="5E48DBB4" w14:textId="77777777" w:rsidR="00523732" w:rsidRPr="00A17D4F" w:rsidRDefault="00523732" w:rsidP="00FA445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7D4F">
              <w:rPr>
                <w:rFonts w:ascii="Arial" w:hAnsi="Arial" w:cs="Arial"/>
                <w:b/>
                <w:bCs/>
                <w:lang w:val="ru-RU"/>
              </w:rPr>
              <w:t>Код вывода</w:t>
            </w:r>
          </w:p>
        </w:tc>
        <w:tc>
          <w:tcPr>
            <w:tcW w:w="787" w:type="pct"/>
            <w:shd w:val="clear" w:color="auto" w:fill="auto"/>
            <w:noWrap/>
            <w:hideMark/>
          </w:tcPr>
          <w:p w14:paraId="2C216A06" w14:textId="77777777" w:rsidR="00523732" w:rsidRPr="00A17D4F" w:rsidRDefault="00523732" w:rsidP="00FA445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7D4F">
              <w:rPr>
                <w:rFonts w:ascii="Arial" w:hAnsi="Arial" w:cs="Arial"/>
                <w:b/>
                <w:bCs/>
                <w:lang w:val="ru-RU"/>
              </w:rPr>
              <w:t>Тип</w:t>
            </w:r>
          </w:p>
        </w:tc>
        <w:tc>
          <w:tcPr>
            <w:tcW w:w="1666" w:type="pct"/>
            <w:shd w:val="clear" w:color="auto" w:fill="auto"/>
            <w:noWrap/>
            <w:hideMark/>
          </w:tcPr>
          <w:p w14:paraId="18ED35A9" w14:textId="69F5A784" w:rsidR="00523732" w:rsidRPr="00A17D4F" w:rsidRDefault="00A46D8E" w:rsidP="00FA445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Описание</w:t>
            </w:r>
          </w:p>
        </w:tc>
        <w:tc>
          <w:tcPr>
            <w:tcW w:w="1726" w:type="pct"/>
            <w:shd w:val="clear" w:color="auto" w:fill="auto"/>
            <w:noWrap/>
            <w:hideMark/>
          </w:tcPr>
          <w:p w14:paraId="5F3040D3" w14:textId="77777777" w:rsidR="00523732" w:rsidRPr="00A17D4F" w:rsidRDefault="00523732" w:rsidP="00FA445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7D4F">
              <w:rPr>
                <w:rFonts w:ascii="Arial" w:hAnsi="Arial" w:cs="Arial"/>
                <w:b/>
                <w:bCs/>
                <w:lang w:val="ru-RU"/>
              </w:rPr>
              <w:t>Рекомендация</w:t>
            </w:r>
          </w:p>
        </w:tc>
      </w:tr>
      <w:tr w:rsidR="00523732" w:rsidRPr="00670684" w14:paraId="0B2BAE82" w14:textId="77777777" w:rsidTr="00EB14F0">
        <w:trPr>
          <w:trHeight w:val="870"/>
        </w:trPr>
        <w:tc>
          <w:tcPr>
            <w:tcW w:w="820" w:type="pct"/>
            <w:shd w:val="clear" w:color="auto" w:fill="auto"/>
            <w:noWrap/>
            <w:hideMark/>
          </w:tcPr>
          <w:p w14:paraId="3452BC3E" w14:textId="77777777" w:rsidR="00523732" w:rsidRPr="00A17D4F" w:rsidRDefault="00523732" w:rsidP="00BB6E95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>ТПКО 1</w:t>
            </w:r>
          </w:p>
        </w:tc>
        <w:tc>
          <w:tcPr>
            <w:tcW w:w="787" w:type="pct"/>
            <w:shd w:val="clear" w:color="auto" w:fill="auto"/>
            <w:hideMark/>
          </w:tcPr>
          <w:p w14:paraId="650C67E5" w14:textId="77777777" w:rsidR="00523732" w:rsidRPr="00A17D4F" w:rsidRDefault="00523732" w:rsidP="00BB6E95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>Документ</w:t>
            </w:r>
          </w:p>
        </w:tc>
        <w:tc>
          <w:tcPr>
            <w:tcW w:w="1666" w:type="pct"/>
            <w:shd w:val="clear" w:color="auto" w:fill="auto"/>
            <w:hideMark/>
          </w:tcPr>
          <w:p w14:paraId="27FAA013" w14:textId="784CF46D" w:rsidR="00523732" w:rsidRPr="00670684" w:rsidRDefault="00523732" w:rsidP="00BB6E95">
            <w:pPr>
              <w:spacing w:before="120" w:after="12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A17D4F">
              <w:rPr>
                <w:rFonts w:ascii="Arial" w:hAnsi="Arial" w:cs="Arial"/>
                <w:lang w:val="ru-RU"/>
              </w:rPr>
              <w:t xml:space="preserve">Круг ведения в целом отвечает поставленным целям, но должен быть пересмотрен </w:t>
            </w:r>
            <w:r w:rsidR="00A46D8E">
              <w:rPr>
                <w:rFonts w:ascii="Arial" w:hAnsi="Arial" w:cs="Arial"/>
                <w:lang w:val="ru-RU"/>
              </w:rPr>
              <w:t>с учетом с</w:t>
            </w:r>
            <w:r w:rsidRPr="00A17D4F">
              <w:rPr>
                <w:rFonts w:ascii="Arial" w:hAnsi="Arial" w:cs="Arial"/>
                <w:lang w:val="ru-RU"/>
              </w:rPr>
              <w:t>тратегии для обеспечения соответствия задач</w:t>
            </w:r>
          </w:p>
        </w:tc>
        <w:tc>
          <w:tcPr>
            <w:tcW w:w="1726" w:type="pct"/>
            <w:shd w:val="clear" w:color="auto" w:fill="auto"/>
            <w:hideMark/>
          </w:tcPr>
          <w:p w14:paraId="54DBB13F" w14:textId="3B4A03FE" w:rsidR="00523732" w:rsidRPr="00670684" w:rsidRDefault="00523732" w:rsidP="00BB6E95">
            <w:pPr>
              <w:spacing w:before="120" w:after="12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A17D4F">
              <w:rPr>
                <w:rFonts w:ascii="Arial" w:hAnsi="Arial" w:cs="Arial"/>
                <w:lang w:val="ru-RU"/>
              </w:rPr>
              <w:t xml:space="preserve">Пересмотр круга ведения для обеспечения соответствия </w:t>
            </w:r>
            <w:r w:rsidR="00A46D8E">
              <w:rPr>
                <w:rFonts w:ascii="Arial" w:hAnsi="Arial" w:cs="Arial"/>
                <w:lang w:val="ru-RU"/>
              </w:rPr>
              <w:t>с</w:t>
            </w:r>
            <w:r w:rsidRPr="00A17D4F">
              <w:rPr>
                <w:rFonts w:ascii="Arial" w:hAnsi="Arial" w:cs="Arial"/>
                <w:lang w:val="ru-RU"/>
              </w:rPr>
              <w:t>тратегии</w:t>
            </w:r>
          </w:p>
        </w:tc>
      </w:tr>
      <w:tr w:rsidR="00523732" w:rsidRPr="00670684" w14:paraId="0BFF77C3" w14:textId="77777777" w:rsidTr="00EB14F0">
        <w:trPr>
          <w:trHeight w:val="870"/>
        </w:trPr>
        <w:tc>
          <w:tcPr>
            <w:tcW w:w="820" w:type="pct"/>
            <w:shd w:val="clear" w:color="auto" w:fill="auto"/>
            <w:noWrap/>
          </w:tcPr>
          <w:p w14:paraId="25D264EE" w14:textId="77777777" w:rsidR="00523732" w:rsidRPr="00A17D4F" w:rsidRDefault="00523732" w:rsidP="00BB6E95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>ТПКО 2</w:t>
            </w:r>
          </w:p>
        </w:tc>
        <w:tc>
          <w:tcPr>
            <w:tcW w:w="787" w:type="pct"/>
            <w:shd w:val="clear" w:color="auto" w:fill="auto"/>
          </w:tcPr>
          <w:p w14:paraId="1376BEAD" w14:textId="77777777" w:rsidR="00523732" w:rsidRPr="00A17D4F" w:rsidRDefault="00523732" w:rsidP="00BB6E95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>Деятельность</w:t>
            </w:r>
          </w:p>
        </w:tc>
        <w:tc>
          <w:tcPr>
            <w:tcW w:w="1666" w:type="pct"/>
            <w:shd w:val="clear" w:color="auto" w:fill="auto"/>
          </w:tcPr>
          <w:p w14:paraId="4D7DBFE0" w14:textId="2187EDA2" w:rsidR="00523732" w:rsidRPr="00670684" w:rsidRDefault="00523732" w:rsidP="00BB6E95">
            <w:pPr>
              <w:spacing w:before="120" w:after="12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A17D4F">
              <w:rPr>
                <w:rFonts w:ascii="Arial" w:hAnsi="Arial" w:cs="Arial"/>
                <w:lang w:val="ru-RU"/>
              </w:rPr>
              <w:t xml:space="preserve">План работы слишком сложный и может быть </w:t>
            </w:r>
            <w:r w:rsidR="00A46D8E">
              <w:rPr>
                <w:rFonts w:ascii="Arial" w:hAnsi="Arial" w:cs="Arial"/>
                <w:lang w:val="ru-RU"/>
              </w:rPr>
              <w:t xml:space="preserve">оптимизирован </w:t>
            </w:r>
          </w:p>
        </w:tc>
        <w:tc>
          <w:tcPr>
            <w:tcW w:w="1726" w:type="pct"/>
            <w:shd w:val="clear" w:color="auto" w:fill="auto"/>
          </w:tcPr>
          <w:p w14:paraId="6C36C3B9" w14:textId="76B428D4" w:rsidR="00523732" w:rsidRPr="00670684" w:rsidRDefault="00A46D8E" w:rsidP="00BB6E95">
            <w:pPr>
              <w:spacing w:before="120" w:after="120" w:line="240" w:lineRule="auto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Оптимизация </w:t>
            </w:r>
            <w:r w:rsidR="00523732" w:rsidRPr="00A17D4F">
              <w:rPr>
                <w:rFonts w:ascii="Arial" w:hAnsi="Arial" w:cs="Arial"/>
                <w:lang w:val="ru-RU"/>
              </w:rPr>
              <w:t>плана работы для сокращения числа направлений деятельности и обеспечения большей ясности</w:t>
            </w:r>
          </w:p>
        </w:tc>
      </w:tr>
      <w:tr w:rsidR="00523732" w:rsidRPr="00670684" w14:paraId="79358BBB" w14:textId="77777777" w:rsidTr="00EB14F0">
        <w:trPr>
          <w:trHeight w:val="870"/>
        </w:trPr>
        <w:tc>
          <w:tcPr>
            <w:tcW w:w="820" w:type="pct"/>
            <w:shd w:val="clear" w:color="auto" w:fill="auto"/>
            <w:noWrap/>
          </w:tcPr>
          <w:p w14:paraId="62A22883" w14:textId="77777777" w:rsidR="00523732" w:rsidRPr="00A17D4F" w:rsidRDefault="00523732" w:rsidP="00BB6E95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>ТПКО 3</w:t>
            </w:r>
          </w:p>
        </w:tc>
        <w:tc>
          <w:tcPr>
            <w:tcW w:w="787" w:type="pct"/>
            <w:shd w:val="clear" w:color="auto" w:fill="auto"/>
          </w:tcPr>
          <w:p w14:paraId="01F91E08" w14:textId="77777777" w:rsidR="00523732" w:rsidRPr="00A17D4F" w:rsidRDefault="00523732" w:rsidP="00BB6E95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>Документ</w:t>
            </w:r>
          </w:p>
        </w:tc>
        <w:tc>
          <w:tcPr>
            <w:tcW w:w="1666" w:type="pct"/>
            <w:shd w:val="clear" w:color="auto" w:fill="auto"/>
          </w:tcPr>
          <w:p w14:paraId="4D01D6B9" w14:textId="115EFA05" w:rsidR="00523732" w:rsidRPr="00670684" w:rsidRDefault="00523732" w:rsidP="00BB6E95">
            <w:pPr>
              <w:spacing w:before="120" w:after="12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A17D4F">
              <w:rPr>
                <w:rFonts w:ascii="Arial" w:hAnsi="Arial" w:cs="Arial"/>
                <w:lang w:val="ru-RU"/>
              </w:rPr>
              <w:t>Отсутствие документа с описанием роли НОАА в размещении координатной сетки ГЕБКО, хранящейся в Информационном центре Международной гидрографической организации по цифровой батиметрии</w:t>
            </w:r>
          </w:p>
        </w:tc>
        <w:tc>
          <w:tcPr>
            <w:tcW w:w="1726" w:type="pct"/>
            <w:shd w:val="clear" w:color="auto" w:fill="auto"/>
          </w:tcPr>
          <w:p w14:paraId="5A974B6D" w14:textId="1F7B0F83" w:rsidR="00523732" w:rsidRPr="00670684" w:rsidRDefault="00523732" w:rsidP="00BB6E95">
            <w:pPr>
              <w:spacing w:before="120" w:after="12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A17D4F">
              <w:rPr>
                <w:rFonts w:ascii="Arial" w:hAnsi="Arial" w:cs="Arial"/>
                <w:lang w:val="ru-RU"/>
              </w:rPr>
              <w:t xml:space="preserve">Отражение этого вопроса в </w:t>
            </w:r>
            <w:proofErr w:type="spellStart"/>
            <w:r w:rsidRPr="00A17D4F">
              <w:rPr>
                <w:rFonts w:ascii="Arial" w:hAnsi="Arial" w:cs="Arial"/>
                <w:lang w:val="ru-RU"/>
              </w:rPr>
              <w:t>МоВ</w:t>
            </w:r>
            <w:proofErr w:type="spellEnd"/>
            <w:r w:rsidRPr="00A17D4F">
              <w:rPr>
                <w:rFonts w:ascii="Arial" w:hAnsi="Arial" w:cs="Arial"/>
                <w:lang w:val="ru-RU"/>
              </w:rPr>
              <w:t xml:space="preserve"> между МГО и Центром МГО по цифровой батиметрии</w:t>
            </w:r>
          </w:p>
        </w:tc>
      </w:tr>
      <w:tr w:rsidR="00523732" w:rsidRPr="00670684" w14:paraId="6889F350" w14:textId="77777777" w:rsidTr="00EB14F0">
        <w:trPr>
          <w:trHeight w:val="870"/>
        </w:trPr>
        <w:tc>
          <w:tcPr>
            <w:tcW w:w="820" w:type="pct"/>
            <w:shd w:val="clear" w:color="auto" w:fill="auto"/>
            <w:noWrap/>
          </w:tcPr>
          <w:p w14:paraId="163E7DCC" w14:textId="77777777" w:rsidR="00523732" w:rsidRPr="00A17D4F" w:rsidRDefault="00523732" w:rsidP="00BB6E95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>ТПКО 4</w:t>
            </w:r>
          </w:p>
        </w:tc>
        <w:tc>
          <w:tcPr>
            <w:tcW w:w="787" w:type="pct"/>
            <w:shd w:val="clear" w:color="auto" w:fill="auto"/>
          </w:tcPr>
          <w:p w14:paraId="766CAE22" w14:textId="77777777" w:rsidR="00523732" w:rsidRPr="00A17D4F" w:rsidRDefault="00523732" w:rsidP="00BB6E95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>Документ</w:t>
            </w:r>
          </w:p>
        </w:tc>
        <w:tc>
          <w:tcPr>
            <w:tcW w:w="1666" w:type="pct"/>
            <w:shd w:val="clear" w:color="auto" w:fill="auto"/>
          </w:tcPr>
          <w:p w14:paraId="426142F1" w14:textId="788F4A11" w:rsidR="00523732" w:rsidRPr="00670684" w:rsidRDefault="00523732" w:rsidP="00BB6E95">
            <w:pPr>
              <w:spacing w:before="120" w:after="12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A17D4F">
              <w:rPr>
                <w:rFonts w:ascii="Arial" w:hAnsi="Arial" w:cs="Arial"/>
                <w:lang w:val="ru-RU"/>
              </w:rPr>
              <w:t>Отсутствие документа с описанием роли НОК/БПК в управлении сайтом ГЕБКО</w:t>
            </w:r>
          </w:p>
        </w:tc>
        <w:tc>
          <w:tcPr>
            <w:tcW w:w="1726" w:type="pct"/>
            <w:shd w:val="clear" w:color="auto" w:fill="auto"/>
          </w:tcPr>
          <w:p w14:paraId="2851E34E" w14:textId="77777777" w:rsidR="00523732" w:rsidRPr="00670684" w:rsidRDefault="00523732" w:rsidP="00BB6E95">
            <w:pPr>
              <w:spacing w:before="120" w:after="12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A17D4F">
              <w:rPr>
                <w:rFonts w:ascii="Arial" w:hAnsi="Arial" w:cs="Arial"/>
                <w:lang w:val="ru-RU"/>
              </w:rPr>
              <w:t xml:space="preserve">Изучение возможности подписания </w:t>
            </w:r>
            <w:proofErr w:type="spellStart"/>
            <w:r w:rsidRPr="00A17D4F">
              <w:rPr>
                <w:rFonts w:ascii="Arial" w:hAnsi="Arial" w:cs="Arial"/>
                <w:lang w:val="ru-RU"/>
              </w:rPr>
              <w:t>МоВ</w:t>
            </w:r>
            <w:proofErr w:type="spellEnd"/>
            <w:r w:rsidRPr="00A17D4F">
              <w:rPr>
                <w:rFonts w:ascii="Arial" w:hAnsi="Arial" w:cs="Arial"/>
                <w:lang w:val="ru-RU"/>
              </w:rPr>
              <w:t xml:space="preserve"> МГО/МОК</w:t>
            </w:r>
          </w:p>
        </w:tc>
      </w:tr>
      <w:tr w:rsidR="00523732" w:rsidRPr="00670684" w14:paraId="65ABBDF9" w14:textId="77777777" w:rsidTr="00EB14F0">
        <w:trPr>
          <w:trHeight w:val="870"/>
        </w:trPr>
        <w:tc>
          <w:tcPr>
            <w:tcW w:w="820" w:type="pct"/>
            <w:shd w:val="clear" w:color="auto" w:fill="auto"/>
            <w:noWrap/>
          </w:tcPr>
          <w:p w14:paraId="0F4824F3" w14:textId="77777777" w:rsidR="00523732" w:rsidRPr="00A17D4F" w:rsidRDefault="00523732" w:rsidP="00BB6E95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>ТПКО 5</w:t>
            </w:r>
          </w:p>
        </w:tc>
        <w:tc>
          <w:tcPr>
            <w:tcW w:w="787" w:type="pct"/>
            <w:shd w:val="clear" w:color="auto" w:fill="auto"/>
          </w:tcPr>
          <w:p w14:paraId="5DBE2C6F" w14:textId="77777777" w:rsidR="00523732" w:rsidRPr="00A17D4F" w:rsidRDefault="00523732" w:rsidP="00BB6E95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>Членский состав</w:t>
            </w:r>
          </w:p>
        </w:tc>
        <w:tc>
          <w:tcPr>
            <w:tcW w:w="1666" w:type="pct"/>
            <w:shd w:val="clear" w:color="auto" w:fill="auto"/>
          </w:tcPr>
          <w:p w14:paraId="63BB73F7" w14:textId="77777777" w:rsidR="00523732" w:rsidRPr="00670684" w:rsidRDefault="00523732" w:rsidP="00BB6E95">
            <w:pPr>
              <w:spacing w:before="120" w:after="12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A17D4F">
              <w:rPr>
                <w:rFonts w:ascii="Arial" w:hAnsi="Arial" w:cs="Arial"/>
                <w:lang w:val="ru-RU"/>
              </w:rPr>
              <w:t>Необходимость в специальной должности секретаря для организации более регулярных совещаний</w:t>
            </w:r>
          </w:p>
        </w:tc>
        <w:tc>
          <w:tcPr>
            <w:tcW w:w="1726" w:type="pct"/>
            <w:shd w:val="clear" w:color="auto" w:fill="auto"/>
          </w:tcPr>
          <w:p w14:paraId="295CBC2C" w14:textId="77777777" w:rsidR="00523732" w:rsidRPr="00670684" w:rsidRDefault="00523732" w:rsidP="00BB6E95">
            <w:pPr>
              <w:spacing w:before="120" w:after="12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A17D4F">
              <w:rPr>
                <w:rFonts w:ascii="Arial" w:hAnsi="Arial" w:cs="Arial"/>
                <w:lang w:val="ru-RU"/>
              </w:rPr>
              <w:t>Назначение секретаря из числа членов, установление его срока службы и соответствующее обновление круга ведения</w:t>
            </w:r>
          </w:p>
        </w:tc>
      </w:tr>
      <w:tr w:rsidR="00523732" w:rsidRPr="00A17D4F" w14:paraId="45F82B28" w14:textId="77777777" w:rsidTr="00EB14F0">
        <w:trPr>
          <w:trHeight w:val="870"/>
        </w:trPr>
        <w:tc>
          <w:tcPr>
            <w:tcW w:w="820" w:type="pct"/>
            <w:shd w:val="clear" w:color="auto" w:fill="auto"/>
            <w:noWrap/>
          </w:tcPr>
          <w:p w14:paraId="08A3D912" w14:textId="77777777" w:rsidR="00523732" w:rsidRPr="00A17D4F" w:rsidRDefault="00523732" w:rsidP="00BB6E95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>ТПКО 6</w:t>
            </w:r>
          </w:p>
        </w:tc>
        <w:tc>
          <w:tcPr>
            <w:tcW w:w="787" w:type="pct"/>
            <w:shd w:val="clear" w:color="auto" w:fill="auto"/>
          </w:tcPr>
          <w:p w14:paraId="10CB3254" w14:textId="77777777" w:rsidR="00523732" w:rsidRPr="00A17D4F" w:rsidRDefault="00523732" w:rsidP="00BB6E95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>Документ</w:t>
            </w:r>
          </w:p>
        </w:tc>
        <w:tc>
          <w:tcPr>
            <w:tcW w:w="1666" w:type="pct"/>
            <w:shd w:val="clear" w:color="auto" w:fill="auto"/>
          </w:tcPr>
          <w:p w14:paraId="5E566920" w14:textId="4B2A39ED" w:rsidR="00523732" w:rsidRPr="00670684" w:rsidRDefault="00523732" w:rsidP="00BB6E95">
            <w:pPr>
              <w:spacing w:before="120" w:after="12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A17D4F">
              <w:rPr>
                <w:rFonts w:ascii="Arial" w:hAnsi="Arial" w:cs="Arial"/>
                <w:lang w:val="ru-RU"/>
              </w:rPr>
              <w:t>Отсутствие официального документа/соглашения с описанием взаимодействия с проектом «Морское дно – 2030»</w:t>
            </w:r>
          </w:p>
        </w:tc>
        <w:tc>
          <w:tcPr>
            <w:tcW w:w="1726" w:type="pct"/>
            <w:shd w:val="clear" w:color="auto" w:fill="auto"/>
          </w:tcPr>
          <w:p w14:paraId="340BDBB3" w14:textId="6190CBE4" w:rsidR="00523732" w:rsidRPr="00A17D4F" w:rsidRDefault="00523732" w:rsidP="00BB6E95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>Отложить до окончания РКГ</w:t>
            </w:r>
            <w:r w:rsidR="00BB6E95">
              <w:rPr>
                <w:rFonts w:ascii="Arial" w:hAnsi="Arial" w:cs="Arial"/>
                <w:lang w:val="ru-RU"/>
              </w:rPr>
              <w:noBreakHyphen/>
            </w:r>
            <w:r w:rsidRPr="00A17D4F">
              <w:rPr>
                <w:rFonts w:ascii="Arial" w:hAnsi="Arial" w:cs="Arial"/>
                <w:lang w:val="ru-RU"/>
              </w:rPr>
              <w:t>39?</w:t>
            </w:r>
          </w:p>
        </w:tc>
      </w:tr>
      <w:tr w:rsidR="00523732" w:rsidRPr="00670684" w14:paraId="6DF50143" w14:textId="77777777" w:rsidTr="00EB14F0">
        <w:trPr>
          <w:trHeight w:val="870"/>
        </w:trPr>
        <w:tc>
          <w:tcPr>
            <w:tcW w:w="820" w:type="pct"/>
            <w:shd w:val="clear" w:color="auto" w:fill="auto"/>
            <w:noWrap/>
          </w:tcPr>
          <w:p w14:paraId="5C9C8229" w14:textId="77777777" w:rsidR="00523732" w:rsidRPr="00A17D4F" w:rsidRDefault="00523732" w:rsidP="00BB6E95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lastRenderedPageBreak/>
              <w:t>ТПКО 7</w:t>
            </w:r>
          </w:p>
        </w:tc>
        <w:tc>
          <w:tcPr>
            <w:tcW w:w="787" w:type="pct"/>
            <w:shd w:val="clear" w:color="auto" w:fill="auto"/>
          </w:tcPr>
          <w:p w14:paraId="7B3A368F" w14:textId="77777777" w:rsidR="00523732" w:rsidRPr="00A17D4F" w:rsidRDefault="00523732" w:rsidP="00BB6E95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>Продукт</w:t>
            </w:r>
          </w:p>
        </w:tc>
        <w:tc>
          <w:tcPr>
            <w:tcW w:w="1666" w:type="pct"/>
            <w:shd w:val="clear" w:color="auto" w:fill="auto"/>
          </w:tcPr>
          <w:p w14:paraId="034BF9B9" w14:textId="2C197486" w:rsidR="00523732" w:rsidRPr="00670684" w:rsidRDefault="00523732" w:rsidP="00BB6E95">
            <w:pPr>
              <w:spacing w:before="120" w:after="12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A17D4F">
              <w:rPr>
                <w:rFonts w:ascii="Arial" w:hAnsi="Arial" w:cs="Arial"/>
                <w:lang w:val="ru-RU"/>
              </w:rPr>
              <w:t xml:space="preserve">Отсутствие официального </w:t>
            </w:r>
            <w:r w:rsidR="00A46D8E">
              <w:rPr>
                <w:rFonts w:ascii="Arial" w:hAnsi="Arial" w:cs="Arial"/>
                <w:lang w:val="ru-RU"/>
              </w:rPr>
              <w:t xml:space="preserve">заявления о </w:t>
            </w:r>
            <w:r w:rsidRPr="00A17D4F">
              <w:rPr>
                <w:rFonts w:ascii="Arial" w:hAnsi="Arial" w:cs="Arial"/>
                <w:lang w:val="ru-RU"/>
              </w:rPr>
              <w:t>прав</w:t>
            </w:r>
            <w:r w:rsidR="00A46D8E">
              <w:rPr>
                <w:rFonts w:ascii="Arial" w:hAnsi="Arial" w:cs="Arial"/>
                <w:lang w:val="ru-RU"/>
              </w:rPr>
              <w:t>е</w:t>
            </w:r>
            <w:r w:rsidRPr="00A17D4F">
              <w:rPr>
                <w:rFonts w:ascii="Arial" w:hAnsi="Arial" w:cs="Arial"/>
                <w:lang w:val="ru-RU"/>
              </w:rPr>
              <w:t xml:space="preserve"> собственности на продукты ГЕБКО</w:t>
            </w:r>
          </w:p>
        </w:tc>
        <w:tc>
          <w:tcPr>
            <w:tcW w:w="1726" w:type="pct"/>
            <w:shd w:val="clear" w:color="auto" w:fill="auto"/>
          </w:tcPr>
          <w:p w14:paraId="14B7E5BB" w14:textId="77777777" w:rsidR="00523732" w:rsidRPr="00670684" w:rsidRDefault="00523732" w:rsidP="00BB6E95">
            <w:pPr>
              <w:spacing w:before="120" w:after="12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A17D4F">
              <w:rPr>
                <w:rFonts w:ascii="Arial" w:hAnsi="Arial" w:cs="Arial"/>
                <w:lang w:val="ru-RU"/>
              </w:rPr>
              <w:t>Обозначение всех продуктов ГЕБКО, например, Цифрового атласа, в качестве официальных публикаций МГО/МОК</w:t>
            </w:r>
          </w:p>
        </w:tc>
      </w:tr>
    </w:tbl>
    <w:p w14:paraId="52DDBF6A" w14:textId="2A679FFF" w:rsidR="00523732" w:rsidRPr="00670684" w:rsidRDefault="00523732" w:rsidP="00BB6E95">
      <w:pPr>
        <w:keepNext/>
        <w:spacing w:before="240" w:after="240" w:line="240" w:lineRule="auto"/>
        <w:jc w:val="both"/>
        <w:rPr>
          <w:rFonts w:ascii="Arial" w:eastAsia="Times New Roman" w:hAnsi="Arial" w:cs="Arial"/>
          <w:i/>
          <w:iCs/>
          <w:u w:val="single"/>
          <w:lang w:val="ru-RU"/>
        </w:rPr>
      </w:pPr>
      <w:r w:rsidRPr="00A17D4F">
        <w:rPr>
          <w:rFonts w:ascii="Arial" w:hAnsi="Arial" w:cs="Arial"/>
          <w:i/>
          <w:iCs/>
          <w:u w:val="single"/>
          <w:lang w:val="ru-RU"/>
        </w:rPr>
        <w:t>Подкомитет по региональному подводному картированию (ПРПК)</w:t>
      </w:r>
    </w:p>
    <w:p w14:paraId="7FEC66DD" w14:textId="08183F6B" w:rsidR="00523732" w:rsidRPr="00670684" w:rsidRDefault="00523732" w:rsidP="00716D9D">
      <w:pPr>
        <w:pStyle w:val="ListParagraph"/>
        <w:numPr>
          <w:ilvl w:val="0"/>
          <w:numId w:val="5"/>
        </w:numPr>
        <w:spacing w:after="240" w:line="240" w:lineRule="auto"/>
        <w:ind w:left="0" w:firstLine="0"/>
        <w:contextualSpacing w:val="0"/>
        <w:rPr>
          <w:rFonts w:cs="Arial"/>
          <w:bCs/>
          <w:szCs w:val="22"/>
          <w:lang w:val="ru-RU"/>
        </w:rPr>
      </w:pPr>
      <w:r w:rsidRPr="00A17D4F">
        <w:rPr>
          <w:rFonts w:cs="Arial"/>
          <w:szCs w:val="22"/>
          <w:lang w:val="ru-RU"/>
        </w:rPr>
        <w:t xml:space="preserve">В </w:t>
      </w:r>
      <w:r w:rsidRPr="00A17D4F">
        <w:rPr>
          <w:rFonts w:cs="Arial"/>
          <w:i/>
          <w:iCs/>
          <w:szCs w:val="22"/>
          <w:lang w:val="ru-RU"/>
        </w:rPr>
        <w:t>таблице 4</w:t>
      </w:r>
      <w:r w:rsidRPr="00A17D4F">
        <w:rPr>
          <w:rFonts w:cs="Arial"/>
          <w:szCs w:val="22"/>
          <w:lang w:val="ru-RU"/>
        </w:rPr>
        <w:t xml:space="preserve"> кратко изложены первоначальные выводы, касающиеся ПРПК. Основная проблема, выявленная в отношении работы ПРПК, в значительной степени аналогична проблеме, характерной для других видов деятельности/органов, таких как ТПКО и проект «Морское дно –2030». Из обсуждений с группой председателя ПРПК стало очевидно, что речь идет, скорее всего, о необходимости уточнения формулировок в плане работы, а не о существенной корректировке каких-либо мероприятий.</w:t>
      </w:r>
    </w:p>
    <w:p w14:paraId="62A966E6" w14:textId="1A4D07F0" w:rsidR="00523732" w:rsidRPr="00670684" w:rsidRDefault="00523732" w:rsidP="00716D9D">
      <w:pPr>
        <w:pStyle w:val="Caption"/>
        <w:keepNext/>
        <w:spacing w:after="240"/>
        <w:jc w:val="both"/>
        <w:rPr>
          <w:rFonts w:ascii="Arial" w:hAnsi="Arial" w:cs="Arial"/>
          <w:b w:val="0"/>
          <w:bCs w:val="0"/>
          <w:i/>
          <w:iCs/>
          <w:sz w:val="22"/>
          <w:szCs w:val="22"/>
          <w:lang w:val="ru-RU"/>
        </w:rPr>
      </w:pPr>
      <w:r w:rsidRPr="00850AC5">
        <w:rPr>
          <w:rFonts w:ascii="Arial" w:hAnsi="Arial" w:cs="Arial"/>
          <w:b w:val="0"/>
          <w:bCs w:val="0"/>
          <w:i/>
          <w:iCs/>
          <w:sz w:val="22"/>
          <w:szCs w:val="22"/>
          <w:lang w:val="ru-RU"/>
        </w:rPr>
        <w:t>Таблица 4 – Первоначальные выводы в отношении ПРПК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1383"/>
        <w:gridCol w:w="3272"/>
        <w:gridCol w:w="3393"/>
      </w:tblGrid>
      <w:tr w:rsidR="00523732" w:rsidRPr="00A17D4F" w14:paraId="7E5CCA7F" w14:textId="77777777" w:rsidTr="00716D9D">
        <w:trPr>
          <w:trHeight w:val="290"/>
          <w:tblHeader/>
        </w:trPr>
        <w:tc>
          <w:tcPr>
            <w:tcW w:w="820" w:type="pct"/>
            <w:shd w:val="clear" w:color="auto" w:fill="auto"/>
            <w:noWrap/>
            <w:hideMark/>
          </w:tcPr>
          <w:p w14:paraId="27AC1D4C" w14:textId="77777777" w:rsidR="00523732" w:rsidRPr="00A17D4F" w:rsidRDefault="00523732" w:rsidP="00716D9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7D4F">
              <w:rPr>
                <w:rFonts w:ascii="Arial" w:hAnsi="Arial" w:cs="Arial"/>
                <w:b/>
                <w:bCs/>
                <w:lang w:val="ru-RU"/>
              </w:rPr>
              <w:t>Код вывода</w:t>
            </w:r>
          </w:p>
        </w:tc>
        <w:tc>
          <w:tcPr>
            <w:tcW w:w="718" w:type="pct"/>
            <w:shd w:val="clear" w:color="auto" w:fill="auto"/>
            <w:noWrap/>
            <w:hideMark/>
          </w:tcPr>
          <w:p w14:paraId="10ECBD16" w14:textId="77777777" w:rsidR="00523732" w:rsidRPr="00A17D4F" w:rsidRDefault="00523732" w:rsidP="00716D9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7D4F">
              <w:rPr>
                <w:rFonts w:ascii="Arial" w:hAnsi="Arial" w:cs="Arial"/>
                <w:b/>
                <w:bCs/>
                <w:lang w:val="ru-RU"/>
              </w:rPr>
              <w:t>Тип</w:t>
            </w:r>
          </w:p>
        </w:tc>
        <w:tc>
          <w:tcPr>
            <w:tcW w:w="1699" w:type="pct"/>
            <w:shd w:val="clear" w:color="auto" w:fill="auto"/>
            <w:noWrap/>
            <w:hideMark/>
          </w:tcPr>
          <w:p w14:paraId="651EAB9D" w14:textId="4FD51188" w:rsidR="00523732" w:rsidRPr="00A17D4F" w:rsidRDefault="00A46D8E" w:rsidP="00716D9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Описание</w:t>
            </w:r>
          </w:p>
        </w:tc>
        <w:tc>
          <w:tcPr>
            <w:tcW w:w="1762" w:type="pct"/>
            <w:shd w:val="clear" w:color="auto" w:fill="auto"/>
            <w:noWrap/>
            <w:hideMark/>
          </w:tcPr>
          <w:p w14:paraId="64AA8FD5" w14:textId="77777777" w:rsidR="00523732" w:rsidRPr="00A17D4F" w:rsidRDefault="00523732" w:rsidP="00716D9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7D4F">
              <w:rPr>
                <w:rFonts w:ascii="Arial" w:hAnsi="Arial" w:cs="Arial"/>
                <w:b/>
                <w:bCs/>
                <w:lang w:val="ru-RU"/>
              </w:rPr>
              <w:t>Рекомендация</w:t>
            </w:r>
          </w:p>
        </w:tc>
      </w:tr>
      <w:tr w:rsidR="00523732" w:rsidRPr="00670684" w14:paraId="669C066C" w14:textId="77777777" w:rsidTr="00496C20">
        <w:trPr>
          <w:trHeight w:val="870"/>
        </w:trPr>
        <w:tc>
          <w:tcPr>
            <w:tcW w:w="820" w:type="pct"/>
            <w:shd w:val="clear" w:color="auto" w:fill="auto"/>
            <w:noWrap/>
            <w:hideMark/>
          </w:tcPr>
          <w:p w14:paraId="48D16E76" w14:textId="77777777" w:rsidR="00523732" w:rsidRPr="00A17D4F" w:rsidRDefault="00523732" w:rsidP="00716D9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>ПРПК 1</w:t>
            </w:r>
          </w:p>
        </w:tc>
        <w:tc>
          <w:tcPr>
            <w:tcW w:w="718" w:type="pct"/>
            <w:shd w:val="clear" w:color="auto" w:fill="auto"/>
            <w:hideMark/>
          </w:tcPr>
          <w:p w14:paraId="25877651" w14:textId="77777777" w:rsidR="00523732" w:rsidRPr="00A17D4F" w:rsidRDefault="00523732" w:rsidP="00716D9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>Документ</w:t>
            </w:r>
          </w:p>
        </w:tc>
        <w:tc>
          <w:tcPr>
            <w:tcW w:w="1699" w:type="pct"/>
            <w:shd w:val="clear" w:color="auto" w:fill="auto"/>
            <w:hideMark/>
          </w:tcPr>
          <w:p w14:paraId="58D2C5E9" w14:textId="13934604" w:rsidR="00523732" w:rsidRPr="00670684" w:rsidRDefault="00523732" w:rsidP="00716D9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A17D4F">
              <w:rPr>
                <w:rFonts w:ascii="Arial" w:hAnsi="Arial" w:cs="Arial"/>
                <w:lang w:val="ru-RU"/>
              </w:rPr>
              <w:t xml:space="preserve">Круг ведения в целом отвечает поставленным целям, но должен быть пересмотрен </w:t>
            </w:r>
            <w:r w:rsidR="00A46D8E">
              <w:rPr>
                <w:rFonts w:ascii="Arial" w:hAnsi="Arial" w:cs="Arial"/>
                <w:lang w:val="ru-RU"/>
              </w:rPr>
              <w:t>с учетом с</w:t>
            </w:r>
            <w:r w:rsidRPr="00A17D4F">
              <w:rPr>
                <w:rFonts w:ascii="Arial" w:hAnsi="Arial" w:cs="Arial"/>
                <w:lang w:val="ru-RU"/>
              </w:rPr>
              <w:t>тратегии для обеспечения соответствия задач</w:t>
            </w:r>
          </w:p>
        </w:tc>
        <w:tc>
          <w:tcPr>
            <w:tcW w:w="1762" w:type="pct"/>
            <w:shd w:val="clear" w:color="auto" w:fill="auto"/>
            <w:hideMark/>
          </w:tcPr>
          <w:p w14:paraId="28FF563C" w14:textId="13F1BF5A" w:rsidR="00523732" w:rsidRPr="00670684" w:rsidRDefault="00523732" w:rsidP="00716D9D">
            <w:pPr>
              <w:spacing w:before="120" w:after="12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A17D4F">
              <w:rPr>
                <w:rFonts w:ascii="Arial" w:hAnsi="Arial" w:cs="Arial"/>
                <w:lang w:val="ru-RU"/>
              </w:rPr>
              <w:t xml:space="preserve">Пересмотр круга ведения для обеспечения соответствия </w:t>
            </w:r>
            <w:r w:rsidR="00A46D8E">
              <w:rPr>
                <w:rFonts w:ascii="Arial" w:hAnsi="Arial" w:cs="Arial"/>
                <w:lang w:val="ru-RU"/>
              </w:rPr>
              <w:t>с</w:t>
            </w:r>
            <w:r w:rsidRPr="00A17D4F">
              <w:rPr>
                <w:rFonts w:ascii="Arial" w:hAnsi="Arial" w:cs="Arial"/>
                <w:lang w:val="ru-RU"/>
              </w:rPr>
              <w:t>тратегии</w:t>
            </w:r>
          </w:p>
        </w:tc>
      </w:tr>
      <w:tr w:rsidR="00523732" w:rsidRPr="00670684" w14:paraId="2A72A2E7" w14:textId="77777777" w:rsidTr="00496C20">
        <w:trPr>
          <w:trHeight w:val="870"/>
        </w:trPr>
        <w:tc>
          <w:tcPr>
            <w:tcW w:w="820" w:type="pct"/>
            <w:shd w:val="clear" w:color="auto" w:fill="auto"/>
            <w:noWrap/>
          </w:tcPr>
          <w:p w14:paraId="0AAF5A25" w14:textId="77777777" w:rsidR="00523732" w:rsidRPr="00A17D4F" w:rsidRDefault="00523732" w:rsidP="00716D9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>ПРПК 2</w:t>
            </w:r>
          </w:p>
        </w:tc>
        <w:tc>
          <w:tcPr>
            <w:tcW w:w="718" w:type="pct"/>
            <w:shd w:val="clear" w:color="auto" w:fill="auto"/>
          </w:tcPr>
          <w:p w14:paraId="0421E90E" w14:textId="7BE7CCE2" w:rsidR="00523732" w:rsidRPr="00A17D4F" w:rsidRDefault="00523732" w:rsidP="00716D9D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>План</w:t>
            </w:r>
            <w:r w:rsidR="006B6850">
              <w:rPr>
                <w:rFonts w:ascii="Arial" w:hAnsi="Arial" w:cs="Arial"/>
                <w:lang w:val="ru-RU"/>
              </w:rPr>
              <w:br/>
            </w:r>
            <w:r w:rsidRPr="00A17D4F">
              <w:rPr>
                <w:rFonts w:ascii="Arial" w:hAnsi="Arial" w:cs="Arial"/>
                <w:lang w:val="ru-RU"/>
              </w:rPr>
              <w:t>работы</w:t>
            </w:r>
          </w:p>
        </w:tc>
        <w:tc>
          <w:tcPr>
            <w:tcW w:w="1699" w:type="pct"/>
            <w:shd w:val="clear" w:color="auto" w:fill="auto"/>
          </w:tcPr>
          <w:p w14:paraId="23F666A0" w14:textId="04F2E7CB" w:rsidR="00523732" w:rsidRPr="00670684" w:rsidRDefault="00523732" w:rsidP="00716D9D">
            <w:pPr>
              <w:spacing w:before="120" w:after="12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A17D4F">
              <w:rPr>
                <w:rFonts w:ascii="Arial" w:hAnsi="Arial" w:cs="Arial"/>
                <w:lang w:val="ru-RU"/>
              </w:rPr>
              <w:t>Потенциальное дублирование сферы охвата с ПРПК/МД-2030. Возможно, требуется только уточнение формулировок в плане работы</w:t>
            </w:r>
          </w:p>
        </w:tc>
        <w:tc>
          <w:tcPr>
            <w:tcW w:w="1762" w:type="pct"/>
            <w:shd w:val="clear" w:color="auto" w:fill="auto"/>
          </w:tcPr>
          <w:p w14:paraId="3ECBC5DE" w14:textId="50E58350" w:rsidR="00523732" w:rsidRPr="00670684" w:rsidRDefault="00523732" w:rsidP="00716D9D">
            <w:pPr>
              <w:spacing w:before="120" w:after="12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A17D4F">
              <w:rPr>
                <w:rFonts w:ascii="Arial" w:hAnsi="Arial" w:cs="Arial"/>
                <w:lang w:val="ru-RU"/>
              </w:rPr>
              <w:t>Сотрудничество с другими подкомитетами и группой проекта «Морское дно – 2030» по пересмотру плана работы и добавлению примечаний, при необходимости, для уточнения областей, представляющих общий интерес</w:t>
            </w:r>
          </w:p>
        </w:tc>
      </w:tr>
      <w:tr w:rsidR="00523732" w:rsidRPr="00670684" w14:paraId="63424F72" w14:textId="77777777" w:rsidTr="00496C20">
        <w:trPr>
          <w:trHeight w:val="870"/>
        </w:trPr>
        <w:tc>
          <w:tcPr>
            <w:tcW w:w="820" w:type="pct"/>
            <w:shd w:val="clear" w:color="auto" w:fill="auto"/>
            <w:noWrap/>
          </w:tcPr>
          <w:p w14:paraId="0AE035D0" w14:textId="77777777" w:rsidR="00523732" w:rsidRPr="00A17D4F" w:rsidRDefault="00523732" w:rsidP="00716D9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>ПРПК 3</w:t>
            </w:r>
          </w:p>
        </w:tc>
        <w:tc>
          <w:tcPr>
            <w:tcW w:w="718" w:type="pct"/>
            <w:shd w:val="clear" w:color="auto" w:fill="auto"/>
          </w:tcPr>
          <w:p w14:paraId="567D2163" w14:textId="0D60E317" w:rsidR="00523732" w:rsidRPr="00A17D4F" w:rsidRDefault="00523732" w:rsidP="00716D9D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>План</w:t>
            </w:r>
            <w:r w:rsidR="006B6850">
              <w:rPr>
                <w:rFonts w:ascii="Arial" w:hAnsi="Arial" w:cs="Arial"/>
                <w:lang w:val="ru-RU"/>
              </w:rPr>
              <w:br/>
            </w:r>
            <w:r w:rsidRPr="00A17D4F">
              <w:rPr>
                <w:rFonts w:ascii="Arial" w:hAnsi="Arial" w:cs="Arial"/>
                <w:lang w:val="ru-RU"/>
              </w:rPr>
              <w:t>работы</w:t>
            </w:r>
          </w:p>
        </w:tc>
        <w:tc>
          <w:tcPr>
            <w:tcW w:w="1699" w:type="pct"/>
            <w:shd w:val="clear" w:color="auto" w:fill="auto"/>
          </w:tcPr>
          <w:p w14:paraId="1976AEFB" w14:textId="3C46A681" w:rsidR="00523732" w:rsidRPr="00670684" w:rsidRDefault="00523732" w:rsidP="00716D9D">
            <w:pPr>
              <w:spacing w:before="120" w:after="12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A17D4F">
              <w:rPr>
                <w:rFonts w:ascii="Arial" w:hAnsi="Arial" w:cs="Arial"/>
                <w:lang w:val="ru-RU"/>
              </w:rPr>
              <w:t xml:space="preserve">Сложный план работы, который может быть </w:t>
            </w:r>
            <w:r w:rsidR="00A46D8E">
              <w:rPr>
                <w:rFonts w:ascii="Arial" w:hAnsi="Arial" w:cs="Arial"/>
                <w:lang w:val="ru-RU"/>
              </w:rPr>
              <w:t xml:space="preserve">оптимизирован </w:t>
            </w:r>
          </w:p>
        </w:tc>
        <w:tc>
          <w:tcPr>
            <w:tcW w:w="1762" w:type="pct"/>
            <w:shd w:val="clear" w:color="auto" w:fill="auto"/>
          </w:tcPr>
          <w:p w14:paraId="792388C1" w14:textId="77777777" w:rsidR="00523732" w:rsidRPr="00670684" w:rsidRDefault="00523732" w:rsidP="00716D9D">
            <w:pPr>
              <w:spacing w:before="120" w:after="12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A17D4F">
              <w:rPr>
                <w:rFonts w:ascii="Arial" w:hAnsi="Arial" w:cs="Arial"/>
                <w:lang w:val="ru-RU"/>
              </w:rPr>
              <w:t>Пересмотр плана работы после публикации стратегии и согласование приоритетов</w:t>
            </w:r>
          </w:p>
        </w:tc>
      </w:tr>
      <w:tr w:rsidR="00523732" w:rsidRPr="00670684" w14:paraId="067AAA1D" w14:textId="77777777" w:rsidTr="00496C20">
        <w:trPr>
          <w:trHeight w:val="870"/>
        </w:trPr>
        <w:tc>
          <w:tcPr>
            <w:tcW w:w="820" w:type="pct"/>
            <w:shd w:val="clear" w:color="auto" w:fill="auto"/>
            <w:noWrap/>
          </w:tcPr>
          <w:p w14:paraId="01EEA1A8" w14:textId="77777777" w:rsidR="00523732" w:rsidRPr="00A17D4F" w:rsidRDefault="00523732" w:rsidP="00716D9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>ПРПК 4</w:t>
            </w:r>
          </w:p>
        </w:tc>
        <w:tc>
          <w:tcPr>
            <w:tcW w:w="718" w:type="pct"/>
            <w:shd w:val="clear" w:color="auto" w:fill="auto"/>
          </w:tcPr>
          <w:p w14:paraId="3ABC6A52" w14:textId="77777777" w:rsidR="00523732" w:rsidRPr="00A17D4F" w:rsidRDefault="00523732" w:rsidP="00716D9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>Процесс</w:t>
            </w:r>
          </w:p>
        </w:tc>
        <w:tc>
          <w:tcPr>
            <w:tcW w:w="1699" w:type="pct"/>
            <w:shd w:val="clear" w:color="auto" w:fill="auto"/>
          </w:tcPr>
          <w:p w14:paraId="69479FC9" w14:textId="77777777" w:rsidR="00523732" w:rsidRPr="00670684" w:rsidRDefault="00523732" w:rsidP="00716D9D">
            <w:pPr>
              <w:spacing w:before="120" w:after="12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A17D4F">
              <w:rPr>
                <w:rFonts w:ascii="Arial" w:hAnsi="Arial" w:cs="Arial"/>
                <w:lang w:val="ru-RU"/>
              </w:rPr>
              <w:t xml:space="preserve">Расписание совещаний можно скорректировать таким образом, чтобы проводить одно подготовительное совещание в виртуальном </w:t>
            </w:r>
            <w:r w:rsidRPr="00A17D4F">
              <w:rPr>
                <w:rFonts w:ascii="Arial" w:hAnsi="Arial" w:cs="Arial"/>
                <w:lang w:val="ru-RU"/>
              </w:rPr>
              <w:lastRenderedPageBreak/>
              <w:t>формате и одно очное совещание наряду с анализом пробелов и РКГ</w:t>
            </w:r>
          </w:p>
        </w:tc>
        <w:tc>
          <w:tcPr>
            <w:tcW w:w="1762" w:type="pct"/>
            <w:shd w:val="clear" w:color="auto" w:fill="auto"/>
          </w:tcPr>
          <w:p w14:paraId="7BC9C43F" w14:textId="77777777" w:rsidR="00523732" w:rsidRPr="00670684" w:rsidRDefault="00523732" w:rsidP="00716D9D">
            <w:pPr>
              <w:spacing w:before="120" w:after="12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A17D4F">
              <w:rPr>
                <w:rFonts w:ascii="Arial" w:hAnsi="Arial" w:cs="Arial"/>
                <w:lang w:val="ru-RU"/>
              </w:rPr>
              <w:lastRenderedPageBreak/>
              <w:t>ПРПК следует рассмотреть и согласовать порядок работы, подходящий членам комитета</w:t>
            </w:r>
          </w:p>
        </w:tc>
      </w:tr>
    </w:tbl>
    <w:p w14:paraId="739E9D58" w14:textId="5AB1284F" w:rsidR="00523732" w:rsidRPr="00A17D4F" w:rsidRDefault="00523732" w:rsidP="00716D9D">
      <w:pPr>
        <w:spacing w:before="240" w:after="240" w:line="240" w:lineRule="auto"/>
        <w:jc w:val="both"/>
        <w:rPr>
          <w:rFonts w:ascii="Arial" w:eastAsia="Times New Roman" w:hAnsi="Arial" w:cs="Arial"/>
          <w:i/>
          <w:iCs/>
          <w:u w:val="single"/>
        </w:rPr>
      </w:pPr>
      <w:r w:rsidRPr="00A17D4F">
        <w:rPr>
          <w:rFonts w:ascii="Arial" w:hAnsi="Arial" w:cs="Arial"/>
          <w:i/>
          <w:iCs/>
          <w:u w:val="single"/>
          <w:lang w:val="ru-RU"/>
        </w:rPr>
        <w:t>Подкомитет по просвещению и взаимодействию с общественностью (ППВО)</w:t>
      </w:r>
    </w:p>
    <w:p w14:paraId="5BF255AD" w14:textId="18045C7F" w:rsidR="00523732" w:rsidRPr="00670684" w:rsidRDefault="00523732" w:rsidP="00716D9D">
      <w:pPr>
        <w:pStyle w:val="ListParagraph"/>
        <w:numPr>
          <w:ilvl w:val="0"/>
          <w:numId w:val="5"/>
        </w:numPr>
        <w:spacing w:after="240" w:line="240" w:lineRule="auto"/>
        <w:ind w:left="0" w:firstLine="0"/>
        <w:contextualSpacing w:val="0"/>
        <w:rPr>
          <w:rFonts w:cs="Arial"/>
          <w:bCs/>
          <w:szCs w:val="22"/>
          <w:lang w:val="ru-RU"/>
        </w:rPr>
      </w:pPr>
      <w:r w:rsidRPr="00A17D4F">
        <w:rPr>
          <w:rFonts w:cs="Arial"/>
          <w:szCs w:val="22"/>
          <w:lang w:val="ru-RU"/>
        </w:rPr>
        <w:t xml:space="preserve">В </w:t>
      </w:r>
      <w:r w:rsidRPr="00A17D4F">
        <w:rPr>
          <w:rFonts w:cs="Arial"/>
          <w:i/>
          <w:iCs/>
          <w:szCs w:val="22"/>
          <w:lang w:val="ru-RU"/>
        </w:rPr>
        <w:t>таблице 5</w:t>
      </w:r>
      <w:r w:rsidRPr="00A17D4F">
        <w:rPr>
          <w:rFonts w:cs="Arial"/>
          <w:szCs w:val="22"/>
          <w:lang w:val="ru-RU"/>
        </w:rPr>
        <w:t xml:space="preserve"> кратко изложены первоначальные выводы, касающиеся ППВО. Основные выявленные проблемы касаются взаимодействия между ППВО и другими органами ГЕБКО, включая головные организации. Учитывая, что задача ППВО заключается в координации и поддержке информационно-просветительских и коммуникационных потребностей программы ГЕБКО, необходима тесная координация с другими органами ГЕБКО. Кроме того, поскольку головные организации являются МПО, подотчетными своим государствам-членам, необходимы более эффективные средства поддержки работы ППВО.</w:t>
      </w:r>
      <w:r w:rsidR="00A46D8E">
        <w:rPr>
          <w:rFonts w:cs="Arial"/>
          <w:szCs w:val="22"/>
          <w:lang w:val="ru-RU"/>
        </w:rPr>
        <w:t xml:space="preserve"> Есть понимание</w:t>
      </w:r>
      <w:r w:rsidRPr="00A17D4F">
        <w:rPr>
          <w:rFonts w:cs="Arial"/>
          <w:szCs w:val="22"/>
          <w:lang w:val="ru-RU"/>
        </w:rPr>
        <w:t xml:space="preserve">, что это можно </w:t>
      </w:r>
      <w:r w:rsidR="00A46D8E">
        <w:rPr>
          <w:rFonts w:cs="Arial"/>
          <w:szCs w:val="22"/>
          <w:lang w:val="ru-RU"/>
        </w:rPr>
        <w:t xml:space="preserve">было бы </w:t>
      </w:r>
      <w:r w:rsidRPr="00A17D4F">
        <w:rPr>
          <w:rFonts w:cs="Arial"/>
          <w:szCs w:val="22"/>
          <w:lang w:val="ru-RU"/>
        </w:rPr>
        <w:t xml:space="preserve">обеспечить </w:t>
      </w:r>
      <w:r w:rsidR="00A46D8E">
        <w:rPr>
          <w:rFonts w:cs="Arial"/>
          <w:szCs w:val="22"/>
          <w:lang w:val="ru-RU"/>
        </w:rPr>
        <w:t xml:space="preserve">путем </w:t>
      </w:r>
      <w:r w:rsidRPr="00A17D4F">
        <w:rPr>
          <w:rFonts w:cs="Arial"/>
          <w:szCs w:val="22"/>
          <w:lang w:val="ru-RU"/>
        </w:rPr>
        <w:t>создани</w:t>
      </w:r>
      <w:r w:rsidR="00A46D8E">
        <w:rPr>
          <w:rFonts w:cs="Arial"/>
          <w:szCs w:val="22"/>
          <w:lang w:val="ru-RU"/>
        </w:rPr>
        <w:t>я</w:t>
      </w:r>
      <w:r w:rsidRPr="00A17D4F">
        <w:rPr>
          <w:rFonts w:cs="Arial"/>
          <w:szCs w:val="22"/>
          <w:lang w:val="ru-RU"/>
        </w:rPr>
        <w:t xml:space="preserve"> новой категории участия/членства для руководителей по вопросам коммуникации головных организаций, а также утверждени</w:t>
      </w:r>
      <w:r w:rsidR="00A46D8E">
        <w:rPr>
          <w:rFonts w:cs="Arial"/>
          <w:szCs w:val="22"/>
          <w:lang w:val="ru-RU"/>
        </w:rPr>
        <w:t>я</w:t>
      </w:r>
      <w:r w:rsidRPr="00A17D4F">
        <w:rPr>
          <w:rFonts w:cs="Arial"/>
          <w:szCs w:val="22"/>
          <w:lang w:val="ru-RU"/>
        </w:rPr>
        <w:t xml:space="preserve"> официальной процедуры обзора запланированных к выпуску информационных материалов.</w:t>
      </w:r>
    </w:p>
    <w:p w14:paraId="4264118B" w14:textId="08710D47" w:rsidR="00523732" w:rsidRPr="00670684" w:rsidRDefault="00523732" w:rsidP="00716D9D">
      <w:pPr>
        <w:pStyle w:val="Caption"/>
        <w:keepNext/>
        <w:spacing w:after="240"/>
        <w:jc w:val="both"/>
        <w:rPr>
          <w:rFonts w:ascii="Arial" w:hAnsi="Arial" w:cs="Arial"/>
          <w:b w:val="0"/>
          <w:bCs w:val="0"/>
          <w:i/>
          <w:iCs/>
          <w:sz w:val="22"/>
          <w:szCs w:val="22"/>
          <w:lang w:val="ru-RU"/>
        </w:rPr>
      </w:pPr>
      <w:r w:rsidRPr="00A17D4F">
        <w:rPr>
          <w:rFonts w:ascii="Arial" w:hAnsi="Arial" w:cs="Arial"/>
          <w:b w:val="0"/>
          <w:bCs w:val="0"/>
          <w:i/>
          <w:iCs/>
          <w:sz w:val="22"/>
          <w:szCs w:val="22"/>
          <w:lang w:val="ru-RU"/>
        </w:rPr>
        <w:t>Таблица 5 – Первоначальные выводы в отношении ППВО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1515"/>
        <w:gridCol w:w="3206"/>
        <w:gridCol w:w="3327"/>
      </w:tblGrid>
      <w:tr w:rsidR="00523732" w:rsidRPr="00A17D4F" w14:paraId="57587138" w14:textId="77777777" w:rsidTr="00EB14F0">
        <w:trPr>
          <w:trHeight w:val="290"/>
          <w:tblHeader/>
        </w:trPr>
        <w:tc>
          <w:tcPr>
            <w:tcW w:w="820" w:type="pct"/>
            <w:shd w:val="clear" w:color="auto" w:fill="auto"/>
            <w:noWrap/>
            <w:hideMark/>
          </w:tcPr>
          <w:p w14:paraId="278A356E" w14:textId="77777777" w:rsidR="00523732" w:rsidRPr="00A17D4F" w:rsidRDefault="00523732" w:rsidP="00716D9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7D4F">
              <w:rPr>
                <w:rFonts w:ascii="Arial" w:hAnsi="Arial" w:cs="Arial"/>
                <w:b/>
                <w:bCs/>
                <w:lang w:val="ru-RU"/>
              </w:rPr>
              <w:t>Код вывода</w:t>
            </w:r>
          </w:p>
        </w:tc>
        <w:tc>
          <w:tcPr>
            <w:tcW w:w="787" w:type="pct"/>
            <w:shd w:val="clear" w:color="auto" w:fill="auto"/>
            <w:noWrap/>
            <w:hideMark/>
          </w:tcPr>
          <w:p w14:paraId="7C309526" w14:textId="77777777" w:rsidR="00523732" w:rsidRPr="00A17D4F" w:rsidRDefault="00523732" w:rsidP="00716D9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7D4F">
              <w:rPr>
                <w:rFonts w:ascii="Arial" w:hAnsi="Arial" w:cs="Arial"/>
                <w:b/>
                <w:bCs/>
                <w:lang w:val="ru-RU"/>
              </w:rPr>
              <w:t>Тип</w:t>
            </w:r>
          </w:p>
        </w:tc>
        <w:tc>
          <w:tcPr>
            <w:tcW w:w="1665" w:type="pct"/>
            <w:shd w:val="clear" w:color="auto" w:fill="auto"/>
            <w:noWrap/>
            <w:hideMark/>
          </w:tcPr>
          <w:p w14:paraId="6ED6CAFD" w14:textId="0390D902" w:rsidR="00523732" w:rsidRPr="00A17D4F" w:rsidRDefault="00A46D8E" w:rsidP="00716D9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Описание</w:t>
            </w:r>
          </w:p>
        </w:tc>
        <w:tc>
          <w:tcPr>
            <w:tcW w:w="1728" w:type="pct"/>
            <w:shd w:val="clear" w:color="auto" w:fill="auto"/>
            <w:noWrap/>
            <w:hideMark/>
          </w:tcPr>
          <w:p w14:paraId="4136333D" w14:textId="77777777" w:rsidR="00523732" w:rsidRPr="00A17D4F" w:rsidRDefault="00523732" w:rsidP="00716D9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7D4F">
              <w:rPr>
                <w:rFonts w:ascii="Arial" w:hAnsi="Arial" w:cs="Arial"/>
                <w:b/>
                <w:bCs/>
                <w:lang w:val="ru-RU"/>
              </w:rPr>
              <w:t>Рекомендация</w:t>
            </w:r>
          </w:p>
        </w:tc>
      </w:tr>
      <w:tr w:rsidR="00523732" w:rsidRPr="00670684" w14:paraId="66CC8098" w14:textId="77777777" w:rsidTr="00496C20">
        <w:trPr>
          <w:trHeight w:val="870"/>
        </w:trPr>
        <w:tc>
          <w:tcPr>
            <w:tcW w:w="820" w:type="pct"/>
            <w:shd w:val="clear" w:color="auto" w:fill="auto"/>
            <w:noWrap/>
            <w:hideMark/>
          </w:tcPr>
          <w:p w14:paraId="76FC44D0" w14:textId="77777777" w:rsidR="00523732" w:rsidRPr="00A17D4F" w:rsidRDefault="00523732" w:rsidP="00716D9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>ППВО 1</w:t>
            </w:r>
          </w:p>
        </w:tc>
        <w:tc>
          <w:tcPr>
            <w:tcW w:w="787" w:type="pct"/>
            <w:shd w:val="clear" w:color="auto" w:fill="auto"/>
            <w:hideMark/>
          </w:tcPr>
          <w:p w14:paraId="46E8C6BD" w14:textId="77777777" w:rsidR="00523732" w:rsidRPr="00A17D4F" w:rsidRDefault="00523732" w:rsidP="00716D9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>Документ</w:t>
            </w:r>
          </w:p>
        </w:tc>
        <w:tc>
          <w:tcPr>
            <w:tcW w:w="1665" w:type="pct"/>
            <w:shd w:val="clear" w:color="auto" w:fill="auto"/>
            <w:hideMark/>
          </w:tcPr>
          <w:p w14:paraId="6B1D1F24" w14:textId="36EC4DEB" w:rsidR="00523732" w:rsidRPr="00670684" w:rsidRDefault="00523732" w:rsidP="00716D9D">
            <w:pPr>
              <w:spacing w:before="120" w:after="12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A17D4F">
              <w:rPr>
                <w:rFonts w:ascii="Arial" w:hAnsi="Arial" w:cs="Arial"/>
                <w:lang w:val="ru-RU"/>
              </w:rPr>
              <w:t xml:space="preserve">Круг ведения в целом отвечает поставленным целям, но должен быть пересмотрен </w:t>
            </w:r>
            <w:r w:rsidR="00A46D8E">
              <w:rPr>
                <w:rFonts w:ascii="Arial" w:hAnsi="Arial" w:cs="Arial"/>
                <w:lang w:val="ru-RU"/>
              </w:rPr>
              <w:t>с учетом с</w:t>
            </w:r>
            <w:r w:rsidRPr="00A17D4F">
              <w:rPr>
                <w:rFonts w:ascii="Arial" w:hAnsi="Arial" w:cs="Arial"/>
                <w:lang w:val="ru-RU"/>
              </w:rPr>
              <w:t>тратегии для обеспечения соответствия задач</w:t>
            </w:r>
          </w:p>
        </w:tc>
        <w:tc>
          <w:tcPr>
            <w:tcW w:w="1728" w:type="pct"/>
            <w:shd w:val="clear" w:color="auto" w:fill="auto"/>
            <w:hideMark/>
          </w:tcPr>
          <w:p w14:paraId="5740AA27" w14:textId="227603D8" w:rsidR="00523732" w:rsidRPr="00670684" w:rsidRDefault="00523732" w:rsidP="00716D9D">
            <w:pPr>
              <w:spacing w:before="120" w:after="12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A17D4F">
              <w:rPr>
                <w:rFonts w:ascii="Arial" w:hAnsi="Arial" w:cs="Arial"/>
                <w:lang w:val="ru-RU"/>
              </w:rPr>
              <w:t xml:space="preserve">Пересмотр круга ведения для обеспечения соответствия </w:t>
            </w:r>
            <w:r w:rsidR="00A46D8E">
              <w:rPr>
                <w:rFonts w:ascii="Arial" w:hAnsi="Arial" w:cs="Arial"/>
                <w:lang w:val="ru-RU"/>
              </w:rPr>
              <w:t>с</w:t>
            </w:r>
            <w:r w:rsidRPr="00A17D4F">
              <w:rPr>
                <w:rFonts w:ascii="Arial" w:hAnsi="Arial" w:cs="Arial"/>
                <w:lang w:val="ru-RU"/>
              </w:rPr>
              <w:t>тратегии</w:t>
            </w:r>
          </w:p>
        </w:tc>
      </w:tr>
      <w:tr w:rsidR="00523732" w:rsidRPr="00670684" w14:paraId="0C4CBB37" w14:textId="77777777" w:rsidTr="00496C20">
        <w:trPr>
          <w:trHeight w:val="870"/>
        </w:trPr>
        <w:tc>
          <w:tcPr>
            <w:tcW w:w="820" w:type="pct"/>
            <w:shd w:val="clear" w:color="auto" w:fill="auto"/>
            <w:noWrap/>
          </w:tcPr>
          <w:p w14:paraId="4E6E2CAC" w14:textId="77777777" w:rsidR="00523732" w:rsidRPr="00A17D4F" w:rsidRDefault="00523732" w:rsidP="00716D9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>ППВО 2</w:t>
            </w:r>
          </w:p>
        </w:tc>
        <w:tc>
          <w:tcPr>
            <w:tcW w:w="787" w:type="pct"/>
            <w:shd w:val="clear" w:color="auto" w:fill="auto"/>
          </w:tcPr>
          <w:p w14:paraId="73B49A13" w14:textId="77777777" w:rsidR="00523732" w:rsidRPr="00A17D4F" w:rsidRDefault="00523732" w:rsidP="00716D9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>Процесс</w:t>
            </w:r>
          </w:p>
        </w:tc>
        <w:tc>
          <w:tcPr>
            <w:tcW w:w="1665" w:type="pct"/>
            <w:shd w:val="clear" w:color="auto" w:fill="auto"/>
          </w:tcPr>
          <w:p w14:paraId="7287B1B4" w14:textId="1E270644" w:rsidR="00523732" w:rsidRPr="00670684" w:rsidRDefault="00523732" w:rsidP="00716D9D">
            <w:pPr>
              <w:spacing w:before="120" w:after="12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A17D4F">
              <w:rPr>
                <w:rFonts w:ascii="Arial" w:hAnsi="Arial" w:cs="Arial"/>
                <w:lang w:val="ru-RU"/>
              </w:rPr>
              <w:t>Потенциальная необходимость определения официальной процедуры утверждения информационных материалов, имеющих отношения к другим ПК или органам</w:t>
            </w:r>
          </w:p>
        </w:tc>
        <w:tc>
          <w:tcPr>
            <w:tcW w:w="1728" w:type="pct"/>
            <w:shd w:val="clear" w:color="auto" w:fill="auto"/>
          </w:tcPr>
          <w:p w14:paraId="5AB92852" w14:textId="77777777" w:rsidR="00523732" w:rsidRPr="00670684" w:rsidRDefault="00523732" w:rsidP="00716D9D">
            <w:pPr>
              <w:spacing w:before="120" w:after="12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A17D4F">
              <w:rPr>
                <w:rFonts w:ascii="Arial" w:hAnsi="Arial" w:cs="Arial"/>
                <w:lang w:val="ru-RU"/>
              </w:rPr>
              <w:t>Разработка схемы процедуры, которую можно включить в приложение к кругу ведения</w:t>
            </w:r>
          </w:p>
        </w:tc>
      </w:tr>
      <w:tr w:rsidR="00523732" w:rsidRPr="00670684" w14:paraId="582BDB7C" w14:textId="77777777" w:rsidTr="00496C20">
        <w:trPr>
          <w:trHeight w:val="870"/>
        </w:trPr>
        <w:tc>
          <w:tcPr>
            <w:tcW w:w="820" w:type="pct"/>
            <w:shd w:val="clear" w:color="auto" w:fill="auto"/>
            <w:noWrap/>
          </w:tcPr>
          <w:p w14:paraId="76B6F642" w14:textId="77777777" w:rsidR="00523732" w:rsidRPr="00A17D4F" w:rsidRDefault="00523732" w:rsidP="00716D9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>ППВО 3</w:t>
            </w:r>
          </w:p>
        </w:tc>
        <w:tc>
          <w:tcPr>
            <w:tcW w:w="787" w:type="pct"/>
            <w:shd w:val="clear" w:color="auto" w:fill="auto"/>
          </w:tcPr>
          <w:p w14:paraId="6412348A" w14:textId="77777777" w:rsidR="00523732" w:rsidRPr="00A17D4F" w:rsidRDefault="00523732" w:rsidP="00716D9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>Процесс</w:t>
            </w:r>
          </w:p>
        </w:tc>
        <w:tc>
          <w:tcPr>
            <w:tcW w:w="1665" w:type="pct"/>
            <w:shd w:val="clear" w:color="auto" w:fill="auto"/>
          </w:tcPr>
          <w:p w14:paraId="297687FF" w14:textId="77777777" w:rsidR="00523732" w:rsidRPr="00670684" w:rsidRDefault="00523732" w:rsidP="00716D9D">
            <w:pPr>
              <w:spacing w:before="120" w:after="12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A17D4F">
              <w:rPr>
                <w:rFonts w:ascii="Arial" w:hAnsi="Arial" w:cs="Arial"/>
                <w:lang w:val="ru-RU"/>
              </w:rPr>
              <w:t>Расписание совещаний можно скорректировать таким образом, чтобы проводить одно подготовительное совещание в виртуальном формате и одно очное совещание наряду с анализом пробелов и РКГ</w:t>
            </w:r>
          </w:p>
        </w:tc>
        <w:tc>
          <w:tcPr>
            <w:tcW w:w="1728" w:type="pct"/>
            <w:shd w:val="clear" w:color="auto" w:fill="auto"/>
          </w:tcPr>
          <w:p w14:paraId="434C10C3" w14:textId="77777777" w:rsidR="00523732" w:rsidRPr="00670684" w:rsidRDefault="00523732" w:rsidP="00716D9D">
            <w:pPr>
              <w:spacing w:before="120" w:after="12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A17D4F">
              <w:rPr>
                <w:rFonts w:ascii="Arial" w:hAnsi="Arial" w:cs="Arial"/>
                <w:lang w:val="ru-RU"/>
              </w:rPr>
              <w:t>ПРПК следует рассмотреть и согласовать порядок работы, подходящий членам комитета</w:t>
            </w:r>
          </w:p>
        </w:tc>
      </w:tr>
      <w:tr w:rsidR="00523732" w:rsidRPr="00670684" w14:paraId="525F8112" w14:textId="77777777" w:rsidTr="00496C20">
        <w:trPr>
          <w:trHeight w:val="870"/>
        </w:trPr>
        <w:tc>
          <w:tcPr>
            <w:tcW w:w="820" w:type="pct"/>
            <w:shd w:val="clear" w:color="auto" w:fill="auto"/>
            <w:noWrap/>
          </w:tcPr>
          <w:p w14:paraId="25900B4D" w14:textId="77777777" w:rsidR="00523732" w:rsidRPr="00A17D4F" w:rsidRDefault="00523732" w:rsidP="00716D9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>ППВО 4</w:t>
            </w:r>
          </w:p>
        </w:tc>
        <w:tc>
          <w:tcPr>
            <w:tcW w:w="787" w:type="pct"/>
            <w:shd w:val="clear" w:color="auto" w:fill="auto"/>
          </w:tcPr>
          <w:p w14:paraId="220E47FD" w14:textId="77777777" w:rsidR="00523732" w:rsidRPr="00A17D4F" w:rsidRDefault="00523732" w:rsidP="00716D9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>Членский состав</w:t>
            </w:r>
          </w:p>
        </w:tc>
        <w:tc>
          <w:tcPr>
            <w:tcW w:w="1665" w:type="pct"/>
            <w:shd w:val="clear" w:color="auto" w:fill="auto"/>
          </w:tcPr>
          <w:p w14:paraId="18EC8589" w14:textId="77777777" w:rsidR="00523732" w:rsidRPr="00670684" w:rsidRDefault="00523732" w:rsidP="00716D9D">
            <w:pPr>
              <w:spacing w:before="120" w:after="12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A17D4F">
              <w:rPr>
                <w:rFonts w:ascii="Arial" w:hAnsi="Arial" w:cs="Arial"/>
                <w:lang w:val="ru-RU"/>
              </w:rPr>
              <w:t>Отсутствует четкое определение роли представителей МГО/МОК, а также процедура обзора информационно-коммуникационный деятельности</w:t>
            </w:r>
          </w:p>
        </w:tc>
        <w:tc>
          <w:tcPr>
            <w:tcW w:w="1728" w:type="pct"/>
            <w:shd w:val="clear" w:color="auto" w:fill="auto"/>
          </w:tcPr>
          <w:p w14:paraId="44CB9D54" w14:textId="77777777" w:rsidR="00523732" w:rsidRPr="00670684" w:rsidRDefault="00523732" w:rsidP="00716D9D">
            <w:pPr>
              <w:spacing w:before="120" w:after="12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A17D4F">
              <w:rPr>
                <w:rFonts w:ascii="Arial" w:hAnsi="Arial" w:cs="Arial"/>
                <w:lang w:val="ru-RU"/>
              </w:rPr>
              <w:t>Рассмотреть вопрос о введении новой категории участия представителей МГО/МОК по вопросам коммуникации в работе ППВО</w:t>
            </w:r>
          </w:p>
        </w:tc>
      </w:tr>
    </w:tbl>
    <w:p w14:paraId="2F9C9F10" w14:textId="40C7236F" w:rsidR="00523732" w:rsidRPr="00EA7C6C" w:rsidRDefault="00523732" w:rsidP="00716D9D">
      <w:pPr>
        <w:spacing w:before="240" w:after="240" w:line="240" w:lineRule="auto"/>
        <w:jc w:val="both"/>
        <w:rPr>
          <w:rFonts w:ascii="Arial" w:eastAsia="Times New Roman" w:hAnsi="Arial" w:cs="Arial"/>
          <w:i/>
          <w:iCs/>
          <w:u w:val="single"/>
          <w:lang w:val="ru-RU"/>
        </w:rPr>
      </w:pPr>
      <w:r w:rsidRPr="00EA7C6C">
        <w:rPr>
          <w:rFonts w:ascii="Arial" w:hAnsi="Arial" w:cs="Arial"/>
          <w:i/>
          <w:iCs/>
          <w:u w:val="single"/>
          <w:lang w:val="ru-RU"/>
        </w:rPr>
        <w:t>Подкомитет по вопросам образования и подготовки кадров (ПОПК)</w:t>
      </w:r>
    </w:p>
    <w:p w14:paraId="55B0A5FF" w14:textId="18F54692" w:rsidR="00523732" w:rsidRPr="00B05C31" w:rsidRDefault="00523732" w:rsidP="00716D9D">
      <w:pPr>
        <w:pStyle w:val="ListParagraph"/>
        <w:numPr>
          <w:ilvl w:val="0"/>
          <w:numId w:val="5"/>
        </w:numPr>
        <w:spacing w:after="240" w:line="240" w:lineRule="auto"/>
        <w:ind w:left="0" w:firstLine="0"/>
        <w:contextualSpacing w:val="0"/>
        <w:rPr>
          <w:rFonts w:cs="Arial"/>
          <w:bCs/>
          <w:szCs w:val="22"/>
          <w:lang w:val="ru-RU"/>
        </w:rPr>
      </w:pPr>
      <w:r w:rsidRPr="00A17D4F">
        <w:rPr>
          <w:rFonts w:cs="Arial"/>
          <w:szCs w:val="22"/>
          <w:lang w:val="ru-RU"/>
        </w:rPr>
        <w:t xml:space="preserve">В </w:t>
      </w:r>
      <w:r w:rsidRPr="00A17D4F">
        <w:rPr>
          <w:rFonts w:cs="Arial"/>
          <w:i/>
          <w:iCs/>
          <w:szCs w:val="22"/>
          <w:lang w:val="ru-RU"/>
        </w:rPr>
        <w:t>таблице 6</w:t>
      </w:r>
      <w:r w:rsidRPr="00A17D4F">
        <w:rPr>
          <w:rFonts w:cs="Arial"/>
          <w:szCs w:val="22"/>
          <w:lang w:val="ru-RU"/>
        </w:rPr>
        <w:t xml:space="preserve"> кратко изложены выводы, касающиеся ПОПК. ПОПК является новым подкомитетом и все еще находится на этапе </w:t>
      </w:r>
      <w:r w:rsidR="00C87CAE">
        <w:rPr>
          <w:rFonts w:cs="Arial"/>
          <w:szCs w:val="22"/>
          <w:lang w:val="ru-RU"/>
        </w:rPr>
        <w:t xml:space="preserve">подготовки к </w:t>
      </w:r>
      <w:r w:rsidRPr="00A17D4F">
        <w:rPr>
          <w:rFonts w:cs="Arial"/>
          <w:szCs w:val="22"/>
          <w:lang w:val="ru-RU"/>
        </w:rPr>
        <w:t>работ</w:t>
      </w:r>
      <w:r w:rsidR="00C87CAE">
        <w:rPr>
          <w:rFonts w:cs="Arial"/>
          <w:szCs w:val="22"/>
          <w:lang w:val="ru-RU"/>
        </w:rPr>
        <w:t>е.</w:t>
      </w:r>
      <w:r w:rsidRPr="00A17D4F">
        <w:rPr>
          <w:rFonts w:cs="Arial"/>
          <w:szCs w:val="22"/>
          <w:lang w:val="ru-RU"/>
        </w:rPr>
        <w:t xml:space="preserve"> Как следствие, единственный вывод касается необходимости пересмотра круга ведения подкомитета после разработки новой стратегии ГЕБКО.</w:t>
      </w:r>
    </w:p>
    <w:p w14:paraId="5F60220A" w14:textId="77777777" w:rsidR="00523732" w:rsidRPr="00716D9D" w:rsidRDefault="00523732" w:rsidP="00716D9D">
      <w:pPr>
        <w:pStyle w:val="Caption"/>
        <w:keepNext/>
        <w:spacing w:after="240"/>
        <w:jc w:val="both"/>
        <w:rPr>
          <w:rFonts w:ascii="Arial" w:hAnsi="Arial" w:cs="Arial"/>
          <w:b w:val="0"/>
          <w:bCs w:val="0"/>
          <w:i/>
          <w:iCs/>
          <w:sz w:val="22"/>
          <w:szCs w:val="22"/>
          <w:lang w:val="ru-RU"/>
        </w:rPr>
      </w:pPr>
      <w:r w:rsidRPr="00716D9D">
        <w:rPr>
          <w:rFonts w:ascii="Arial" w:hAnsi="Arial" w:cs="Arial"/>
          <w:b w:val="0"/>
          <w:bCs w:val="0"/>
          <w:i/>
          <w:iCs/>
          <w:sz w:val="22"/>
          <w:szCs w:val="22"/>
          <w:lang w:val="ru-RU"/>
        </w:rPr>
        <w:t>Таблица 6 – Первоначальные выводы в отношении ПОПК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79"/>
        <w:gridCol w:w="1452"/>
        <w:gridCol w:w="3275"/>
        <w:gridCol w:w="3322"/>
      </w:tblGrid>
      <w:tr w:rsidR="00523732" w:rsidRPr="00A17D4F" w14:paraId="1DED85B3" w14:textId="77777777" w:rsidTr="00496C20">
        <w:trPr>
          <w:trHeight w:val="290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2E315" w14:textId="77777777" w:rsidR="00523732" w:rsidRPr="00A17D4F" w:rsidRDefault="00523732" w:rsidP="00716D9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7D4F">
              <w:rPr>
                <w:rFonts w:ascii="Arial" w:hAnsi="Arial" w:cs="Arial"/>
                <w:b/>
                <w:bCs/>
                <w:lang w:val="ru-RU"/>
              </w:rPr>
              <w:t>Код вывода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E41CC" w14:textId="77777777" w:rsidR="00523732" w:rsidRPr="00A17D4F" w:rsidRDefault="00523732" w:rsidP="00716D9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7D4F">
              <w:rPr>
                <w:rFonts w:ascii="Arial" w:hAnsi="Arial" w:cs="Arial"/>
                <w:b/>
                <w:bCs/>
                <w:lang w:val="ru-RU"/>
              </w:rPr>
              <w:t>Тип</w:t>
            </w:r>
          </w:p>
        </w:tc>
        <w:tc>
          <w:tcPr>
            <w:tcW w:w="1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EE630" w14:textId="45AB8A22" w:rsidR="00523732" w:rsidRPr="00A17D4F" w:rsidRDefault="00C87CAE" w:rsidP="00716D9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Описание</w:t>
            </w:r>
          </w:p>
        </w:tc>
        <w:tc>
          <w:tcPr>
            <w:tcW w:w="1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176F5" w14:textId="77777777" w:rsidR="00523732" w:rsidRPr="00A17D4F" w:rsidRDefault="00523732" w:rsidP="00716D9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7D4F">
              <w:rPr>
                <w:rFonts w:ascii="Arial" w:hAnsi="Arial" w:cs="Arial"/>
                <w:b/>
                <w:bCs/>
                <w:lang w:val="ru-RU"/>
              </w:rPr>
              <w:t>Рекомендация</w:t>
            </w:r>
          </w:p>
        </w:tc>
      </w:tr>
      <w:tr w:rsidR="00523732" w:rsidRPr="00670684" w14:paraId="603AC94F" w14:textId="77777777" w:rsidTr="00496C20">
        <w:trPr>
          <w:trHeight w:val="870"/>
        </w:trPr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EDEB2" w14:textId="77777777" w:rsidR="00523732" w:rsidRPr="00A17D4F" w:rsidRDefault="00523732" w:rsidP="00716D9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>ПОПК 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2351E" w14:textId="77777777" w:rsidR="00523732" w:rsidRPr="00A17D4F" w:rsidRDefault="00523732" w:rsidP="00716D9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A17D4F">
              <w:rPr>
                <w:rFonts w:ascii="Arial" w:hAnsi="Arial" w:cs="Arial"/>
                <w:lang w:val="ru-RU"/>
              </w:rPr>
              <w:t>Документ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CB3A9" w14:textId="10E2D9F4" w:rsidR="00523732" w:rsidRPr="00670684" w:rsidRDefault="00523732" w:rsidP="00716D9D">
            <w:pPr>
              <w:spacing w:before="120" w:after="12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A17D4F">
              <w:rPr>
                <w:rFonts w:ascii="Arial" w:hAnsi="Arial" w:cs="Arial"/>
                <w:lang w:val="ru-RU"/>
              </w:rPr>
              <w:t xml:space="preserve">Круг ведения в целом отвечает поставленным целям, но должен быть пересмотрен </w:t>
            </w:r>
            <w:r w:rsidR="00C87CAE">
              <w:rPr>
                <w:rFonts w:ascii="Arial" w:hAnsi="Arial" w:cs="Arial"/>
                <w:lang w:val="ru-RU"/>
              </w:rPr>
              <w:t>с учетом с</w:t>
            </w:r>
            <w:r w:rsidRPr="00A17D4F">
              <w:rPr>
                <w:rFonts w:ascii="Arial" w:hAnsi="Arial" w:cs="Arial"/>
                <w:lang w:val="ru-RU"/>
              </w:rPr>
              <w:t>тратегии для обеспечения соответствия задач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54CAA" w14:textId="69D01A76" w:rsidR="00523732" w:rsidRPr="00670684" w:rsidRDefault="00523732" w:rsidP="00716D9D">
            <w:pPr>
              <w:spacing w:before="120" w:after="12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A17D4F">
              <w:rPr>
                <w:rFonts w:ascii="Arial" w:hAnsi="Arial" w:cs="Arial"/>
                <w:lang w:val="ru-RU"/>
              </w:rPr>
              <w:t xml:space="preserve">Пересмотр круга ведения для обеспечения соответствия </w:t>
            </w:r>
            <w:r w:rsidR="00C87CAE">
              <w:rPr>
                <w:rFonts w:ascii="Arial" w:hAnsi="Arial" w:cs="Arial"/>
                <w:lang w:val="ru-RU"/>
              </w:rPr>
              <w:t>с</w:t>
            </w:r>
            <w:r w:rsidRPr="00A17D4F">
              <w:rPr>
                <w:rFonts w:ascii="Arial" w:hAnsi="Arial" w:cs="Arial"/>
                <w:lang w:val="ru-RU"/>
              </w:rPr>
              <w:t>тратегии</w:t>
            </w:r>
          </w:p>
        </w:tc>
      </w:tr>
    </w:tbl>
    <w:p w14:paraId="544A59F9" w14:textId="77777777" w:rsidR="00523732" w:rsidRPr="00A17D4F" w:rsidRDefault="00523732" w:rsidP="00716D9D">
      <w:pPr>
        <w:tabs>
          <w:tab w:val="left" w:pos="567"/>
        </w:tabs>
        <w:spacing w:before="240" w:after="240" w:line="240" w:lineRule="auto"/>
        <w:jc w:val="both"/>
        <w:rPr>
          <w:rFonts w:ascii="Arial" w:eastAsia="Times New Roman" w:hAnsi="Arial" w:cs="Arial"/>
          <w:b/>
          <w:bCs/>
        </w:rPr>
      </w:pPr>
      <w:r w:rsidRPr="00A17D4F">
        <w:rPr>
          <w:rFonts w:ascii="Arial" w:hAnsi="Arial" w:cs="Arial"/>
          <w:b/>
          <w:bCs/>
          <w:lang w:val="ru-RU"/>
        </w:rPr>
        <w:t>Дальнейшие меры</w:t>
      </w:r>
    </w:p>
    <w:p w14:paraId="6ABE9475" w14:textId="6F94233D" w:rsidR="00523732" w:rsidRPr="00670684" w:rsidRDefault="00523732" w:rsidP="00716D9D">
      <w:pPr>
        <w:pStyle w:val="ListParagraph"/>
        <w:numPr>
          <w:ilvl w:val="0"/>
          <w:numId w:val="5"/>
        </w:numPr>
        <w:spacing w:after="240" w:line="240" w:lineRule="auto"/>
        <w:ind w:left="0" w:firstLine="0"/>
        <w:contextualSpacing w:val="0"/>
        <w:rPr>
          <w:rFonts w:cs="Arial"/>
          <w:szCs w:val="22"/>
          <w:lang w:val="ru-RU"/>
        </w:rPr>
      </w:pPr>
      <w:r w:rsidRPr="00A17D4F">
        <w:rPr>
          <w:rFonts w:cs="Arial"/>
          <w:szCs w:val="22"/>
          <w:lang w:val="ru-RU"/>
        </w:rPr>
        <w:t>Первоначальные выводы, представленные в настоящем документе, обсуждались с группами председателей соответствующих органов ГЕБКО. Ввиду сложности задачи и несмотря на значительный прогресс в завершении работы по основным аспектам обзора, Руководящему комитету по ГЕБКО необходимо обсудить итоговый доклад и рекомендации на своем 40-м совещании в ноябре 2023 г., до его рассмотрения головными организациями в 2024 г.</w:t>
      </w:r>
    </w:p>
    <w:sectPr w:rsidR="00523732" w:rsidRPr="00670684" w:rsidSect="00723F9E">
      <w:headerReference w:type="even" r:id="rId9"/>
      <w:headerReference w:type="default" r:id="rId10"/>
      <w:headerReference w:type="first" r:id="rId11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366F" w14:textId="77777777" w:rsidR="007E54F7" w:rsidRDefault="007E54F7" w:rsidP="00173221">
      <w:pPr>
        <w:spacing w:after="0" w:line="240" w:lineRule="auto"/>
      </w:pPr>
      <w:r>
        <w:separator/>
      </w:r>
    </w:p>
  </w:endnote>
  <w:endnote w:type="continuationSeparator" w:id="0">
    <w:p w14:paraId="72972431" w14:textId="77777777" w:rsidR="007E54F7" w:rsidRDefault="007E54F7" w:rsidP="00173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C937C" w14:textId="77777777" w:rsidR="007E54F7" w:rsidRDefault="007E54F7" w:rsidP="00173221">
      <w:pPr>
        <w:spacing w:after="0" w:line="240" w:lineRule="auto"/>
      </w:pPr>
      <w:r>
        <w:separator/>
      </w:r>
    </w:p>
  </w:footnote>
  <w:footnote w:type="continuationSeparator" w:id="0">
    <w:p w14:paraId="7B457C82" w14:textId="77777777" w:rsidR="007E54F7" w:rsidRDefault="007E54F7" w:rsidP="00173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A61FE" w14:textId="0B455993" w:rsidR="002D5222" w:rsidRPr="0097089C" w:rsidRDefault="002D5222">
    <w:pPr>
      <w:pStyle w:val="Header"/>
      <w:rPr>
        <w:rFonts w:ascii="Arial" w:hAnsi="Arial" w:cs="Arial"/>
        <w:sz w:val="22"/>
        <w:szCs w:val="22"/>
      </w:rPr>
    </w:pPr>
    <w:r w:rsidRPr="0097089C">
      <w:rPr>
        <w:rFonts w:ascii="Arial" w:hAnsi="Arial" w:cs="Arial"/>
        <w:sz w:val="22"/>
        <w:szCs w:val="22"/>
      </w:rPr>
      <w:t>IOC</w:t>
    </w:r>
    <w:r w:rsidR="00464C8E">
      <w:rPr>
        <w:rFonts w:ascii="Arial" w:hAnsi="Arial" w:cs="Arial"/>
        <w:sz w:val="22"/>
        <w:szCs w:val="22"/>
      </w:rPr>
      <w:t>/A</w:t>
    </w:r>
    <w:r w:rsidRPr="0097089C">
      <w:rPr>
        <w:rFonts w:ascii="Arial" w:hAnsi="Arial" w:cs="Arial"/>
        <w:sz w:val="22"/>
        <w:szCs w:val="22"/>
      </w:rPr>
      <w:t>-32/4.</w:t>
    </w:r>
    <w:proofErr w:type="gramStart"/>
    <w:r w:rsidR="00A96D7F">
      <w:rPr>
        <w:rFonts w:ascii="Arial" w:hAnsi="Arial" w:cs="Arial"/>
        <w:sz w:val="22"/>
        <w:szCs w:val="22"/>
      </w:rPr>
      <w:t>1</w:t>
    </w:r>
    <w:r w:rsidRPr="0097089C">
      <w:rPr>
        <w:rFonts w:ascii="Arial" w:hAnsi="Arial" w:cs="Arial"/>
        <w:sz w:val="22"/>
        <w:szCs w:val="22"/>
      </w:rPr>
      <w:t>.Doc</w:t>
    </w:r>
    <w:proofErr w:type="gramEnd"/>
    <w:r w:rsidRPr="0097089C">
      <w:rPr>
        <w:rFonts w:ascii="Arial" w:hAnsi="Arial" w:cs="Arial"/>
        <w:sz w:val="22"/>
        <w:szCs w:val="22"/>
      </w:rPr>
      <w:t>(1)</w:t>
    </w:r>
    <w:r>
      <w:rPr>
        <w:rFonts w:ascii="Arial" w:hAnsi="Arial" w:cs="Arial"/>
        <w:sz w:val="22"/>
        <w:szCs w:val="22"/>
      </w:rPr>
      <w:t xml:space="preserve"> – page </w:t>
    </w:r>
    <w:r w:rsidRPr="002D5222">
      <w:rPr>
        <w:rFonts w:ascii="Arial" w:hAnsi="Arial" w:cs="Arial"/>
        <w:sz w:val="22"/>
        <w:szCs w:val="22"/>
      </w:rPr>
      <w:fldChar w:fldCharType="begin"/>
    </w:r>
    <w:r w:rsidRPr="002D5222">
      <w:rPr>
        <w:rFonts w:ascii="Arial" w:hAnsi="Arial" w:cs="Arial"/>
        <w:sz w:val="22"/>
        <w:szCs w:val="22"/>
      </w:rPr>
      <w:instrText xml:space="preserve"> PAGE   \* MERGEFORMAT </w:instrText>
    </w:r>
    <w:r w:rsidRPr="002D5222">
      <w:rPr>
        <w:rFonts w:ascii="Arial" w:hAnsi="Arial" w:cs="Arial"/>
        <w:sz w:val="22"/>
        <w:szCs w:val="22"/>
      </w:rPr>
      <w:fldChar w:fldCharType="separate"/>
    </w:r>
    <w:r w:rsidRPr="002D5222">
      <w:rPr>
        <w:rFonts w:ascii="Arial" w:hAnsi="Arial" w:cs="Arial"/>
        <w:noProof/>
        <w:sz w:val="22"/>
        <w:szCs w:val="22"/>
      </w:rPr>
      <w:t>1</w:t>
    </w:r>
    <w:r w:rsidRPr="002D5222">
      <w:rPr>
        <w:rFonts w:ascii="Arial" w:hAnsi="Arial" w:cs="Arial"/>
        <w:noProof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2546D" w14:textId="146FDB4E" w:rsidR="000826E6" w:rsidRPr="0033641F" w:rsidRDefault="000826E6" w:rsidP="0097089C">
    <w:pPr>
      <w:pStyle w:val="Header"/>
      <w:jc w:val="right"/>
      <w:rPr>
        <w:rFonts w:ascii="Arial" w:hAnsi="Arial" w:cs="Arial"/>
        <w:sz w:val="22"/>
        <w:szCs w:val="22"/>
      </w:rPr>
    </w:pPr>
    <w:r w:rsidRPr="0033641F">
      <w:rPr>
        <w:rFonts w:ascii="Arial" w:hAnsi="Arial" w:cs="Arial"/>
        <w:sz w:val="22"/>
        <w:szCs w:val="22"/>
      </w:rPr>
      <w:t>IOC</w:t>
    </w:r>
    <w:r w:rsidR="00464C8E">
      <w:rPr>
        <w:rFonts w:ascii="Arial" w:hAnsi="Arial" w:cs="Arial"/>
        <w:sz w:val="22"/>
        <w:szCs w:val="22"/>
      </w:rPr>
      <w:t>/A</w:t>
    </w:r>
    <w:r w:rsidRPr="0033641F">
      <w:rPr>
        <w:rFonts w:ascii="Arial" w:hAnsi="Arial" w:cs="Arial"/>
        <w:sz w:val="22"/>
        <w:szCs w:val="22"/>
      </w:rPr>
      <w:t>-32/4.</w:t>
    </w:r>
    <w:proofErr w:type="gramStart"/>
    <w:r w:rsidR="00A96D7F">
      <w:rPr>
        <w:rFonts w:ascii="Arial" w:hAnsi="Arial" w:cs="Arial"/>
        <w:sz w:val="22"/>
        <w:szCs w:val="22"/>
      </w:rPr>
      <w:t>1</w:t>
    </w:r>
    <w:r w:rsidRPr="0033641F">
      <w:rPr>
        <w:rFonts w:ascii="Arial" w:hAnsi="Arial" w:cs="Arial"/>
        <w:sz w:val="22"/>
        <w:szCs w:val="22"/>
      </w:rPr>
      <w:t>.Doc</w:t>
    </w:r>
    <w:proofErr w:type="gramEnd"/>
    <w:r w:rsidRPr="0033641F">
      <w:rPr>
        <w:rFonts w:ascii="Arial" w:hAnsi="Arial" w:cs="Arial"/>
        <w:sz w:val="22"/>
        <w:szCs w:val="22"/>
      </w:rPr>
      <w:t>(1)</w:t>
    </w:r>
    <w:r>
      <w:rPr>
        <w:rFonts w:ascii="Arial" w:hAnsi="Arial" w:cs="Arial"/>
        <w:sz w:val="22"/>
        <w:szCs w:val="22"/>
      </w:rPr>
      <w:t xml:space="preserve"> – page </w:t>
    </w:r>
    <w:r w:rsidRPr="002D5222">
      <w:rPr>
        <w:rFonts w:ascii="Arial" w:hAnsi="Arial" w:cs="Arial"/>
        <w:sz w:val="22"/>
        <w:szCs w:val="22"/>
      </w:rPr>
      <w:fldChar w:fldCharType="begin"/>
    </w:r>
    <w:r w:rsidRPr="002D5222">
      <w:rPr>
        <w:rFonts w:ascii="Arial" w:hAnsi="Arial" w:cs="Arial"/>
        <w:sz w:val="22"/>
        <w:szCs w:val="22"/>
      </w:rPr>
      <w:instrText xml:space="preserve"> PAGE   \* MERGEFORMAT </w:instrText>
    </w:r>
    <w:r w:rsidRPr="002D5222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2</w:t>
    </w:r>
    <w:r w:rsidRPr="002D5222">
      <w:rPr>
        <w:rFonts w:ascii="Arial" w:hAnsi="Arial" w:cs="Arial"/>
        <w:noProof/>
        <w:sz w:val="22"/>
        <w:szCs w:val="22"/>
      </w:rPr>
      <w:fldChar w:fldCharType="end"/>
    </w:r>
  </w:p>
  <w:p w14:paraId="410C058F" w14:textId="77777777" w:rsidR="002D5222" w:rsidRDefault="002D5222" w:rsidP="0097089C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885F4" w14:textId="5E25DA08" w:rsidR="002D5222" w:rsidRPr="00670684" w:rsidRDefault="002D5222" w:rsidP="002D5222">
    <w:pPr>
      <w:pStyle w:val="Marge"/>
      <w:tabs>
        <w:tab w:val="left" w:pos="5670"/>
        <w:tab w:val="left" w:pos="7560"/>
      </w:tabs>
      <w:spacing w:after="0"/>
      <w:rPr>
        <w:rFonts w:asciiTheme="minorBidi" w:hAnsiTheme="minorBidi" w:cstheme="minorBidi"/>
        <w:b/>
        <w:szCs w:val="22"/>
        <w:lang w:val="ru-RU"/>
      </w:rPr>
    </w:pPr>
    <w:r>
      <w:rPr>
        <w:lang w:val="ru-RU"/>
      </w:rPr>
      <w:t>Рассылается по списку</w:t>
    </w:r>
    <w:r>
      <w:rPr>
        <w:lang w:val="ru-RU"/>
      </w:rPr>
      <w:tab/>
    </w:r>
    <w:r w:rsidRPr="00670684">
      <w:rPr>
        <w:rFonts w:asciiTheme="minorBidi" w:hAnsiTheme="minorBidi" w:cstheme="minorBidi"/>
        <w:b/>
        <w:bCs/>
        <w:sz w:val="36"/>
        <w:szCs w:val="36"/>
        <w:lang w:val="ru-RU"/>
      </w:rPr>
      <w:t>IOC</w:t>
    </w:r>
    <w:r w:rsidR="00464C8E" w:rsidRPr="00464C8E">
      <w:rPr>
        <w:rFonts w:asciiTheme="minorBidi" w:hAnsiTheme="minorBidi" w:cstheme="minorBidi"/>
        <w:b/>
        <w:bCs/>
        <w:sz w:val="36"/>
        <w:szCs w:val="36"/>
        <w:lang w:val="ru-RU"/>
      </w:rPr>
      <w:t>/</w:t>
    </w:r>
    <w:r w:rsidR="00464C8E">
      <w:rPr>
        <w:rFonts w:asciiTheme="minorBidi" w:hAnsiTheme="minorBidi" w:cstheme="minorBidi"/>
        <w:b/>
        <w:bCs/>
        <w:sz w:val="36"/>
        <w:szCs w:val="36"/>
        <w:lang w:val="en-US"/>
      </w:rPr>
      <w:t>A</w:t>
    </w:r>
    <w:r w:rsidRPr="00670684">
      <w:rPr>
        <w:rFonts w:asciiTheme="minorBidi" w:hAnsiTheme="minorBidi" w:cstheme="minorBidi"/>
        <w:b/>
        <w:bCs/>
        <w:sz w:val="36"/>
        <w:szCs w:val="36"/>
        <w:lang w:val="ru-RU"/>
      </w:rPr>
      <w:t>-32/4.1.Doc(1)</w:t>
    </w:r>
  </w:p>
  <w:p w14:paraId="4917E1FE" w14:textId="4D845A7E" w:rsidR="002D5222" w:rsidRPr="00670684" w:rsidRDefault="002D5222" w:rsidP="002D5222">
    <w:pPr>
      <w:tabs>
        <w:tab w:val="left" w:pos="5670"/>
        <w:tab w:val="left" w:pos="7560"/>
      </w:tabs>
      <w:spacing w:after="0" w:line="240" w:lineRule="auto"/>
      <w:jc w:val="both"/>
      <w:rPr>
        <w:rFonts w:asciiTheme="minorBidi" w:hAnsiTheme="minorBidi"/>
        <w:lang w:val="ru-RU"/>
      </w:rPr>
    </w:pPr>
    <w:r w:rsidRPr="00670684">
      <w:rPr>
        <w:rFonts w:asciiTheme="minorBidi" w:hAnsiTheme="minorBidi"/>
        <w:noProof/>
        <w:lang w:val="ru-RU"/>
      </w:rPr>
      <w:drawing>
        <wp:anchor distT="0" distB="0" distL="114300" distR="114300" simplePos="0" relativeHeight="251658240" behindDoc="0" locked="0" layoutInCell="1" allowOverlap="1" wp14:anchorId="357B803A" wp14:editId="5DF2FBFF">
          <wp:simplePos x="0" y="0"/>
          <wp:positionH relativeFrom="column">
            <wp:posOffset>-19685</wp:posOffset>
          </wp:positionH>
          <wp:positionV relativeFrom="paragraph">
            <wp:posOffset>101600</wp:posOffset>
          </wp:positionV>
          <wp:extent cx="1578610" cy="1047115"/>
          <wp:effectExtent l="0" t="0" r="2540" b="635"/>
          <wp:wrapSquare wrapText="bothSides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0684">
      <w:rPr>
        <w:rFonts w:asciiTheme="minorBidi" w:hAnsiTheme="minorBidi"/>
        <w:lang w:val="ru-RU"/>
      </w:rPr>
      <w:tab/>
      <w:t>Париж, 29 мая 2023 г.</w:t>
    </w:r>
  </w:p>
  <w:p w14:paraId="3445ACF5" w14:textId="77777777" w:rsidR="002D5222" w:rsidRPr="00670684" w:rsidRDefault="002D5222" w:rsidP="002D5222">
    <w:pPr>
      <w:tabs>
        <w:tab w:val="left" w:pos="5670"/>
        <w:tab w:val="left" w:pos="7560"/>
      </w:tabs>
      <w:spacing w:after="0" w:line="240" w:lineRule="auto"/>
      <w:jc w:val="both"/>
      <w:rPr>
        <w:rFonts w:asciiTheme="minorBidi" w:hAnsiTheme="minorBidi"/>
        <w:lang w:val="ru-RU"/>
      </w:rPr>
    </w:pPr>
    <w:r w:rsidRPr="00670684">
      <w:rPr>
        <w:rFonts w:asciiTheme="minorBidi" w:hAnsiTheme="minorBidi"/>
        <w:lang w:val="ru-RU"/>
      </w:rPr>
      <w:tab/>
      <w:t>Оригинал: английский</w:t>
    </w:r>
  </w:p>
  <w:p w14:paraId="70090B1E" w14:textId="77777777" w:rsidR="002D5222" w:rsidRPr="00670684" w:rsidRDefault="002D5222" w:rsidP="002D5222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245"/>
        <w:tab w:val="left" w:pos="5523"/>
        <w:tab w:val="left" w:pos="5670"/>
        <w:tab w:val="left" w:pos="5812"/>
        <w:tab w:val="left" w:pos="7020"/>
        <w:tab w:val="left" w:pos="7088"/>
      </w:tabs>
      <w:jc w:val="both"/>
      <w:rPr>
        <w:rFonts w:asciiTheme="minorBidi" w:hAnsiTheme="minorBidi"/>
        <w:b/>
        <w:lang w:val="ru-RU"/>
      </w:rPr>
    </w:pPr>
  </w:p>
  <w:p w14:paraId="25FC6F1E" w14:textId="77777777" w:rsidR="002D5222" w:rsidRPr="00670684" w:rsidRDefault="002D5222" w:rsidP="002D5222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Theme="minorBidi" w:hAnsiTheme="minorBidi"/>
        <w:b/>
        <w:lang w:val="ru-RU"/>
      </w:rPr>
    </w:pPr>
  </w:p>
  <w:p w14:paraId="603F970E" w14:textId="77777777" w:rsidR="002D5222" w:rsidRPr="00670684" w:rsidRDefault="002D5222" w:rsidP="002D5222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Theme="minorBidi" w:hAnsiTheme="minorBidi"/>
        <w:b/>
        <w:lang w:val="ru-RU"/>
      </w:rPr>
    </w:pPr>
  </w:p>
  <w:p w14:paraId="5017C654" w14:textId="77777777" w:rsidR="002D5222" w:rsidRPr="00670684" w:rsidRDefault="002D5222" w:rsidP="002D5222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Theme="minorBidi" w:hAnsiTheme="minorBidi"/>
        <w:b/>
        <w:lang w:val="ru-RU"/>
      </w:rPr>
    </w:pPr>
  </w:p>
  <w:p w14:paraId="3B207429" w14:textId="77777777" w:rsidR="002D5222" w:rsidRPr="00670684" w:rsidRDefault="002D5222" w:rsidP="002D5222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spacing w:after="0" w:line="240" w:lineRule="auto"/>
      <w:jc w:val="center"/>
      <w:rPr>
        <w:rFonts w:asciiTheme="minorBidi" w:hAnsiTheme="minorBidi"/>
        <w:b/>
        <w:lang w:val="ru-RU"/>
      </w:rPr>
    </w:pPr>
    <w:r w:rsidRPr="00670684">
      <w:rPr>
        <w:rFonts w:asciiTheme="minorBidi" w:hAnsiTheme="minorBidi"/>
        <w:b/>
        <w:bCs/>
        <w:lang w:val="ru-RU"/>
      </w:rPr>
      <w:t>МЕЖПРАВИТЕЛЬСТВЕННАЯ ОКЕАНОГРАФИЧЕСКАЯ КОМИССИЯ</w:t>
    </w:r>
  </w:p>
  <w:p w14:paraId="67151518" w14:textId="77777777" w:rsidR="002D5222" w:rsidRPr="00670684" w:rsidRDefault="002D5222" w:rsidP="002D5222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spacing w:after="0" w:line="240" w:lineRule="auto"/>
      <w:jc w:val="center"/>
      <w:rPr>
        <w:rFonts w:asciiTheme="minorBidi" w:hAnsiTheme="minorBidi"/>
        <w:bCs/>
        <w:lang w:val="ru-RU"/>
      </w:rPr>
    </w:pPr>
    <w:r w:rsidRPr="00670684">
      <w:rPr>
        <w:rFonts w:asciiTheme="minorBidi" w:hAnsiTheme="minorBidi"/>
        <w:lang w:val="ru-RU"/>
      </w:rPr>
      <w:t>(ЮНЕСКО)</w:t>
    </w:r>
  </w:p>
  <w:p w14:paraId="2ED72F82" w14:textId="77777777" w:rsidR="002D5222" w:rsidRPr="00670684" w:rsidRDefault="002D5222" w:rsidP="002D5222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spacing w:after="0" w:line="240" w:lineRule="auto"/>
      <w:jc w:val="center"/>
      <w:rPr>
        <w:rFonts w:asciiTheme="minorBidi" w:hAnsiTheme="minorBidi"/>
        <w:b/>
        <w:lang w:val="ru-RU"/>
      </w:rPr>
    </w:pPr>
  </w:p>
  <w:p w14:paraId="10465663" w14:textId="77777777" w:rsidR="002D5222" w:rsidRPr="00670684" w:rsidRDefault="002D5222" w:rsidP="002D5222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spacing w:after="0" w:line="240" w:lineRule="auto"/>
      <w:jc w:val="center"/>
      <w:rPr>
        <w:rFonts w:asciiTheme="minorBidi" w:hAnsiTheme="minorBidi"/>
        <w:b/>
        <w:lang w:val="ru-RU"/>
      </w:rPr>
    </w:pPr>
    <w:r w:rsidRPr="00670684">
      <w:rPr>
        <w:rFonts w:asciiTheme="minorBidi" w:hAnsiTheme="minorBidi"/>
        <w:b/>
        <w:bCs/>
        <w:lang w:val="ru-RU"/>
      </w:rPr>
      <w:t>Тридцать вторая сессия Ассамблеи</w:t>
    </w:r>
  </w:p>
  <w:p w14:paraId="756CC45E" w14:textId="77777777" w:rsidR="002D5222" w:rsidRPr="00670684" w:rsidRDefault="002D5222" w:rsidP="002D5222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spacing w:after="0" w:line="240" w:lineRule="auto"/>
      <w:jc w:val="center"/>
      <w:rPr>
        <w:rFonts w:asciiTheme="minorBidi" w:hAnsiTheme="minorBidi"/>
        <w:lang w:val="ru-RU"/>
      </w:rPr>
    </w:pPr>
    <w:r w:rsidRPr="00670684">
      <w:rPr>
        <w:rFonts w:asciiTheme="minorBidi" w:hAnsiTheme="minorBidi"/>
        <w:lang w:val="ru-RU"/>
      </w:rPr>
      <w:t>ЮНЕСКО, 21-30 июня 2023 г.</w:t>
    </w:r>
  </w:p>
  <w:p w14:paraId="68B63106" w14:textId="77777777" w:rsidR="002D5222" w:rsidRPr="00670684" w:rsidRDefault="002D5222" w:rsidP="002D5222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spacing w:after="0" w:line="240" w:lineRule="auto"/>
      <w:jc w:val="center"/>
      <w:rPr>
        <w:rFonts w:asciiTheme="minorBidi" w:hAnsiTheme="minorBidi"/>
        <w:bCs/>
        <w:lang w:val="ru-RU"/>
      </w:rPr>
    </w:pPr>
  </w:p>
  <w:p w14:paraId="30839C28" w14:textId="77777777" w:rsidR="002D5222" w:rsidRPr="00670684" w:rsidRDefault="002D5222" w:rsidP="002D5222">
    <w:pPr>
      <w:spacing w:after="0" w:line="240" w:lineRule="auto"/>
      <w:jc w:val="center"/>
      <w:rPr>
        <w:rFonts w:asciiTheme="minorBidi" w:hAnsiTheme="minorBidi"/>
        <w:lang w:val="ru-RU"/>
      </w:rPr>
    </w:pPr>
  </w:p>
  <w:p w14:paraId="440A705D" w14:textId="77777777" w:rsidR="002D5222" w:rsidRPr="00670684" w:rsidRDefault="002D5222" w:rsidP="002D5222">
    <w:pPr>
      <w:spacing w:after="0" w:line="240" w:lineRule="auto"/>
      <w:jc w:val="center"/>
      <w:rPr>
        <w:rFonts w:asciiTheme="minorBidi" w:hAnsiTheme="minorBidi"/>
        <w:lang w:val="ru-RU"/>
      </w:rPr>
    </w:pPr>
  </w:p>
  <w:p w14:paraId="5F8584B6" w14:textId="77777777" w:rsidR="002D5222" w:rsidRPr="00670684" w:rsidRDefault="002D5222" w:rsidP="002D5222">
    <w:pPr>
      <w:spacing w:after="0" w:line="240" w:lineRule="auto"/>
      <w:jc w:val="center"/>
      <w:rPr>
        <w:rFonts w:asciiTheme="minorBidi" w:hAnsiTheme="minorBidi"/>
        <w:lang w:val="ru-RU"/>
      </w:rPr>
    </w:pPr>
  </w:p>
  <w:p w14:paraId="7F816350" w14:textId="77777777" w:rsidR="002D5222" w:rsidRPr="00670684" w:rsidRDefault="002D5222" w:rsidP="002D5222">
    <w:pPr>
      <w:spacing w:after="0" w:line="240" w:lineRule="auto"/>
      <w:jc w:val="center"/>
      <w:rPr>
        <w:rFonts w:cs="Arial"/>
        <w:lang w:val="ru-RU"/>
      </w:rPr>
    </w:pPr>
  </w:p>
  <w:p w14:paraId="21CBF9BD" w14:textId="071A1497" w:rsidR="002D5222" w:rsidRPr="00670684" w:rsidRDefault="002D5222" w:rsidP="002D5222">
    <w:pPr>
      <w:pStyle w:val="Heading7"/>
      <w:tabs>
        <w:tab w:val="clear" w:pos="567"/>
        <w:tab w:val="right" w:pos="9540"/>
      </w:tabs>
      <w:spacing w:line="240" w:lineRule="auto"/>
      <w:rPr>
        <w:rFonts w:asciiTheme="minorBidi" w:hAnsiTheme="minorBidi" w:cstheme="minorBidi"/>
        <w:szCs w:val="22"/>
        <w:lang w:val="ru-RU"/>
      </w:rPr>
    </w:pPr>
    <w:r>
      <w:rPr>
        <w:lang w:val="ru-RU"/>
      </w:rPr>
      <w:t xml:space="preserve">Пункт </w:t>
    </w:r>
    <w:r>
      <w:rPr>
        <w:b/>
        <w:bCs/>
        <w:lang w:val="ru-RU"/>
      </w:rPr>
      <w:t>4.1</w:t>
    </w:r>
    <w:r>
      <w:rPr>
        <w:lang w:val="ru-RU"/>
      </w:rPr>
      <w:t xml:space="preserve"> предварительной повестки дня</w:t>
    </w:r>
  </w:p>
  <w:p w14:paraId="29387CF0" w14:textId="77777777" w:rsidR="002D5222" w:rsidRPr="00670684" w:rsidRDefault="002D5222" w:rsidP="002D5222">
    <w:pPr>
      <w:spacing w:after="0" w:line="240" w:lineRule="auto"/>
      <w:rPr>
        <w:rFonts w:cs="Arial"/>
        <w:lang w:val="ru-RU"/>
      </w:rPr>
    </w:pPr>
  </w:p>
  <w:p w14:paraId="771DBC48" w14:textId="77777777" w:rsidR="002D5222" w:rsidRPr="00670684" w:rsidRDefault="002D5222" w:rsidP="002D5222">
    <w:pPr>
      <w:spacing w:after="0" w:line="240" w:lineRule="auto"/>
      <w:rPr>
        <w:rFonts w:cs="Arial"/>
        <w:lang w:val="ru-RU"/>
      </w:rPr>
    </w:pPr>
  </w:p>
  <w:p w14:paraId="4ACCFFBB" w14:textId="22380417" w:rsidR="002D5222" w:rsidRPr="00670684" w:rsidRDefault="00523732" w:rsidP="002D5222">
    <w:pPr>
      <w:pStyle w:val="Docheading"/>
      <w:rPr>
        <w:sz w:val="28"/>
        <w:szCs w:val="28"/>
        <w:lang w:val="ru-RU"/>
      </w:rPr>
    </w:pPr>
    <w:r w:rsidRPr="00670684">
      <w:rPr>
        <w:sz w:val="28"/>
        <w:szCs w:val="28"/>
        <w:lang w:val="ru-RU"/>
      </w:rPr>
      <w:t>Д</w:t>
    </w:r>
    <w:r w:rsidR="00670684" w:rsidRPr="00670684">
      <w:rPr>
        <w:sz w:val="28"/>
        <w:szCs w:val="28"/>
        <w:lang w:val="ru-RU"/>
      </w:rPr>
      <w:t>оклад о ходе проведения обзора управления</w:t>
    </w:r>
    <w:r w:rsidRPr="00670684">
      <w:rPr>
        <w:sz w:val="28"/>
        <w:szCs w:val="28"/>
        <w:lang w:val="ru-RU"/>
      </w:rPr>
      <w:t xml:space="preserve"> ГЕБКО (2023 </w:t>
    </w:r>
    <w:r w:rsidR="00670684" w:rsidRPr="00670684">
      <w:rPr>
        <w:sz w:val="28"/>
        <w:szCs w:val="28"/>
        <w:lang w:val="ru-RU"/>
      </w:rPr>
      <w:t>г</w:t>
    </w:r>
    <w:r w:rsidRPr="00670684">
      <w:rPr>
        <w:sz w:val="28"/>
        <w:szCs w:val="28"/>
        <w:lang w:val="ru-RU"/>
      </w:rPr>
      <w:t>.)</w:t>
    </w:r>
  </w:p>
  <w:p w14:paraId="51AC81AA" w14:textId="77777777" w:rsidR="002D5222" w:rsidRPr="00670684" w:rsidRDefault="002D5222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C18A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FD1B24"/>
    <w:multiLevelType w:val="hybridMultilevel"/>
    <w:tmpl w:val="8FA8CC8A"/>
    <w:lvl w:ilvl="0" w:tplc="1BF863B4">
      <w:start w:val="1"/>
      <w:numFmt w:val="decimal"/>
      <w:lvlText w:val="%1."/>
      <w:lvlJc w:val="left"/>
      <w:pPr>
        <w:ind w:left="8100" w:hanging="360"/>
      </w:pPr>
      <w:rPr>
        <w:rFonts w:ascii="Arial" w:hAnsi="Arial" w:cs="Arial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7110" w:hanging="360"/>
      </w:pPr>
    </w:lvl>
    <w:lvl w:ilvl="2" w:tplc="0809001B" w:tentative="1">
      <w:start w:val="1"/>
      <w:numFmt w:val="lowerRoman"/>
      <w:lvlText w:val="%3."/>
      <w:lvlJc w:val="right"/>
      <w:pPr>
        <w:ind w:left="7830" w:hanging="180"/>
      </w:pPr>
    </w:lvl>
    <w:lvl w:ilvl="3" w:tplc="0809000F" w:tentative="1">
      <w:start w:val="1"/>
      <w:numFmt w:val="decimal"/>
      <w:lvlText w:val="%4."/>
      <w:lvlJc w:val="left"/>
      <w:pPr>
        <w:ind w:left="8550" w:hanging="360"/>
      </w:pPr>
    </w:lvl>
    <w:lvl w:ilvl="4" w:tplc="08090019" w:tentative="1">
      <w:start w:val="1"/>
      <w:numFmt w:val="lowerLetter"/>
      <w:lvlText w:val="%5."/>
      <w:lvlJc w:val="left"/>
      <w:pPr>
        <w:ind w:left="9270" w:hanging="360"/>
      </w:pPr>
    </w:lvl>
    <w:lvl w:ilvl="5" w:tplc="0809001B" w:tentative="1">
      <w:start w:val="1"/>
      <w:numFmt w:val="lowerRoman"/>
      <w:lvlText w:val="%6."/>
      <w:lvlJc w:val="right"/>
      <w:pPr>
        <w:ind w:left="9990" w:hanging="180"/>
      </w:pPr>
    </w:lvl>
    <w:lvl w:ilvl="6" w:tplc="0809000F" w:tentative="1">
      <w:start w:val="1"/>
      <w:numFmt w:val="decimal"/>
      <w:lvlText w:val="%7."/>
      <w:lvlJc w:val="left"/>
      <w:pPr>
        <w:ind w:left="10710" w:hanging="360"/>
      </w:pPr>
    </w:lvl>
    <w:lvl w:ilvl="7" w:tplc="08090019" w:tentative="1">
      <w:start w:val="1"/>
      <w:numFmt w:val="lowerLetter"/>
      <w:lvlText w:val="%8."/>
      <w:lvlJc w:val="left"/>
      <w:pPr>
        <w:ind w:left="11430" w:hanging="360"/>
      </w:pPr>
    </w:lvl>
    <w:lvl w:ilvl="8" w:tplc="0809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2" w15:restartNumberingAfterBreak="0">
    <w:nsid w:val="63213DA8"/>
    <w:multiLevelType w:val="hybridMultilevel"/>
    <w:tmpl w:val="0C8CB9BA"/>
    <w:lvl w:ilvl="0" w:tplc="39BC45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E4C50"/>
    <w:multiLevelType w:val="hybridMultilevel"/>
    <w:tmpl w:val="0D0CF51C"/>
    <w:lvl w:ilvl="0" w:tplc="F022E4D6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16554"/>
    <w:multiLevelType w:val="hybridMultilevel"/>
    <w:tmpl w:val="28BE8246"/>
    <w:lvl w:ilvl="0" w:tplc="460CBEE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421110">
    <w:abstractNumId w:val="1"/>
  </w:num>
  <w:num w:numId="2" w16cid:durableId="434177106">
    <w:abstractNumId w:val="3"/>
  </w:num>
  <w:num w:numId="3" w16cid:durableId="1515417883">
    <w:abstractNumId w:val="0"/>
  </w:num>
  <w:num w:numId="4" w16cid:durableId="1348945217">
    <w:abstractNumId w:val="2"/>
  </w:num>
  <w:num w:numId="5" w16cid:durableId="548608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revisionView w:markup="0"/>
  <w:defaultTabStop w:val="708"/>
  <w:autoHyphenation/>
  <w:hyphenationZone w:val="425"/>
  <w:doNotHyphenateCaps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D1"/>
    <w:rsid w:val="00020701"/>
    <w:rsid w:val="000826E6"/>
    <w:rsid w:val="00111EFD"/>
    <w:rsid w:val="00173221"/>
    <w:rsid w:val="001B0854"/>
    <w:rsid w:val="001F4025"/>
    <w:rsid w:val="001F556F"/>
    <w:rsid w:val="00215C33"/>
    <w:rsid w:val="00217FED"/>
    <w:rsid w:val="00270226"/>
    <w:rsid w:val="002704AD"/>
    <w:rsid w:val="002D5222"/>
    <w:rsid w:val="00337667"/>
    <w:rsid w:val="00365312"/>
    <w:rsid w:val="003C311B"/>
    <w:rsid w:val="003C469D"/>
    <w:rsid w:val="00464C8E"/>
    <w:rsid w:val="0049601F"/>
    <w:rsid w:val="00496C20"/>
    <w:rsid w:val="004F2D93"/>
    <w:rsid w:val="00523732"/>
    <w:rsid w:val="00593E3B"/>
    <w:rsid w:val="005C5A42"/>
    <w:rsid w:val="005D6B3D"/>
    <w:rsid w:val="005F3174"/>
    <w:rsid w:val="0060561B"/>
    <w:rsid w:val="00665260"/>
    <w:rsid w:val="00670684"/>
    <w:rsid w:val="00685BAE"/>
    <w:rsid w:val="006A1313"/>
    <w:rsid w:val="006B072C"/>
    <w:rsid w:val="006B6850"/>
    <w:rsid w:val="006F12AE"/>
    <w:rsid w:val="00716D9D"/>
    <w:rsid w:val="00723F9E"/>
    <w:rsid w:val="00727D37"/>
    <w:rsid w:val="00756677"/>
    <w:rsid w:val="00774583"/>
    <w:rsid w:val="007D53EA"/>
    <w:rsid w:val="007D5C47"/>
    <w:rsid w:val="007E3CD1"/>
    <w:rsid w:val="007E54F7"/>
    <w:rsid w:val="007E5ED7"/>
    <w:rsid w:val="008470B5"/>
    <w:rsid w:val="00850AC5"/>
    <w:rsid w:val="008837E6"/>
    <w:rsid w:val="00884179"/>
    <w:rsid w:val="008C0037"/>
    <w:rsid w:val="008F7BBE"/>
    <w:rsid w:val="00963329"/>
    <w:rsid w:val="0097089C"/>
    <w:rsid w:val="00983B66"/>
    <w:rsid w:val="009873AA"/>
    <w:rsid w:val="009A73E8"/>
    <w:rsid w:val="009D2665"/>
    <w:rsid w:val="009E68A0"/>
    <w:rsid w:val="00A17D4F"/>
    <w:rsid w:val="00A44DEC"/>
    <w:rsid w:val="00A46D8E"/>
    <w:rsid w:val="00A51998"/>
    <w:rsid w:val="00A601DB"/>
    <w:rsid w:val="00A9344F"/>
    <w:rsid w:val="00A96D7F"/>
    <w:rsid w:val="00B00804"/>
    <w:rsid w:val="00B05C31"/>
    <w:rsid w:val="00BB6E95"/>
    <w:rsid w:val="00BD663E"/>
    <w:rsid w:val="00BE30D2"/>
    <w:rsid w:val="00C577BB"/>
    <w:rsid w:val="00C806B9"/>
    <w:rsid w:val="00C87CAE"/>
    <w:rsid w:val="00CB17C6"/>
    <w:rsid w:val="00D634EF"/>
    <w:rsid w:val="00D81A98"/>
    <w:rsid w:val="00D96148"/>
    <w:rsid w:val="00D96D82"/>
    <w:rsid w:val="00DA27C5"/>
    <w:rsid w:val="00DF4243"/>
    <w:rsid w:val="00DF4B42"/>
    <w:rsid w:val="00E047C7"/>
    <w:rsid w:val="00E31BD3"/>
    <w:rsid w:val="00E6363A"/>
    <w:rsid w:val="00E70FD3"/>
    <w:rsid w:val="00E97DCA"/>
    <w:rsid w:val="00EA7830"/>
    <w:rsid w:val="00EA7C6C"/>
    <w:rsid w:val="00EB14F0"/>
    <w:rsid w:val="00ED3341"/>
    <w:rsid w:val="00F37FA1"/>
    <w:rsid w:val="00F609F1"/>
    <w:rsid w:val="00FA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DAAEB"/>
  <w15:chartTrackingRefBased/>
  <w15:docId w15:val="{D6D6BA5A-C928-413D-ADC3-7F7DAE24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7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6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2D5222"/>
    <w:pPr>
      <w:keepNext/>
      <w:tabs>
        <w:tab w:val="left" w:pos="567"/>
      </w:tabs>
      <w:snapToGrid w:val="0"/>
      <w:spacing w:after="0" w:line="360" w:lineRule="atLeast"/>
      <w:outlineLvl w:val="6"/>
    </w:pPr>
    <w:rPr>
      <w:rFonts w:ascii="Arial" w:eastAsia="Times New Roman" w:hAnsi="Arial" w:cs="Times New Roman"/>
      <w:snapToGrid w:val="0"/>
      <w:szCs w:val="24"/>
      <w:u w:val="single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E3CD1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E3CD1"/>
    <w:pPr>
      <w:widowControl w:val="0"/>
      <w:tabs>
        <w:tab w:val="left" w:pos="567"/>
      </w:tabs>
      <w:adjustRightInd w:val="0"/>
      <w:snapToGrid w:val="0"/>
      <w:spacing w:after="0" w:line="360" w:lineRule="atLeast"/>
      <w:ind w:left="720"/>
      <w:contextualSpacing/>
      <w:jc w:val="both"/>
      <w:textAlignment w:val="baseline"/>
    </w:pPr>
    <w:rPr>
      <w:rFonts w:ascii="Arial" w:eastAsia="Times New Roman" w:hAnsi="Arial" w:cs="Times New Roman"/>
      <w:snapToGrid w:val="0"/>
      <w:szCs w:val="24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7E3CD1"/>
    <w:rPr>
      <w:rFonts w:ascii="Arial" w:eastAsia="Times New Roman" w:hAnsi="Arial" w:cs="Times New Roman"/>
      <w:snapToGrid w:val="0"/>
      <w:szCs w:val="24"/>
      <w:lang w:val="en-GB" w:eastAsia="en-US"/>
    </w:rPr>
  </w:style>
  <w:style w:type="paragraph" w:customStyle="1" w:styleId="Style2">
    <w:name w:val="Style2"/>
    <w:basedOn w:val="Normal"/>
    <w:link w:val="Style2Car"/>
    <w:qFormat/>
    <w:rsid w:val="009873AA"/>
    <w:pPr>
      <w:shd w:val="clear" w:color="auto" w:fill="FFFFFF"/>
      <w:tabs>
        <w:tab w:val="num" w:pos="1400"/>
      </w:tabs>
      <w:spacing w:after="240" w:line="240" w:lineRule="auto"/>
      <w:ind w:left="720"/>
      <w:jc w:val="both"/>
    </w:pPr>
    <w:rPr>
      <w:rFonts w:ascii="Arial" w:eastAsia="Times New Roman" w:hAnsi="Arial" w:cs="Times New Roman"/>
      <w:iCs/>
      <w:snapToGrid w:val="0"/>
      <w:lang w:val="en-GB" w:eastAsia="en-US"/>
    </w:rPr>
  </w:style>
  <w:style w:type="character" w:customStyle="1" w:styleId="Style2Car">
    <w:name w:val="Style2 Car"/>
    <w:basedOn w:val="DefaultParagraphFont"/>
    <w:link w:val="Style2"/>
    <w:rsid w:val="009873AA"/>
    <w:rPr>
      <w:rFonts w:ascii="Arial" w:eastAsia="Times New Roman" w:hAnsi="Arial" w:cs="Times New Roman"/>
      <w:iCs/>
      <w:snapToGrid w:val="0"/>
      <w:shd w:val="clear" w:color="auto" w:fill="FFFFFF"/>
      <w:lang w:val="en-GB" w:eastAsia="en-US"/>
    </w:rPr>
  </w:style>
  <w:style w:type="paragraph" w:styleId="Header">
    <w:name w:val="header"/>
    <w:basedOn w:val="Normal"/>
    <w:link w:val="HeaderChar"/>
    <w:uiPriority w:val="99"/>
    <w:rsid w:val="00E047C7"/>
    <w:pPr>
      <w:tabs>
        <w:tab w:val="left" w:pos="567"/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047C7"/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73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221"/>
  </w:style>
  <w:style w:type="table" w:styleId="TableGrid">
    <w:name w:val="Table Grid"/>
    <w:basedOn w:val="TableNormal"/>
    <w:rsid w:val="0017322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rsid w:val="002D5222"/>
    <w:rPr>
      <w:rFonts w:ascii="Arial" w:eastAsia="Times New Roman" w:hAnsi="Arial" w:cs="Times New Roman"/>
      <w:snapToGrid w:val="0"/>
      <w:szCs w:val="24"/>
      <w:u w:val="single"/>
      <w:lang w:val="en-GB" w:eastAsia="en-US"/>
    </w:rPr>
  </w:style>
  <w:style w:type="paragraph" w:customStyle="1" w:styleId="Marge">
    <w:name w:val="Marge"/>
    <w:basedOn w:val="Normal"/>
    <w:link w:val="MargeChar"/>
    <w:uiPriority w:val="99"/>
    <w:rsid w:val="002D5222"/>
    <w:pPr>
      <w:tabs>
        <w:tab w:val="left" w:pos="567"/>
      </w:tabs>
      <w:snapToGrid w:val="0"/>
      <w:spacing w:after="240" w:line="240" w:lineRule="auto"/>
      <w:jc w:val="both"/>
    </w:pPr>
    <w:rPr>
      <w:rFonts w:ascii="Arial" w:eastAsia="Times New Roman" w:hAnsi="Arial" w:cs="Times New Roman"/>
      <w:snapToGrid w:val="0"/>
      <w:szCs w:val="24"/>
      <w:lang w:val="en-GB" w:eastAsia="en-US"/>
    </w:rPr>
  </w:style>
  <w:style w:type="paragraph" w:customStyle="1" w:styleId="Docheading">
    <w:name w:val="Doc. heading"/>
    <w:basedOn w:val="Header"/>
    <w:rsid w:val="002D5222"/>
    <w:pPr>
      <w:spacing w:after="480"/>
      <w:jc w:val="center"/>
    </w:pPr>
    <w:rPr>
      <w:rFonts w:ascii="Arial" w:hAnsi="Arial" w:cs="Arial"/>
      <w:b/>
      <w:bCs/>
    </w:rPr>
  </w:style>
  <w:style w:type="character" w:customStyle="1" w:styleId="MargeChar">
    <w:name w:val="Marge Char"/>
    <w:basedOn w:val="DefaultParagraphFont"/>
    <w:link w:val="Marge"/>
    <w:uiPriority w:val="99"/>
    <w:rsid w:val="002D5222"/>
    <w:rPr>
      <w:rFonts w:ascii="Arial" w:eastAsia="Times New Roman" w:hAnsi="Arial" w:cs="Times New Roman"/>
      <w:snapToGrid w:val="0"/>
      <w:szCs w:val="24"/>
      <w:lang w:val="en-GB" w:eastAsia="en-US"/>
    </w:rPr>
  </w:style>
  <w:style w:type="paragraph" w:styleId="Revision">
    <w:name w:val="Revision"/>
    <w:hidden/>
    <w:uiPriority w:val="99"/>
    <w:semiHidden/>
    <w:rsid w:val="002D522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826E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99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998"/>
    <w:rPr>
      <w:rFonts w:ascii="Times New Roman" w:hAnsi="Times New Roman" w:cs="Times New Roman"/>
      <w:sz w:val="18"/>
      <w:szCs w:val="18"/>
    </w:rPr>
  </w:style>
  <w:style w:type="paragraph" w:styleId="Caption">
    <w:name w:val="caption"/>
    <w:basedOn w:val="Normal"/>
    <w:next w:val="Normal"/>
    <w:unhideWhenUsed/>
    <w:qFormat/>
    <w:rsid w:val="00523732"/>
    <w:pPr>
      <w:spacing w:after="0" w:line="240" w:lineRule="auto"/>
    </w:pPr>
    <w:rPr>
      <w:rFonts w:ascii="Times New Roman" w:eastAsia="MS Mincho" w:hAnsi="Times New Roman" w:cs="Times New Roman"/>
      <w:b/>
      <w:bCs/>
      <w:sz w:val="20"/>
      <w:szCs w:val="20"/>
      <w:lang w:val="en-GB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66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7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ceanexpert.org/document/3046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9</Pages>
  <Words>2158</Words>
  <Characters>14900</Characters>
  <Application>Microsoft Office Word</Application>
  <DocSecurity>0</DocSecurity>
  <Lines>464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Доклад о ходе проведения обзора управления ГЕБКО (2023 г.)</vt:lpstr>
    </vt:vector>
  </TitlesOfParts>
  <Company>UNESCO</Company>
  <LinksUpToDate>false</LinksUpToDate>
  <CharactersWithSpaces>16923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 ходе проведения обзора управления ГЕБКО (2023 г.)</dc:title>
  <dc:subject>IOC/A-32/4.1.DOC(1)</dc:subject>
  <dc:creator>Clausen, Alison</dc:creator>
  <cp:keywords>0</cp:keywords>
  <dc:description/>
  <cp:lastModifiedBy>Chakhvorostova, Valentina</cp:lastModifiedBy>
  <cp:revision>16</cp:revision>
  <dcterms:created xsi:type="dcterms:W3CDTF">2023-06-05T12:40:00Z</dcterms:created>
  <dcterms:modified xsi:type="dcterms:W3CDTF">2023-06-05T15:02:00Z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With">
    <vt:lpwstr>Mercury</vt:lpwstr>
  </property>
  <property fmtid="{D5CDD505-2E9C-101B-9397-08002B2CF9AE}" pid="3" name="GeneratedBy">
    <vt:lpwstr>a_zaytseva</vt:lpwstr>
  </property>
  <property fmtid="{D5CDD505-2E9C-101B-9397-08002B2CF9AE}" pid="4" name="GeneratedDate">
    <vt:lpwstr>06/02/2023 15:36:51</vt:lpwstr>
  </property>
  <property fmtid="{D5CDD505-2E9C-101B-9397-08002B2CF9AE}" pid="5" name="OriginalDocID">
    <vt:lpwstr>f64240ba-8921-48c9-b8e3-bc2c83ee1ddd</vt:lpwstr>
  </property>
  <property fmtid="{D5CDD505-2E9C-101B-9397-08002B2CF9AE}" pid="6" name="JobDCPMS">
    <vt:lpwstr>2301809</vt:lpwstr>
  </property>
  <property fmtid="{D5CDD505-2E9C-101B-9397-08002B2CF9AE}" pid="7" name="Language">
    <vt:lpwstr>R</vt:lpwstr>
  </property>
</Properties>
</file>