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Default="00EB3895" w:rsidP="00EB3895">
      <w:pPr>
        <w:pStyle w:val="Titre1"/>
        <w:spacing w:before="480"/>
        <w:jc w:val="left"/>
      </w:pPr>
    </w:p>
    <w:p w14:paraId="748272EF" w14:textId="435004E9" w:rsidR="00EB3895" w:rsidRPr="00EB3895" w:rsidRDefault="00EB3895" w:rsidP="00EB3895">
      <w:pPr>
        <w:pStyle w:val="Titre1"/>
        <w:spacing w:before="1800" w:after="0"/>
      </w:pPr>
      <w:r w:rsidRPr="00EB3895">
        <w:t xml:space="preserve">COMMISSION OCÉANOGRAPHIQUE </w:t>
      </w:r>
      <w:r w:rsidR="00DA71B9">
        <w:t>I</w:t>
      </w:r>
      <w:r w:rsidRPr="00EB3895">
        <w:t>NTERGOUVERNEMENTALE</w:t>
      </w:r>
    </w:p>
    <w:p w14:paraId="0F1DC779" w14:textId="1510073D" w:rsidR="00EB3895" w:rsidRPr="00EB3895" w:rsidRDefault="00EB3895" w:rsidP="00EB3895">
      <w:pPr>
        <w:jc w:val="center"/>
        <w:rPr>
          <w:bCs/>
        </w:rPr>
      </w:pPr>
      <w:r w:rsidRPr="00EB3895">
        <w:rPr>
          <w:bCs/>
        </w:rPr>
        <w:t>(</w:t>
      </w:r>
      <w:proofErr w:type="gramStart"/>
      <w:r w:rsidRPr="00EB3895">
        <w:rPr>
          <w:bCs/>
        </w:rPr>
        <w:t>de</w:t>
      </w:r>
      <w:proofErr w:type="gramEnd"/>
      <w:r w:rsidRPr="00EB3895">
        <w:rPr>
          <w:bCs/>
        </w:rPr>
        <w:t xml:space="preserve"> l</w:t>
      </w:r>
      <w:r w:rsidR="00E26B0D">
        <w:rPr>
          <w:bCs/>
        </w:rPr>
        <w:t>’</w:t>
      </w:r>
      <w:r w:rsidRPr="00EB3895">
        <w:rPr>
          <w:bCs/>
        </w:rPr>
        <w:t>UNESCO)</w:t>
      </w:r>
    </w:p>
    <w:p w14:paraId="5B0D4193" w14:textId="4A4B5B88" w:rsidR="00EB3895" w:rsidRPr="00EB3895" w:rsidRDefault="000723F0" w:rsidP="00EB3895">
      <w:pPr>
        <w:spacing w:before="240"/>
        <w:jc w:val="center"/>
        <w:rPr>
          <w:b/>
        </w:rPr>
      </w:pPr>
      <w:r>
        <w:rPr>
          <w:b/>
        </w:rPr>
        <w:t>Trente-deuxi</w:t>
      </w:r>
      <w:r w:rsidR="00EB3895" w:rsidRPr="00EB3895">
        <w:rPr>
          <w:b/>
        </w:rPr>
        <w:t xml:space="preserve">ème session </w:t>
      </w:r>
      <w:r>
        <w:rPr>
          <w:b/>
        </w:rPr>
        <w:t>de l</w:t>
      </w:r>
      <w:r w:rsidR="00E26B0D">
        <w:rPr>
          <w:b/>
        </w:rPr>
        <w:t>’</w:t>
      </w:r>
      <w:r>
        <w:rPr>
          <w:b/>
        </w:rPr>
        <w:t>Assemblée</w:t>
      </w:r>
      <w:r w:rsidR="00EB3895">
        <w:rPr>
          <w:b/>
        </w:rPr>
        <w:br/>
      </w:r>
      <w:r w:rsidR="00EB3895" w:rsidRPr="00EB3895">
        <w:rPr>
          <w:bCs/>
        </w:rPr>
        <w:t xml:space="preserve">UNESCO, Paris, </w:t>
      </w:r>
      <w:r>
        <w:rPr>
          <w:bCs/>
        </w:rPr>
        <w:t>21-30</w:t>
      </w:r>
      <w:r w:rsidR="00EB3895" w:rsidRPr="00EB3895">
        <w:rPr>
          <w:bCs/>
        </w:rPr>
        <w:t xml:space="preserve"> juin 202</w:t>
      </w:r>
      <w:r>
        <w:rPr>
          <w:bCs/>
        </w:rPr>
        <w:t>3</w:t>
      </w:r>
    </w:p>
    <w:p w14:paraId="607D1C93" w14:textId="3EFC9ED0" w:rsidR="00EB3895" w:rsidRDefault="005C7D01" w:rsidP="005C7D01">
      <w:pPr>
        <w:pStyle w:val="Titre1"/>
        <w:spacing w:before="360" w:after="360"/>
        <w:jc w:val="left"/>
        <w:rPr>
          <w:rFonts w:cs="Arial"/>
          <w:b w:val="0"/>
          <w:bCs w:val="0"/>
          <w:u w:val="single"/>
        </w:rPr>
      </w:pPr>
      <w:r w:rsidRPr="005C7D01">
        <w:rPr>
          <w:rFonts w:cs="Arial"/>
          <w:b w:val="0"/>
          <w:bCs w:val="0"/>
          <w:u w:val="single"/>
        </w:rPr>
        <w:t xml:space="preserve">Points </w:t>
      </w:r>
      <w:r w:rsidR="003864FF">
        <w:rPr>
          <w:rFonts w:cs="Arial"/>
          <w:u w:val="single"/>
        </w:rPr>
        <w:t>4</w:t>
      </w:r>
      <w:r w:rsidRPr="005C7D01">
        <w:rPr>
          <w:rFonts w:cs="Arial"/>
          <w:u w:val="single"/>
        </w:rPr>
        <w:t>.4</w:t>
      </w:r>
      <w:r w:rsidRPr="005C7D01">
        <w:rPr>
          <w:rFonts w:cs="Arial"/>
          <w:b w:val="0"/>
          <w:bCs w:val="0"/>
          <w:u w:val="single"/>
        </w:rPr>
        <w:t xml:space="preserve"> de l</w:t>
      </w:r>
      <w:r w:rsidR="00E26B0D">
        <w:rPr>
          <w:rFonts w:cs="Arial"/>
          <w:b w:val="0"/>
          <w:bCs w:val="0"/>
          <w:u w:val="single"/>
        </w:rPr>
        <w:t>’</w:t>
      </w:r>
      <w:r w:rsidRPr="005C7D01">
        <w:rPr>
          <w:rFonts w:cs="Arial"/>
          <w:b w:val="0"/>
          <w:bCs w:val="0"/>
          <w:u w:val="single"/>
        </w:rPr>
        <w:t>ordre d</w:t>
      </w:r>
      <w:r>
        <w:rPr>
          <w:rFonts w:cs="Arial"/>
          <w:b w:val="0"/>
          <w:bCs w:val="0"/>
          <w:u w:val="single"/>
        </w:rPr>
        <w:t>u jour provisoire</w:t>
      </w:r>
    </w:p>
    <w:p w14:paraId="3A7A8BD7" w14:textId="58A84DAB" w:rsidR="005C7D01" w:rsidRPr="003864FF" w:rsidRDefault="003864FF" w:rsidP="003864FF">
      <w:pPr>
        <w:tabs>
          <w:tab w:val="left" w:pos="-1440"/>
          <w:tab w:val="left" w:pos="-720"/>
          <w:tab w:val="left" w:pos="720"/>
          <w:tab w:val="left" w:pos="1440"/>
          <w:tab w:val="left" w:pos="2160"/>
          <w:tab w:val="left" w:pos="3600"/>
          <w:tab w:val="left" w:pos="4320"/>
          <w:tab w:val="left" w:pos="5040"/>
          <w:tab w:val="left" w:pos="5523"/>
          <w:tab w:val="left" w:pos="6480"/>
        </w:tabs>
        <w:spacing w:after="480"/>
        <w:jc w:val="center"/>
        <w:rPr>
          <w:rFonts w:cs="Arial"/>
          <w:b/>
          <w:bCs/>
          <w:caps/>
        </w:rPr>
      </w:pPr>
      <w:r w:rsidRPr="003864FF">
        <w:rPr>
          <w:rFonts w:cs="Arial"/>
          <w:b/>
          <w:bCs/>
          <w:caps/>
        </w:rPr>
        <w:t>Révision de la Politique de la COI en matière d</w:t>
      </w:r>
      <w:r w:rsidR="00E26B0D">
        <w:rPr>
          <w:rFonts w:cs="Arial"/>
          <w:b/>
          <w:bCs/>
          <w:caps/>
        </w:rPr>
        <w:t>’</w:t>
      </w:r>
      <w:r w:rsidRPr="003864FF">
        <w:rPr>
          <w:rFonts w:cs="Arial"/>
          <w:b/>
          <w:bCs/>
          <w:caps/>
        </w:rPr>
        <w:t xml:space="preserve">échange </w:t>
      </w:r>
      <w:r w:rsidR="00E26B0D">
        <w:rPr>
          <w:rFonts w:cs="Arial"/>
          <w:b/>
          <w:bCs/>
          <w:caps/>
        </w:rPr>
        <w:br/>
      </w:r>
      <w:r w:rsidRPr="003864FF">
        <w:rPr>
          <w:rFonts w:cs="Arial"/>
          <w:b/>
          <w:bCs/>
          <w:caps/>
        </w:rPr>
        <w:t>de données océanographiques (2003, 2019)</w:t>
      </w:r>
    </w:p>
    <w:tbl>
      <w:tblPr>
        <w:tblStyle w:val="Grilledutableau"/>
        <w:tblW w:w="0" w:type="auto"/>
        <w:tblInd w:w="1271" w:type="dxa"/>
        <w:tblLook w:val="04A0" w:firstRow="1" w:lastRow="0" w:firstColumn="1" w:lastColumn="0" w:noHBand="0" w:noVBand="1"/>
      </w:tblPr>
      <w:tblGrid>
        <w:gridCol w:w="7938"/>
      </w:tblGrid>
      <w:tr w:rsidR="005C7D01" w14:paraId="1A94C8A9" w14:textId="77777777" w:rsidTr="00DA45FE">
        <w:tc>
          <w:tcPr>
            <w:tcW w:w="7938" w:type="dxa"/>
          </w:tcPr>
          <w:p w14:paraId="1FD6FF16" w14:textId="77777777" w:rsidR="005C7D01" w:rsidRDefault="005C7D01" w:rsidP="00E26B0D">
            <w:pPr>
              <w:spacing w:before="60" w:after="240"/>
              <w:jc w:val="center"/>
              <w:rPr>
                <w:rFonts w:eastAsia="Times New Roman" w:cs="Arial"/>
                <w:b/>
                <w:bCs/>
                <w:szCs w:val="22"/>
                <w:u w:val="single"/>
                <w:lang w:eastAsia="en-US"/>
              </w:rPr>
            </w:pPr>
            <w:r w:rsidRPr="005C7D01">
              <w:rPr>
                <w:rFonts w:eastAsia="Times New Roman" w:cs="Arial"/>
                <w:b/>
                <w:bCs/>
                <w:szCs w:val="22"/>
                <w:u w:val="single"/>
                <w:lang w:eastAsia="en-US"/>
              </w:rPr>
              <w:t>Résumé</w:t>
            </w:r>
          </w:p>
          <w:p w14:paraId="0A1069EA" w14:textId="373FD629" w:rsidR="003864FF" w:rsidRPr="00044831" w:rsidRDefault="003864FF" w:rsidP="003864FF">
            <w:pPr>
              <w:spacing w:after="240"/>
              <w:ind w:left="283" w:right="283"/>
              <w:jc w:val="both"/>
              <w:rPr>
                <w:rFonts w:cs="Arial"/>
              </w:rPr>
            </w:pPr>
            <w:r>
              <w:t>Le présent document a pour objet de tenir l</w:t>
            </w:r>
            <w:r w:rsidR="00E26B0D">
              <w:t>’</w:t>
            </w:r>
            <w:r>
              <w:t>Assemblée de la COI informée du processus de révision, après 20 ans d</w:t>
            </w:r>
            <w:r w:rsidR="00E26B0D">
              <w:t>’</w:t>
            </w:r>
            <w:r>
              <w:t>existence, de la Politique de la COI en matière d</w:t>
            </w:r>
            <w:r w:rsidR="00E26B0D">
              <w:t>’</w:t>
            </w:r>
            <w:r>
              <w:t xml:space="preserve">échange de données océanographiques, en application de la </w:t>
            </w:r>
            <w:r w:rsidR="00512E11">
              <w:t>d</w:t>
            </w:r>
            <w:r>
              <w:t>écision</w:t>
            </w:r>
            <w:r w:rsidR="00DA45FE">
              <w:t xml:space="preserve"> </w:t>
            </w:r>
            <w:r>
              <w:t>IOC/A-31/3.4.2 (Partie III) ayant porté création, en 2021, du Groupe de travail intersessions de la COI sur la révision de la Politique de la COI en matière d</w:t>
            </w:r>
            <w:r w:rsidR="00E26B0D">
              <w:t>’</w:t>
            </w:r>
            <w:r>
              <w:t xml:space="preserve">échange de données océanographiques (2003, 2019) (IWG-DATAPOLICY). </w:t>
            </w:r>
          </w:p>
          <w:p w14:paraId="32BBED75" w14:textId="10EE380F" w:rsidR="003864FF" w:rsidRPr="00044831" w:rsidRDefault="003864FF" w:rsidP="003864FF">
            <w:pPr>
              <w:pStyle w:val="Marge"/>
              <w:ind w:left="283" w:right="283"/>
              <w:rPr>
                <w:rFonts w:cs="Arial"/>
                <w:szCs w:val="22"/>
              </w:rPr>
            </w:pPr>
            <w:r>
              <w:rPr>
                <w:u w:val="single"/>
              </w:rPr>
              <w:t>Incidences financières et administratives</w:t>
            </w:r>
            <w:r w:rsidRPr="00512E11">
              <w:t> :</w:t>
            </w:r>
            <w:r>
              <w:t xml:space="preserve"> le présent document n</w:t>
            </w:r>
            <w:r w:rsidR="00E26B0D">
              <w:t>’</w:t>
            </w:r>
            <w:r>
              <w:t>a aucune incidence financière ou administrative.</w:t>
            </w:r>
          </w:p>
          <w:p w14:paraId="60C2571C" w14:textId="2417C2A7" w:rsidR="005C7D01" w:rsidRPr="003864FF" w:rsidRDefault="003864FF" w:rsidP="003864FF">
            <w:pPr>
              <w:spacing w:after="240"/>
              <w:ind w:left="283" w:right="283"/>
              <w:jc w:val="both"/>
              <w:rPr>
                <w:rFonts w:eastAsia="Times New Roman" w:cs="Arial"/>
                <w:szCs w:val="22"/>
                <w:lang w:eastAsia="en-US"/>
              </w:rPr>
            </w:pPr>
            <w:r>
              <w:rPr>
                <w:u w:val="single"/>
              </w:rPr>
              <w:t>Décision proposée</w:t>
            </w:r>
            <w:r>
              <w:t xml:space="preserve"> : la </w:t>
            </w:r>
            <w:r w:rsidR="00512E11">
              <w:t>d</w:t>
            </w:r>
            <w:r>
              <w:t>écision IOC</w:t>
            </w:r>
            <w:r w:rsidR="00DA45FE">
              <w:t>/A</w:t>
            </w:r>
            <w:r>
              <w:t xml:space="preserve">-32/4.4 présentée dans le </w:t>
            </w:r>
            <w:r w:rsidRPr="00494E3A">
              <w:t>Document provisoire relatif aux décisions</w:t>
            </w:r>
            <w:r>
              <w:t xml:space="preserve"> à adopter (IOC</w:t>
            </w:r>
            <w:r w:rsidR="00DA45FE">
              <w:t>/A</w:t>
            </w:r>
            <w:r>
              <w:t>-32/2</w:t>
            </w:r>
            <w:r w:rsidR="00DA45FE">
              <w:t> </w:t>
            </w:r>
            <w:r>
              <w:t>Prov.) contient la proposition de « Politique et conditions d</w:t>
            </w:r>
            <w:r w:rsidR="00E26B0D">
              <w:t>’</w:t>
            </w:r>
            <w:r>
              <w:t>utilisation des données de la COI (2023) » soumise à l</w:t>
            </w:r>
            <w:r w:rsidR="00E26B0D">
              <w:t>’</w:t>
            </w:r>
            <w:r>
              <w:t>Assemblée pour examen.</w:t>
            </w:r>
          </w:p>
        </w:tc>
      </w:tr>
    </w:tbl>
    <w:p w14:paraId="28A7702B" w14:textId="77777777" w:rsidR="005C7D01" w:rsidRDefault="005C7D01" w:rsidP="00B2519D">
      <w:pPr>
        <w:spacing w:after="240"/>
        <w:rPr>
          <w:rFonts w:eastAsia="Times New Roman" w:cs="Arial"/>
          <w:b/>
          <w:bCs/>
          <w:szCs w:val="22"/>
          <w:lang w:eastAsia="en-US"/>
        </w:rPr>
        <w:sectPr w:rsidR="005C7D01" w:rsidSect="000723F0">
          <w:headerReference w:type="even" r:id="rId8"/>
          <w:headerReference w:type="default" r:id="rId9"/>
          <w:headerReference w:type="first" r:id="rId10"/>
          <w:pgSz w:w="11906" w:h="16838" w:code="9"/>
          <w:pgMar w:top="1418" w:right="1134" w:bottom="1134" w:left="1134" w:header="851" w:footer="680" w:gutter="0"/>
          <w:pgNumType w:start="1"/>
          <w:cols w:space="708"/>
          <w:titlePg/>
          <w:docGrid w:linePitch="360"/>
        </w:sectPr>
      </w:pPr>
    </w:p>
    <w:p w14:paraId="48E65F60" w14:textId="77777777" w:rsidR="003864FF" w:rsidRDefault="003864FF" w:rsidP="003864FF">
      <w:pPr>
        <w:spacing w:after="240"/>
        <w:rPr>
          <w:b/>
          <w:bCs/>
        </w:rPr>
      </w:pPr>
      <w:r>
        <w:rPr>
          <w:b/>
          <w:bCs/>
        </w:rPr>
        <w:lastRenderedPageBreak/>
        <w:t>Contexte</w:t>
      </w:r>
    </w:p>
    <w:p w14:paraId="6E37BE12" w14:textId="72433022" w:rsidR="003864FF" w:rsidRPr="003864FF" w:rsidRDefault="003864FF" w:rsidP="003864FF">
      <w:pPr>
        <w:spacing w:after="240"/>
        <w:jc w:val="both"/>
        <w:rPr>
          <w:b/>
          <w:bCs/>
        </w:rPr>
      </w:pPr>
      <w:r w:rsidRPr="003864FF">
        <w:t>1.</w:t>
      </w:r>
      <w:r w:rsidRPr="003864FF">
        <w:tab/>
      </w:r>
      <w:r>
        <w:t>À sa 22</w:t>
      </w:r>
      <w:r>
        <w:rPr>
          <w:vertAlign w:val="superscript"/>
        </w:rPr>
        <w:t>e</w:t>
      </w:r>
      <w:r>
        <w:t> session, en 2003, l</w:t>
      </w:r>
      <w:r w:rsidR="00E26B0D">
        <w:t>’</w:t>
      </w:r>
      <w:r>
        <w:t xml:space="preserve">Assemblée de la COI a adopté par sa </w:t>
      </w:r>
      <w:hyperlink r:id="rId11" w:history="1">
        <w:r w:rsidR="00732C1F">
          <w:rPr>
            <w:rStyle w:val="Lienhypertexte"/>
          </w:rPr>
          <w:t>r</w:t>
        </w:r>
        <w:r w:rsidRPr="00B331B5">
          <w:rPr>
            <w:rStyle w:val="Lienhypertexte"/>
          </w:rPr>
          <w:t>ésolution XXII-6</w:t>
        </w:r>
      </w:hyperlink>
      <w:r>
        <w:t xml:space="preserve"> la « Politique de la COI en matière d</w:t>
      </w:r>
      <w:r w:rsidR="00E26B0D">
        <w:t>’</w:t>
      </w:r>
      <w:r>
        <w:t xml:space="preserve">échange de données </w:t>
      </w:r>
      <w:r w:rsidRPr="005E79A6">
        <w:t xml:space="preserve">océanographiques », dont la </w:t>
      </w:r>
      <w:r w:rsidR="00494E3A" w:rsidRPr="005E79A6">
        <w:t>c</w:t>
      </w:r>
      <w:r w:rsidRPr="005E79A6">
        <w:t>lause 5</w:t>
      </w:r>
      <w:r>
        <w:t xml:space="preserve"> a été révisée en 2019.</w:t>
      </w:r>
    </w:p>
    <w:p w14:paraId="6B83A63B" w14:textId="16C90AB0" w:rsidR="003864FF" w:rsidRPr="00044831" w:rsidRDefault="003864FF" w:rsidP="003864FF">
      <w:pPr>
        <w:spacing w:after="240"/>
        <w:jc w:val="both"/>
      </w:pPr>
      <w:r>
        <w:t>2.</w:t>
      </w:r>
      <w:r>
        <w:tab/>
        <w:t>Lors de sa réunion du 17 février 2021, le Groupe de gestion du Comité de la COI sur l</w:t>
      </w:r>
      <w:r w:rsidR="00E26B0D">
        <w:t>’</w:t>
      </w:r>
      <w:r>
        <w:t>échange international des données et de l</w:t>
      </w:r>
      <w:r w:rsidR="00E26B0D">
        <w:t>’</w:t>
      </w:r>
      <w:r>
        <w:t>information océanographiques (IODE) a estimé que suffisamment d</w:t>
      </w:r>
      <w:r w:rsidR="00E26B0D">
        <w:t>’</w:t>
      </w:r>
      <w:r>
        <w:t>éléments étaient réunis pour justifier une révision de la Politique de la COI en matière d</w:t>
      </w:r>
      <w:r w:rsidR="00E26B0D">
        <w:t>’</w:t>
      </w:r>
      <w:r>
        <w:t xml:space="preserve">échange de données océanographiques. </w:t>
      </w:r>
      <w:r w:rsidRPr="0017170A">
        <w:t>La nouvelle politique devra</w:t>
      </w:r>
      <w:r>
        <w:t xml:space="preserve"> promouvoir et soutenir davantage l</w:t>
      </w:r>
      <w:r w:rsidR="00E26B0D">
        <w:t>’</w:t>
      </w:r>
      <w:r>
        <w:t>échange libre et gratuit de données dans le cadre des activités et programmes de la COI. Pleinement conscient des efforts qui ont été déployés pour parvenir à un consensus sur la politique actuellement en vigueur, en particulier en ce qui concerne la reconnaissance des droits des pays et le caractère non contraignant de la politique, le Groupe de gestion a estimé que toute modification devait être mûrement réfléchie. Il a été suggéré de s</w:t>
      </w:r>
      <w:r w:rsidR="00E26B0D">
        <w:t>’</w:t>
      </w:r>
      <w:r>
        <w:t>inspirer d</w:t>
      </w:r>
      <w:r w:rsidR="00E26B0D">
        <w:t>’</w:t>
      </w:r>
      <w:r>
        <w:t>autres modèles, par exemple de la Politique unifiée de l</w:t>
      </w:r>
      <w:r w:rsidR="00E26B0D">
        <w:t>’</w:t>
      </w:r>
      <w:r>
        <w:t>Organisation météorologique mondiale (OMM) en matière de données, qui comporte une politique principale énonçant des principes fondamentaux, et des modules complémentaires, applicables à différentes catégories de données ou d</w:t>
      </w:r>
      <w:r w:rsidR="00E26B0D">
        <w:t>’</w:t>
      </w:r>
      <w:r>
        <w:t>applications spécifiques et à des produits particuliers. En procédant de cette manière, il sera plus facile d</w:t>
      </w:r>
      <w:r w:rsidR="00E26B0D">
        <w:t>’</w:t>
      </w:r>
      <w:r>
        <w:t>élargir, si besoin, le champ d</w:t>
      </w:r>
      <w:r w:rsidR="00E26B0D">
        <w:t>’</w:t>
      </w:r>
      <w:r>
        <w:t xml:space="preserve">application </w:t>
      </w:r>
      <w:r w:rsidRPr="0017170A">
        <w:t xml:space="preserve">de la </w:t>
      </w:r>
      <w:r w:rsidR="0017170A" w:rsidRPr="0017170A">
        <w:t>p</w:t>
      </w:r>
      <w:r w:rsidRPr="0017170A">
        <w:t>olitique,</w:t>
      </w:r>
      <w:r>
        <w:t xml:space="preserve"> sans devoir remettre en question les éléments fondamentaux de celle-ci. L</w:t>
      </w:r>
      <w:r w:rsidR="00E26B0D">
        <w:t>’</w:t>
      </w:r>
      <w:r>
        <w:t xml:space="preserve">objectif </w:t>
      </w:r>
      <w:r w:rsidRPr="0017170A">
        <w:t xml:space="preserve">ultime de la </w:t>
      </w:r>
      <w:r w:rsidR="0017170A">
        <w:t>p</w:t>
      </w:r>
      <w:r w:rsidRPr="0017170A">
        <w:t>olitique de</w:t>
      </w:r>
      <w:r>
        <w:t xml:space="preserve"> la COI est d</w:t>
      </w:r>
      <w:r w:rsidR="00E26B0D">
        <w:t>’</w:t>
      </w:r>
      <w:r>
        <w:t>accroître la coopération mondiale en vue d</w:t>
      </w:r>
      <w:r w:rsidR="00E26B0D">
        <w:t>’</w:t>
      </w:r>
      <w:r>
        <w:t>améliorer le partage de données et l</w:t>
      </w:r>
      <w:r w:rsidR="00E26B0D">
        <w:t>’</w:t>
      </w:r>
      <w:r>
        <w:t>utilisation des données. Il importe donc que les politiques en matière de données n</w:t>
      </w:r>
      <w:r w:rsidR="00E26B0D">
        <w:t>’</w:t>
      </w:r>
      <w:r>
        <w:t>entravent pas le processus, mais le rationalisent, dans le cadre de dispositions mutuellement convenues (licence Creative Commons, par exemple). La révision de l</w:t>
      </w:r>
      <w:r w:rsidR="00E26B0D">
        <w:t>’</w:t>
      </w:r>
      <w:r>
        <w:t xml:space="preserve">actuelle </w:t>
      </w:r>
      <w:r w:rsidR="00503F9D" w:rsidRPr="0017170A">
        <w:t>p</w:t>
      </w:r>
      <w:r w:rsidRPr="0017170A">
        <w:t>olitique en matière de données devra veiller à une meilleure harmonisation avec les politiques existantes</w:t>
      </w:r>
      <w:r>
        <w:t xml:space="preserve"> aux niveaux national, régional et international, ainsi que dans d</w:t>
      </w:r>
      <w:r w:rsidR="00E26B0D">
        <w:t>’</w:t>
      </w:r>
      <w:r>
        <w:t>autres secteurs, et refléter les principes internationaux en vigueur, tels que les principes FAIR (Facilement trouvable, Accessible, Interopérable et Réutilisable), qui n</w:t>
      </w:r>
      <w:r w:rsidR="00E26B0D">
        <w:t>’</w:t>
      </w:r>
      <w:r>
        <w:t>existaient pas en 2003.</w:t>
      </w:r>
    </w:p>
    <w:p w14:paraId="348D22A4" w14:textId="0B9BB019" w:rsidR="003864FF" w:rsidRPr="00044831" w:rsidRDefault="003864FF" w:rsidP="003864FF">
      <w:pPr>
        <w:spacing w:after="240"/>
        <w:jc w:val="both"/>
      </w:pPr>
      <w:r>
        <w:t>3.</w:t>
      </w:r>
      <w:r>
        <w:tab/>
      </w:r>
      <w:r w:rsidR="00FD39C7">
        <w:t xml:space="preserve">Compte tenu de la complexité de la question </w:t>
      </w:r>
      <w:r w:rsidR="00FD39C7" w:rsidRPr="00FD39C7">
        <w:t>et de la nécessité d'être aussi inclusif que possible, les co-présidents de l’IODE ont ensuite convenu d’un processus en huit étapes tel que décrit dans la Lettre circulaire de la COI</w:t>
      </w:r>
      <w:r w:rsidR="00FD39C7">
        <w:t xml:space="preserve"> </w:t>
      </w:r>
      <w:r w:rsidR="00FD39C7" w:rsidRPr="00FD39C7">
        <w:t>n°</w:t>
      </w:r>
      <w:r w:rsidR="00FD39C7">
        <w:t> </w:t>
      </w:r>
      <w:hyperlink r:id="rId12" w:history="1">
        <w:r w:rsidR="00FD39C7" w:rsidRPr="00FD39C7">
          <w:rPr>
            <w:rStyle w:val="Lienhypertexte"/>
          </w:rPr>
          <w:t>2864</w:t>
        </w:r>
      </w:hyperlink>
      <w:r w:rsidR="00FD39C7" w:rsidRPr="00FD39C7">
        <w:t xml:space="preserve"> (datée du 9 novembre 2021), afin de faciliter les travaux du Groupe de travail intersessions, pour un démarrage en janvier 2022 selon le calendrier ci-après</w:t>
      </w:r>
      <w:r w:rsidRPr="00FD39C7">
        <w:t>.</w:t>
      </w:r>
      <w:r>
        <w:t xml:space="preserve"> </w:t>
      </w:r>
    </w:p>
    <w:p w14:paraId="2576B523" w14:textId="15B97212" w:rsidR="003864FF" w:rsidRPr="00A15DC5" w:rsidRDefault="003864FF" w:rsidP="003864FF">
      <w:pPr>
        <w:spacing w:after="240"/>
        <w:rPr>
          <w:b/>
          <w:bCs/>
        </w:rPr>
      </w:pPr>
      <w:r>
        <w:rPr>
          <w:b/>
          <w:bCs/>
        </w:rPr>
        <w:t>Processus d</w:t>
      </w:r>
      <w:r w:rsidR="00E26B0D">
        <w:rPr>
          <w:b/>
          <w:bCs/>
        </w:rPr>
        <w:t>’</w:t>
      </w:r>
      <w:r>
        <w:rPr>
          <w:b/>
          <w:bCs/>
        </w:rPr>
        <w:t>élaboration</w:t>
      </w:r>
    </w:p>
    <w:p w14:paraId="560FC519" w14:textId="42A72BEC" w:rsidR="003864FF" w:rsidRPr="00044831" w:rsidRDefault="003864FF" w:rsidP="003864FF">
      <w:pPr>
        <w:spacing w:after="240"/>
        <w:jc w:val="both"/>
      </w:pPr>
      <w:r w:rsidRPr="003864FF">
        <w:t>4.</w:t>
      </w:r>
      <w:r w:rsidRPr="003864FF">
        <w:tab/>
      </w:r>
      <w:r>
        <w:rPr>
          <w:u w:val="single"/>
        </w:rPr>
        <w:t>ÉTAPE 1</w:t>
      </w:r>
      <w:r w:rsidRPr="00494E3A">
        <w:t> :</w:t>
      </w:r>
      <w:r>
        <w:t xml:space="preserve"> une étude documentaire sur les politiques existantes (au sein de la COI, au sein du système des Nations Unies, et en dehors), réalisée par le Secrétariat de l</w:t>
      </w:r>
      <w:r w:rsidR="00E26B0D">
        <w:t>’</w:t>
      </w:r>
      <w:r>
        <w:t>IODE (sous la direction de M. Greg Reed), a été publiée le 8 février 2022 sous la cote IOC/IWG-DATAPOLICY-I/5 (en anglais uniquement).</w:t>
      </w:r>
    </w:p>
    <w:p w14:paraId="36093191" w14:textId="59071D2A" w:rsidR="003864FF" w:rsidRPr="00044831" w:rsidRDefault="003864FF" w:rsidP="003864FF">
      <w:pPr>
        <w:spacing w:after="240"/>
        <w:jc w:val="both"/>
      </w:pPr>
      <w:r w:rsidRPr="003864FF">
        <w:t>5.</w:t>
      </w:r>
      <w:r w:rsidRPr="003864FF">
        <w:tab/>
      </w:r>
      <w:r>
        <w:rPr>
          <w:u w:val="single"/>
        </w:rPr>
        <w:t>ÉTAPE 2</w:t>
      </w:r>
      <w:r w:rsidRPr="00494E3A">
        <w:t> :</w:t>
      </w:r>
      <w:r>
        <w:t xml:space="preserve"> les programmes mondiaux et régionaux de la COI ont été invités à désigner les personnes qui les représenteraient au sein du Groupe de travail intersessions : organes subsidiaires régionaux (sous-commissions de la COI : pour l</w:t>
      </w:r>
      <w:r w:rsidR="00E26B0D">
        <w:t>’</w:t>
      </w:r>
      <w:r>
        <w:t>Afrique et les États insulaires adjacents (IOCAFRICA), pour la mer des Caraïbes et les régions adjacentes (IOCARIBE), et pour le Pacifique occidental (WESTPAC) ; et Comité régional de la COI pour l</w:t>
      </w:r>
      <w:r w:rsidR="00E26B0D">
        <w:t>’</w:t>
      </w:r>
      <w:r>
        <w:t>océan Indien central (IOCINDIO)) : 1 ou 2 représentants chacun ; IODE : 1 ou 2 représentants ; Sciences océaniques (efflorescences algales nuisibles, acidification des océans et Rapport mondial sur les sciences océaniques) : 3 représentants ; Système mondial d</w:t>
      </w:r>
      <w:r w:rsidR="00E26B0D">
        <w:t>’</w:t>
      </w:r>
      <w:r>
        <w:t>observation de l</w:t>
      </w:r>
      <w:r w:rsidR="00E26B0D">
        <w:t>’</w:t>
      </w:r>
      <w:r>
        <w:t>océan (GOOS) : 1 ou 2 représentants ; Politiques marines et coordination régionale : 1 ou 2 représentants ; Résilience aux tsunamis : 1 ou 2 représentants. Le processus de désignation des représentants s</w:t>
      </w:r>
      <w:r w:rsidR="00E26B0D">
        <w:t>’</w:t>
      </w:r>
      <w:r>
        <w:t xml:space="preserve">est achevé en février 2022. </w:t>
      </w:r>
    </w:p>
    <w:p w14:paraId="19BF4738" w14:textId="5970634C" w:rsidR="003864FF" w:rsidRPr="00044831" w:rsidRDefault="003864FF" w:rsidP="003864FF">
      <w:pPr>
        <w:spacing w:after="240"/>
        <w:jc w:val="both"/>
      </w:pPr>
      <w:r w:rsidRPr="003864FF">
        <w:t>6.</w:t>
      </w:r>
      <w:r w:rsidRPr="003864FF">
        <w:tab/>
      </w:r>
      <w:r>
        <w:rPr>
          <w:u w:val="single"/>
        </w:rPr>
        <w:t>ÉTAPE 3</w:t>
      </w:r>
      <w:r w:rsidRPr="00494E3A">
        <w:t> :</w:t>
      </w:r>
      <w:r>
        <w:t xml:space="preserve"> la première réunion du Groupe de travail intersessions de la COI sur la révision de </w:t>
      </w:r>
      <w:r w:rsidRPr="0017170A">
        <w:t xml:space="preserve">la </w:t>
      </w:r>
      <w:r w:rsidR="00F70E63" w:rsidRPr="0017170A">
        <w:t>P</w:t>
      </w:r>
      <w:r w:rsidRPr="0017170A">
        <w:t>olitique de la</w:t>
      </w:r>
      <w:r>
        <w:t xml:space="preserve"> COI en matière d</w:t>
      </w:r>
      <w:r w:rsidR="00E26B0D">
        <w:t>’</w:t>
      </w:r>
      <w:r>
        <w:t>échange de données océanographiques (IWG-DATAPOLICY-I) s</w:t>
      </w:r>
      <w:r w:rsidR="00E26B0D">
        <w:t>’</w:t>
      </w:r>
      <w:r>
        <w:t xml:space="preserve">est tenue au format hybride les 5 et 6 avril 2022. Le compte-rendu de cette réunion est disponible </w:t>
      </w:r>
      <w:r>
        <w:lastRenderedPageBreak/>
        <w:t xml:space="preserve">dans le document </w:t>
      </w:r>
      <w:hyperlink r:id="rId13" w:history="1">
        <w:r w:rsidRPr="00B331B5">
          <w:rPr>
            <w:rStyle w:val="Lienhypertexte"/>
          </w:rPr>
          <w:t>IOC/IWG-DATAPOLICY-I/3</w:t>
        </w:r>
      </w:hyperlink>
      <w:r>
        <w:t xml:space="preserve"> (en anglais uniquement). Les participants à la réunion ont recommandé </w:t>
      </w:r>
      <w:r w:rsidRPr="0017170A">
        <w:t>d</w:t>
      </w:r>
      <w:r w:rsidR="00E26B0D" w:rsidRPr="0017170A">
        <w:t>’</w:t>
      </w:r>
      <w:r w:rsidRPr="0017170A">
        <w:t xml:space="preserve">ajouter à la </w:t>
      </w:r>
      <w:r w:rsidR="00F70E63" w:rsidRPr="0017170A">
        <w:t>P</w:t>
      </w:r>
      <w:r w:rsidRPr="0017170A">
        <w:t>olitique des</w:t>
      </w:r>
      <w:r>
        <w:t xml:space="preserve"> conditions d</w:t>
      </w:r>
      <w:r w:rsidR="00E26B0D">
        <w:t>’</w:t>
      </w:r>
      <w:r>
        <w:t>utilisation/conditions en matière d</w:t>
      </w:r>
      <w:r w:rsidR="00E26B0D">
        <w:t>’</w:t>
      </w:r>
      <w:r>
        <w:t>accords de licence. Ils ont par ailleurs convenu d</w:t>
      </w:r>
      <w:r w:rsidR="00E26B0D">
        <w:t>’</w:t>
      </w:r>
      <w:r>
        <w:t>un plan de travail et d</w:t>
      </w:r>
      <w:r w:rsidR="00E26B0D">
        <w:t>’</w:t>
      </w:r>
      <w:r>
        <w:t>un calendrier, ainsi que de la répartition des responsabilités, et ont déterminé quels partenaires et organisations, du système des Nations Unies ou non, devraient être consultés dans le cadre du processus. Le Groupe de travail a nommé M. Taco De </w:t>
      </w:r>
      <w:proofErr w:type="spellStart"/>
      <w:r>
        <w:t>Bruin</w:t>
      </w:r>
      <w:proofErr w:type="spellEnd"/>
      <w:r>
        <w:t xml:space="preserve"> (co</w:t>
      </w:r>
      <w:r w:rsidR="00F70E63">
        <w:t>-P</w:t>
      </w:r>
      <w:r>
        <w:t>résident de l</w:t>
      </w:r>
      <w:r w:rsidR="00E26B0D">
        <w:t>’</w:t>
      </w:r>
      <w:r>
        <w:t xml:space="preserve">IODE) à sa présidence. </w:t>
      </w:r>
    </w:p>
    <w:p w14:paraId="5A1BE404" w14:textId="73254F21" w:rsidR="003864FF" w:rsidRPr="00044831" w:rsidRDefault="003864FF" w:rsidP="003864FF">
      <w:pPr>
        <w:spacing w:after="240"/>
        <w:jc w:val="both"/>
      </w:pPr>
      <w:r w:rsidRPr="003864FF">
        <w:t>7.</w:t>
      </w:r>
      <w:r w:rsidRPr="003864FF">
        <w:tab/>
      </w:r>
      <w:r>
        <w:rPr>
          <w:u w:val="single"/>
        </w:rPr>
        <w:t>ÉTAPE 4</w:t>
      </w:r>
      <w:r w:rsidRPr="00494E3A">
        <w:t> :</w:t>
      </w:r>
      <w:r>
        <w:t xml:space="preserve"> l</w:t>
      </w:r>
      <w:r w:rsidR="00E26B0D">
        <w:t>’</w:t>
      </w:r>
      <w:r>
        <w:t>élaboration en ligne, par les membres du Groupe de travail, du projet de « Politique et conditions d</w:t>
      </w:r>
      <w:r w:rsidR="00E26B0D">
        <w:t>’</w:t>
      </w:r>
      <w:r>
        <w:t>utilisation des données de la COI (2023) », a eu lieu en avril et mai 2022. En juin 2022, le projet a été transmis aux 18 organisations désignées à l</w:t>
      </w:r>
      <w:r w:rsidR="00E26B0D">
        <w:t>’</w:t>
      </w:r>
      <w:r>
        <w:t xml:space="preserve">étape 3, afin de recueillir leurs observations. </w:t>
      </w:r>
    </w:p>
    <w:p w14:paraId="7B0761E3" w14:textId="20284596" w:rsidR="003864FF" w:rsidRPr="00044831" w:rsidRDefault="003864FF" w:rsidP="003864FF">
      <w:pPr>
        <w:spacing w:after="240"/>
        <w:ind w:left="567"/>
        <w:jc w:val="both"/>
      </w:pPr>
      <w:r>
        <w:rPr>
          <w:u w:val="single"/>
        </w:rPr>
        <w:t>ÉTAPE 4</w:t>
      </w:r>
      <w:r w:rsidR="00B331B5">
        <w:rPr>
          <w:u w:val="single"/>
        </w:rPr>
        <w:t>A</w:t>
      </w:r>
      <w:r w:rsidRPr="00494E3A">
        <w:t> :</w:t>
      </w:r>
      <w:r>
        <w:t xml:space="preserve"> sur la base de ces observations, le Secrétariat a rédigé une version révisée du texte, qu</w:t>
      </w:r>
      <w:r w:rsidR="00E26B0D">
        <w:t>’</w:t>
      </w:r>
      <w:r>
        <w:t>il a soumise aux membres du Groupe de travail afin qu</w:t>
      </w:r>
      <w:r w:rsidR="00E26B0D">
        <w:t>’</w:t>
      </w:r>
      <w:r>
        <w:t>ils en débattent plus avant le 23 septembre 2022.</w:t>
      </w:r>
    </w:p>
    <w:p w14:paraId="65434C01" w14:textId="2A1F46C9" w:rsidR="003864FF" w:rsidRPr="00044831" w:rsidRDefault="003864FF" w:rsidP="003864FF">
      <w:pPr>
        <w:spacing w:after="240"/>
        <w:jc w:val="both"/>
      </w:pPr>
      <w:r>
        <w:t>8</w:t>
      </w:r>
      <w:r w:rsidRPr="003864FF">
        <w:t>.</w:t>
      </w:r>
      <w:r w:rsidRPr="003864FF">
        <w:tab/>
      </w:r>
      <w:r>
        <w:rPr>
          <w:u w:val="single"/>
        </w:rPr>
        <w:t>ÉTAPE 5</w:t>
      </w:r>
      <w:r w:rsidRPr="007E2085">
        <w:t> :</w:t>
      </w:r>
      <w:r>
        <w:t xml:space="preserve"> le 30 septembre 2022, les États membres de la COI (par l</w:t>
      </w:r>
      <w:r w:rsidR="00E26B0D">
        <w:t>’</w:t>
      </w:r>
      <w:r>
        <w:t>intermédiaire de leurs points focaux officiels) ont été invités à une séance d</w:t>
      </w:r>
      <w:r w:rsidR="00E26B0D">
        <w:t>’</w:t>
      </w:r>
      <w:r>
        <w:t>information en ligne, avec interprétation en anglais, français, russe et espagnol. Le 21 octobre 2022, la séance a été organisée (en deux parties, pour permettre aux participants de différents fuseaux horaires d</w:t>
      </w:r>
      <w:r w:rsidR="00E26B0D">
        <w:t>’</w:t>
      </w:r>
      <w:r>
        <w:t>y assister). Au cours de la séance d</w:t>
      </w:r>
      <w:r w:rsidR="00E26B0D">
        <w:t>’</w:t>
      </w:r>
      <w:r>
        <w:t xml:space="preserve">information, la version préliminaire </w:t>
      </w:r>
      <w:r w:rsidRPr="0017170A">
        <w:t xml:space="preserve">de la nouvelle </w:t>
      </w:r>
      <w:r w:rsidR="00503F9D" w:rsidRPr="0017170A">
        <w:t>p</w:t>
      </w:r>
      <w:r w:rsidRPr="0017170A">
        <w:t>olitique («</w:t>
      </w:r>
      <w:r>
        <w:t> Politique et conditions d</w:t>
      </w:r>
      <w:r w:rsidR="00E26B0D">
        <w:t>’</w:t>
      </w:r>
      <w:r>
        <w:t>utilisation des données de la COI (2023) ») a été présentée, expliquée et soumise aux débats. Les principaux commentaires et retours d</w:t>
      </w:r>
      <w:r w:rsidR="00E26B0D">
        <w:t>’</w:t>
      </w:r>
      <w:r>
        <w:t>information obtenus sont résumés ci-après</w:t>
      </w:r>
      <w:r w:rsidR="007E2085">
        <w:t> :</w:t>
      </w:r>
    </w:p>
    <w:p w14:paraId="61C7BD05" w14:textId="1C64A978" w:rsidR="003864FF" w:rsidRPr="003864FF" w:rsidRDefault="007E2085" w:rsidP="003864FF">
      <w:pPr>
        <w:pStyle w:val="Paragraphedeliste"/>
        <w:numPr>
          <w:ilvl w:val="1"/>
          <w:numId w:val="35"/>
        </w:numPr>
        <w:spacing w:after="240" w:line="240" w:lineRule="auto"/>
        <w:ind w:left="851" w:hanging="284"/>
        <w:contextualSpacing w:val="0"/>
        <w:jc w:val="both"/>
        <w:rPr>
          <w:rFonts w:asciiTheme="minorBidi" w:hAnsiTheme="minorBidi" w:cstheme="minorBidi"/>
          <w:lang w:val="fr-FR"/>
        </w:rPr>
      </w:pPr>
      <w:proofErr w:type="gramStart"/>
      <w:r>
        <w:rPr>
          <w:rFonts w:asciiTheme="minorBidi" w:hAnsiTheme="minorBidi" w:cstheme="minorBidi"/>
          <w:lang w:val="fr-FR"/>
        </w:rPr>
        <w:t>l</w:t>
      </w:r>
      <w:r w:rsidR="003864FF" w:rsidRPr="003864FF">
        <w:rPr>
          <w:rFonts w:asciiTheme="minorBidi" w:hAnsiTheme="minorBidi" w:cstheme="minorBidi"/>
          <w:lang w:val="fr-FR"/>
        </w:rPr>
        <w:t>es</w:t>
      </w:r>
      <w:proofErr w:type="gramEnd"/>
      <w:r w:rsidR="003864FF" w:rsidRPr="003864FF">
        <w:rPr>
          <w:rFonts w:asciiTheme="minorBidi" w:hAnsiTheme="minorBidi" w:cstheme="minorBidi"/>
          <w:lang w:val="fr-FR"/>
        </w:rPr>
        <w:t xml:space="preserve"> licences peuvent varier d</w:t>
      </w:r>
      <w:r w:rsidR="00E26B0D">
        <w:rPr>
          <w:rFonts w:asciiTheme="minorBidi" w:hAnsiTheme="minorBidi" w:cstheme="minorBidi"/>
          <w:lang w:val="fr-FR"/>
        </w:rPr>
        <w:t>’</w:t>
      </w:r>
      <w:r w:rsidR="003864FF" w:rsidRPr="003864FF">
        <w:rPr>
          <w:rFonts w:asciiTheme="minorBidi" w:hAnsiTheme="minorBidi" w:cstheme="minorBidi"/>
          <w:lang w:val="fr-FR"/>
        </w:rPr>
        <w:t>un centre de données/fournisseur de données à l</w:t>
      </w:r>
      <w:r w:rsidR="00E26B0D">
        <w:rPr>
          <w:rFonts w:asciiTheme="minorBidi" w:hAnsiTheme="minorBidi" w:cstheme="minorBidi"/>
          <w:lang w:val="fr-FR"/>
        </w:rPr>
        <w:t>’</w:t>
      </w:r>
      <w:r w:rsidR="003864FF" w:rsidRPr="003864FF">
        <w:rPr>
          <w:rFonts w:asciiTheme="minorBidi" w:hAnsiTheme="minorBidi" w:cstheme="minorBidi"/>
          <w:lang w:val="fr-FR"/>
        </w:rPr>
        <w:t>autre, voire d</w:t>
      </w:r>
      <w:r w:rsidR="00E26B0D">
        <w:rPr>
          <w:rFonts w:asciiTheme="minorBidi" w:hAnsiTheme="minorBidi" w:cstheme="minorBidi"/>
          <w:lang w:val="fr-FR"/>
        </w:rPr>
        <w:t>’</w:t>
      </w:r>
      <w:r w:rsidR="003864FF" w:rsidRPr="003864FF">
        <w:rPr>
          <w:rFonts w:asciiTheme="minorBidi" w:hAnsiTheme="minorBidi" w:cstheme="minorBidi"/>
          <w:lang w:val="fr-FR"/>
        </w:rPr>
        <w:t>une série de données à l</w:t>
      </w:r>
      <w:r w:rsidR="00E26B0D">
        <w:rPr>
          <w:rFonts w:asciiTheme="minorBidi" w:hAnsiTheme="minorBidi" w:cstheme="minorBidi"/>
          <w:lang w:val="fr-FR"/>
        </w:rPr>
        <w:t>’</w:t>
      </w:r>
      <w:r w:rsidR="003864FF" w:rsidRPr="003864FF">
        <w:rPr>
          <w:rFonts w:asciiTheme="minorBidi" w:hAnsiTheme="minorBidi" w:cstheme="minorBidi"/>
          <w:lang w:val="fr-FR"/>
        </w:rPr>
        <w:t>autre. Les centres ou services qui collectent ces données auprès de sources variées risquent d</w:t>
      </w:r>
      <w:r w:rsidR="00E26B0D">
        <w:rPr>
          <w:rFonts w:asciiTheme="minorBidi" w:hAnsiTheme="minorBidi" w:cstheme="minorBidi"/>
          <w:lang w:val="fr-FR"/>
        </w:rPr>
        <w:t>’</w:t>
      </w:r>
      <w:r w:rsidR="003864FF" w:rsidRPr="003864FF">
        <w:rPr>
          <w:rFonts w:asciiTheme="minorBidi" w:hAnsiTheme="minorBidi" w:cstheme="minorBidi"/>
          <w:lang w:val="fr-FR"/>
        </w:rPr>
        <w:t>avoir beaucoup de mal à gérer cette diversité de licences</w:t>
      </w:r>
      <w:r>
        <w:rPr>
          <w:rFonts w:asciiTheme="minorBidi" w:hAnsiTheme="minorBidi" w:cstheme="minorBidi"/>
          <w:lang w:val="fr-FR"/>
        </w:rPr>
        <w:t> ;</w:t>
      </w:r>
    </w:p>
    <w:p w14:paraId="46AB4FEB" w14:textId="7C689762" w:rsidR="003864FF" w:rsidRPr="003864FF" w:rsidRDefault="007E2085" w:rsidP="003864FF">
      <w:pPr>
        <w:pStyle w:val="Paragraphedeliste"/>
        <w:numPr>
          <w:ilvl w:val="1"/>
          <w:numId w:val="35"/>
        </w:numPr>
        <w:spacing w:after="240" w:line="240" w:lineRule="auto"/>
        <w:ind w:left="851" w:hanging="284"/>
        <w:contextualSpacing w:val="0"/>
        <w:jc w:val="both"/>
        <w:rPr>
          <w:rFonts w:asciiTheme="minorBidi" w:hAnsiTheme="minorBidi" w:cstheme="minorBidi"/>
          <w:lang w:val="fr-FR"/>
        </w:rPr>
      </w:pPr>
      <w:proofErr w:type="gramStart"/>
      <w:r>
        <w:rPr>
          <w:rFonts w:asciiTheme="minorBidi" w:hAnsiTheme="minorBidi" w:cstheme="minorBidi"/>
          <w:lang w:val="fr-FR"/>
        </w:rPr>
        <w:t>l</w:t>
      </w:r>
      <w:r w:rsidR="00E26B0D">
        <w:rPr>
          <w:rFonts w:asciiTheme="minorBidi" w:hAnsiTheme="minorBidi" w:cstheme="minorBidi"/>
          <w:lang w:val="fr-FR"/>
        </w:rPr>
        <w:t>’</w:t>
      </w:r>
      <w:r w:rsidR="003864FF" w:rsidRPr="003864FF">
        <w:rPr>
          <w:rFonts w:asciiTheme="minorBidi" w:hAnsiTheme="minorBidi" w:cstheme="minorBidi"/>
          <w:lang w:val="fr-FR"/>
        </w:rPr>
        <w:t>accent</w:t>
      </w:r>
      <w:proofErr w:type="gramEnd"/>
      <w:r w:rsidR="003864FF" w:rsidRPr="003864FF">
        <w:rPr>
          <w:rFonts w:asciiTheme="minorBidi" w:hAnsiTheme="minorBidi" w:cstheme="minorBidi"/>
          <w:lang w:val="fr-FR"/>
        </w:rPr>
        <w:t xml:space="preserve"> devrait être mis en priorité sur l</w:t>
      </w:r>
      <w:r w:rsidR="00E26B0D">
        <w:rPr>
          <w:rFonts w:asciiTheme="minorBidi" w:hAnsiTheme="minorBidi" w:cstheme="minorBidi"/>
          <w:lang w:val="fr-FR"/>
        </w:rPr>
        <w:t>’</w:t>
      </w:r>
      <w:r w:rsidR="003864FF" w:rsidRPr="003864FF">
        <w:rPr>
          <w:rFonts w:asciiTheme="minorBidi" w:hAnsiTheme="minorBidi" w:cstheme="minorBidi"/>
          <w:lang w:val="fr-FR"/>
        </w:rPr>
        <w:t>échange « libre et gratuit », comme c</w:t>
      </w:r>
      <w:r w:rsidR="00E26B0D">
        <w:rPr>
          <w:rFonts w:asciiTheme="minorBidi" w:hAnsiTheme="minorBidi" w:cstheme="minorBidi"/>
          <w:lang w:val="fr-FR"/>
        </w:rPr>
        <w:t>’</w:t>
      </w:r>
      <w:r w:rsidR="003864FF" w:rsidRPr="003864FF">
        <w:rPr>
          <w:rFonts w:asciiTheme="minorBidi" w:hAnsiTheme="minorBidi" w:cstheme="minorBidi"/>
          <w:lang w:val="fr-FR"/>
        </w:rPr>
        <w:t>était le cas dans la politique de 2019, et les États membres devraient être davantage encouragés à partager leurs données</w:t>
      </w:r>
      <w:r>
        <w:rPr>
          <w:rFonts w:asciiTheme="minorBidi" w:hAnsiTheme="minorBidi" w:cstheme="minorBidi"/>
          <w:lang w:val="fr-FR"/>
        </w:rPr>
        <w:t> ;</w:t>
      </w:r>
    </w:p>
    <w:p w14:paraId="3525C1D0" w14:textId="401FAE70" w:rsidR="003864FF" w:rsidRPr="003864FF" w:rsidRDefault="007E2085" w:rsidP="003864FF">
      <w:pPr>
        <w:pStyle w:val="Paragraphedeliste"/>
        <w:numPr>
          <w:ilvl w:val="1"/>
          <w:numId w:val="35"/>
        </w:numPr>
        <w:spacing w:after="240" w:line="240" w:lineRule="auto"/>
        <w:ind w:left="851" w:hanging="284"/>
        <w:contextualSpacing w:val="0"/>
        <w:jc w:val="both"/>
        <w:rPr>
          <w:rFonts w:asciiTheme="minorBidi" w:hAnsiTheme="minorBidi" w:cstheme="minorBidi"/>
          <w:lang w:val="fr-FR"/>
        </w:rPr>
      </w:pPr>
      <w:proofErr w:type="gramStart"/>
      <w:r>
        <w:rPr>
          <w:rFonts w:asciiTheme="minorBidi" w:hAnsiTheme="minorBidi" w:cstheme="minorBidi"/>
          <w:lang w:val="fr-FR"/>
        </w:rPr>
        <w:t>c</w:t>
      </w:r>
      <w:r w:rsidR="003864FF" w:rsidRPr="003864FF">
        <w:rPr>
          <w:rFonts w:asciiTheme="minorBidi" w:hAnsiTheme="minorBidi" w:cstheme="minorBidi"/>
          <w:lang w:val="fr-FR"/>
        </w:rPr>
        <w:t>ontrairement</w:t>
      </w:r>
      <w:proofErr w:type="gramEnd"/>
      <w:r w:rsidR="003864FF" w:rsidRPr="003864FF">
        <w:rPr>
          <w:rFonts w:asciiTheme="minorBidi" w:hAnsiTheme="minorBidi" w:cstheme="minorBidi"/>
          <w:lang w:val="fr-FR"/>
        </w:rPr>
        <w:t xml:space="preserve"> à des organisations telles que l</w:t>
      </w:r>
      <w:r w:rsidR="00E26B0D">
        <w:rPr>
          <w:rFonts w:asciiTheme="minorBidi" w:hAnsiTheme="minorBidi" w:cstheme="minorBidi"/>
          <w:lang w:val="fr-FR"/>
        </w:rPr>
        <w:t>’</w:t>
      </w:r>
      <w:r w:rsidR="003864FF" w:rsidRPr="003864FF">
        <w:rPr>
          <w:rFonts w:asciiTheme="minorBidi" w:hAnsiTheme="minorBidi" w:cstheme="minorBidi"/>
          <w:lang w:val="fr-FR"/>
        </w:rPr>
        <w:t>OMM, la COI ne relève d</w:t>
      </w:r>
      <w:r w:rsidR="00E26B0D">
        <w:rPr>
          <w:rFonts w:asciiTheme="minorBidi" w:hAnsiTheme="minorBidi" w:cstheme="minorBidi"/>
          <w:lang w:val="fr-FR"/>
        </w:rPr>
        <w:t>’</w:t>
      </w:r>
      <w:r w:rsidR="003864FF" w:rsidRPr="003864FF">
        <w:rPr>
          <w:rFonts w:asciiTheme="minorBidi" w:hAnsiTheme="minorBidi" w:cstheme="minorBidi"/>
          <w:lang w:val="fr-FR"/>
        </w:rPr>
        <w:t>aucune convention, de sorte que toute implication dans ses activités se fait sur la base d</w:t>
      </w:r>
      <w:r w:rsidR="00E26B0D">
        <w:rPr>
          <w:rFonts w:asciiTheme="minorBidi" w:hAnsiTheme="minorBidi" w:cstheme="minorBidi"/>
          <w:lang w:val="fr-FR"/>
        </w:rPr>
        <w:t>’</w:t>
      </w:r>
      <w:r w:rsidR="003864FF" w:rsidRPr="003864FF">
        <w:rPr>
          <w:rFonts w:asciiTheme="minorBidi" w:hAnsiTheme="minorBidi" w:cstheme="minorBidi"/>
          <w:lang w:val="fr-FR"/>
        </w:rPr>
        <w:t>une participation et de contributions volontaires</w:t>
      </w:r>
      <w:r>
        <w:rPr>
          <w:rFonts w:asciiTheme="minorBidi" w:hAnsiTheme="minorBidi" w:cstheme="minorBidi"/>
          <w:lang w:val="fr-FR"/>
        </w:rPr>
        <w:t> ;</w:t>
      </w:r>
    </w:p>
    <w:p w14:paraId="0489216E" w14:textId="2A82F081" w:rsidR="003864FF" w:rsidRPr="003864FF" w:rsidRDefault="007E2085" w:rsidP="003864FF">
      <w:pPr>
        <w:pStyle w:val="Paragraphedeliste"/>
        <w:numPr>
          <w:ilvl w:val="1"/>
          <w:numId w:val="35"/>
        </w:numPr>
        <w:spacing w:after="240" w:line="240" w:lineRule="auto"/>
        <w:ind w:left="851" w:hanging="284"/>
        <w:contextualSpacing w:val="0"/>
        <w:jc w:val="both"/>
        <w:rPr>
          <w:rFonts w:asciiTheme="minorBidi" w:hAnsiTheme="minorBidi" w:cstheme="minorBidi"/>
          <w:lang w:val="fr-FR"/>
        </w:rPr>
      </w:pPr>
      <w:proofErr w:type="gramStart"/>
      <w:r>
        <w:rPr>
          <w:rFonts w:asciiTheme="minorBidi" w:hAnsiTheme="minorBidi" w:cstheme="minorBidi"/>
          <w:lang w:val="fr-FR"/>
        </w:rPr>
        <w:t>l</w:t>
      </w:r>
      <w:r w:rsidR="003864FF" w:rsidRPr="003864FF">
        <w:rPr>
          <w:rFonts w:asciiTheme="minorBidi" w:hAnsiTheme="minorBidi" w:cstheme="minorBidi"/>
          <w:lang w:val="fr-FR"/>
        </w:rPr>
        <w:t>es</w:t>
      </w:r>
      <w:proofErr w:type="gramEnd"/>
      <w:r w:rsidR="003864FF" w:rsidRPr="003864FF">
        <w:rPr>
          <w:rFonts w:asciiTheme="minorBidi" w:hAnsiTheme="minorBidi" w:cstheme="minorBidi"/>
          <w:lang w:val="fr-FR"/>
        </w:rPr>
        <w:t xml:space="preserve"> principes FAIR (Facilement trouvable, Accessible, Interopérable et Réutilisable) et CARE (intérêt collectif, droit de regard, responsabilité et éthique) devraient être traités de manière distincte</w:t>
      </w:r>
      <w:r>
        <w:rPr>
          <w:rFonts w:asciiTheme="minorBidi" w:hAnsiTheme="minorBidi" w:cstheme="minorBidi"/>
          <w:lang w:val="fr-FR"/>
        </w:rPr>
        <w:t> ;</w:t>
      </w:r>
    </w:p>
    <w:p w14:paraId="1BD43CC6" w14:textId="5A335F67" w:rsidR="003864FF" w:rsidRPr="003864FF" w:rsidRDefault="00751056" w:rsidP="003864FF">
      <w:pPr>
        <w:pStyle w:val="Paragraphedeliste"/>
        <w:numPr>
          <w:ilvl w:val="1"/>
          <w:numId w:val="35"/>
        </w:numPr>
        <w:spacing w:after="240" w:line="240" w:lineRule="auto"/>
        <w:ind w:left="851" w:hanging="284"/>
        <w:contextualSpacing w:val="0"/>
        <w:jc w:val="both"/>
        <w:rPr>
          <w:rFonts w:asciiTheme="minorBidi" w:hAnsiTheme="minorBidi" w:cstheme="minorBidi"/>
          <w:lang w:val="fr-FR"/>
        </w:rPr>
      </w:pPr>
      <w:proofErr w:type="gramStart"/>
      <w:r>
        <w:rPr>
          <w:rFonts w:asciiTheme="minorBidi" w:hAnsiTheme="minorBidi" w:cstheme="minorBidi"/>
          <w:lang w:val="fr-FR"/>
        </w:rPr>
        <w:t>i</w:t>
      </w:r>
      <w:r w:rsidR="003864FF" w:rsidRPr="003864FF">
        <w:rPr>
          <w:rFonts w:asciiTheme="minorBidi" w:hAnsiTheme="minorBidi" w:cstheme="minorBidi"/>
          <w:lang w:val="fr-FR"/>
        </w:rPr>
        <w:t>l</w:t>
      </w:r>
      <w:proofErr w:type="gramEnd"/>
      <w:r w:rsidR="003864FF" w:rsidRPr="003864FF">
        <w:rPr>
          <w:rFonts w:asciiTheme="minorBidi" w:hAnsiTheme="minorBidi" w:cstheme="minorBidi"/>
          <w:lang w:val="fr-FR"/>
        </w:rPr>
        <w:t xml:space="preserve"> convient d</w:t>
      </w:r>
      <w:r w:rsidR="00E26B0D">
        <w:rPr>
          <w:rFonts w:asciiTheme="minorBidi" w:hAnsiTheme="minorBidi" w:cstheme="minorBidi"/>
          <w:lang w:val="fr-FR"/>
        </w:rPr>
        <w:t>’</w:t>
      </w:r>
      <w:r w:rsidR="003864FF" w:rsidRPr="003864FF">
        <w:rPr>
          <w:rFonts w:asciiTheme="minorBidi" w:hAnsiTheme="minorBidi" w:cstheme="minorBidi"/>
          <w:lang w:val="fr-FR"/>
        </w:rPr>
        <w:t>étayer davantage la partie sur les bonnes pratiques (exemples à l</w:t>
      </w:r>
      <w:r w:rsidR="00E26B0D">
        <w:rPr>
          <w:rFonts w:asciiTheme="minorBidi" w:hAnsiTheme="minorBidi" w:cstheme="minorBidi"/>
          <w:lang w:val="fr-FR"/>
        </w:rPr>
        <w:t>’</w:t>
      </w:r>
      <w:r w:rsidR="003864FF" w:rsidRPr="003864FF">
        <w:rPr>
          <w:rFonts w:asciiTheme="minorBidi" w:hAnsiTheme="minorBidi" w:cstheme="minorBidi"/>
          <w:lang w:val="fr-FR"/>
        </w:rPr>
        <w:t>appui)</w:t>
      </w:r>
      <w:r>
        <w:rPr>
          <w:rFonts w:asciiTheme="minorBidi" w:hAnsiTheme="minorBidi" w:cstheme="minorBidi"/>
          <w:lang w:val="fr-FR"/>
        </w:rPr>
        <w:t> ;</w:t>
      </w:r>
    </w:p>
    <w:p w14:paraId="382C3A2B" w14:textId="4763F4E2" w:rsidR="003864FF" w:rsidRPr="00044831" w:rsidRDefault="00751056" w:rsidP="003864FF">
      <w:pPr>
        <w:pStyle w:val="Paragraphedeliste"/>
        <w:numPr>
          <w:ilvl w:val="1"/>
          <w:numId w:val="35"/>
        </w:numPr>
        <w:spacing w:after="240" w:line="240" w:lineRule="auto"/>
        <w:ind w:left="851" w:hanging="284"/>
        <w:contextualSpacing w:val="0"/>
        <w:jc w:val="both"/>
        <w:rPr>
          <w:rFonts w:cs="Arial"/>
          <w:lang w:val="fr-FR"/>
        </w:rPr>
      </w:pPr>
      <w:proofErr w:type="gramStart"/>
      <w:r>
        <w:rPr>
          <w:rFonts w:asciiTheme="minorBidi" w:hAnsiTheme="minorBidi" w:cstheme="minorBidi"/>
          <w:lang w:val="fr-FR"/>
        </w:rPr>
        <w:t>l</w:t>
      </w:r>
      <w:r w:rsidR="003864FF" w:rsidRPr="003864FF">
        <w:rPr>
          <w:rFonts w:asciiTheme="minorBidi" w:hAnsiTheme="minorBidi" w:cstheme="minorBidi"/>
          <w:lang w:val="fr-FR"/>
        </w:rPr>
        <w:t>es</w:t>
      </w:r>
      <w:proofErr w:type="gramEnd"/>
      <w:r w:rsidR="003864FF" w:rsidRPr="003864FF">
        <w:rPr>
          <w:rFonts w:asciiTheme="minorBidi" w:hAnsiTheme="minorBidi" w:cstheme="minorBidi"/>
          <w:lang w:val="fr-FR"/>
        </w:rPr>
        <w:t xml:space="preserve"> principes du Projet </w:t>
      </w:r>
      <w:proofErr w:type="spellStart"/>
      <w:r w:rsidR="003864FF" w:rsidRPr="003864FF">
        <w:rPr>
          <w:rFonts w:asciiTheme="minorBidi" w:hAnsiTheme="minorBidi" w:cstheme="minorBidi"/>
          <w:lang w:val="fr-FR"/>
        </w:rPr>
        <w:t>Ocean</w:t>
      </w:r>
      <w:proofErr w:type="spellEnd"/>
      <w:r w:rsidR="003864FF" w:rsidRPr="003864FF">
        <w:rPr>
          <w:rFonts w:asciiTheme="minorBidi" w:hAnsiTheme="minorBidi" w:cstheme="minorBidi"/>
          <w:lang w:val="fr-FR"/>
        </w:rPr>
        <w:t xml:space="preserve"> </w:t>
      </w:r>
      <w:proofErr w:type="spellStart"/>
      <w:r w:rsidR="003864FF" w:rsidRPr="003864FF">
        <w:rPr>
          <w:rFonts w:asciiTheme="minorBidi" w:hAnsiTheme="minorBidi" w:cstheme="minorBidi"/>
          <w:lang w:val="fr-FR"/>
        </w:rPr>
        <w:t>InfoHub</w:t>
      </w:r>
      <w:proofErr w:type="spellEnd"/>
      <w:r w:rsidR="003864FF" w:rsidRPr="003864FF">
        <w:rPr>
          <w:rFonts w:asciiTheme="minorBidi" w:hAnsiTheme="minorBidi" w:cstheme="minorBidi"/>
          <w:lang w:val="fr-FR"/>
        </w:rPr>
        <w:t xml:space="preserve"> devraient peut-être être mentionnés.</w:t>
      </w:r>
    </w:p>
    <w:p w14:paraId="13C04CFB" w14:textId="656AF840" w:rsidR="003864FF" w:rsidRPr="00044831" w:rsidRDefault="003864FF" w:rsidP="003864FF">
      <w:pPr>
        <w:spacing w:after="240"/>
        <w:jc w:val="both"/>
      </w:pPr>
      <w:r w:rsidRPr="003864FF">
        <w:t>9.</w:t>
      </w:r>
      <w:r w:rsidRPr="003864FF">
        <w:tab/>
      </w:r>
      <w:r>
        <w:rPr>
          <w:u w:val="single"/>
        </w:rPr>
        <w:t>ÉTAPE 6</w:t>
      </w:r>
      <w:r w:rsidRPr="00751056">
        <w:t> :</w:t>
      </w:r>
      <w:r>
        <w:t xml:space="preserve"> sur la base des retours d</w:t>
      </w:r>
      <w:r w:rsidR="00E26B0D">
        <w:t>’</w:t>
      </w:r>
      <w:r>
        <w:t xml:space="preserve">informations obtenus aux étapes 4 et 5, une version révisée du projet de politique a été élaborée. </w:t>
      </w:r>
    </w:p>
    <w:p w14:paraId="5355E5FD" w14:textId="34067570" w:rsidR="003864FF" w:rsidRPr="00044831" w:rsidRDefault="003864FF" w:rsidP="00751056">
      <w:pPr>
        <w:spacing w:after="240"/>
        <w:ind w:left="567"/>
        <w:jc w:val="both"/>
      </w:pPr>
      <w:r>
        <w:rPr>
          <w:u w:val="single"/>
        </w:rPr>
        <w:t>ÉTAPE 6A</w:t>
      </w:r>
      <w:r w:rsidR="00751056">
        <w:t> </w:t>
      </w:r>
      <w:r w:rsidRPr="00751056">
        <w:t>:</w:t>
      </w:r>
      <w:r>
        <w:t xml:space="preserve"> cette version révisée a été communiquée en décembre 2022 à la communauté de l</w:t>
      </w:r>
      <w:r w:rsidR="00E26B0D">
        <w:t>’</w:t>
      </w:r>
      <w:r>
        <w:t>IODE (coordonnateurs nationaux de l</w:t>
      </w:r>
      <w:r w:rsidR="00E26B0D">
        <w:t>’</w:t>
      </w:r>
      <w:r>
        <w:t>IODE chargés de la gestion des données, coordonnateurs nationaux de l</w:t>
      </w:r>
      <w:r w:rsidR="00E26B0D">
        <w:t>’</w:t>
      </w:r>
      <w:r>
        <w:t>IODE chargés de la gestion de l</w:t>
      </w:r>
      <w:r w:rsidR="00E26B0D">
        <w:t>’</w:t>
      </w:r>
      <w:r>
        <w:t>information marine, points de contact des unités de données associées et points de contact AIU).</w:t>
      </w:r>
    </w:p>
    <w:p w14:paraId="21650C94" w14:textId="5515DBBE" w:rsidR="003864FF" w:rsidRPr="00044831" w:rsidRDefault="003864FF" w:rsidP="003864FF">
      <w:pPr>
        <w:spacing w:after="240"/>
        <w:jc w:val="both"/>
      </w:pPr>
      <w:r w:rsidRPr="003864FF">
        <w:t>10.</w:t>
      </w:r>
      <w:r w:rsidRPr="003864FF">
        <w:tab/>
      </w:r>
      <w:r>
        <w:rPr>
          <w:u w:val="single"/>
        </w:rPr>
        <w:t>ÉTAPE 7</w:t>
      </w:r>
      <w:r w:rsidRPr="00B331B5">
        <w:t> :</w:t>
      </w:r>
      <w:r>
        <w:t xml:space="preserve"> le Groupe de travail intersessions a soumis l</w:t>
      </w:r>
      <w:r w:rsidR="00E26B0D">
        <w:t>’</w:t>
      </w:r>
      <w:r>
        <w:t xml:space="preserve">avant-projet de </w:t>
      </w:r>
      <w:r w:rsidRPr="00503F9D">
        <w:t>nouvelles « Politique et conditions d</w:t>
      </w:r>
      <w:r w:rsidR="00E26B0D" w:rsidRPr="00503F9D">
        <w:t>’</w:t>
      </w:r>
      <w:r w:rsidRPr="00503F9D">
        <w:t>utilisation des données de la COI (2023) » à</w:t>
      </w:r>
      <w:r>
        <w:t xml:space="preserve"> l</w:t>
      </w:r>
      <w:r w:rsidR="00E26B0D">
        <w:t>’</w:t>
      </w:r>
      <w:r>
        <w:t xml:space="preserve">IODE à sa </w:t>
      </w:r>
      <w:r w:rsidR="00B331B5">
        <w:t>27</w:t>
      </w:r>
      <w:r w:rsidR="00B331B5" w:rsidRPr="00B331B5">
        <w:rPr>
          <w:vertAlign w:val="superscript"/>
        </w:rPr>
        <w:t>e</w:t>
      </w:r>
      <w:r>
        <w:t xml:space="preserve"> session (qui s</w:t>
      </w:r>
      <w:r w:rsidR="00E26B0D">
        <w:t>’</w:t>
      </w:r>
      <w:r>
        <w:t>est tenue au Siège de l</w:t>
      </w:r>
      <w:r w:rsidR="00E26B0D">
        <w:t>’</w:t>
      </w:r>
      <w:r>
        <w:t xml:space="preserve">UNESCO, à Paris, les 22 et 23 mars 2023) dans le document </w:t>
      </w:r>
      <w:hyperlink r:id="rId14" w:history="1">
        <w:r w:rsidRPr="00B331B5">
          <w:rPr>
            <w:rStyle w:val="Lienhypertexte"/>
          </w:rPr>
          <w:t>IOC/IODE-XXVII/6.4</w:t>
        </w:r>
      </w:hyperlink>
      <w:r>
        <w:t>. Le Comité de la COI sur l</w:t>
      </w:r>
      <w:r w:rsidR="00E26B0D">
        <w:t>’</w:t>
      </w:r>
      <w:r>
        <w:t>IODE a vivement remercié le Groupe de travail intersessions ainsi que tous les autres experts qui ont participé au processus d</w:t>
      </w:r>
      <w:r w:rsidR="00E26B0D">
        <w:t>’</w:t>
      </w:r>
      <w:r>
        <w:t xml:space="preserve">élaboration de la </w:t>
      </w:r>
      <w:r w:rsidRPr="0017170A">
        <w:t>nouvelle politique, et</w:t>
      </w:r>
      <w:r>
        <w:t xml:space="preserve"> a adopté </w:t>
      </w:r>
      <w:r>
        <w:lastRenderedPageBreak/>
        <w:t xml:space="preserve">la </w:t>
      </w:r>
      <w:hyperlink r:id="rId15" w:anchor="rec2" w:history="1">
        <w:r w:rsidRPr="00B331B5">
          <w:rPr>
            <w:rStyle w:val="Lienhypertexte"/>
          </w:rPr>
          <w:t>Recommandation IODE-XXVII/6.4</w:t>
        </w:r>
      </w:hyperlink>
      <w:r>
        <w:t>, qui sera examinée par l</w:t>
      </w:r>
      <w:r w:rsidR="00E26B0D">
        <w:t>’</w:t>
      </w:r>
      <w:r>
        <w:t>Assemblée de la COI (« Politique et conditions d</w:t>
      </w:r>
      <w:r w:rsidR="00E26B0D">
        <w:t>’</w:t>
      </w:r>
      <w:r>
        <w:t>utilisation des données de la COI (2023) ») (</w:t>
      </w:r>
      <w:r>
        <w:rPr>
          <w:u w:val="single"/>
        </w:rPr>
        <w:t>ÉTAPE 8</w:t>
      </w:r>
      <w:r>
        <w:t xml:space="preserve"> du processus).</w:t>
      </w:r>
    </w:p>
    <w:p w14:paraId="3CA0524C" w14:textId="71E6C729" w:rsidR="003864FF" w:rsidRPr="00F70964" w:rsidRDefault="003864FF" w:rsidP="003864FF">
      <w:pPr>
        <w:spacing w:after="240"/>
        <w:jc w:val="both"/>
      </w:pPr>
      <w:r>
        <w:t>11.</w:t>
      </w:r>
      <w:r>
        <w:tab/>
        <w:t>Il est à noter que les « Politique et conditions d</w:t>
      </w:r>
      <w:r w:rsidR="00E26B0D">
        <w:t>’</w:t>
      </w:r>
      <w:r>
        <w:t>utilisation des données de la COI (2023) » constituent un ensemble de dispositifs définissant des lignes directrices générales convenues pour tous les programmes et projets de la COI. Le Groupe de travail intersessions a constaté que les projets et programmes de la COI avaient affaire à des catégories de données très diverses qui nécessitent des calendriers, des conditions de partage et des licences d</w:t>
      </w:r>
      <w:r w:rsidR="00E26B0D">
        <w:t>’</w:t>
      </w:r>
      <w:r>
        <w:t>utilisation différents. Il est donc recommandé que des directives plus détaillées soient élaborées par les équipes de chacun des programmes et projets afin de permettre la mise en œuvre des « Politique et conditions d</w:t>
      </w:r>
      <w:r w:rsidR="00E26B0D">
        <w:t>’</w:t>
      </w:r>
      <w:r>
        <w:t>utilisation des données de la COI (2023) » en tenant compte des problématiques spécifiques des catégories de données traitées. De même, ces programmes/projets devront prendre en compte le fait que les centres ou systèmes qui collectent et diffusent les données auprès de sources variées risquent de se heurter à d</w:t>
      </w:r>
      <w:r w:rsidR="00E26B0D">
        <w:t>’</w:t>
      </w:r>
      <w:r>
        <w:t>importantes difficultés techniques s</w:t>
      </w:r>
      <w:r w:rsidR="00E26B0D">
        <w:t>’</w:t>
      </w:r>
      <w:r>
        <w:t>ils doivent gérer des licences d</w:t>
      </w:r>
      <w:r w:rsidR="00E26B0D">
        <w:t>’</w:t>
      </w:r>
      <w:r>
        <w:t>utilisation très diverses. Des accords spécifiques peuvent être nécessaires le cas échéant.</w:t>
      </w:r>
    </w:p>
    <w:p w14:paraId="6D8200DA" w14:textId="77777777" w:rsidR="003864FF" w:rsidRPr="003864FF" w:rsidRDefault="003864FF" w:rsidP="003864FF">
      <w:pPr>
        <w:pStyle w:val="COI"/>
        <w:rPr>
          <w:b/>
          <w:bCs/>
          <w:lang w:val="fr-FR"/>
        </w:rPr>
      </w:pPr>
      <w:r>
        <w:rPr>
          <w:b/>
          <w:bCs/>
          <w:lang w:val="fr-FR"/>
        </w:rPr>
        <w:t>Projet de décision proposé</w:t>
      </w:r>
    </w:p>
    <w:p w14:paraId="1548A09E" w14:textId="0CE395B4" w:rsidR="006E2A83" w:rsidRPr="003864FF" w:rsidRDefault="003864FF" w:rsidP="003864FF">
      <w:pPr>
        <w:spacing w:after="240"/>
        <w:jc w:val="both"/>
        <w:rPr>
          <w:u w:val="single"/>
        </w:rPr>
      </w:pPr>
      <w:r>
        <w:t>12.</w:t>
      </w:r>
      <w:r>
        <w:tab/>
        <w:t>Compte tenu de ce qui précède, l</w:t>
      </w:r>
      <w:r w:rsidR="00E26B0D">
        <w:t>’</w:t>
      </w:r>
      <w:r>
        <w:t xml:space="preserve">Assemblée de la COI souhaitera peut-être examiner la </w:t>
      </w:r>
      <w:r w:rsidR="00B331B5">
        <w:t>d</w:t>
      </w:r>
      <w:r>
        <w:t>écision IOC</w:t>
      </w:r>
      <w:r w:rsidR="00C67B70">
        <w:t>/A</w:t>
      </w:r>
      <w:r>
        <w:t>-32/4.4, ainsi que la proposition de nouvelles « Politique et conditions d</w:t>
      </w:r>
      <w:r w:rsidR="00E26B0D">
        <w:t>’</w:t>
      </w:r>
      <w:r>
        <w:t>utilisation des données de la COI (2023) » figurant dans le Document provisoire relatif aux décisions à adopter (IOC</w:t>
      </w:r>
      <w:r w:rsidR="00DA45FE">
        <w:t>/A</w:t>
      </w:r>
      <w:r>
        <w:t>-32/2 Prov.).</w:t>
      </w:r>
    </w:p>
    <w:sectPr w:rsidR="006E2A83" w:rsidRPr="003864FF" w:rsidSect="003F7186">
      <w:headerReference w:type="even" r:id="rId16"/>
      <w:headerReference w:type="default" r:id="rId17"/>
      <w:footerReference w:type="even" r:id="rId18"/>
      <w:footerReference w:type="default" r:id="rId19"/>
      <w:headerReference w:type="first" r:id="rId20"/>
      <w:footerReference w:type="first" r:id="rId21"/>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768E6" w14:textId="77777777" w:rsidR="00CA38AC" w:rsidRDefault="00CA38AC">
      <w:r>
        <w:separator/>
      </w:r>
    </w:p>
  </w:endnote>
  <w:endnote w:type="continuationSeparator" w:id="0">
    <w:p w14:paraId="019F0D81" w14:textId="77777777" w:rsidR="00CA38AC" w:rsidRDefault="00CA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EC92" w14:textId="77777777" w:rsidR="00732C1F" w:rsidRDefault="00732C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F738" w14:textId="77777777" w:rsidR="00732C1F" w:rsidRDefault="00732C1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6230" w14:textId="77777777" w:rsidR="00732C1F" w:rsidRDefault="00732C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22DD" w14:textId="77777777" w:rsidR="00CA38AC" w:rsidRDefault="00CA38AC">
      <w:r>
        <w:separator/>
      </w:r>
    </w:p>
  </w:footnote>
  <w:footnote w:type="continuationSeparator" w:id="0">
    <w:p w14:paraId="04FCF130" w14:textId="77777777" w:rsidR="00CA38AC" w:rsidRDefault="00CA3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7D8F" w14:textId="118AB966" w:rsidR="003F3C42" w:rsidRPr="00FF54F5" w:rsidRDefault="003F3C42" w:rsidP="003F3C42">
    <w:pPr>
      <w:pStyle w:val="En-tte"/>
      <w:spacing w:after="240"/>
      <w:rPr>
        <w:rFonts w:cs="Arial"/>
        <w:bCs/>
        <w:szCs w:val="22"/>
      </w:rPr>
    </w:pPr>
    <w:bookmarkStart w:id="0" w:name="_Hlk130197366"/>
    <w:r w:rsidRPr="00352423">
      <w:rPr>
        <w:rFonts w:cs="Arial"/>
        <w:bCs/>
        <w:szCs w:val="22"/>
      </w:rPr>
      <w:t>IOC/</w:t>
    </w:r>
    <w:r w:rsidR="000723F0">
      <w:rPr>
        <w:rFonts w:cs="Arial"/>
        <w:bCs/>
        <w:szCs w:val="22"/>
      </w:rPr>
      <w:t>A-32/2.1.Doc Prov.</w:t>
    </w:r>
    <w:bookmarkEnd w:id="0"/>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p w14:paraId="46CE599C" w14:textId="069EC3C1" w:rsidR="00755CED" w:rsidRPr="003F3C42" w:rsidRDefault="00755CED" w:rsidP="003F3C4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5053704D" w:rsidR="00755CED" w:rsidRDefault="000723F0" w:rsidP="000723F0">
    <w:pPr>
      <w:pStyle w:val="En-tte"/>
      <w:jc w:val="right"/>
    </w:pPr>
    <w:r w:rsidRPr="00352423">
      <w:rPr>
        <w:rFonts w:cs="Arial"/>
        <w:bCs/>
        <w:szCs w:val="22"/>
      </w:rPr>
      <w:t>IOC/</w:t>
    </w:r>
    <w:r>
      <w:rPr>
        <w:rFonts w:cs="Arial"/>
        <w:bCs/>
        <w:szCs w:val="22"/>
      </w:rPr>
      <w:t xml:space="preserve">A-32/2.1.Doc Prov. – page </w:t>
    </w:r>
    <w:r w:rsidR="00755CED">
      <w:fldChar w:fldCharType="begin"/>
    </w:r>
    <w:r w:rsidR="00755CED">
      <w:instrText>PAGE   \* MERGEFORMAT</w:instrText>
    </w:r>
    <w:r w:rsidR="00755CED">
      <w:fldChar w:fldCharType="separate"/>
    </w:r>
    <w:r w:rsidR="004D05D2">
      <w:rPr>
        <w:noProof/>
      </w:rPr>
      <w:t>13</w:t>
    </w:r>
    <w:r w:rsidR="00755C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3A6F683D" w:rsidR="00EB3895" w:rsidRDefault="000723F0">
    <w:pPr>
      <w:pStyle w:val="En-tte"/>
    </w:pPr>
    <w:r>
      <w:rPr>
        <w:noProof/>
      </w:rPr>
      <mc:AlternateContent>
        <mc:Choice Requires="wps">
          <w:drawing>
            <wp:anchor distT="45720" distB="45720" distL="114300" distR="114300" simplePos="0" relativeHeight="251661312" behindDoc="0" locked="0" layoutInCell="1" allowOverlap="1" wp14:anchorId="695F0820" wp14:editId="5BFDF62F">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6C6242B4" w14:textId="43E366B6" w:rsidR="00EB3895" w:rsidRPr="002A5D14" w:rsidRDefault="00EB3895" w:rsidP="00EB3895">
                          <w:pPr>
                            <w:pStyle w:val="Marge"/>
                            <w:tabs>
                              <w:tab w:val="left" w:pos="6237"/>
                              <w:tab w:val="left" w:pos="7088"/>
                            </w:tabs>
                            <w:spacing w:after="0"/>
                            <w:rPr>
                              <w:rFonts w:cs="Arial"/>
                              <w:b/>
                              <w:sz w:val="36"/>
                              <w:szCs w:val="36"/>
                            </w:rPr>
                          </w:pPr>
                          <w:bookmarkStart w:id="1"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1"/>
                          <w:r w:rsidR="003864FF">
                            <w:rPr>
                              <w:rFonts w:cs="Arial"/>
                              <w:b/>
                              <w:sz w:val="36"/>
                              <w:szCs w:val="36"/>
                            </w:rPr>
                            <w:t>4.</w:t>
                          </w:r>
                          <w:proofErr w:type="gramStart"/>
                          <w:r w:rsidR="003864FF">
                            <w:rPr>
                              <w:rFonts w:cs="Arial"/>
                              <w:b/>
                              <w:sz w:val="36"/>
                              <w:szCs w:val="36"/>
                            </w:rPr>
                            <w:t>4</w:t>
                          </w:r>
                          <w:r w:rsidR="00F97E19">
                            <w:rPr>
                              <w:rFonts w:cs="Arial"/>
                              <w:b/>
                              <w:sz w:val="36"/>
                              <w:szCs w:val="36"/>
                            </w:rPr>
                            <w:t>.Doc</w:t>
                          </w:r>
                          <w:proofErr w:type="gramEnd"/>
                          <w:r w:rsidR="00F97E19">
                            <w:rPr>
                              <w:rFonts w:cs="Arial"/>
                              <w:b/>
                              <w:sz w:val="36"/>
                              <w:szCs w:val="36"/>
                            </w:rPr>
                            <w:t>(1)</w:t>
                          </w:r>
                        </w:p>
                        <w:p w14:paraId="10A5E3DC" w14:textId="073B677E"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3864FF">
                            <w:rPr>
                              <w:rFonts w:cs="Arial"/>
                              <w:szCs w:val="22"/>
                            </w:rPr>
                            <w:t>17 avril</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81.5pt;margin-top:-7.4pt;width:20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6C6242B4" w14:textId="43E366B6" w:rsidR="00EB3895" w:rsidRPr="002A5D14" w:rsidRDefault="00EB3895" w:rsidP="00EB3895">
                    <w:pPr>
                      <w:pStyle w:val="Marge"/>
                      <w:tabs>
                        <w:tab w:val="left" w:pos="6237"/>
                        <w:tab w:val="left" w:pos="7088"/>
                      </w:tabs>
                      <w:spacing w:after="0"/>
                      <w:rPr>
                        <w:rFonts w:cs="Arial"/>
                        <w:b/>
                        <w:sz w:val="36"/>
                        <w:szCs w:val="36"/>
                      </w:rPr>
                    </w:pPr>
                    <w:bookmarkStart w:id="2"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2"/>
                    <w:r w:rsidR="003864FF">
                      <w:rPr>
                        <w:rFonts w:cs="Arial"/>
                        <w:b/>
                        <w:sz w:val="36"/>
                        <w:szCs w:val="36"/>
                      </w:rPr>
                      <w:t>4.</w:t>
                    </w:r>
                    <w:proofErr w:type="gramStart"/>
                    <w:r w:rsidR="003864FF">
                      <w:rPr>
                        <w:rFonts w:cs="Arial"/>
                        <w:b/>
                        <w:sz w:val="36"/>
                        <w:szCs w:val="36"/>
                      </w:rPr>
                      <w:t>4</w:t>
                    </w:r>
                    <w:r w:rsidR="00F97E19">
                      <w:rPr>
                        <w:rFonts w:cs="Arial"/>
                        <w:b/>
                        <w:sz w:val="36"/>
                        <w:szCs w:val="36"/>
                      </w:rPr>
                      <w:t>.Doc</w:t>
                    </w:r>
                    <w:proofErr w:type="gramEnd"/>
                    <w:r w:rsidR="00F97E19">
                      <w:rPr>
                        <w:rFonts w:cs="Arial"/>
                        <w:b/>
                        <w:sz w:val="36"/>
                        <w:szCs w:val="36"/>
                      </w:rPr>
                      <w:t>(1)</w:t>
                    </w:r>
                  </w:p>
                  <w:p w14:paraId="10A5E3DC" w14:textId="073B677E"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3864FF">
                      <w:rPr>
                        <w:rFonts w:cs="Arial"/>
                        <w:szCs w:val="22"/>
                      </w:rPr>
                      <w:t>17 avril</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2EBE22C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E6F0" w14:textId="393CA7E2" w:rsidR="00EE10D0" w:rsidRPr="00EE10D0" w:rsidRDefault="00E26B0D" w:rsidP="00EE10D0">
    <w:pPr>
      <w:pStyle w:val="En-tte"/>
      <w:rPr>
        <w:rFonts w:cs="Arial"/>
        <w:color w:val="000000" w:themeColor="text1"/>
        <w:sz w:val="20"/>
        <w:szCs w:val="20"/>
      </w:rPr>
    </w:pPr>
    <w:r>
      <w:t>IOC</w:t>
    </w:r>
    <w:r w:rsidR="00DA45FE">
      <w:t>/A</w:t>
    </w:r>
    <w:r>
      <w:t>-32/4.</w:t>
    </w:r>
    <w:proofErr w:type="gramStart"/>
    <w:r>
      <w:t>4.Doc</w:t>
    </w:r>
    <w:proofErr w:type="gramEnd"/>
    <w:r>
      <w:t>(1)</w:t>
    </w:r>
  </w:p>
  <w:p w14:paraId="751C66BE" w14:textId="77777777" w:rsidR="00020AA1" w:rsidRPr="006842FA" w:rsidRDefault="00E26B0D" w:rsidP="00746B89">
    <w:pPr>
      <w:pStyle w:val="En-tte"/>
      <w:tabs>
        <w:tab w:val="clear" w:pos="8306"/>
      </w:tabs>
      <w:rPr>
        <w:rFonts w:cs="Arial"/>
        <w:sz w:val="20"/>
        <w:szCs w:val="20"/>
      </w:rPr>
    </w:pPr>
    <w:proofErr w:type="gramStart"/>
    <w:r w:rsidRPr="00732C1F">
      <w:rPr>
        <w:rFonts w:cs="Arial"/>
        <w:szCs w:val="22"/>
      </w:rPr>
      <w:t>page</w:t>
    </w:r>
    <w:proofErr w:type="gramEnd"/>
    <w:r w:rsidRPr="00732C1F">
      <w:rPr>
        <w:rFonts w:cs="Arial"/>
        <w:szCs w:val="22"/>
      </w:rPr>
      <w:t> </w:t>
    </w:r>
    <w:r w:rsidRPr="00732C1F">
      <w:rPr>
        <w:rStyle w:val="Numrodepage"/>
        <w:rFonts w:cs="Arial"/>
        <w:szCs w:val="22"/>
      </w:rPr>
      <w:fldChar w:fldCharType="begin"/>
    </w:r>
    <w:r w:rsidRPr="00732C1F">
      <w:rPr>
        <w:rStyle w:val="Numrodepage"/>
        <w:rFonts w:cs="Arial"/>
        <w:szCs w:val="22"/>
      </w:rPr>
      <w:instrText xml:space="preserve"> PAGE </w:instrText>
    </w:r>
    <w:r w:rsidRPr="00732C1F">
      <w:rPr>
        <w:rStyle w:val="Numrodepage"/>
        <w:rFonts w:cs="Arial"/>
        <w:szCs w:val="22"/>
      </w:rPr>
      <w:fldChar w:fldCharType="separate"/>
    </w:r>
    <w:r w:rsidRPr="00732C1F">
      <w:rPr>
        <w:rStyle w:val="Numrodepage"/>
        <w:rFonts w:cs="Arial"/>
        <w:noProof/>
        <w:szCs w:val="22"/>
      </w:rPr>
      <w:t>2</w:t>
    </w:r>
    <w:r w:rsidRPr="00732C1F">
      <w:rPr>
        <w:rStyle w:val="Numrodepage"/>
        <w:rFonts w:cs="Arial"/>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54F" w14:textId="3CBBD806" w:rsidR="00020AA1" w:rsidRPr="00732C1F" w:rsidRDefault="00E26B0D" w:rsidP="00DA45FE">
    <w:pPr>
      <w:pStyle w:val="En-tte"/>
      <w:ind w:left="7230"/>
      <w:rPr>
        <w:rFonts w:cs="Arial"/>
        <w:color w:val="000000" w:themeColor="text1"/>
        <w:sz w:val="20"/>
        <w:szCs w:val="20"/>
      </w:rPr>
    </w:pPr>
    <w:r>
      <w:t>IOC</w:t>
    </w:r>
    <w:r w:rsidR="00DA45FE">
      <w:t>/A</w:t>
    </w:r>
    <w:r>
      <w:t>-32/4.</w:t>
    </w:r>
    <w:proofErr w:type="gramStart"/>
    <w:r>
      <w:t>4.Doc</w:t>
    </w:r>
    <w:proofErr w:type="gramEnd"/>
    <w:r>
      <w:t>(1)</w:t>
    </w:r>
    <w:r w:rsidR="00732C1F">
      <w:rPr>
        <w:rFonts w:cs="Arial"/>
        <w:color w:val="000000" w:themeColor="text1"/>
        <w:sz w:val="20"/>
        <w:szCs w:val="20"/>
      </w:rPr>
      <w:br/>
    </w:r>
    <w:r w:rsidRPr="00732C1F">
      <w:rPr>
        <w:rFonts w:cs="Arial"/>
      </w:rPr>
      <w:t>page </w:t>
    </w:r>
    <w:r w:rsidRPr="00732C1F">
      <w:rPr>
        <w:rStyle w:val="Numrodepage"/>
        <w:rFonts w:cs="Arial"/>
      </w:rPr>
      <w:fldChar w:fldCharType="begin"/>
    </w:r>
    <w:r w:rsidRPr="00732C1F">
      <w:rPr>
        <w:rStyle w:val="Numrodepage"/>
        <w:rFonts w:cs="Arial"/>
      </w:rPr>
      <w:instrText xml:space="preserve"> PAGE </w:instrText>
    </w:r>
    <w:r w:rsidRPr="00732C1F">
      <w:rPr>
        <w:rStyle w:val="Numrodepage"/>
        <w:rFonts w:cs="Arial"/>
      </w:rPr>
      <w:fldChar w:fldCharType="separate"/>
    </w:r>
    <w:r w:rsidRPr="00732C1F">
      <w:rPr>
        <w:rStyle w:val="Numrodepage"/>
        <w:rFonts w:cs="Arial"/>
        <w:noProof/>
      </w:rPr>
      <w:t>3</w:t>
    </w:r>
    <w:r w:rsidRPr="00732C1F">
      <w:rPr>
        <w:rStyle w:val="Numrodepage"/>
        <w:rFonts w:cs="Aria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2736" w14:textId="314DC0F6" w:rsidR="00020AA1" w:rsidRPr="00EE10D0" w:rsidRDefault="00E26B0D" w:rsidP="00294AD5">
    <w:pPr>
      <w:pStyle w:val="En-tte"/>
      <w:jc w:val="right"/>
      <w:rPr>
        <w:rFonts w:cs="Arial"/>
        <w:color w:val="000000" w:themeColor="text1"/>
        <w:sz w:val="20"/>
        <w:szCs w:val="20"/>
      </w:rPr>
    </w:pPr>
    <w:r>
      <w:t>IOC</w:t>
    </w:r>
    <w:r w:rsidR="00DA45FE">
      <w:t>/A</w:t>
    </w:r>
    <w:r>
      <w:t>-32/4.</w:t>
    </w:r>
    <w:proofErr w:type="gramStart"/>
    <w:r>
      <w:t>4.Doc</w:t>
    </w:r>
    <w:proofErr w:type="gramEnd"/>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8"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6"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24"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331786">
    <w:abstractNumId w:val="7"/>
  </w:num>
  <w:num w:numId="2" w16cid:durableId="1267154687">
    <w:abstractNumId w:val="7"/>
  </w:num>
  <w:num w:numId="3" w16cid:durableId="963846369">
    <w:abstractNumId w:val="4"/>
  </w:num>
  <w:num w:numId="4" w16cid:durableId="773785167">
    <w:abstractNumId w:val="18"/>
  </w:num>
  <w:num w:numId="5" w16cid:durableId="1013070056">
    <w:abstractNumId w:val="9"/>
  </w:num>
  <w:num w:numId="6" w16cid:durableId="1339650376">
    <w:abstractNumId w:val="11"/>
  </w:num>
  <w:num w:numId="7" w16cid:durableId="1812166786">
    <w:abstractNumId w:val="22"/>
  </w:num>
  <w:num w:numId="8" w16cid:durableId="1854416480">
    <w:abstractNumId w:val="16"/>
  </w:num>
  <w:num w:numId="9" w16cid:durableId="501549823">
    <w:abstractNumId w:val="4"/>
  </w:num>
  <w:num w:numId="10" w16cid:durableId="944380961">
    <w:abstractNumId w:val="4"/>
  </w:num>
  <w:num w:numId="11" w16cid:durableId="909577179">
    <w:abstractNumId w:val="4"/>
  </w:num>
  <w:num w:numId="12" w16cid:durableId="1677732752">
    <w:abstractNumId w:val="4"/>
  </w:num>
  <w:num w:numId="13" w16cid:durableId="1577281272">
    <w:abstractNumId w:val="13"/>
  </w:num>
  <w:num w:numId="14" w16cid:durableId="579562946">
    <w:abstractNumId w:val="1"/>
  </w:num>
  <w:num w:numId="15" w16cid:durableId="316300898">
    <w:abstractNumId w:val="12"/>
  </w:num>
  <w:num w:numId="16" w16cid:durableId="1343095299">
    <w:abstractNumId w:val="4"/>
  </w:num>
  <w:num w:numId="17" w16cid:durableId="1151142221">
    <w:abstractNumId w:val="2"/>
  </w:num>
  <w:num w:numId="18" w16cid:durableId="1353873736">
    <w:abstractNumId w:val="4"/>
  </w:num>
  <w:num w:numId="19" w16cid:durableId="58868506">
    <w:abstractNumId w:val="0"/>
  </w:num>
  <w:num w:numId="20" w16cid:durableId="1071270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445787">
    <w:abstractNumId w:val="15"/>
  </w:num>
  <w:num w:numId="22" w16cid:durableId="1691495095">
    <w:abstractNumId w:val="5"/>
  </w:num>
  <w:num w:numId="23" w16cid:durableId="932591313">
    <w:abstractNumId w:val="25"/>
  </w:num>
  <w:num w:numId="24" w16cid:durableId="2087409397">
    <w:abstractNumId w:val="3"/>
  </w:num>
  <w:num w:numId="25" w16cid:durableId="1493058797">
    <w:abstractNumId w:val="20"/>
  </w:num>
  <w:num w:numId="26" w16cid:durableId="38868474">
    <w:abstractNumId w:val="6"/>
  </w:num>
  <w:num w:numId="27" w16cid:durableId="550772872">
    <w:abstractNumId w:val="19"/>
  </w:num>
  <w:num w:numId="28" w16cid:durableId="1107196363">
    <w:abstractNumId w:val="10"/>
  </w:num>
  <w:num w:numId="29" w16cid:durableId="888885141">
    <w:abstractNumId w:val="26"/>
  </w:num>
  <w:num w:numId="30" w16cid:durableId="321665268">
    <w:abstractNumId w:val="14"/>
  </w:num>
  <w:num w:numId="31" w16cid:durableId="1412461504">
    <w:abstractNumId w:val="21"/>
  </w:num>
  <w:num w:numId="32" w16cid:durableId="431317579">
    <w:abstractNumId w:val="8"/>
  </w:num>
  <w:num w:numId="33" w16cid:durableId="1526167761">
    <w:abstractNumId w:val="23"/>
  </w:num>
  <w:num w:numId="34" w16cid:durableId="1911691351">
    <w:abstractNumId w:val="24"/>
  </w:num>
  <w:num w:numId="35" w16cid:durableId="17823368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723F0"/>
    <w:rsid w:val="000B0E4E"/>
    <w:rsid w:val="000D2E63"/>
    <w:rsid w:val="000D39FC"/>
    <w:rsid w:val="000D4E4C"/>
    <w:rsid w:val="000E7AEA"/>
    <w:rsid w:val="000F1DBA"/>
    <w:rsid w:val="000F258B"/>
    <w:rsid w:val="00100A35"/>
    <w:rsid w:val="0011081B"/>
    <w:rsid w:val="0011114C"/>
    <w:rsid w:val="0017170A"/>
    <w:rsid w:val="00177B08"/>
    <w:rsid w:val="001912E2"/>
    <w:rsid w:val="001A6E27"/>
    <w:rsid w:val="001C6211"/>
    <w:rsid w:val="001E413E"/>
    <w:rsid w:val="001F1F04"/>
    <w:rsid w:val="001F5D62"/>
    <w:rsid w:val="00201171"/>
    <w:rsid w:val="00213953"/>
    <w:rsid w:val="00234C33"/>
    <w:rsid w:val="00261E65"/>
    <w:rsid w:val="002750C1"/>
    <w:rsid w:val="0029264C"/>
    <w:rsid w:val="002B4B18"/>
    <w:rsid w:val="002D2C1D"/>
    <w:rsid w:val="002E70A1"/>
    <w:rsid w:val="00310E5D"/>
    <w:rsid w:val="00311ECE"/>
    <w:rsid w:val="003210F7"/>
    <w:rsid w:val="0032163E"/>
    <w:rsid w:val="0034355C"/>
    <w:rsid w:val="00346C46"/>
    <w:rsid w:val="003557A8"/>
    <w:rsid w:val="00363D04"/>
    <w:rsid w:val="003829C6"/>
    <w:rsid w:val="003864FF"/>
    <w:rsid w:val="00397DEC"/>
    <w:rsid w:val="003B58D6"/>
    <w:rsid w:val="003C5CD1"/>
    <w:rsid w:val="003D46DA"/>
    <w:rsid w:val="003D4875"/>
    <w:rsid w:val="003E2147"/>
    <w:rsid w:val="003E27AC"/>
    <w:rsid w:val="003F3C42"/>
    <w:rsid w:val="00401C01"/>
    <w:rsid w:val="0041299F"/>
    <w:rsid w:val="004573F3"/>
    <w:rsid w:val="004618DE"/>
    <w:rsid w:val="00463EA2"/>
    <w:rsid w:val="00484032"/>
    <w:rsid w:val="00494C58"/>
    <w:rsid w:val="00494E3A"/>
    <w:rsid w:val="004A327F"/>
    <w:rsid w:val="004B08C6"/>
    <w:rsid w:val="004C1526"/>
    <w:rsid w:val="004C1D3F"/>
    <w:rsid w:val="004C3E47"/>
    <w:rsid w:val="004D05D2"/>
    <w:rsid w:val="004D0F08"/>
    <w:rsid w:val="00503F9D"/>
    <w:rsid w:val="00512E11"/>
    <w:rsid w:val="00513180"/>
    <w:rsid w:val="005169D0"/>
    <w:rsid w:val="00533732"/>
    <w:rsid w:val="00596B7E"/>
    <w:rsid w:val="005B5EF5"/>
    <w:rsid w:val="005C7D01"/>
    <w:rsid w:val="005D54DD"/>
    <w:rsid w:val="005D6192"/>
    <w:rsid w:val="005E79A6"/>
    <w:rsid w:val="00623957"/>
    <w:rsid w:val="00632A9F"/>
    <w:rsid w:val="00655725"/>
    <w:rsid w:val="00673F0C"/>
    <w:rsid w:val="006835E4"/>
    <w:rsid w:val="0068583F"/>
    <w:rsid w:val="00695BA3"/>
    <w:rsid w:val="0069684F"/>
    <w:rsid w:val="006A3031"/>
    <w:rsid w:val="006C2C65"/>
    <w:rsid w:val="006C5D80"/>
    <w:rsid w:val="006D052A"/>
    <w:rsid w:val="006D36DB"/>
    <w:rsid w:val="006D6768"/>
    <w:rsid w:val="006E2A83"/>
    <w:rsid w:val="00732C1F"/>
    <w:rsid w:val="007449EA"/>
    <w:rsid w:val="00751056"/>
    <w:rsid w:val="00753AFA"/>
    <w:rsid w:val="00755CED"/>
    <w:rsid w:val="0076217F"/>
    <w:rsid w:val="007701CE"/>
    <w:rsid w:val="00773D5C"/>
    <w:rsid w:val="00783CE9"/>
    <w:rsid w:val="007A3E25"/>
    <w:rsid w:val="007A45CC"/>
    <w:rsid w:val="007A49EB"/>
    <w:rsid w:val="007A7EC6"/>
    <w:rsid w:val="007C403E"/>
    <w:rsid w:val="007D593C"/>
    <w:rsid w:val="007E2085"/>
    <w:rsid w:val="007E6082"/>
    <w:rsid w:val="007F2BA5"/>
    <w:rsid w:val="00814BE9"/>
    <w:rsid w:val="00835BC3"/>
    <w:rsid w:val="0085153D"/>
    <w:rsid w:val="008608E4"/>
    <w:rsid w:val="008735A8"/>
    <w:rsid w:val="00873BED"/>
    <w:rsid w:val="008852E4"/>
    <w:rsid w:val="008A6802"/>
    <w:rsid w:val="008C24D0"/>
    <w:rsid w:val="008C59A5"/>
    <w:rsid w:val="00902342"/>
    <w:rsid w:val="00904C98"/>
    <w:rsid w:val="009053BE"/>
    <w:rsid w:val="009063B7"/>
    <w:rsid w:val="00907D3B"/>
    <w:rsid w:val="009173FE"/>
    <w:rsid w:val="00920B40"/>
    <w:rsid w:val="00932970"/>
    <w:rsid w:val="00972BBF"/>
    <w:rsid w:val="0098415A"/>
    <w:rsid w:val="009E53F6"/>
    <w:rsid w:val="009E6CEB"/>
    <w:rsid w:val="00A00B63"/>
    <w:rsid w:val="00A23875"/>
    <w:rsid w:val="00A33021"/>
    <w:rsid w:val="00A36041"/>
    <w:rsid w:val="00A44962"/>
    <w:rsid w:val="00A70F48"/>
    <w:rsid w:val="00B143FE"/>
    <w:rsid w:val="00B243F2"/>
    <w:rsid w:val="00B2519D"/>
    <w:rsid w:val="00B331B5"/>
    <w:rsid w:val="00B33A92"/>
    <w:rsid w:val="00B54018"/>
    <w:rsid w:val="00B54421"/>
    <w:rsid w:val="00B557FF"/>
    <w:rsid w:val="00B80382"/>
    <w:rsid w:val="00B872CA"/>
    <w:rsid w:val="00BC1245"/>
    <w:rsid w:val="00BD5A86"/>
    <w:rsid w:val="00BE3F20"/>
    <w:rsid w:val="00C05FC8"/>
    <w:rsid w:val="00C108A8"/>
    <w:rsid w:val="00C138E0"/>
    <w:rsid w:val="00C3501E"/>
    <w:rsid w:val="00C41845"/>
    <w:rsid w:val="00C67B70"/>
    <w:rsid w:val="00C84B6A"/>
    <w:rsid w:val="00C91036"/>
    <w:rsid w:val="00C97B94"/>
    <w:rsid w:val="00CA1880"/>
    <w:rsid w:val="00CA38AC"/>
    <w:rsid w:val="00CA48CF"/>
    <w:rsid w:val="00CC085D"/>
    <w:rsid w:val="00CC3A67"/>
    <w:rsid w:val="00CC501A"/>
    <w:rsid w:val="00CE5093"/>
    <w:rsid w:val="00CE7C2F"/>
    <w:rsid w:val="00D23B0B"/>
    <w:rsid w:val="00D23EDD"/>
    <w:rsid w:val="00D302AD"/>
    <w:rsid w:val="00D4515E"/>
    <w:rsid w:val="00D86646"/>
    <w:rsid w:val="00DA45FE"/>
    <w:rsid w:val="00DA71B9"/>
    <w:rsid w:val="00DC1F0C"/>
    <w:rsid w:val="00DC7F96"/>
    <w:rsid w:val="00DD53BA"/>
    <w:rsid w:val="00DD6E32"/>
    <w:rsid w:val="00DF1829"/>
    <w:rsid w:val="00E174A3"/>
    <w:rsid w:val="00E26B0D"/>
    <w:rsid w:val="00E55674"/>
    <w:rsid w:val="00E55EEC"/>
    <w:rsid w:val="00E5717B"/>
    <w:rsid w:val="00E621C7"/>
    <w:rsid w:val="00E62C51"/>
    <w:rsid w:val="00E65D5E"/>
    <w:rsid w:val="00E71F05"/>
    <w:rsid w:val="00E80CF6"/>
    <w:rsid w:val="00E912CA"/>
    <w:rsid w:val="00EB3895"/>
    <w:rsid w:val="00ED39E0"/>
    <w:rsid w:val="00F017CE"/>
    <w:rsid w:val="00F04FBD"/>
    <w:rsid w:val="00F077E7"/>
    <w:rsid w:val="00F70E63"/>
    <w:rsid w:val="00F85B2D"/>
    <w:rsid w:val="00F90CD8"/>
    <w:rsid w:val="00F92310"/>
    <w:rsid w:val="00F94805"/>
    <w:rsid w:val="00F97E19"/>
    <w:rsid w:val="00FC7B23"/>
    <w:rsid w:val="00FD39C7"/>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Titre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Titre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qFormat/>
    <w:pPr>
      <w:keepNext/>
      <w:keepLines/>
      <w:spacing w:after="240"/>
      <w:ind w:left="567" w:hanging="567"/>
      <w:outlineLvl w:val="2"/>
    </w:pPr>
    <w:rPr>
      <w:rFonts w:eastAsia="Times New Roman"/>
      <w:b/>
      <w:bCs/>
      <w:lang w:eastAsia="en-US"/>
    </w:rPr>
  </w:style>
  <w:style w:type="paragraph" w:styleId="Titre4">
    <w:name w:val="heading 4"/>
    <w:basedOn w:val="Normal"/>
    <w:next w:val="Marge"/>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Appelnotedebasdep">
    <w:name w:val="footnote reference"/>
    <w:uiPriority w:val="99"/>
    <w:semiHidden/>
    <w:rPr>
      <w:vertAlign w:val="superscript"/>
    </w:rPr>
  </w:style>
  <w:style w:type="paragraph" w:styleId="En-tte">
    <w:name w:val="header"/>
    <w:basedOn w:val="Normal"/>
    <w:link w:val="En-tteC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pPr>
      <w:ind w:firstLine="0"/>
    </w:pPr>
  </w:style>
  <w:style w:type="paragraph" w:styleId="Notedebasdepage">
    <w:name w:val="footnote text"/>
    <w:basedOn w:val="Normal"/>
    <w:link w:val="NotedebasdepageCar"/>
    <w:uiPriority w:val="99"/>
    <w:semiHidden/>
    <w:pPr>
      <w:ind w:left="567" w:hanging="567"/>
    </w:pPr>
    <w:rPr>
      <w:rFonts w:eastAsia="Times New Roman"/>
      <w:sz w:val="20"/>
      <w:szCs w:val="20"/>
      <w:lang w:eastAsia="en-US"/>
    </w:rPr>
  </w:style>
  <w:style w:type="paragraph" w:styleId="Pieddepage">
    <w:name w:val="footer"/>
    <w:basedOn w:val="Normal"/>
    <w:pPr>
      <w:tabs>
        <w:tab w:val="center" w:pos="4153"/>
        <w:tab w:val="right" w:pos="8306"/>
      </w:tabs>
    </w:pPr>
    <w:rPr>
      <w:rFonts w:eastAsia="Times New Roman"/>
      <w:lang w:eastAsia="en-US"/>
    </w:rPr>
  </w:style>
  <w:style w:type="paragraph" w:styleId="Corpsdetexte3">
    <w:name w:val="Body Text 3"/>
    <w:basedOn w:val="Normal"/>
    <w:rPr>
      <w:color w:val="000080"/>
    </w:rPr>
  </w:style>
  <w:style w:type="character" w:styleId="Numrodepage">
    <w:name w:val="page number"/>
    <w:basedOn w:val="Policepardfau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Grilledutableau">
    <w:name w:val="Table Grid"/>
    <w:basedOn w:val="Tableau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36041"/>
    <w:rPr>
      <w:rFonts w:ascii="Tahoma" w:hAnsi="Tahoma" w:cs="Tahoma"/>
      <w:sz w:val="16"/>
      <w:szCs w:val="16"/>
    </w:rPr>
  </w:style>
  <w:style w:type="character" w:customStyle="1" w:styleId="TextedebullesCar">
    <w:name w:val="Texte de bulles Car"/>
    <w:link w:val="Textedebulles"/>
    <w:rsid w:val="00A36041"/>
    <w:rPr>
      <w:rFonts w:ascii="Tahoma" w:hAnsi="Tahoma" w:cs="Tahoma"/>
      <w:snapToGrid w:val="0"/>
      <w:sz w:val="16"/>
      <w:szCs w:val="16"/>
      <w:lang w:eastAsia="zh-CN"/>
    </w:rPr>
  </w:style>
  <w:style w:type="paragraph" w:styleId="Corpsdetexte">
    <w:name w:val="Body Text"/>
    <w:basedOn w:val="Normal"/>
    <w:link w:val="CorpsdetexteCar"/>
    <w:rsid w:val="005169D0"/>
    <w:pPr>
      <w:spacing w:after="120"/>
    </w:pPr>
  </w:style>
  <w:style w:type="character" w:customStyle="1" w:styleId="CorpsdetexteCar">
    <w:name w:val="Corps de texte Car"/>
    <w:link w:val="Corpsdetexte"/>
    <w:uiPriority w:val="99"/>
    <w:rsid w:val="005169D0"/>
    <w:rPr>
      <w:rFonts w:ascii="Arial" w:hAnsi="Arial"/>
      <w:snapToGrid w:val="0"/>
      <w:sz w:val="22"/>
      <w:szCs w:val="24"/>
    </w:rPr>
  </w:style>
  <w:style w:type="paragraph" w:styleId="Paragraphedeliste">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Lienhypertexte">
    <w:name w:val="Hyperlink"/>
    <w:uiPriority w:val="99"/>
    <w:unhideWhenUsed/>
    <w:rsid w:val="00100A35"/>
    <w:rPr>
      <w:color w:val="0000FF"/>
      <w:u w:val="single"/>
    </w:rPr>
  </w:style>
  <w:style w:type="paragraph" w:styleId="TM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Policepardfaut"/>
    <w:rsid w:val="007A7EC6"/>
  </w:style>
  <w:style w:type="character" w:customStyle="1" w:styleId="newskolongdesc">
    <w:name w:val="newskolongdesc"/>
    <w:basedOn w:val="Policepardfaut"/>
    <w:rsid w:val="007A7EC6"/>
  </w:style>
  <w:style w:type="paragraph" w:styleId="Titre">
    <w:name w:val="Title"/>
    <w:basedOn w:val="Normal"/>
    <w:link w:val="TitreC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reCar">
    <w:name w:val="Titre Car"/>
    <w:basedOn w:val="Policepardfaut"/>
    <w:link w:val="Titr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auweb1">
    <w:name w:val="Table Web 1"/>
    <w:basedOn w:val="Tableau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rsid w:val="007A7EC6"/>
    <w:pPr>
      <w:tabs>
        <w:tab w:val="clear" w:pos="567"/>
      </w:tabs>
      <w:snapToGrid/>
    </w:pPr>
    <w:rPr>
      <w:rFonts w:ascii="Courier New" w:eastAsia="Times New Roman" w:hAnsi="Courier New"/>
      <w:snapToGrid/>
      <w:sz w:val="20"/>
      <w:szCs w:val="20"/>
      <w:lang w:val="en-US" w:eastAsia="en-US"/>
    </w:rPr>
  </w:style>
  <w:style w:type="character" w:customStyle="1" w:styleId="TextebrutCar">
    <w:name w:val="Texte brut Car"/>
    <w:basedOn w:val="Policepardfaut"/>
    <w:link w:val="Textebrut"/>
    <w:rsid w:val="007A7EC6"/>
    <w:rPr>
      <w:rFonts w:ascii="Courier New" w:eastAsia="Times New Roman" w:hAnsi="Courier New"/>
      <w:lang w:val="en-US" w:eastAsia="en-US"/>
    </w:rPr>
  </w:style>
  <w:style w:type="character" w:styleId="lev">
    <w:name w:val="Strong"/>
    <w:qFormat/>
    <w:rsid w:val="007A7EC6"/>
    <w:rPr>
      <w:b/>
      <w:bCs/>
    </w:rPr>
  </w:style>
  <w:style w:type="table" w:styleId="Tableauweb2">
    <w:name w:val="Table Web 2"/>
    <w:basedOn w:val="Tableau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7A7EC6"/>
    <w:pPr>
      <w:tabs>
        <w:tab w:val="clear" w:pos="567"/>
      </w:tabs>
      <w:snapToGrid/>
      <w:ind w:left="720"/>
      <w:jc w:val="both"/>
    </w:pPr>
    <w:rPr>
      <w:rFonts w:eastAsia="Times New Roman"/>
      <w:snapToGrid/>
      <w:szCs w:val="20"/>
      <w:lang w:val="en-GB" w:eastAsia="en-US"/>
    </w:rPr>
  </w:style>
  <w:style w:type="character" w:customStyle="1" w:styleId="Retraitcorpsdetexte2Car">
    <w:name w:val="Retrait corps de texte 2 Car"/>
    <w:basedOn w:val="Policepardfaut"/>
    <w:link w:val="Retraitcorpsdetexte2"/>
    <w:rsid w:val="007A7EC6"/>
    <w:rPr>
      <w:rFonts w:ascii="Arial" w:eastAsia="Times New Roman" w:hAnsi="Arial"/>
      <w:sz w:val="22"/>
      <w:lang w:val="en-GB" w:eastAsia="en-US"/>
    </w:rPr>
  </w:style>
  <w:style w:type="paragraph" w:styleId="Retraitcorpsdetexte">
    <w:name w:val="Body Text Indent"/>
    <w:basedOn w:val="Normal"/>
    <w:link w:val="RetraitcorpsdetexteC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RetraitcorpsdetexteCar">
    <w:name w:val="Retrait corps de texte Car"/>
    <w:basedOn w:val="Policepardfaut"/>
    <w:link w:val="Retraitcorpsdetexte"/>
    <w:rsid w:val="007A7EC6"/>
    <w:rPr>
      <w:rFonts w:ascii="Arial" w:eastAsia="Times New Roman" w:hAnsi="Arial" w:cs="Arial"/>
      <w:sz w:val="22"/>
      <w:lang w:val="en-GB" w:eastAsia="en-US"/>
    </w:rPr>
  </w:style>
  <w:style w:type="character" w:styleId="Accentuation">
    <w:name w:val="Emphasis"/>
    <w:uiPriority w:val="20"/>
    <w:qFormat/>
    <w:rsid w:val="007A7EC6"/>
    <w:rPr>
      <w:b/>
      <w:bCs/>
      <w:i w:val="0"/>
      <w:iCs w:val="0"/>
    </w:rPr>
  </w:style>
  <w:style w:type="paragraph" w:styleId="Date">
    <w:name w:val="Date"/>
    <w:basedOn w:val="Normal"/>
    <w:next w:val="Normal"/>
    <w:link w:val="DateCar"/>
    <w:rsid w:val="007A7EC6"/>
    <w:pPr>
      <w:tabs>
        <w:tab w:val="clear" w:pos="567"/>
      </w:tabs>
      <w:snapToGrid/>
    </w:pPr>
    <w:rPr>
      <w:rFonts w:ascii="Times New Roman" w:eastAsia="Times New Roman" w:hAnsi="Times New Roman"/>
      <w:snapToGrid/>
      <w:sz w:val="24"/>
      <w:lang w:val="x-none" w:eastAsia="en-US"/>
    </w:rPr>
  </w:style>
  <w:style w:type="character" w:customStyle="1" w:styleId="DateCar">
    <w:name w:val="Date Car"/>
    <w:basedOn w:val="Policepardfaut"/>
    <w:link w:val="Date"/>
    <w:rsid w:val="007A7EC6"/>
    <w:rPr>
      <w:rFonts w:eastAsia="Times New Roman"/>
      <w:sz w:val="24"/>
      <w:szCs w:val="24"/>
      <w:lang w:val="x-none" w:eastAsia="en-US"/>
    </w:rPr>
  </w:style>
  <w:style w:type="paragraph" w:styleId="Sansinterligne">
    <w:name w:val="No Spacing"/>
    <w:basedOn w:val="Normal"/>
    <w:link w:val="SansinterligneCar"/>
    <w:qFormat/>
    <w:rsid w:val="007A7EC6"/>
    <w:pPr>
      <w:tabs>
        <w:tab w:val="clear" w:pos="567"/>
      </w:tabs>
      <w:snapToGrid/>
    </w:pPr>
    <w:rPr>
      <w:rFonts w:ascii="Times New Roman" w:eastAsia="Times New Roman" w:hAnsi="Times New Roman"/>
      <w:snapToGrid/>
      <w:sz w:val="24"/>
      <w:lang w:eastAsia="fr-FR"/>
    </w:rPr>
  </w:style>
  <w:style w:type="character" w:customStyle="1" w:styleId="SansinterligneCar">
    <w:name w:val="Sans interligne Car"/>
    <w:link w:val="Sansinterligne"/>
    <w:rsid w:val="007A7EC6"/>
    <w:rPr>
      <w:rFonts w:eastAsia="Times New Roman"/>
      <w:sz w:val="24"/>
      <w:szCs w:val="24"/>
      <w:lang w:eastAsia="fr-FR"/>
    </w:rPr>
  </w:style>
  <w:style w:type="character" w:styleId="Lienhypertextesuivivisit">
    <w:name w:val="FollowedHyperlink"/>
    <w:rsid w:val="007A7EC6"/>
    <w:rPr>
      <w:color w:val="800080"/>
      <w:u w:val="single"/>
    </w:rPr>
  </w:style>
  <w:style w:type="character" w:customStyle="1" w:styleId="fn">
    <w:name w:val="fn"/>
    <w:basedOn w:val="Policepardfaut"/>
    <w:rsid w:val="007A7EC6"/>
  </w:style>
  <w:style w:type="character" w:styleId="Marquedecommentaire">
    <w:name w:val="annotation reference"/>
    <w:rsid w:val="007A7EC6"/>
    <w:rPr>
      <w:sz w:val="16"/>
      <w:szCs w:val="16"/>
    </w:rPr>
  </w:style>
  <w:style w:type="paragraph" w:styleId="Commentaire">
    <w:name w:val="annotation text"/>
    <w:basedOn w:val="Normal"/>
    <w:link w:val="Commentaire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aireCar">
    <w:name w:val="Commentaire Car"/>
    <w:basedOn w:val="Policepardfaut"/>
    <w:link w:val="Commentaire"/>
    <w:rsid w:val="007A7EC6"/>
    <w:rPr>
      <w:rFonts w:eastAsia="Times New Roman"/>
      <w:lang w:val="en-US" w:eastAsia="en-US"/>
    </w:rPr>
  </w:style>
  <w:style w:type="paragraph" w:styleId="Objetducommentaire">
    <w:name w:val="annotation subject"/>
    <w:basedOn w:val="Commentaire"/>
    <w:next w:val="Commentaire"/>
    <w:link w:val="ObjetducommentaireCar"/>
    <w:rsid w:val="007A7EC6"/>
    <w:rPr>
      <w:b/>
      <w:bCs/>
      <w:lang w:val="x-none" w:eastAsia="x-none"/>
    </w:rPr>
  </w:style>
  <w:style w:type="character" w:customStyle="1" w:styleId="ObjetducommentaireCar">
    <w:name w:val="Objet du commentaire Car"/>
    <w:basedOn w:val="CommentaireCar"/>
    <w:link w:val="Objetducommentaire"/>
    <w:rsid w:val="007A7EC6"/>
    <w:rPr>
      <w:rFonts w:eastAsia="Times New Roman"/>
      <w:b/>
      <w:bCs/>
      <w:lang w:val="x-none" w:eastAsia="x-none"/>
    </w:rPr>
  </w:style>
  <w:style w:type="paragraph" w:styleId="Rvision">
    <w:name w:val="Revision"/>
    <w:hidden/>
    <w:uiPriority w:val="99"/>
    <w:semiHidden/>
    <w:rsid w:val="007A7EC6"/>
    <w:rPr>
      <w:rFonts w:eastAsia="Times New Roman"/>
      <w:sz w:val="24"/>
      <w:szCs w:val="24"/>
      <w:lang w:val="en-US" w:eastAsia="en-US"/>
    </w:rPr>
  </w:style>
  <w:style w:type="table" w:customStyle="1" w:styleId="TableGrid">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NotedebasdepageCar">
    <w:name w:val="Note de bas de page Car"/>
    <w:link w:val="Notedebasdepage"/>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auclassique1">
    <w:name w:val="Table Classic 1"/>
    <w:basedOn w:val="Tableau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Notedefin">
    <w:name w:val="endnote text"/>
    <w:basedOn w:val="Normal"/>
    <w:link w:val="Notedefin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NotedefinCar">
    <w:name w:val="Note de fin Car"/>
    <w:basedOn w:val="Policepardfaut"/>
    <w:link w:val="Notedefin"/>
    <w:rsid w:val="007A7EC6"/>
    <w:rPr>
      <w:rFonts w:eastAsia="Times New Roman"/>
      <w:lang w:val="en-US" w:eastAsia="en-US"/>
    </w:rPr>
  </w:style>
  <w:style w:type="character" w:styleId="Appeldenotedefin">
    <w:name w:val="endnote reference"/>
    <w:rsid w:val="007A7EC6"/>
    <w:rPr>
      <w:vertAlign w:val="superscript"/>
    </w:rPr>
  </w:style>
  <w:style w:type="character" w:customStyle="1" w:styleId="En-tteCar">
    <w:name w:val="En-tête Car"/>
    <w:basedOn w:val="Policepardfaut"/>
    <w:link w:val="En-tte"/>
    <w:uiPriority w:val="99"/>
    <w:locked/>
    <w:rsid w:val="003F3C42"/>
    <w:rPr>
      <w:rFonts w:ascii="Arial" w:eastAsia="Times New Roman" w:hAnsi="Arial"/>
      <w:snapToGrid w:val="0"/>
      <w:sz w:val="22"/>
      <w:szCs w:val="24"/>
      <w:lang w:eastAsia="en-US"/>
    </w:rPr>
  </w:style>
  <w:style w:type="character" w:customStyle="1" w:styleId="MargeChar">
    <w:name w:val="Marge Char"/>
    <w:basedOn w:val="Policepardfaut"/>
    <w:link w:val="Marge"/>
    <w:rsid w:val="003864FF"/>
    <w:rPr>
      <w:rFonts w:ascii="Arial" w:eastAsia="Times New Roman" w:hAnsi="Arial"/>
      <w:snapToGrid w:val="0"/>
      <w:sz w:val="22"/>
      <w:szCs w:val="24"/>
      <w:lang w:eastAsia="en-US"/>
    </w:rPr>
  </w:style>
  <w:style w:type="paragraph" w:customStyle="1" w:styleId="COI">
    <w:name w:val="COI"/>
    <w:basedOn w:val="Marge"/>
    <w:link w:val="COIChar"/>
    <w:rsid w:val="003864FF"/>
    <w:pPr>
      <w:tabs>
        <w:tab w:val="clear" w:pos="567"/>
        <w:tab w:val="left" w:pos="709"/>
      </w:tabs>
    </w:pPr>
    <w:rPr>
      <w:rFonts w:eastAsia="Arial Unicode MS"/>
      <w:szCs w:val="22"/>
      <w:lang w:val="en-GB"/>
    </w:rPr>
  </w:style>
  <w:style w:type="character" w:customStyle="1" w:styleId="COIChar">
    <w:name w:val="COI Char"/>
    <w:link w:val="COI"/>
    <w:rsid w:val="003864FF"/>
    <w:rPr>
      <w:rFonts w:ascii="Arial" w:eastAsia="Arial Unicode MS" w:hAnsi="Arial"/>
      <w:snapToGrid w:val="0"/>
      <w:sz w:val="22"/>
      <w:szCs w:val="22"/>
      <w:lang w:val="en-GB" w:eastAsia="en-US"/>
    </w:rPr>
  </w:style>
  <w:style w:type="paragraph" w:customStyle="1" w:styleId="paranumbered">
    <w:name w:val="paranumbered"/>
    <w:basedOn w:val="Normal"/>
    <w:next w:val="Normal"/>
    <w:qFormat/>
    <w:rsid w:val="003864FF"/>
    <w:pPr>
      <w:numPr>
        <w:numId w:val="34"/>
      </w:numPr>
      <w:tabs>
        <w:tab w:val="clear" w:pos="567"/>
      </w:tabs>
      <w:snapToGrid/>
      <w:spacing w:before="120" w:line="276" w:lineRule="auto"/>
      <w:jc w:val="both"/>
    </w:pPr>
    <w:rPr>
      <w:rFonts w:eastAsia="Arial" w:cs="Arial"/>
      <w:snapToGrid/>
      <w:szCs w:val="22"/>
      <w:lang w:val="en-GB" w:eastAsia="en-GB"/>
    </w:rPr>
  </w:style>
  <w:style w:type="character" w:styleId="Mentionnonrsolue">
    <w:name w:val="Unresolved Mention"/>
    <w:basedOn w:val="Policepardfaut"/>
    <w:uiPriority w:val="99"/>
    <w:semiHidden/>
    <w:unhideWhenUsed/>
    <w:rsid w:val="00B331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ceanexpert.org/document/3023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oceanexpert.org/document/29299"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2654_fre" TargetMode="External"/><Relationship Id="rId5" Type="http://schemas.openxmlformats.org/officeDocument/2006/relationships/webSettings" Target="webSettings.xml"/><Relationship Id="rId15" Type="http://schemas.openxmlformats.org/officeDocument/2006/relationships/hyperlink" Target="https://iode.org/index.php?option=com_content&amp;view=article&amp;id=747&amp;Itemid=100437" TargetMode="Externa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ceanexpert.org/document/31329"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5</Pages>
  <Words>1698</Words>
  <Characters>9488</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Commission océanographique intergouvernementale (de l’UNESCO) – Trente-deuxième session du Conseil exécutif – UNESCO, Paris, 21-30 juin 2023 – Ordre du jour provisoire</vt:lpstr>
    </vt:vector>
  </TitlesOfParts>
  <Company>Unesco</Company>
  <LinksUpToDate>false</LinksUpToDate>
  <CharactersWithSpaces>11147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Révision de la Politique de la COI en matière d’échange _x000d_
de données océanographiques (2003, 2019)_x000d_
</dc:title>
  <dc:subject>IOC/A-32/4.4.Doc</dc:subject>
  <dc:creator>as.machu@unesco.org</dc:creator>
  <cp:keywords>18.12F</cp:keywords>
  <dc:description/>
  <cp:lastModifiedBy>Masseau, Alexandra</cp:lastModifiedBy>
  <cp:revision>14</cp:revision>
  <cp:lastPrinted>2012-08-02T14:52:00Z</cp:lastPrinted>
  <dcterms:created xsi:type="dcterms:W3CDTF">2023-05-23T16:41:00Z</dcterms:created>
  <dcterms:modified xsi:type="dcterms:W3CDTF">2023-05-31T14:12:00Z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202301656</vt:lpwstr>
  </property>
</Properties>
</file>