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B25F55" w14:paraId="11228E69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23E4B9" w14:textId="16DC934D" w:rsidR="008A60C9" w:rsidRPr="00FB572F" w:rsidRDefault="00FB572F" w:rsidP="00A57DE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Р</w:t>
            </w:r>
            <w:r w:rsidR="00B83068">
              <w:rPr>
                <w:u w:val="single"/>
                <w:lang w:val="ru-RU"/>
              </w:rPr>
              <w:t>езюме</w:t>
            </w:r>
          </w:p>
          <w:p w14:paraId="335FAADA" w14:textId="3EC91304" w:rsidR="008A60C9" w:rsidRPr="00FB572F" w:rsidRDefault="002A4F4F" w:rsidP="00EA2F1F">
            <w:pPr>
              <w:spacing w:after="240"/>
              <w:jc w:val="both"/>
              <w:rPr>
                <w:rFonts w:cs="Arial"/>
                <w:iCs/>
                <w:szCs w:val="22"/>
                <w:lang w:val="ru-RU"/>
              </w:rPr>
            </w:pPr>
            <w:r>
              <w:rPr>
                <w:lang w:val="ru-RU"/>
              </w:rPr>
              <w:t>Ассамблея МОК на своей 29-й сессии в 2017 г. приняла стратегический план МОК по управлению океанографическими данными и информацией (на 2017-2021 гг.) и одобрила регулярный пересмотр этого плана. Межсессионная рабочая группа по пересмотру стратегического плана МОК по обмену океанографическими данными и информацией, учреж</w:t>
            </w:r>
            <w:r w:rsidR="00517BBB">
              <w:rPr>
                <w:lang w:val="ru-RU"/>
              </w:rPr>
              <w:softHyphen/>
            </w:r>
            <w:r>
              <w:rPr>
                <w:lang w:val="ru-RU"/>
              </w:rPr>
              <w:t xml:space="preserve">денная в соответствии с решением </w:t>
            </w:r>
            <w:hyperlink r:id="rId8" w:anchor="D63" w:history="1">
              <w:r w:rsidRPr="00E410A1">
                <w:rPr>
                  <w:rStyle w:val="Hyperlink"/>
                  <w:lang w:val="ru-RU"/>
                </w:rPr>
                <w:t>IODE-XXVI.6.3</w:t>
              </w:r>
            </w:hyperlink>
            <w:r>
              <w:rPr>
                <w:lang w:val="ru-RU"/>
              </w:rPr>
              <w:t xml:space="preserve"> (2021 г.), подготовила пересмотренный текст данного стратегического плана. Комитет МОК по международному обмену океанографическими данными и информацией (МООД) на своей 27-й сессии в 2023 г. принял </w:t>
            </w:r>
            <w:hyperlink r:id="rId9" w:anchor="rec1" w:history="1">
              <w:r w:rsidRPr="00E410A1">
                <w:rPr>
                  <w:rStyle w:val="Hyperlink"/>
                  <w:lang w:val="ru-RU"/>
                </w:rPr>
                <w:t>рекомендацию IODE-XXVII.6.2</w:t>
              </w:r>
            </w:hyperlink>
            <w:r>
              <w:rPr>
                <w:lang w:val="ru-RU"/>
              </w:rPr>
              <w:t xml:space="preserve">, в которой он представил пересмотренный стратегический план на рассмотрение текущей сессии Ассамблеи. Полный текст проекта стратегического плана опубликован в серии </w:t>
            </w:r>
            <w:hyperlink r:id="rId10" w:history="1">
              <w:r w:rsidRPr="00E410A1">
                <w:rPr>
                  <w:rStyle w:val="Hyperlink"/>
                  <w:lang w:val="ru-RU"/>
                </w:rPr>
                <w:t>92</w:t>
              </w:r>
            </w:hyperlink>
            <w:r>
              <w:rPr>
                <w:lang w:val="ru-RU"/>
              </w:rPr>
              <w:t xml:space="preserve"> справочников и руководств МОК. </w:t>
            </w:r>
          </w:p>
          <w:p w14:paraId="7993A226" w14:textId="3B11000E" w:rsidR="00467E3F" w:rsidRPr="00FB572F" w:rsidRDefault="00467E3F" w:rsidP="00EA2F1F">
            <w:pPr>
              <w:pStyle w:val="Marge"/>
              <w:rPr>
                <w:rFonts w:cs="Arial"/>
                <w:szCs w:val="22"/>
                <w:lang w:val="ru-RU"/>
              </w:rPr>
            </w:pPr>
            <w:r w:rsidRPr="00E410A1">
              <w:rPr>
                <w:u w:val="single"/>
                <w:lang w:val="ru-RU"/>
              </w:rPr>
              <w:t>Финансовые и административные последствия</w:t>
            </w:r>
            <w:r>
              <w:rPr>
                <w:lang w:val="ru-RU"/>
              </w:rPr>
              <w:t>: отсутствуют.</w:t>
            </w:r>
          </w:p>
          <w:p w14:paraId="7FC3AF21" w14:textId="11C49128" w:rsidR="00737A18" w:rsidRPr="00FB572F" w:rsidRDefault="00413F17" w:rsidP="002A4F4F">
            <w:pPr>
              <w:pStyle w:val="Marge"/>
              <w:spacing w:after="120"/>
              <w:rPr>
                <w:rFonts w:cs="Arial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 w:rsidRPr="00367F0D">
              <w:rPr>
                <w:lang w:val="ru-RU"/>
              </w:rPr>
              <w:t>:</w:t>
            </w:r>
            <w:r>
              <w:rPr>
                <w:lang w:val="ru-RU"/>
              </w:rPr>
              <w:t xml:space="preserve"> проект решения содержится в документе о принятых и предлагаемых мерах (IOC-32/AP Prov.) под номером</w:t>
            </w:r>
            <w:r w:rsidR="00367F0D">
              <w:rPr>
                <w:lang w:val="en-US"/>
              </w:rPr>
              <w:t> </w:t>
            </w:r>
            <w:r>
              <w:rPr>
                <w:lang w:val="ru-RU"/>
              </w:rPr>
              <w:t>IOC</w:t>
            </w:r>
            <w:r w:rsidR="00367F0D">
              <w:rPr>
                <w:lang w:val="ru-RU"/>
              </w:rPr>
              <w:noBreakHyphen/>
            </w:r>
            <w:r>
              <w:rPr>
                <w:lang w:val="ru-RU"/>
              </w:rPr>
              <w:t>32/3.4.2.</w:t>
            </w:r>
          </w:p>
        </w:tc>
      </w:tr>
    </w:tbl>
    <w:p w14:paraId="75BE0AB6" w14:textId="77777777" w:rsidR="00746B89" w:rsidRPr="00FB572F" w:rsidRDefault="00746B89" w:rsidP="005C7A36">
      <w:pPr>
        <w:pStyle w:val="Heading3"/>
        <w:rPr>
          <w:lang w:val="ru-RU"/>
        </w:rPr>
        <w:sectPr w:rsidR="00746B89" w:rsidRPr="00FB572F" w:rsidSect="008747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ED463B" w14:textId="42F275DE" w:rsidR="00BC79D5" w:rsidRPr="00433D21" w:rsidRDefault="00BC79D5" w:rsidP="00597DCE">
      <w:pPr>
        <w:spacing w:after="240"/>
        <w:rPr>
          <w:b/>
          <w:bCs/>
        </w:rPr>
      </w:pPr>
      <w:r>
        <w:rPr>
          <w:b/>
          <w:bCs/>
          <w:lang w:val="ru-RU"/>
        </w:rPr>
        <w:lastRenderedPageBreak/>
        <w:t>История вопроса</w:t>
      </w:r>
    </w:p>
    <w:p w14:paraId="3A04DF72" w14:textId="460E53F5" w:rsidR="00F4476E" w:rsidRPr="00FB572F" w:rsidRDefault="00F4476E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Согласно </w:t>
      </w:r>
      <w:hyperlink r:id="rId17" w:anchor="D63" w:history="1">
        <w:r w:rsidRPr="00E410A1">
          <w:rPr>
            <w:rStyle w:val="Hyperlink"/>
            <w:lang w:val="ru-RU"/>
          </w:rPr>
          <w:t>решению IODE-XXVI.6.3</w:t>
        </w:r>
      </w:hyperlink>
      <w:r>
        <w:rPr>
          <w:lang w:val="ru-RU"/>
        </w:rPr>
        <w:t xml:space="preserve">, в котором в 2021 г. была учреждена межсессионная рабочая группа для пересмотра стратегического плана МОК по управлению океанографическими данными и информацией, системы, созданные в результате пересмотра стратегического плана, должны обеспечить: </w:t>
      </w:r>
    </w:p>
    <w:p w14:paraId="33970454" w14:textId="1E1F7A9D" w:rsidR="00F4476E" w:rsidRPr="00FB572F" w:rsidRDefault="00976D89" w:rsidP="00597DCE">
      <w:pPr>
        <w:pStyle w:val="paranumbered"/>
        <w:numPr>
          <w:ilvl w:val="2"/>
          <w:numId w:val="5"/>
        </w:numPr>
        <w:spacing w:before="0" w:after="240" w:line="240" w:lineRule="auto"/>
        <w:ind w:left="1134" w:hanging="567"/>
        <w:rPr>
          <w:lang w:val="ru-RU"/>
        </w:rPr>
      </w:pPr>
      <w:r>
        <w:rPr>
          <w:lang w:val="ru-RU"/>
        </w:rPr>
        <w:t xml:space="preserve">получение с помощью научно и практически обоснованных методов функционально совместимых, прошедших контроль качества данных по разнообразным переменным, которые будут постоянно архивироваться в соответствии с подробно задокументированными и применимыми во всем мире стандартами и форматами; </w:t>
      </w:r>
    </w:p>
    <w:p w14:paraId="1222D12F" w14:textId="6BB85032" w:rsidR="00F4476E" w:rsidRPr="00FB572F" w:rsidRDefault="00976D89" w:rsidP="00597DCE">
      <w:pPr>
        <w:pStyle w:val="paranumbered"/>
        <w:numPr>
          <w:ilvl w:val="2"/>
          <w:numId w:val="5"/>
        </w:numPr>
        <w:spacing w:before="0" w:after="240" w:line="240" w:lineRule="auto"/>
        <w:ind w:left="1134" w:hanging="567"/>
        <w:rPr>
          <w:lang w:val="ru-RU"/>
        </w:rPr>
      </w:pPr>
      <w:r>
        <w:rPr>
          <w:lang w:val="ru-RU"/>
        </w:rPr>
        <w:t>своевременное распространение данных по разнообразным переменным (полученных в результате наблюдений и на основе результатов моделирования) как в режиме реального времени, так и с задержкой в зависимости от потребностей групп пользователей и их технических возможностей (</w:t>
      </w:r>
      <w:r w:rsidR="00597DCE">
        <w:rPr>
          <w:lang w:val="ru-RU"/>
        </w:rPr>
        <w:t>«</w:t>
      </w:r>
      <w:r>
        <w:rPr>
          <w:lang w:val="ru-RU"/>
        </w:rPr>
        <w:t>по требованию</w:t>
      </w:r>
      <w:r w:rsidR="00597DCE">
        <w:rPr>
          <w:lang w:val="ru-RU"/>
        </w:rPr>
        <w:t>»</w:t>
      </w:r>
      <w:r>
        <w:rPr>
          <w:lang w:val="ru-RU"/>
        </w:rPr>
        <w:t>, а также автоматически по расписанию);</w:t>
      </w:r>
    </w:p>
    <w:p w14:paraId="0CFD2555" w14:textId="73BBA5E3" w:rsidR="00976D89" w:rsidRPr="00FB572F" w:rsidRDefault="00976D89" w:rsidP="00597DCE">
      <w:pPr>
        <w:pStyle w:val="paranumbered"/>
        <w:numPr>
          <w:ilvl w:val="2"/>
          <w:numId w:val="5"/>
        </w:numPr>
        <w:spacing w:before="0" w:after="240" w:line="240" w:lineRule="auto"/>
        <w:ind w:left="1134" w:hanging="567"/>
        <w:rPr>
          <w:lang w:val="ru-RU"/>
        </w:rPr>
      </w:pPr>
      <w:r>
        <w:rPr>
          <w:lang w:val="ru-RU"/>
        </w:rPr>
        <w:t xml:space="preserve">простой поиск и доступ к данным и информации о разнообразных переменных и производных продуктах (включая прогнозы, предупреждения и предостережения) для пользователей, обладающих широким спектром возможностей. В соответствии с кругом ведения, определенным </w:t>
      </w:r>
      <w:r w:rsidR="00E410A1">
        <w:rPr>
          <w:lang w:val="ru-RU"/>
        </w:rPr>
        <w:t xml:space="preserve">Комитетом по </w:t>
      </w:r>
      <w:r>
        <w:rPr>
          <w:lang w:val="ru-RU"/>
        </w:rPr>
        <w:t>МООД на е</w:t>
      </w:r>
      <w:r w:rsidR="00E410A1">
        <w:rPr>
          <w:lang w:val="ru-RU"/>
        </w:rPr>
        <w:t>го</w:t>
      </w:r>
      <w:r>
        <w:rPr>
          <w:lang w:val="ru-RU"/>
        </w:rPr>
        <w:t xml:space="preserve"> 26-й сессии, рабочей группе был предоставлен список из 16 компонентов, которые необходимо было принять во внимание. </w:t>
      </w:r>
    </w:p>
    <w:p w14:paraId="668DE2A0" w14:textId="6E96A9F2" w:rsidR="00976D89" w:rsidRPr="00FB572F" w:rsidRDefault="00976D89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После нескольких онлайновых редакционных сессий и консультаций с группой управления МООД и другими программами МОК, рабочая группа представила результаты своей работы </w:t>
      </w:r>
      <w:r w:rsidR="00E410A1">
        <w:rPr>
          <w:lang w:val="ru-RU"/>
        </w:rPr>
        <w:t xml:space="preserve">Комитету по </w:t>
      </w:r>
      <w:r>
        <w:rPr>
          <w:lang w:val="ru-RU"/>
        </w:rPr>
        <w:t>МООД на е</w:t>
      </w:r>
      <w:r w:rsidR="00E410A1">
        <w:rPr>
          <w:lang w:val="ru-RU"/>
        </w:rPr>
        <w:t>го</w:t>
      </w:r>
      <w:r>
        <w:rPr>
          <w:lang w:val="ru-RU"/>
        </w:rPr>
        <w:t xml:space="preserve"> 27-й сессии (Париж, 22-23 марта 2023 г.), котор</w:t>
      </w:r>
      <w:r w:rsidR="00E410A1">
        <w:rPr>
          <w:lang w:val="ru-RU"/>
        </w:rPr>
        <w:t>ый</w:t>
      </w:r>
      <w:r>
        <w:rPr>
          <w:lang w:val="ru-RU"/>
        </w:rPr>
        <w:t xml:space="preserve"> рекомендовал пересмотренный стратегический план, опубликованный в серии </w:t>
      </w:r>
      <w:hyperlink r:id="rId18" w:history="1">
        <w:r w:rsidRPr="00E410A1">
          <w:rPr>
            <w:rStyle w:val="Hyperlink"/>
            <w:lang w:val="ru-RU"/>
          </w:rPr>
          <w:t>92</w:t>
        </w:r>
      </w:hyperlink>
      <w:r>
        <w:rPr>
          <w:lang w:val="ru-RU"/>
        </w:rPr>
        <w:t xml:space="preserve"> справочников и руководств МОК, Ассамблее МОК для одобрения на ее текущей сессии.</w:t>
      </w:r>
    </w:p>
    <w:p w14:paraId="71F2735E" w14:textId="578126EC" w:rsidR="00976D89" w:rsidRPr="00433D21" w:rsidRDefault="00BD2E24" w:rsidP="00597DCE">
      <w:pPr>
        <w:pStyle w:val="COI"/>
        <w:numPr>
          <w:ilvl w:val="0"/>
          <w:numId w:val="0"/>
        </w:numPr>
        <w:tabs>
          <w:tab w:val="left" w:pos="567"/>
        </w:tabs>
        <w:rPr>
          <w:b/>
          <w:bCs/>
        </w:rPr>
      </w:pPr>
      <w:r>
        <w:rPr>
          <w:b/>
          <w:bCs/>
          <w:lang w:val="ru-RU"/>
        </w:rPr>
        <w:t>Краткое описание пересмотренного стратегического плана</w:t>
      </w:r>
    </w:p>
    <w:p w14:paraId="547276E7" w14:textId="51003CA4" w:rsidR="00976D89" w:rsidRPr="00FB572F" w:rsidRDefault="00976D89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>Предназначение стратегического плана МОК по управлению океанографическими данными и информацией (на 2023-2029 гг.) заключается в следующем:</w:t>
      </w:r>
    </w:p>
    <w:p w14:paraId="46485F7F" w14:textId="410248DF" w:rsidR="00976D89" w:rsidRPr="00FB572F" w:rsidRDefault="00597DCE" w:rsidP="00597DCE">
      <w:pPr>
        <w:pStyle w:val="paranumbered"/>
        <w:numPr>
          <w:ilvl w:val="0"/>
          <w:numId w:val="0"/>
        </w:numPr>
        <w:spacing w:before="0" w:after="240" w:line="240" w:lineRule="auto"/>
        <w:ind w:left="567"/>
        <w:rPr>
          <w:lang w:val="ru-RU"/>
        </w:rPr>
      </w:pPr>
      <w:r>
        <w:rPr>
          <w:lang w:val="ru-RU"/>
        </w:rPr>
        <w:t>«</w:t>
      </w:r>
      <w:r w:rsidR="00976D89">
        <w:rPr>
          <w:lang w:val="ru-RU"/>
        </w:rPr>
        <w:t>Создание всеобъемлющей и комплексной системы океанографических данных и информации, удовлетворяющей широкие и разнообразные потребности государств</w:t>
      </w:r>
      <w:r w:rsidR="009F78AE" w:rsidRPr="009F78AE">
        <w:rPr>
          <w:lang w:val="ru-RU"/>
        </w:rPr>
        <w:t xml:space="preserve"> </w:t>
      </w:r>
      <w:r w:rsidR="009F78AE">
        <w:rPr>
          <w:lang w:val="ru-RU"/>
        </w:rPr>
        <w:t>–</w:t>
      </w:r>
      <w:r w:rsidR="009F78AE" w:rsidRPr="009F78AE">
        <w:rPr>
          <w:lang w:val="ru-RU"/>
        </w:rPr>
        <w:t xml:space="preserve"> </w:t>
      </w:r>
      <w:r w:rsidR="00976D89">
        <w:rPr>
          <w:lang w:val="ru-RU"/>
        </w:rPr>
        <w:t>членов МОК в области управления, разработки политики и научных исследований</w:t>
      </w:r>
      <w:r>
        <w:rPr>
          <w:lang w:val="ru-RU"/>
        </w:rPr>
        <w:t>»</w:t>
      </w:r>
      <w:r w:rsidR="00976D89">
        <w:rPr>
          <w:lang w:val="ru-RU"/>
        </w:rPr>
        <w:t>.</w:t>
      </w:r>
    </w:p>
    <w:p w14:paraId="61847456" w14:textId="77777777" w:rsidR="00976D89" w:rsidRPr="00FB572F" w:rsidRDefault="00976D89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Решение этой задачи будет способствовать реализации мандата и миссии МОК, которая заключается в следующем: </w:t>
      </w:r>
    </w:p>
    <w:p w14:paraId="316FE1FB" w14:textId="3D12ABCA" w:rsidR="00976D89" w:rsidRPr="00FB572F" w:rsidRDefault="00597DCE" w:rsidP="00597DCE">
      <w:pPr>
        <w:pStyle w:val="paranumbered"/>
        <w:numPr>
          <w:ilvl w:val="0"/>
          <w:numId w:val="0"/>
        </w:numPr>
        <w:spacing w:before="0" w:after="240" w:line="240" w:lineRule="auto"/>
        <w:ind w:left="567"/>
        <w:rPr>
          <w:strike/>
          <w:color w:val="231F20"/>
          <w:lang w:val="ru-RU"/>
        </w:rPr>
      </w:pPr>
      <w:r>
        <w:rPr>
          <w:lang w:val="ru-RU"/>
        </w:rPr>
        <w:t>«</w:t>
      </w:r>
      <w:r w:rsidR="00976D89">
        <w:rPr>
          <w:lang w:val="ru-RU"/>
        </w:rPr>
        <w:t>Объединение усилий правительств и научного сообщества с тем, чтобы обеспечить необходимое нам состояние океана в интересах будущего, каким мы хотим его видеть».</w:t>
      </w:r>
    </w:p>
    <w:p w14:paraId="42D0BE0D" w14:textId="60B77EFE" w:rsidR="00976D89" w:rsidRPr="00FB572F" w:rsidRDefault="00976D89" w:rsidP="00597DCE">
      <w:pPr>
        <w:pStyle w:val="paranumbered"/>
        <w:tabs>
          <w:tab w:val="left" w:pos="567"/>
        </w:tabs>
        <w:spacing w:before="0" w:after="240" w:line="240" w:lineRule="auto"/>
        <w:rPr>
          <w:color w:val="231F20"/>
          <w:lang w:val="ru-RU"/>
        </w:rPr>
      </w:pPr>
      <w:r>
        <w:rPr>
          <w:lang w:val="ru-RU"/>
        </w:rPr>
        <w:t>В стратегическом плане МОК по управлению океанографическими данными и информацией описывается процесс внедрения функциональных и совместимых между собой практических методов и рамочных документов, касающихся управления данными и информацией, в целях обеспечения доступности данных и информации. В нем содержатся руководящие указания для программ МОК по эффективному и скоординированному обмену и управлению их данными и информацией на основе общепринятых практических методов работы, что будет способствовать достижению не только целей МОК, но и целей Десятилетия океана.</w:t>
      </w:r>
    </w:p>
    <w:p w14:paraId="5D17CB71" w14:textId="10BF02CE" w:rsidR="00976D89" w:rsidRPr="00FB572F" w:rsidRDefault="00976D89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Поэтому стратегический план МОК по управлению океанографическими данными и информацией должен быть </w:t>
      </w:r>
      <w:r>
        <w:rPr>
          <w:b/>
          <w:bCs/>
          <w:lang w:val="ru-RU"/>
        </w:rPr>
        <w:t>всеобъемлющим и охватывать все дисциплины, входящие в мандат МОК</w:t>
      </w:r>
      <w:r>
        <w:rPr>
          <w:lang w:val="ru-RU"/>
        </w:rPr>
        <w:t xml:space="preserve">. В него включены все типы данных и все временные рамки предоставления </w:t>
      </w:r>
      <w:r>
        <w:rPr>
          <w:lang w:val="ru-RU"/>
        </w:rPr>
        <w:lastRenderedPageBreak/>
        <w:t>данных (например, в режиме реального времени или с задержкой), а также синтетические продукты и результаты моделирования. Для удовлетворения глобальных, региональных и местных потребностей, а также для соответствия критерию своевременности могут применяться различные стратегии. Мы должны перейти к согласованной коммуникационной стратегии для управления океанографическими данными и информацией, которая позволит нам объединить широкий спектр сложных измерений и наблюдений за морской средой в рамках различных дисциплин, учреждений, временных и пространственных масштабов.</w:t>
      </w:r>
    </w:p>
    <w:p w14:paraId="6B4B8547" w14:textId="77777777" w:rsidR="00D9076C" w:rsidRPr="00FB572F" w:rsidRDefault="00D9076C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b/>
          <w:bCs/>
          <w:lang w:val="ru-RU"/>
        </w:rPr>
        <w:t xml:space="preserve">Цель </w:t>
      </w:r>
      <w:r>
        <w:rPr>
          <w:lang w:val="ru-RU"/>
        </w:rPr>
        <w:t xml:space="preserve">заключается в создании </w:t>
      </w:r>
      <w:r>
        <w:rPr>
          <w:b/>
          <w:bCs/>
          <w:lang w:val="ru-RU"/>
        </w:rPr>
        <w:t>всеобъемлющей и комплексной системы океанографических данных и информации</w:t>
      </w:r>
      <w:r>
        <w:rPr>
          <w:lang w:val="ru-RU"/>
        </w:rPr>
        <w:t xml:space="preserve"> для всех видов деятельности в океане. Важно, чтобы существующие и действующие национальные, региональные и международные системы могли подключаться к комплексной глобальной системе.</w:t>
      </w:r>
    </w:p>
    <w:p w14:paraId="4B44EE1A" w14:textId="77777777" w:rsidR="00D9076C" w:rsidRPr="00FB572F" w:rsidRDefault="00D9076C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b/>
          <w:bCs/>
          <w:lang w:val="ru-RU"/>
        </w:rPr>
        <w:t xml:space="preserve">Задачи </w:t>
      </w:r>
      <w:r>
        <w:rPr>
          <w:lang w:val="ru-RU"/>
        </w:rPr>
        <w:t>стратегического плана заключаются в следующем:</w:t>
      </w:r>
    </w:p>
    <w:p w14:paraId="2E6F3848" w14:textId="77777777" w:rsidR="00D9076C" w:rsidRPr="00FB572F" w:rsidRDefault="00D9076C" w:rsidP="00597DCE">
      <w:pPr>
        <w:pStyle w:val="ListParagraph"/>
        <w:numPr>
          <w:ilvl w:val="0"/>
          <w:numId w:val="7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lang w:val="ru-RU"/>
        </w:rPr>
      </w:pPr>
      <w:r>
        <w:rPr>
          <w:lang w:val="ru-RU"/>
        </w:rPr>
        <w:t>предоставление функционально совместимых и прошедших контроль качества данных по разнообразным переменным: (i) полученных с помощью научно и практически обоснованных методов и (ii) постоянно архивируемых в соответствии с подробно задокументированными и применимыми во всем мире стандартами и форматами;</w:t>
      </w:r>
    </w:p>
    <w:p w14:paraId="7BCEFE04" w14:textId="3262A690" w:rsidR="00D9076C" w:rsidRPr="00FB572F" w:rsidRDefault="00D9076C" w:rsidP="00597DCE">
      <w:pPr>
        <w:pStyle w:val="ListParagraph"/>
        <w:numPr>
          <w:ilvl w:val="0"/>
          <w:numId w:val="7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lang w:val="ru-RU"/>
        </w:rPr>
      </w:pPr>
      <w:r>
        <w:rPr>
          <w:lang w:val="ru-RU"/>
        </w:rPr>
        <w:t>своевременное распространение данных по разнообразным переменным (полученных в результате наблюдений и на основе результатов моделирования) как в режиме реального времени, так и с задержкой в зависимости от потребностей групп пользователей и их технических возможностей (</w:t>
      </w:r>
      <w:r w:rsidR="00070AD9">
        <w:rPr>
          <w:lang w:val="ru-RU"/>
        </w:rPr>
        <w:t>«</w:t>
      </w:r>
      <w:r>
        <w:rPr>
          <w:lang w:val="ru-RU"/>
        </w:rPr>
        <w:t>по требованию</w:t>
      </w:r>
      <w:r w:rsidR="00070AD9">
        <w:rPr>
          <w:lang w:val="ru-RU"/>
        </w:rPr>
        <w:t>»</w:t>
      </w:r>
      <w:r>
        <w:rPr>
          <w:lang w:val="ru-RU"/>
        </w:rPr>
        <w:t xml:space="preserve">, а также автоматически по расписанию);  </w:t>
      </w:r>
    </w:p>
    <w:p w14:paraId="4EF3D3D1" w14:textId="0F3F4094" w:rsidR="00D9076C" w:rsidRPr="00FB572F" w:rsidRDefault="00D9076C" w:rsidP="00597DCE">
      <w:pPr>
        <w:pStyle w:val="ListParagraph"/>
        <w:numPr>
          <w:ilvl w:val="0"/>
          <w:numId w:val="7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lang w:val="ru-RU"/>
        </w:rPr>
      </w:pPr>
      <w:r>
        <w:rPr>
          <w:lang w:val="ru-RU"/>
        </w:rPr>
        <w:t>простой поиск и доступ к данным и информации о разнообразных переменных и производных продуктах (включая прогнозы, предупреждения и предостережения) в удобной для широкого круга пользователей форме</w:t>
      </w:r>
      <w:r w:rsidR="00995C7A" w:rsidRPr="00995C7A">
        <w:rPr>
          <w:lang w:val="ru-RU"/>
        </w:rPr>
        <w:t>.</w:t>
      </w:r>
    </w:p>
    <w:p w14:paraId="7B11D635" w14:textId="77777777" w:rsidR="00D9076C" w:rsidRPr="00FB572F" w:rsidRDefault="00D9076C" w:rsidP="00597DCE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>В ходе осуществления стратегического плана необходимо принимать во внимание:</w:t>
      </w:r>
    </w:p>
    <w:p w14:paraId="7653B4EC" w14:textId="64EE6878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ход работы в рамках Системы океанографических данных и информации МОК/</w:t>
      </w:r>
      <w:r w:rsidR="00AE5245">
        <w:rPr>
          <w:lang w:val="ru-RU"/>
        </w:rPr>
        <w:br/>
      </w:r>
      <w:r>
        <w:rPr>
          <w:lang w:val="ru-RU"/>
        </w:rPr>
        <w:t>МООД (ОДИС) и составления каталога онлайновых данных и информационных услуг (ОДИСкат), который представляет собой рамочную основу для обеспечения функциональной совместимости и взаимной увязки международных, региональных и национальных цифровых ресурсов;</w:t>
      </w:r>
    </w:p>
    <w:p w14:paraId="0450C3BD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 xml:space="preserve">ход работы в рамках координационной группы МОК/ГСНО по наблюдениям (КГН) по составлению схемы потоков данных глобальных сетей наблюдений in situ и подготовке плана производства данных; </w:t>
      </w:r>
    </w:p>
    <w:p w14:paraId="2971E2D5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ход работы в рамках системы примеров передового опыта в области океанических исследований МООД/ГСНО (СППО) с учетом того, что в настоящее время в нее включены не все методы и примеры передового опыта, имеющие отношение к стратегическому плану МОК по управлению океанографическими данными и информацией;</w:t>
      </w:r>
    </w:p>
    <w:p w14:paraId="1117CF90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стратегию развития потенциала МОК (2023 г.) и политику и условия использования данных МОК (2023 г.);</w:t>
      </w:r>
    </w:p>
    <w:p w14:paraId="5982740B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необходимость поддержки потребностей в данных и информации для морских служб, транспорта, океанических прогнозов, исследований изменения и изменчивости климата и других научных исследований;</w:t>
      </w:r>
    </w:p>
    <w:p w14:paraId="7CAAB4B1" w14:textId="67060BE0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lastRenderedPageBreak/>
        <w:t>необходимость поддержки усилий МОК, связанных с возложенной на нее ответственностью за курирование работы по показателям для задачи 14.3.1 ЦУР, касающейся закисления океана, и задачи 14.a ЦУР, касающейся морских научных исследований;</w:t>
      </w:r>
    </w:p>
    <w:p w14:paraId="3BE2DD51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необходимость признания и учета знаний коренных и местных народов (КМН) для обеспечения надлежащей интеграции этих знаний;</w:t>
      </w:r>
    </w:p>
    <w:p w14:paraId="09513F60" w14:textId="77777777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>необходимость соблюдения принципов сообщества для работы с данными, таких как FAIR (удобство поиска, доступность, функциональная совместимость и возможность повторного использования), CARE (коллективная польза, контрольные полномочия, ответственность и этика) и TRUST (прозрачность, ответственность, ориентация на пользователя, устойчивость и использование технологий), а также протоколов создания надежных хранилищ данных;</w:t>
      </w:r>
    </w:p>
    <w:p w14:paraId="0CF8FC47" w14:textId="144B86AD" w:rsidR="00D9076C" w:rsidRPr="00FB572F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  <w:lang w:val="ru-RU"/>
        </w:rPr>
      </w:pPr>
      <w:r>
        <w:rPr>
          <w:lang w:val="ru-RU"/>
        </w:rPr>
        <w:t xml:space="preserve">необходимость проведения морских оценок и регулярного предоставления показателей </w:t>
      </w:r>
      <w:r w:rsidR="00AE5245">
        <w:rPr>
          <w:lang w:val="ru-RU"/>
        </w:rPr>
        <w:t>«</w:t>
      </w:r>
      <w:r>
        <w:rPr>
          <w:lang w:val="ru-RU"/>
        </w:rPr>
        <w:t>здоровья</w:t>
      </w:r>
      <w:r w:rsidR="00AE5245">
        <w:rPr>
          <w:lang w:val="ru-RU"/>
        </w:rPr>
        <w:t>»</w:t>
      </w:r>
      <w:r>
        <w:rPr>
          <w:lang w:val="ru-RU"/>
        </w:rPr>
        <w:t xml:space="preserve"> морской среды, таких как оценки в рамках Регулярного процесса глобальной оценки состояния морской среды ООН (Оценка состояния Мирового океана) и Межправительственной платформы по биоразнообразию и экосистемным услугам (МПБЭУ);</w:t>
      </w:r>
    </w:p>
    <w:p w14:paraId="46F2DE53" w14:textId="77777777" w:rsidR="00D9076C" w:rsidRPr="00451C4E" w:rsidRDefault="00D9076C" w:rsidP="00597DCE">
      <w:pPr>
        <w:pStyle w:val="ListParagraph"/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szCs w:val="22"/>
        </w:rPr>
      </w:pPr>
      <w:r>
        <w:rPr>
          <w:lang w:val="ru-RU"/>
        </w:rPr>
        <w:t>обращение секретариата Конвенции о биологическом разнообразии (КБР) к МОК и ее ОБИС с просьбой о предоставлении данных и информации для определения экологически или биологически значимых районов и оказать поддержку Глобальной рамочной программе КБР в области биоразнообразия на период после 2020 г. с помощью ГСНО и ОБИС.</w:t>
      </w:r>
    </w:p>
    <w:p w14:paraId="0A1D5443" w14:textId="77777777" w:rsidR="00D9076C" w:rsidRPr="00FB572F" w:rsidRDefault="00D9076C" w:rsidP="00AE5245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Ожидаемым итоговым результатом стратегического плана МОК по управлению данными и информацией является значительное усовершенствование инфраструктуры, формирование общих подходов к управлению океанографическими данными и информацией, обеспечивающих обмен функционально совместимыми данными, а также расширение сотрудничества между поставщиками и пользователями данных. </w:t>
      </w:r>
    </w:p>
    <w:p w14:paraId="223632FB" w14:textId="71544458" w:rsidR="00D9076C" w:rsidRPr="00FB572F" w:rsidRDefault="00D9076C" w:rsidP="00AE5245">
      <w:pPr>
        <w:pStyle w:val="paranumbered"/>
        <w:tabs>
          <w:tab w:val="left" w:pos="567"/>
        </w:tabs>
        <w:spacing w:before="0" w:after="240" w:line="240" w:lineRule="auto"/>
        <w:rPr>
          <w:lang w:val="ru-RU"/>
        </w:rPr>
      </w:pPr>
      <w:r>
        <w:rPr>
          <w:lang w:val="ru-RU"/>
        </w:rPr>
        <w:t xml:space="preserve">План будет способствовать созданию </w:t>
      </w:r>
      <w:r w:rsidR="00AE5245">
        <w:rPr>
          <w:lang w:val="ru-RU"/>
        </w:rPr>
        <w:t>«</w:t>
      </w:r>
      <w:r w:rsidRPr="00E410A1">
        <w:rPr>
          <w:b/>
          <w:bCs/>
          <w:lang w:val="ru-RU"/>
        </w:rPr>
        <w:t>цифровой экосистемы океана</w:t>
      </w:r>
      <w:r w:rsidR="00AE5245" w:rsidRPr="00AE5245">
        <w:rPr>
          <w:lang w:val="ru-RU"/>
        </w:rPr>
        <w:t>»</w:t>
      </w:r>
      <w:r>
        <w:rPr>
          <w:lang w:val="ru-RU"/>
        </w:rPr>
        <w:t>, которое представляет собой динамичный и непрерывный процесс, учитывающий как устоявшиеся, так и появившиеся совсем недавно подходы и технологии. Работа по плану будет вестись в тесной увязке с Десятилетием ООН, посвященным науке об океане в интересах устойчивого развития, и будет направлена на отображение социально-экологических аспектов океана с помощью цифровых средств.</w:t>
      </w:r>
    </w:p>
    <w:p w14:paraId="74F5E559" w14:textId="69B513B7" w:rsidR="00D9076C" w:rsidRPr="00BC79D5" w:rsidRDefault="00D9076C" w:rsidP="00AE5245">
      <w:pPr>
        <w:pStyle w:val="paranumbered"/>
        <w:tabs>
          <w:tab w:val="left" w:pos="567"/>
        </w:tabs>
        <w:spacing w:before="0" w:after="240" w:line="240" w:lineRule="auto"/>
      </w:pPr>
      <w:r>
        <w:rPr>
          <w:lang w:val="ru-RU"/>
        </w:rPr>
        <w:t xml:space="preserve">В случае одобрения стратегический план МОК по управлению океанографическими данными и информацией (на 2023-2029 гг.) будет опубликован в серии </w:t>
      </w:r>
      <w:hyperlink r:id="rId19" w:history="1">
        <w:r w:rsidRPr="00E410A1">
          <w:rPr>
            <w:rStyle w:val="Hyperlink"/>
            <w:lang w:val="ru-RU"/>
          </w:rPr>
          <w:t>92</w:t>
        </w:r>
      </w:hyperlink>
      <w:r>
        <w:rPr>
          <w:lang w:val="ru-RU"/>
        </w:rPr>
        <w:t xml:space="preserve"> справочников и руководств МОК, которая заменит собой серию </w:t>
      </w:r>
      <w:hyperlink r:id="rId20" w:history="1">
        <w:r w:rsidRPr="00E410A1">
          <w:rPr>
            <w:rStyle w:val="Hyperlink"/>
            <w:lang w:val="ru-RU"/>
          </w:rPr>
          <w:t>77</w:t>
        </w:r>
      </w:hyperlink>
      <w:r>
        <w:rPr>
          <w:lang w:val="ru-RU"/>
        </w:rPr>
        <w:t>.</w:t>
      </w:r>
    </w:p>
    <w:p w14:paraId="6B52F161" w14:textId="77777777" w:rsidR="00BC79D5" w:rsidRPr="00433D21" w:rsidRDefault="00AD06D8" w:rsidP="00AE5245">
      <w:pPr>
        <w:pStyle w:val="COI"/>
        <w:numPr>
          <w:ilvl w:val="0"/>
          <w:numId w:val="0"/>
        </w:numPr>
        <w:tabs>
          <w:tab w:val="left" w:pos="567"/>
        </w:tabs>
        <w:rPr>
          <w:b/>
          <w:bCs/>
        </w:rPr>
      </w:pPr>
      <w:r>
        <w:rPr>
          <w:b/>
          <w:bCs/>
          <w:lang w:val="ru-RU"/>
        </w:rPr>
        <w:t>Предлагаемое решение</w:t>
      </w:r>
    </w:p>
    <w:p w14:paraId="10C1C20E" w14:textId="70839AB7" w:rsidR="00AD06D8" w:rsidRPr="00FB572F" w:rsidRDefault="00AD06D8" w:rsidP="00AE5245">
      <w:pPr>
        <w:pStyle w:val="paranumbered"/>
        <w:tabs>
          <w:tab w:val="left" w:pos="567"/>
        </w:tabs>
        <w:spacing w:before="0" w:after="240" w:line="240" w:lineRule="auto"/>
        <w:rPr>
          <w:u w:val="single"/>
          <w:lang w:val="ru-RU"/>
        </w:rPr>
      </w:pPr>
      <w:r>
        <w:rPr>
          <w:lang w:val="ru-RU"/>
        </w:rPr>
        <w:t>В свете вышеизложенного Ассамблее МОК предлагается рассмотреть решение</w:t>
      </w:r>
      <w:r w:rsidR="00AE5245">
        <w:rPr>
          <w:lang w:val="ru-RU"/>
        </w:rPr>
        <w:t> </w:t>
      </w:r>
      <w:r>
        <w:rPr>
          <w:lang w:val="ru-RU"/>
        </w:rPr>
        <w:t>IOC</w:t>
      </w:r>
      <w:r w:rsidR="00AE5245">
        <w:rPr>
          <w:lang w:val="ru-RU"/>
        </w:rPr>
        <w:noBreakHyphen/>
      </w:r>
      <w:r>
        <w:rPr>
          <w:lang w:val="ru-RU"/>
        </w:rPr>
        <w:t>32/3.4.2 (часть II), содержащееся в документе о принятых и предлагаемых мерах (IOC-32/2 Prov.).</w:t>
      </w:r>
    </w:p>
    <w:p w14:paraId="7B4BBF5C" w14:textId="77777777" w:rsidR="00AD06D8" w:rsidRPr="00FB572F" w:rsidRDefault="00AD06D8" w:rsidP="00597DCE">
      <w:pPr>
        <w:pStyle w:val="COI"/>
        <w:numPr>
          <w:ilvl w:val="0"/>
          <w:numId w:val="0"/>
        </w:numPr>
        <w:rPr>
          <w:lang w:val="ru-RU"/>
        </w:rPr>
      </w:pPr>
    </w:p>
    <w:sectPr w:rsidR="00AD06D8" w:rsidRPr="00FB572F" w:rsidSect="00597DCE">
      <w:headerReference w:type="even" r:id="rId21"/>
      <w:headerReference w:type="default" r:id="rId22"/>
      <w:headerReference w:type="first" r:id="rId23"/>
      <w:type w:val="oddPage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61B2" w14:textId="77777777" w:rsidR="00BB0DC7" w:rsidRDefault="00BB0DC7">
      <w:r>
        <w:separator/>
      </w:r>
    </w:p>
  </w:endnote>
  <w:endnote w:type="continuationSeparator" w:id="0">
    <w:p w14:paraId="7E304E3B" w14:textId="77777777" w:rsidR="00BB0DC7" w:rsidRDefault="00BB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D14B" w14:textId="77777777" w:rsidR="00F03FF2" w:rsidRDefault="00F0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E181" w14:textId="77777777" w:rsidR="00F03FF2" w:rsidRDefault="00F03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A95F" w14:textId="77777777" w:rsidR="00F03FF2" w:rsidRDefault="00F0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F660" w14:textId="77777777" w:rsidR="00BB0DC7" w:rsidRDefault="00BB0DC7">
      <w:r>
        <w:separator/>
      </w:r>
    </w:p>
  </w:footnote>
  <w:footnote w:type="continuationSeparator" w:id="0">
    <w:p w14:paraId="0FACEAB9" w14:textId="77777777" w:rsidR="00BB0DC7" w:rsidRDefault="00BB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CDC" w14:textId="77777777" w:rsidR="00020AA1" w:rsidRPr="00C962F0" w:rsidRDefault="00020AA1">
    <w:pPr>
      <w:pStyle w:val="Header"/>
      <w:rPr>
        <w:szCs w:val="22"/>
      </w:rPr>
    </w:pPr>
    <w:r w:rsidRPr="00FB572F">
      <w:rPr>
        <w:lang w:val="en-US"/>
      </w:rPr>
      <w:t>ICG/CARIBE-EWS II/WD __</w:t>
    </w:r>
  </w:p>
  <w:p w14:paraId="48634EFF" w14:textId="77777777" w:rsidR="00020AA1" w:rsidRPr="00C962F0" w:rsidRDefault="00020AA1">
    <w:pPr>
      <w:pStyle w:val="Header"/>
      <w:rPr>
        <w:szCs w:val="22"/>
      </w:rPr>
    </w:pPr>
    <w:r w:rsidRPr="00C962F0">
      <w:rPr>
        <w:szCs w:val="22"/>
      </w:rPr>
      <w:t>Page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24D4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lang w:val="ru-RU"/>
      </w:rPr>
      <w:t>IOC-XXIV/2 Annex __</w:t>
    </w:r>
  </w:p>
  <w:p w14:paraId="4AA6D70B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 w:rsidRPr="00746B89">
      <w:rPr>
        <w:szCs w:val="22"/>
      </w:rPr>
      <w:t>Page </w:t>
    </w:r>
    <w:r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Pr="00746B89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3</w:t>
    </w:r>
    <w:r w:rsidRPr="00746B89">
      <w:rPr>
        <w:rStyle w:val="PageNumber"/>
        <w:szCs w:val="22"/>
      </w:rPr>
      <w:fldChar w:fldCharType="end"/>
    </w:r>
  </w:p>
  <w:p w14:paraId="7D94AEC3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23D0" w14:textId="232B96B1" w:rsidR="00020AA1" w:rsidRPr="00B25F55" w:rsidRDefault="00020AA1" w:rsidP="005742D0">
    <w:pPr>
      <w:pStyle w:val="Marge"/>
      <w:tabs>
        <w:tab w:val="left" w:pos="6096"/>
      </w:tabs>
      <w:spacing w:after="0"/>
      <w:rPr>
        <w:rFonts w:cs="Arial"/>
        <w:b/>
        <w:sz w:val="34"/>
        <w:szCs w:val="34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B25F55">
      <w:rPr>
        <w:b/>
        <w:bCs/>
        <w:sz w:val="34"/>
        <w:szCs w:val="34"/>
        <w:lang w:val="ru-RU"/>
      </w:rPr>
      <w:t>IOC</w:t>
    </w:r>
    <w:r w:rsidR="00B25F55" w:rsidRPr="00B25F55">
      <w:rPr>
        <w:b/>
        <w:bCs/>
        <w:sz w:val="34"/>
        <w:szCs w:val="34"/>
        <w:lang w:val="ru-RU"/>
      </w:rPr>
      <w:t>/</w:t>
    </w:r>
    <w:r w:rsidR="00B25F55" w:rsidRPr="00B25F55">
      <w:rPr>
        <w:b/>
        <w:bCs/>
        <w:sz w:val="34"/>
        <w:szCs w:val="34"/>
        <w:lang w:val="en-US"/>
      </w:rPr>
      <w:t>A</w:t>
    </w:r>
    <w:r w:rsidRPr="00B25F55">
      <w:rPr>
        <w:b/>
        <w:bCs/>
        <w:sz w:val="34"/>
        <w:szCs w:val="34"/>
        <w:lang w:val="ru-RU"/>
      </w:rPr>
      <w:t>-32/3.4.2.Doc(1)</w:t>
    </w:r>
  </w:p>
  <w:p w14:paraId="29D299B7" w14:textId="09892993" w:rsidR="00020AA1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229452C8" wp14:editId="244CF9E2">
          <wp:simplePos x="0" y="0"/>
          <wp:positionH relativeFrom="column">
            <wp:posOffset>-114300</wp:posOffset>
          </wp:positionH>
          <wp:positionV relativeFrom="paragraph">
            <wp:posOffset>151130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ab/>
      <w:t>Париж, 17 апреля 2023 г.</w:t>
    </w:r>
  </w:p>
  <w:p w14:paraId="0F5FBA0E" w14:textId="381B1185" w:rsidR="00020AA1" w:rsidRPr="00FB572F" w:rsidRDefault="00020AA1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  <w:r>
      <w:rPr>
        <w:lang w:val="ru-RU"/>
      </w:rPr>
      <w:tab/>
      <w:t>Оригинал: английский</w:t>
    </w:r>
  </w:p>
  <w:p w14:paraId="017BDA8F" w14:textId="077C5F1E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4959BA18" w14:textId="124518E7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7FD9208B" w14:textId="47C27167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09854E78" w14:textId="5A200119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18D6FC11" w14:textId="0A90E5CE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73CCCA34" w14:textId="127619D7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57CA04C7" w14:textId="77777777" w:rsidR="002A4F4F" w:rsidRPr="00FB572F" w:rsidRDefault="002A4F4F" w:rsidP="005742D0">
    <w:pPr>
      <w:tabs>
        <w:tab w:val="clear" w:pos="567"/>
        <w:tab w:val="left" w:pos="6096"/>
      </w:tabs>
      <w:jc w:val="both"/>
      <w:rPr>
        <w:rFonts w:cs="Arial"/>
        <w:szCs w:val="22"/>
        <w:lang w:val="ru-RU"/>
      </w:rPr>
    </w:pPr>
  </w:p>
  <w:p w14:paraId="6A9F7A2C" w14:textId="3C38C098" w:rsidR="00020AA1" w:rsidRPr="00874745" w:rsidRDefault="00020AA1" w:rsidP="002A4F4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 w:val="24"/>
        <w:lang w:val="ru-RU"/>
      </w:rPr>
    </w:pPr>
    <w:r w:rsidRPr="00874745">
      <w:rPr>
        <w:b/>
        <w:bCs/>
        <w:sz w:val="24"/>
        <w:lang w:val="ru-RU"/>
      </w:rPr>
      <w:t>Межправительственная океанографическая комиссия</w:t>
    </w:r>
  </w:p>
  <w:p w14:paraId="031ED2D0" w14:textId="77777777" w:rsidR="00020AA1" w:rsidRPr="00874745" w:rsidRDefault="00020AA1" w:rsidP="002A4F4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 w:val="24"/>
        <w:lang w:val="ru-RU"/>
      </w:rPr>
    </w:pPr>
    <w:r w:rsidRPr="00874745">
      <w:rPr>
        <w:sz w:val="24"/>
        <w:lang w:val="ru-RU"/>
      </w:rPr>
      <w:t>(ЮНЕСКО)</w:t>
    </w:r>
  </w:p>
  <w:p w14:paraId="508A2D75" w14:textId="77777777" w:rsidR="00020AA1" w:rsidRPr="00874745" w:rsidRDefault="00020AA1" w:rsidP="002A4F4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 w:val="24"/>
        <w:lang w:val="ru-RU"/>
      </w:rPr>
    </w:pPr>
  </w:p>
  <w:p w14:paraId="5FFECEAD" w14:textId="74E63D59" w:rsidR="005742D0" w:rsidRPr="00874745" w:rsidRDefault="005742D0" w:rsidP="002A4F4F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 w:val="24"/>
        <w:lang w:val="ru-RU"/>
      </w:rPr>
    </w:pPr>
    <w:r w:rsidRPr="00874745">
      <w:rPr>
        <w:b/>
        <w:bCs/>
        <w:sz w:val="24"/>
        <w:lang w:val="ru-RU"/>
      </w:rPr>
      <w:t>Тридцать вторая сессия Ассамблеи</w:t>
    </w:r>
  </w:p>
  <w:p w14:paraId="4D4BA647" w14:textId="5D6F2CBD" w:rsidR="00020AA1" w:rsidRPr="00874745" w:rsidRDefault="005742D0" w:rsidP="002A4F4F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 w:val="24"/>
        <w:lang w:val="ru-RU"/>
      </w:rPr>
    </w:pPr>
    <w:r w:rsidRPr="00874745">
      <w:rPr>
        <w:sz w:val="24"/>
        <w:lang w:val="ru-RU"/>
      </w:rPr>
      <w:t>ЮНЕСКО, 20-30 июня 2023 г.</w:t>
    </w:r>
  </w:p>
  <w:p w14:paraId="6A36CD0E" w14:textId="77777777" w:rsidR="00020AA1" w:rsidRPr="00FB572F" w:rsidRDefault="00020AA1" w:rsidP="003F718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  <w:lang w:val="ru-RU"/>
      </w:rPr>
    </w:pPr>
  </w:p>
  <w:p w14:paraId="562EB80A" w14:textId="0D1431F2" w:rsidR="00020AA1" w:rsidRPr="00FB572F" w:rsidRDefault="00041E70" w:rsidP="002A4F4F">
    <w:pPr>
      <w:tabs>
        <w:tab w:val="left" w:pos="8608"/>
      </w:tabs>
      <w:rPr>
        <w:rFonts w:cs="Arial"/>
        <w:szCs w:val="22"/>
        <w:lang w:val="ru-RU"/>
      </w:rPr>
    </w:pPr>
    <w:r w:rsidRPr="00FB572F">
      <w:rPr>
        <w:rFonts w:cs="Arial"/>
        <w:szCs w:val="22"/>
        <w:lang w:val="ru-RU"/>
      </w:rPr>
      <w:tab/>
    </w:r>
    <w:r w:rsidRPr="00FB572F">
      <w:rPr>
        <w:rFonts w:cs="Arial"/>
        <w:szCs w:val="22"/>
        <w:lang w:val="ru-RU"/>
      </w:rPr>
      <w:tab/>
    </w:r>
  </w:p>
  <w:p w14:paraId="59574913" w14:textId="77777777" w:rsidR="00020AA1" w:rsidRPr="00FB572F" w:rsidRDefault="00020AA1" w:rsidP="00DF2FB9">
    <w:pPr>
      <w:jc w:val="center"/>
      <w:rPr>
        <w:rFonts w:cs="Arial"/>
        <w:szCs w:val="22"/>
        <w:lang w:val="ru-RU"/>
      </w:rPr>
    </w:pPr>
  </w:p>
  <w:p w14:paraId="049B37E5" w14:textId="77777777" w:rsidR="00020AA1" w:rsidRPr="00FB572F" w:rsidRDefault="00020AA1" w:rsidP="00DF2FB9">
    <w:pPr>
      <w:jc w:val="center"/>
      <w:rPr>
        <w:rFonts w:cs="Arial"/>
        <w:szCs w:val="22"/>
        <w:lang w:val="ru-RU"/>
      </w:rPr>
    </w:pPr>
  </w:p>
  <w:p w14:paraId="51BC0570" w14:textId="244E1700" w:rsidR="00020AA1" w:rsidRPr="00FB572F" w:rsidRDefault="00020AA1" w:rsidP="00DF2FB9">
    <w:pPr>
      <w:pStyle w:val="Heading7"/>
      <w:tabs>
        <w:tab w:val="right" w:pos="9540"/>
      </w:tabs>
      <w:rPr>
        <w:rFonts w:cs="Arial"/>
        <w:sz w:val="24"/>
        <w:u w:val="none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3.4.2</w:t>
    </w:r>
    <w:r>
      <w:rPr>
        <w:lang w:val="ru-RU"/>
      </w:rPr>
      <w:t xml:space="preserve"> предварительной повестки дня</w:t>
    </w:r>
  </w:p>
  <w:p w14:paraId="35296AD6" w14:textId="77777777" w:rsidR="00020AA1" w:rsidRPr="00FB572F" w:rsidRDefault="00020AA1" w:rsidP="00DF2FB9">
    <w:pPr>
      <w:rPr>
        <w:rFonts w:cs="Arial"/>
        <w:szCs w:val="22"/>
        <w:lang w:val="ru-RU"/>
      </w:rPr>
    </w:pPr>
  </w:p>
  <w:p w14:paraId="10F462B8" w14:textId="77777777" w:rsidR="00020AA1" w:rsidRPr="00FB572F" w:rsidRDefault="00020AA1" w:rsidP="00DF2FB9">
    <w:pPr>
      <w:rPr>
        <w:rFonts w:cs="Arial"/>
        <w:szCs w:val="22"/>
        <w:lang w:val="ru-RU"/>
      </w:rPr>
    </w:pPr>
  </w:p>
  <w:p w14:paraId="4FEE9DB7" w14:textId="1707F393" w:rsidR="00020AA1" w:rsidRPr="00874745" w:rsidRDefault="001E54B7" w:rsidP="00F4136F">
    <w:pPr>
      <w:pStyle w:val="Header"/>
      <w:spacing w:after="480"/>
      <w:jc w:val="center"/>
      <w:rPr>
        <w:rFonts w:cs="Arial"/>
        <w:sz w:val="28"/>
        <w:szCs w:val="28"/>
        <w:lang w:val="ru-RU"/>
      </w:rPr>
    </w:pPr>
    <w:r w:rsidRPr="00874745">
      <w:rPr>
        <w:b/>
        <w:bCs/>
        <w:sz w:val="28"/>
        <w:szCs w:val="28"/>
        <w:lang w:val="ru-RU"/>
      </w:rPr>
      <w:t xml:space="preserve">Проект </w:t>
    </w:r>
    <w:r w:rsidR="00E410A1" w:rsidRPr="00874745">
      <w:rPr>
        <w:b/>
        <w:bCs/>
        <w:sz w:val="28"/>
        <w:szCs w:val="28"/>
        <w:lang w:val="ru-RU"/>
      </w:rPr>
      <w:t>стратегического</w:t>
    </w:r>
    <w:r w:rsidRPr="00874745">
      <w:rPr>
        <w:b/>
        <w:bCs/>
        <w:sz w:val="28"/>
        <w:szCs w:val="28"/>
        <w:lang w:val="ru-RU"/>
      </w:rPr>
      <w:t xml:space="preserve"> плана МОК</w:t>
    </w:r>
    <w:r w:rsidR="00874745">
      <w:rPr>
        <w:b/>
        <w:bCs/>
        <w:sz w:val="28"/>
        <w:szCs w:val="28"/>
        <w:lang w:val="ru-RU"/>
      </w:rPr>
      <w:br/>
    </w:r>
    <w:r w:rsidRPr="00874745">
      <w:rPr>
        <w:b/>
        <w:bCs/>
        <w:sz w:val="28"/>
        <w:szCs w:val="28"/>
        <w:lang w:val="ru-RU"/>
      </w:rPr>
      <w:t>по управлению океанографическими данными и информацией</w:t>
    </w:r>
    <w:r w:rsidR="00874745">
      <w:rPr>
        <w:b/>
        <w:bCs/>
        <w:sz w:val="28"/>
        <w:szCs w:val="28"/>
        <w:lang w:val="ru-RU"/>
      </w:rPr>
      <w:br/>
    </w:r>
    <w:r w:rsidRPr="00874745">
      <w:rPr>
        <w:b/>
        <w:bCs/>
        <w:sz w:val="28"/>
        <w:szCs w:val="28"/>
        <w:lang w:val="ru-RU"/>
      </w:rPr>
      <w:t xml:space="preserve">(на 2023-2029 гг.) </w:t>
    </w:r>
    <w:r w:rsidR="00E410A1" w:rsidRPr="00874745">
      <w:rPr>
        <w:b/>
        <w:bCs/>
        <w:sz w:val="28"/>
        <w:szCs w:val="28"/>
        <w:lang w:val="ru-RU"/>
      </w:rPr>
      <w:t>–</w:t>
    </w:r>
    <w:r w:rsidRPr="00874745">
      <w:rPr>
        <w:b/>
        <w:bCs/>
        <w:sz w:val="28"/>
        <w:szCs w:val="28"/>
        <w:lang w:val="ru-RU"/>
      </w:rPr>
      <w:t xml:space="preserve"> кратк</w:t>
    </w:r>
    <w:r w:rsidR="00E410A1" w:rsidRPr="00874745">
      <w:rPr>
        <w:b/>
        <w:bCs/>
        <w:sz w:val="28"/>
        <w:szCs w:val="28"/>
        <w:lang w:val="ru-RU"/>
      </w:rPr>
      <w:t>ое описание</w:t>
    </w:r>
  </w:p>
  <w:p w14:paraId="10255A1D" w14:textId="77777777" w:rsidR="00020AA1" w:rsidRPr="00FB572F" w:rsidRDefault="00020AA1">
    <w:pPr>
      <w:pStyle w:val="Header"/>
      <w:rPr>
        <w:rFonts w:cs="Arial"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F566" w14:textId="6354A06C" w:rsidR="00020AA1" w:rsidRPr="00597DCE" w:rsidRDefault="00EE10D0" w:rsidP="00597DCE">
    <w:pPr>
      <w:pStyle w:val="Header"/>
      <w:rPr>
        <w:rFonts w:cs="Arial"/>
        <w:szCs w:val="22"/>
      </w:rPr>
    </w:pPr>
    <w:r w:rsidRPr="00597DCE">
      <w:rPr>
        <w:szCs w:val="22"/>
        <w:lang w:val="ru-RU"/>
      </w:rPr>
      <w:t>IOC</w:t>
    </w:r>
    <w:r w:rsidR="00B25F55">
      <w:rPr>
        <w:szCs w:val="22"/>
        <w:lang w:val="en-US"/>
      </w:rPr>
      <w:t>/A</w:t>
    </w:r>
    <w:r w:rsidRPr="00597DCE">
      <w:rPr>
        <w:szCs w:val="22"/>
        <w:lang w:val="ru-RU"/>
      </w:rPr>
      <w:t>-32/3.4.2.Doc(1)</w:t>
    </w:r>
    <w:r w:rsidR="00597DCE" w:rsidRPr="00597DCE">
      <w:rPr>
        <w:szCs w:val="22"/>
        <w:lang w:val="ru-RU"/>
      </w:rPr>
      <w:t xml:space="preserve"> – </w:t>
    </w:r>
    <w:r w:rsidR="00003B31" w:rsidRPr="00597DCE">
      <w:rPr>
        <w:rFonts w:cs="Arial"/>
        <w:szCs w:val="22"/>
      </w:rPr>
      <w:t>p</w:t>
    </w:r>
    <w:r w:rsidR="00020AA1" w:rsidRPr="00597DCE">
      <w:rPr>
        <w:rFonts w:cs="Arial"/>
        <w:szCs w:val="22"/>
      </w:rPr>
      <w:t>age </w:t>
    </w:r>
    <w:r w:rsidR="00020AA1" w:rsidRPr="00597DCE">
      <w:rPr>
        <w:rStyle w:val="PageNumber"/>
        <w:rFonts w:cs="Arial"/>
        <w:szCs w:val="22"/>
      </w:rPr>
      <w:fldChar w:fldCharType="begin"/>
    </w:r>
    <w:r w:rsidR="00020AA1" w:rsidRPr="00597DCE">
      <w:rPr>
        <w:rStyle w:val="PageNumber"/>
        <w:rFonts w:cs="Arial"/>
        <w:szCs w:val="22"/>
      </w:rPr>
      <w:instrText xml:space="preserve"> PAGE </w:instrText>
    </w:r>
    <w:r w:rsidR="00020AA1" w:rsidRPr="00597DCE">
      <w:rPr>
        <w:rStyle w:val="PageNumber"/>
        <w:rFonts w:cs="Arial"/>
        <w:szCs w:val="22"/>
      </w:rPr>
      <w:fldChar w:fldCharType="separate"/>
    </w:r>
    <w:r w:rsidR="00355412" w:rsidRPr="00597DCE">
      <w:rPr>
        <w:rStyle w:val="PageNumber"/>
        <w:rFonts w:cs="Arial"/>
        <w:noProof/>
        <w:szCs w:val="22"/>
      </w:rPr>
      <w:t>2</w:t>
    </w:r>
    <w:r w:rsidR="00020AA1" w:rsidRPr="00597DCE">
      <w:rPr>
        <w:rStyle w:val="PageNumber"/>
        <w:rFonts w:cs="Arial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7D7E" w14:textId="203239A6" w:rsidR="00020AA1" w:rsidRPr="00597DCE" w:rsidRDefault="00EE10D0" w:rsidP="00597DCE">
    <w:pPr>
      <w:pStyle w:val="Header"/>
      <w:tabs>
        <w:tab w:val="clear" w:pos="8306"/>
      </w:tabs>
      <w:jc w:val="right"/>
      <w:rPr>
        <w:rFonts w:cs="Arial"/>
        <w:szCs w:val="22"/>
        <w:lang w:val="fr-FR"/>
      </w:rPr>
    </w:pPr>
    <w:r w:rsidRPr="00597DCE">
      <w:rPr>
        <w:szCs w:val="22"/>
        <w:lang w:val="ru-RU"/>
      </w:rPr>
      <w:t>IOC</w:t>
    </w:r>
    <w:r w:rsidR="00B25F55">
      <w:rPr>
        <w:szCs w:val="22"/>
        <w:lang w:val="en-US"/>
      </w:rPr>
      <w:t>/A</w:t>
    </w:r>
    <w:r w:rsidRPr="00597DCE">
      <w:rPr>
        <w:szCs w:val="22"/>
        <w:lang w:val="ru-RU"/>
      </w:rPr>
      <w:t>-32/3.4.2.Doc(1)</w:t>
    </w:r>
    <w:r w:rsidR="00597DCE" w:rsidRPr="00597DCE">
      <w:rPr>
        <w:szCs w:val="22"/>
        <w:lang w:val="ru-RU"/>
      </w:rPr>
      <w:t xml:space="preserve"> –</w:t>
    </w:r>
    <w:r w:rsidR="00BD2E24" w:rsidRPr="00597DCE">
      <w:rPr>
        <w:rFonts w:cs="Arial"/>
        <w:szCs w:val="22"/>
        <w:lang w:val="fr-FR"/>
      </w:rPr>
      <w:t xml:space="preserve"> </w:t>
    </w:r>
    <w:r w:rsidR="00003B31" w:rsidRPr="00597DCE">
      <w:rPr>
        <w:rFonts w:cs="Arial"/>
        <w:szCs w:val="22"/>
        <w:lang w:val="fr-FR"/>
      </w:rPr>
      <w:t>p</w:t>
    </w:r>
    <w:r w:rsidR="00020AA1" w:rsidRPr="00597DCE">
      <w:rPr>
        <w:rFonts w:cs="Arial"/>
        <w:szCs w:val="22"/>
        <w:lang w:val="fr-FR"/>
      </w:rPr>
      <w:t>age </w:t>
    </w:r>
    <w:r w:rsidR="00020AA1" w:rsidRPr="00597DCE">
      <w:rPr>
        <w:rStyle w:val="PageNumber"/>
        <w:rFonts w:cs="Arial"/>
        <w:szCs w:val="22"/>
      </w:rPr>
      <w:fldChar w:fldCharType="begin"/>
    </w:r>
    <w:r w:rsidR="00020AA1" w:rsidRPr="00597DCE">
      <w:rPr>
        <w:rStyle w:val="PageNumber"/>
        <w:rFonts w:cs="Arial"/>
        <w:szCs w:val="22"/>
        <w:lang w:val="fr-FR"/>
      </w:rPr>
      <w:instrText xml:space="preserve"> PAGE </w:instrText>
    </w:r>
    <w:r w:rsidR="00020AA1" w:rsidRPr="00597DCE">
      <w:rPr>
        <w:rStyle w:val="PageNumber"/>
        <w:rFonts w:cs="Arial"/>
        <w:szCs w:val="22"/>
      </w:rPr>
      <w:fldChar w:fldCharType="separate"/>
    </w:r>
    <w:r w:rsidR="00355412" w:rsidRPr="00597DCE">
      <w:rPr>
        <w:rStyle w:val="PageNumber"/>
        <w:rFonts w:cs="Arial"/>
        <w:noProof/>
        <w:szCs w:val="22"/>
        <w:lang w:val="fr-FR"/>
      </w:rPr>
      <w:t>3</w:t>
    </w:r>
    <w:r w:rsidR="00020AA1" w:rsidRPr="00597DCE">
      <w:rPr>
        <w:rStyle w:val="PageNumber"/>
        <w:rFonts w:cs="Arial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C42D" w14:textId="02D3BC91" w:rsidR="00020AA1" w:rsidRPr="00EE10D0" w:rsidRDefault="005742D0" w:rsidP="00294AD5">
    <w:pPr>
      <w:pStyle w:val="Header"/>
      <w:jc w:val="right"/>
      <w:rPr>
        <w:rFonts w:cs="Arial"/>
        <w:color w:val="000000" w:themeColor="text1"/>
        <w:sz w:val="20"/>
        <w:szCs w:val="20"/>
      </w:rPr>
    </w:pPr>
    <w:r>
      <w:rPr>
        <w:lang w:val="ru-RU"/>
      </w:rPr>
      <w:t>IOC</w:t>
    </w:r>
    <w:r w:rsidR="00B25F55">
      <w:rPr>
        <w:lang w:val="en-US"/>
      </w:rPr>
      <w:t>/A</w:t>
    </w:r>
    <w:r>
      <w:rPr>
        <w:lang w:val="ru-RU"/>
      </w:rPr>
      <w:t>-32/3.4.2.Doc(1)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B204C64"/>
    <w:multiLevelType w:val="hybridMultilevel"/>
    <w:tmpl w:val="C114D6EC"/>
    <w:lvl w:ilvl="0" w:tplc="D72441DE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B64C0"/>
    <w:multiLevelType w:val="hybridMultilevel"/>
    <w:tmpl w:val="19845974"/>
    <w:lvl w:ilvl="0" w:tplc="012C41A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7617"/>
    <w:multiLevelType w:val="hybridMultilevel"/>
    <w:tmpl w:val="4B5ECE08"/>
    <w:lvl w:ilvl="0" w:tplc="012C41A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70DA7"/>
    <w:multiLevelType w:val="hybridMultilevel"/>
    <w:tmpl w:val="480C8750"/>
    <w:lvl w:ilvl="0" w:tplc="040C000F">
      <w:start w:val="1"/>
      <w:numFmt w:val="decimal"/>
      <w:pStyle w:val="paranumbered"/>
      <w:lvlText w:val="%1."/>
      <w:lvlJc w:val="left"/>
      <w:pPr>
        <w:ind w:left="0" w:firstLine="0"/>
      </w:pPr>
      <w:rPr>
        <w:rFonts w:hint="default"/>
        <w:b w:val="0"/>
        <w:i w:val="0"/>
        <w:i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F8AA590">
      <w:start w:val="1"/>
      <w:numFmt w:val="lowerRoman"/>
      <w:lvlText w:val="(%3) 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75488">
    <w:abstractNumId w:val="2"/>
  </w:num>
  <w:num w:numId="2" w16cid:durableId="1215119910">
    <w:abstractNumId w:val="3"/>
  </w:num>
  <w:num w:numId="3" w16cid:durableId="2024698023">
    <w:abstractNumId w:val="0"/>
  </w:num>
  <w:num w:numId="4" w16cid:durableId="1719745718">
    <w:abstractNumId w:val="1"/>
  </w:num>
  <w:num w:numId="5" w16cid:durableId="1875651770">
    <w:abstractNumId w:val="6"/>
  </w:num>
  <w:num w:numId="6" w16cid:durableId="2111125630">
    <w:abstractNumId w:val="4"/>
  </w:num>
  <w:num w:numId="7" w16cid:durableId="1905606997">
    <w:abstractNumId w:val="5"/>
  </w:num>
  <w:num w:numId="8" w16cid:durableId="9234913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94"/>
    <w:rsid w:val="00003B31"/>
    <w:rsid w:val="00010BBB"/>
    <w:rsid w:val="00020AA1"/>
    <w:rsid w:val="00041E70"/>
    <w:rsid w:val="00070AD9"/>
    <w:rsid w:val="00085D6A"/>
    <w:rsid w:val="000F0254"/>
    <w:rsid w:val="00123719"/>
    <w:rsid w:val="001241D7"/>
    <w:rsid w:val="00137E97"/>
    <w:rsid w:val="001448C4"/>
    <w:rsid w:val="00155393"/>
    <w:rsid w:val="00167158"/>
    <w:rsid w:val="00196052"/>
    <w:rsid w:val="001B3B24"/>
    <w:rsid w:val="001C6455"/>
    <w:rsid w:val="001E54B7"/>
    <w:rsid w:val="0021210D"/>
    <w:rsid w:val="00294AD5"/>
    <w:rsid w:val="002A4F4F"/>
    <w:rsid w:val="002C6394"/>
    <w:rsid w:val="002C7DE3"/>
    <w:rsid w:val="002E0859"/>
    <w:rsid w:val="0034156B"/>
    <w:rsid w:val="00355412"/>
    <w:rsid w:val="003561BE"/>
    <w:rsid w:val="00367F0D"/>
    <w:rsid w:val="003805F5"/>
    <w:rsid w:val="003A7860"/>
    <w:rsid w:val="003D3711"/>
    <w:rsid w:val="003F55CF"/>
    <w:rsid w:val="003F7186"/>
    <w:rsid w:val="004031FB"/>
    <w:rsid w:val="00413F17"/>
    <w:rsid w:val="00424DE6"/>
    <w:rsid w:val="00433D21"/>
    <w:rsid w:val="004529B8"/>
    <w:rsid w:val="00467E3F"/>
    <w:rsid w:val="004A135F"/>
    <w:rsid w:val="004C1625"/>
    <w:rsid w:val="004F7D6C"/>
    <w:rsid w:val="00517BBB"/>
    <w:rsid w:val="00550523"/>
    <w:rsid w:val="005742D0"/>
    <w:rsid w:val="00597DCE"/>
    <w:rsid w:val="005C7A36"/>
    <w:rsid w:val="005C7D76"/>
    <w:rsid w:val="005E544C"/>
    <w:rsid w:val="006110DA"/>
    <w:rsid w:val="0062687D"/>
    <w:rsid w:val="00633EA5"/>
    <w:rsid w:val="00654C89"/>
    <w:rsid w:val="00682613"/>
    <w:rsid w:val="006842FA"/>
    <w:rsid w:val="0068682C"/>
    <w:rsid w:val="00690A0C"/>
    <w:rsid w:val="00690FD2"/>
    <w:rsid w:val="00693199"/>
    <w:rsid w:val="006B4B95"/>
    <w:rsid w:val="006C18D9"/>
    <w:rsid w:val="006C6449"/>
    <w:rsid w:val="00704456"/>
    <w:rsid w:val="00717FD5"/>
    <w:rsid w:val="00737A18"/>
    <w:rsid w:val="00746B89"/>
    <w:rsid w:val="00760AFC"/>
    <w:rsid w:val="0079212B"/>
    <w:rsid w:val="007B5516"/>
    <w:rsid w:val="008048D2"/>
    <w:rsid w:val="0081004E"/>
    <w:rsid w:val="008338A6"/>
    <w:rsid w:val="00853565"/>
    <w:rsid w:val="00874745"/>
    <w:rsid w:val="008A60C9"/>
    <w:rsid w:val="008A6E5C"/>
    <w:rsid w:val="008B384B"/>
    <w:rsid w:val="008C7F43"/>
    <w:rsid w:val="008D2398"/>
    <w:rsid w:val="008F6942"/>
    <w:rsid w:val="009026D3"/>
    <w:rsid w:val="00976D89"/>
    <w:rsid w:val="00993CA4"/>
    <w:rsid w:val="00995C7A"/>
    <w:rsid w:val="009B63AB"/>
    <w:rsid w:val="009C0A89"/>
    <w:rsid w:val="009C15B1"/>
    <w:rsid w:val="009E1606"/>
    <w:rsid w:val="009E6A03"/>
    <w:rsid w:val="009F1991"/>
    <w:rsid w:val="009F3A67"/>
    <w:rsid w:val="009F7769"/>
    <w:rsid w:val="009F78AE"/>
    <w:rsid w:val="00A11697"/>
    <w:rsid w:val="00A25BC8"/>
    <w:rsid w:val="00A57DE5"/>
    <w:rsid w:val="00A75EC4"/>
    <w:rsid w:val="00AD06D8"/>
    <w:rsid w:val="00AD3D55"/>
    <w:rsid w:val="00AE5245"/>
    <w:rsid w:val="00B25F55"/>
    <w:rsid w:val="00B63A3E"/>
    <w:rsid w:val="00B722DE"/>
    <w:rsid w:val="00B83068"/>
    <w:rsid w:val="00BB0DC7"/>
    <w:rsid w:val="00BB2CED"/>
    <w:rsid w:val="00BC79D5"/>
    <w:rsid w:val="00BD2E24"/>
    <w:rsid w:val="00BD6603"/>
    <w:rsid w:val="00BF069C"/>
    <w:rsid w:val="00BF3835"/>
    <w:rsid w:val="00C1002D"/>
    <w:rsid w:val="00C2439D"/>
    <w:rsid w:val="00C2635E"/>
    <w:rsid w:val="00C32EF0"/>
    <w:rsid w:val="00C3684D"/>
    <w:rsid w:val="00C4032B"/>
    <w:rsid w:val="00C6486C"/>
    <w:rsid w:val="00C648D3"/>
    <w:rsid w:val="00C75B02"/>
    <w:rsid w:val="00C962F0"/>
    <w:rsid w:val="00D013ED"/>
    <w:rsid w:val="00D36BDC"/>
    <w:rsid w:val="00D5049E"/>
    <w:rsid w:val="00D55FEC"/>
    <w:rsid w:val="00D9076C"/>
    <w:rsid w:val="00DC3B52"/>
    <w:rsid w:val="00DD0880"/>
    <w:rsid w:val="00DE13BC"/>
    <w:rsid w:val="00DF2FB9"/>
    <w:rsid w:val="00E410A1"/>
    <w:rsid w:val="00E63DEF"/>
    <w:rsid w:val="00E64936"/>
    <w:rsid w:val="00E66B85"/>
    <w:rsid w:val="00E67A69"/>
    <w:rsid w:val="00EA2F1F"/>
    <w:rsid w:val="00EB640C"/>
    <w:rsid w:val="00EE0542"/>
    <w:rsid w:val="00EE10D0"/>
    <w:rsid w:val="00F03FF2"/>
    <w:rsid w:val="00F105E8"/>
    <w:rsid w:val="00F4136F"/>
    <w:rsid w:val="00F4476E"/>
    <w:rsid w:val="00F463F2"/>
    <w:rsid w:val="00F66CC5"/>
    <w:rsid w:val="00F8186D"/>
    <w:rsid w:val="00FA3A17"/>
    <w:rsid w:val="00FB572F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309B5"/>
  <w15:docId w15:val="{3788035D-DE4E-944E-A67A-1C90C57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rsid w:val="00F66CC5"/>
    <w:pPr>
      <w:numPr>
        <w:numId w:val="2"/>
      </w:numPr>
      <w:tabs>
        <w:tab w:val="clear" w:pos="567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F66CC5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D0"/>
    <w:rPr>
      <w:color w:val="605E5C"/>
      <w:shd w:val="clear" w:color="auto" w:fill="E1DFDD"/>
    </w:rPr>
  </w:style>
  <w:style w:type="paragraph" w:customStyle="1" w:styleId="paranumbered">
    <w:name w:val="paranumbered"/>
    <w:basedOn w:val="Normal"/>
    <w:next w:val="Normal"/>
    <w:qFormat/>
    <w:rsid w:val="00EE10D0"/>
    <w:pPr>
      <w:numPr>
        <w:numId w:val="5"/>
      </w:numPr>
      <w:tabs>
        <w:tab w:val="clear" w:pos="567"/>
      </w:tabs>
      <w:snapToGrid/>
      <w:spacing w:before="120" w:line="276" w:lineRule="auto"/>
      <w:jc w:val="both"/>
    </w:pPr>
    <w:rPr>
      <w:rFonts w:eastAsia="Arial" w:cs="Arial"/>
      <w:snapToGrid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654C89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9D5"/>
    <w:rPr>
      <w:rFonts w:ascii="Arial" w:hAnsi="Arial"/>
      <w:snapToGrid w:val="0"/>
      <w:lang w:val="en-GB" w:eastAsia="en-US"/>
    </w:rPr>
  </w:style>
  <w:style w:type="paragraph" w:customStyle="1" w:styleId="ListParagraph1">
    <w:name w:val="List Paragraph1"/>
    <w:basedOn w:val="Normal"/>
    <w:qFormat/>
    <w:rsid w:val="00BC79D5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rFonts w:ascii="Times New Roman" w:hAnsi="Times New Roman"/>
      <w:snapToGrid/>
      <w:sz w:val="24"/>
    </w:rPr>
  </w:style>
  <w:style w:type="paragraph" w:styleId="Revision">
    <w:name w:val="Revision"/>
    <w:hidden/>
    <w:uiPriority w:val="99"/>
    <w:semiHidden/>
    <w:rsid w:val="002A4F4F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de.org/index.php?option=com_content&amp;view=article&amp;id=651&amp;Itemid=100419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oceanexpert.org/document/31325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ode.org/index.php?option=com_content&amp;view=article&amp;id=651&amp;Itemid=1004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unesdoc.unesco.org/ark:/48223/pf0000256553.locale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s://oceanexpert.org/document/31325" TargetMode="External"/><Relationship Id="rId19" Type="http://schemas.openxmlformats.org/officeDocument/2006/relationships/hyperlink" Target="https://oceanexpert.org/document/31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ode.org/index.php?option=com_content&amp;view=article&amp;id=747&amp;Itemid=100437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4D9A-09E7-4243-94EC-0B84122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1242</Words>
  <Characters>8633</Characters>
  <Application>Microsoft Office Word</Application>
  <DocSecurity>0</DocSecurity>
  <Lines>148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стратегического плана МОК_x000d_
по управлению океанографическими данными и информацией_x000d_
(на 2023-2029 гг.) – краткое описание_x000d_
</dc:title>
  <dc:subject>IOC/A.32/3.4.2.DOC(1)</dc:subject>
  <dc:creator>Peter Pissierssens</dc:creator>
  <cp:keywords>0</cp:keywords>
  <dc:description/>
  <cp:lastModifiedBy>Chakhvorostova, Valentina</cp:lastModifiedBy>
  <cp:revision>15</cp:revision>
  <cp:lastPrinted>2002-06-12T09:28:00Z</cp:lastPrinted>
  <dcterms:created xsi:type="dcterms:W3CDTF">2023-05-24T09:38:00Z</dcterms:created>
  <dcterms:modified xsi:type="dcterms:W3CDTF">2023-05-31T14:35:00Z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natali.bogdanova</vt:lpwstr>
  </property>
  <property fmtid="{D5CDD505-2E9C-101B-9397-08002B2CF9AE}" pid="4" name="GeneratedDate">
    <vt:lpwstr>05/24/2023 09:05:08</vt:lpwstr>
  </property>
  <property fmtid="{D5CDD505-2E9C-101B-9397-08002B2CF9AE}" pid="5" name="OriginalDocID">
    <vt:lpwstr>e2a4ccb9-0d56-4f7f-bf87-5109c54e9e21</vt:lpwstr>
  </property>
  <property fmtid="{D5CDD505-2E9C-101B-9397-08002B2CF9AE}" pid="6" name="JobDCPMS">
    <vt:lpwstr>2301677</vt:lpwstr>
  </property>
  <property fmtid="{D5CDD505-2E9C-101B-9397-08002B2CF9AE}" pid="7" name="Language">
    <vt:lpwstr>R</vt:lpwstr>
  </property>
</Properties>
</file>