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Titre1"/>
        <w:spacing w:before="480"/>
        <w:jc w:val="left"/>
        <w:rPr>
          <w:rFonts w:asciiTheme="minorBidi" w:hAnsiTheme="minorBidi" w:cstheme="minorBidi"/>
        </w:rPr>
      </w:pPr>
    </w:p>
    <w:p w14:paraId="748272EF" w14:textId="435004E9" w:rsidR="00EB3895" w:rsidRPr="006C07E7" w:rsidRDefault="00EB3895" w:rsidP="000A58D3">
      <w:pPr>
        <w:pStyle w:val="Titre1"/>
        <w:spacing w:before="132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0C36C3D6"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6C07E7" w:rsidRPr="006C07E7">
        <w:rPr>
          <w:rFonts w:asciiTheme="minorBidi" w:hAnsiTheme="minorBidi" w:cstheme="minorBidi"/>
          <w:bCs/>
        </w:rPr>
        <w:t>’</w:t>
      </w:r>
      <w:r w:rsidRPr="006C07E7">
        <w:rPr>
          <w:rFonts w:asciiTheme="minorBidi" w:hAnsiTheme="minorBidi" w:cstheme="minorBidi"/>
          <w:bCs/>
        </w:rPr>
        <w:t>UNESCO)</w:t>
      </w:r>
    </w:p>
    <w:p w14:paraId="350CC729" w14:textId="038E04DD" w:rsidR="000A58D3" w:rsidRDefault="000A58D3" w:rsidP="000A58D3">
      <w:pPr>
        <w:spacing w:before="240" w:after="240"/>
        <w:jc w:val="center"/>
        <w:rPr>
          <w:rFonts w:asciiTheme="minorBidi" w:hAnsiTheme="minorBidi" w:cstheme="minorBidi"/>
          <w:b/>
        </w:rPr>
      </w:pPr>
      <w:r w:rsidRPr="00DE27E0">
        <w:rPr>
          <w:rFonts w:asciiTheme="minorBidi" w:hAnsiTheme="minorBidi" w:cstheme="minorBidi"/>
          <w:b/>
        </w:rPr>
        <w:t xml:space="preserve">TREIZIÈME SESSION DU GROUPE INTERGOUVERNEMENTAL DE COORDINATION </w:t>
      </w:r>
      <w:r>
        <w:rPr>
          <w:rFonts w:asciiTheme="minorBidi" w:hAnsiTheme="minorBidi" w:cstheme="minorBidi"/>
          <w:b/>
        </w:rPr>
        <w:br/>
      </w:r>
      <w:r w:rsidRPr="00DE27E0">
        <w:rPr>
          <w:rFonts w:asciiTheme="minorBidi" w:hAnsiTheme="minorBidi" w:cstheme="minorBidi"/>
          <w:b/>
        </w:rPr>
        <w:t>DU SYSTÈME D</w:t>
      </w:r>
      <w:r>
        <w:rPr>
          <w:rFonts w:asciiTheme="minorBidi" w:hAnsiTheme="minorBidi" w:cstheme="minorBidi"/>
          <w:b/>
        </w:rPr>
        <w:t>’</w:t>
      </w:r>
      <w:r w:rsidRPr="00DE27E0">
        <w:rPr>
          <w:rFonts w:asciiTheme="minorBidi" w:hAnsiTheme="minorBidi" w:cstheme="minorBidi"/>
          <w:b/>
        </w:rPr>
        <w:t>ALERTE AUX TSUNAMIS ET DE MITIGATION DANS L</w:t>
      </w:r>
      <w:r>
        <w:rPr>
          <w:rFonts w:asciiTheme="minorBidi" w:hAnsiTheme="minorBidi" w:cstheme="minorBidi"/>
          <w:b/>
        </w:rPr>
        <w:t>’</w:t>
      </w:r>
      <w:r w:rsidRPr="00DE27E0">
        <w:rPr>
          <w:rFonts w:asciiTheme="minorBidi" w:hAnsiTheme="minorBidi" w:cstheme="minorBidi"/>
          <w:b/>
        </w:rPr>
        <w:t>OCÉAN INDIEN</w:t>
      </w:r>
    </w:p>
    <w:p w14:paraId="502CB4B0" w14:textId="68E808E3" w:rsidR="000A58D3" w:rsidRDefault="00DE27E0" w:rsidP="000A58D3">
      <w:pPr>
        <w:spacing w:before="240" w:after="240"/>
        <w:jc w:val="center"/>
        <w:rPr>
          <w:rFonts w:asciiTheme="minorBidi" w:hAnsiTheme="minorBidi" w:cstheme="minorBidi"/>
          <w:bCs/>
        </w:rPr>
      </w:pPr>
      <w:r w:rsidRPr="00DE27E0">
        <w:rPr>
          <w:rFonts w:asciiTheme="minorBidi" w:hAnsiTheme="minorBidi" w:cstheme="minorBidi"/>
          <w:bCs/>
        </w:rPr>
        <w:t>Bali (Indonésie)</w:t>
      </w:r>
    </w:p>
    <w:p w14:paraId="5B0D4193" w14:textId="46413F78" w:rsidR="00EB3895" w:rsidRPr="006C07E7" w:rsidRDefault="00DE27E0" w:rsidP="000A58D3">
      <w:pPr>
        <w:spacing w:before="240" w:after="480"/>
        <w:jc w:val="center"/>
        <w:rPr>
          <w:rFonts w:asciiTheme="minorBidi" w:hAnsiTheme="minorBidi" w:cstheme="minorBidi"/>
          <w:b/>
        </w:rPr>
      </w:pPr>
      <w:r w:rsidRPr="00DE27E0">
        <w:rPr>
          <w:rFonts w:asciiTheme="minorBidi" w:hAnsiTheme="minorBidi" w:cstheme="minorBidi"/>
          <w:bCs/>
        </w:rPr>
        <w:t>28</w:t>
      </w:r>
      <w:r w:rsidR="00C47585">
        <w:rPr>
          <w:rFonts w:asciiTheme="minorBidi" w:hAnsiTheme="minorBidi" w:cstheme="minorBidi"/>
          <w:bCs/>
        </w:rPr>
        <w:t> </w:t>
      </w:r>
      <w:r w:rsidRPr="00DE27E0">
        <w:rPr>
          <w:rFonts w:asciiTheme="minorBidi" w:hAnsiTheme="minorBidi" w:cstheme="minorBidi"/>
          <w:bCs/>
        </w:rPr>
        <w:t>novembre</w:t>
      </w:r>
      <w:r w:rsidR="001E11D9">
        <w:rPr>
          <w:rFonts w:asciiTheme="minorBidi" w:hAnsiTheme="minorBidi" w:cstheme="minorBidi"/>
          <w:bCs/>
        </w:rPr>
        <w:t xml:space="preserve"> </w:t>
      </w:r>
      <w:r w:rsidR="001E11D9" w:rsidRPr="001E11D9">
        <w:rPr>
          <w:rFonts w:cs="Arial"/>
          <w:bCs/>
        </w:rPr>
        <w:t>–</w:t>
      </w:r>
      <w:r w:rsidR="001E11D9">
        <w:rPr>
          <w:rFonts w:asciiTheme="minorBidi" w:hAnsiTheme="minorBidi" w:cstheme="minorBidi"/>
          <w:bCs/>
        </w:rPr>
        <w:t xml:space="preserve"> </w:t>
      </w:r>
      <w:r w:rsidRPr="00DE27E0">
        <w:rPr>
          <w:rFonts w:asciiTheme="minorBidi" w:hAnsiTheme="minorBidi" w:cstheme="minorBidi"/>
          <w:bCs/>
        </w:rPr>
        <w:t>1</w:t>
      </w:r>
      <w:r w:rsidRPr="00DE27E0">
        <w:rPr>
          <w:rFonts w:asciiTheme="minorBidi" w:hAnsiTheme="minorBidi" w:cstheme="minorBidi"/>
          <w:bCs/>
          <w:vertAlign w:val="superscript"/>
        </w:rPr>
        <w:t>er</w:t>
      </w:r>
      <w:r>
        <w:rPr>
          <w:rFonts w:asciiTheme="minorBidi" w:hAnsiTheme="minorBidi" w:cstheme="minorBidi"/>
          <w:bCs/>
        </w:rPr>
        <w:t> </w:t>
      </w:r>
      <w:r w:rsidRPr="00DE27E0">
        <w:rPr>
          <w:rFonts w:asciiTheme="minorBidi" w:hAnsiTheme="minorBidi" w:cstheme="minorBidi"/>
          <w:bCs/>
        </w:rPr>
        <w:t>décembre 2022</w:t>
      </w:r>
    </w:p>
    <w:tbl>
      <w:tblPr>
        <w:tblStyle w:val="Grilledutableau"/>
        <w:tblW w:w="0" w:type="auto"/>
        <w:tblInd w:w="1271" w:type="dxa"/>
        <w:tblLook w:val="04A0" w:firstRow="1" w:lastRow="0" w:firstColumn="1" w:lastColumn="0" w:noHBand="0" w:noVBand="1"/>
      </w:tblPr>
      <w:tblGrid>
        <w:gridCol w:w="7088"/>
      </w:tblGrid>
      <w:tr w:rsidR="005C7D01" w:rsidRPr="006C07E7" w14:paraId="1A94C8A9" w14:textId="77777777" w:rsidTr="00E71508">
        <w:tc>
          <w:tcPr>
            <w:tcW w:w="7088" w:type="dxa"/>
          </w:tcPr>
          <w:p w14:paraId="1FD6FF16" w14:textId="77777777" w:rsidR="005C7D01" w:rsidRPr="006C07E7" w:rsidRDefault="005C7D01" w:rsidP="00E26B0D">
            <w:pPr>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703F127D" w14:textId="422D28B2" w:rsidR="00DE27E0" w:rsidRPr="0056508D" w:rsidRDefault="00DE27E0" w:rsidP="00DE27E0">
            <w:pPr>
              <w:tabs>
                <w:tab w:val="clear" w:pos="567"/>
              </w:tabs>
              <w:snapToGrid/>
              <w:spacing w:after="240"/>
              <w:ind w:left="283" w:right="283"/>
              <w:jc w:val="both"/>
              <w:rPr>
                <w:rFonts w:cs="Arial"/>
                <w:szCs w:val="22"/>
              </w:rPr>
            </w:pPr>
            <w:r w:rsidRPr="0056508D">
              <w:rPr>
                <w:rFonts w:cs="Arial"/>
                <w:szCs w:val="22"/>
              </w:rPr>
              <w:t>Conformément à l</w:t>
            </w:r>
            <w:r>
              <w:rPr>
                <w:rFonts w:cs="Arial"/>
                <w:szCs w:val="22"/>
              </w:rPr>
              <w:t>’</w:t>
            </w:r>
            <w:r w:rsidRPr="0056508D">
              <w:rPr>
                <w:rFonts w:cs="Arial"/>
                <w:szCs w:val="22"/>
              </w:rPr>
              <w:t>article</w:t>
            </w:r>
            <w:r w:rsidR="00693B81">
              <w:rPr>
                <w:rFonts w:cs="Arial"/>
                <w:szCs w:val="22"/>
              </w:rPr>
              <w:t> </w:t>
            </w:r>
            <w:r w:rsidRPr="0056508D">
              <w:rPr>
                <w:rFonts w:cs="Arial"/>
                <w:szCs w:val="22"/>
              </w:rPr>
              <w:t>48.3 du Règlement intérieur des organes subsidiaires principaux de la Commission, le Groupe intergouvernemental de coordination du Système d</w:t>
            </w:r>
            <w:r>
              <w:rPr>
                <w:rFonts w:cs="Arial"/>
                <w:szCs w:val="22"/>
              </w:rPr>
              <w:t>’</w:t>
            </w:r>
            <w:r w:rsidRPr="0056508D">
              <w:rPr>
                <w:rFonts w:cs="Arial"/>
                <w:szCs w:val="22"/>
              </w:rPr>
              <w:t>alerte aux tsunamis et de mitigation dans l</w:t>
            </w:r>
            <w:r>
              <w:rPr>
                <w:rFonts w:cs="Arial"/>
                <w:szCs w:val="22"/>
              </w:rPr>
              <w:t>’</w:t>
            </w:r>
            <w:r w:rsidRPr="0056508D">
              <w:rPr>
                <w:rFonts w:cs="Arial"/>
                <w:szCs w:val="22"/>
              </w:rPr>
              <w:t>océan Indien est tenu de faire rapport sur ses sessions à un organe directeur de la Commission.</w:t>
            </w:r>
          </w:p>
          <w:p w14:paraId="60C2571C" w14:textId="18C61616" w:rsidR="005C7D01" w:rsidRPr="006C07E7" w:rsidRDefault="00DE27E0" w:rsidP="00DE27E0">
            <w:pPr>
              <w:spacing w:after="240"/>
              <w:ind w:left="283" w:right="283"/>
              <w:jc w:val="both"/>
              <w:rPr>
                <w:rFonts w:asciiTheme="minorBidi" w:eastAsia="Times New Roman" w:hAnsiTheme="minorBidi" w:cstheme="minorBidi"/>
                <w:szCs w:val="22"/>
                <w:lang w:eastAsia="en-US"/>
              </w:rPr>
            </w:pPr>
            <w:r w:rsidRPr="0056508D">
              <w:rPr>
                <w:rFonts w:cs="Arial"/>
                <w:szCs w:val="22"/>
              </w:rPr>
              <w:t>L</w:t>
            </w:r>
            <w:r>
              <w:rPr>
                <w:rFonts w:cs="Arial"/>
                <w:szCs w:val="22"/>
              </w:rPr>
              <w:t>’</w:t>
            </w:r>
            <w:r w:rsidRPr="0056508D">
              <w:rPr>
                <w:rFonts w:cs="Arial"/>
                <w:szCs w:val="22"/>
              </w:rPr>
              <w:t>Assemblée de la COI sera invitée, à sa 32</w:t>
            </w:r>
            <w:r w:rsidRPr="0056508D">
              <w:rPr>
                <w:rFonts w:cs="Arial"/>
                <w:szCs w:val="22"/>
                <w:vertAlign w:val="superscript"/>
              </w:rPr>
              <w:t>e</w:t>
            </w:r>
            <w:r>
              <w:rPr>
                <w:rFonts w:cs="Arial"/>
                <w:szCs w:val="22"/>
              </w:rPr>
              <w:t> </w:t>
            </w:r>
            <w:r w:rsidRPr="0056508D">
              <w:rPr>
                <w:rFonts w:cs="Arial"/>
                <w:szCs w:val="22"/>
              </w:rPr>
              <w:t>session, à examiner le présent résumé. Pour de plus amples renseignements sur la 13</w:t>
            </w:r>
            <w:r w:rsidRPr="0056508D">
              <w:rPr>
                <w:rFonts w:cs="Arial"/>
                <w:szCs w:val="22"/>
                <w:vertAlign w:val="superscript"/>
              </w:rPr>
              <w:t>e</w:t>
            </w:r>
            <w:r>
              <w:rPr>
                <w:rFonts w:cs="Arial"/>
                <w:szCs w:val="22"/>
              </w:rPr>
              <w:t> </w:t>
            </w:r>
            <w:r w:rsidRPr="0056508D">
              <w:rPr>
                <w:rFonts w:cs="Arial"/>
                <w:szCs w:val="22"/>
              </w:rPr>
              <w:t>session du GIC/IOTWMS, veuillez consulter son site Web, à l</w:t>
            </w:r>
            <w:r>
              <w:rPr>
                <w:rFonts w:cs="Arial"/>
                <w:szCs w:val="22"/>
              </w:rPr>
              <w:t>’</w:t>
            </w:r>
            <w:r w:rsidRPr="0056508D">
              <w:rPr>
                <w:rFonts w:cs="Arial"/>
                <w:szCs w:val="22"/>
              </w:rPr>
              <w:t>adresse suivante</w:t>
            </w:r>
            <w:r w:rsidR="00693B81">
              <w:rPr>
                <w:rFonts w:cs="Arial"/>
                <w:szCs w:val="22"/>
              </w:rPr>
              <w:t> </w:t>
            </w:r>
            <w:r w:rsidRPr="0056508D">
              <w:rPr>
                <w:rFonts w:cs="Arial"/>
                <w:szCs w:val="22"/>
              </w:rPr>
              <w:t xml:space="preserve">: </w:t>
            </w:r>
            <w:hyperlink r:id="rId8" w:history="1">
              <w:r w:rsidR="00693B81" w:rsidRPr="0065453C">
                <w:rPr>
                  <w:rStyle w:val="Lienhypertexte"/>
                  <w:rFonts w:cs="Arial"/>
                  <w:szCs w:val="22"/>
                </w:rPr>
                <w:t>https://oceanexpert.org/event/3672</w:t>
              </w:r>
            </w:hyperlink>
            <w:r w:rsidRPr="0056508D">
              <w:rPr>
                <w:rFonts w:cs="Arial"/>
                <w:szCs w:val="22"/>
              </w:rPr>
              <w:t>.</w:t>
            </w:r>
          </w:p>
        </w:tc>
      </w:tr>
    </w:tbl>
    <w:p w14:paraId="28A7702B" w14:textId="6F7DED38" w:rsidR="000B7D9F" w:rsidRDefault="000B7D9F" w:rsidP="000B7D9F">
      <w:pPr>
        <w:rPr>
          <w:rFonts w:asciiTheme="minorBidi" w:eastAsia="Times New Roman" w:hAnsiTheme="minorBidi" w:cstheme="minorBidi"/>
          <w:b/>
          <w:bCs/>
          <w:szCs w:val="22"/>
          <w:lang w:eastAsia="en-US"/>
        </w:rPr>
      </w:pPr>
    </w:p>
    <w:p w14:paraId="23673091" w14:textId="63BC738F" w:rsidR="00DE27E0" w:rsidRPr="00DE27E0" w:rsidRDefault="00DE27E0" w:rsidP="000B7D9F">
      <w:pPr>
        <w:pStyle w:val="Marge"/>
      </w:pPr>
      <w:r w:rsidRPr="00DE27E0">
        <w:t>1.</w:t>
      </w:r>
      <w:r w:rsidRPr="00DE27E0">
        <w:tab/>
        <w:t>La 13</w:t>
      </w:r>
      <w:r w:rsidRPr="00DE27E0">
        <w:rPr>
          <w:vertAlign w:val="superscript"/>
        </w:rPr>
        <w:t>e</w:t>
      </w:r>
      <w:r w:rsidRPr="00DE27E0">
        <w:t> session du Groupe intergouvernemental de coordination du Système d’alerte aux tsunamis et de mitigation dans l’océan Indien (GIC/IOTWMS-XIII) s’est tenue à Bali (Indonésie), sous la présidence de Mme</w:t>
      </w:r>
      <w:r w:rsidR="00693B81">
        <w:t> </w:t>
      </w:r>
      <w:r w:rsidRPr="00DE27E0">
        <w:t>Dwikorita Karnawati. La session s’est déroulée en présence de 54</w:t>
      </w:r>
      <w:r w:rsidR="00693B81">
        <w:t> </w:t>
      </w:r>
      <w:r w:rsidRPr="00DE27E0">
        <w:t>délégués de 17</w:t>
      </w:r>
      <w:r w:rsidR="00693B81">
        <w:t> </w:t>
      </w:r>
      <w:r w:rsidRPr="00DE27E0">
        <w:t xml:space="preserve">États membres de la région de l’océan Indien, de quatre membres du personnel d’organismes des Nations Unies (dont trois de l’UNESCO et un de la Commission économique et sociale pour l’Asie et le Pacifique </w:t>
      </w:r>
      <w:r w:rsidR="00693B81">
        <w:t>–</w:t>
      </w:r>
      <w:r w:rsidRPr="00DE27E0">
        <w:t xml:space="preserve"> CESAP), et de </w:t>
      </w:r>
      <w:r w:rsidR="007F66FF">
        <w:t>10 </w:t>
      </w:r>
      <w:r w:rsidRPr="00DE27E0">
        <w:t xml:space="preserve">observateurs de cinq États membres (Allemagne, Australie, Indonésie, Iran et Oman). L’ordre du jour de la réunion figure à l’annexe A. </w:t>
      </w:r>
      <w:bookmarkStart w:id="0" w:name="_Hlk122088162"/>
      <w:bookmarkEnd w:id="0"/>
    </w:p>
    <w:p w14:paraId="48BEFAA0" w14:textId="0F2CDDE5" w:rsidR="00DE27E0" w:rsidRPr="00DE27E0" w:rsidRDefault="00DE27E0" w:rsidP="000B7D9F">
      <w:pPr>
        <w:pStyle w:val="Marge"/>
      </w:pPr>
      <w:r w:rsidRPr="00DE27E0">
        <w:t>2.</w:t>
      </w:r>
      <w:r w:rsidRPr="00DE27E0">
        <w:tab/>
      </w:r>
      <w:r w:rsidRPr="00DE27E0">
        <w:rPr>
          <w:b/>
          <w:bCs/>
        </w:rPr>
        <w:t>Le GIC a passé en revue</w:t>
      </w:r>
      <w:r w:rsidRPr="00DE27E0">
        <w:t xml:space="preserve"> les progrès accomplis pendant l’intersession et </w:t>
      </w:r>
      <w:r w:rsidR="002D2464">
        <w:t xml:space="preserve">a </w:t>
      </w:r>
      <w:r w:rsidRPr="00DE27E0">
        <w:t>examiné les rapports et recommandations de s</w:t>
      </w:r>
      <w:r w:rsidR="009E7B45">
        <w:t>a</w:t>
      </w:r>
      <w:r w:rsidRPr="00DE27E0">
        <w:t xml:space="preserve"> Président</w:t>
      </w:r>
      <w:r w:rsidR="009E7B45">
        <w:t>e</w:t>
      </w:r>
      <w:r w:rsidRPr="00DE27E0">
        <w:t>, de ses groupes de travail et de ses équipes spéciales, ainsi que ceux du Secrétariat de la COI-UNESCO pour le GIC/IOTWMS et du Centre d’information sur les tsunamis dans l’océan Indien (IOTIC</w:t>
      </w:r>
      <w:r w:rsidR="002D2464">
        <w:t>)</w:t>
      </w:r>
      <w:r w:rsidRPr="00DE27E0">
        <w:t>. Il a également examiné la Stratégie à moyen terme de l’IOTWMS (2019-2024), le rapport sur l’exercice</w:t>
      </w:r>
      <w:r w:rsidR="00693B81">
        <w:t> </w:t>
      </w:r>
      <w:r w:rsidRPr="00DE27E0">
        <w:t>IOWave20, le rapport d’étape</w:t>
      </w:r>
      <w:r w:rsidR="00693B81">
        <w:t> </w:t>
      </w:r>
      <w:r w:rsidRPr="00DE27E0">
        <w:t>2018 de l’évaluation des capacités de l’IOTWMS en matière de préparation aux tsunamis dans l’océan Indien (2020), le document de définition des services pour les Prestataires de services relatifs aux tsunamis (2019), le guide de l’utilisateur des centres nationaux d’alerte aux tsunamis, et les rapports d’étape des prestataires de services (TSP) relatifs aux tsunamis d’Australie, d’Inde et d’Indonésie. Le GIC a reçu et examiné les rapports des 13</w:t>
      </w:r>
      <w:r w:rsidRPr="00DE27E0">
        <w:rPr>
          <w:vertAlign w:val="superscript"/>
        </w:rPr>
        <w:t>e</w:t>
      </w:r>
      <w:r w:rsidRPr="00DE27E0">
        <w:t>, 14</w:t>
      </w:r>
      <w:r w:rsidRPr="00DE27E0">
        <w:rPr>
          <w:vertAlign w:val="superscript"/>
        </w:rPr>
        <w:t>e</w:t>
      </w:r>
      <w:r w:rsidR="00693B81">
        <w:t xml:space="preserve"> </w:t>
      </w:r>
      <w:r w:rsidRPr="00DE27E0">
        <w:t>et 15</w:t>
      </w:r>
      <w:r w:rsidRPr="00DE27E0">
        <w:rPr>
          <w:vertAlign w:val="superscript"/>
        </w:rPr>
        <w:t>e</w:t>
      </w:r>
      <w:r w:rsidR="00693B81">
        <w:t> </w:t>
      </w:r>
      <w:r w:rsidRPr="00DE27E0">
        <w:t>réunions du Groupe de travail de la COI-UNESCO sur les systèmes d’alerte aux tsunamis et autres aléas liés au niveau de la mer, et de mitigation (TOWS-WG), et en a pris note. La réponse à la pandémie de COVID-19 a été au centre de nombreuses discussions. Le GIC a examiné deux autres documents importants</w:t>
      </w:r>
      <w:r w:rsidR="00693B81">
        <w:t> </w:t>
      </w:r>
      <w:r w:rsidRPr="00DE27E0">
        <w:t xml:space="preserve">: </w:t>
      </w:r>
      <w:r w:rsidR="009E7B45">
        <w:t>(i</w:t>
      </w:r>
      <w:r w:rsidRPr="00DE27E0">
        <w:t>) les directives pour les services d’alerte aux tsunamis, l’évacuation et la mise à l’abri</w:t>
      </w:r>
      <w:r w:rsidR="00693B81">
        <w:t> </w:t>
      </w:r>
      <w:r w:rsidRPr="00DE27E0">
        <w:t xml:space="preserve">; et </w:t>
      </w:r>
      <w:r w:rsidR="009E7B45">
        <w:t>(ii</w:t>
      </w:r>
      <w:r w:rsidRPr="00DE27E0">
        <w:t>)</w:t>
      </w:r>
      <w:r w:rsidRPr="00DE27E0">
        <w:rPr>
          <w:i/>
          <w:iCs/>
        </w:rPr>
        <w:t xml:space="preserve"> Impacts on IOTWMS </w:t>
      </w:r>
      <w:r w:rsidRPr="00DE27E0">
        <w:rPr>
          <w:i/>
          <w:iCs/>
        </w:rPr>
        <w:lastRenderedPageBreak/>
        <w:t>Monitoring Networks and Tsunami Service Providers</w:t>
      </w:r>
      <w:r w:rsidRPr="00DE27E0">
        <w:t xml:space="preserve"> (Conséquences pour les réseaux de surveillance et les prestataires de services relatifs aux tsunamis</w:t>
      </w:r>
      <w:r w:rsidR="002D2464" w:rsidRPr="002D2464">
        <w:t xml:space="preserve"> </w:t>
      </w:r>
      <w:r w:rsidR="002D2464" w:rsidRPr="00DE27E0">
        <w:t>de l’IOTWMS</w:t>
      </w:r>
      <w:r w:rsidRPr="00DE27E0">
        <w:t>).</w:t>
      </w:r>
    </w:p>
    <w:p w14:paraId="61A19EB2" w14:textId="660F45BA" w:rsidR="00DE27E0" w:rsidRPr="00DE27E0" w:rsidRDefault="00DE27E0" w:rsidP="000B7D9F">
      <w:pPr>
        <w:pStyle w:val="Marge"/>
      </w:pPr>
      <w:r w:rsidRPr="00DE27E0">
        <w:t>3.</w:t>
      </w:r>
      <w:r w:rsidRPr="00DE27E0">
        <w:tab/>
      </w:r>
      <w:r w:rsidRPr="00DE27E0">
        <w:rPr>
          <w:b/>
          <w:bCs/>
        </w:rPr>
        <w:t>Le GIC a pris note</w:t>
      </w:r>
      <w:r w:rsidRPr="00DE27E0">
        <w:t xml:space="preserve"> du discours prononcé le 23</w:t>
      </w:r>
      <w:r w:rsidR="00693B81">
        <w:t> </w:t>
      </w:r>
      <w:r w:rsidRPr="00DE27E0">
        <w:t>mars 2022 par le Secrétaire général de l’ONU, António Guterres, dans lequel il a annoncé une nouvelle action à l’initiative des Nations Unies pour faire en sorte que tous les habitants de la planète soient protégés par des systèmes d’alerte précoce d’ici à cinq ans (2027).</w:t>
      </w:r>
    </w:p>
    <w:p w14:paraId="1051F2F3" w14:textId="1C30532B" w:rsidR="00DE27E0" w:rsidRPr="00DE27E0" w:rsidRDefault="00DE27E0" w:rsidP="000B7D9F">
      <w:pPr>
        <w:pStyle w:val="Marge"/>
        <w:rPr>
          <w:rFonts w:cs="Arial"/>
          <w:szCs w:val="22"/>
        </w:rPr>
      </w:pPr>
      <w:r w:rsidRPr="00DE27E0">
        <w:rPr>
          <w:rFonts w:cs="Arial"/>
          <w:szCs w:val="22"/>
        </w:rPr>
        <w:t>4.</w:t>
      </w:r>
      <w:r w:rsidRPr="00DE27E0">
        <w:rPr>
          <w:rFonts w:cs="Arial"/>
          <w:szCs w:val="22"/>
        </w:rPr>
        <w:tab/>
      </w:r>
      <w:r w:rsidRPr="00DE27E0">
        <w:rPr>
          <w:rFonts w:cs="Arial"/>
          <w:b/>
          <w:bCs/>
          <w:szCs w:val="22"/>
        </w:rPr>
        <w:t xml:space="preserve">Le GIC a </w:t>
      </w:r>
      <w:r w:rsidR="009E7B45">
        <w:rPr>
          <w:rFonts w:cs="Arial"/>
          <w:b/>
          <w:bCs/>
          <w:szCs w:val="22"/>
        </w:rPr>
        <w:t xml:space="preserve">également </w:t>
      </w:r>
      <w:r w:rsidR="009E7B45" w:rsidRPr="00DE27E0">
        <w:rPr>
          <w:rFonts w:cs="Arial"/>
          <w:b/>
          <w:bCs/>
          <w:szCs w:val="22"/>
        </w:rPr>
        <w:t>pris note</w:t>
      </w:r>
      <w:r w:rsidR="009E7B45" w:rsidRPr="00DE27E0">
        <w:rPr>
          <w:rFonts w:cs="Arial"/>
          <w:szCs w:val="22"/>
        </w:rPr>
        <w:t xml:space="preserve"> </w:t>
      </w:r>
      <w:r w:rsidR="009E7B45">
        <w:rPr>
          <w:rFonts w:cs="Arial"/>
          <w:szCs w:val="22"/>
        </w:rPr>
        <w:t xml:space="preserve">de </w:t>
      </w:r>
      <w:r w:rsidRPr="00DE27E0">
        <w:rPr>
          <w:rFonts w:cs="Arial"/>
          <w:szCs w:val="22"/>
        </w:rPr>
        <w:t xml:space="preserve">l’ambitieux objectif du Programme relatif aux tsunamis de la Décennie de l’Océan, qui </w:t>
      </w:r>
      <w:r w:rsidR="009E7B45">
        <w:rPr>
          <w:rFonts w:cs="Arial"/>
          <w:szCs w:val="22"/>
        </w:rPr>
        <w:t>consiste</w:t>
      </w:r>
      <w:r w:rsidRPr="00DE27E0">
        <w:rPr>
          <w:rFonts w:cs="Arial"/>
          <w:szCs w:val="22"/>
        </w:rPr>
        <w:t xml:space="preserve"> à assurer la résilience et la préparation aux tsunamis de 100</w:t>
      </w:r>
      <w:r w:rsidR="00693B81">
        <w:rPr>
          <w:rFonts w:cs="Arial"/>
          <w:szCs w:val="22"/>
        </w:rPr>
        <w:t> </w:t>
      </w:r>
      <w:r w:rsidRPr="00DE27E0">
        <w:rPr>
          <w:rFonts w:cs="Arial"/>
          <w:szCs w:val="22"/>
        </w:rPr>
        <w:t>% des communautés à risque.</w:t>
      </w:r>
    </w:p>
    <w:p w14:paraId="32E2176A" w14:textId="3F327001" w:rsidR="00DE27E0" w:rsidRPr="00DE27E0" w:rsidRDefault="00DE27E0" w:rsidP="000B7D9F">
      <w:pPr>
        <w:pStyle w:val="Marge"/>
        <w:rPr>
          <w:rFonts w:cs="Arial"/>
          <w:szCs w:val="22"/>
        </w:rPr>
      </w:pPr>
      <w:r w:rsidRPr="00DE27E0">
        <w:rPr>
          <w:rFonts w:cs="Arial"/>
          <w:szCs w:val="22"/>
        </w:rPr>
        <w:t>5.</w:t>
      </w:r>
      <w:r w:rsidRPr="00DE27E0">
        <w:rPr>
          <w:rFonts w:cs="Arial"/>
          <w:szCs w:val="22"/>
        </w:rPr>
        <w:tab/>
      </w:r>
      <w:r w:rsidR="00693B81" w:rsidRPr="00693B81">
        <w:rPr>
          <w:rFonts w:cs="Arial"/>
          <w:b/>
          <w:bCs/>
          <w:szCs w:val="22"/>
        </w:rPr>
        <w:t>L</w:t>
      </w:r>
      <w:r w:rsidRPr="00DE27E0">
        <w:rPr>
          <w:rFonts w:cs="Arial"/>
          <w:b/>
          <w:bCs/>
          <w:szCs w:val="22"/>
        </w:rPr>
        <w:t xml:space="preserve">e GIC a </w:t>
      </w:r>
      <w:r w:rsidR="00693B81" w:rsidRPr="00693B81">
        <w:rPr>
          <w:rFonts w:cs="Arial"/>
          <w:b/>
          <w:bCs/>
          <w:szCs w:val="22"/>
        </w:rPr>
        <w:t>pris acte</w:t>
      </w:r>
      <w:r w:rsidR="00693B81">
        <w:rPr>
          <w:rFonts w:cs="Arial"/>
          <w:szCs w:val="22"/>
        </w:rPr>
        <w:t xml:space="preserve"> d</w:t>
      </w:r>
      <w:r w:rsidRPr="00DE27E0">
        <w:rPr>
          <w:rFonts w:cs="Arial"/>
          <w:szCs w:val="22"/>
        </w:rPr>
        <w:t>es efforts déployés par le Groupe de travail de la COI sur les systèmes d’alerte aux tsunamis et autres aléas liés au niveau de la mer, et de mitigation (TOWS-WG) pour mieux comprendre la menace que représentent les tsunamis générés par des sources non sismiques et complexes</w:t>
      </w:r>
      <w:r w:rsidR="002D2464">
        <w:rPr>
          <w:rFonts w:cs="Arial"/>
          <w:szCs w:val="22"/>
        </w:rPr>
        <w:t xml:space="preserve">, ainsi que </w:t>
      </w:r>
      <w:r w:rsidRPr="00DE27E0">
        <w:rPr>
          <w:rFonts w:cs="Arial"/>
          <w:szCs w:val="22"/>
        </w:rPr>
        <w:t>pour élaborer des orientations sur les pratiques exemplaires en matière de surveillance et d’alerte pour de tels événements.</w:t>
      </w:r>
    </w:p>
    <w:p w14:paraId="26A90DC2" w14:textId="3AE3634D" w:rsidR="00DE27E0" w:rsidRPr="00DE27E0" w:rsidRDefault="00DE27E0" w:rsidP="000B7D9F">
      <w:pPr>
        <w:pStyle w:val="Marge"/>
        <w:rPr>
          <w:rFonts w:cs="Arial"/>
          <w:szCs w:val="22"/>
        </w:rPr>
      </w:pPr>
      <w:r w:rsidRPr="00DE27E0">
        <w:rPr>
          <w:rFonts w:cs="Arial"/>
          <w:szCs w:val="22"/>
        </w:rPr>
        <w:t>6.</w:t>
      </w:r>
      <w:r w:rsidRPr="00DE27E0">
        <w:rPr>
          <w:rFonts w:cs="Arial"/>
          <w:szCs w:val="22"/>
        </w:rPr>
        <w:tab/>
      </w:r>
      <w:r w:rsidRPr="00DE27E0">
        <w:rPr>
          <w:rFonts w:cs="Arial"/>
          <w:b/>
          <w:bCs/>
          <w:szCs w:val="22"/>
        </w:rPr>
        <w:t>Le GIC a relevé</w:t>
      </w:r>
      <w:r w:rsidRPr="00DE27E0">
        <w:rPr>
          <w:rFonts w:cs="Arial"/>
          <w:szCs w:val="22"/>
        </w:rPr>
        <w:t xml:space="preserve"> l’importance des données sismiques pour l’identification précise et rapide des risques de tsunami par les prestataires de services relatifs aux tsunamis, ainsi que les progrès accomplis dans l’échange bilatéral de données sismiques entre certains États membres. Il </w:t>
      </w:r>
      <w:r w:rsidRPr="00DE27E0">
        <w:rPr>
          <w:rFonts w:cs="Arial"/>
          <w:b/>
          <w:bCs/>
          <w:szCs w:val="22"/>
        </w:rPr>
        <w:t xml:space="preserve">a demandé instamment </w:t>
      </w:r>
      <w:r w:rsidRPr="00DE27E0">
        <w:rPr>
          <w:rFonts w:cs="Arial"/>
          <w:szCs w:val="22"/>
        </w:rPr>
        <w:t>aux États membres, notamment à ceux de la région de l’océan Indien du Nord-Ouest, de communiquer en temps réel toutes les données sismiques pertinentes aux prestataires de services relatifs aux tsunamis et aux autres États membres.</w:t>
      </w:r>
    </w:p>
    <w:p w14:paraId="3E81938F" w14:textId="77777777" w:rsidR="00DE27E0" w:rsidRPr="00DE27E0" w:rsidRDefault="00DE27E0" w:rsidP="000B7D9F">
      <w:pPr>
        <w:pStyle w:val="Marge"/>
        <w:rPr>
          <w:rFonts w:cs="Arial"/>
          <w:szCs w:val="22"/>
        </w:rPr>
      </w:pPr>
      <w:r w:rsidRPr="00DE27E0">
        <w:rPr>
          <w:rFonts w:cs="Arial"/>
          <w:szCs w:val="22"/>
        </w:rPr>
        <w:t>7.</w:t>
      </w:r>
      <w:r w:rsidRPr="00DE27E0">
        <w:rPr>
          <w:rFonts w:cs="Arial"/>
          <w:szCs w:val="22"/>
        </w:rPr>
        <w:tab/>
      </w:r>
      <w:r w:rsidRPr="00DE27E0">
        <w:rPr>
          <w:rFonts w:cs="Arial"/>
          <w:b/>
          <w:bCs/>
          <w:szCs w:val="22"/>
        </w:rPr>
        <w:t>Le GIC a encouragé</w:t>
      </w:r>
      <w:r w:rsidRPr="00DE27E0">
        <w:rPr>
          <w:rFonts w:cs="Arial"/>
          <w:szCs w:val="22"/>
        </w:rPr>
        <w:t xml:space="preserve"> les États membres à continuer de revoir leur chaîne d’alerte aux tsunamis de façon à réduire le nombre d’étapes, et à répartir clairement les responsabilités entre les parties prenantes, en particulier concernant les risques de tsunamis locaux.</w:t>
      </w:r>
    </w:p>
    <w:p w14:paraId="0C06A4C0" w14:textId="4F307190" w:rsidR="00DE27E0" w:rsidRPr="00DE27E0" w:rsidRDefault="00DE27E0" w:rsidP="000B7D9F">
      <w:pPr>
        <w:pStyle w:val="Marge"/>
        <w:rPr>
          <w:rFonts w:cs="Arial"/>
          <w:szCs w:val="22"/>
        </w:rPr>
      </w:pPr>
      <w:r w:rsidRPr="00DE27E0">
        <w:rPr>
          <w:rFonts w:cs="Arial"/>
          <w:szCs w:val="22"/>
        </w:rPr>
        <w:t>8.</w:t>
      </w:r>
      <w:r w:rsidRPr="00DE27E0">
        <w:rPr>
          <w:rFonts w:cs="Arial"/>
          <w:szCs w:val="22"/>
        </w:rPr>
        <w:tab/>
      </w:r>
      <w:r w:rsidRPr="00DE27E0">
        <w:rPr>
          <w:rFonts w:cs="Arial"/>
          <w:b/>
          <w:bCs/>
          <w:szCs w:val="22"/>
        </w:rPr>
        <w:t>Le GIC a incité</w:t>
      </w:r>
      <w:r w:rsidRPr="00DE27E0">
        <w:rPr>
          <w:rFonts w:cs="Arial"/>
          <w:szCs w:val="22"/>
        </w:rPr>
        <w:t xml:space="preserve"> les États membres à améliorer la préparation des populations aux tsunamis locaux, y compris les tsunamis générés par des sources non sismiques et complexes, en mettant l’accent sur l’auto</w:t>
      </w:r>
      <w:r w:rsidR="00986FDD">
        <w:rPr>
          <w:rFonts w:cs="Arial"/>
          <w:szCs w:val="22"/>
        </w:rPr>
        <w:t>-</w:t>
      </w:r>
      <w:r w:rsidRPr="00DE27E0">
        <w:rPr>
          <w:rFonts w:cs="Arial"/>
          <w:szCs w:val="22"/>
        </w:rPr>
        <w:t>évacuation fondée sur les signes naturels avant-coureurs.</w:t>
      </w:r>
    </w:p>
    <w:p w14:paraId="75EB1E62" w14:textId="7E16A391" w:rsidR="00DE27E0" w:rsidRPr="00DE27E0" w:rsidRDefault="00DE27E0" w:rsidP="000B7D9F">
      <w:pPr>
        <w:pStyle w:val="Marge"/>
        <w:rPr>
          <w:rFonts w:cs="Arial"/>
          <w:szCs w:val="22"/>
        </w:rPr>
      </w:pPr>
      <w:r w:rsidRPr="00DE27E0">
        <w:rPr>
          <w:rFonts w:cs="Arial"/>
          <w:szCs w:val="22"/>
        </w:rPr>
        <w:t>9.</w:t>
      </w:r>
      <w:r w:rsidRPr="00DE27E0">
        <w:rPr>
          <w:rFonts w:cs="Arial"/>
          <w:szCs w:val="22"/>
        </w:rPr>
        <w:tab/>
      </w:r>
      <w:r w:rsidRPr="00DE27E0">
        <w:rPr>
          <w:rFonts w:cs="Arial"/>
          <w:b/>
          <w:bCs/>
          <w:szCs w:val="22"/>
        </w:rPr>
        <w:t>Le GIC a engagé</w:t>
      </w:r>
      <w:r w:rsidRPr="00DE27E0">
        <w:rPr>
          <w:rFonts w:cs="Arial"/>
          <w:szCs w:val="22"/>
        </w:rPr>
        <w:t xml:space="preserve"> les États membres à mettre en avant auprès des organismes de gestion des catastrophes et des médias le rôle que ceux-ci jouent, avec les centres nationaux d’alerte aux tsunamis (NTWC), pour renforcer la chaîne d’alerte nationale et assurer ainsi une réaction optimale des populations,</w:t>
      </w:r>
      <w:r w:rsidR="00C47585">
        <w:rPr>
          <w:rFonts w:cs="Arial"/>
          <w:szCs w:val="22"/>
        </w:rPr>
        <w:t xml:space="preserve"> et </w:t>
      </w:r>
      <w:r w:rsidRPr="00DE27E0">
        <w:rPr>
          <w:rFonts w:cs="Arial"/>
          <w:szCs w:val="22"/>
        </w:rPr>
        <w:t>à souligner l’importance de la participation de tous les organismes aux forums régionaux techniques et de gouvernance relatifs aux tsunamis.</w:t>
      </w:r>
    </w:p>
    <w:p w14:paraId="57F97E20" w14:textId="42626E65" w:rsidR="00DE27E0" w:rsidRPr="00DE27E0" w:rsidRDefault="00DE27E0" w:rsidP="000B7D9F">
      <w:pPr>
        <w:pStyle w:val="Marge"/>
        <w:rPr>
          <w:rFonts w:cs="Arial"/>
          <w:szCs w:val="22"/>
        </w:rPr>
      </w:pPr>
      <w:r w:rsidRPr="00DE27E0">
        <w:rPr>
          <w:rFonts w:cs="Arial"/>
          <w:szCs w:val="22"/>
        </w:rPr>
        <w:t>10.</w:t>
      </w:r>
      <w:r w:rsidRPr="00DE27E0">
        <w:rPr>
          <w:rFonts w:cs="Arial"/>
          <w:szCs w:val="22"/>
        </w:rPr>
        <w:tab/>
      </w:r>
      <w:r w:rsidRPr="00DE27E0">
        <w:rPr>
          <w:rFonts w:cs="Arial"/>
          <w:b/>
          <w:bCs/>
          <w:szCs w:val="22"/>
        </w:rPr>
        <w:t>Le GIC a pris note</w:t>
      </w:r>
      <w:r w:rsidRPr="00DE27E0">
        <w:rPr>
          <w:rFonts w:cs="Arial"/>
          <w:szCs w:val="22"/>
        </w:rPr>
        <w:t xml:space="preserve"> du bon déroulement de l’exercice</w:t>
      </w:r>
      <w:r w:rsidR="00693B81">
        <w:rPr>
          <w:rFonts w:cs="Arial"/>
          <w:szCs w:val="22"/>
        </w:rPr>
        <w:t> </w:t>
      </w:r>
      <w:r w:rsidRPr="00DE27E0">
        <w:rPr>
          <w:rFonts w:cs="Arial"/>
          <w:szCs w:val="22"/>
        </w:rPr>
        <w:t>IOWave20 réalisé par les États membres, de l’obtention de la certification Tsunami Ready de la COI par deux villages en Inde et neuf villages en Indonésie, ainsi que de la tenue d’un atelier Tsunami Ready pour l’océan Indien à Bali (Indonésie), du 22 au 26</w:t>
      </w:r>
      <w:r w:rsidR="00693B81">
        <w:rPr>
          <w:rFonts w:cs="Arial"/>
          <w:szCs w:val="22"/>
        </w:rPr>
        <w:t> </w:t>
      </w:r>
      <w:r w:rsidRPr="00DE27E0">
        <w:rPr>
          <w:rFonts w:cs="Arial"/>
          <w:szCs w:val="22"/>
        </w:rPr>
        <w:t xml:space="preserve">novembre 2022. Il </w:t>
      </w:r>
      <w:r w:rsidRPr="00DE27E0">
        <w:rPr>
          <w:rFonts w:cs="Arial"/>
          <w:b/>
          <w:bCs/>
          <w:szCs w:val="22"/>
        </w:rPr>
        <w:t>a engagé</w:t>
      </w:r>
      <w:r w:rsidRPr="00DE27E0">
        <w:rPr>
          <w:rFonts w:cs="Arial"/>
          <w:szCs w:val="22"/>
        </w:rPr>
        <w:t xml:space="preserve"> l’ensemble des États membres à envisager de mettre en œuvre le programme de certification Tsunami Ready dans les communautés vulnérables, afin qu’elles reçoivent la certification de la COI-UNESCO.</w:t>
      </w:r>
    </w:p>
    <w:p w14:paraId="19687A74" w14:textId="623CCFFA" w:rsidR="00DE27E0" w:rsidRPr="00DE27E0" w:rsidRDefault="00DE27E0" w:rsidP="000B7D9F">
      <w:pPr>
        <w:pStyle w:val="Marge"/>
        <w:rPr>
          <w:rFonts w:cs="Arial"/>
          <w:szCs w:val="22"/>
        </w:rPr>
      </w:pPr>
      <w:r w:rsidRPr="00DE27E0">
        <w:rPr>
          <w:rFonts w:cs="Arial"/>
          <w:szCs w:val="22"/>
        </w:rPr>
        <w:t>11.</w:t>
      </w:r>
      <w:r w:rsidRPr="00DE27E0">
        <w:rPr>
          <w:rFonts w:cs="Arial"/>
          <w:szCs w:val="22"/>
        </w:rPr>
        <w:tab/>
      </w:r>
      <w:r w:rsidRPr="00DE27E0">
        <w:rPr>
          <w:rFonts w:cs="Arial"/>
          <w:b/>
          <w:bCs/>
          <w:szCs w:val="22"/>
        </w:rPr>
        <w:t xml:space="preserve">Le GIC a pris </w:t>
      </w:r>
      <w:r w:rsidR="00693B81" w:rsidRPr="00693B81">
        <w:rPr>
          <w:rFonts w:cs="Arial"/>
          <w:b/>
          <w:bCs/>
          <w:szCs w:val="22"/>
        </w:rPr>
        <w:t>ac</w:t>
      </w:r>
      <w:r w:rsidRPr="00DE27E0">
        <w:rPr>
          <w:rFonts w:cs="Arial"/>
          <w:b/>
          <w:bCs/>
          <w:szCs w:val="22"/>
        </w:rPr>
        <w:t>te</w:t>
      </w:r>
      <w:r w:rsidRPr="00DE27E0">
        <w:rPr>
          <w:rFonts w:cs="Arial"/>
          <w:szCs w:val="22"/>
        </w:rPr>
        <w:t xml:space="preserve"> des résultats concluants de la phase</w:t>
      </w:r>
      <w:r w:rsidR="00693B81">
        <w:rPr>
          <w:rFonts w:cs="Arial"/>
          <w:szCs w:val="22"/>
        </w:rPr>
        <w:t> </w:t>
      </w:r>
      <w:r w:rsidRPr="00DE27E0">
        <w:rPr>
          <w:rFonts w:cs="Arial"/>
          <w:szCs w:val="22"/>
        </w:rPr>
        <w:t>1 et des phases</w:t>
      </w:r>
      <w:r w:rsidR="00693B81">
        <w:rPr>
          <w:rFonts w:cs="Arial"/>
          <w:szCs w:val="22"/>
        </w:rPr>
        <w:t> </w:t>
      </w:r>
      <w:r w:rsidRPr="00DE27E0">
        <w:rPr>
          <w:rFonts w:cs="Arial"/>
          <w:szCs w:val="22"/>
        </w:rPr>
        <w:t>2a et 2b du projet «</w:t>
      </w:r>
      <w:r w:rsidR="00693B81">
        <w:rPr>
          <w:rFonts w:cs="Arial"/>
          <w:szCs w:val="22"/>
        </w:rPr>
        <w:t> </w:t>
      </w:r>
      <w:r w:rsidRPr="00DE27E0">
        <w:rPr>
          <w:rFonts w:cs="Arial"/>
          <w:szCs w:val="22"/>
        </w:rPr>
        <w:t>Renforcer le système d’alerte rapide aux tsunamis dans la région de l’océan Indien du Nord-Ouest par la coopération régionale</w:t>
      </w:r>
      <w:r w:rsidR="00693B81">
        <w:rPr>
          <w:rFonts w:cs="Arial"/>
          <w:szCs w:val="22"/>
        </w:rPr>
        <w:t> </w:t>
      </w:r>
      <w:r w:rsidRPr="00DE27E0">
        <w:rPr>
          <w:rFonts w:cs="Arial"/>
          <w:szCs w:val="22"/>
        </w:rPr>
        <w:t>» financé par la CESAP, ainsi que des efforts destinés à élaborer une phase</w:t>
      </w:r>
      <w:r w:rsidR="00C47585">
        <w:rPr>
          <w:rFonts w:cs="Arial"/>
          <w:szCs w:val="22"/>
        </w:rPr>
        <w:t> </w:t>
      </w:r>
      <w:r w:rsidRPr="00DE27E0">
        <w:rPr>
          <w:rFonts w:cs="Arial"/>
          <w:szCs w:val="22"/>
        </w:rPr>
        <w:t xml:space="preserve">2c du projet </w:t>
      </w:r>
      <w:r w:rsidR="002D2464">
        <w:rPr>
          <w:rFonts w:cs="Arial"/>
          <w:szCs w:val="22"/>
        </w:rPr>
        <w:t>prévoyant</w:t>
      </w:r>
      <w:r w:rsidRPr="00DE27E0">
        <w:rPr>
          <w:rFonts w:cs="Arial"/>
          <w:szCs w:val="22"/>
        </w:rPr>
        <w:t xml:space="preserve"> une formation à la cartographie des zones submersibles et des itinéraires d’évacuation à l’appui de la mise en œuvre du programme Tsunami Ready dans la région.</w:t>
      </w:r>
    </w:p>
    <w:p w14:paraId="582E6C09" w14:textId="77777777" w:rsidR="00DE27E0" w:rsidRPr="00DE27E0" w:rsidRDefault="00DE27E0" w:rsidP="000B7D9F">
      <w:pPr>
        <w:pStyle w:val="Marge"/>
        <w:rPr>
          <w:rFonts w:cs="Arial"/>
          <w:szCs w:val="22"/>
        </w:rPr>
      </w:pPr>
      <w:r w:rsidRPr="00DE27E0">
        <w:rPr>
          <w:rFonts w:cs="Arial"/>
          <w:szCs w:val="22"/>
        </w:rPr>
        <w:t>12.</w:t>
      </w:r>
      <w:r w:rsidRPr="00DE27E0">
        <w:rPr>
          <w:rFonts w:cs="Arial"/>
          <w:szCs w:val="22"/>
        </w:rPr>
        <w:tab/>
      </w:r>
      <w:r w:rsidRPr="00DE27E0">
        <w:rPr>
          <w:rFonts w:cs="Arial"/>
          <w:b/>
          <w:bCs/>
          <w:szCs w:val="22"/>
        </w:rPr>
        <w:t>Le GIC a approuvé</w:t>
      </w:r>
      <w:r w:rsidRPr="00DE27E0">
        <w:rPr>
          <w:rFonts w:cs="Arial"/>
          <w:szCs w:val="22"/>
        </w:rPr>
        <w:t xml:space="preserve"> le nouveau mandat du Centre d’information sur les tsunamis dans l’océan Indien (IOTIC), y compris l’ajout d’une mission relative à la Journée mondiale de sensibilisation aux tsunamis.</w:t>
      </w:r>
    </w:p>
    <w:p w14:paraId="07F38272" w14:textId="77777777" w:rsidR="00DE27E0" w:rsidRPr="00DE27E0" w:rsidRDefault="00DE27E0" w:rsidP="00195C2A">
      <w:pPr>
        <w:pStyle w:val="Marge"/>
        <w:keepNext/>
        <w:keepLines/>
        <w:rPr>
          <w:rFonts w:cs="Arial"/>
          <w:szCs w:val="22"/>
        </w:rPr>
      </w:pPr>
      <w:r w:rsidRPr="00DE27E0">
        <w:rPr>
          <w:rFonts w:cs="Arial"/>
          <w:szCs w:val="22"/>
        </w:rPr>
        <w:lastRenderedPageBreak/>
        <w:t>13.</w:t>
      </w:r>
      <w:r w:rsidRPr="00DE27E0">
        <w:rPr>
          <w:rFonts w:cs="Arial"/>
          <w:szCs w:val="22"/>
        </w:rPr>
        <w:tab/>
      </w:r>
      <w:r w:rsidRPr="00DE27E0">
        <w:rPr>
          <w:rFonts w:cs="Arial"/>
          <w:b/>
          <w:bCs/>
          <w:szCs w:val="22"/>
        </w:rPr>
        <w:t>Le GIC a décidé</w:t>
      </w:r>
      <w:r w:rsidRPr="00DE27E0">
        <w:rPr>
          <w:rFonts w:cs="Arial"/>
          <w:szCs w:val="22"/>
        </w:rPr>
        <w:t xml:space="preserve"> d’effectuer un exercice IOWave en septembre-octobre 2023.</w:t>
      </w:r>
    </w:p>
    <w:p w14:paraId="23DFF57B" w14:textId="77777777" w:rsidR="00DE27E0" w:rsidRPr="00DE27E0" w:rsidRDefault="00DE27E0" w:rsidP="000B7D9F">
      <w:pPr>
        <w:pStyle w:val="Marge"/>
        <w:keepNext/>
        <w:keepLines/>
        <w:rPr>
          <w:rFonts w:cs="Arial"/>
          <w:szCs w:val="22"/>
        </w:rPr>
      </w:pPr>
      <w:r w:rsidRPr="00DE27E0">
        <w:rPr>
          <w:rFonts w:cs="Arial"/>
          <w:szCs w:val="22"/>
        </w:rPr>
        <w:t>14.</w:t>
      </w:r>
      <w:r w:rsidRPr="00DE27E0">
        <w:rPr>
          <w:rFonts w:cs="Arial"/>
          <w:szCs w:val="22"/>
        </w:rPr>
        <w:tab/>
      </w:r>
      <w:r w:rsidRPr="00DE27E0">
        <w:rPr>
          <w:rFonts w:cs="Arial"/>
          <w:b/>
          <w:bCs/>
          <w:szCs w:val="22"/>
        </w:rPr>
        <w:t>Le GIC a décidé</w:t>
      </w:r>
      <w:r w:rsidRPr="00DE27E0">
        <w:rPr>
          <w:rFonts w:cs="Arial"/>
          <w:szCs w:val="22"/>
        </w:rPr>
        <w:t xml:space="preserve"> de proroger : </w:t>
      </w:r>
    </w:p>
    <w:p w14:paraId="292FB344" w14:textId="0646F07E" w:rsidR="00693B81" w:rsidRPr="00693B81" w:rsidRDefault="00DE27E0" w:rsidP="00891290">
      <w:pPr>
        <w:pStyle w:val="Paragraphedeliste"/>
        <w:numPr>
          <w:ilvl w:val="0"/>
          <w:numId w:val="39"/>
        </w:numPr>
        <w:spacing w:after="120" w:line="240" w:lineRule="auto"/>
        <w:ind w:left="851" w:hanging="284"/>
        <w:contextualSpacing w:val="0"/>
        <w:jc w:val="both"/>
        <w:rPr>
          <w:rFonts w:ascii="Arial" w:eastAsia="Arial Unicode MS" w:hAnsi="Arial" w:cs="Arial"/>
          <w:lang w:val="fr-FR" w:eastAsia="en-US"/>
        </w:rPr>
      </w:pPr>
      <w:r w:rsidRPr="00693B81">
        <w:rPr>
          <w:rFonts w:ascii="Arial" w:eastAsia="Arial Unicode MS" w:hAnsi="Arial" w:cs="Arial"/>
          <w:lang w:val="fr-FR" w:eastAsia="en-US"/>
        </w:rPr>
        <w:t>le Groupe de travail</w:t>
      </w:r>
      <w:r w:rsidR="00693B81">
        <w:rPr>
          <w:rFonts w:ascii="Arial" w:eastAsia="Arial Unicode MS" w:hAnsi="Arial" w:cs="Arial"/>
          <w:lang w:val="fr-FR" w:eastAsia="en-US"/>
        </w:rPr>
        <w:t> </w:t>
      </w:r>
      <w:r w:rsidRPr="00693B81">
        <w:rPr>
          <w:rFonts w:ascii="Arial" w:eastAsia="Arial Unicode MS" w:hAnsi="Arial" w:cs="Arial"/>
          <w:lang w:val="fr-FR" w:eastAsia="en-US"/>
        </w:rPr>
        <w:t>1 sur les risques de tsunami et la sensibilisation et la préparation des communautés</w:t>
      </w:r>
      <w:r w:rsidR="00693B81">
        <w:rPr>
          <w:rFonts w:ascii="Arial" w:eastAsia="Arial Unicode MS" w:hAnsi="Arial" w:cs="Arial"/>
          <w:lang w:val="fr-FR" w:eastAsia="en-US"/>
        </w:rPr>
        <w:t> </w:t>
      </w:r>
      <w:r w:rsidRPr="00693B81">
        <w:rPr>
          <w:rFonts w:ascii="Arial" w:eastAsia="Arial Unicode MS" w:hAnsi="Arial" w:cs="Arial"/>
          <w:lang w:val="fr-FR" w:eastAsia="en-US"/>
        </w:rPr>
        <w:t>;</w:t>
      </w:r>
    </w:p>
    <w:p w14:paraId="4541B87A" w14:textId="77777777" w:rsidR="00693B81" w:rsidRPr="00693B81" w:rsidRDefault="00DE27E0" w:rsidP="00891290">
      <w:pPr>
        <w:pStyle w:val="Paragraphedeliste"/>
        <w:numPr>
          <w:ilvl w:val="0"/>
          <w:numId w:val="39"/>
        </w:numPr>
        <w:spacing w:after="120" w:line="240" w:lineRule="auto"/>
        <w:ind w:left="851" w:hanging="284"/>
        <w:contextualSpacing w:val="0"/>
        <w:jc w:val="both"/>
        <w:rPr>
          <w:rFonts w:ascii="Arial" w:eastAsia="Arial Unicode MS" w:hAnsi="Arial" w:cs="Arial"/>
          <w:lang w:val="fr-FR" w:eastAsia="en-US"/>
        </w:rPr>
      </w:pPr>
      <w:r w:rsidRPr="00DE27E0">
        <w:rPr>
          <w:rFonts w:ascii="Arial" w:eastAsia="Arial Unicode MS" w:hAnsi="Arial" w:cs="Arial"/>
          <w:lang w:val="fr-FR" w:eastAsia="en-US"/>
        </w:rPr>
        <w:t xml:space="preserve">le Groupe de travail 2 sur la détection des tsunamis, l’alerte et la diffusion ; </w:t>
      </w:r>
    </w:p>
    <w:p w14:paraId="47416AE9" w14:textId="03821948" w:rsidR="00693B81" w:rsidRPr="00693B81" w:rsidRDefault="00DE27E0" w:rsidP="00891290">
      <w:pPr>
        <w:pStyle w:val="Paragraphedeliste"/>
        <w:numPr>
          <w:ilvl w:val="0"/>
          <w:numId w:val="39"/>
        </w:numPr>
        <w:spacing w:after="120" w:line="240" w:lineRule="auto"/>
        <w:ind w:left="851" w:hanging="284"/>
        <w:contextualSpacing w:val="0"/>
        <w:jc w:val="both"/>
        <w:rPr>
          <w:rFonts w:ascii="Arial" w:eastAsia="Arial Unicode MS" w:hAnsi="Arial" w:cs="Arial"/>
          <w:lang w:val="fr-FR" w:eastAsia="en-US"/>
        </w:rPr>
      </w:pPr>
      <w:r w:rsidRPr="00DE27E0">
        <w:rPr>
          <w:rFonts w:ascii="Arial" w:eastAsia="Arial Unicode MS" w:hAnsi="Arial" w:cs="Arial"/>
          <w:lang w:val="fr-FR" w:eastAsia="en-US"/>
        </w:rPr>
        <w:t xml:space="preserve">le Groupe de travail sous-régional pour l’océan Indien </w:t>
      </w:r>
      <w:r w:rsidR="002D2464">
        <w:rPr>
          <w:rFonts w:ascii="Arial" w:eastAsia="Arial Unicode MS" w:hAnsi="Arial" w:cs="Arial"/>
          <w:lang w:val="fr-FR" w:eastAsia="en-US"/>
        </w:rPr>
        <w:t>du N</w:t>
      </w:r>
      <w:r w:rsidRPr="00DE27E0">
        <w:rPr>
          <w:rFonts w:ascii="Arial" w:eastAsia="Arial Unicode MS" w:hAnsi="Arial" w:cs="Arial"/>
          <w:lang w:val="fr-FR" w:eastAsia="en-US"/>
        </w:rPr>
        <w:t>ord-</w:t>
      </w:r>
      <w:r w:rsidR="002D2464">
        <w:rPr>
          <w:rFonts w:ascii="Arial" w:eastAsia="Arial Unicode MS" w:hAnsi="Arial" w:cs="Arial"/>
          <w:lang w:val="fr-FR" w:eastAsia="en-US"/>
        </w:rPr>
        <w:t>Ouest</w:t>
      </w:r>
      <w:r w:rsidR="00693B81">
        <w:rPr>
          <w:rFonts w:ascii="Arial" w:eastAsia="Arial Unicode MS" w:hAnsi="Arial" w:cs="Arial"/>
          <w:lang w:val="fr-FR" w:eastAsia="en-US"/>
        </w:rPr>
        <w:t> </w:t>
      </w:r>
      <w:r w:rsidRPr="00DE27E0">
        <w:rPr>
          <w:rFonts w:ascii="Arial" w:eastAsia="Arial Unicode MS" w:hAnsi="Arial" w:cs="Arial"/>
          <w:lang w:val="fr-FR" w:eastAsia="en-US"/>
        </w:rPr>
        <w:t>;</w:t>
      </w:r>
    </w:p>
    <w:p w14:paraId="34497042" w14:textId="0EEF6EC6" w:rsidR="00693B81" w:rsidRPr="00693B81" w:rsidRDefault="00DE27E0" w:rsidP="00891290">
      <w:pPr>
        <w:pStyle w:val="Paragraphedeliste"/>
        <w:numPr>
          <w:ilvl w:val="0"/>
          <w:numId w:val="39"/>
        </w:numPr>
        <w:spacing w:after="120" w:line="240" w:lineRule="auto"/>
        <w:ind w:left="851" w:hanging="284"/>
        <w:contextualSpacing w:val="0"/>
        <w:jc w:val="both"/>
        <w:rPr>
          <w:rFonts w:ascii="Arial" w:eastAsia="Arial Unicode MS" w:hAnsi="Arial" w:cs="Arial"/>
          <w:lang w:val="fr-FR" w:eastAsia="en-US"/>
        </w:rPr>
      </w:pPr>
      <w:r w:rsidRPr="00DE27E0">
        <w:rPr>
          <w:rFonts w:ascii="Arial" w:eastAsia="Arial Unicode MS" w:hAnsi="Arial" w:cs="Arial"/>
          <w:lang w:val="fr-FR" w:eastAsia="en-US"/>
        </w:rPr>
        <w:t>l’Équipe de travail intersessions sur l’évaluation scientifique du danger de tsunami dans la zone de subduction du Makran</w:t>
      </w:r>
      <w:r w:rsidR="00693B81">
        <w:rPr>
          <w:rFonts w:ascii="Arial" w:eastAsia="Arial Unicode MS" w:hAnsi="Arial" w:cs="Arial"/>
          <w:lang w:val="fr-FR" w:eastAsia="en-US"/>
        </w:rPr>
        <w:t> </w:t>
      </w:r>
      <w:r w:rsidRPr="00DE27E0">
        <w:rPr>
          <w:rFonts w:ascii="Arial" w:eastAsia="Arial Unicode MS" w:hAnsi="Arial" w:cs="Arial"/>
          <w:lang w:val="fr-FR" w:eastAsia="en-US"/>
        </w:rPr>
        <w:t>;</w:t>
      </w:r>
    </w:p>
    <w:p w14:paraId="515549D4" w14:textId="4EC34561" w:rsidR="00DE27E0" w:rsidRPr="00DE27E0" w:rsidRDefault="00DE27E0" w:rsidP="000B7D9F">
      <w:pPr>
        <w:pStyle w:val="Paragraphedeliste"/>
        <w:numPr>
          <w:ilvl w:val="0"/>
          <w:numId w:val="39"/>
        </w:numPr>
        <w:spacing w:after="240" w:line="240" w:lineRule="auto"/>
        <w:ind w:left="851" w:hanging="284"/>
        <w:contextualSpacing w:val="0"/>
        <w:jc w:val="both"/>
        <w:rPr>
          <w:rFonts w:eastAsia="Arial Unicode MS" w:cs="Arial"/>
          <w:lang w:val="fr-FR" w:eastAsia="en-US"/>
        </w:rPr>
      </w:pPr>
      <w:r w:rsidRPr="00DE27E0">
        <w:rPr>
          <w:rFonts w:ascii="Arial" w:eastAsia="Arial Unicode MS" w:hAnsi="Arial" w:cs="Arial"/>
          <w:lang w:val="fr-FR" w:eastAsia="en-US"/>
        </w:rPr>
        <w:t>le Comité directeur du GIC/IOTWMS</w:t>
      </w:r>
      <w:r w:rsidRPr="00DE27E0">
        <w:rPr>
          <w:rFonts w:eastAsia="Arial Unicode MS" w:cs="Arial"/>
          <w:lang w:val="fr-FR" w:eastAsia="en-US"/>
        </w:rPr>
        <w:t>.</w:t>
      </w:r>
    </w:p>
    <w:p w14:paraId="4FFE34DD" w14:textId="77777777" w:rsidR="00DE27E0" w:rsidRPr="00DE27E0" w:rsidRDefault="00DE27E0" w:rsidP="000B7D9F">
      <w:pPr>
        <w:pStyle w:val="Marge"/>
        <w:rPr>
          <w:rFonts w:cs="Arial"/>
          <w:szCs w:val="22"/>
        </w:rPr>
      </w:pPr>
      <w:r w:rsidRPr="00DE27E0">
        <w:rPr>
          <w:rFonts w:cs="Arial"/>
          <w:szCs w:val="22"/>
        </w:rPr>
        <w:t>15.</w:t>
      </w:r>
      <w:r w:rsidRPr="00DE27E0">
        <w:rPr>
          <w:rFonts w:cs="Arial"/>
          <w:szCs w:val="22"/>
        </w:rPr>
        <w:tab/>
      </w:r>
      <w:r w:rsidRPr="00DE27E0">
        <w:rPr>
          <w:rFonts w:cs="Arial"/>
          <w:b/>
          <w:bCs/>
          <w:szCs w:val="22"/>
        </w:rPr>
        <w:t>Le GIC a décidé</w:t>
      </w:r>
      <w:r w:rsidRPr="00DE27E0">
        <w:rPr>
          <w:rFonts w:cs="Arial"/>
          <w:szCs w:val="22"/>
        </w:rPr>
        <w:t xml:space="preserve"> de créer :</w:t>
      </w:r>
    </w:p>
    <w:p w14:paraId="663EDCDF" w14:textId="7FF517EC" w:rsidR="00DE27E0" w:rsidRPr="00693B81" w:rsidRDefault="00DE27E0" w:rsidP="00891290">
      <w:pPr>
        <w:pStyle w:val="Paragraphedeliste"/>
        <w:numPr>
          <w:ilvl w:val="0"/>
          <w:numId w:val="39"/>
        </w:numPr>
        <w:spacing w:after="120" w:line="240" w:lineRule="auto"/>
        <w:ind w:left="851" w:hanging="284"/>
        <w:contextualSpacing w:val="0"/>
        <w:jc w:val="both"/>
        <w:rPr>
          <w:rFonts w:ascii="Arial" w:eastAsia="Arial Unicode MS" w:hAnsi="Arial" w:cs="Arial"/>
          <w:lang w:val="fr-FR" w:eastAsia="en-US"/>
        </w:rPr>
      </w:pPr>
      <w:r w:rsidRPr="00693B81">
        <w:rPr>
          <w:rFonts w:ascii="Arial" w:eastAsia="Arial Unicode MS" w:hAnsi="Arial" w:cs="Arial"/>
          <w:lang w:val="fr-FR" w:eastAsia="en-US"/>
        </w:rPr>
        <w:t>un Groupe de travail</w:t>
      </w:r>
      <w:r w:rsidR="00693B81">
        <w:rPr>
          <w:rFonts w:ascii="Arial" w:eastAsia="Arial Unicode MS" w:hAnsi="Arial" w:cs="Arial"/>
          <w:lang w:val="fr-FR" w:eastAsia="en-US"/>
        </w:rPr>
        <w:t> </w:t>
      </w:r>
      <w:r w:rsidRPr="00693B81">
        <w:rPr>
          <w:rFonts w:ascii="Arial" w:eastAsia="Arial Unicode MS" w:hAnsi="Arial" w:cs="Arial"/>
          <w:lang w:val="fr-FR" w:eastAsia="en-US"/>
        </w:rPr>
        <w:t>3 sur la mise en œuvre du programme de certification Tsunami Ready</w:t>
      </w:r>
      <w:r w:rsidR="00693B81">
        <w:rPr>
          <w:rFonts w:ascii="Arial" w:eastAsia="Arial Unicode MS" w:hAnsi="Arial" w:cs="Arial"/>
          <w:lang w:val="fr-FR" w:eastAsia="en-US"/>
        </w:rPr>
        <w:t> </w:t>
      </w:r>
      <w:r w:rsidRPr="00693B81">
        <w:rPr>
          <w:rFonts w:ascii="Arial" w:eastAsia="Arial Unicode MS" w:hAnsi="Arial" w:cs="Arial"/>
          <w:lang w:val="fr-FR" w:eastAsia="en-US"/>
        </w:rPr>
        <w:t>;</w:t>
      </w:r>
    </w:p>
    <w:p w14:paraId="14AC4802" w14:textId="3B7666E2" w:rsidR="00DE27E0" w:rsidRPr="00693B81" w:rsidRDefault="00DE27E0" w:rsidP="000B7D9F">
      <w:pPr>
        <w:pStyle w:val="Paragraphedeliste"/>
        <w:numPr>
          <w:ilvl w:val="0"/>
          <w:numId w:val="39"/>
        </w:numPr>
        <w:spacing w:after="240" w:line="240" w:lineRule="auto"/>
        <w:ind w:left="851" w:hanging="284"/>
        <w:contextualSpacing w:val="0"/>
        <w:jc w:val="both"/>
        <w:rPr>
          <w:rFonts w:ascii="Arial" w:eastAsia="Arial Unicode MS" w:hAnsi="Arial" w:cs="Arial"/>
          <w:lang w:val="fr-FR" w:eastAsia="en-US"/>
        </w:rPr>
      </w:pPr>
      <w:r w:rsidRPr="00693B81">
        <w:rPr>
          <w:rFonts w:ascii="Arial" w:eastAsia="Arial Unicode MS" w:hAnsi="Arial" w:cs="Arial"/>
          <w:lang w:val="fr-FR" w:eastAsia="en-US"/>
        </w:rPr>
        <w:t>une Équipe spéciale sur l’exercice IOWave</w:t>
      </w:r>
      <w:r w:rsidR="00693B81">
        <w:rPr>
          <w:rFonts w:ascii="Arial" w:eastAsia="Arial Unicode MS" w:hAnsi="Arial" w:cs="Arial"/>
          <w:lang w:val="fr-FR" w:eastAsia="en-US"/>
        </w:rPr>
        <w:t> </w:t>
      </w:r>
      <w:r w:rsidRPr="00693B81">
        <w:rPr>
          <w:rFonts w:ascii="Arial" w:eastAsia="Arial Unicode MS" w:hAnsi="Arial" w:cs="Arial"/>
          <w:lang w:val="fr-FR" w:eastAsia="en-US"/>
        </w:rPr>
        <w:t xml:space="preserve">23. </w:t>
      </w:r>
    </w:p>
    <w:p w14:paraId="305324E8" w14:textId="77777777" w:rsidR="00DE27E0" w:rsidRPr="00DE27E0" w:rsidRDefault="00DE27E0" w:rsidP="000B7D9F">
      <w:pPr>
        <w:pStyle w:val="Marge"/>
        <w:rPr>
          <w:rFonts w:cs="Arial"/>
          <w:szCs w:val="22"/>
        </w:rPr>
      </w:pPr>
      <w:r w:rsidRPr="00DE27E0">
        <w:rPr>
          <w:rFonts w:cs="Arial"/>
          <w:szCs w:val="22"/>
        </w:rPr>
        <w:t>16.</w:t>
      </w:r>
      <w:r w:rsidRPr="00DE27E0">
        <w:rPr>
          <w:rFonts w:cs="Arial"/>
          <w:szCs w:val="22"/>
        </w:rPr>
        <w:tab/>
      </w:r>
      <w:r w:rsidRPr="00DE27E0">
        <w:rPr>
          <w:rFonts w:cs="Arial"/>
          <w:b/>
          <w:bCs/>
          <w:szCs w:val="22"/>
        </w:rPr>
        <w:t>Le GIC a décidé</w:t>
      </w:r>
      <w:r w:rsidRPr="00DE27E0">
        <w:rPr>
          <w:rFonts w:cs="Arial"/>
          <w:szCs w:val="22"/>
        </w:rPr>
        <w:t xml:space="preserve"> de mettre en place des points focaux Tsunami Ready (TRFP) désignés par chaque État membre afin d’améliorer la communication, la coordination et la mise en œuvre du programme Tsunami Ready ou d’initiatives similaires dans la région de l’océan Indien.</w:t>
      </w:r>
    </w:p>
    <w:p w14:paraId="00BBAA42" w14:textId="1E3E38B9" w:rsidR="00DE27E0" w:rsidRPr="00DE27E0" w:rsidRDefault="00DE27E0" w:rsidP="000B7D9F">
      <w:pPr>
        <w:pStyle w:val="Marge"/>
        <w:rPr>
          <w:rFonts w:cs="Arial"/>
          <w:szCs w:val="22"/>
        </w:rPr>
      </w:pPr>
      <w:r w:rsidRPr="00DE27E0">
        <w:rPr>
          <w:rFonts w:cs="Arial"/>
          <w:szCs w:val="22"/>
        </w:rPr>
        <w:t>17.</w:t>
      </w:r>
      <w:r w:rsidRPr="00DE27E0">
        <w:rPr>
          <w:rFonts w:cs="Arial"/>
          <w:szCs w:val="22"/>
        </w:rPr>
        <w:tab/>
      </w:r>
      <w:r w:rsidRPr="00DE27E0">
        <w:rPr>
          <w:rFonts w:cs="Arial"/>
          <w:b/>
          <w:bCs/>
          <w:szCs w:val="22"/>
        </w:rPr>
        <w:t>Le GIC a décidé</w:t>
      </w:r>
      <w:r w:rsidRPr="00DE27E0">
        <w:rPr>
          <w:rFonts w:cs="Arial"/>
          <w:szCs w:val="22"/>
        </w:rPr>
        <w:t xml:space="preserve"> d’organiser, pendant la période intersessions, deux ateliers de formation sur les procédures opérationnelles normalisées, dont l’un aura lieu dans la région de l’océan Indien occidental et l’autre dans la région de l’océan Indien oriental, au cours du premier semestre de 2023 et avant la tenue d’IOWave</w:t>
      </w:r>
      <w:r w:rsidR="00693B81">
        <w:rPr>
          <w:rFonts w:cs="Arial"/>
          <w:szCs w:val="22"/>
        </w:rPr>
        <w:t> </w:t>
      </w:r>
      <w:r w:rsidRPr="00DE27E0">
        <w:rPr>
          <w:rFonts w:cs="Arial"/>
          <w:szCs w:val="22"/>
        </w:rPr>
        <w:t>23, sous réserve de la disponibilité des fonds nécessaires.</w:t>
      </w:r>
    </w:p>
    <w:p w14:paraId="3A7F4E83" w14:textId="77777777" w:rsidR="00DE27E0" w:rsidRPr="00DE27E0" w:rsidRDefault="00DE27E0" w:rsidP="000B7D9F">
      <w:pPr>
        <w:pStyle w:val="Marge"/>
        <w:rPr>
          <w:rFonts w:cs="Arial"/>
          <w:szCs w:val="22"/>
        </w:rPr>
      </w:pPr>
      <w:r w:rsidRPr="00DE27E0">
        <w:rPr>
          <w:rFonts w:cs="Arial"/>
          <w:szCs w:val="22"/>
        </w:rPr>
        <w:t>18.</w:t>
      </w:r>
      <w:r w:rsidRPr="00DE27E0">
        <w:rPr>
          <w:rFonts w:cs="Arial"/>
          <w:szCs w:val="22"/>
        </w:rPr>
        <w:tab/>
      </w:r>
      <w:r w:rsidRPr="00DE27E0">
        <w:rPr>
          <w:rFonts w:cs="Arial"/>
          <w:b/>
          <w:bCs/>
          <w:szCs w:val="22"/>
        </w:rPr>
        <w:t>Le GIC a décidé</w:t>
      </w:r>
      <w:r w:rsidRPr="00DE27E0">
        <w:rPr>
          <w:rFonts w:cs="Arial"/>
          <w:szCs w:val="22"/>
        </w:rPr>
        <w:t xml:space="preserve"> de continuer de mener des activités pendant la période intersessions sous la forme de réunions intégrées, afin d’optimiser les ressources, si elles existent.</w:t>
      </w:r>
    </w:p>
    <w:p w14:paraId="40F3DBB2" w14:textId="4B04BA9A" w:rsidR="00DE27E0" w:rsidRPr="00DE27E0" w:rsidRDefault="00DE27E0" w:rsidP="000B7D9F">
      <w:pPr>
        <w:pStyle w:val="Marge"/>
        <w:rPr>
          <w:rFonts w:cs="Arial"/>
          <w:szCs w:val="22"/>
        </w:rPr>
      </w:pPr>
      <w:r w:rsidRPr="00DE27E0">
        <w:rPr>
          <w:rFonts w:cs="Arial"/>
          <w:szCs w:val="22"/>
        </w:rPr>
        <w:t>19.</w:t>
      </w:r>
      <w:r w:rsidRPr="00DE27E0">
        <w:rPr>
          <w:rFonts w:cs="Arial"/>
          <w:szCs w:val="22"/>
        </w:rPr>
        <w:tab/>
      </w:r>
      <w:r w:rsidRPr="00DE27E0">
        <w:rPr>
          <w:rFonts w:cs="Arial"/>
          <w:b/>
          <w:bCs/>
          <w:szCs w:val="22"/>
        </w:rPr>
        <w:t>Le GIC a décidé</w:t>
      </w:r>
      <w:r w:rsidRPr="00DE27E0">
        <w:rPr>
          <w:rFonts w:cs="Arial"/>
          <w:szCs w:val="22"/>
        </w:rPr>
        <w:t xml:space="preserve"> de réaliser une nouvelle évaluation complète des capacités en matière de préparation aux tsunamis dans l’océan Indien en 2024, </w:t>
      </w:r>
      <w:r w:rsidR="006C4973">
        <w:rPr>
          <w:rFonts w:cs="Arial"/>
          <w:szCs w:val="22"/>
        </w:rPr>
        <w:t>en vue</w:t>
      </w:r>
      <w:r w:rsidRPr="00DE27E0">
        <w:rPr>
          <w:rFonts w:cs="Arial"/>
          <w:szCs w:val="22"/>
        </w:rPr>
        <w:t xml:space="preserve"> d’évaluer les progrès accomplis par l’IOTWMS depuis le tsunami de l’océan Indien de 2004</w:t>
      </w:r>
      <w:r w:rsidR="00986FDD">
        <w:rPr>
          <w:rFonts w:cs="Arial"/>
          <w:szCs w:val="22"/>
        </w:rPr>
        <w:t xml:space="preserve">. </w:t>
      </w:r>
      <w:r w:rsidR="00986FDD" w:rsidRPr="00DE27E0">
        <w:rPr>
          <w:rFonts w:cs="Arial"/>
          <w:szCs w:val="22"/>
        </w:rPr>
        <w:t>Avant</w:t>
      </w:r>
      <w:r w:rsidR="00986FDD">
        <w:rPr>
          <w:rFonts w:cs="Arial"/>
          <w:szCs w:val="22"/>
        </w:rPr>
        <w:t xml:space="preserve"> </w:t>
      </w:r>
      <w:r w:rsidR="00986FDD" w:rsidRPr="00DE27E0">
        <w:rPr>
          <w:rFonts w:cs="Arial"/>
          <w:szCs w:val="22"/>
        </w:rPr>
        <w:t>cha</w:t>
      </w:r>
      <w:r w:rsidR="00986FDD">
        <w:rPr>
          <w:rFonts w:cs="Arial"/>
          <w:szCs w:val="22"/>
        </w:rPr>
        <w:t>c</w:t>
      </w:r>
      <w:r w:rsidR="00986FDD" w:rsidRPr="00DE27E0">
        <w:rPr>
          <w:rFonts w:cs="Arial"/>
          <w:szCs w:val="22"/>
        </w:rPr>
        <w:t>u</w:t>
      </w:r>
      <w:r w:rsidR="00986FDD">
        <w:rPr>
          <w:rFonts w:cs="Arial"/>
          <w:szCs w:val="22"/>
        </w:rPr>
        <w:t>n</w:t>
      </w:r>
      <w:r w:rsidR="00986FDD" w:rsidRPr="00DE27E0">
        <w:rPr>
          <w:rFonts w:cs="Arial"/>
          <w:szCs w:val="22"/>
        </w:rPr>
        <w:t xml:space="preserve">e </w:t>
      </w:r>
      <w:r w:rsidR="00986FDD">
        <w:rPr>
          <w:rFonts w:cs="Arial"/>
          <w:szCs w:val="22"/>
        </w:rPr>
        <w:t xml:space="preserve">de ses </w:t>
      </w:r>
      <w:r w:rsidR="00986FDD" w:rsidRPr="00DE27E0">
        <w:rPr>
          <w:rFonts w:cs="Arial"/>
          <w:szCs w:val="22"/>
        </w:rPr>
        <w:t>session</w:t>
      </w:r>
      <w:r w:rsidR="00986FDD">
        <w:rPr>
          <w:rFonts w:cs="Arial"/>
          <w:szCs w:val="22"/>
        </w:rPr>
        <w:t>s, il procèdera également</w:t>
      </w:r>
      <w:r w:rsidR="00986FDD" w:rsidRPr="00986FDD">
        <w:rPr>
          <w:rFonts w:cs="Arial"/>
          <w:szCs w:val="22"/>
        </w:rPr>
        <w:t xml:space="preserve"> </w:t>
      </w:r>
      <w:r w:rsidR="00986FDD">
        <w:rPr>
          <w:rFonts w:cs="Arial"/>
          <w:szCs w:val="22"/>
        </w:rPr>
        <w:t xml:space="preserve">à </w:t>
      </w:r>
      <w:r w:rsidRPr="00DE27E0">
        <w:rPr>
          <w:rFonts w:cs="Arial"/>
          <w:szCs w:val="22"/>
        </w:rPr>
        <w:t xml:space="preserve">une évaluation plus courte </w:t>
      </w:r>
      <w:r w:rsidR="006C4973" w:rsidRPr="00DE27E0">
        <w:rPr>
          <w:rFonts w:cs="Arial"/>
          <w:szCs w:val="22"/>
        </w:rPr>
        <w:t>au moyen d’un questionnaire en ligne</w:t>
      </w:r>
      <w:r w:rsidR="006C4973">
        <w:rPr>
          <w:rFonts w:cs="Arial"/>
          <w:szCs w:val="22"/>
        </w:rPr>
        <w:t xml:space="preserve">, qui sera présentée aux </w:t>
      </w:r>
      <w:r w:rsidRPr="00DE27E0">
        <w:rPr>
          <w:rFonts w:cs="Arial"/>
          <w:szCs w:val="22"/>
        </w:rPr>
        <w:t>États membres</w:t>
      </w:r>
      <w:r w:rsidR="00986FDD">
        <w:rPr>
          <w:rFonts w:cs="Arial"/>
          <w:szCs w:val="22"/>
        </w:rPr>
        <w:t xml:space="preserve"> </w:t>
      </w:r>
      <w:r w:rsidR="006C4973" w:rsidRPr="00DE27E0">
        <w:rPr>
          <w:rFonts w:cs="Arial"/>
          <w:szCs w:val="22"/>
        </w:rPr>
        <w:t>pour exame</w:t>
      </w:r>
      <w:r w:rsidR="006C4973">
        <w:rPr>
          <w:rFonts w:cs="Arial"/>
          <w:szCs w:val="22"/>
        </w:rPr>
        <w:t>n, l’objectif étant d’</w:t>
      </w:r>
      <w:r w:rsidRPr="00DE27E0">
        <w:rPr>
          <w:rFonts w:cs="Arial"/>
          <w:szCs w:val="22"/>
        </w:rPr>
        <w:t xml:space="preserve">assurer un suivi continu des progrès après chaque période intersessions </w:t>
      </w:r>
      <w:r w:rsidR="006C4973">
        <w:rPr>
          <w:rFonts w:cs="Arial"/>
          <w:szCs w:val="22"/>
        </w:rPr>
        <w:t>pour</w:t>
      </w:r>
      <w:r w:rsidRPr="00DE27E0">
        <w:rPr>
          <w:rFonts w:cs="Arial"/>
          <w:szCs w:val="22"/>
        </w:rPr>
        <w:t xml:space="preserve"> aider à orienter les plans de travail du GIC/IOTWMS.</w:t>
      </w:r>
    </w:p>
    <w:p w14:paraId="66401461" w14:textId="6B91B6C7" w:rsidR="00DE27E0" w:rsidRPr="00DE27E0" w:rsidRDefault="00DE27E0" w:rsidP="000B7D9F">
      <w:pPr>
        <w:pStyle w:val="Marge"/>
        <w:rPr>
          <w:rFonts w:cs="Arial"/>
          <w:szCs w:val="22"/>
        </w:rPr>
      </w:pPr>
      <w:r w:rsidRPr="00DE27E0">
        <w:rPr>
          <w:rFonts w:cs="Arial"/>
          <w:szCs w:val="22"/>
        </w:rPr>
        <w:t>20.</w:t>
      </w:r>
      <w:r w:rsidRPr="00DE27E0">
        <w:rPr>
          <w:rFonts w:cs="Arial"/>
          <w:szCs w:val="22"/>
        </w:rPr>
        <w:tab/>
      </w:r>
      <w:r w:rsidRPr="00DE27E0">
        <w:rPr>
          <w:rFonts w:cs="Arial"/>
          <w:b/>
          <w:bCs/>
          <w:szCs w:val="22"/>
        </w:rPr>
        <w:t>Le GIC a décidé</w:t>
      </w:r>
      <w:r w:rsidRPr="00DE27E0">
        <w:rPr>
          <w:rFonts w:cs="Arial"/>
          <w:szCs w:val="22"/>
        </w:rPr>
        <w:t xml:space="preserve"> d’élargir la gamme des services fournis à l’IOTWMS par les prestataires de services relatifs aux tsunamis (TSP) en incluant les tsunamis générés par des sources non sismiques et complexes.</w:t>
      </w:r>
    </w:p>
    <w:p w14:paraId="435AA97A" w14:textId="1E5A31D6" w:rsidR="00DE27E0" w:rsidRPr="00DE27E0" w:rsidRDefault="00DE27E0" w:rsidP="000B7D9F">
      <w:pPr>
        <w:pStyle w:val="Marge"/>
        <w:rPr>
          <w:rFonts w:cs="Arial"/>
          <w:szCs w:val="22"/>
        </w:rPr>
      </w:pPr>
      <w:r w:rsidRPr="00DE27E0">
        <w:rPr>
          <w:rFonts w:cs="Arial"/>
          <w:szCs w:val="22"/>
        </w:rPr>
        <w:t>21.</w:t>
      </w:r>
      <w:r w:rsidRPr="00DE27E0">
        <w:rPr>
          <w:rFonts w:cs="Arial"/>
          <w:szCs w:val="22"/>
        </w:rPr>
        <w:tab/>
      </w:r>
      <w:r w:rsidRPr="00DE27E0">
        <w:rPr>
          <w:rFonts w:cs="Arial"/>
          <w:b/>
          <w:bCs/>
          <w:szCs w:val="22"/>
        </w:rPr>
        <w:t>Le GIC a élu</w:t>
      </w:r>
      <w:r w:rsidRPr="00DE27E0">
        <w:rPr>
          <w:rFonts w:cs="Arial"/>
          <w:szCs w:val="22"/>
        </w:rPr>
        <w:t xml:space="preserve"> son bureau pour la prochaine période intersessions, à compter de la fin de la session. Mme</w:t>
      </w:r>
      <w:r w:rsidR="00693B81">
        <w:rPr>
          <w:rFonts w:cs="Arial"/>
          <w:szCs w:val="22"/>
        </w:rPr>
        <w:t> </w:t>
      </w:r>
      <w:r w:rsidRPr="00DE27E0">
        <w:rPr>
          <w:rFonts w:cs="Arial"/>
          <w:szCs w:val="22"/>
        </w:rPr>
        <w:t xml:space="preserve">Dwikorita Karnawati (Indonésie) a été réélue </w:t>
      </w:r>
      <w:r w:rsidR="007F66FF" w:rsidRPr="00DE27E0">
        <w:rPr>
          <w:rFonts w:cs="Arial"/>
          <w:szCs w:val="22"/>
        </w:rPr>
        <w:t>Présidente</w:t>
      </w:r>
      <w:r w:rsidRPr="00DE27E0">
        <w:rPr>
          <w:rFonts w:cs="Arial"/>
          <w:szCs w:val="22"/>
        </w:rPr>
        <w:t>, et MM.</w:t>
      </w:r>
      <w:r w:rsidR="00693B81">
        <w:rPr>
          <w:rFonts w:cs="Arial"/>
          <w:szCs w:val="22"/>
        </w:rPr>
        <w:t> </w:t>
      </w:r>
      <w:r w:rsidRPr="00DE27E0">
        <w:rPr>
          <w:rFonts w:cs="Arial"/>
          <w:szCs w:val="22"/>
        </w:rPr>
        <w:t xml:space="preserve">Yuelong Miao (Australie) et Pattabhi Rama Rao Eluri (Inde) ont été élus </w:t>
      </w:r>
      <w:r w:rsidR="007F66FF" w:rsidRPr="00DE27E0">
        <w:rPr>
          <w:rFonts w:cs="Arial"/>
          <w:szCs w:val="22"/>
        </w:rPr>
        <w:t>Vice-Présidents</w:t>
      </w:r>
      <w:r w:rsidRPr="00DE27E0">
        <w:rPr>
          <w:rFonts w:cs="Arial"/>
          <w:szCs w:val="22"/>
        </w:rPr>
        <w:t>.</w:t>
      </w:r>
    </w:p>
    <w:p w14:paraId="082477CE" w14:textId="77777777" w:rsidR="00DE27E0" w:rsidRPr="00DE27E0" w:rsidRDefault="00DE27E0" w:rsidP="000B7D9F">
      <w:pPr>
        <w:pStyle w:val="Marge"/>
        <w:rPr>
          <w:rFonts w:cs="Arial"/>
          <w:szCs w:val="22"/>
        </w:rPr>
      </w:pPr>
      <w:r w:rsidRPr="00DE27E0">
        <w:rPr>
          <w:rFonts w:cs="Arial"/>
          <w:szCs w:val="22"/>
        </w:rPr>
        <w:t>22.</w:t>
      </w:r>
      <w:r w:rsidRPr="00DE27E0">
        <w:rPr>
          <w:rFonts w:cs="Arial"/>
          <w:szCs w:val="22"/>
        </w:rPr>
        <w:tab/>
      </w:r>
      <w:r w:rsidRPr="00DE27E0">
        <w:rPr>
          <w:rFonts w:cs="Arial"/>
          <w:b/>
          <w:bCs/>
          <w:szCs w:val="22"/>
        </w:rPr>
        <w:t>Le GIC a pris note avec satisfaction</w:t>
      </w:r>
      <w:r w:rsidRPr="00DE27E0">
        <w:rPr>
          <w:rFonts w:cs="Arial"/>
          <w:szCs w:val="22"/>
        </w:rPr>
        <w:t xml:space="preserve"> de la contribution et du soutien constant fournis par le Gouvernement australien au Secrétariat de la COI-UNESCO pour le GIC/IOTWMS, ainsi que de l’aide qu’apporte le Gouvernement indonésien au Centre d’information sur les tsunamis dans l’océan Indien (IOTIC).</w:t>
      </w:r>
    </w:p>
    <w:p w14:paraId="7A14BC13" w14:textId="41F23CC4" w:rsidR="00DE27E0" w:rsidRPr="00DE27E0" w:rsidRDefault="00DE27E0" w:rsidP="000B7D9F">
      <w:pPr>
        <w:pStyle w:val="Marge"/>
        <w:rPr>
          <w:rFonts w:cs="Arial"/>
          <w:szCs w:val="22"/>
        </w:rPr>
      </w:pPr>
      <w:r w:rsidRPr="00DE27E0">
        <w:rPr>
          <w:rFonts w:cs="Arial"/>
          <w:szCs w:val="22"/>
        </w:rPr>
        <w:t>23.</w:t>
      </w:r>
      <w:r w:rsidRPr="00DE27E0">
        <w:rPr>
          <w:rFonts w:cs="Arial"/>
          <w:szCs w:val="22"/>
        </w:rPr>
        <w:tab/>
      </w:r>
      <w:r w:rsidRPr="00DE27E0">
        <w:rPr>
          <w:rFonts w:cs="Arial"/>
          <w:b/>
          <w:bCs/>
          <w:szCs w:val="22"/>
        </w:rPr>
        <w:t>Le GIC a décidé</w:t>
      </w:r>
      <w:r w:rsidRPr="00DE27E0">
        <w:rPr>
          <w:rFonts w:cs="Arial"/>
          <w:szCs w:val="22"/>
        </w:rPr>
        <w:t xml:space="preserve"> de tenir sa 14</w:t>
      </w:r>
      <w:r w:rsidRPr="00DE27E0">
        <w:rPr>
          <w:rFonts w:cs="Arial"/>
          <w:szCs w:val="22"/>
          <w:vertAlign w:val="superscript"/>
        </w:rPr>
        <w:t>e</w:t>
      </w:r>
      <w:r w:rsidRPr="00DE27E0">
        <w:rPr>
          <w:rFonts w:cs="Arial"/>
          <w:szCs w:val="22"/>
        </w:rPr>
        <w:t> session à la fin de l’année</w:t>
      </w:r>
      <w:r w:rsidR="00693B81">
        <w:rPr>
          <w:rFonts w:cs="Arial"/>
          <w:szCs w:val="22"/>
        </w:rPr>
        <w:t> </w:t>
      </w:r>
      <w:r w:rsidRPr="00DE27E0">
        <w:rPr>
          <w:rFonts w:cs="Arial"/>
          <w:szCs w:val="22"/>
        </w:rPr>
        <w:t>2024, de façon qu’elle coïncide avec la commémoration du 20</w:t>
      </w:r>
      <w:r w:rsidRPr="00DE27E0">
        <w:rPr>
          <w:rFonts w:cs="Arial"/>
          <w:szCs w:val="22"/>
          <w:vertAlign w:val="superscript"/>
        </w:rPr>
        <w:t>e</w:t>
      </w:r>
      <w:r w:rsidRPr="00DE27E0">
        <w:rPr>
          <w:rFonts w:cs="Arial"/>
          <w:szCs w:val="22"/>
        </w:rPr>
        <w:t> anniversaire du tsunami dans l’océan Indien</w:t>
      </w:r>
      <w:r w:rsidR="00460129" w:rsidRPr="00460129">
        <w:rPr>
          <w:rFonts w:cs="Arial"/>
          <w:szCs w:val="22"/>
        </w:rPr>
        <w:t xml:space="preserve"> </w:t>
      </w:r>
      <w:r w:rsidR="00460129" w:rsidRPr="00DE27E0">
        <w:rPr>
          <w:rFonts w:cs="Arial"/>
          <w:szCs w:val="22"/>
        </w:rPr>
        <w:t>de 2004</w:t>
      </w:r>
      <w:r w:rsidRPr="00DE27E0">
        <w:rPr>
          <w:rFonts w:cs="Arial"/>
          <w:szCs w:val="22"/>
        </w:rPr>
        <w:t xml:space="preserve">, et </w:t>
      </w:r>
      <w:r w:rsidRPr="00DE27E0">
        <w:rPr>
          <w:rFonts w:cs="Arial"/>
          <w:b/>
          <w:bCs/>
          <w:szCs w:val="22"/>
        </w:rPr>
        <w:t xml:space="preserve">a accepté avec gratitude </w:t>
      </w:r>
      <w:r w:rsidRPr="00DE27E0">
        <w:rPr>
          <w:rFonts w:cs="Arial"/>
          <w:szCs w:val="22"/>
        </w:rPr>
        <w:t xml:space="preserve">la proposition faite par le Gouvernement de l’Indonésie d’accueillir cette session.  </w:t>
      </w:r>
    </w:p>
    <w:p w14:paraId="0880257C" w14:textId="77777777" w:rsidR="00DE27E0" w:rsidRPr="00DE27E0" w:rsidRDefault="00DE27E0" w:rsidP="000B7D9F">
      <w:pPr>
        <w:pStyle w:val="Marge"/>
        <w:rPr>
          <w:rFonts w:cs="Arial"/>
          <w:szCs w:val="22"/>
        </w:rPr>
      </w:pPr>
      <w:r w:rsidRPr="00DE27E0">
        <w:rPr>
          <w:rFonts w:cs="Arial"/>
          <w:szCs w:val="22"/>
        </w:rPr>
        <w:lastRenderedPageBreak/>
        <w:t>24.</w:t>
      </w:r>
      <w:r w:rsidRPr="00DE27E0">
        <w:rPr>
          <w:rFonts w:cs="Arial"/>
          <w:szCs w:val="22"/>
        </w:rPr>
        <w:tab/>
        <w:t xml:space="preserve">Le GIC </w:t>
      </w:r>
      <w:r w:rsidRPr="00DE27E0">
        <w:rPr>
          <w:rFonts w:cs="Arial"/>
          <w:b/>
          <w:bCs/>
          <w:szCs w:val="22"/>
        </w:rPr>
        <w:t>a également accepté avec gratitude</w:t>
      </w:r>
      <w:r w:rsidRPr="00DE27E0">
        <w:rPr>
          <w:rFonts w:cs="Arial"/>
          <w:szCs w:val="22"/>
        </w:rPr>
        <w:t xml:space="preserve"> la proposition faite par Oman d’accueillir sa 15</w:t>
      </w:r>
      <w:r w:rsidRPr="00DE27E0">
        <w:rPr>
          <w:rFonts w:cs="Arial"/>
          <w:szCs w:val="22"/>
          <w:vertAlign w:val="superscript"/>
        </w:rPr>
        <w:t>e</w:t>
      </w:r>
      <w:r w:rsidRPr="00DE27E0">
        <w:rPr>
          <w:rFonts w:cs="Arial"/>
          <w:szCs w:val="22"/>
        </w:rPr>
        <w:t> session en 2026.</w:t>
      </w:r>
    </w:p>
    <w:p w14:paraId="1548A09E" w14:textId="0F83CF3F" w:rsidR="006E2A83" w:rsidRPr="006C07E7" w:rsidRDefault="00DE27E0" w:rsidP="000B7D9F">
      <w:pPr>
        <w:pStyle w:val="Marge"/>
        <w:rPr>
          <w:rFonts w:asciiTheme="minorBidi" w:hAnsiTheme="minorBidi" w:cstheme="minorBidi"/>
          <w:u w:val="single"/>
        </w:rPr>
      </w:pPr>
      <w:r w:rsidRPr="00DE27E0">
        <w:rPr>
          <w:rFonts w:cs="Arial"/>
          <w:szCs w:val="22"/>
        </w:rPr>
        <w:t>2</w:t>
      </w:r>
      <w:r w:rsidR="00891290">
        <w:rPr>
          <w:rFonts w:cs="Arial"/>
          <w:szCs w:val="22"/>
        </w:rPr>
        <w:t>5</w:t>
      </w:r>
      <w:r w:rsidRPr="00DE27E0">
        <w:rPr>
          <w:rFonts w:cs="Arial"/>
          <w:szCs w:val="22"/>
        </w:rPr>
        <w:t>.</w:t>
      </w:r>
      <w:r w:rsidRPr="00DE27E0">
        <w:rPr>
          <w:rFonts w:cs="Arial"/>
          <w:szCs w:val="22"/>
        </w:rPr>
        <w:tab/>
        <w:t xml:space="preserve">Le GIC </w:t>
      </w:r>
      <w:r w:rsidRPr="00693B81">
        <w:rPr>
          <w:rFonts w:cs="Arial"/>
          <w:b/>
          <w:bCs/>
          <w:szCs w:val="22"/>
        </w:rPr>
        <w:t>a remercié</w:t>
      </w:r>
      <w:r w:rsidRPr="00DE27E0">
        <w:rPr>
          <w:rFonts w:cs="Arial"/>
          <w:szCs w:val="22"/>
        </w:rPr>
        <w:t xml:space="preserve"> le Gouvernement de l’Indonésie de son excellent accueil pour sa 13</w:t>
      </w:r>
      <w:r w:rsidRPr="00DE27E0">
        <w:rPr>
          <w:rFonts w:cs="Arial"/>
          <w:szCs w:val="22"/>
          <w:vertAlign w:val="superscript"/>
        </w:rPr>
        <w:t>e</w:t>
      </w:r>
      <w:r w:rsidRPr="00DE27E0">
        <w:rPr>
          <w:rFonts w:cs="Arial"/>
          <w:szCs w:val="22"/>
        </w:rPr>
        <w:t> session.</w:t>
      </w:r>
    </w:p>
    <w:sectPr w:rsidR="006E2A83" w:rsidRPr="006C07E7" w:rsidSect="003F7186">
      <w:headerReference w:type="even" r:id="rId9"/>
      <w:headerReference w:type="default" r:id="rId10"/>
      <w:headerReference w:type="first" r:id="rId1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333F" w14:textId="77777777" w:rsidR="00481F24" w:rsidRDefault="00481F24">
      <w:r>
        <w:separator/>
      </w:r>
    </w:p>
  </w:endnote>
  <w:endnote w:type="continuationSeparator" w:id="0">
    <w:p w14:paraId="025D02E7" w14:textId="77777777" w:rsidR="00481F24" w:rsidRDefault="0048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1D40" w14:textId="77777777" w:rsidR="00481F24" w:rsidRDefault="00481F24">
      <w:r>
        <w:separator/>
      </w:r>
    </w:p>
  </w:footnote>
  <w:footnote w:type="continuationSeparator" w:id="0">
    <w:p w14:paraId="491E0367" w14:textId="77777777" w:rsidR="00481F24" w:rsidRDefault="0048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6F0" w14:textId="4F461128" w:rsidR="00EE10D0" w:rsidRPr="00DE27E0" w:rsidRDefault="006518D1" w:rsidP="00EE10D0">
    <w:pPr>
      <w:pStyle w:val="En-tte"/>
      <w:rPr>
        <w:rFonts w:cs="Arial"/>
        <w:color w:val="000000"/>
        <w:sz w:val="20"/>
        <w:szCs w:val="20"/>
      </w:rPr>
    </w:pPr>
    <w:r w:rsidRPr="006518D1">
      <w:t>ICG/IOTWMS-XIII/3s</w:t>
    </w:r>
  </w:p>
  <w:p w14:paraId="751C66BE" w14:textId="77777777" w:rsidR="00020AA1" w:rsidRPr="006842FA" w:rsidRDefault="00E26B0D" w:rsidP="00746B89">
    <w:pPr>
      <w:pStyle w:val="En-tte"/>
      <w:tabs>
        <w:tab w:val="clear" w:pos="8306"/>
      </w:tabs>
      <w:rPr>
        <w:rFonts w:cs="Arial"/>
        <w:sz w:val="20"/>
        <w:szCs w:val="20"/>
      </w:rPr>
    </w:pP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7DF58FBB" w:rsidR="00020AA1" w:rsidRPr="00DE27E0" w:rsidRDefault="006518D1" w:rsidP="006518D1">
    <w:pPr>
      <w:pStyle w:val="En-tte"/>
      <w:ind w:left="7513"/>
      <w:rPr>
        <w:rFonts w:cs="Arial"/>
        <w:color w:val="000000"/>
        <w:sz w:val="20"/>
        <w:szCs w:val="20"/>
      </w:rPr>
    </w:pPr>
    <w:r w:rsidRPr="006518D1">
      <w:t>ICG/IOTWMS-XIII/3s</w:t>
    </w:r>
    <w:r w:rsidR="00732C1F" w:rsidRPr="00DE27E0">
      <w:rPr>
        <w:rFonts w:cs="Arial"/>
        <w:color w:val="000000"/>
        <w:sz w:val="20"/>
        <w:szCs w:val="20"/>
      </w:rPr>
      <w:br/>
    </w:r>
    <w:r w:rsidR="00E26B0D" w:rsidRPr="00732C1F">
      <w:rPr>
        <w:rFonts w:cs="Arial"/>
      </w:rPr>
      <w:t>page </w:t>
    </w:r>
    <w:r w:rsidR="00E26B0D" w:rsidRPr="00732C1F">
      <w:rPr>
        <w:rStyle w:val="Numrodepage"/>
        <w:rFonts w:cs="Arial"/>
      </w:rPr>
      <w:fldChar w:fldCharType="begin"/>
    </w:r>
    <w:r w:rsidR="00E26B0D" w:rsidRPr="00732C1F">
      <w:rPr>
        <w:rStyle w:val="Numrodepage"/>
        <w:rFonts w:cs="Arial"/>
      </w:rPr>
      <w:instrText xml:space="preserve"> PAGE </w:instrText>
    </w:r>
    <w:r w:rsidR="00E26B0D" w:rsidRPr="00732C1F">
      <w:rPr>
        <w:rStyle w:val="Numrodepage"/>
        <w:rFonts w:cs="Arial"/>
      </w:rPr>
      <w:fldChar w:fldCharType="separate"/>
    </w:r>
    <w:r w:rsidR="00E26B0D" w:rsidRPr="00732C1F">
      <w:rPr>
        <w:rStyle w:val="Numrodepage"/>
        <w:rFonts w:cs="Arial"/>
        <w:noProof/>
      </w:rPr>
      <w:t>3</w:t>
    </w:r>
    <w:r w:rsidR="00E26B0D" w:rsidRPr="00732C1F">
      <w:rPr>
        <w:rStyle w:val="Numrodepage"/>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D5F0" w14:textId="77777777" w:rsidR="000B7D9F" w:rsidRDefault="000B7D9F" w:rsidP="000B7D9F">
    <w:pPr>
      <w:pStyle w:val="En-tte"/>
    </w:pPr>
    <w:r>
      <w:rPr>
        <w:noProof/>
      </w:rPr>
      <mc:AlternateContent>
        <mc:Choice Requires="wps">
          <w:drawing>
            <wp:anchor distT="45720" distB="45720" distL="114300" distR="114300" simplePos="0" relativeHeight="251660288" behindDoc="0" locked="0" layoutInCell="1" allowOverlap="1" wp14:anchorId="6FC92F07" wp14:editId="71657501">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383A71C1" w14:textId="77777777" w:rsidR="000B7D9F" w:rsidRPr="002A5D14" w:rsidRDefault="000B7D9F" w:rsidP="000B7D9F">
                          <w:pPr>
                            <w:pStyle w:val="Marge"/>
                            <w:tabs>
                              <w:tab w:val="left" w:pos="6237"/>
                              <w:tab w:val="left" w:pos="7088"/>
                            </w:tabs>
                            <w:spacing w:after="0"/>
                            <w:rPr>
                              <w:rFonts w:cs="Arial"/>
                              <w:b/>
                              <w:sz w:val="36"/>
                              <w:szCs w:val="36"/>
                            </w:rPr>
                          </w:pPr>
                          <w:r w:rsidRPr="00DE27E0">
                            <w:rPr>
                              <w:rFonts w:cs="Arial"/>
                              <w:b/>
                              <w:sz w:val="36"/>
                              <w:szCs w:val="36"/>
                            </w:rPr>
                            <w:t>ICG/IOTWMS-XIII/3s</w:t>
                          </w:r>
                        </w:p>
                        <w:p w14:paraId="352AD4AD" w14:textId="77777777" w:rsidR="000B7D9F" w:rsidRPr="002A5D14" w:rsidRDefault="000B7D9F" w:rsidP="000B7D9F">
                          <w:pPr>
                            <w:pStyle w:val="Marge"/>
                            <w:tabs>
                              <w:tab w:val="left" w:pos="6237"/>
                            </w:tabs>
                            <w:spacing w:after="0"/>
                            <w:rPr>
                              <w:rFonts w:cs="Arial"/>
                              <w:szCs w:val="22"/>
                            </w:rPr>
                          </w:pPr>
                          <w:r w:rsidRPr="002A5D14">
                            <w:rPr>
                              <w:rFonts w:cs="Arial"/>
                              <w:szCs w:val="22"/>
                            </w:rPr>
                            <w:t xml:space="preserve">Paris, le </w:t>
                          </w:r>
                          <w:r>
                            <w:rPr>
                              <w:rFonts w:cs="Arial"/>
                              <w:szCs w:val="22"/>
                            </w:rPr>
                            <w:t>23 mai</w:t>
                          </w:r>
                          <w:r w:rsidRPr="002A5D14">
                            <w:rPr>
                              <w:rFonts w:cs="Arial"/>
                              <w:szCs w:val="22"/>
                            </w:rPr>
                            <w:t xml:space="preserve"> 202</w:t>
                          </w:r>
                          <w:r>
                            <w:rPr>
                              <w:rFonts w:cs="Arial"/>
                              <w:szCs w:val="22"/>
                            </w:rPr>
                            <w:t>3</w:t>
                          </w:r>
                          <w:r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92F07"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383A71C1" w14:textId="77777777" w:rsidR="000B7D9F" w:rsidRPr="002A5D14" w:rsidRDefault="000B7D9F" w:rsidP="000B7D9F">
                    <w:pPr>
                      <w:pStyle w:val="Marge"/>
                      <w:tabs>
                        <w:tab w:val="left" w:pos="6237"/>
                        <w:tab w:val="left" w:pos="7088"/>
                      </w:tabs>
                      <w:spacing w:after="0"/>
                      <w:rPr>
                        <w:rFonts w:cs="Arial"/>
                        <w:b/>
                        <w:sz w:val="36"/>
                        <w:szCs w:val="36"/>
                      </w:rPr>
                    </w:pPr>
                    <w:r w:rsidRPr="00DE27E0">
                      <w:rPr>
                        <w:rFonts w:cs="Arial"/>
                        <w:b/>
                        <w:sz w:val="36"/>
                        <w:szCs w:val="36"/>
                      </w:rPr>
                      <w:t>ICG/IOTWMS-XIII/3s</w:t>
                    </w:r>
                  </w:p>
                  <w:p w14:paraId="352AD4AD" w14:textId="77777777" w:rsidR="000B7D9F" w:rsidRPr="002A5D14" w:rsidRDefault="000B7D9F" w:rsidP="000B7D9F">
                    <w:pPr>
                      <w:pStyle w:val="Marge"/>
                      <w:tabs>
                        <w:tab w:val="left" w:pos="6237"/>
                      </w:tabs>
                      <w:spacing w:after="0"/>
                      <w:rPr>
                        <w:rFonts w:cs="Arial"/>
                        <w:szCs w:val="22"/>
                      </w:rPr>
                    </w:pPr>
                    <w:r w:rsidRPr="002A5D14">
                      <w:rPr>
                        <w:rFonts w:cs="Arial"/>
                        <w:szCs w:val="22"/>
                      </w:rPr>
                      <w:t xml:space="preserve">Paris, le </w:t>
                    </w:r>
                    <w:r>
                      <w:rPr>
                        <w:rFonts w:cs="Arial"/>
                        <w:szCs w:val="22"/>
                      </w:rPr>
                      <w:t>23 mai</w:t>
                    </w:r>
                    <w:r w:rsidRPr="002A5D14">
                      <w:rPr>
                        <w:rFonts w:cs="Arial"/>
                        <w:szCs w:val="22"/>
                      </w:rPr>
                      <w:t xml:space="preserve"> 202</w:t>
                    </w:r>
                    <w:r>
                      <w:rPr>
                        <w:rFonts w:cs="Arial"/>
                        <w:szCs w:val="22"/>
                      </w:rPr>
                      <w:t>3</w:t>
                    </w:r>
                    <w:r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FF473E4" wp14:editId="400EE55E">
          <wp:simplePos x="0" y="0"/>
          <wp:positionH relativeFrom="column">
            <wp:posOffset>-103201</wp:posOffset>
          </wp:positionH>
          <wp:positionV relativeFrom="paragraph">
            <wp:posOffset>254000</wp:posOffset>
          </wp:positionV>
          <wp:extent cx="1578610" cy="1047115"/>
          <wp:effectExtent l="0" t="0" r="2540" b="635"/>
          <wp:wrapNone/>
          <wp:docPr id="1670577194" name="Image 167057719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p w14:paraId="276B2736" w14:textId="4D11A02B" w:rsidR="00020AA1" w:rsidRPr="000B7D9F" w:rsidRDefault="0098142F" w:rsidP="000B7D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4B302A"/>
    <w:multiLevelType w:val="hybridMultilevel"/>
    <w:tmpl w:val="0AFE031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8"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7"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8"/>
  </w:num>
  <w:num w:numId="2" w16cid:durableId="1267154687">
    <w:abstractNumId w:val="8"/>
  </w:num>
  <w:num w:numId="3" w16cid:durableId="963846369">
    <w:abstractNumId w:val="4"/>
  </w:num>
  <w:num w:numId="4" w16cid:durableId="773785167">
    <w:abstractNumId w:val="21"/>
  </w:num>
  <w:num w:numId="5" w16cid:durableId="1013070056">
    <w:abstractNumId w:val="10"/>
  </w:num>
  <w:num w:numId="6" w16cid:durableId="1339650376">
    <w:abstractNumId w:val="12"/>
  </w:num>
  <w:num w:numId="7" w16cid:durableId="1812166786">
    <w:abstractNumId w:val="25"/>
  </w:num>
  <w:num w:numId="8" w16cid:durableId="1854416480">
    <w:abstractNumId w:val="18"/>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4"/>
  </w:num>
  <w:num w:numId="14" w16cid:durableId="579562946">
    <w:abstractNumId w:val="1"/>
  </w:num>
  <w:num w:numId="15" w16cid:durableId="316300898">
    <w:abstractNumId w:val="13"/>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7"/>
  </w:num>
  <w:num w:numId="22" w16cid:durableId="1691495095">
    <w:abstractNumId w:val="6"/>
  </w:num>
  <w:num w:numId="23" w16cid:durableId="932591313">
    <w:abstractNumId w:val="28"/>
  </w:num>
  <w:num w:numId="24" w16cid:durableId="2087409397">
    <w:abstractNumId w:val="3"/>
  </w:num>
  <w:num w:numId="25" w16cid:durableId="1493058797">
    <w:abstractNumId w:val="23"/>
  </w:num>
  <w:num w:numId="26" w16cid:durableId="38868474">
    <w:abstractNumId w:val="7"/>
  </w:num>
  <w:num w:numId="27" w16cid:durableId="550772872">
    <w:abstractNumId w:val="22"/>
  </w:num>
  <w:num w:numId="28" w16cid:durableId="1107196363">
    <w:abstractNumId w:val="11"/>
  </w:num>
  <w:num w:numId="29" w16cid:durableId="888885141">
    <w:abstractNumId w:val="29"/>
  </w:num>
  <w:num w:numId="30" w16cid:durableId="321665268">
    <w:abstractNumId w:val="15"/>
  </w:num>
  <w:num w:numId="31" w16cid:durableId="1412461504">
    <w:abstractNumId w:val="24"/>
  </w:num>
  <w:num w:numId="32" w16cid:durableId="431317579">
    <w:abstractNumId w:val="9"/>
  </w:num>
  <w:num w:numId="33" w16cid:durableId="1526167761">
    <w:abstractNumId w:val="26"/>
  </w:num>
  <w:num w:numId="34" w16cid:durableId="1911691351">
    <w:abstractNumId w:val="27"/>
  </w:num>
  <w:num w:numId="35" w16cid:durableId="1782336897">
    <w:abstractNumId w:val="19"/>
  </w:num>
  <w:num w:numId="36" w16cid:durableId="1911962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6"/>
  </w:num>
  <w:num w:numId="39" w16cid:durableId="2085949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723F0"/>
    <w:rsid w:val="000A58D3"/>
    <w:rsid w:val="000B0E4E"/>
    <w:rsid w:val="000B7D9F"/>
    <w:rsid w:val="000D2E63"/>
    <w:rsid w:val="000D39FC"/>
    <w:rsid w:val="000D4E4C"/>
    <w:rsid w:val="000E3C91"/>
    <w:rsid w:val="000E7AEA"/>
    <w:rsid w:val="000F1DBA"/>
    <w:rsid w:val="000F258B"/>
    <w:rsid w:val="00100A35"/>
    <w:rsid w:val="0011081B"/>
    <w:rsid w:val="0011114C"/>
    <w:rsid w:val="00131F73"/>
    <w:rsid w:val="0017170A"/>
    <w:rsid w:val="00177B08"/>
    <w:rsid w:val="001912E2"/>
    <w:rsid w:val="00195C2A"/>
    <w:rsid w:val="001A6E27"/>
    <w:rsid w:val="001C6211"/>
    <w:rsid w:val="001E11D9"/>
    <w:rsid w:val="001E413E"/>
    <w:rsid w:val="001F157F"/>
    <w:rsid w:val="001F1F04"/>
    <w:rsid w:val="001F5D62"/>
    <w:rsid w:val="00201171"/>
    <w:rsid w:val="00213953"/>
    <w:rsid w:val="00234C33"/>
    <w:rsid w:val="00261E65"/>
    <w:rsid w:val="002750C1"/>
    <w:rsid w:val="0029264C"/>
    <w:rsid w:val="002B4B18"/>
    <w:rsid w:val="002D2464"/>
    <w:rsid w:val="002D2C1D"/>
    <w:rsid w:val="002E70A1"/>
    <w:rsid w:val="00310E5D"/>
    <w:rsid w:val="00311ECE"/>
    <w:rsid w:val="003210F7"/>
    <w:rsid w:val="0032163E"/>
    <w:rsid w:val="003259B7"/>
    <w:rsid w:val="0034355C"/>
    <w:rsid w:val="003464E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5D61"/>
    <w:rsid w:val="004573F3"/>
    <w:rsid w:val="00460129"/>
    <w:rsid w:val="004618DE"/>
    <w:rsid w:val="00463EA2"/>
    <w:rsid w:val="00481F24"/>
    <w:rsid w:val="00484032"/>
    <w:rsid w:val="00494C58"/>
    <w:rsid w:val="00494E3A"/>
    <w:rsid w:val="004A327F"/>
    <w:rsid w:val="004B08C6"/>
    <w:rsid w:val="004C1526"/>
    <w:rsid w:val="004C16A6"/>
    <w:rsid w:val="004C1D3F"/>
    <w:rsid w:val="004C3E47"/>
    <w:rsid w:val="004D05D2"/>
    <w:rsid w:val="004D0F08"/>
    <w:rsid w:val="00503F9D"/>
    <w:rsid w:val="00512E11"/>
    <w:rsid w:val="00513180"/>
    <w:rsid w:val="005169D0"/>
    <w:rsid w:val="00533732"/>
    <w:rsid w:val="00596B7E"/>
    <w:rsid w:val="005B5EF5"/>
    <w:rsid w:val="005C5DC3"/>
    <w:rsid w:val="005C7D01"/>
    <w:rsid w:val="005D54DD"/>
    <w:rsid w:val="005D6192"/>
    <w:rsid w:val="005E79A6"/>
    <w:rsid w:val="00623957"/>
    <w:rsid w:val="00632A9F"/>
    <w:rsid w:val="006518D1"/>
    <w:rsid w:val="00652AA9"/>
    <w:rsid w:val="00655725"/>
    <w:rsid w:val="00673F0C"/>
    <w:rsid w:val="006835E4"/>
    <w:rsid w:val="0068572F"/>
    <w:rsid w:val="0068583F"/>
    <w:rsid w:val="00693B81"/>
    <w:rsid w:val="00695BA3"/>
    <w:rsid w:val="0069684F"/>
    <w:rsid w:val="006A3031"/>
    <w:rsid w:val="006C07E7"/>
    <w:rsid w:val="006C2C65"/>
    <w:rsid w:val="006C4973"/>
    <w:rsid w:val="006C5D80"/>
    <w:rsid w:val="006D052A"/>
    <w:rsid w:val="006D36DB"/>
    <w:rsid w:val="006D6768"/>
    <w:rsid w:val="006E2A83"/>
    <w:rsid w:val="00732C1F"/>
    <w:rsid w:val="00737E04"/>
    <w:rsid w:val="007449EA"/>
    <w:rsid w:val="00751056"/>
    <w:rsid w:val="00753AFA"/>
    <w:rsid w:val="00755CED"/>
    <w:rsid w:val="0076217F"/>
    <w:rsid w:val="0076594C"/>
    <w:rsid w:val="007701CE"/>
    <w:rsid w:val="00773D5C"/>
    <w:rsid w:val="00783CE9"/>
    <w:rsid w:val="00791216"/>
    <w:rsid w:val="007A3E25"/>
    <w:rsid w:val="007A45CC"/>
    <w:rsid w:val="007A49EB"/>
    <w:rsid w:val="007A7EC6"/>
    <w:rsid w:val="007C2E52"/>
    <w:rsid w:val="007C403E"/>
    <w:rsid w:val="007D593C"/>
    <w:rsid w:val="007E2085"/>
    <w:rsid w:val="007E6082"/>
    <w:rsid w:val="007F2BA5"/>
    <w:rsid w:val="007F66FF"/>
    <w:rsid w:val="00814BE9"/>
    <w:rsid w:val="00817C9A"/>
    <w:rsid w:val="00835BC3"/>
    <w:rsid w:val="0085153D"/>
    <w:rsid w:val="008608E4"/>
    <w:rsid w:val="008735A8"/>
    <w:rsid w:val="00873BED"/>
    <w:rsid w:val="008852E4"/>
    <w:rsid w:val="00891290"/>
    <w:rsid w:val="008A6802"/>
    <w:rsid w:val="008C24D0"/>
    <w:rsid w:val="008C59A5"/>
    <w:rsid w:val="00902342"/>
    <w:rsid w:val="00904C98"/>
    <w:rsid w:val="009053BE"/>
    <w:rsid w:val="009063B7"/>
    <w:rsid w:val="00907D3B"/>
    <w:rsid w:val="009173FE"/>
    <w:rsid w:val="00920B40"/>
    <w:rsid w:val="00932970"/>
    <w:rsid w:val="00972BBF"/>
    <w:rsid w:val="0098415A"/>
    <w:rsid w:val="00986FDD"/>
    <w:rsid w:val="009E53F6"/>
    <w:rsid w:val="009E6CEB"/>
    <w:rsid w:val="009E7B45"/>
    <w:rsid w:val="00A00B63"/>
    <w:rsid w:val="00A23875"/>
    <w:rsid w:val="00A33021"/>
    <w:rsid w:val="00A36041"/>
    <w:rsid w:val="00A44962"/>
    <w:rsid w:val="00A70F48"/>
    <w:rsid w:val="00A82880"/>
    <w:rsid w:val="00B143FE"/>
    <w:rsid w:val="00B243F2"/>
    <w:rsid w:val="00B2519D"/>
    <w:rsid w:val="00B331B5"/>
    <w:rsid w:val="00B33A92"/>
    <w:rsid w:val="00B366AC"/>
    <w:rsid w:val="00B54018"/>
    <w:rsid w:val="00B54421"/>
    <w:rsid w:val="00B557FF"/>
    <w:rsid w:val="00B80382"/>
    <w:rsid w:val="00B872CA"/>
    <w:rsid w:val="00BC1245"/>
    <w:rsid w:val="00BD5A86"/>
    <w:rsid w:val="00BE3F20"/>
    <w:rsid w:val="00C05FC8"/>
    <w:rsid w:val="00C108A8"/>
    <w:rsid w:val="00C138E0"/>
    <w:rsid w:val="00C3501E"/>
    <w:rsid w:val="00C41845"/>
    <w:rsid w:val="00C47585"/>
    <w:rsid w:val="00C84B6A"/>
    <w:rsid w:val="00C91036"/>
    <w:rsid w:val="00C97B94"/>
    <w:rsid w:val="00CA1880"/>
    <w:rsid w:val="00CA38AC"/>
    <w:rsid w:val="00CA48CF"/>
    <w:rsid w:val="00CC085D"/>
    <w:rsid w:val="00CC3A67"/>
    <w:rsid w:val="00CC501A"/>
    <w:rsid w:val="00CD6FC9"/>
    <w:rsid w:val="00CE0BA7"/>
    <w:rsid w:val="00CE5093"/>
    <w:rsid w:val="00CE7C2F"/>
    <w:rsid w:val="00D23B0B"/>
    <w:rsid w:val="00D23EDD"/>
    <w:rsid w:val="00D302AD"/>
    <w:rsid w:val="00D4515E"/>
    <w:rsid w:val="00D76292"/>
    <w:rsid w:val="00D86646"/>
    <w:rsid w:val="00DA71B9"/>
    <w:rsid w:val="00DC1F0C"/>
    <w:rsid w:val="00DC7F96"/>
    <w:rsid w:val="00DD53BA"/>
    <w:rsid w:val="00DD6E32"/>
    <w:rsid w:val="00DE27E0"/>
    <w:rsid w:val="00DF1829"/>
    <w:rsid w:val="00E174A3"/>
    <w:rsid w:val="00E26B0D"/>
    <w:rsid w:val="00E55674"/>
    <w:rsid w:val="00E55EEC"/>
    <w:rsid w:val="00E5717B"/>
    <w:rsid w:val="00E621C7"/>
    <w:rsid w:val="00E62C51"/>
    <w:rsid w:val="00E65D5E"/>
    <w:rsid w:val="00E71508"/>
    <w:rsid w:val="00E71F05"/>
    <w:rsid w:val="00E80CF6"/>
    <w:rsid w:val="00E912CA"/>
    <w:rsid w:val="00EA0B5B"/>
    <w:rsid w:val="00EB3895"/>
    <w:rsid w:val="00ED39E0"/>
    <w:rsid w:val="00EF7650"/>
    <w:rsid w:val="00F017CE"/>
    <w:rsid w:val="00F04FBD"/>
    <w:rsid w:val="00F077E7"/>
    <w:rsid w:val="00F078B6"/>
    <w:rsid w:val="00F70E63"/>
    <w:rsid w:val="00F85B2D"/>
    <w:rsid w:val="00F90CD8"/>
    <w:rsid w:val="00F92310"/>
    <w:rsid w:val="00F94805"/>
    <w:rsid w:val="00F97E19"/>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36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8500</Characters>
  <Application>Microsoft Office Word</Application>
  <DocSecurity>0</DocSecurity>
  <Lines>130</Lines>
  <Paragraphs>47</Paragraphs>
  <ScaleCrop>false</ScaleCrop>
  <HeadingPairs>
    <vt:vector size="2" baseType="variant">
      <vt:variant>
        <vt:lpstr>Titre</vt:lpstr>
      </vt:variant>
      <vt:variant>
        <vt:i4>1</vt:i4>
      </vt:variant>
    </vt:vector>
  </HeadingPairs>
  <TitlesOfParts>
    <vt:vector size="1" baseType="lpstr">
      <vt:lpstr>Treizième session du Groupe intergouvernemental de coordination du Système d’alerte aux tsunamis et de mitigation dans l’océan Indien - Bali (Indonésie), 28 novembre – 1er décembre 2022‎</vt:lpstr>
    </vt:vector>
  </TitlesOfParts>
  <Company>Unesco</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Treizième session du Groupe intergouvernemental de coordination du Système d’alerte aux tsunamis et de mitigation dans l’océan Indien - Bali (Indonésie), 28 novembre – 1er décembre 2022‎</dc:title>
  <dc:subject>ICG/IOTWMS-XIII/3s</dc:subject>
  <dc:creator>as.machu@unesco.org</dc:creator>
  <cp:keywords/>
  <dc:description/>
  <cp:lastModifiedBy>Obradovic, Aleksandra</cp:lastModifiedBy>
  <cp:revision>3</cp:revision>
  <cp:lastPrinted>2012-08-02T14:52:00Z</cp:lastPrinted>
  <dcterms:created xsi:type="dcterms:W3CDTF">2023-06-01T12:45:00Z</dcterms:created>
  <dcterms:modified xsi:type="dcterms:W3CDTF">2023-06-01T12:45:00Z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202301778</vt:lpwstr>
  </property>
</Properties>
</file>