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Pr="004C11B1" w:rsidRDefault="00EB3895" w:rsidP="00EB3895">
      <w:pPr>
        <w:pStyle w:val="Heading1"/>
        <w:spacing w:before="480"/>
        <w:jc w:val="left"/>
      </w:pPr>
    </w:p>
    <w:p w14:paraId="748272EF" w14:textId="435004E9" w:rsidR="00EB3895" w:rsidRPr="004C11B1" w:rsidRDefault="00EB3895" w:rsidP="00EB3895">
      <w:pPr>
        <w:pStyle w:val="Heading1"/>
        <w:spacing w:before="1800" w:after="0"/>
      </w:pPr>
      <w:r w:rsidRPr="004C11B1">
        <w:t xml:space="preserve">COMMISSION OCÉANOGRAPHIQUE </w:t>
      </w:r>
      <w:r w:rsidR="00DA71B9" w:rsidRPr="004C11B1">
        <w:t>I</w:t>
      </w:r>
      <w:r w:rsidRPr="004C11B1">
        <w:t>NTERGOUVERNEMENTALE</w:t>
      </w:r>
    </w:p>
    <w:p w14:paraId="0F1DC779" w14:textId="4A8CA744" w:rsidR="00EB3895" w:rsidRPr="004C11B1" w:rsidRDefault="00EB3895" w:rsidP="00EB3895">
      <w:pPr>
        <w:jc w:val="center"/>
        <w:rPr>
          <w:bCs/>
        </w:rPr>
      </w:pPr>
      <w:r w:rsidRPr="004C11B1">
        <w:rPr>
          <w:bCs/>
        </w:rPr>
        <w:t>(</w:t>
      </w:r>
      <w:proofErr w:type="gramStart"/>
      <w:r w:rsidRPr="004C11B1">
        <w:rPr>
          <w:bCs/>
        </w:rPr>
        <w:t>de</w:t>
      </w:r>
      <w:proofErr w:type="gramEnd"/>
      <w:r w:rsidRPr="004C11B1">
        <w:rPr>
          <w:bCs/>
        </w:rPr>
        <w:t xml:space="preserve"> l</w:t>
      </w:r>
      <w:r w:rsidR="00C3317D" w:rsidRPr="004C11B1">
        <w:rPr>
          <w:bCs/>
        </w:rPr>
        <w:t>’</w:t>
      </w:r>
      <w:r w:rsidRPr="004C11B1">
        <w:rPr>
          <w:bCs/>
        </w:rPr>
        <w:t>UNESCO)</w:t>
      </w:r>
    </w:p>
    <w:p w14:paraId="5B0D4193" w14:textId="1D52EACA" w:rsidR="00EB3895" w:rsidRPr="004C11B1" w:rsidRDefault="000723F0" w:rsidP="00EB3895">
      <w:pPr>
        <w:spacing w:before="240"/>
        <w:jc w:val="center"/>
        <w:rPr>
          <w:b/>
        </w:rPr>
      </w:pPr>
      <w:r w:rsidRPr="004C11B1">
        <w:rPr>
          <w:b/>
        </w:rPr>
        <w:t>Trente-deuxi</w:t>
      </w:r>
      <w:r w:rsidR="00EB3895" w:rsidRPr="004C11B1">
        <w:rPr>
          <w:b/>
        </w:rPr>
        <w:t xml:space="preserve">ème session </w:t>
      </w:r>
      <w:r w:rsidRPr="004C11B1">
        <w:rPr>
          <w:b/>
        </w:rPr>
        <w:t>de l</w:t>
      </w:r>
      <w:r w:rsidR="00C3317D" w:rsidRPr="004C11B1">
        <w:rPr>
          <w:b/>
        </w:rPr>
        <w:t>’</w:t>
      </w:r>
      <w:r w:rsidRPr="004C11B1">
        <w:rPr>
          <w:b/>
        </w:rPr>
        <w:t>Assemblée</w:t>
      </w:r>
      <w:r w:rsidR="00EB3895" w:rsidRPr="004C11B1">
        <w:rPr>
          <w:b/>
        </w:rPr>
        <w:br/>
      </w:r>
      <w:r w:rsidR="00EB3895" w:rsidRPr="004C11B1">
        <w:rPr>
          <w:bCs/>
        </w:rPr>
        <w:t xml:space="preserve">UNESCO, Paris, </w:t>
      </w:r>
      <w:r w:rsidRPr="004C11B1">
        <w:rPr>
          <w:bCs/>
        </w:rPr>
        <w:t>21-30</w:t>
      </w:r>
      <w:r w:rsidR="00421E71" w:rsidRPr="004C11B1">
        <w:rPr>
          <w:bCs/>
        </w:rPr>
        <w:t> </w:t>
      </w:r>
      <w:r w:rsidR="00EB3895" w:rsidRPr="004C11B1">
        <w:rPr>
          <w:bCs/>
        </w:rPr>
        <w:t>juin 202</w:t>
      </w:r>
      <w:r w:rsidRPr="004C11B1">
        <w:rPr>
          <w:bCs/>
        </w:rPr>
        <w:t>3</w:t>
      </w:r>
    </w:p>
    <w:p w14:paraId="607D1C93" w14:textId="4825ADD3" w:rsidR="00EB3895" w:rsidRPr="004C11B1" w:rsidRDefault="005C7D01" w:rsidP="005C7D01">
      <w:pPr>
        <w:pStyle w:val="Heading1"/>
        <w:spacing w:before="360" w:after="360"/>
        <w:jc w:val="left"/>
        <w:rPr>
          <w:rFonts w:cs="Arial"/>
          <w:b w:val="0"/>
          <w:bCs w:val="0"/>
          <w:u w:val="single"/>
        </w:rPr>
      </w:pPr>
      <w:r w:rsidRPr="004C11B1">
        <w:rPr>
          <w:rFonts w:cs="Arial"/>
          <w:b w:val="0"/>
          <w:bCs w:val="0"/>
          <w:u w:val="single"/>
        </w:rPr>
        <w:t>Points</w:t>
      </w:r>
      <w:r w:rsidR="00421E71" w:rsidRPr="004C11B1">
        <w:rPr>
          <w:rFonts w:cs="Arial"/>
          <w:b w:val="0"/>
          <w:bCs w:val="0"/>
          <w:u w:val="single"/>
        </w:rPr>
        <w:t> </w:t>
      </w:r>
      <w:r w:rsidR="00C3317D" w:rsidRPr="004C11B1">
        <w:rPr>
          <w:rFonts w:cs="Arial"/>
          <w:u w:val="single"/>
        </w:rPr>
        <w:t>4</w:t>
      </w:r>
      <w:r w:rsidRPr="004C11B1">
        <w:rPr>
          <w:rFonts w:cs="Arial"/>
          <w:u w:val="single"/>
        </w:rPr>
        <w:t>.</w:t>
      </w:r>
      <w:r w:rsidR="00263FAE" w:rsidRPr="004C11B1">
        <w:rPr>
          <w:rFonts w:cs="Arial"/>
          <w:u w:val="single"/>
        </w:rPr>
        <w:t>5</w:t>
      </w:r>
      <w:r w:rsidRPr="004C11B1">
        <w:rPr>
          <w:rFonts w:cs="Arial"/>
          <w:b w:val="0"/>
          <w:bCs w:val="0"/>
          <w:u w:val="single"/>
        </w:rPr>
        <w:t xml:space="preserve"> de l</w:t>
      </w:r>
      <w:r w:rsidR="00C3317D" w:rsidRPr="004C11B1">
        <w:rPr>
          <w:rFonts w:cs="Arial"/>
          <w:b w:val="0"/>
          <w:bCs w:val="0"/>
          <w:u w:val="single"/>
        </w:rPr>
        <w:t>’</w:t>
      </w:r>
      <w:r w:rsidRPr="004C11B1">
        <w:rPr>
          <w:rFonts w:cs="Arial"/>
          <w:b w:val="0"/>
          <w:bCs w:val="0"/>
          <w:u w:val="single"/>
        </w:rPr>
        <w:t>ordre du jour provisoire</w:t>
      </w:r>
    </w:p>
    <w:p w14:paraId="4B936D7A" w14:textId="1DD7FDC4" w:rsidR="00263FAE" w:rsidRPr="004C11B1" w:rsidRDefault="00263FAE" w:rsidP="00257273">
      <w:pPr>
        <w:pStyle w:val="Heading3"/>
        <w:tabs>
          <w:tab w:val="clear" w:pos="567"/>
        </w:tabs>
        <w:ind w:left="0" w:firstLine="0"/>
        <w:jc w:val="center"/>
      </w:pPr>
      <w:r w:rsidRPr="004C11B1">
        <w:t>RAPPORT FINAL DU GROUPE DE TRAVAIL INTERSESSION</w:t>
      </w:r>
      <w:r w:rsidR="00F07CCD" w:rsidRPr="004C11B1">
        <w:t>S</w:t>
      </w:r>
      <w:r w:rsidRPr="004C11B1">
        <w:t xml:space="preserve"> À COMPOSITION </w:t>
      </w:r>
      <w:r w:rsidR="00257273" w:rsidRPr="004C11B1">
        <w:br/>
      </w:r>
      <w:r w:rsidRPr="004C11B1">
        <w:t xml:space="preserve">NON LIMITÉE SUR LE STATUT DU COMITÉ RÉGIONAL DE LA COI </w:t>
      </w:r>
      <w:r w:rsidR="00257273" w:rsidRPr="004C11B1">
        <w:br/>
      </w:r>
      <w:r w:rsidRPr="004C11B1">
        <w:t>POUR L’OCÉAN INDIEN CENTRAL (IOCINDIO), 2022-2023</w:t>
      </w:r>
    </w:p>
    <w:p w14:paraId="0F51379D" w14:textId="473F4654" w:rsidR="00191E6D" w:rsidRPr="004C11B1" w:rsidRDefault="00263FAE" w:rsidP="00263FAE">
      <w:pPr>
        <w:pStyle w:val="Heading1"/>
        <w:spacing w:after="480"/>
      </w:pPr>
      <w:r w:rsidRPr="004C11B1">
        <w:t xml:space="preserve">PROPOSITION CONCERNANT LA CRÉATION D’UNE SOUS-COMMISSION DE LA COI </w:t>
      </w:r>
      <w:r w:rsidR="00257273" w:rsidRPr="004C11B1">
        <w:br/>
      </w:r>
      <w:r w:rsidRPr="004C11B1">
        <w:t>POUR L’OCÉAN INDIEN CENTRAL (IOCINDIO)</w:t>
      </w:r>
    </w:p>
    <w:tbl>
      <w:tblPr>
        <w:tblStyle w:val="TableGrid"/>
        <w:tblW w:w="0" w:type="auto"/>
        <w:tblInd w:w="1271" w:type="dxa"/>
        <w:tblLook w:val="04A0" w:firstRow="1" w:lastRow="0" w:firstColumn="1" w:lastColumn="0" w:noHBand="0" w:noVBand="1"/>
      </w:tblPr>
      <w:tblGrid>
        <w:gridCol w:w="7229"/>
      </w:tblGrid>
      <w:tr w:rsidR="005C7D01" w:rsidRPr="004C11B1" w14:paraId="1A94C8A9" w14:textId="77777777" w:rsidTr="004C11B1">
        <w:tc>
          <w:tcPr>
            <w:tcW w:w="7229" w:type="dxa"/>
          </w:tcPr>
          <w:p w14:paraId="1FD6FF16" w14:textId="77777777" w:rsidR="005C7D01" w:rsidRPr="004C11B1" w:rsidRDefault="005C7D01" w:rsidP="00BC0383">
            <w:pPr>
              <w:spacing w:before="120" w:after="240"/>
              <w:jc w:val="center"/>
              <w:rPr>
                <w:rFonts w:eastAsia="Times New Roman" w:cs="Arial"/>
                <w:b/>
                <w:bCs/>
                <w:szCs w:val="22"/>
                <w:u w:val="single"/>
                <w:lang w:eastAsia="en-US"/>
              </w:rPr>
            </w:pPr>
            <w:r w:rsidRPr="004C11B1">
              <w:rPr>
                <w:rFonts w:eastAsia="Times New Roman" w:cs="Arial"/>
                <w:b/>
                <w:bCs/>
                <w:szCs w:val="22"/>
                <w:u w:val="single"/>
                <w:lang w:eastAsia="en-US"/>
              </w:rPr>
              <w:t>Résumé</w:t>
            </w:r>
          </w:p>
          <w:p w14:paraId="352F43F4" w14:textId="591C1E90" w:rsidR="00263FAE" w:rsidRPr="004C11B1" w:rsidRDefault="000A746F" w:rsidP="00257273">
            <w:pPr>
              <w:spacing w:after="240"/>
              <w:ind w:left="321" w:right="321"/>
              <w:jc w:val="both"/>
              <w:rPr>
                <w:rFonts w:cs="Arial"/>
                <w:color w:val="000000"/>
                <w:sz w:val="20"/>
                <w:szCs w:val="20"/>
              </w:rPr>
            </w:pPr>
            <w:r w:rsidRPr="004C11B1">
              <w:t>L</w:t>
            </w:r>
            <w:r w:rsidR="00263FAE" w:rsidRPr="004C11B1">
              <w:t xml:space="preserve">e </w:t>
            </w:r>
            <w:r w:rsidRPr="004C11B1">
              <w:t xml:space="preserve">présent </w:t>
            </w:r>
            <w:r w:rsidR="00263FAE" w:rsidRPr="004C11B1">
              <w:t>document fait suite à la décision</w:t>
            </w:r>
            <w:r w:rsidRPr="004C11B1">
              <w:t> </w:t>
            </w:r>
            <w:r w:rsidR="00263FAE" w:rsidRPr="004C11B1">
              <w:t>A-31/3.5.6 de l</w:t>
            </w:r>
            <w:r w:rsidRPr="004C11B1">
              <w:t>’</w:t>
            </w:r>
            <w:r w:rsidR="00263FAE" w:rsidRPr="004C11B1">
              <w:t xml:space="preserve">Assemblée de la COI (juin 2021), </w:t>
            </w:r>
            <w:r w:rsidR="008D6721" w:rsidRPr="004C11B1">
              <w:t>la</w:t>
            </w:r>
            <w:r w:rsidR="00263FAE" w:rsidRPr="004C11B1">
              <w:t>qu</w:t>
            </w:r>
            <w:r w:rsidR="008D6721" w:rsidRPr="004C11B1">
              <w:t>elle</w:t>
            </w:r>
            <w:r w:rsidR="00263FAE" w:rsidRPr="004C11B1">
              <w:t xml:space="preserve"> a décidé de poursuivre la mise en place de la </w:t>
            </w:r>
            <w:r w:rsidR="00AC372B">
              <w:t>s</w:t>
            </w:r>
            <w:r w:rsidR="00263FAE" w:rsidRPr="004C11B1">
              <w:t>ous-</w:t>
            </w:r>
            <w:r w:rsidR="00F07CCD" w:rsidRPr="004C11B1">
              <w:t>c</w:t>
            </w:r>
            <w:r w:rsidR="00263FAE" w:rsidRPr="004C11B1">
              <w:t>ommission de la COI pour l’océan Indien afin de constituer un cadre permettant d’améliorer la coordination des États membres de la COI dans la région et d’assurer la mise en œuvre des programmes de la C</w:t>
            </w:r>
            <w:r w:rsidR="008D6721" w:rsidRPr="004C11B1">
              <w:t>ommission</w:t>
            </w:r>
            <w:r w:rsidR="00263FAE" w:rsidRPr="004C11B1">
              <w:t xml:space="preserve"> dans l’océan Indien. </w:t>
            </w:r>
          </w:p>
          <w:p w14:paraId="714EBB55" w14:textId="469E28AF" w:rsidR="00263FAE" w:rsidRPr="004C11B1" w:rsidRDefault="00263FAE" w:rsidP="00257273">
            <w:pPr>
              <w:spacing w:after="240"/>
              <w:ind w:left="321" w:right="321"/>
              <w:jc w:val="both"/>
              <w:rPr>
                <w:rFonts w:cs="Arial"/>
                <w:iCs/>
                <w:sz w:val="20"/>
                <w:szCs w:val="20"/>
              </w:rPr>
            </w:pPr>
            <w:r w:rsidRPr="004C11B1">
              <w:t>Le Groupe de travail intersessions à composition non limitée sur le statut de l</w:t>
            </w:r>
            <w:r w:rsidR="000A746F" w:rsidRPr="004C11B1">
              <w:t>’</w:t>
            </w:r>
            <w:r w:rsidRPr="004C11B1">
              <w:t>IOCINDIO a ensuite présenté un rapport d</w:t>
            </w:r>
            <w:r w:rsidR="000A746F" w:rsidRPr="004C11B1">
              <w:t>’</w:t>
            </w:r>
            <w:r w:rsidRPr="004C11B1">
              <w:t>étape au Conseil exécutif à sa 55</w:t>
            </w:r>
            <w:r w:rsidRPr="004C11B1">
              <w:rPr>
                <w:vertAlign w:val="superscript"/>
              </w:rPr>
              <w:t>e</w:t>
            </w:r>
            <w:r w:rsidRPr="004C11B1">
              <w:t xml:space="preserve"> session (juin 2022) et a poursuivi ses consultations, notamment avec les sous-commissions de la COI, en vue de soumettre </w:t>
            </w:r>
            <w:r w:rsidR="000A746F" w:rsidRPr="004C11B1">
              <w:t xml:space="preserve">pour examen </w:t>
            </w:r>
            <w:r w:rsidRPr="004C11B1">
              <w:t>une recommandation à l</w:t>
            </w:r>
            <w:r w:rsidR="000A746F" w:rsidRPr="004C11B1">
              <w:t>’</w:t>
            </w:r>
            <w:r w:rsidRPr="004C11B1">
              <w:t>Assemblée de la COI à sa 32</w:t>
            </w:r>
            <w:r w:rsidRPr="004C11B1">
              <w:rPr>
                <w:vertAlign w:val="superscript"/>
              </w:rPr>
              <w:t>e</w:t>
            </w:r>
            <w:r w:rsidRPr="004C11B1">
              <w:t> session.</w:t>
            </w:r>
          </w:p>
          <w:p w14:paraId="60C2571C" w14:textId="3E31107D" w:rsidR="005C7D01" w:rsidRPr="004C11B1" w:rsidRDefault="00263FAE" w:rsidP="00257273">
            <w:pPr>
              <w:spacing w:after="240"/>
              <w:ind w:left="283" w:right="283"/>
              <w:jc w:val="both"/>
              <w:rPr>
                <w:rFonts w:eastAsia="Times New Roman" w:cs="Arial"/>
                <w:szCs w:val="22"/>
                <w:lang w:eastAsia="en-US"/>
              </w:rPr>
            </w:pPr>
            <w:r w:rsidRPr="004C11B1">
              <w:rPr>
                <w:u w:val="single"/>
              </w:rPr>
              <w:t>Décision proposée</w:t>
            </w:r>
            <w:r w:rsidR="000A746F" w:rsidRPr="004C11B1">
              <w:t> </w:t>
            </w:r>
            <w:r w:rsidRPr="004C11B1">
              <w:t>: L</w:t>
            </w:r>
            <w:r w:rsidR="000A746F" w:rsidRPr="004C11B1">
              <w:t>’</w:t>
            </w:r>
            <w:r w:rsidRPr="004C11B1">
              <w:t xml:space="preserve">Assemblée est invitée à examiner la recommandation </w:t>
            </w:r>
            <w:r w:rsidR="000A746F" w:rsidRPr="004C11B1">
              <w:t>présentée</w:t>
            </w:r>
            <w:r w:rsidRPr="004C11B1">
              <w:t xml:space="preserve"> par le Groupe de travail sous la forme du projet de résolution portant la référence</w:t>
            </w:r>
            <w:r w:rsidR="000A746F" w:rsidRPr="004C11B1">
              <w:t> </w:t>
            </w:r>
            <w:r w:rsidRPr="004C11B1">
              <w:t>A-32</w:t>
            </w:r>
            <w:proofErr w:type="gramStart"/>
            <w:r w:rsidRPr="004C11B1">
              <w:t>/[</w:t>
            </w:r>
            <w:proofErr w:type="gramEnd"/>
            <w:r w:rsidRPr="004C11B1">
              <w:t>4.5] dans le Document provisoire relatif aux décisions à adopter (document</w:t>
            </w:r>
            <w:r w:rsidR="000A746F" w:rsidRPr="004C11B1">
              <w:t> </w:t>
            </w:r>
            <w:r w:rsidRPr="004C11B1">
              <w:t>IOC</w:t>
            </w:r>
            <w:r w:rsidR="004C11B1" w:rsidRPr="004C11B1">
              <w:t>/A</w:t>
            </w:r>
            <w:r w:rsidRPr="004C11B1">
              <w:t>-32/AP Prov.).</w:t>
            </w:r>
          </w:p>
        </w:tc>
      </w:tr>
    </w:tbl>
    <w:p w14:paraId="28A7702B" w14:textId="77777777" w:rsidR="005C7D01" w:rsidRPr="004C11B1" w:rsidRDefault="005C7D01" w:rsidP="00B2519D">
      <w:pPr>
        <w:spacing w:after="240"/>
        <w:rPr>
          <w:rFonts w:eastAsia="Times New Roman" w:cs="Arial"/>
          <w:b/>
          <w:bCs/>
          <w:szCs w:val="22"/>
          <w:lang w:eastAsia="en-US"/>
        </w:rPr>
        <w:sectPr w:rsidR="005C7D01" w:rsidRPr="004C11B1" w:rsidSect="000723F0">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pPr>
    </w:p>
    <w:p w14:paraId="0CCAA264" w14:textId="77777777" w:rsidR="00263FAE" w:rsidRPr="004C11B1" w:rsidRDefault="00263FAE" w:rsidP="00263FAE">
      <w:pPr>
        <w:pStyle w:val="Heading1"/>
        <w:jc w:val="left"/>
      </w:pPr>
      <w:r w:rsidRPr="004C11B1">
        <w:lastRenderedPageBreak/>
        <w:t>Introduction</w:t>
      </w:r>
    </w:p>
    <w:p w14:paraId="3871F3D4" w14:textId="505869C0" w:rsidR="00F07CCD" w:rsidRPr="00E96438" w:rsidRDefault="00F07CCD" w:rsidP="00FB4A98">
      <w:pPr>
        <w:pStyle w:val="COI"/>
        <w:rPr>
          <w:sz w:val="22"/>
          <w:szCs w:val="22"/>
          <w:lang w:val="fr-FR"/>
        </w:rPr>
      </w:pPr>
      <w:r w:rsidRPr="00495CD3">
        <w:rPr>
          <w:sz w:val="22"/>
          <w:szCs w:val="22"/>
          <w:lang w:val="fr-FR"/>
        </w:rPr>
        <w:t>1.</w:t>
      </w:r>
      <w:r w:rsidRPr="00495CD3">
        <w:rPr>
          <w:sz w:val="22"/>
          <w:szCs w:val="22"/>
          <w:lang w:val="fr-FR"/>
        </w:rPr>
        <w:tab/>
      </w:r>
      <w:r w:rsidR="00263FAE" w:rsidRPr="00495CD3">
        <w:rPr>
          <w:sz w:val="22"/>
          <w:szCs w:val="22"/>
          <w:lang w:val="fr-FR"/>
        </w:rPr>
        <w:t>À sa 31</w:t>
      </w:r>
      <w:r w:rsidR="00263FAE" w:rsidRPr="00495CD3">
        <w:rPr>
          <w:sz w:val="22"/>
          <w:szCs w:val="22"/>
          <w:vertAlign w:val="superscript"/>
          <w:lang w:val="fr-FR"/>
        </w:rPr>
        <w:t>e</w:t>
      </w:r>
      <w:r w:rsidRPr="00495CD3">
        <w:rPr>
          <w:sz w:val="22"/>
          <w:szCs w:val="22"/>
          <w:lang w:val="fr-FR"/>
        </w:rPr>
        <w:t> </w:t>
      </w:r>
      <w:r w:rsidR="00263FAE" w:rsidRPr="00495CD3">
        <w:rPr>
          <w:sz w:val="22"/>
          <w:szCs w:val="22"/>
          <w:lang w:val="fr-FR"/>
        </w:rPr>
        <w:t>session, l’Assemblée a décidé d’entreprendre les démarches resta</w:t>
      </w:r>
      <w:r w:rsidR="00EB51F4" w:rsidRPr="00495CD3">
        <w:rPr>
          <w:sz w:val="22"/>
          <w:szCs w:val="22"/>
          <w:lang w:val="fr-FR"/>
        </w:rPr>
        <w:t>n</w:t>
      </w:r>
      <w:r w:rsidR="00263FAE" w:rsidRPr="00495CD3">
        <w:rPr>
          <w:sz w:val="22"/>
          <w:szCs w:val="22"/>
          <w:lang w:val="fr-FR"/>
        </w:rPr>
        <w:t>t à effectuer pour établir l</w:t>
      </w:r>
      <w:r w:rsidR="000A746F" w:rsidRPr="00495CD3">
        <w:rPr>
          <w:sz w:val="22"/>
          <w:szCs w:val="22"/>
          <w:lang w:val="fr-FR"/>
        </w:rPr>
        <w:t>’</w:t>
      </w:r>
      <w:r w:rsidR="00263FAE" w:rsidRPr="00495CD3">
        <w:rPr>
          <w:sz w:val="22"/>
          <w:szCs w:val="22"/>
          <w:lang w:val="fr-FR"/>
        </w:rPr>
        <w:t xml:space="preserve">IOCINDIO en tant que </w:t>
      </w:r>
      <w:r w:rsidRPr="00495CD3">
        <w:rPr>
          <w:sz w:val="22"/>
          <w:szCs w:val="22"/>
          <w:lang w:val="fr-FR"/>
        </w:rPr>
        <w:t>s</w:t>
      </w:r>
      <w:r w:rsidR="00263FAE" w:rsidRPr="00495CD3">
        <w:rPr>
          <w:sz w:val="22"/>
          <w:szCs w:val="22"/>
          <w:lang w:val="fr-FR"/>
        </w:rPr>
        <w:t>ous-</w:t>
      </w:r>
      <w:r w:rsidRPr="00495CD3">
        <w:rPr>
          <w:sz w:val="22"/>
          <w:szCs w:val="22"/>
          <w:lang w:val="fr-FR"/>
        </w:rPr>
        <w:t>c</w:t>
      </w:r>
      <w:r w:rsidR="00263FAE" w:rsidRPr="00495CD3">
        <w:rPr>
          <w:sz w:val="22"/>
          <w:szCs w:val="22"/>
          <w:lang w:val="fr-FR"/>
        </w:rPr>
        <w:t>ommission de la COI pour l’océan Indien</w:t>
      </w:r>
      <w:r w:rsidR="00EB51F4" w:rsidRPr="00495CD3">
        <w:rPr>
          <w:sz w:val="22"/>
          <w:szCs w:val="22"/>
          <w:lang w:val="fr-FR"/>
        </w:rPr>
        <w:t xml:space="preserve"> central</w:t>
      </w:r>
      <w:r w:rsidR="00263FAE" w:rsidRPr="00495CD3">
        <w:rPr>
          <w:sz w:val="22"/>
          <w:szCs w:val="22"/>
          <w:lang w:val="fr-FR"/>
        </w:rPr>
        <w:t>, et ce par le biais d’un groupe de travail intersessions chargé d’achever les travaux visant à définir</w:t>
      </w:r>
      <w:r w:rsidR="000A746F" w:rsidRPr="00495CD3">
        <w:rPr>
          <w:sz w:val="22"/>
          <w:szCs w:val="22"/>
          <w:lang w:val="fr-FR"/>
        </w:rPr>
        <w:t> </w:t>
      </w:r>
      <w:r w:rsidR="00263FAE" w:rsidRPr="00495CD3">
        <w:rPr>
          <w:sz w:val="22"/>
          <w:szCs w:val="22"/>
          <w:lang w:val="fr-FR"/>
        </w:rPr>
        <w:t>: le mandat de la sous-commission</w:t>
      </w:r>
      <w:r w:rsidR="000A746F" w:rsidRPr="00495CD3">
        <w:rPr>
          <w:sz w:val="22"/>
          <w:szCs w:val="22"/>
          <w:lang w:val="fr-FR"/>
        </w:rPr>
        <w:t> </w:t>
      </w:r>
      <w:r w:rsidR="00263FAE" w:rsidRPr="00495CD3">
        <w:rPr>
          <w:sz w:val="22"/>
          <w:szCs w:val="22"/>
          <w:lang w:val="fr-FR"/>
        </w:rPr>
        <w:t>; sa portée géographique ; son programme de travail</w:t>
      </w:r>
      <w:r w:rsidR="000A746F" w:rsidRPr="00495CD3">
        <w:rPr>
          <w:sz w:val="22"/>
          <w:szCs w:val="22"/>
          <w:lang w:val="fr-FR"/>
        </w:rPr>
        <w:t> </w:t>
      </w:r>
      <w:r w:rsidR="00263FAE" w:rsidRPr="00495CD3">
        <w:rPr>
          <w:sz w:val="22"/>
          <w:szCs w:val="22"/>
          <w:lang w:val="fr-FR"/>
        </w:rPr>
        <w:t>; les projets et le soutien financier proposés</w:t>
      </w:r>
      <w:r w:rsidR="000A746F" w:rsidRPr="00495CD3">
        <w:rPr>
          <w:sz w:val="22"/>
          <w:szCs w:val="22"/>
          <w:lang w:val="fr-FR"/>
        </w:rPr>
        <w:t> </w:t>
      </w:r>
      <w:r w:rsidR="00263FAE" w:rsidRPr="00495CD3">
        <w:rPr>
          <w:sz w:val="22"/>
          <w:szCs w:val="22"/>
          <w:lang w:val="fr-FR"/>
        </w:rPr>
        <w:t xml:space="preserve">; et les mécanismes de coordination avec les sous-commissions adjacentes. </w:t>
      </w:r>
      <w:r w:rsidR="00263FAE" w:rsidRPr="00E96438">
        <w:rPr>
          <w:sz w:val="22"/>
          <w:szCs w:val="22"/>
          <w:lang w:val="fr-FR"/>
        </w:rPr>
        <w:t>Elle a prié le Secrétaire exécutif de créer un groupe de travail intersessions à composition non limitée et d’inviter les États membres intéressés à y participer</w:t>
      </w:r>
      <w:r w:rsidR="00EB51F4" w:rsidRPr="00E96438">
        <w:rPr>
          <w:sz w:val="22"/>
          <w:szCs w:val="22"/>
          <w:lang w:val="fr-FR"/>
        </w:rPr>
        <w:t>,</w:t>
      </w:r>
      <w:r w:rsidR="00263FAE" w:rsidRPr="00E96438">
        <w:rPr>
          <w:sz w:val="22"/>
          <w:szCs w:val="22"/>
          <w:lang w:val="fr-FR"/>
        </w:rPr>
        <w:t xml:space="preserve"> de collaborer </w:t>
      </w:r>
      <w:r w:rsidR="00263FAE" w:rsidRPr="00495CD3">
        <w:rPr>
          <w:sz w:val="22"/>
          <w:szCs w:val="22"/>
          <w:lang w:val="fr-FR"/>
        </w:rPr>
        <w:t xml:space="preserve">étroitement avec le Gouvernement indien afin d’envisager des modalités appropriées pour la mise en place du </w:t>
      </w:r>
      <w:r w:rsidR="00495CD3" w:rsidRPr="00495CD3">
        <w:rPr>
          <w:sz w:val="22"/>
          <w:szCs w:val="22"/>
          <w:lang w:val="fr-FR"/>
        </w:rPr>
        <w:t>s</w:t>
      </w:r>
      <w:r w:rsidR="00263FAE" w:rsidRPr="00495CD3">
        <w:rPr>
          <w:sz w:val="22"/>
          <w:szCs w:val="22"/>
          <w:lang w:val="fr-FR"/>
        </w:rPr>
        <w:t xml:space="preserve">ecrétariat </w:t>
      </w:r>
      <w:r w:rsidR="00263FAE" w:rsidRPr="0019249C">
        <w:rPr>
          <w:sz w:val="22"/>
          <w:szCs w:val="22"/>
          <w:lang w:val="fr-FR"/>
        </w:rPr>
        <w:t xml:space="preserve">régional de la </w:t>
      </w:r>
      <w:r w:rsidR="00EB51F4" w:rsidRPr="0019249C">
        <w:rPr>
          <w:sz w:val="22"/>
          <w:szCs w:val="22"/>
          <w:lang w:val="fr-FR"/>
        </w:rPr>
        <w:t>s</w:t>
      </w:r>
      <w:r w:rsidR="00263FAE" w:rsidRPr="0019249C">
        <w:rPr>
          <w:sz w:val="22"/>
          <w:szCs w:val="22"/>
          <w:lang w:val="fr-FR"/>
        </w:rPr>
        <w:t>ous-</w:t>
      </w:r>
      <w:r w:rsidR="00EB51F4" w:rsidRPr="0019249C">
        <w:rPr>
          <w:sz w:val="22"/>
          <w:szCs w:val="22"/>
          <w:lang w:val="fr-FR"/>
        </w:rPr>
        <w:t>c</w:t>
      </w:r>
      <w:r w:rsidR="00263FAE" w:rsidRPr="0019249C">
        <w:rPr>
          <w:sz w:val="22"/>
          <w:szCs w:val="22"/>
          <w:lang w:val="fr-FR"/>
        </w:rPr>
        <w:t>ommission de la COI pour l’océan Indien</w:t>
      </w:r>
      <w:r w:rsidR="00EB51F4" w:rsidRPr="0019249C">
        <w:rPr>
          <w:sz w:val="22"/>
          <w:szCs w:val="22"/>
          <w:lang w:val="fr-FR"/>
        </w:rPr>
        <w:t xml:space="preserve"> central,</w:t>
      </w:r>
      <w:r w:rsidR="00263FAE" w:rsidRPr="0019249C">
        <w:rPr>
          <w:sz w:val="22"/>
          <w:szCs w:val="22"/>
          <w:lang w:val="fr-FR"/>
        </w:rPr>
        <w:t xml:space="preserve"> et de faire rapport au Conseil exécutif, à sa 55</w:t>
      </w:r>
      <w:r w:rsidR="00263FAE" w:rsidRPr="0019249C">
        <w:rPr>
          <w:sz w:val="22"/>
          <w:szCs w:val="22"/>
          <w:vertAlign w:val="superscript"/>
          <w:lang w:val="fr-FR"/>
        </w:rPr>
        <w:t>e</w:t>
      </w:r>
      <w:r w:rsidRPr="0019249C">
        <w:rPr>
          <w:sz w:val="22"/>
          <w:szCs w:val="22"/>
          <w:lang w:val="fr-FR"/>
        </w:rPr>
        <w:t> </w:t>
      </w:r>
      <w:r w:rsidR="00263FAE" w:rsidRPr="0019249C">
        <w:rPr>
          <w:sz w:val="22"/>
          <w:szCs w:val="22"/>
          <w:lang w:val="fr-FR"/>
        </w:rPr>
        <w:t>session, sur l’état d’avancement</w:t>
      </w:r>
      <w:r w:rsidR="00263FAE" w:rsidRPr="00E96438">
        <w:rPr>
          <w:sz w:val="22"/>
          <w:szCs w:val="22"/>
          <w:lang w:val="fr-FR"/>
        </w:rPr>
        <w:t xml:space="preserve"> de la mise en œuvre de </w:t>
      </w:r>
      <w:r w:rsidR="00EB51F4" w:rsidRPr="00E96438">
        <w:rPr>
          <w:sz w:val="22"/>
          <w:szCs w:val="22"/>
          <w:lang w:val="fr-FR"/>
        </w:rPr>
        <w:t>cette</w:t>
      </w:r>
      <w:r w:rsidR="00263FAE" w:rsidRPr="00E96438">
        <w:rPr>
          <w:sz w:val="22"/>
          <w:szCs w:val="22"/>
          <w:lang w:val="fr-FR"/>
        </w:rPr>
        <w:t xml:space="preserve"> décision. </w:t>
      </w:r>
    </w:p>
    <w:p w14:paraId="132C7268" w14:textId="6641BB0A" w:rsidR="00263FAE" w:rsidRPr="00495CD3" w:rsidRDefault="00F07CCD" w:rsidP="00FB4A98">
      <w:pPr>
        <w:pStyle w:val="COI"/>
        <w:rPr>
          <w:sz w:val="22"/>
          <w:szCs w:val="22"/>
          <w:lang w:val="fr-FR"/>
        </w:rPr>
      </w:pPr>
      <w:r w:rsidRPr="00495CD3">
        <w:rPr>
          <w:sz w:val="22"/>
          <w:szCs w:val="22"/>
          <w:lang w:val="fr-FR"/>
        </w:rPr>
        <w:t>2.</w:t>
      </w:r>
      <w:r w:rsidRPr="00495CD3">
        <w:rPr>
          <w:sz w:val="22"/>
          <w:szCs w:val="22"/>
          <w:lang w:val="fr-FR"/>
        </w:rPr>
        <w:tab/>
      </w:r>
      <w:r w:rsidR="00263FAE" w:rsidRPr="00495CD3">
        <w:rPr>
          <w:sz w:val="22"/>
          <w:szCs w:val="22"/>
          <w:lang w:val="fr-FR"/>
        </w:rPr>
        <w:t>Le présent rapport final complète le rapport d</w:t>
      </w:r>
      <w:r w:rsidR="000A746F" w:rsidRPr="00495CD3">
        <w:rPr>
          <w:sz w:val="22"/>
          <w:szCs w:val="22"/>
          <w:lang w:val="fr-FR"/>
        </w:rPr>
        <w:t>’</w:t>
      </w:r>
      <w:r w:rsidR="00263FAE" w:rsidRPr="00495CD3">
        <w:rPr>
          <w:sz w:val="22"/>
          <w:szCs w:val="22"/>
          <w:lang w:val="fr-FR"/>
        </w:rPr>
        <w:t>étape du Groupe de travail intersessions à composition non limitée sur le statut de l</w:t>
      </w:r>
      <w:r w:rsidR="000A746F" w:rsidRPr="00495CD3">
        <w:rPr>
          <w:sz w:val="22"/>
          <w:szCs w:val="22"/>
          <w:lang w:val="fr-FR"/>
        </w:rPr>
        <w:t>’</w:t>
      </w:r>
      <w:r w:rsidR="00263FAE" w:rsidRPr="00495CD3">
        <w:rPr>
          <w:sz w:val="22"/>
          <w:szCs w:val="22"/>
          <w:lang w:val="fr-FR"/>
        </w:rPr>
        <w:t>IOCINDIO soumis au Conseil exécutif de la COI à sa 55</w:t>
      </w:r>
      <w:r w:rsidR="00263FAE" w:rsidRPr="00495CD3">
        <w:rPr>
          <w:sz w:val="22"/>
          <w:szCs w:val="22"/>
          <w:vertAlign w:val="superscript"/>
          <w:lang w:val="fr-FR"/>
        </w:rPr>
        <w:t>e</w:t>
      </w:r>
      <w:r w:rsidRPr="00495CD3">
        <w:rPr>
          <w:sz w:val="22"/>
          <w:szCs w:val="22"/>
          <w:lang w:val="fr-FR"/>
        </w:rPr>
        <w:t> </w:t>
      </w:r>
      <w:r w:rsidR="00263FAE" w:rsidRPr="00495CD3">
        <w:rPr>
          <w:sz w:val="22"/>
          <w:szCs w:val="22"/>
          <w:lang w:val="fr-FR"/>
        </w:rPr>
        <w:t xml:space="preserve">session (document </w:t>
      </w:r>
      <w:hyperlink r:id="rId11" w:history="1">
        <w:r w:rsidR="00263FAE" w:rsidRPr="00FB4A98">
          <w:rPr>
            <w:rStyle w:val="Hyperlink"/>
            <w:sz w:val="22"/>
            <w:szCs w:val="22"/>
            <w:lang w:val="fr-FR"/>
          </w:rPr>
          <w:t>IOC/EC-55/3.5.</w:t>
        </w:r>
        <w:proofErr w:type="gramStart"/>
        <w:r w:rsidR="00263FAE" w:rsidRPr="00FB4A98">
          <w:rPr>
            <w:rStyle w:val="Hyperlink"/>
            <w:sz w:val="22"/>
            <w:szCs w:val="22"/>
            <w:lang w:val="fr-FR"/>
          </w:rPr>
          <w:t>2.Doc</w:t>
        </w:r>
        <w:proofErr w:type="gramEnd"/>
        <w:r w:rsidR="00263FAE" w:rsidRPr="00FB4A98">
          <w:rPr>
            <w:rStyle w:val="Hyperlink"/>
            <w:sz w:val="22"/>
            <w:szCs w:val="22"/>
            <w:lang w:val="fr-FR"/>
          </w:rPr>
          <w:t>(1)</w:t>
        </w:r>
      </w:hyperlink>
      <w:r w:rsidR="00263FAE" w:rsidRPr="00495CD3">
        <w:rPr>
          <w:sz w:val="22"/>
          <w:szCs w:val="22"/>
          <w:lang w:val="fr-FR"/>
        </w:rPr>
        <w:t>).</w:t>
      </w:r>
    </w:p>
    <w:p w14:paraId="2B2DC2FE" w14:textId="4AEAB257" w:rsidR="00263FAE" w:rsidRPr="00FB4A98" w:rsidRDefault="00263FAE" w:rsidP="00495CD3">
      <w:pPr>
        <w:pStyle w:val="Heading1"/>
        <w:jc w:val="both"/>
        <w:rPr>
          <w:sz w:val="24"/>
          <w:szCs w:val="28"/>
        </w:rPr>
      </w:pPr>
      <w:r w:rsidRPr="00FB4A98">
        <w:rPr>
          <w:sz w:val="24"/>
          <w:szCs w:val="28"/>
        </w:rPr>
        <w:t>Groupe de travail intersessions à composition non limitée sur le statut de l’IOCINDIO (2022</w:t>
      </w:r>
      <w:r w:rsidR="009F5607" w:rsidRPr="00FB4A98">
        <w:rPr>
          <w:sz w:val="24"/>
          <w:szCs w:val="28"/>
        </w:rPr>
        <w:noBreakHyphen/>
      </w:r>
      <w:r w:rsidRPr="00FB4A98">
        <w:rPr>
          <w:sz w:val="24"/>
          <w:szCs w:val="28"/>
        </w:rPr>
        <w:t>2023)</w:t>
      </w:r>
    </w:p>
    <w:p w14:paraId="02FFC3D1" w14:textId="42D0E6CD" w:rsidR="00AB7EFE" w:rsidRPr="00495CD3" w:rsidRDefault="00F07CCD" w:rsidP="00FB4A98">
      <w:pPr>
        <w:pStyle w:val="COI"/>
        <w:rPr>
          <w:sz w:val="22"/>
          <w:szCs w:val="22"/>
          <w:lang w:val="fr-FR"/>
        </w:rPr>
      </w:pPr>
      <w:r w:rsidRPr="00495CD3">
        <w:rPr>
          <w:sz w:val="22"/>
          <w:szCs w:val="22"/>
          <w:lang w:val="fr-FR"/>
        </w:rPr>
        <w:t>3.</w:t>
      </w:r>
      <w:r w:rsidRPr="00495CD3">
        <w:rPr>
          <w:sz w:val="22"/>
          <w:szCs w:val="22"/>
          <w:lang w:val="fr-FR"/>
        </w:rPr>
        <w:tab/>
      </w:r>
      <w:r w:rsidR="00263FAE" w:rsidRPr="00495CD3">
        <w:rPr>
          <w:sz w:val="22"/>
          <w:szCs w:val="22"/>
          <w:lang w:val="fr-FR"/>
        </w:rPr>
        <w:t>Le Groupe de travail</w:t>
      </w:r>
      <w:r w:rsidRPr="00495CD3">
        <w:rPr>
          <w:sz w:val="22"/>
          <w:szCs w:val="22"/>
          <w:lang w:val="fr-FR"/>
        </w:rPr>
        <w:t>,</w:t>
      </w:r>
      <w:r w:rsidR="00263FAE" w:rsidRPr="00495CD3">
        <w:rPr>
          <w:sz w:val="22"/>
          <w:szCs w:val="22"/>
          <w:lang w:val="fr-FR"/>
        </w:rPr>
        <w:t xml:space="preserve"> présidé par le Président de la COI, le </w:t>
      </w:r>
      <w:r w:rsidR="00FB4A98" w:rsidRPr="00495CD3">
        <w:rPr>
          <w:sz w:val="22"/>
          <w:szCs w:val="22"/>
          <w:lang w:val="fr-FR"/>
        </w:rPr>
        <w:t>C</w:t>
      </w:r>
      <w:r w:rsidR="00263FAE" w:rsidRPr="00495CD3">
        <w:rPr>
          <w:sz w:val="22"/>
          <w:szCs w:val="22"/>
          <w:lang w:val="fr-FR"/>
        </w:rPr>
        <w:t>apitaine Ariel Troisi, et le Président de l</w:t>
      </w:r>
      <w:r w:rsidR="000A746F" w:rsidRPr="00495CD3">
        <w:rPr>
          <w:sz w:val="22"/>
          <w:szCs w:val="22"/>
          <w:lang w:val="fr-FR"/>
        </w:rPr>
        <w:t>’</w:t>
      </w:r>
      <w:r w:rsidR="00263FAE" w:rsidRPr="00495CD3">
        <w:rPr>
          <w:sz w:val="22"/>
          <w:szCs w:val="22"/>
          <w:lang w:val="fr-FR"/>
        </w:rPr>
        <w:t xml:space="preserve">IOCINDIO, le </w:t>
      </w:r>
      <w:r w:rsidR="00FB4A98" w:rsidRPr="00495CD3">
        <w:rPr>
          <w:sz w:val="22"/>
          <w:szCs w:val="22"/>
          <w:lang w:val="fr-FR"/>
        </w:rPr>
        <w:t>C</w:t>
      </w:r>
      <w:r w:rsidR="00263FAE" w:rsidRPr="00495CD3">
        <w:rPr>
          <w:sz w:val="22"/>
          <w:szCs w:val="22"/>
          <w:lang w:val="fr-FR"/>
        </w:rPr>
        <w:t>ontre-</w:t>
      </w:r>
      <w:r w:rsidR="00495CD3">
        <w:rPr>
          <w:sz w:val="22"/>
          <w:szCs w:val="22"/>
          <w:lang w:val="fr-FR"/>
        </w:rPr>
        <w:t>A</w:t>
      </w:r>
      <w:r w:rsidR="00263FAE" w:rsidRPr="00495CD3">
        <w:rPr>
          <w:sz w:val="22"/>
          <w:szCs w:val="22"/>
          <w:lang w:val="fr-FR"/>
        </w:rPr>
        <w:t>miral (à la retraite) Khurshed Alam, a fonctionné de janvier</w:t>
      </w:r>
      <w:r w:rsidR="00495CD3">
        <w:rPr>
          <w:sz w:val="22"/>
          <w:szCs w:val="22"/>
          <w:lang w:val="fr-FR"/>
        </w:rPr>
        <w:t> </w:t>
      </w:r>
      <w:r w:rsidR="00263FAE" w:rsidRPr="00495CD3">
        <w:rPr>
          <w:sz w:val="22"/>
          <w:szCs w:val="22"/>
          <w:lang w:val="fr-FR"/>
        </w:rPr>
        <w:t>2022 à avril</w:t>
      </w:r>
      <w:r w:rsidR="009F5607" w:rsidRPr="00495CD3">
        <w:rPr>
          <w:sz w:val="22"/>
          <w:szCs w:val="22"/>
          <w:lang w:val="fr-FR"/>
        </w:rPr>
        <w:t> </w:t>
      </w:r>
      <w:r w:rsidR="00263FAE" w:rsidRPr="00495CD3">
        <w:rPr>
          <w:sz w:val="22"/>
          <w:szCs w:val="22"/>
          <w:lang w:val="fr-FR"/>
        </w:rPr>
        <w:t xml:space="preserve">2023 et a tenu sept réunions consultatives en ligne. Le chargé de liaison régional de la COI, </w:t>
      </w:r>
      <w:r w:rsidRPr="00495CD3">
        <w:rPr>
          <w:sz w:val="22"/>
          <w:szCs w:val="22"/>
          <w:lang w:val="fr-FR"/>
        </w:rPr>
        <w:t xml:space="preserve">Justin Ahanhanzo, </w:t>
      </w:r>
      <w:r w:rsidR="00263FAE" w:rsidRPr="00495CD3">
        <w:rPr>
          <w:sz w:val="22"/>
          <w:szCs w:val="22"/>
          <w:lang w:val="fr-FR"/>
        </w:rPr>
        <w:t>agissant en</w:t>
      </w:r>
      <w:r w:rsidRPr="00495CD3">
        <w:rPr>
          <w:sz w:val="22"/>
          <w:szCs w:val="22"/>
          <w:lang w:val="fr-FR"/>
        </w:rPr>
        <w:t xml:space="preserve"> </w:t>
      </w:r>
      <w:r w:rsidR="00263FAE" w:rsidRPr="00495CD3">
        <w:rPr>
          <w:sz w:val="22"/>
          <w:szCs w:val="22"/>
          <w:lang w:val="fr-FR"/>
        </w:rPr>
        <w:t xml:space="preserve">qualité de </w:t>
      </w:r>
      <w:r w:rsidR="009F5607" w:rsidRPr="00495CD3">
        <w:rPr>
          <w:sz w:val="22"/>
          <w:szCs w:val="22"/>
          <w:lang w:val="fr-FR"/>
        </w:rPr>
        <w:t>S</w:t>
      </w:r>
      <w:r w:rsidR="00263FAE" w:rsidRPr="00495CD3">
        <w:rPr>
          <w:sz w:val="22"/>
          <w:szCs w:val="22"/>
          <w:lang w:val="fr-FR"/>
        </w:rPr>
        <w:t xml:space="preserve">ecrétaire technique à temps partiel de l’IOCINDIO, a assuré les fonctions de secrétaire technique. Le Secrétaire exécutif de la COI, Vladimir Ryabinin, a </w:t>
      </w:r>
      <w:r w:rsidR="001C0D14" w:rsidRPr="00495CD3">
        <w:rPr>
          <w:sz w:val="22"/>
          <w:szCs w:val="22"/>
          <w:lang w:val="fr-FR"/>
        </w:rPr>
        <w:t xml:space="preserve">également </w:t>
      </w:r>
      <w:r w:rsidR="00263FAE" w:rsidRPr="00495CD3">
        <w:rPr>
          <w:sz w:val="22"/>
          <w:szCs w:val="22"/>
          <w:lang w:val="fr-FR"/>
        </w:rPr>
        <w:t>soutenu les travaux</w:t>
      </w:r>
      <w:r w:rsidRPr="00495CD3">
        <w:rPr>
          <w:sz w:val="22"/>
          <w:szCs w:val="22"/>
          <w:lang w:val="fr-FR"/>
        </w:rPr>
        <w:t xml:space="preserve"> d</w:t>
      </w:r>
      <w:r w:rsidR="001C0D14" w:rsidRPr="00495CD3">
        <w:rPr>
          <w:sz w:val="22"/>
          <w:szCs w:val="22"/>
          <w:lang w:val="fr-FR"/>
        </w:rPr>
        <w:t>u Groupe</w:t>
      </w:r>
      <w:r w:rsidR="00263FAE" w:rsidRPr="00495CD3">
        <w:rPr>
          <w:sz w:val="22"/>
          <w:szCs w:val="22"/>
          <w:lang w:val="fr-FR"/>
        </w:rPr>
        <w:t>. Le Groupe de travail était composé des États membres et observateurs suivants</w:t>
      </w:r>
      <w:r w:rsidR="000A746F" w:rsidRPr="00495CD3">
        <w:rPr>
          <w:sz w:val="22"/>
          <w:szCs w:val="22"/>
          <w:lang w:val="fr-FR"/>
        </w:rPr>
        <w:t> </w:t>
      </w:r>
      <w:r w:rsidR="00263FAE" w:rsidRPr="00495CD3">
        <w:rPr>
          <w:sz w:val="22"/>
          <w:szCs w:val="22"/>
          <w:lang w:val="fr-FR"/>
        </w:rPr>
        <w:t xml:space="preserve">: </w:t>
      </w:r>
      <w:r w:rsidR="009F5607" w:rsidRPr="00495CD3">
        <w:rPr>
          <w:sz w:val="22"/>
          <w:szCs w:val="22"/>
          <w:lang w:val="fr-FR"/>
        </w:rPr>
        <w:t>l’</w:t>
      </w:r>
      <w:r w:rsidR="00263FAE" w:rsidRPr="00495CD3">
        <w:rPr>
          <w:sz w:val="22"/>
          <w:szCs w:val="22"/>
          <w:lang w:val="fr-FR"/>
        </w:rPr>
        <w:t xml:space="preserve">Arabie saoudite, </w:t>
      </w:r>
      <w:r w:rsidR="009F5607" w:rsidRPr="00495CD3">
        <w:rPr>
          <w:sz w:val="22"/>
          <w:szCs w:val="22"/>
          <w:lang w:val="fr-FR"/>
        </w:rPr>
        <w:t>l’</w:t>
      </w:r>
      <w:r w:rsidR="00263FAE" w:rsidRPr="00495CD3">
        <w:rPr>
          <w:sz w:val="22"/>
          <w:szCs w:val="22"/>
          <w:lang w:val="fr-FR"/>
        </w:rPr>
        <w:t xml:space="preserve">Australie, </w:t>
      </w:r>
      <w:r w:rsidR="009F5607" w:rsidRPr="00495CD3">
        <w:rPr>
          <w:sz w:val="22"/>
          <w:szCs w:val="22"/>
          <w:lang w:val="fr-FR"/>
        </w:rPr>
        <w:t xml:space="preserve">le </w:t>
      </w:r>
      <w:r w:rsidR="00263FAE" w:rsidRPr="00495CD3">
        <w:rPr>
          <w:sz w:val="22"/>
          <w:szCs w:val="22"/>
          <w:lang w:val="fr-FR"/>
        </w:rPr>
        <w:t>Bangladesh,</w:t>
      </w:r>
      <w:r w:rsidR="009F5607" w:rsidRPr="00495CD3">
        <w:rPr>
          <w:sz w:val="22"/>
          <w:szCs w:val="22"/>
          <w:lang w:val="fr-FR"/>
        </w:rPr>
        <w:t xml:space="preserve"> le</w:t>
      </w:r>
      <w:r w:rsidR="00263FAE" w:rsidRPr="00495CD3">
        <w:rPr>
          <w:sz w:val="22"/>
          <w:szCs w:val="22"/>
          <w:lang w:val="fr-FR"/>
        </w:rPr>
        <w:t xml:space="preserve"> Bénin, </w:t>
      </w:r>
      <w:r w:rsidR="009F5607" w:rsidRPr="00495CD3">
        <w:rPr>
          <w:sz w:val="22"/>
          <w:szCs w:val="22"/>
          <w:lang w:val="fr-FR"/>
        </w:rPr>
        <w:t xml:space="preserve">la </w:t>
      </w:r>
      <w:r w:rsidR="00263FAE" w:rsidRPr="00495CD3">
        <w:rPr>
          <w:sz w:val="22"/>
          <w:szCs w:val="22"/>
          <w:lang w:val="fr-FR"/>
        </w:rPr>
        <w:t xml:space="preserve">Côte d’Ivoire, </w:t>
      </w:r>
      <w:r w:rsidR="009F5607" w:rsidRPr="00495CD3">
        <w:rPr>
          <w:sz w:val="22"/>
          <w:szCs w:val="22"/>
          <w:lang w:val="fr-FR"/>
        </w:rPr>
        <w:t xml:space="preserve">les </w:t>
      </w:r>
      <w:r w:rsidR="00263FAE" w:rsidRPr="00495CD3">
        <w:rPr>
          <w:sz w:val="22"/>
          <w:szCs w:val="22"/>
          <w:lang w:val="fr-FR"/>
        </w:rPr>
        <w:t xml:space="preserve">Émirats arabes unis, </w:t>
      </w:r>
      <w:r w:rsidR="009F5607" w:rsidRPr="00495CD3">
        <w:rPr>
          <w:sz w:val="22"/>
          <w:szCs w:val="22"/>
          <w:lang w:val="fr-FR"/>
        </w:rPr>
        <w:t xml:space="preserve">les </w:t>
      </w:r>
      <w:r w:rsidR="00263FAE" w:rsidRPr="00495CD3">
        <w:rPr>
          <w:sz w:val="22"/>
          <w:szCs w:val="22"/>
          <w:lang w:val="fr-FR"/>
        </w:rPr>
        <w:t xml:space="preserve">États-Unis d’Amérique, </w:t>
      </w:r>
      <w:r w:rsidR="009F5607" w:rsidRPr="00495CD3">
        <w:rPr>
          <w:sz w:val="22"/>
          <w:szCs w:val="22"/>
          <w:lang w:val="fr-FR"/>
        </w:rPr>
        <w:t xml:space="preserve">la </w:t>
      </w:r>
      <w:r w:rsidR="00263FAE" w:rsidRPr="00495CD3">
        <w:rPr>
          <w:sz w:val="22"/>
          <w:szCs w:val="22"/>
          <w:lang w:val="fr-FR"/>
        </w:rPr>
        <w:t xml:space="preserve">Fédération de Russie, </w:t>
      </w:r>
      <w:r w:rsidR="009F5607" w:rsidRPr="00495CD3">
        <w:rPr>
          <w:sz w:val="22"/>
          <w:szCs w:val="22"/>
          <w:lang w:val="fr-FR"/>
        </w:rPr>
        <w:t xml:space="preserve">la </w:t>
      </w:r>
      <w:r w:rsidR="00263FAE" w:rsidRPr="00495CD3">
        <w:rPr>
          <w:sz w:val="22"/>
          <w:szCs w:val="22"/>
          <w:lang w:val="fr-FR"/>
        </w:rPr>
        <w:t xml:space="preserve">France, </w:t>
      </w:r>
      <w:r w:rsidR="009F5607" w:rsidRPr="00495CD3">
        <w:rPr>
          <w:sz w:val="22"/>
          <w:szCs w:val="22"/>
          <w:lang w:val="fr-FR"/>
        </w:rPr>
        <w:t xml:space="preserve">la </w:t>
      </w:r>
      <w:r w:rsidRPr="00495CD3">
        <w:rPr>
          <w:sz w:val="22"/>
          <w:szCs w:val="22"/>
          <w:lang w:val="fr-FR"/>
        </w:rPr>
        <w:t xml:space="preserve">Guinée équatoriale, </w:t>
      </w:r>
      <w:r w:rsidR="009F5607" w:rsidRPr="00495CD3">
        <w:rPr>
          <w:sz w:val="22"/>
          <w:szCs w:val="22"/>
          <w:lang w:val="fr-FR"/>
        </w:rPr>
        <w:t>l’</w:t>
      </w:r>
      <w:r w:rsidR="00263FAE" w:rsidRPr="00495CD3">
        <w:rPr>
          <w:sz w:val="22"/>
          <w:szCs w:val="22"/>
          <w:lang w:val="fr-FR"/>
        </w:rPr>
        <w:t xml:space="preserve">Inde, </w:t>
      </w:r>
      <w:r w:rsidR="009F5607" w:rsidRPr="00495CD3">
        <w:rPr>
          <w:sz w:val="22"/>
          <w:szCs w:val="22"/>
          <w:lang w:val="fr-FR"/>
        </w:rPr>
        <w:t>l’</w:t>
      </w:r>
      <w:r w:rsidR="00263FAE" w:rsidRPr="00495CD3">
        <w:rPr>
          <w:sz w:val="22"/>
          <w:szCs w:val="22"/>
          <w:lang w:val="fr-FR"/>
        </w:rPr>
        <w:t xml:space="preserve">Indonésie, </w:t>
      </w:r>
      <w:r w:rsidR="009F5607" w:rsidRPr="00495CD3">
        <w:rPr>
          <w:sz w:val="22"/>
          <w:szCs w:val="22"/>
          <w:lang w:val="fr-FR"/>
        </w:rPr>
        <w:t xml:space="preserve">le </w:t>
      </w:r>
      <w:r w:rsidR="00263FAE" w:rsidRPr="00495CD3">
        <w:rPr>
          <w:sz w:val="22"/>
          <w:szCs w:val="22"/>
          <w:lang w:val="fr-FR"/>
        </w:rPr>
        <w:t xml:space="preserve">Kenya, </w:t>
      </w:r>
      <w:r w:rsidR="009F5607" w:rsidRPr="00495CD3">
        <w:rPr>
          <w:sz w:val="22"/>
          <w:szCs w:val="22"/>
          <w:lang w:val="fr-FR"/>
        </w:rPr>
        <w:t xml:space="preserve">le </w:t>
      </w:r>
      <w:r w:rsidR="00263FAE" w:rsidRPr="00495CD3">
        <w:rPr>
          <w:sz w:val="22"/>
          <w:szCs w:val="22"/>
          <w:lang w:val="fr-FR"/>
        </w:rPr>
        <w:t>Koweït,</w:t>
      </w:r>
      <w:r w:rsidR="009F5607" w:rsidRPr="00495CD3">
        <w:rPr>
          <w:sz w:val="22"/>
          <w:szCs w:val="22"/>
          <w:lang w:val="fr-FR"/>
        </w:rPr>
        <w:t xml:space="preserve"> </w:t>
      </w:r>
      <w:r w:rsidR="00263FAE" w:rsidRPr="00495CD3">
        <w:rPr>
          <w:sz w:val="22"/>
          <w:szCs w:val="22"/>
          <w:lang w:val="fr-FR"/>
        </w:rPr>
        <w:t xml:space="preserve">Madagascar, </w:t>
      </w:r>
      <w:r w:rsidR="009F5607" w:rsidRPr="00495CD3">
        <w:rPr>
          <w:sz w:val="22"/>
          <w:szCs w:val="22"/>
          <w:lang w:val="fr-FR"/>
        </w:rPr>
        <w:t xml:space="preserve">les </w:t>
      </w:r>
      <w:r w:rsidR="00263FAE" w:rsidRPr="00495CD3">
        <w:rPr>
          <w:sz w:val="22"/>
          <w:szCs w:val="22"/>
          <w:lang w:val="fr-FR"/>
        </w:rPr>
        <w:t xml:space="preserve">Maldives, </w:t>
      </w:r>
      <w:r w:rsidR="009F5607" w:rsidRPr="00495CD3">
        <w:rPr>
          <w:sz w:val="22"/>
          <w:szCs w:val="22"/>
          <w:lang w:val="fr-FR"/>
        </w:rPr>
        <w:t xml:space="preserve">le </w:t>
      </w:r>
      <w:r w:rsidR="00263FAE" w:rsidRPr="00495CD3">
        <w:rPr>
          <w:sz w:val="22"/>
          <w:szCs w:val="22"/>
          <w:lang w:val="fr-FR"/>
        </w:rPr>
        <w:t xml:space="preserve">Maroc, Maurice, Oman, </w:t>
      </w:r>
      <w:r w:rsidR="009F5607" w:rsidRPr="00495CD3">
        <w:rPr>
          <w:sz w:val="22"/>
          <w:szCs w:val="22"/>
          <w:lang w:val="fr-FR"/>
        </w:rPr>
        <w:t xml:space="preserve">le </w:t>
      </w:r>
      <w:r w:rsidR="00263FAE" w:rsidRPr="00495CD3">
        <w:rPr>
          <w:sz w:val="22"/>
          <w:szCs w:val="22"/>
          <w:lang w:val="fr-FR"/>
        </w:rPr>
        <w:t xml:space="preserve">Pakistan, </w:t>
      </w:r>
      <w:r w:rsidR="009F5607" w:rsidRPr="00495CD3">
        <w:rPr>
          <w:sz w:val="22"/>
          <w:szCs w:val="22"/>
          <w:lang w:val="fr-FR"/>
        </w:rPr>
        <w:t xml:space="preserve">les </w:t>
      </w:r>
      <w:r w:rsidR="00263FAE" w:rsidRPr="00495CD3">
        <w:rPr>
          <w:sz w:val="22"/>
          <w:szCs w:val="22"/>
          <w:lang w:val="fr-FR"/>
        </w:rPr>
        <w:t xml:space="preserve">Philippines, </w:t>
      </w:r>
      <w:r w:rsidR="009F5607" w:rsidRPr="00495CD3">
        <w:rPr>
          <w:sz w:val="22"/>
          <w:szCs w:val="22"/>
          <w:lang w:val="fr-FR"/>
        </w:rPr>
        <w:t xml:space="preserve">la </w:t>
      </w:r>
      <w:r w:rsidR="00263FAE" w:rsidRPr="00495CD3">
        <w:rPr>
          <w:sz w:val="22"/>
          <w:szCs w:val="22"/>
          <w:lang w:val="fr-FR"/>
        </w:rPr>
        <w:t xml:space="preserve">République démocratique du Congo, </w:t>
      </w:r>
      <w:r w:rsidR="009F5607" w:rsidRPr="00495CD3">
        <w:rPr>
          <w:sz w:val="22"/>
          <w:szCs w:val="22"/>
          <w:lang w:val="fr-FR"/>
        </w:rPr>
        <w:t xml:space="preserve">la </w:t>
      </w:r>
      <w:r w:rsidRPr="00495CD3">
        <w:rPr>
          <w:sz w:val="22"/>
          <w:szCs w:val="22"/>
          <w:lang w:val="fr-FR"/>
        </w:rPr>
        <w:t xml:space="preserve">République islamique d’Iran, </w:t>
      </w:r>
      <w:r w:rsidR="009F5607" w:rsidRPr="00495CD3">
        <w:rPr>
          <w:sz w:val="22"/>
          <w:szCs w:val="22"/>
          <w:lang w:val="fr-FR"/>
        </w:rPr>
        <w:t xml:space="preserve">le </w:t>
      </w:r>
      <w:r w:rsidR="00263FAE" w:rsidRPr="00495CD3">
        <w:rPr>
          <w:sz w:val="22"/>
          <w:szCs w:val="22"/>
          <w:lang w:val="fr-FR"/>
        </w:rPr>
        <w:t>Royaume-Uni de Grande</w:t>
      </w:r>
      <w:r w:rsidR="009F5607" w:rsidRPr="00495CD3">
        <w:rPr>
          <w:sz w:val="22"/>
          <w:szCs w:val="22"/>
          <w:lang w:val="fr-FR"/>
        </w:rPr>
        <w:noBreakHyphen/>
      </w:r>
      <w:r w:rsidR="00263FAE" w:rsidRPr="00495CD3">
        <w:rPr>
          <w:sz w:val="22"/>
          <w:szCs w:val="22"/>
          <w:lang w:val="fr-FR"/>
        </w:rPr>
        <w:t xml:space="preserve">Bretagne et d’Irlande du Nord, </w:t>
      </w:r>
      <w:r w:rsidR="009F5607" w:rsidRPr="00495CD3">
        <w:rPr>
          <w:sz w:val="22"/>
          <w:szCs w:val="22"/>
          <w:lang w:val="fr-FR"/>
        </w:rPr>
        <w:t xml:space="preserve">les </w:t>
      </w:r>
      <w:r w:rsidR="00263FAE" w:rsidRPr="00495CD3">
        <w:rPr>
          <w:sz w:val="22"/>
          <w:szCs w:val="22"/>
          <w:lang w:val="fr-FR"/>
        </w:rPr>
        <w:t xml:space="preserve">Seychelles, </w:t>
      </w:r>
      <w:r w:rsidR="009F5607" w:rsidRPr="00495CD3">
        <w:rPr>
          <w:sz w:val="22"/>
          <w:szCs w:val="22"/>
          <w:lang w:val="fr-FR"/>
        </w:rPr>
        <w:t xml:space="preserve">la </w:t>
      </w:r>
      <w:r w:rsidR="00263FAE" w:rsidRPr="00495CD3">
        <w:rPr>
          <w:sz w:val="22"/>
          <w:szCs w:val="22"/>
          <w:lang w:val="fr-FR"/>
        </w:rPr>
        <w:t xml:space="preserve">Tanzanie, </w:t>
      </w:r>
      <w:r w:rsidR="009F5607" w:rsidRPr="00495CD3">
        <w:rPr>
          <w:sz w:val="22"/>
          <w:szCs w:val="22"/>
          <w:lang w:val="fr-FR"/>
        </w:rPr>
        <w:t xml:space="preserve">la </w:t>
      </w:r>
      <w:r w:rsidR="00263FAE" w:rsidRPr="00495CD3">
        <w:rPr>
          <w:sz w:val="22"/>
          <w:szCs w:val="22"/>
          <w:lang w:val="fr-FR"/>
        </w:rPr>
        <w:t>Thaïlande</w:t>
      </w:r>
      <w:r w:rsidR="001C0D14" w:rsidRPr="00495CD3">
        <w:rPr>
          <w:sz w:val="22"/>
          <w:szCs w:val="22"/>
          <w:lang w:val="fr-FR"/>
        </w:rPr>
        <w:t xml:space="preserve">, </w:t>
      </w:r>
      <w:r w:rsidR="009F5607" w:rsidRPr="00495CD3">
        <w:rPr>
          <w:sz w:val="22"/>
          <w:szCs w:val="22"/>
          <w:lang w:val="fr-FR"/>
        </w:rPr>
        <w:t xml:space="preserve">le </w:t>
      </w:r>
      <w:r w:rsidR="00263FAE" w:rsidRPr="00495CD3">
        <w:rPr>
          <w:sz w:val="22"/>
          <w:szCs w:val="22"/>
          <w:lang w:val="fr-FR"/>
        </w:rPr>
        <w:t xml:space="preserve">Togo, </w:t>
      </w:r>
      <w:r w:rsidR="009F5607" w:rsidRPr="00495CD3">
        <w:rPr>
          <w:sz w:val="22"/>
          <w:szCs w:val="22"/>
          <w:lang w:val="fr-FR"/>
        </w:rPr>
        <w:t xml:space="preserve">le </w:t>
      </w:r>
      <w:r w:rsidR="00FE4B35" w:rsidRPr="00495CD3">
        <w:rPr>
          <w:sz w:val="22"/>
          <w:szCs w:val="22"/>
          <w:lang w:val="fr-FR"/>
        </w:rPr>
        <w:t>V</w:t>
      </w:r>
      <w:r w:rsidR="00263FAE" w:rsidRPr="00495CD3">
        <w:rPr>
          <w:sz w:val="22"/>
          <w:szCs w:val="22"/>
          <w:lang w:val="fr-FR"/>
        </w:rPr>
        <w:t>ice-</w:t>
      </w:r>
      <w:r w:rsidR="00FE4B35" w:rsidRPr="00495CD3">
        <w:rPr>
          <w:sz w:val="22"/>
          <w:szCs w:val="22"/>
          <w:lang w:val="fr-FR"/>
        </w:rPr>
        <w:t>P</w:t>
      </w:r>
      <w:r w:rsidR="00263FAE" w:rsidRPr="00495CD3">
        <w:rPr>
          <w:sz w:val="22"/>
          <w:szCs w:val="22"/>
          <w:lang w:val="fr-FR"/>
        </w:rPr>
        <w:t>résident pour le groupe électoral</w:t>
      </w:r>
      <w:r w:rsidR="000A746F" w:rsidRPr="00495CD3">
        <w:rPr>
          <w:sz w:val="22"/>
          <w:szCs w:val="22"/>
          <w:lang w:val="fr-FR"/>
        </w:rPr>
        <w:t> </w:t>
      </w:r>
      <w:r w:rsidR="00263FAE" w:rsidRPr="00495CD3">
        <w:rPr>
          <w:sz w:val="22"/>
          <w:szCs w:val="22"/>
          <w:lang w:val="fr-FR"/>
        </w:rPr>
        <w:t xml:space="preserve">IV de la COI, </w:t>
      </w:r>
      <w:r w:rsidR="009F5607" w:rsidRPr="00495CD3">
        <w:rPr>
          <w:sz w:val="22"/>
          <w:szCs w:val="22"/>
          <w:lang w:val="fr-FR"/>
        </w:rPr>
        <w:t xml:space="preserve">les </w:t>
      </w:r>
      <w:r w:rsidR="00FE4B35" w:rsidRPr="00495CD3">
        <w:rPr>
          <w:sz w:val="22"/>
          <w:szCs w:val="22"/>
          <w:lang w:val="fr-FR"/>
        </w:rPr>
        <w:t>P</w:t>
      </w:r>
      <w:r w:rsidR="00263FAE" w:rsidRPr="00495CD3">
        <w:rPr>
          <w:sz w:val="22"/>
          <w:szCs w:val="22"/>
          <w:lang w:val="fr-FR"/>
        </w:rPr>
        <w:t xml:space="preserve">résidents de l’IOCAFRICA et de la WESTPAC, </w:t>
      </w:r>
      <w:r w:rsidR="009F5607" w:rsidRPr="00495CD3">
        <w:rPr>
          <w:sz w:val="22"/>
          <w:szCs w:val="22"/>
          <w:lang w:val="fr-FR"/>
        </w:rPr>
        <w:t xml:space="preserve">les </w:t>
      </w:r>
      <w:r w:rsidR="00263FAE" w:rsidRPr="00495CD3">
        <w:rPr>
          <w:sz w:val="22"/>
          <w:szCs w:val="22"/>
          <w:lang w:val="fr-FR"/>
        </w:rPr>
        <w:t xml:space="preserve">anciens membres du Bureau de l’IOCINDIO, </w:t>
      </w:r>
      <w:r w:rsidR="009F5607" w:rsidRPr="00495CD3">
        <w:rPr>
          <w:sz w:val="22"/>
          <w:szCs w:val="22"/>
          <w:lang w:val="fr-FR"/>
        </w:rPr>
        <w:t xml:space="preserve">le </w:t>
      </w:r>
      <w:r w:rsidR="00263FAE" w:rsidRPr="00495CD3">
        <w:rPr>
          <w:sz w:val="22"/>
          <w:szCs w:val="22"/>
          <w:lang w:val="fr-FR"/>
        </w:rPr>
        <w:t>Centre régional de coordination opérationnelle (RCOC) basé aux Seychelle</w:t>
      </w:r>
      <w:r w:rsidR="009F5607" w:rsidRPr="00495CD3">
        <w:rPr>
          <w:sz w:val="22"/>
          <w:szCs w:val="22"/>
          <w:lang w:val="fr-FR"/>
        </w:rPr>
        <w:t>s</w:t>
      </w:r>
      <w:r w:rsidR="00263FAE" w:rsidRPr="00495CD3">
        <w:rPr>
          <w:sz w:val="22"/>
          <w:szCs w:val="22"/>
          <w:lang w:val="fr-FR"/>
        </w:rPr>
        <w:t xml:space="preserve"> et quelques scientifiques.</w:t>
      </w:r>
    </w:p>
    <w:p w14:paraId="3509156B" w14:textId="3332EFEF" w:rsidR="00AB7EFE" w:rsidRPr="00495CD3" w:rsidRDefault="00AB7EFE" w:rsidP="00FB4A98">
      <w:pPr>
        <w:pStyle w:val="COI"/>
        <w:rPr>
          <w:sz w:val="22"/>
          <w:szCs w:val="22"/>
          <w:lang w:val="fr-FR"/>
        </w:rPr>
      </w:pPr>
      <w:r w:rsidRPr="00495CD3">
        <w:rPr>
          <w:sz w:val="22"/>
          <w:szCs w:val="22"/>
          <w:lang w:val="fr-FR"/>
        </w:rPr>
        <w:t>4.</w:t>
      </w:r>
      <w:r w:rsidRPr="00495CD3">
        <w:rPr>
          <w:sz w:val="22"/>
          <w:szCs w:val="22"/>
          <w:lang w:val="fr-FR"/>
        </w:rPr>
        <w:tab/>
      </w:r>
      <w:r w:rsidR="00D779BB" w:rsidRPr="00495CD3">
        <w:rPr>
          <w:sz w:val="22"/>
          <w:szCs w:val="22"/>
          <w:lang w:val="fr-FR"/>
        </w:rPr>
        <w:t>L</w:t>
      </w:r>
      <w:r w:rsidR="00263FAE" w:rsidRPr="00495CD3">
        <w:rPr>
          <w:sz w:val="22"/>
          <w:szCs w:val="22"/>
          <w:lang w:val="fr-FR"/>
        </w:rPr>
        <w:t>e Groupe de travail</w:t>
      </w:r>
      <w:r w:rsidR="001C0D14" w:rsidRPr="00495CD3">
        <w:rPr>
          <w:sz w:val="22"/>
          <w:szCs w:val="22"/>
          <w:lang w:val="fr-FR"/>
        </w:rPr>
        <w:t xml:space="preserve"> s’est pleinement acquitté de son mandat,</w:t>
      </w:r>
      <w:r w:rsidR="00263FAE" w:rsidRPr="00495CD3">
        <w:rPr>
          <w:sz w:val="22"/>
          <w:szCs w:val="22"/>
          <w:lang w:val="fr-FR"/>
        </w:rPr>
        <w:t xml:space="preserve"> </w:t>
      </w:r>
      <w:r w:rsidR="00D779BB" w:rsidRPr="00495CD3">
        <w:rPr>
          <w:sz w:val="22"/>
          <w:szCs w:val="22"/>
          <w:lang w:val="fr-FR"/>
        </w:rPr>
        <w:t>suivant les orientations données par le Conseil exécutif de la COI à sa 55</w:t>
      </w:r>
      <w:r w:rsidR="00D779BB" w:rsidRPr="00495CD3">
        <w:rPr>
          <w:sz w:val="22"/>
          <w:szCs w:val="22"/>
          <w:vertAlign w:val="superscript"/>
          <w:lang w:val="fr-FR"/>
        </w:rPr>
        <w:t>e</w:t>
      </w:r>
      <w:r w:rsidR="00D779BB" w:rsidRPr="00495CD3">
        <w:rPr>
          <w:sz w:val="22"/>
          <w:szCs w:val="22"/>
          <w:lang w:val="fr-FR"/>
        </w:rPr>
        <w:t xml:space="preserve"> session, </w:t>
      </w:r>
      <w:r w:rsidR="001C0D14" w:rsidRPr="00495CD3">
        <w:rPr>
          <w:sz w:val="22"/>
          <w:szCs w:val="22"/>
          <w:lang w:val="fr-FR"/>
        </w:rPr>
        <w:t xml:space="preserve">en menant, </w:t>
      </w:r>
      <w:r w:rsidR="00263FAE" w:rsidRPr="00495CD3">
        <w:rPr>
          <w:sz w:val="22"/>
          <w:szCs w:val="22"/>
          <w:lang w:val="fr-FR"/>
        </w:rPr>
        <w:t>dans un esprit de consensus,</w:t>
      </w:r>
      <w:r w:rsidR="001C0D14" w:rsidRPr="00495CD3">
        <w:rPr>
          <w:sz w:val="22"/>
          <w:szCs w:val="22"/>
          <w:lang w:val="fr-FR"/>
        </w:rPr>
        <w:t xml:space="preserve"> de vifs débats qui ont</w:t>
      </w:r>
      <w:r w:rsidR="00263FAE" w:rsidRPr="00495CD3">
        <w:rPr>
          <w:sz w:val="22"/>
          <w:szCs w:val="22"/>
          <w:lang w:val="fr-FR"/>
        </w:rPr>
        <w:t xml:space="preserve"> abouti au projet de résolution </w:t>
      </w:r>
      <w:r w:rsidR="001C0D14" w:rsidRPr="00495CD3">
        <w:rPr>
          <w:sz w:val="22"/>
          <w:szCs w:val="22"/>
          <w:lang w:val="fr-FR"/>
        </w:rPr>
        <w:t xml:space="preserve">relatif à l’établissement de la sous-commission de la COI pour l’océan Indien central, </w:t>
      </w:r>
      <w:r w:rsidR="00263FAE" w:rsidRPr="00495CD3">
        <w:rPr>
          <w:sz w:val="22"/>
          <w:szCs w:val="22"/>
          <w:lang w:val="fr-FR"/>
        </w:rPr>
        <w:t>soumis dans le présent document à l’Assemblée de la COI à sa 32</w:t>
      </w:r>
      <w:r w:rsidR="00263FAE" w:rsidRPr="00495CD3">
        <w:rPr>
          <w:sz w:val="22"/>
          <w:szCs w:val="22"/>
          <w:vertAlign w:val="superscript"/>
          <w:lang w:val="fr-FR"/>
        </w:rPr>
        <w:t>e</w:t>
      </w:r>
      <w:r w:rsidR="00263FAE" w:rsidRPr="00495CD3">
        <w:rPr>
          <w:sz w:val="22"/>
          <w:szCs w:val="22"/>
          <w:lang w:val="fr-FR"/>
        </w:rPr>
        <w:t> session</w:t>
      </w:r>
      <w:r w:rsidR="001C0D14" w:rsidRPr="00495CD3">
        <w:rPr>
          <w:sz w:val="22"/>
          <w:szCs w:val="22"/>
          <w:lang w:val="fr-FR"/>
        </w:rPr>
        <w:t>. Ce projet de résolution contient notamment</w:t>
      </w:r>
      <w:r w:rsidR="00263FAE" w:rsidRPr="00495CD3">
        <w:rPr>
          <w:sz w:val="22"/>
          <w:szCs w:val="22"/>
          <w:lang w:val="fr-FR"/>
        </w:rPr>
        <w:t xml:space="preserve"> </w:t>
      </w:r>
      <w:r w:rsidRPr="00495CD3">
        <w:rPr>
          <w:sz w:val="22"/>
          <w:szCs w:val="22"/>
          <w:lang w:val="fr-FR"/>
        </w:rPr>
        <w:t>l’</w:t>
      </w:r>
      <w:r w:rsidR="00263FAE" w:rsidRPr="00495CD3">
        <w:rPr>
          <w:sz w:val="22"/>
          <w:szCs w:val="22"/>
          <w:lang w:val="fr-FR"/>
        </w:rPr>
        <w:t>intitulé</w:t>
      </w:r>
      <w:r w:rsidR="001C0D14" w:rsidRPr="00495CD3">
        <w:rPr>
          <w:sz w:val="22"/>
          <w:szCs w:val="22"/>
          <w:lang w:val="fr-FR"/>
        </w:rPr>
        <w:t xml:space="preserve"> </w:t>
      </w:r>
      <w:r w:rsidR="00263FAE" w:rsidRPr="00495CD3">
        <w:rPr>
          <w:sz w:val="22"/>
          <w:szCs w:val="22"/>
          <w:lang w:val="fr-FR"/>
        </w:rPr>
        <w:t xml:space="preserve">et le mandat </w:t>
      </w:r>
      <w:r w:rsidR="002435EF" w:rsidRPr="00495CD3">
        <w:rPr>
          <w:sz w:val="22"/>
          <w:szCs w:val="22"/>
          <w:lang w:val="fr-FR"/>
        </w:rPr>
        <w:t xml:space="preserve">de la sous-commission </w:t>
      </w:r>
      <w:r w:rsidR="00263FAE" w:rsidRPr="00495CD3">
        <w:rPr>
          <w:sz w:val="22"/>
          <w:szCs w:val="22"/>
          <w:lang w:val="fr-FR"/>
        </w:rPr>
        <w:t>proposés</w:t>
      </w:r>
      <w:r w:rsidR="001C0D14" w:rsidRPr="00495CD3">
        <w:rPr>
          <w:sz w:val="22"/>
          <w:szCs w:val="22"/>
          <w:lang w:val="fr-FR"/>
        </w:rPr>
        <w:t>,</w:t>
      </w:r>
      <w:r w:rsidR="00263FAE" w:rsidRPr="00495CD3">
        <w:rPr>
          <w:sz w:val="22"/>
          <w:szCs w:val="22"/>
          <w:lang w:val="fr-FR"/>
        </w:rPr>
        <w:t xml:space="preserve"> </w:t>
      </w:r>
      <w:r w:rsidR="001C0D14" w:rsidRPr="00495CD3">
        <w:rPr>
          <w:sz w:val="22"/>
          <w:szCs w:val="22"/>
          <w:lang w:val="fr-FR"/>
        </w:rPr>
        <w:t>s</w:t>
      </w:r>
      <w:r w:rsidR="00263FAE" w:rsidRPr="00495CD3">
        <w:rPr>
          <w:sz w:val="22"/>
          <w:szCs w:val="22"/>
          <w:lang w:val="fr-FR"/>
        </w:rPr>
        <w:t>a portée géographique</w:t>
      </w:r>
      <w:r w:rsidR="001C0D14" w:rsidRPr="00495CD3">
        <w:rPr>
          <w:sz w:val="22"/>
          <w:szCs w:val="22"/>
          <w:lang w:val="fr-FR"/>
        </w:rPr>
        <w:t>,</w:t>
      </w:r>
      <w:r w:rsidR="00263FAE" w:rsidRPr="00495CD3">
        <w:rPr>
          <w:sz w:val="22"/>
          <w:szCs w:val="22"/>
          <w:lang w:val="fr-FR"/>
        </w:rPr>
        <w:t xml:space="preserve"> </w:t>
      </w:r>
      <w:r w:rsidR="001C0D14" w:rsidRPr="00495CD3">
        <w:rPr>
          <w:sz w:val="22"/>
          <w:szCs w:val="22"/>
          <w:lang w:val="fr-FR"/>
        </w:rPr>
        <w:t>son</w:t>
      </w:r>
      <w:r w:rsidR="00263FAE" w:rsidRPr="00495CD3">
        <w:rPr>
          <w:sz w:val="22"/>
          <w:szCs w:val="22"/>
          <w:lang w:val="fr-FR"/>
        </w:rPr>
        <w:t xml:space="preserve"> programme de travail</w:t>
      </w:r>
      <w:r w:rsidR="001C0D14" w:rsidRPr="00495CD3">
        <w:rPr>
          <w:sz w:val="22"/>
          <w:szCs w:val="22"/>
          <w:lang w:val="fr-FR"/>
        </w:rPr>
        <w:t>,</w:t>
      </w:r>
      <w:r w:rsidR="00263FAE" w:rsidRPr="00495CD3">
        <w:rPr>
          <w:sz w:val="22"/>
          <w:szCs w:val="22"/>
          <w:lang w:val="fr-FR"/>
        </w:rPr>
        <w:t xml:space="preserve"> les projets et le soutien financier proposés</w:t>
      </w:r>
      <w:r w:rsidR="001C0D14" w:rsidRPr="00495CD3">
        <w:rPr>
          <w:sz w:val="22"/>
          <w:szCs w:val="22"/>
          <w:lang w:val="fr-FR"/>
        </w:rPr>
        <w:t>,</w:t>
      </w:r>
      <w:r w:rsidR="00263FAE" w:rsidRPr="00495CD3">
        <w:rPr>
          <w:sz w:val="22"/>
          <w:szCs w:val="22"/>
          <w:lang w:val="fr-FR"/>
        </w:rPr>
        <w:t xml:space="preserve"> ainsi que les mécanismes de coordination avec les sous-commissions adjacentes </w:t>
      </w:r>
      <w:r w:rsidRPr="00495CD3">
        <w:rPr>
          <w:sz w:val="22"/>
          <w:szCs w:val="22"/>
          <w:lang w:val="fr-FR"/>
        </w:rPr>
        <w:t>pour</w:t>
      </w:r>
      <w:r w:rsidR="00263FAE" w:rsidRPr="00495CD3">
        <w:rPr>
          <w:sz w:val="22"/>
          <w:szCs w:val="22"/>
          <w:lang w:val="fr-FR"/>
        </w:rPr>
        <w:t xml:space="preserve"> les zones géographiques d’intérêt commun, </w:t>
      </w:r>
      <w:r w:rsidRPr="00495CD3">
        <w:rPr>
          <w:sz w:val="22"/>
          <w:szCs w:val="22"/>
          <w:lang w:val="fr-FR"/>
        </w:rPr>
        <w:t>en veillant au respect de leur couverture géographique et en évitant les chevauchements d’activités</w:t>
      </w:r>
      <w:r w:rsidR="00263FAE" w:rsidRPr="00495CD3">
        <w:rPr>
          <w:sz w:val="22"/>
          <w:szCs w:val="22"/>
          <w:lang w:val="fr-FR"/>
        </w:rPr>
        <w:t xml:space="preserve">. </w:t>
      </w:r>
    </w:p>
    <w:p w14:paraId="3B5AB7E2" w14:textId="58AD6210" w:rsidR="00AB7EFE" w:rsidRPr="00495CD3" w:rsidRDefault="00AB7EFE" w:rsidP="00FB4A98">
      <w:pPr>
        <w:pStyle w:val="COI"/>
        <w:rPr>
          <w:sz w:val="22"/>
          <w:szCs w:val="22"/>
          <w:lang w:val="fr-FR"/>
        </w:rPr>
      </w:pPr>
      <w:r w:rsidRPr="00495CD3">
        <w:rPr>
          <w:sz w:val="22"/>
          <w:szCs w:val="22"/>
          <w:lang w:val="fr-FR"/>
        </w:rPr>
        <w:t>5.</w:t>
      </w:r>
      <w:r w:rsidRPr="00495CD3">
        <w:rPr>
          <w:sz w:val="22"/>
          <w:szCs w:val="22"/>
          <w:lang w:val="fr-FR"/>
        </w:rPr>
        <w:tab/>
        <w:t>L</w:t>
      </w:r>
      <w:r w:rsidR="00263FAE" w:rsidRPr="00495CD3">
        <w:rPr>
          <w:sz w:val="22"/>
          <w:szCs w:val="22"/>
          <w:lang w:val="fr-FR"/>
        </w:rPr>
        <w:t xml:space="preserve">es </w:t>
      </w:r>
      <w:r w:rsidRPr="00495CD3">
        <w:rPr>
          <w:sz w:val="22"/>
          <w:szCs w:val="22"/>
          <w:lang w:val="fr-FR"/>
        </w:rPr>
        <w:t xml:space="preserve">intenses </w:t>
      </w:r>
      <w:r w:rsidR="00263FAE" w:rsidRPr="00495CD3">
        <w:rPr>
          <w:sz w:val="22"/>
          <w:szCs w:val="22"/>
          <w:lang w:val="fr-FR"/>
        </w:rPr>
        <w:t>discussions consacrées au rapport d’étape lors de la 55</w:t>
      </w:r>
      <w:r w:rsidR="00263FAE" w:rsidRPr="00495CD3">
        <w:rPr>
          <w:sz w:val="22"/>
          <w:szCs w:val="22"/>
          <w:vertAlign w:val="superscript"/>
          <w:lang w:val="fr-FR"/>
        </w:rPr>
        <w:t>e</w:t>
      </w:r>
      <w:r w:rsidRPr="00495CD3">
        <w:rPr>
          <w:sz w:val="22"/>
          <w:szCs w:val="22"/>
          <w:lang w:val="fr-FR"/>
        </w:rPr>
        <w:t> </w:t>
      </w:r>
      <w:r w:rsidR="00263FAE" w:rsidRPr="00495CD3">
        <w:rPr>
          <w:sz w:val="22"/>
          <w:szCs w:val="22"/>
          <w:lang w:val="fr-FR"/>
        </w:rPr>
        <w:t>session du Conseil exécutif (juin 2022), qui ont compté 18</w:t>
      </w:r>
      <w:r w:rsidR="000A746F" w:rsidRPr="00495CD3">
        <w:rPr>
          <w:sz w:val="22"/>
          <w:szCs w:val="22"/>
          <w:lang w:val="fr-FR"/>
        </w:rPr>
        <w:t> </w:t>
      </w:r>
      <w:r w:rsidR="00263FAE" w:rsidRPr="00495CD3">
        <w:rPr>
          <w:sz w:val="22"/>
          <w:szCs w:val="22"/>
          <w:lang w:val="fr-FR"/>
        </w:rPr>
        <w:t>interventions</w:t>
      </w:r>
      <w:r w:rsidRPr="00495CD3">
        <w:rPr>
          <w:sz w:val="22"/>
          <w:szCs w:val="22"/>
          <w:lang w:val="fr-FR"/>
        </w:rPr>
        <w:t xml:space="preserve"> et ont conduit à l’adoption de la décision EC</w:t>
      </w:r>
      <w:r w:rsidR="008C238E" w:rsidRPr="00495CD3">
        <w:rPr>
          <w:sz w:val="22"/>
          <w:szCs w:val="22"/>
          <w:lang w:val="fr-FR"/>
        </w:rPr>
        <w:noBreakHyphen/>
      </w:r>
      <w:r w:rsidRPr="00495CD3">
        <w:rPr>
          <w:sz w:val="22"/>
          <w:szCs w:val="22"/>
          <w:lang w:val="fr-FR"/>
        </w:rPr>
        <w:t>55/3.5.2, ont fait apparaître que</w:t>
      </w:r>
      <w:r w:rsidR="00263FAE" w:rsidRPr="00495CD3">
        <w:rPr>
          <w:sz w:val="22"/>
          <w:szCs w:val="22"/>
          <w:lang w:val="fr-FR"/>
        </w:rPr>
        <w:t xml:space="preserve"> </w:t>
      </w:r>
      <w:r w:rsidRPr="00495CD3">
        <w:rPr>
          <w:sz w:val="22"/>
          <w:szCs w:val="22"/>
          <w:lang w:val="fr-FR"/>
        </w:rPr>
        <w:t>la portée géographique et les éventuels chevauchements de responsabilités constituaient le principal</w:t>
      </w:r>
      <w:r w:rsidR="00263FAE" w:rsidRPr="00495CD3">
        <w:rPr>
          <w:sz w:val="22"/>
          <w:szCs w:val="22"/>
          <w:lang w:val="fr-FR"/>
        </w:rPr>
        <w:t xml:space="preserve"> sujet de préoccupation </w:t>
      </w:r>
      <w:r w:rsidRPr="00495CD3">
        <w:rPr>
          <w:sz w:val="22"/>
          <w:szCs w:val="22"/>
          <w:lang w:val="fr-FR"/>
        </w:rPr>
        <w:t>d</w:t>
      </w:r>
      <w:r w:rsidR="00263FAE" w:rsidRPr="00495CD3">
        <w:rPr>
          <w:sz w:val="22"/>
          <w:szCs w:val="22"/>
          <w:lang w:val="fr-FR"/>
        </w:rPr>
        <w:t>es États membres, notamment ceux de la WESTPAC et de l’IOCAFRICA</w:t>
      </w:r>
      <w:r w:rsidRPr="00495CD3">
        <w:rPr>
          <w:sz w:val="22"/>
          <w:szCs w:val="22"/>
          <w:lang w:val="fr-FR"/>
        </w:rPr>
        <w:t>.</w:t>
      </w:r>
      <w:r w:rsidR="00263FAE" w:rsidRPr="00495CD3">
        <w:rPr>
          <w:sz w:val="22"/>
          <w:szCs w:val="22"/>
          <w:lang w:val="fr-FR"/>
        </w:rPr>
        <w:t xml:space="preserve"> </w:t>
      </w:r>
      <w:r w:rsidRPr="00495CD3">
        <w:rPr>
          <w:sz w:val="22"/>
          <w:szCs w:val="22"/>
          <w:lang w:val="fr-FR"/>
        </w:rPr>
        <w:t xml:space="preserve">Il convient de souligner que ces débats </w:t>
      </w:r>
      <w:r w:rsidR="00263FAE" w:rsidRPr="00495CD3">
        <w:rPr>
          <w:sz w:val="22"/>
          <w:szCs w:val="22"/>
          <w:lang w:val="fr-FR"/>
        </w:rPr>
        <w:t xml:space="preserve">ont fourni des orientations très utiles au Groupe de travail pour éliminer les divergences. Le sens élevé des responsabilités et le large consensus atteints au sein </w:t>
      </w:r>
      <w:r w:rsidRPr="00495CD3">
        <w:rPr>
          <w:sz w:val="22"/>
          <w:szCs w:val="22"/>
          <w:lang w:val="fr-FR"/>
        </w:rPr>
        <w:t>de ce dernier</w:t>
      </w:r>
      <w:r w:rsidR="00263FAE" w:rsidRPr="00495CD3">
        <w:rPr>
          <w:sz w:val="22"/>
          <w:szCs w:val="22"/>
          <w:lang w:val="fr-FR"/>
        </w:rPr>
        <w:t xml:space="preserve"> ont renforcé la compréhension mutuelle entre les États membres, favorisant la volonté des sous-commissions adjacentes de </w:t>
      </w:r>
      <w:r w:rsidRPr="00495CD3">
        <w:rPr>
          <w:sz w:val="22"/>
          <w:szCs w:val="22"/>
          <w:lang w:val="fr-FR"/>
        </w:rPr>
        <w:t>collaborer</w:t>
      </w:r>
      <w:r w:rsidR="00263FAE" w:rsidRPr="00495CD3">
        <w:rPr>
          <w:sz w:val="22"/>
          <w:szCs w:val="22"/>
          <w:lang w:val="fr-FR"/>
        </w:rPr>
        <w:t>.</w:t>
      </w:r>
    </w:p>
    <w:p w14:paraId="4C2F3685" w14:textId="45DAE55C" w:rsidR="00DA5A4C" w:rsidRPr="00495CD3" w:rsidRDefault="00AB7EFE" w:rsidP="00FB4A98">
      <w:pPr>
        <w:pStyle w:val="COI"/>
        <w:rPr>
          <w:sz w:val="22"/>
          <w:szCs w:val="22"/>
          <w:lang w:val="fr-FR"/>
        </w:rPr>
      </w:pPr>
      <w:r w:rsidRPr="00495CD3">
        <w:rPr>
          <w:sz w:val="22"/>
          <w:szCs w:val="22"/>
          <w:lang w:val="fr-FR"/>
        </w:rPr>
        <w:lastRenderedPageBreak/>
        <w:t>6.</w:t>
      </w:r>
      <w:r w:rsidRPr="00495CD3">
        <w:rPr>
          <w:sz w:val="22"/>
          <w:szCs w:val="22"/>
          <w:lang w:val="fr-FR"/>
        </w:rPr>
        <w:tab/>
      </w:r>
      <w:r w:rsidR="001C0D14" w:rsidRPr="00495CD3">
        <w:rPr>
          <w:sz w:val="22"/>
          <w:szCs w:val="22"/>
          <w:lang w:val="fr-FR"/>
        </w:rPr>
        <w:t>L</w:t>
      </w:r>
      <w:r w:rsidR="00263FAE" w:rsidRPr="00495CD3">
        <w:rPr>
          <w:sz w:val="22"/>
          <w:szCs w:val="22"/>
          <w:lang w:val="fr-FR"/>
        </w:rPr>
        <w:t xml:space="preserve">e Groupe de travail s’est </w:t>
      </w:r>
      <w:r w:rsidR="001C0D14" w:rsidRPr="00495CD3">
        <w:rPr>
          <w:sz w:val="22"/>
          <w:szCs w:val="22"/>
          <w:lang w:val="fr-FR"/>
        </w:rPr>
        <w:t xml:space="preserve">ensuite </w:t>
      </w:r>
      <w:r w:rsidR="00263FAE" w:rsidRPr="00495CD3">
        <w:rPr>
          <w:sz w:val="22"/>
          <w:szCs w:val="22"/>
          <w:lang w:val="fr-FR"/>
        </w:rPr>
        <w:t>accordé sur le fait que la nouvelle sous-commission</w:t>
      </w:r>
      <w:r w:rsidRPr="00495CD3">
        <w:rPr>
          <w:sz w:val="22"/>
          <w:szCs w:val="22"/>
          <w:lang w:val="fr-FR"/>
        </w:rPr>
        <w:t xml:space="preserve"> de la COI </w:t>
      </w:r>
      <w:r w:rsidR="00263FAE" w:rsidRPr="00495CD3">
        <w:rPr>
          <w:sz w:val="22"/>
          <w:szCs w:val="22"/>
          <w:lang w:val="fr-FR"/>
        </w:rPr>
        <w:t xml:space="preserve">ne </w:t>
      </w:r>
      <w:r w:rsidR="00263FAE" w:rsidRPr="00495CD3">
        <w:rPr>
          <w:sz w:val="22"/>
          <w:szCs w:val="22"/>
          <w:u w:val="double"/>
          <w:lang w:val="fr-FR"/>
        </w:rPr>
        <w:t>devait</w:t>
      </w:r>
      <w:r w:rsidR="00263FAE" w:rsidRPr="00495CD3">
        <w:rPr>
          <w:sz w:val="22"/>
          <w:szCs w:val="22"/>
          <w:lang w:val="fr-FR"/>
        </w:rPr>
        <w:t xml:space="preserve"> pas compromettre, diminuer ou affaiblir les activités et/ou les responsabilités des sous-commissions adjacentes existantes ni interférer avec elles. Il a convenu qu</w:t>
      </w:r>
      <w:r w:rsidRPr="00495CD3">
        <w:rPr>
          <w:sz w:val="22"/>
          <w:szCs w:val="22"/>
          <w:lang w:val="fr-FR"/>
        </w:rPr>
        <w:t>’elle</w:t>
      </w:r>
      <w:r w:rsidR="00263FAE" w:rsidRPr="00495CD3">
        <w:rPr>
          <w:sz w:val="22"/>
          <w:szCs w:val="22"/>
          <w:lang w:val="fr-FR"/>
        </w:rPr>
        <w:t xml:space="preserve"> devait conserver la portée</w:t>
      </w:r>
      <w:r w:rsidR="00DA5A4C" w:rsidRPr="00495CD3">
        <w:rPr>
          <w:sz w:val="22"/>
          <w:szCs w:val="22"/>
          <w:lang w:val="fr-FR"/>
        </w:rPr>
        <w:t xml:space="preserve"> géographique</w:t>
      </w:r>
      <w:r w:rsidR="00263FAE" w:rsidRPr="00495CD3">
        <w:rPr>
          <w:sz w:val="22"/>
          <w:szCs w:val="22"/>
          <w:lang w:val="fr-FR"/>
        </w:rPr>
        <w:t xml:space="preserve"> du Comité régional actuel, limitée à l’océan Indien central. L</w:t>
      </w:r>
      <w:r w:rsidR="00DA5A4C" w:rsidRPr="00495CD3">
        <w:rPr>
          <w:sz w:val="22"/>
          <w:szCs w:val="22"/>
          <w:lang w:val="fr-FR"/>
        </w:rPr>
        <w:t>’établissement</w:t>
      </w:r>
      <w:r w:rsidR="00263FAE" w:rsidRPr="00495CD3">
        <w:rPr>
          <w:sz w:val="22"/>
          <w:szCs w:val="22"/>
          <w:lang w:val="fr-FR"/>
        </w:rPr>
        <w:t xml:space="preserve"> de la sous-commission ne doit en aucun cas porter préjudice aux autres sous</w:t>
      </w:r>
      <w:r w:rsidR="00A129A1" w:rsidRPr="00495CD3">
        <w:rPr>
          <w:sz w:val="22"/>
          <w:szCs w:val="22"/>
          <w:lang w:val="fr-FR"/>
        </w:rPr>
        <w:noBreakHyphen/>
      </w:r>
      <w:r w:rsidR="00263FAE" w:rsidRPr="00495CD3">
        <w:rPr>
          <w:sz w:val="22"/>
          <w:szCs w:val="22"/>
          <w:lang w:val="fr-FR"/>
        </w:rPr>
        <w:t xml:space="preserve">commissions. </w:t>
      </w:r>
      <w:r w:rsidR="00DA5A4C" w:rsidRPr="00495CD3">
        <w:rPr>
          <w:sz w:val="22"/>
          <w:szCs w:val="22"/>
          <w:lang w:val="fr-FR"/>
        </w:rPr>
        <w:t>Il</w:t>
      </w:r>
      <w:r w:rsidR="00263FAE" w:rsidRPr="00495CD3">
        <w:rPr>
          <w:sz w:val="22"/>
          <w:szCs w:val="22"/>
          <w:lang w:val="fr-FR"/>
        </w:rPr>
        <w:t xml:space="preserve"> ne doit donner lieu à aucun chevauchement avec les zones géographiques</w:t>
      </w:r>
      <w:r w:rsidR="00DA5A4C" w:rsidRPr="00495CD3">
        <w:rPr>
          <w:sz w:val="22"/>
          <w:szCs w:val="22"/>
          <w:lang w:val="fr-FR"/>
        </w:rPr>
        <w:t xml:space="preserve"> couvertes par l’IOCAFRICA ou la WESTPAC dans l’océan Indien</w:t>
      </w:r>
      <w:r w:rsidR="00263FAE" w:rsidRPr="00495CD3">
        <w:rPr>
          <w:sz w:val="22"/>
          <w:szCs w:val="22"/>
          <w:lang w:val="fr-FR"/>
        </w:rPr>
        <w:t xml:space="preserve">, </w:t>
      </w:r>
      <w:r w:rsidR="00DA5A4C" w:rsidRPr="00495CD3">
        <w:rPr>
          <w:sz w:val="22"/>
          <w:szCs w:val="22"/>
          <w:lang w:val="fr-FR"/>
        </w:rPr>
        <w:t xml:space="preserve">ni avec </w:t>
      </w:r>
      <w:r w:rsidR="00263FAE" w:rsidRPr="00495CD3">
        <w:rPr>
          <w:sz w:val="22"/>
          <w:szCs w:val="22"/>
          <w:lang w:val="fr-FR"/>
        </w:rPr>
        <w:t xml:space="preserve">les programmes </w:t>
      </w:r>
      <w:r w:rsidR="00881041" w:rsidRPr="00495CD3">
        <w:rPr>
          <w:sz w:val="22"/>
          <w:szCs w:val="22"/>
          <w:lang w:val="fr-FR"/>
        </w:rPr>
        <w:t>et</w:t>
      </w:r>
      <w:r w:rsidR="00263FAE" w:rsidRPr="00495CD3">
        <w:rPr>
          <w:sz w:val="22"/>
          <w:szCs w:val="22"/>
          <w:lang w:val="fr-FR"/>
        </w:rPr>
        <w:t xml:space="preserve"> activités</w:t>
      </w:r>
      <w:r w:rsidR="00DA5A4C" w:rsidRPr="00495CD3">
        <w:rPr>
          <w:sz w:val="22"/>
          <w:szCs w:val="22"/>
          <w:lang w:val="fr-FR"/>
        </w:rPr>
        <w:t xml:space="preserve"> qu’elles y mènent</w:t>
      </w:r>
      <w:r w:rsidR="00263FAE" w:rsidRPr="00495CD3">
        <w:rPr>
          <w:sz w:val="22"/>
          <w:szCs w:val="22"/>
          <w:lang w:val="fr-FR"/>
        </w:rPr>
        <w:t xml:space="preserve">. Des efforts sont déployés pour </w:t>
      </w:r>
      <w:r w:rsidR="001C0D14" w:rsidRPr="00495CD3">
        <w:rPr>
          <w:sz w:val="22"/>
          <w:szCs w:val="22"/>
          <w:lang w:val="fr-FR"/>
        </w:rPr>
        <w:t>instaurer</w:t>
      </w:r>
      <w:r w:rsidR="00263FAE" w:rsidRPr="00495CD3">
        <w:rPr>
          <w:sz w:val="22"/>
          <w:szCs w:val="22"/>
          <w:lang w:val="fr-FR"/>
        </w:rPr>
        <w:t xml:space="preserve"> des synergies entre l’IOCINDIO, l’IOCAFRICA et la WESTPAC en vue d’un renforcement mutuel qui profitera à tous leurs États membres. Une coordination adéquate avec les sous-commissions adjacentes </w:t>
      </w:r>
      <w:r w:rsidR="00DA5A4C" w:rsidRPr="00495CD3">
        <w:rPr>
          <w:sz w:val="22"/>
          <w:szCs w:val="22"/>
          <w:lang w:val="fr-FR"/>
        </w:rPr>
        <w:t>déjà en place</w:t>
      </w:r>
      <w:r w:rsidR="00263FAE" w:rsidRPr="00495CD3">
        <w:rPr>
          <w:sz w:val="22"/>
          <w:szCs w:val="22"/>
          <w:lang w:val="fr-FR"/>
        </w:rPr>
        <w:t xml:space="preserve"> est proposée pour éviter les chevauchements, en insistant sur </w:t>
      </w:r>
      <w:r w:rsidR="007B38A7" w:rsidRPr="00495CD3">
        <w:rPr>
          <w:sz w:val="22"/>
          <w:szCs w:val="22"/>
          <w:lang w:val="fr-FR"/>
        </w:rPr>
        <w:t>l’harmonisation</w:t>
      </w:r>
      <w:r w:rsidR="00263FAE" w:rsidRPr="00495CD3">
        <w:rPr>
          <w:sz w:val="22"/>
          <w:szCs w:val="22"/>
          <w:lang w:val="fr-FR"/>
        </w:rPr>
        <w:t xml:space="preserve">, la coopération, la collaboration et l’intégration des activités de la COI au </w:t>
      </w:r>
      <w:r w:rsidR="00DA5A4C" w:rsidRPr="00495CD3">
        <w:rPr>
          <w:sz w:val="22"/>
          <w:szCs w:val="22"/>
          <w:lang w:val="fr-FR"/>
        </w:rPr>
        <w:t>bénéfice</w:t>
      </w:r>
      <w:r w:rsidR="00263FAE" w:rsidRPr="00495CD3">
        <w:rPr>
          <w:sz w:val="22"/>
          <w:szCs w:val="22"/>
          <w:lang w:val="fr-FR"/>
        </w:rPr>
        <w:t xml:space="preserve"> de toutes les régions</w:t>
      </w:r>
      <w:r w:rsidR="001C0D14" w:rsidRPr="00495CD3">
        <w:rPr>
          <w:sz w:val="22"/>
          <w:szCs w:val="22"/>
          <w:lang w:val="fr-FR"/>
        </w:rPr>
        <w:t>,</w:t>
      </w:r>
      <w:r w:rsidR="00263FAE" w:rsidRPr="00495CD3">
        <w:rPr>
          <w:sz w:val="22"/>
          <w:szCs w:val="22"/>
          <w:lang w:val="fr-FR"/>
        </w:rPr>
        <w:t xml:space="preserve"> </w:t>
      </w:r>
      <w:r w:rsidR="001C0D14" w:rsidRPr="00495CD3">
        <w:rPr>
          <w:sz w:val="22"/>
          <w:szCs w:val="22"/>
          <w:lang w:val="fr-FR"/>
        </w:rPr>
        <w:t>dans le but</w:t>
      </w:r>
      <w:r w:rsidR="00263FAE" w:rsidRPr="00495CD3">
        <w:rPr>
          <w:sz w:val="22"/>
          <w:szCs w:val="22"/>
          <w:lang w:val="fr-FR"/>
        </w:rPr>
        <w:t xml:space="preserve"> d</w:t>
      </w:r>
      <w:r w:rsidR="001C0D14" w:rsidRPr="00495CD3">
        <w:rPr>
          <w:sz w:val="22"/>
          <w:szCs w:val="22"/>
          <w:lang w:val="fr-FR"/>
        </w:rPr>
        <w:t>e crée</w:t>
      </w:r>
      <w:r w:rsidR="00263FAE" w:rsidRPr="00495CD3">
        <w:rPr>
          <w:sz w:val="22"/>
          <w:szCs w:val="22"/>
          <w:lang w:val="fr-FR"/>
        </w:rPr>
        <w:t>r une sous-commission dynamique.</w:t>
      </w:r>
    </w:p>
    <w:p w14:paraId="63140346" w14:textId="765A4D1F" w:rsidR="00263FAE" w:rsidRPr="00495CD3" w:rsidRDefault="00DA5A4C" w:rsidP="00FB4A98">
      <w:pPr>
        <w:pStyle w:val="COI"/>
        <w:rPr>
          <w:sz w:val="22"/>
          <w:szCs w:val="22"/>
          <w:lang w:val="fr-FR"/>
        </w:rPr>
      </w:pPr>
      <w:r w:rsidRPr="00495CD3">
        <w:rPr>
          <w:sz w:val="22"/>
          <w:szCs w:val="22"/>
          <w:lang w:val="fr-FR"/>
        </w:rPr>
        <w:t>7.</w:t>
      </w:r>
      <w:r w:rsidRPr="00495CD3">
        <w:rPr>
          <w:sz w:val="22"/>
          <w:szCs w:val="22"/>
          <w:lang w:val="fr-FR"/>
        </w:rPr>
        <w:tab/>
      </w:r>
      <w:r w:rsidR="00263FAE" w:rsidRPr="00495CD3">
        <w:rPr>
          <w:sz w:val="22"/>
          <w:szCs w:val="22"/>
          <w:lang w:val="fr-FR"/>
        </w:rPr>
        <w:t xml:space="preserve">Le Groupe de travail a mené à bien deux processus parallèles et interdépendants en vue de </w:t>
      </w:r>
      <w:r w:rsidR="007B38A7" w:rsidRPr="00495CD3">
        <w:rPr>
          <w:sz w:val="22"/>
          <w:szCs w:val="22"/>
          <w:lang w:val="fr-FR"/>
        </w:rPr>
        <w:t>la création</w:t>
      </w:r>
      <w:r w:rsidRPr="00495CD3">
        <w:rPr>
          <w:sz w:val="22"/>
          <w:szCs w:val="22"/>
          <w:lang w:val="fr-FR"/>
        </w:rPr>
        <w:t xml:space="preserve"> </w:t>
      </w:r>
      <w:r w:rsidR="00263FAE" w:rsidRPr="00495CD3">
        <w:rPr>
          <w:sz w:val="22"/>
          <w:szCs w:val="22"/>
          <w:lang w:val="fr-FR"/>
        </w:rPr>
        <w:t>de la sous-commission de la COI pour l’océan Indien</w:t>
      </w:r>
      <w:r w:rsidRPr="00495CD3">
        <w:rPr>
          <w:sz w:val="22"/>
          <w:szCs w:val="22"/>
          <w:lang w:val="fr-FR"/>
        </w:rPr>
        <w:t xml:space="preserve"> central</w:t>
      </w:r>
      <w:r w:rsidR="000A746F" w:rsidRPr="00495CD3">
        <w:rPr>
          <w:sz w:val="22"/>
          <w:szCs w:val="22"/>
          <w:lang w:val="fr-FR"/>
        </w:rPr>
        <w:t> </w:t>
      </w:r>
      <w:r w:rsidR="00263FAE" w:rsidRPr="00495CD3">
        <w:rPr>
          <w:sz w:val="22"/>
          <w:szCs w:val="22"/>
          <w:lang w:val="fr-FR"/>
        </w:rPr>
        <w:t xml:space="preserve">: </w:t>
      </w:r>
    </w:p>
    <w:p w14:paraId="11CE7DDB" w14:textId="793A758C" w:rsidR="00263FAE" w:rsidRPr="00495CD3" w:rsidRDefault="003745D0" w:rsidP="00495CD3">
      <w:pPr>
        <w:pStyle w:val="COI"/>
        <w:ind w:left="1134" w:hanging="567"/>
        <w:rPr>
          <w:sz w:val="22"/>
          <w:szCs w:val="22"/>
          <w:lang w:val="fr-FR"/>
        </w:rPr>
      </w:pPr>
      <w:r w:rsidRPr="00495CD3">
        <w:rPr>
          <w:sz w:val="22"/>
          <w:szCs w:val="22"/>
          <w:lang w:val="fr-FR"/>
        </w:rPr>
        <w:t>(i)</w:t>
      </w:r>
      <w:r w:rsidRPr="00495CD3">
        <w:rPr>
          <w:sz w:val="22"/>
          <w:szCs w:val="22"/>
          <w:lang w:val="fr-FR"/>
        </w:rPr>
        <w:tab/>
      </w:r>
      <w:r w:rsidR="00263FAE" w:rsidRPr="00495CD3">
        <w:rPr>
          <w:sz w:val="22"/>
          <w:szCs w:val="22"/>
          <w:lang w:val="fr-FR"/>
        </w:rPr>
        <w:t>le premier a concerné l’établissement formel de l’IOCINDIO en tant qu’organe intergouvernemental</w:t>
      </w:r>
      <w:r w:rsidR="007B38A7" w:rsidRPr="00495CD3">
        <w:rPr>
          <w:sz w:val="22"/>
          <w:szCs w:val="22"/>
          <w:lang w:val="fr-FR"/>
        </w:rPr>
        <w:t xml:space="preserve"> –</w:t>
      </w:r>
      <w:r w:rsidR="00263FAE" w:rsidRPr="00495CD3">
        <w:rPr>
          <w:sz w:val="22"/>
          <w:szCs w:val="22"/>
          <w:lang w:val="fr-FR"/>
        </w:rPr>
        <w:t xml:space="preserve"> définition</w:t>
      </w:r>
      <w:r w:rsidR="007B38A7" w:rsidRPr="00495CD3">
        <w:rPr>
          <w:sz w:val="22"/>
          <w:szCs w:val="22"/>
          <w:lang w:val="fr-FR"/>
        </w:rPr>
        <w:t xml:space="preserve"> </w:t>
      </w:r>
      <w:r w:rsidR="00263FAE" w:rsidRPr="00495CD3">
        <w:rPr>
          <w:sz w:val="22"/>
          <w:szCs w:val="22"/>
          <w:lang w:val="fr-FR"/>
        </w:rPr>
        <w:t>de son mandat, élaboration du projet de résolution et processus conduisant à son approbation et à l’adhésion des États membres</w:t>
      </w:r>
      <w:r w:rsidR="000A746F" w:rsidRPr="00495CD3">
        <w:rPr>
          <w:sz w:val="22"/>
          <w:szCs w:val="22"/>
          <w:lang w:val="fr-FR"/>
        </w:rPr>
        <w:t> </w:t>
      </w:r>
      <w:r w:rsidR="00263FAE" w:rsidRPr="00495CD3">
        <w:rPr>
          <w:sz w:val="22"/>
          <w:szCs w:val="22"/>
          <w:lang w:val="fr-FR"/>
        </w:rPr>
        <w:t xml:space="preserve">; </w:t>
      </w:r>
    </w:p>
    <w:p w14:paraId="39BF03D7" w14:textId="10D36A24" w:rsidR="00263FAE" w:rsidRPr="00495CD3" w:rsidRDefault="003745D0" w:rsidP="00495CD3">
      <w:pPr>
        <w:pStyle w:val="COI"/>
        <w:ind w:left="1134" w:hanging="567"/>
        <w:rPr>
          <w:sz w:val="22"/>
          <w:szCs w:val="22"/>
          <w:lang w:val="fr-FR"/>
        </w:rPr>
      </w:pPr>
      <w:r w:rsidRPr="00495CD3">
        <w:rPr>
          <w:sz w:val="22"/>
          <w:szCs w:val="22"/>
          <w:lang w:val="fr-FR"/>
        </w:rPr>
        <w:t>(ii)</w:t>
      </w:r>
      <w:r w:rsidRPr="00495CD3">
        <w:rPr>
          <w:sz w:val="22"/>
          <w:szCs w:val="22"/>
          <w:lang w:val="fr-FR"/>
        </w:rPr>
        <w:tab/>
      </w:r>
      <w:r w:rsidR="00263FAE" w:rsidRPr="00495CD3">
        <w:rPr>
          <w:sz w:val="22"/>
          <w:szCs w:val="22"/>
          <w:lang w:val="fr-FR"/>
        </w:rPr>
        <w:t>le second a porté sur la fonction de l’IOCINDIO</w:t>
      </w:r>
      <w:r w:rsidR="007B38A7" w:rsidRPr="00495CD3">
        <w:rPr>
          <w:sz w:val="22"/>
          <w:szCs w:val="22"/>
          <w:lang w:val="fr-FR"/>
        </w:rPr>
        <w:t xml:space="preserve"> et a consisté à</w:t>
      </w:r>
      <w:r w:rsidR="00263FAE" w:rsidRPr="00495CD3">
        <w:rPr>
          <w:sz w:val="22"/>
          <w:szCs w:val="22"/>
          <w:lang w:val="fr-FR"/>
        </w:rPr>
        <w:t xml:space="preserve"> recenser les questions, les problèmes et les possibilités liés à l’océan Indien que l’IOCINDIO traitera de manière effective, ce qui suscitera un intérêt et un engagement </w:t>
      </w:r>
      <w:r w:rsidR="007B38A7" w:rsidRPr="00495CD3">
        <w:rPr>
          <w:sz w:val="22"/>
          <w:szCs w:val="22"/>
          <w:lang w:val="fr-FR"/>
        </w:rPr>
        <w:t xml:space="preserve">véritable </w:t>
      </w:r>
      <w:r w:rsidR="00263FAE" w:rsidRPr="00495CD3">
        <w:rPr>
          <w:sz w:val="22"/>
          <w:szCs w:val="22"/>
          <w:lang w:val="fr-FR"/>
        </w:rPr>
        <w:t xml:space="preserve">de la part des États membres. </w:t>
      </w:r>
    </w:p>
    <w:p w14:paraId="63F7E110" w14:textId="18FCE5B6" w:rsidR="007B38A7" w:rsidRPr="00495CD3" w:rsidRDefault="007B38A7" w:rsidP="00FB4A98">
      <w:pPr>
        <w:pStyle w:val="COI"/>
        <w:rPr>
          <w:sz w:val="22"/>
          <w:szCs w:val="22"/>
          <w:lang w:val="fr-FR"/>
        </w:rPr>
      </w:pPr>
      <w:r w:rsidRPr="00495CD3">
        <w:rPr>
          <w:sz w:val="22"/>
          <w:szCs w:val="22"/>
          <w:lang w:val="fr-FR"/>
        </w:rPr>
        <w:t>8.</w:t>
      </w:r>
      <w:r w:rsidRPr="00495CD3">
        <w:rPr>
          <w:sz w:val="22"/>
          <w:szCs w:val="22"/>
          <w:lang w:val="fr-FR"/>
        </w:rPr>
        <w:tab/>
      </w:r>
      <w:r w:rsidR="00263FAE" w:rsidRPr="00495CD3">
        <w:rPr>
          <w:sz w:val="22"/>
          <w:szCs w:val="22"/>
          <w:lang w:val="fr-FR"/>
        </w:rPr>
        <w:t xml:space="preserve">Il convient de noter que le Groupe de travail s’est révélé être un mécanisme d’échange dynamique et </w:t>
      </w:r>
      <w:r w:rsidRPr="00495CD3">
        <w:rPr>
          <w:sz w:val="22"/>
          <w:szCs w:val="22"/>
          <w:lang w:val="fr-FR"/>
        </w:rPr>
        <w:t>fiable</w:t>
      </w:r>
      <w:r w:rsidR="00263FAE" w:rsidRPr="00495CD3">
        <w:rPr>
          <w:sz w:val="22"/>
          <w:szCs w:val="22"/>
          <w:lang w:val="fr-FR"/>
        </w:rPr>
        <w:t xml:space="preserve"> pour définir </w:t>
      </w:r>
      <w:r w:rsidRPr="00495CD3">
        <w:rPr>
          <w:sz w:val="22"/>
          <w:szCs w:val="22"/>
          <w:lang w:val="fr-FR"/>
        </w:rPr>
        <w:t>d</w:t>
      </w:r>
      <w:r w:rsidR="00263FAE" w:rsidRPr="00495CD3">
        <w:rPr>
          <w:sz w:val="22"/>
          <w:szCs w:val="22"/>
          <w:lang w:val="fr-FR"/>
        </w:rPr>
        <w:t xml:space="preserve">es pratiques exemplaires, qui a permis aux États membres de </w:t>
      </w:r>
      <w:r w:rsidR="00A13BF0" w:rsidRPr="00495CD3">
        <w:rPr>
          <w:sz w:val="22"/>
          <w:szCs w:val="22"/>
          <w:lang w:val="fr-FR"/>
        </w:rPr>
        <w:t>débattre</w:t>
      </w:r>
      <w:r w:rsidR="00263FAE" w:rsidRPr="00495CD3">
        <w:rPr>
          <w:sz w:val="22"/>
          <w:szCs w:val="22"/>
          <w:lang w:val="fr-FR"/>
        </w:rPr>
        <w:t xml:space="preserve"> et d’exprimer leurs préoccupations de manière transparente, contribuant ainsi fortement à établir un consensus </w:t>
      </w:r>
      <w:r w:rsidR="00A13BF0" w:rsidRPr="00495CD3">
        <w:rPr>
          <w:sz w:val="22"/>
          <w:szCs w:val="22"/>
          <w:lang w:val="fr-FR"/>
        </w:rPr>
        <w:t xml:space="preserve">autour de la création de la sous-commission de la COI pour l’océan Indien central </w:t>
      </w:r>
      <w:r w:rsidR="00263FAE" w:rsidRPr="00495CD3">
        <w:rPr>
          <w:sz w:val="22"/>
          <w:szCs w:val="22"/>
          <w:lang w:val="fr-FR"/>
        </w:rPr>
        <w:t xml:space="preserve">sur une base </w:t>
      </w:r>
      <w:r w:rsidR="00881041" w:rsidRPr="00495CD3">
        <w:rPr>
          <w:sz w:val="22"/>
          <w:szCs w:val="22"/>
          <w:lang w:val="fr-FR"/>
        </w:rPr>
        <w:t xml:space="preserve">solide </w:t>
      </w:r>
      <w:r w:rsidR="00263FAE" w:rsidRPr="00495CD3">
        <w:rPr>
          <w:sz w:val="22"/>
          <w:szCs w:val="22"/>
          <w:lang w:val="fr-FR"/>
        </w:rPr>
        <w:t xml:space="preserve">de confiance mutuelle. Ces discussions ont été utiles pour </w:t>
      </w:r>
      <w:r w:rsidRPr="00495CD3">
        <w:rPr>
          <w:sz w:val="22"/>
          <w:szCs w:val="22"/>
          <w:lang w:val="fr-FR"/>
        </w:rPr>
        <w:t>concevoir</w:t>
      </w:r>
      <w:r w:rsidR="00263FAE" w:rsidRPr="00495CD3">
        <w:rPr>
          <w:sz w:val="22"/>
          <w:szCs w:val="22"/>
          <w:lang w:val="fr-FR"/>
        </w:rPr>
        <w:t xml:space="preserve"> collectivement la nouvelle sous-commission</w:t>
      </w:r>
      <w:r w:rsidRPr="00495CD3">
        <w:rPr>
          <w:sz w:val="22"/>
          <w:szCs w:val="22"/>
          <w:lang w:val="fr-FR"/>
        </w:rPr>
        <w:t xml:space="preserve"> dans un climat marqué par un large</w:t>
      </w:r>
      <w:r w:rsidR="00263FAE" w:rsidRPr="00495CD3">
        <w:rPr>
          <w:sz w:val="22"/>
          <w:szCs w:val="22"/>
          <w:lang w:val="fr-FR"/>
        </w:rPr>
        <w:t xml:space="preserve"> consensus et </w:t>
      </w:r>
      <w:r w:rsidRPr="00495CD3">
        <w:rPr>
          <w:sz w:val="22"/>
          <w:szCs w:val="22"/>
          <w:lang w:val="fr-FR"/>
        </w:rPr>
        <w:t xml:space="preserve">un fort sentiment </w:t>
      </w:r>
      <w:r w:rsidR="00263FAE" w:rsidRPr="00495CD3">
        <w:rPr>
          <w:sz w:val="22"/>
          <w:szCs w:val="22"/>
          <w:lang w:val="fr-FR"/>
        </w:rPr>
        <w:t>d’adhésion.</w:t>
      </w:r>
    </w:p>
    <w:p w14:paraId="423B7520" w14:textId="51BFF059" w:rsidR="00263FAE" w:rsidRPr="00495CD3" w:rsidRDefault="007B38A7" w:rsidP="00FB4A98">
      <w:pPr>
        <w:pStyle w:val="COI"/>
        <w:rPr>
          <w:lang w:val="fr-FR"/>
        </w:rPr>
      </w:pPr>
      <w:r w:rsidRPr="00495CD3">
        <w:rPr>
          <w:sz w:val="22"/>
          <w:szCs w:val="22"/>
          <w:lang w:val="fr-FR"/>
        </w:rPr>
        <w:t>9.</w:t>
      </w:r>
      <w:r w:rsidRPr="00495CD3">
        <w:rPr>
          <w:sz w:val="22"/>
          <w:szCs w:val="22"/>
          <w:lang w:val="fr-FR"/>
        </w:rPr>
        <w:tab/>
      </w:r>
      <w:r w:rsidR="00263FAE" w:rsidRPr="00495CD3">
        <w:rPr>
          <w:sz w:val="22"/>
          <w:szCs w:val="22"/>
          <w:lang w:val="fr-FR"/>
        </w:rPr>
        <w:t xml:space="preserve">Enfin, le Groupe de travail a approuvé à l’unanimité la proposition visant à établir l’IOCINDIO en tant que sous-commission sur la base des principes </w:t>
      </w:r>
      <w:r w:rsidRPr="00495CD3">
        <w:rPr>
          <w:sz w:val="22"/>
          <w:szCs w:val="22"/>
          <w:lang w:val="fr-FR"/>
        </w:rPr>
        <w:t>définis</w:t>
      </w:r>
      <w:r w:rsidR="00263FAE" w:rsidRPr="00495CD3">
        <w:rPr>
          <w:sz w:val="22"/>
          <w:szCs w:val="22"/>
          <w:lang w:val="fr-FR"/>
        </w:rPr>
        <w:t xml:space="preserve">. Il a ensuite rédigé le projet de résolution et le mandat </w:t>
      </w:r>
      <w:r w:rsidRPr="00495CD3">
        <w:rPr>
          <w:sz w:val="22"/>
          <w:szCs w:val="22"/>
          <w:lang w:val="fr-FR"/>
        </w:rPr>
        <w:t>ci-après,</w:t>
      </w:r>
      <w:r w:rsidR="00263FAE" w:rsidRPr="00495CD3">
        <w:rPr>
          <w:sz w:val="22"/>
          <w:szCs w:val="22"/>
          <w:lang w:val="fr-FR"/>
        </w:rPr>
        <w:t xml:space="preserve"> </w:t>
      </w:r>
      <w:r w:rsidR="00A13BF0" w:rsidRPr="00495CD3">
        <w:rPr>
          <w:sz w:val="22"/>
          <w:szCs w:val="22"/>
          <w:lang w:val="fr-FR"/>
        </w:rPr>
        <w:t>les</w:t>
      </w:r>
      <w:r w:rsidR="00263FAE" w:rsidRPr="00495CD3">
        <w:rPr>
          <w:sz w:val="22"/>
          <w:szCs w:val="22"/>
          <w:lang w:val="fr-FR"/>
        </w:rPr>
        <w:t>qu</w:t>
      </w:r>
      <w:r w:rsidR="00A13BF0" w:rsidRPr="00495CD3">
        <w:rPr>
          <w:sz w:val="22"/>
          <w:szCs w:val="22"/>
          <w:lang w:val="fr-FR"/>
        </w:rPr>
        <w:t>els</w:t>
      </w:r>
      <w:r w:rsidR="00263FAE" w:rsidRPr="00495CD3">
        <w:rPr>
          <w:sz w:val="22"/>
          <w:szCs w:val="22"/>
          <w:lang w:val="fr-FR"/>
        </w:rPr>
        <w:t xml:space="preserve"> seront soumis à l’examen de l’Assemblée de la COI. </w:t>
      </w:r>
    </w:p>
    <w:p w14:paraId="7E0914C7" w14:textId="032E6B4D" w:rsidR="00263FAE" w:rsidRPr="007F340E" w:rsidRDefault="00263FAE" w:rsidP="007F340E">
      <w:pPr>
        <w:spacing w:after="240"/>
        <w:jc w:val="both"/>
        <w:rPr>
          <w:rFonts w:cs="Arial"/>
          <w:b/>
          <w:bCs/>
          <w:color w:val="000000"/>
          <w:sz w:val="20"/>
          <w:szCs w:val="20"/>
          <w:u w:val="single"/>
        </w:rPr>
      </w:pPr>
      <w:r w:rsidRPr="007F340E">
        <w:rPr>
          <w:rFonts w:cs="Arial"/>
          <w:b/>
          <w:bCs/>
          <w:sz w:val="20"/>
          <w:szCs w:val="20"/>
          <w:u w:val="single"/>
        </w:rPr>
        <w:t>Projet de résolution</w:t>
      </w:r>
      <w:r w:rsidR="00BE109C">
        <w:rPr>
          <w:rFonts w:cs="Arial"/>
          <w:b/>
          <w:bCs/>
          <w:sz w:val="20"/>
          <w:szCs w:val="20"/>
          <w:u w:val="single"/>
        </w:rPr>
        <w:t xml:space="preserve"> A</w:t>
      </w:r>
      <w:r w:rsidRPr="007F340E">
        <w:rPr>
          <w:rFonts w:cs="Arial"/>
          <w:b/>
          <w:bCs/>
          <w:sz w:val="20"/>
          <w:szCs w:val="20"/>
          <w:u w:val="single"/>
        </w:rPr>
        <w:t>-32</w:t>
      </w:r>
      <w:proofErr w:type="gramStart"/>
      <w:r w:rsidRPr="007F340E">
        <w:rPr>
          <w:rFonts w:cs="Arial"/>
          <w:b/>
          <w:bCs/>
          <w:sz w:val="20"/>
          <w:szCs w:val="20"/>
          <w:u w:val="single"/>
        </w:rPr>
        <w:t>/[</w:t>
      </w:r>
      <w:proofErr w:type="gramEnd"/>
      <w:r w:rsidRPr="007F340E">
        <w:rPr>
          <w:rFonts w:cs="Arial"/>
          <w:b/>
          <w:bCs/>
          <w:sz w:val="20"/>
          <w:szCs w:val="20"/>
          <w:u w:val="single"/>
        </w:rPr>
        <w:t>4.5]</w:t>
      </w:r>
    </w:p>
    <w:p w14:paraId="3D6F136C" w14:textId="6E576061" w:rsidR="00263FAE" w:rsidRPr="007F340E" w:rsidRDefault="00263FAE" w:rsidP="007F340E">
      <w:pPr>
        <w:spacing w:after="240"/>
        <w:jc w:val="both"/>
        <w:rPr>
          <w:rFonts w:eastAsia="Calibri" w:cs="Arial"/>
          <w:i/>
          <w:sz w:val="20"/>
          <w:szCs w:val="20"/>
        </w:rPr>
      </w:pPr>
      <w:r w:rsidRPr="007F340E">
        <w:rPr>
          <w:rFonts w:cs="Arial"/>
          <w:i/>
          <w:iCs/>
          <w:sz w:val="20"/>
          <w:szCs w:val="20"/>
        </w:rPr>
        <w:t>Présenté par le Bangladesh, les Émirats arabes unis, le Kenya, le Koweït, le Pakistan et la République islamique d’Iran</w:t>
      </w:r>
    </w:p>
    <w:p w14:paraId="6948FD42" w14:textId="38C44942" w:rsidR="00263FAE" w:rsidRPr="007F340E" w:rsidRDefault="00FB4A98" w:rsidP="007F340E">
      <w:pPr>
        <w:spacing w:after="240"/>
        <w:jc w:val="both"/>
        <w:rPr>
          <w:rFonts w:eastAsia="Calibri" w:cs="Arial"/>
          <w:b/>
          <w:bCs/>
          <w:color w:val="000000"/>
          <w:sz w:val="20"/>
          <w:szCs w:val="20"/>
        </w:rPr>
      </w:pPr>
      <w:r>
        <w:rPr>
          <w:rFonts w:cs="Arial"/>
          <w:b/>
          <w:bCs/>
          <w:sz w:val="20"/>
          <w:szCs w:val="20"/>
        </w:rPr>
        <w:t>Création</w:t>
      </w:r>
      <w:r w:rsidR="00263FAE" w:rsidRPr="007F340E">
        <w:rPr>
          <w:rFonts w:cs="Arial"/>
          <w:b/>
          <w:bCs/>
          <w:sz w:val="20"/>
          <w:szCs w:val="20"/>
        </w:rPr>
        <w:t xml:space="preserve"> d’une sous-commission de la COI pour l’océan Indien </w:t>
      </w:r>
      <w:r w:rsidR="007B38A7" w:rsidRPr="007F340E">
        <w:rPr>
          <w:rFonts w:cs="Arial"/>
          <w:b/>
          <w:bCs/>
          <w:sz w:val="20"/>
          <w:szCs w:val="20"/>
        </w:rPr>
        <w:t xml:space="preserve">central </w:t>
      </w:r>
      <w:r w:rsidR="00263FAE" w:rsidRPr="007F340E">
        <w:rPr>
          <w:rFonts w:cs="Arial"/>
          <w:b/>
          <w:bCs/>
          <w:sz w:val="20"/>
          <w:szCs w:val="20"/>
        </w:rPr>
        <w:t>(IOCINDIO)</w:t>
      </w:r>
    </w:p>
    <w:p w14:paraId="0258E809" w14:textId="77777777" w:rsidR="00257273" w:rsidRPr="007F340E" w:rsidRDefault="00257273" w:rsidP="007F340E">
      <w:pPr>
        <w:tabs>
          <w:tab w:val="num" w:pos="1400"/>
        </w:tabs>
        <w:spacing w:after="240"/>
        <w:ind w:left="720" w:hanging="720"/>
        <w:rPr>
          <w:rFonts w:eastAsia="Times New Roman" w:cs="Arial"/>
          <w:sz w:val="20"/>
          <w:szCs w:val="22"/>
          <w:lang w:eastAsia="en-US"/>
        </w:rPr>
      </w:pPr>
      <w:r w:rsidRPr="007F340E">
        <w:rPr>
          <w:rFonts w:eastAsia="Times New Roman" w:cs="Arial"/>
          <w:sz w:val="20"/>
          <w:szCs w:val="22"/>
          <w:lang w:eastAsia="en-US"/>
        </w:rPr>
        <w:t>La Commission océanographique intergouvernementale,</w:t>
      </w:r>
    </w:p>
    <w:p w14:paraId="27CA4BC1" w14:textId="77777777" w:rsidR="00257273" w:rsidRPr="007F340E" w:rsidRDefault="00257273" w:rsidP="007F340E">
      <w:pPr>
        <w:pStyle w:val="Marge"/>
        <w:ind w:left="567" w:hanging="567"/>
        <w:rPr>
          <w:sz w:val="20"/>
          <w:szCs w:val="22"/>
        </w:rPr>
      </w:pPr>
      <w:r w:rsidRPr="007F340E">
        <w:rPr>
          <w:sz w:val="20"/>
          <w:szCs w:val="22"/>
        </w:rPr>
        <w:t>1.</w:t>
      </w:r>
      <w:r w:rsidRPr="007F340E">
        <w:rPr>
          <w:b/>
          <w:bCs/>
          <w:sz w:val="20"/>
          <w:szCs w:val="22"/>
        </w:rPr>
        <w:tab/>
        <w:t>Rappelant</w:t>
      </w:r>
      <w:r w:rsidRPr="007F340E">
        <w:rPr>
          <w:sz w:val="20"/>
          <w:szCs w:val="22"/>
        </w:rPr>
        <w:t xml:space="preserve"> sa résolution XII-14 intitulée « Groupe chargé du Programme de la COI relatif à l’océan Indien central » ainsi que les décisions A-31/3.5.6 et EC-55/3.5.2 sur le statut du Comité régional de la COI pour l’océan Indien central,</w:t>
      </w:r>
    </w:p>
    <w:p w14:paraId="16C90495" w14:textId="77777777" w:rsidR="00257273" w:rsidRPr="007F340E" w:rsidRDefault="00257273" w:rsidP="007F340E">
      <w:pPr>
        <w:pStyle w:val="Marge"/>
        <w:ind w:left="567" w:hanging="567"/>
        <w:rPr>
          <w:sz w:val="20"/>
          <w:szCs w:val="22"/>
        </w:rPr>
      </w:pPr>
      <w:r w:rsidRPr="007F340E">
        <w:rPr>
          <w:sz w:val="20"/>
          <w:szCs w:val="22"/>
        </w:rPr>
        <w:t>2.</w:t>
      </w:r>
      <w:r w:rsidRPr="007F340E">
        <w:rPr>
          <w:sz w:val="20"/>
          <w:szCs w:val="22"/>
        </w:rPr>
        <w:tab/>
      </w:r>
      <w:r w:rsidRPr="007F340E">
        <w:rPr>
          <w:b/>
          <w:bCs/>
          <w:sz w:val="20"/>
          <w:szCs w:val="22"/>
        </w:rPr>
        <w:t>Tenant compte</w:t>
      </w:r>
      <w:r w:rsidRPr="007F340E">
        <w:rPr>
          <w:sz w:val="20"/>
          <w:szCs w:val="22"/>
        </w:rPr>
        <w:t xml:space="preserve"> du fait que l’océan Indien central joue un rôle important, notamment dans le climat régional et mondial, y compris dans les moussons, l’oscillation australe El Niño, les précipitations et les chutes de neige en Eurasie, la météo et les phénomènes extrêmes,</w:t>
      </w:r>
    </w:p>
    <w:p w14:paraId="38C18DF6" w14:textId="77777777" w:rsidR="00257273" w:rsidRPr="007F340E" w:rsidRDefault="00257273" w:rsidP="00BE109C">
      <w:pPr>
        <w:pStyle w:val="Marge"/>
        <w:ind w:left="567" w:hanging="567"/>
        <w:rPr>
          <w:sz w:val="20"/>
          <w:szCs w:val="22"/>
        </w:rPr>
      </w:pPr>
      <w:r w:rsidRPr="007F340E">
        <w:rPr>
          <w:sz w:val="20"/>
          <w:szCs w:val="22"/>
        </w:rPr>
        <w:t>3.</w:t>
      </w:r>
      <w:r w:rsidRPr="007F340E">
        <w:rPr>
          <w:sz w:val="20"/>
          <w:szCs w:val="22"/>
        </w:rPr>
        <w:tab/>
      </w:r>
      <w:r w:rsidRPr="007F340E">
        <w:rPr>
          <w:b/>
          <w:bCs/>
          <w:sz w:val="20"/>
          <w:szCs w:val="22"/>
        </w:rPr>
        <w:t>Tenant également compte</w:t>
      </w:r>
      <w:r w:rsidRPr="007F340E">
        <w:rPr>
          <w:sz w:val="20"/>
          <w:szCs w:val="22"/>
        </w:rPr>
        <w:t xml:space="preserve"> du fait qu’après plus de trois décennies d’activités, l’IOCINDIO a accumulé une expérience inestimable, en a tiré des enseignements et a établi des bonnes pratiques, qui ont </w:t>
      </w:r>
      <w:r w:rsidRPr="007F340E">
        <w:rPr>
          <w:sz w:val="20"/>
          <w:szCs w:val="22"/>
        </w:rPr>
        <w:lastRenderedPageBreak/>
        <w:t>alimenté les délibérations du Groupe de travail intersessions à composition non limitée sur la transformation de l’IOCINDIO en sous</w:t>
      </w:r>
      <w:r w:rsidRPr="007F340E">
        <w:rPr>
          <w:sz w:val="20"/>
          <w:szCs w:val="22"/>
        </w:rPr>
        <w:noBreakHyphen/>
        <w:t>commission de la COI,</w:t>
      </w:r>
    </w:p>
    <w:p w14:paraId="746FFB4B" w14:textId="77777777" w:rsidR="00257273" w:rsidRPr="007F340E" w:rsidRDefault="00257273" w:rsidP="007F340E">
      <w:pPr>
        <w:pStyle w:val="Marge"/>
        <w:ind w:left="567" w:hanging="567"/>
        <w:rPr>
          <w:sz w:val="20"/>
          <w:szCs w:val="22"/>
        </w:rPr>
      </w:pPr>
      <w:r w:rsidRPr="007F340E">
        <w:rPr>
          <w:sz w:val="20"/>
          <w:szCs w:val="22"/>
        </w:rPr>
        <w:t>4.</w:t>
      </w:r>
      <w:r w:rsidRPr="007F340E">
        <w:rPr>
          <w:sz w:val="20"/>
          <w:szCs w:val="22"/>
        </w:rPr>
        <w:tab/>
      </w:r>
      <w:r w:rsidRPr="007F340E">
        <w:rPr>
          <w:b/>
          <w:bCs/>
          <w:sz w:val="20"/>
          <w:szCs w:val="22"/>
        </w:rPr>
        <w:t xml:space="preserve">Notant avec satisfaction </w:t>
      </w:r>
      <w:r w:rsidRPr="007F340E">
        <w:rPr>
          <w:sz w:val="20"/>
          <w:szCs w:val="22"/>
        </w:rPr>
        <w:t>le vif intérêt de nombreux États membres de l’IOCINDIO à œuvrer de concert à la création de la Sous-Commission, à renforcer la mise en œuvre des programmes de la COI dans la région, à atteindre les objectifs de la Décennie des Nations Unies pour les sciences océaniques au service du développement durable (2021</w:t>
      </w:r>
      <w:r w:rsidRPr="007F340E">
        <w:rPr>
          <w:sz w:val="20"/>
          <w:szCs w:val="22"/>
        </w:rPr>
        <w:noBreakHyphen/>
        <w:t>2030) et à développer les capacités des États membres de l’IOCINDIO en matière de sciences océaniques et de gestion durable de l’océan,</w:t>
      </w:r>
    </w:p>
    <w:p w14:paraId="07085FCA" w14:textId="77777777" w:rsidR="00257273" w:rsidRPr="007F340E" w:rsidRDefault="00257273" w:rsidP="007F340E">
      <w:pPr>
        <w:pStyle w:val="Marge"/>
        <w:ind w:left="567" w:hanging="567"/>
        <w:rPr>
          <w:sz w:val="20"/>
          <w:szCs w:val="22"/>
        </w:rPr>
      </w:pPr>
      <w:r w:rsidRPr="007F340E">
        <w:rPr>
          <w:sz w:val="20"/>
          <w:szCs w:val="22"/>
        </w:rPr>
        <w:t>5.</w:t>
      </w:r>
      <w:r w:rsidRPr="007F340E">
        <w:rPr>
          <w:sz w:val="20"/>
          <w:szCs w:val="22"/>
        </w:rPr>
        <w:tab/>
      </w:r>
      <w:r w:rsidRPr="007F340E">
        <w:rPr>
          <w:b/>
          <w:bCs/>
          <w:sz w:val="20"/>
          <w:szCs w:val="22"/>
        </w:rPr>
        <w:t>Notant également</w:t>
      </w:r>
      <w:r w:rsidRPr="007F340E">
        <w:rPr>
          <w:sz w:val="20"/>
          <w:szCs w:val="22"/>
        </w:rPr>
        <w:t xml:space="preserve"> qu’il est d’usage à la COI d’inviter chaque État membre à participer aux travaux de la Commission et de ses organes subsidiaires régionaux,</w:t>
      </w:r>
    </w:p>
    <w:p w14:paraId="674F7F74" w14:textId="77777777" w:rsidR="00257273" w:rsidRPr="007F340E" w:rsidRDefault="00257273" w:rsidP="007F340E">
      <w:pPr>
        <w:pStyle w:val="Marge"/>
        <w:ind w:left="567" w:hanging="567"/>
        <w:rPr>
          <w:sz w:val="20"/>
          <w:szCs w:val="22"/>
        </w:rPr>
      </w:pPr>
      <w:r w:rsidRPr="007F340E">
        <w:rPr>
          <w:sz w:val="20"/>
          <w:szCs w:val="22"/>
        </w:rPr>
        <w:t>6.</w:t>
      </w:r>
      <w:r w:rsidRPr="007F340E">
        <w:rPr>
          <w:sz w:val="20"/>
          <w:szCs w:val="22"/>
        </w:rPr>
        <w:tab/>
      </w:r>
      <w:r w:rsidRPr="007F340E">
        <w:rPr>
          <w:b/>
          <w:bCs/>
          <w:sz w:val="20"/>
          <w:szCs w:val="22"/>
        </w:rPr>
        <w:t>Exprime sa gratitude et sa reconnaissance</w:t>
      </w:r>
      <w:r w:rsidRPr="007F340E">
        <w:rPr>
          <w:sz w:val="20"/>
          <w:szCs w:val="22"/>
        </w:rPr>
        <w:t xml:space="preserve"> aux États membres qui ont participé et contribué aux délibérations du Groupe de travail ;</w:t>
      </w:r>
    </w:p>
    <w:p w14:paraId="6FD97262" w14:textId="77777777" w:rsidR="00257273" w:rsidRPr="007F340E" w:rsidRDefault="00257273" w:rsidP="007F340E">
      <w:pPr>
        <w:pStyle w:val="Marge"/>
        <w:ind w:left="567" w:hanging="567"/>
        <w:rPr>
          <w:sz w:val="20"/>
          <w:szCs w:val="22"/>
        </w:rPr>
      </w:pPr>
      <w:r w:rsidRPr="007F340E">
        <w:rPr>
          <w:sz w:val="20"/>
          <w:szCs w:val="22"/>
        </w:rPr>
        <w:t>7.</w:t>
      </w:r>
      <w:r w:rsidRPr="007F340E">
        <w:rPr>
          <w:sz w:val="20"/>
          <w:szCs w:val="22"/>
        </w:rPr>
        <w:tab/>
      </w:r>
      <w:r w:rsidRPr="007F340E">
        <w:rPr>
          <w:b/>
          <w:bCs/>
          <w:sz w:val="20"/>
          <w:szCs w:val="22"/>
        </w:rPr>
        <w:t>Salue</w:t>
      </w:r>
      <w:r w:rsidRPr="007F340E">
        <w:rPr>
          <w:sz w:val="20"/>
          <w:szCs w:val="22"/>
        </w:rPr>
        <w:t xml:space="preserve"> la qualité de la direction et </w:t>
      </w:r>
      <w:r w:rsidRPr="007F340E">
        <w:rPr>
          <w:b/>
          <w:bCs/>
          <w:sz w:val="20"/>
          <w:szCs w:val="22"/>
        </w:rPr>
        <w:t>se félicite</w:t>
      </w:r>
      <w:r w:rsidRPr="007F340E">
        <w:rPr>
          <w:sz w:val="20"/>
          <w:szCs w:val="22"/>
        </w:rPr>
        <w:t xml:space="preserve"> de l’investissement du Président de la COI et du Président de l’IOCINDIO, qui ont assuré la co-présidence du Groupe de travail ;</w:t>
      </w:r>
    </w:p>
    <w:p w14:paraId="0406135D" w14:textId="63366008" w:rsidR="00257273" w:rsidRPr="007F340E" w:rsidRDefault="00257273" w:rsidP="00341C6C">
      <w:pPr>
        <w:pStyle w:val="Marge"/>
        <w:ind w:left="567" w:hanging="567"/>
        <w:rPr>
          <w:sz w:val="20"/>
          <w:szCs w:val="22"/>
        </w:rPr>
      </w:pPr>
      <w:r w:rsidRPr="007F340E">
        <w:rPr>
          <w:sz w:val="20"/>
          <w:szCs w:val="22"/>
        </w:rPr>
        <w:t>8.</w:t>
      </w:r>
      <w:r w:rsidRPr="007F340E">
        <w:rPr>
          <w:sz w:val="20"/>
          <w:szCs w:val="22"/>
        </w:rPr>
        <w:tab/>
      </w:r>
      <w:r w:rsidRPr="007F340E">
        <w:rPr>
          <w:b/>
          <w:bCs/>
          <w:sz w:val="20"/>
          <w:szCs w:val="22"/>
        </w:rPr>
        <w:t>Remercie</w:t>
      </w:r>
      <w:r w:rsidRPr="007F340E">
        <w:rPr>
          <w:sz w:val="20"/>
          <w:szCs w:val="22"/>
        </w:rPr>
        <w:t xml:space="preserve"> le Vice-Président de la COI pour le </w:t>
      </w:r>
      <w:r w:rsidR="00341C6C">
        <w:rPr>
          <w:sz w:val="20"/>
          <w:szCs w:val="22"/>
        </w:rPr>
        <w:t>g</w:t>
      </w:r>
      <w:r w:rsidRPr="007F340E">
        <w:rPr>
          <w:sz w:val="20"/>
          <w:szCs w:val="22"/>
        </w:rPr>
        <w:t>roupe électoral IV et les Présidents de la Sous</w:t>
      </w:r>
      <w:r w:rsidR="00341C6C" w:rsidRPr="00341C6C">
        <w:rPr>
          <w:sz w:val="20"/>
          <w:szCs w:val="22"/>
        </w:rPr>
        <w:noBreakHyphen/>
      </w:r>
      <w:r w:rsidRPr="007F340E">
        <w:rPr>
          <w:sz w:val="20"/>
          <w:szCs w:val="22"/>
        </w:rPr>
        <w:t>commission de la COI pour l’Afrique et les États insulaires adjacents (IOCAFRICA) et de la Sous</w:t>
      </w:r>
      <w:r w:rsidR="00341C6C" w:rsidRPr="00341C6C">
        <w:rPr>
          <w:sz w:val="20"/>
          <w:szCs w:val="22"/>
        </w:rPr>
        <w:noBreakHyphen/>
      </w:r>
      <w:r w:rsidRPr="007F340E">
        <w:rPr>
          <w:sz w:val="20"/>
          <w:szCs w:val="22"/>
        </w:rPr>
        <w:t>Commission de la COI pour le Pacifique occidental (WESTPAC) pour leur contribution aux travaux du Groupe de travail, ainsi que le Secrétaire exécutif de la COI et le Secrétaire technique de l’IOCINDIO pour le soutien qu’ils ont apporté ;</w:t>
      </w:r>
    </w:p>
    <w:p w14:paraId="782190B4" w14:textId="77777777" w:rsidR="00257273" w:rsidRPr="007F340E" w:rsidRDefault="00257273" w:rsidP="007F340E">
      <w:pPr>
        <w:pStyle w:val="Marge"/>
        <w:ind w:left="567" w:hanging="567"/>
        <w:rPr>
          <w:rFonts w:eastAsia="DengXian"/>
          <w:sz w:val="20"/>
          <w:szCs w:val="22"/>
        </w:rPr>
      </w:pPr>
      <w:r w:rsidRPr="007F340E">
        <w:rPr>
          <w:rFonts w:eastAsia="DengXian"/>
          <w:sz w:val="20"/>
          <w:szCs w:val="22"/>
        </w:rPr>
        <w:t>9.</w:t>
      </w:r>
      <w:r w:rsidRPr="007F340E">
        <w:rPr>
          <w:rFonts w:eastAsia="DengXian"/>
          <w:sz w:val="20"/>
          <w:szCs w:val="22"/>
        </w:rPr>
        <w:tab/>
      </w:r>
      <w:r w:rsidRPr="007F340E">
        <w:rPr>
          <w:rFonts w:eastAsia="DengXian"/>
          <w:b/>
          <w:bCs/>
          <w:sz w:val="20"/>
          <w:szCs w:val="22"/>
        </w:rPr>
        <w:t>Décide :</w:t>
      </w:r>
    </w:p>
    <w:p w14:paraId="3AB932E4" w14:textId="77777777" w:rsidR="00257273" w:rsidRPr="007F340E" w:rsidRDefault="00257273" w:rsidP="007F340E">
      <w:pPr>
        <w:pStyle w:val="b"/>
        <w:rPr>
          <w:sz w:val="20"/>
          <w:szCs w:val="22"/>
        </w:rPr>
      </w:pPr>
      <w:r w:rsidRPr="007F340E">
        <w:rPr>
          <w:sz w:val="20"/>
          <w:szCs w:val="22"/>
        </w:rPr>
        <w:t>(i)</w:t>
      </w:r>
      <w:r w:rsidRPr="007F340E">
        <w:rPr>
          <w:sz w:val="20"/>
          <w:szCs w:val="22"/>
        </w:rPr>
        <w:tab/>
        <w:t>de créer la Sous-Commission de la COI pour l’océan Indien central (IOCINDIO), dont le mandat figure à l’annexe de la présente résolution ;</w:t>
      </w:r>
    </w:p>
    <w:p w14:paraId="6DE22513" w14:textId="77777777" w:rsidR="00257273" w:rsidRPr="007F340E" w:rsidRDefault="00257273" w:rsidP="007F340E">
      <w:pPr>
        <w:pStyle w:val="b"/>
        <w:rPr>
          <w:sz w:val="20"/>
          <w:szCs w:val="22"/>
        </w:rPr>
      </w:pPr>
      <w:r w:rsidRPr="007F340E">
        <w:rPr>
          <w:sz w:val="20"/>
          <w:szCs w:val="22"/>
        </w:rPr>
        <w:t>(ii)</w:t>
      </w:r>
      <w:r w:rsidRPr="007F340E">
        <w:rPr>
          <w:sz w:val="20"/>
          <w:szCs w:val="22"/>
        </w:rPr>
        <w:tab/>
        <w:t>que la décision portant création de l’IOCINDIO en tant que sous-commission de la COI entrera en vigueur dès que le Secrétaire exécutif de la COI aura reçu neuf (9) lettres d’adhésion officielles de la part des points focaux nationaux compétents des États membres de la COI ;</w:t>
      </w:r>
    </w:p>
    <w:p w14:paraId="17B53859" w14:textId="77777777" w:rsidR="00257273" w:rsidRPr="007F340E" w:rsidRDefault="00257273" w:rsidP="007F340E">
      <w:pPr>
        <w:pStyle w:val="b"/>
        <w:rPr>
          <w:sz w:val="20"/>
          <w:szCs w:val="22"/>
        </w:rPr>
      </w:pPr>
      <w:r w:rsidRPr="007F340E">
        <w:rPr>
          <w:sz w:val="20"/>
          <w:szCs w:val="22"/>
        </w:rPr>
        <w:t>(iii)</w:t>
      </w:r>
      <w:r w:rsidRPr="007F340E">
        <w:rPr>
          <w:sz w:val="20"/>
          <w:szCs w:val="22"/>
        </w:rPr>
        <w:tab/>
        <w:t>que l’IOCINDIO en tant que comité régional de la COI sera dissous au début de la première réunion de l’IOCINDIO en tant que sous-commission de la COI ;</w:t>
      </w:r>
    </w:p>
    <w:p w14:paraId="1E3F7E48" w14:textId="77777777" w:rsidR="00257273" w:rsidRPr="007F340E" w:rsidRDefault="00257273" w:rsidP="007F340E">
      <w:pPr>
        <w:pStyle w:val="Marge"/>
        <w:rPr>
          <w:sz w:val="20"/>
          <w:szCs w:val="22"/>
        </w:rPr>
      </w:pPr>
      <w:r w:rsidRPr="007F340E">
        <w:rPr>
          <w:sz w:val="20"/>
          <w:szCs w:val="22"/>
        </w:rPr>
        <w:t>10.</w:t>
      </w:r>
      <w:r w:rsidRPr="007F340E">
        <w:rPr>
          <w:sz w:val="20"/>
          <w:szCs w:val="22"/>
        </w:rPr>
        <w:tab/>
      </w:r>
      <w:r w:rsidRPr="007F340E">
        <w:rPr>
          <w:b/>
          <w:bCs/>
          <w:sz w:val="20"/>
          <w:szCs w:val="22"/>
        </w:rPr>
        <w:t>Prie</w:t>
      </w:r>
      <w:r w:rsidRPr="007F340E">
        <w:rPr>
          <w:sz w:val="20"/>
          <w:szCs w:val="22"/>
        </w:rPr>
        <w:t xml:space="preserve"> le Secrétaire exécutif :</w:t>
      </w:r>
    </w:p>
    <w:p w14:paraId="04DC62BB" w14:textId="77777777" w:rsidR="00257273" w:rsidRPr="007F340E" w:rsidRDefault="00257273" w:rsidP="007F340E">
      <w:pPr>
        <w:pStyle w:val="b"/>
        <w:rPr>
          <w:sz w:val="20"/>
          <w:szCs w:val="22"/>
        </w:rPr>
      </w:pPr>
      <w:r w:rsidRPr="007F340E">
        <w:rPr>
          <w:sz w:val="20"/>
          <w:szCs w:val="22"/>
        </w:rPr>
        <w:t>(i)</w:t>
      </w:r>
      <w:r w:rsidRPr="007F340E">
        <w:rPr>
          <w:sz w:val="20"/>
          <w:szCs w:val="22"/>
        </w:rPr>
        <w:tab/>
        <w:t>de diffuser, dans les quatre (4) mois suivant l’adoption de la présente résolution, une lettre circulaire invitant les États membres à faire parvenir une lettre d’adhésion à la Sous</w:t>
      </w:r>
      <w:r w:rsidRPr="007F340E">
        <w:rPr>
          <w:sz w:val="20"/>
          <w:szCs w:val="22"/>
        </w:rPr>
        <w:noBreakHyphen/>
        <w:t>Commission de la COI pour l’océan Indien central ;</w:t>
      </w:r>
    </w:p>
    <w:p w14:paraId="15C459DB" w14:textId="309C499A" w:rsidR="00257273" w:rsidRPr="007F340E" w:rsidRDefault="00257273" w:rsidP="007F340E">
      <w:pPr>
        <w:pStyle w:val="b"/>
        <w:rPr>
          <w:sz w:val="20"/>
          <w:szCs w:val="22"/>
        </w:rPr>
      </w:pPr>
      <w:r w:rsidRPr="007F340E">
        <w:rPr>
          <w:sz w:val="20"/>
          <w:szCs w:val="22"/>
        </w:rPr>
        <w:t>(ii)</w:t>
      </w:r>
      <w:r w:rsidRPr="007F340E">
        <w:rPr>
          <w:sz w:val="20"/>
          <w:szCs w:val="22"/>
        </w:rPr>
        <w:tab/>
        <w:t>dès l’entrée en vigueur de la présente résolution portant création de l’IOCINDIO en tant que sous</w:t>
      </w:r>
      <w:r w:rsidR="00341C6C" w:rsidRPr="00341C6C">
        <w:rPr>
          <w:sz w:val="20"/>
          <w:szCs w:val="22"/>
        </w:rPr>
        <w:noBreakHyphen/>
      </w:r>
      <w:r w:rsidRPr="007F340E">
        <w:rPr>
          <w:sz w:val="20"/>
          <w:szCs w:val="22"/>
        </w:rPr>
        <w:t>commission de la COI, de convoquer la première session de la Sous</w:t>
      </w:r>
      <w:r w:rsidRPr="007F340E">
        <w:rPr>
          <w:sz w:val="20"/>
          <w:szCs w:val="22"/>
        </w:rPr>
        <w:noBreakHyphen/>
        <w:t>Commission au cours de laquelle les membres de son bureau seront élus.</w:t>
      </w:r>
    </w:p>
    <w:p w14:paraId="28B7E9B2" w14:textId="26AED5F6" w:rsidR="00257273" w:rsidRPr="005D6352" w:rsidRDefault="00257273" w:rsidP="007F340E">
      <w:pPr>
        <w:spacing w:after="240"/>
        <w:jc w:val="center"/>
        <w:rPr>
          <w:rFonts w:eastAsia="Times New Roman" w:cs="Arial"/>
          <w:b/>
          <w:bCs/>
          <w:sz w:val="20"/>
          <w:szCs w:val="22"/>
          <w:lang w:eastAsia="en-US"/>
        </w:rPr>
      </w:pPr>
      <w:r w:rsidRPr="005D6352">
        <w:rPr>
          <w:rFonts w:eastAsia="Times New Roman" w:cs="Arial"/>
          <w:b/>
          <w:bCs/>
          <w:sz w:val="20"/>
          <w:szCs w:val="22"/>
          <w:u w:val="single"/>
          <w:lang w:eastAsia="en-US"/>
        </w:rPr>
        <w:t>Annexe au projet de résolution</w:t>
      </w:r>
      <w:r w:rsidR="00BE109C">
        <w:rPr>
          <w:rFonts w:eastAsia="Times New Roman" w:cs="Arial"/>
          <w:b/>
          <w:bCs/>
          <w:sz w:val="20"/>
          <w:szCs w:val="22"/>
          <w:u w:val="single"/>
          <w:lang w:eastAsia="en-US"/>
        </w:rPr>
        <w:t xml:space="preserve"> </w:t>
      </w:r>
      <w:r w:rsidRPr="005D6352">
        <w:rPr>
          <w:rFonts w:eastAsia="Times New Roman" w:cs="Arial"/>
          <w:b/>
          <w:bCs/>
          <w:sz w:val="20"/>
          <w:szCs w:val="22"/>
          <w:u w:val="single"/>
          <w:lang w:eastAsia="en-US"/>
        </w:rPr>
        <w:t>A-32</w:t>
      </w:r>
      <w:proofErr w:type="gramStart"/>
      <w:r w:rsidRPr="005D6352">
        <w:rPr>
          <w:rFonts w:eastAsia="Times New Roman" w:cs="Arial"/>
          <w:b/>
          <w:bCs/>
          <w:sz w:val="20"/>
          <w:szCs w:val="22"/>
          <w:u w:val="single"/>
          <w:lang w:eastAsia="en-US"/>
        </w:rPr>
        <w:t>/[</w:t>
      </w:r>
      <w:proofErr w:type="gramEnd"/>
      <w:r w:rsidRPr="005D6352">
        <w:rPr>
          <w:rFonts w:eastAsia="Times New Roman" w:cs="Arial"/>
          <w:b/>
          <w:bCs/>
          <w:sz w:val="20"/>
          <w:szCs w:val="22"/>
          <w:u w:val="single"/>
          <w:lang w:eastAsia="en-US"/>
        </w:rPr>
        <w:t>4.5]</w:t>
      </w:r>
    </w:p>
    <w:p w14:paraId="328D21EA" w14:textId="77777777" w:rsidR="00257273" w:rsidRPr="007F340E" w:rsidRDefault="00257273" w:rsidP="007F340E">
      <w:pPr>
        <w:autoSpaceDE w:val="0"/>
        <w:autoSpaceDN w:val="0"/>
        <w:adjustRightInd w:val="0"/>
        <w:spacing w:after="240"/>
        <w:jc w:val="center"/>
        <w:rPr>
          <w:rFonts w:eastAsia="Times New Roman" w:cs="Arial"/>
          <w:b/>
          <w:bCs/>
          <w:sz w:val="20"/>
          <w:szCs w:val="22"/>
          <w:lang w:eastAsia="en-US"/>
        </w:rPr>
      </w:pPr>
      <w:r w:rsidRPr="007F340E">
        <w:rPr>
          <w:rFonts w:eastAsia="Times New Roman" w:cs="Arial"/>
          <w:b/>
          <w:bCs/>
          <w:sz w:val="20"/>
          <w:szCs w:val="22"/>
          <w:lang w:eastAsia="en-US"/>
        </w:rPr>
        <w:t>Mandat de la Sous-Commission de la COI pour l’océan Indien central (IOCINDIO)</w:t>
      </w:r>
    </w:p>
    <w:p w14:paraId="6B5AD616" w14:textId="77777777" w:rsidR="00257273" w:rsidRPr="007F340E" w:rsidRDefault="00257273" w:rsidP="007F340E">
      <w:pPr>
        <w:pStyle w:val="Marge"/>
        <w:rPr>
          <w:b/>
          <w:bCs/>
          <w:sz w:val="20"/>
          <w:szCs w:val="22"/>
        </w:rPr>
      </w:pPr>
      <w:r w:rsidRPr="007F340E">
        <w:rPr>
          <w:b/>
          <w:bCs/>
          <w:sz w:val="20"/>
          <w:szCs w:val="22"/>
        </w:rPr>
        <w:t>1.</w:t>
      </w:r>
      <w:r w:rsidRPr="007F340E">
        <w:rPr>
          <w:b/>
          <w:bCs/>
          <w:sz w:val="20"/>
          <w:szCs w:val="22"/>
        </w:rPr>
        <w:tab/>
        <w:t>Intitulé</w:t>
      </w:r>
    </w:p>
    <w:p w14:paraId="16D40028" w14:textId="77777777" w:rsidR="00257273" w:rsidRPr="007F340E" w:rsidRDefault="00257273" w:rsidP="007F340E">
      <w:pPr>
        <w:pStyle w:val="Marge"/>
        <w:rPr>
          <w:bCs/>
          <w:sz w:val="20"/>
          <w:szCs w:val="22"/>
        </w:rPr>
      </w:pPr>
      <w:r w:rsidRPr="007F340E">
        <w:rPr>
          <w:sz w:val="20"/>
          <w:szCs w:val="22"/>
        </w:rPr>
        <w:t>Sous-Commission de la COI pour l’océan Indien central (IOCINDIO)</w:t>
      </w:r>
    </w:p>
    <w:p w14:paraId="5E16C33D" w14:textId="77777777" w:rsidR="00257273" w:rsidRPr="007F340E" w:rsidRDefault="00257273" w:rsidP="007F340E">
      <w:pPr>
        <w:pStyle w:val="Marge"/>
        <w:rPr>
          <w:b/>
          <w:bCs/>
          <w:sz w:val="20"/>
          <w:szCs w:val="22"/>
        </w:rPr>
      </w:pPr>
      <w:r w:rsidRPr="007F340E">
        <w:rPr>
          <w:b/>
          <w:bCs/>
          <w:sz w:val="20"/>
          <w:szCs w:val="22"/>
        </w:rPr>
        <w:t>2.</w:t>
      </w:r>
      <w:r w:rsidRPr="007F340E">
        <w:rPr>
          <w:b/>
          <w:bCs/>
          <w:sz w:val="20"/>
          <w:szCs w:val="22"/>
        </w:rPr>
        <w:tab/>
        <w:t>Mission</w:t>
      </w:r>
    </w:p>
    <w:p w14:paraId="2A4CEAA8" w14:textId="7FC01EC5" w:rsidR="00257273" w:rsidRPr="007F340E" w:rsidRDefault="00257273" w:rsidP="007F340E">
      <w:pPr>
        <w:pStyle w:val="Marge"/>
        <w:rPr>
          <w:spacing w:val="-3"/>
          <w:sz w:val="20"/>
          <w:szCs w:val="22"/>
        </w:rPr>
      </w:pPr>
      <w:r w:rsidRPr="007F340E">
        <w:rPr>
          <w:spacing w:val="-3"/>
          <w:sz w:val="20"/>
          <w:szCs w:val="22"/>
        </w:rPr>
        <w:t xml:space="preserve">La Sous-Commission de la COI pour l’océan Indien central (IOCINDIO) est un organe subsidiaire régional intergouvernemental primordial de la Commission océanographique intergouvernementale de l’UNESCO, dont la </w:t>
      </w:r>
      <w:r w:rsidRPr="007F340E">
        <w:rPr>
          <w:spacing w:val="-3"/>
          <w:sz w:val="20"/>
          <w:szCs w:val="22"/>
        </w:rPr>
        <w:lastRenderedPageBreak/>
        <w:t>zone d’intérêt est située dans l’océan Indien central</w:t>
      </w:r>
      <w:r w:rsidRPr="007F340E">
        <w:rPr>
          <w:iCs/>
          <w:spacing w:val="-3"/>
          <w:sz w:val="20"/>
          <w:szCs w:val="22"/>
          <w:vertAlign w:val="superscript"/>
        </w:rPr>
        <w:footnoteReference w:id="1"/>
      </w:r>
      <w:r w:rsidRPr="007F340E">
        <w:rPr>
          <w:spacing w:val="-3"/>
          <w:sz w:val="20"/>
          <w:szCs w:val="22"/>
        </w:rPr>
        <w:t xml:space="preserve"> et dont le but est de promouvoir la coopération internationale et de coordonner les programmes de recherche, les services et le développement des capacités afin d’accroître les connaissances relatives à la nature et aux ressources des océans et des zones côtières</w:t>
      </w:r>
      <w:r w:rsidR="005D6352">
        <w:rPr>
          <w:spacing w:val="-3"/>
          <w:sz w:val="20"/>
          <w:szCs w:val="22"/>
        </w:rPr>
        <w:t>,</w:t>
      </w:r>
      <w:r w:rsidRPr="007F340E">
        <w:rPr>
          <w:spacing w:val="-3"/>
          <w:sz w:val="20"/>
          <w:szCs w:val="22"/>
        </w:rPr>
        <w:t xml:space="preserve"> et d’appliquer ces connaissances à l’amélioration de la gestion, au développement durable, à la protection du milieu marin et aux processus de prise de décisions par ses États membres.</w:t>
      </w:r>
    </w:p>
    <w:p w14:paraId="63D2ED4B" w14:textId="77777777" w:rsidR="00257273" w:rsidRPr="007F340E" w:rsidRDefault="00257273" w:rsidP="007F340E">
      <w:pPr>
        <w:pStyle w:val="Marge"/>
        <w:keepNext/>
        <w:keepLines/>
        <w:rPr>
          <w:b/>
          <w:bCs/>
          <w:sz w:val="20"/>
          <w:szCs w:val="22"/>
        </w:rPr>
      </w:pPr>
      <w:r w:rsidRPr="007F340E">
        <w:rPr>
          <w:b/>
          <w:bCs/>
          <w:sz w:val="20"/>
          <w:szCs w:val="22"/>
        </w:rPr>
        <w:t>3.</w:t>
      </w:r>
      <w:r w:rsidRPr="007F340E">
        <w:rPr>
          <w:b/>
          <w:bCs/>
          <w:sz w:val="20"/>
          <w:szCs w:val="22"/>
        </w:rPr>
        <w:tab/>
        <w:t>Objectifs</w:t>
      </w:r>
    </w:p>
    <w:p w14:paraId="2DE65447" w14:textId="77777777" w:rsidR="00257273" w:rsidRPr="007F340E" w:rsidRDefault="00257273" w:rsidP="007F340E">
      <w:pPr>
        <w:pStyle w:val="Marge"/>
        <w:rPr>
          <w:sz w:val="20"/>
          <w:szCs w:val="22"/>
        </w:rPr>
      </w:pPr>
      <w:bookmarkStart w:id="3" w:name="_Hlk131101299"/>
      <w:r w:rsidRPr="007F340E">
        <w:rPr>
          <w:sz w:val="20"/>
          <w:szCs w:val="22"/>
        </w:rPr>
        <w:t>Les objectifs de la Sous-Commission sont les suivants :</w:t>
      </w:r>
    </w:p>
    <w:p w14:paraId="783BEF32" w14:textId="77777777" w:rsidR="00257273" w:rsidRPr="007F340E" w:rsidRDefault="00257273" w:rsidP="007F340E">
      <w:pPr>
        <w:pStyle w:val="b"/>
        <w:tabs>
          <w:tab w:val="clear" w:pos="1134"/>
        </w:tabs>
        <w:rPr>
          <w:sz w:val="20"/>
          <w:szCs w:val="22"/>
        </w:rPr>
      </w:pPr>
      <w:r w:rsidRPr="007F340E">
        <w:rPr>
          <w:sz w:val="20"/>
          <w:szCs w:val="22"/>
        </w:rPr>
        <w:t>(i)</w:t>
      </w:r>
      <w:r w:rsidRPr="007F340E">
        <w:rPr>
          <w:sz w:val="20"/>
          <w:szCs w:val="22"/>
        </w:rPr>
        <w:tab/>
        <w:t>promouvoir la coopération internationale et coordonner les activités approuvées par les organes directeurs de la Commission océanographique intergouvernementale de l’UNESCO ;</w:t>
      </w:r>
    </w:p>
    <w:p w14:paraId="2E545557" w14:textId="77777777" w:rsidR="00257273" w:rsidRPr="007F340E" w:rsidRDefault="00257273" w:rsidP="007F340E">
      <w:pPr>
        <w:pStyle w:val="b"/>
        <w:rPr>
          <w:sz w:val="20"/>
          <w:szCs w:val="22"/>
        </w:rPr>
      </w:pPr>
      <w:r w:rsidRPr="007F340E">
        <w:rPr>
          <w:sz w:val="20"/>
          <w:szCs w:val="22"/>
        </w:rPr>
        <w:t>(ii)</w:t>
      </w:r>
      <w:r w:rsidRPr="007F340E">
        <w:rPr>
          <w:sz w:val="20"/>
          <w:szCs w:val="22"/>
        </w:rPr>
        <w:tab/>
        <w:t>formuler des recommandations à l’intention de la Commission océanographique intergouvernementale de l’UNESCO sur des questions et des domaines qui relèvent de sa compétence ;</w:t>
      </w:r>
    </w:p>
    <w:p w14:paraId="745AADF7" w14:textId="77777777" w:rsidR="00257273" w:rsidRPr="007F340E" w:rsidRDefault="00257273" w:rsidP="007F340E">
      <w:pPr>
        <w:pStyle w:val="b"/>
        <w:rPr>
          <w:sz w:val="20"/>
          <w:szCs w:val="22"/>
        </w:rPr>
      </w:pPr>
      <w:r w:rsidRPr="007F340E">
        <w:rPr>
          <w:sz w:val="20"/>
          <w:szCs w:val="22"/>
        </w:rPr>
        <w:t>(iii)</w:t>
      </w:r>
      <w:r w:rsidRPr="007F340E">
        <w:rPr>
          <w:sz w:val="20"/>
          <w:szCs w:val="22"/>
        </w:rPr>
        <w:tab/>
        <w:t>élaborer un plan de mise en œuvre des activités approuvées ;</w:t>
      </w:r>
    </w:p>
    <w:p w14:paraId="55D0C1E2" w14:textId="77777777" w:rsidR="00257273" w:rsidRPr="007F340E" w:rsidRDefault="00257273" w:rsidP="007F340E">
      <w:pPr>
        <w:pStyle w:val="b"/>
        <w:rPr>
          <w:sz w:val="20"/>
          <w:szCs w:val="22"/>
        </w:rPr>
      </w:pPr>
      <w:r w:rsidRPr="007F340E">
        <w:rPr>
          <w:sz w:val="20"/>
          <w:szCs w:val="22"/>
        </w:rPr>
        <w:t>(iv)</w:t>
      </w:r>
      <w:r w:rsidRPr="007F340E">
        <w:rPr>
          <w:sz w:val="20"/>
          <w:szCs w:val="22"/>
        </w:rPr>
        <w:tab/>
        <w:t>offrir un cadre permettant de définir les questions et les solutions régionales en s’appuyant sur la coopération internationale ;</w:t>
      </w:r>
    </w:p>
    <w:p w14:paraId="44AADD55" w14:textId="77777777" w:rsidR="00257273" w:rsidRPr="007F340E" w:rsidRDefault="00257273" w:rsidP="007F340E">
      <w:pPr>
        <w:pStyle w:val="b"/>
        <w:rPr>
          <w:sz w:val="20"/>
          <w:szCs w:val="22"/>
        </w:rPr>
      </w:pPr>
      <w:r w:rsidRPr="007F340E">
        <w:rPr>
          <w:sz w:val="20"/>
          <w:szCs w:val="22"/>
        </w:rPr>
        <w:t>(v)</w:t>
      </w:r>
      <w:r w:rsidRPr="007F340E">
        <w:rPr>
          <w:sz w:val="20"/>
          <w:szCs w:val="22"/>
        </w:rPr>
        <w:tab/>
        <w:t>coopérer avec les organisations, organismes et institutions compétents ;</w:t>
      </w:r>
    </w:p>
    <w:p w14:paraId="69F9E4BC" w14:textId="77777777" w:rsidR="00257273" w:rsidRPr="007F340E" w:rsidRDefault="00257273" w:rsidP="007F340E">
      <w:pPr>
        <w:pStyle w:val="b"/>
        <w:rPr>
          <w:sz w:val="20"/>
          <w:szCs w:val="22"/>
        </w:rPr>
      </w:pPr>
      <w:r w:rsidRPr="007F340E">
        <w:rPr>
          <w:sz w:val="20"/>
          <w:szCs w:val="22"/>
        </w:rPr>
        <w:t>(vi)</w:t>
      </w:r>
      <w:r w:rsidRPr="007F340E">
        <w:rPr>
          <w:sz w:val="20"/>
          <w:szCs w:val="22"/>
        </w:rPr>
        <w:tab/>
        <w:t>coopérer avec d’autres organes subsidiaires et programmes de la Commission océanographique intergouvernementale de l’UNESCO sur des questions d’intérêt commun, en particulier avec les sous-commissions adjacentes, l’IOCAFRICA et la WESTPAC.</w:t>
      </w:r>
      <w:bookmarkEnd w:id="3"/>
    </w:p>
    <w:p w14:paraId="32C8FEDA" w14:textId="77777777" w:rsidR="00257273" w:rsidRPr="007F340E" w:rsidRDefault="00257273" w:rsidP="007F340E">
      <w:pPr>
        <w:pStyle w:val="Marge"/>
        <w:rPr>
          <w:b/>
          <w:bCs/>
          <w:sz w:val="20"/>
          <w:szCs w:val="22"/>
        </w:rPr>
      </w:pPr>
      <w:r w:rsidRPr="007F340E">
        <w:rPr>
          <w:b/>
          <w:bCs/>
          <w:sz w:val="20"/>
          <w:szCs w:val="22"/>
        </w:rPr>
        <w:t>4.</w:t>
      </w:r>
      <w:r w:rsidRPr="007F340E">
        <w:rPr>
          <w:b/>
          <w:bCs/>
          <w:sz w:val="20"/>
          <w:szCs w:val="22"/>
        </w:rPr>
        <w:tab/>
        <w:t>Structure</w:t>
      </w:r>
    </w:p>
    <w:p w14:paraId="63E5C304" w14:textId="77777777" w:rsidR="00257273" w:rsidRPr="007F340E" w:rsidRDefault="00257273" w:rsidP="007F340E">
      <w:pPr>
        <w:pStyle w:val="Marge"/>
        <w:rPr>
          <w:sz w:val="20"/>
          <w:szCs w:val="22"/>
        </w:rPr>
      </w:pPr>
      <w:r w:rsidRPr="007F340E">
        <w:rPr>
          <w:sz w:val="20"/>
          <w:szCs w:val="22"/>
        </w:rPr>
        <w:t>La Sous-Commission est composée :</w:t>
      </w:r>
    </w:p>
    <w:p w14:paraId="007757C9" w14:textId="77777777" w:rsidR="00257273" w:rsidRPr="007F340E" w:rsidRDefault="00257273" w:rsidP="005D6352">
      <w:pPr>
        <w:pStyle w:val="TIRETbul1cm"/>
        <w:numPr>
          <w:ilvl w:val="0"/>
          <w:numId w:val="22"/>
        </w:numPr>
        <w:tabs>
          <w:tab w:val="clear" w:pos="644"/>
        </w:tabs>
        <w:snapToGrid/>
        <w:spacing w:after="120"/>
        <w:ind w:left="840" w:hanging="273"/>
        <w:rPr>
          <w:sz w:val="20"/>
          <w:szCs w:val="22"/>
          <w:lang w:eastAsia="en-US"/>
        </w:rPr>
      </w:pPr>
      <w:proofErr w:type="gramStart"/>
      <w:r w:rsidRPr="007F340E">
        <w:rPr>
          <w:sz w:val="20"/>
          <w:szCs w:val="22"/>
          <w:lang w:eastAsia="en-US"/>
        </w:rPr>
        <w:t>d’États</w:t>
      </w:r>
      <w:proofErr w:type="gramEnd"/>
      <w:r w:rsidRPr="007F340E">
        <w:rPr>
          <w:sz w:val="20"/>
          <w:szCs w:val="22"/>
          <w:lang w:eastAsia="en-US"/>
        </w:rPr>
        <w:t xml:space="preserve"> membres ;</w:t>
      </w:r>
    </w:p>
    <w:p w14:paraId="7D6F59A3" w14:textId="77777777" w:rsidR="00257273" w:rsidRPr="007F340E" w:rsidRDefault="00257273" w:rsidP="005D6352">
      <w:pPr>
        <w:pStyle w:val="TIRETbul1cm"/>
        <w:numPr>
          <w:ilvl w:val="0"/>
          <w:numId w:val="22"/>
        </w:numPr>
        <w:tabs>
          <w:tab w:val="clear" w:pos="644"/>
        </w:tabs>
        <w:snapToGrid/>
        <w:spacing w:after="120"/>
        <w:ind w:left="840" w:hanging="273"/>
        <w:rPr>
          <w:sz w:val="20"/>
          <w:szCs w:val="22"/>
          <w:lang w:eastAsia="en-US"/>
        </w:rPr>
      </w:pPr>
      <w:proofErr w:type="gramStart"/>
      <w:r w:rsidRPr="007F340E">
        <w:rPr>
          <w:sz w:val="20"/>
          <w:szCs w:val="22"/>
          <w:lang w:eastAsia="en-US"/>
        </w:rPr>
        <w:t>d’un</w:t>
      </w:r>
      <w:proofErr w:type="gramEnd"/>
      <w:r w:rsidRPr="007F340E">
        <w:rPr>
          <w:sz w:val="20"/>
          <w:szCs w:val="22"/>
          <w:lang w:eastAsia="en-US"/>
        </w:rPr>
        <w:t xml:space="preserve"> bureau ;</w:t>
      </w:r>
    </w:p>
    <w:p w14:paraId="33CEB515" w14:textId="77777777" w:rsidR="00257273" w:rsidRPr="007F340E" w:rsidRDefault="00257273" w:rsidP="005D6352">
      <w:pPr>
        <w:pStyle w:val="TIRETbul1cm"/>
        <w:numPr>
          <w:ilvl w:val="0"/>
          <w:numId w:val="22"/>
        </w:numPr>
        <w:tabs>
          <w:tab w:val="clear" w:pos="644"/>
        </w:tabs>
        <w:snapToGrid/>
        <w:spacing w:after="120"/>
        <w:ind w:left="840" w:hanging="273"/>
        <w:rPr>
          <w:sz w:val="20"/>
          <w:szCs w:val="22"/>
          <w:lang w:eastAsia="en-US"/>
        </w:rPr>
      </w:pPr>
      <w:proofErr w:type="gramStart"/>
      <w:r w:rsidRPr="007F340E">
        <w:rPr>
          <w:sz w:val="20"/>
          <w:szCs w:val="22"/>
          <w:lang w:eastAsia="en-US"/>
        </w:rPr>
        <w:t>d’équipes</w:t>
      </w:r>
      <w:proofErr w:type="gramEnd"/>
      <w:r w:rsidRPr="007F340E">
        <w:rPr>
          <w:sz w:val="20"/>
          <w:szCs w:val="22"/>
          <w:lang w:eastAsia="en-US"/>
        </w:rPr>
        <w:t xml:space="preserve"> spéciales ou de groupes de travail thématiques ou sous-régionaux, selon que de besoin ;</w:t>
      </w:r>
    </w:p>
    <w:p w14:paraId="1C05B72E" w14:textId="77777777" w:rsidR="00257273" w:rsidRPr="007F340E" w:rsidRDefault="00257273" w:rsidP="007F340E">
      <w:pPr>
        <w:pStyle w:val="TIRETbul1cm"/>
        <w:numPr>
          <w:ilvl w:val="0"/>
          <w:numId w:val="22"/>
        </w:numPr>
        <w:tabs>
          <w:tab w:val="clear" w:pos="644"/>
        </w:tabs>
        <w:snapToGrid/>
        <w:ind w:left="840" w:hanging="273"/>
        <w:rPr>
          <w:sz w:val="20"/>
          <w:szCs w:val="22"/>
          <w:lang w:eastAsia="en-US"/>
        </w:rPr>
      </w:pPr>
      <w:proofErr w:type="gramStart"/>
      <w:r w:rsidRPr="007F340E">
        <w:rPr>
          <w:sz w:val="20"/>
          <w:szCs w:val="22"/>
          <w:lang w:eastAsia="en-US"/>
        </w:rPr>
        <w:t>d’un</w:t>
      </w:r>
      <w:proofErr w:type="gramEnd"/>
      <w:r w:rsidRPr="007F340E">
        <w:rPr>
          <w:sz w:val="20"/>
          <w:szCs w:val="22"/>
          <w:lang w:eastAsia="en-US"/>
        </w:rPr>
        <w:t xml:space="preserve"> secrétariat.</w:t>
      </w:r>
    </w:p>
    <w:p w14:paraId="22511D4E" w14:textId="77777777" w:rsidR="00257273" w:rsidRPr="007F340E" w:rsidRDefault="00257273" w:rsidP="007F340E">
      <w:pPr>
        <w:pStyle w:val="Marge"/>
        <w:rPr>
          <w:b/>
          <w:bCs/>
          <w:sz w:val="20"/>
          <w:szCs w:val="22"/>
        </w:rPr>
      </w:pPr>
      <w:r w:rsidRPr="007F340E">
        <w:rPr>
          <w:b/>
          <w:bCs/>
          <w:sz w:val="20"/>
          <w:szCs w:val="22"/>
        </w:rPr>
        <w:t>5.</w:t>
      </w:r>
      <w:r w:rsidRPr="007F340E">
        <w:rPr>
          <w:b/>
          <w:bCs/>
          <w:sz w:val="20"/>
          <w:szCs w:val="22"/>
        </w:rPr>
        <w:tab/>
        <w:t>États membres</w:t>
      </w:r>
    </w:p>
    <w:p w14:paraId="1CDDF8A7" w14:textId="77777777" w:rsidR="00257273" w:rsidRPr="007F340E" w:rsidRDefault="00257273" w:rsidP="007F340E">
      <w:pPr>
        <w:pStyle w:val="Marge"/>
        <w:rPr>
          <w:sz w:val="20"/>
          <w:szCs w:val="22"/>
        </w:rPr>
      </w:pPr>
      <w:r w:rsidRPr="007F340E">
        <w:rPr>
          <w:sz w:val="20"/>
          <w:szCs w:val="22"/>
        </w:rPr>
        <w:t>La Sous-Commission comprend les États membres de la COI qui ont dûment informé le Secrétaire exécutif de la COI de leur adhésion. L’adhésion à l’IOCINDIO n’est pas limitée aux États membres géographiquement rattachés à l’océan Indien. Les points focaux nationaux de la COI pour les États membres de l’IOCINDIO sont les mêmes que pour la COI.</w:t>
      </w:r>
    </w:p>
    <w:p w14:paraId="0A98E4CE" w14:textId="77777777" w:rsidR="00257273" w:rsidRPr="007F340E" w:rsidRDefault="00257273" w:rsidP="007F340E">
      <w:pPr>
        <w:pStyle w:val="Marge"/>
        <w:rPr>
          <w:b/>
          <w:bCs/>
          <w:sz w:val="20"/>
          <w:szCs w:val="22"/>
        </w:rPr>
      </w:pPr>
      <w:r w:rsidRPr="00BE109C">
        <w:rPr>
          <w:b/>
          <w:bCs/>
          <w:sz w:val="20"/>
          <w:szCs w:val="22"/>
        </w:rPr>
        <w:t>6.</w:t>
      </w:r>
      <w:r w:rsidRPr="00BE109C">
        <w:rPr>
          <w:b/>
          <w:bCs/>
          <w:sz w:val="20"/>
          <w:szCs w:val="22"/>
        </w:rPr>
        <w:tab/>
        <w:t>Bureau</w:t>
      </w:r>
    </w:p>
    <w:p w14:paraId="268E66EA" w14:textId="77777777" w:rsidR="00257273" w:rsidRPr="007F340E" w:rsidRDefault="00257273" w:rsidP="007F340E">
      <w:pPr>
        <w:pStyle w:val="Marge"/>
        <w:rPr>
          <w:sz w:val="20"/>
          <w:szCs w:val="22"/>
        </w:rPr>
      </w:pPr>
      <w:r w:rsidRPr="007F340E">
        <w:rPr>
          <w:sz w:val="20"/>
          <w:szCs w:val="22"/>
        </w:rPr>
        <w:t>Le bureau de la Sous-Commission se compose d’un président et de deux vice-présidents élus par ses États membres. Ses membres exercent leurs fonctions conformément aux Directives concernant la structure et les fonctions des organes subsidiaires de la COI.</w:t>
      </w:r>
    </w:p>
    <w:p w14:paraId="400EDBB3" w14:textId="77777777" w:rsidR="00257273" w:rsidRPr="007F340E" w:rsidRDefault="00257273" w:rsidP="007F340E">
      <w:pPr>
        <w:pStyle w:val="Marge"/>
        <w:rPr>
          <w:b/>
          <w:bCs/>
          <w:sz w:val="20"/>
          <w:szCs w:val="22"/>
        </w:rPr>
      </w:pPr>
      <w:r w:rsidRPr="007F340E">
        <w:rPr>
          <w:b/>
          <w:bCs/>
          <w:sz w:val="20"/>
          <w:szCs w:val="22"/>
        </w:rPr>
        <w:t>7.</w:t>
      </w:r>
      <w:r w:rsidRPr="007F340E">
        <w:rPr>
          <w:b/>
          <w:bCs/>
          <w:sz w:val="20"/>
          <w:szCs w:val="22"/>
        </w:rPr>
        <w:tab/>
        <w:t>Groupes de travail et équipes spéciales</w:t>
      </w:r>
    </w:p>
    <w:p w14:paraId="150F40D1" w14:textId="77777777" w:rsidR="00257273" w:rsidRPr="007F340E" w:rsidRDefault="00257273" w:rsidP="007F340E">
      <w:pPr>
        <w:pStyle w:val="Marge"/>
        <w:rPr>
          <w:sz w:val="20"/>
          <w:szCs w:val="22"/>
        </w:rPr>
      </w:pPr>
      <w:r w:rsidRPr="007F340E">
        <w:rPr>
          <w:sz w:val="20"/>
          <w:szCs w:val="22"/>
        </w:rPr>
        <w:t>La Sous-Commission crée ses organes de travail subsidiaires en fonction de ses besoins et conformément aux Directives concernant la structure et les fonctions des organes subsidiaires de la COI. Elle peut établir des organes de travail subsidiaires conjoints, notamment avec l’IOCAFRICA et la WESTPAC.</w:t>
      </w:r>
    </w:p>
    <w:p w14:paraId="05363CCA" w14:textId="77777777" w:rsidR="00257273" w:rsidRPr="007F340E" w:rsidRDefault="00257273" w:rsidP="007F340E">
      <w:pPr>
        <w:pStyle w:val="Marge"/>
        <w:rPr>
          <w:b/>
          <w:bCs/>
          <w:sz w:val="20"/>
          <w:szCs w:val="22"/>
        </w:rPr>
      </w:pPr>
      <w:r w:rsidRPr="007F340E">
        <w:rPr>
          <w:b/>
          <w:bCs/>
          <w:sz w:val="20"/>
          <w:szCs w:val="22"/>
        </w:rPr>
        <w:lastRenderedPageBreak/>
        <w:t>8.</w:t>
      </w:r>
      <w:r w:rsidRPr="007F340E">
        <w:rPr>
          <w:b/>
          <w:bCs/>
          <w:sz w:val="20"/>
          <w:szCs w:val="22"/>
        </w:rPr>
        <w:tab/>
        <w:t>Secrétariat</w:t>
      </w:r>
    </w:p>
    <w:p w14:paraId="0CC6C0F7" w14:textId="01422204" w:rsidR="00257273" w:rsidRPr="007F340E" w:rsidRDefault="00257273" w:rsidP="007F340E">
      <w:pPr>
        <w:pStyle w:val="Marge"/>
        <w:rPr>
          <w:sz w:val="20"/>
          <w:szCs w:val="22"/>
        </w:rPr>
      </w:pPr>
      <w:r w:rsidRPr="007F340E">
        <w:rPr>
          <w:sz w:val="20"/>
          <w:szCs w:val="22"/>
        </w:rPr>
        <w:t xml:space="preserve">Le </w:t>
      </w:r>
      <w:r w:rsidR="00833F92">
        <w:rPr>
          <w:sz w:val="20"/>
          <w:szCs w:val="22"/>
        </w:rPr>
        <w:t>s</w:t>
      </w:r>
      <w:r w:rsidRPr="007F340E">
        <w:rPr>
          <w:sz w:val="20"/>
          <w:szCs w:val="22"/>
        </w:rPr>
        <w:t>ecrétariat de l’IOCINDIO fait partie du Secrétariat de la COI sous l’autorité du Secrétaire exécutif de la COI.</w:t>
      </w:r>
    </w:p>
    <w:p w14:paraId="3FE58452" w14:textId="77777777" w:rsidR="00257273" w:rsidRPr="007F340E" w:rsidRDefault="00257273" w:rsidP="00BE109C">
      <w:pPr>
        <w:pStyle w:val="Marge"/>
        <w:keepNext/>
        <w:keepLines/>
        <w:rPr>
          <w:b/>
          <w:bCs/>
          <w:sz w:val="20"/>
          <w:szCs w:val="22"/>
        </w:rPr>
      </w:pPr>
      <w:r w:rsidRPr="007F340E">
        <w:rPr>
          <w:b/>
          <w:bCs/>
          <w:sz w:val="20"/>
          <w:szCs w:val="22"/>
        </w:rPr>
        <w:t>9.</w:t>
      </w:r>
      <w:r w:rsidRPr="007F340E">
        <w:rPr>
          <w:b/>
          <w:bCs/>
          <w:sz w:val="20"/>
          <w:szCs w:val="22"/>
        </w:rPr>
        <w:tab/>
        <w:t>Réunions</w:t>
      </w:r>
    </w:p>
    <w:p w14:paraId="6312074B" w14:textId="77777777" w:rsidR="00257273" w:rsidRPr="007F340E" w:rsidRDefault="00257273" w:rsidP="007F340E">
      <w:pPr>
        <w:pStyle w:val="Marge"/>
        <w:rPr>
          <w:sz w:val="20"/>
          <w:szCs w:val="22"/>
        </w:rPr>
      </w:pPr>
      <w:r w:rsidRPr="007F340E">
        <w:rPr>
          <w:sz w:val="20"/>
          <w:szCs w:val="22"/>
        </w:rPr>
        <w:t>Les États membres de l’IOCINDIO se réunissent régulièrement à l’occasion de la session intergouvernementale de la Sous-Commission, au moins une fois tous les deux ans, de préférence dans la première moitié de l’année d’une session de l’Assemblée de la COI et bien avant la tenue de cette session, afin de garantir la qualité des rapports statutaires.</w:t>
      </w:r>
    </w:p>
    <w:p w14:paraId="45AEA95A" w14:textId="77777777" w:rsidR="00257273" w:rsidRPr="007F340E" w:rsidRDefault="00257273" w:rsidP="007F340E">
      <w:pPr>
        <w:pStyle w:val="Marge"/>
        <w:rPr>
          <w:b/>
          <w:bCs/>
          <w:sz w:val="20"/>
          <w:szCs w:val="22"/>
        </w:rPr>
      </w:pPr>
      <w:r w:rsidRPr="007F340E">
        <w:rPr>
          <w:b/>
          <w:bCs/>
          <w:sz w:val="20"/>
          <w:szCs w:val="22"/>
        </w:rPr>
        <w:t>10.</w:t>
      </w:r>
      <w:r w:rsidRPr="007F340E">
        <w:rPr>
          <w:b/>
          <w:bCs/>
          <w:sz w:val="20"/>
          <w:szCs w:val="22"/>
        </w:rPr>
        <w:tab/>
        <w:t>Budget</w:t>
      </w:r>
    </w:p>
    <w:p w14:paraId="58A3CB1E" w14:textId="77777777" w:rsidR="00257273" w:rsidRPr="007F340E" w:rsidRDefault="00257273" w:rsidP="007F340E">
      <w:pPr>
        <w:pStyle w:val="Marge"/>
        <w:rPr>
          <w:sz w:val="20"/>
          <w:szCs w:val="22"/>
        </w:rPr>
      </w:pPr>
      <w:r w:rsidRPr="007F340E">
        <w:rPr>
          <w:sz w:val="20"/>
          <w:szCs w:val="22"/>
        </w:rPr>
        <w:t>La Sous-Commission de la COI pour l’océan Indien central est financée au moyen du budget ordinaire de la COI et par des contributions extrabudgétaires. L’IOCINDIO étudie activement les possibilités de mobiliser des ressources supplémentaires pour mettre en œuvre ses programmes.</w:t>
      </w:r>
    </w:p>
    <w:p w14:paraId="1EB42D8B" w14:textId="77777777" w:rsidR="00257273" w:rsidRPr="007F340E" w:rsidRDefault="00257273" w:rsidP="007F340E">
      <w:pPr>
        <w:pStyle w:val="Marge"/>
        <w:rPr>
          <w:b/>
          <w:bCs/>
          <w:sz w:val="20"/>
          <w:szCs w:val="22"/>
        </w:rPr>
      </w:pPr>
      <w:r w:rsidRPr="007F340E">
        <w:rPr>
          <w:b/>
          <w:bCs/>
          <w:sz w:val="20"/>
          <w:szCs w:val="22"/>
        </w:rPr>
        <w:t>11.</w:t>
      </w:r>
      <w:r w:rsidRPr="007F340E">
        <w:rPr>
          <w:b/>
          <w:bCs/>
          <w:sz w:val="20"/>
          <w:szCs w:val="22"/>
        </w:rPr>
        <w:tab/>
        <w:t>Mécanismes de coordination avec les sous-commissions adjacentes</w:t>
      </w:r>
    </w:p>
    <w:p w14:paraId="7235F9FE" w14:textId="0172035B" w:rsidR="00191E6D" w:rsidRPr="00495CD3" w:rsidRDefault="00257273" w:rsidP="00BE109C">
      <w:pPr>
        <w:pStyle w:val="COI"/>
        <w:rPr>
          <w:rFonts w:cs="Arial"/>
          <w:strike/>
          <w:lang w:val="fr-FR"/>
        </w:rPr>
      </w:pPr>
      <w:r w:rsidRPr="00495CD3">
        <w:rPr>
          <w:lang w:val="fr-FR"/>
        </w:rPr>
        <w:t>Le principe consiste à maximiser la valeur des travaux conjoints des sous</w:t>
      </w:r>
      <w:r w:rsidRPr="00495CD3">
        <w:rPr>
          <w:lang w:val="fr-FR"/>
        </w:rPr>
        <w:noBreakHyphen/>
        <w:t>commissions adjacentes de la COI sur des questions d’intérêt commun, à éviter les doubles emplois et à parer à toute ingérence dans la gouvernance des organes subsidiaires de la COI, y compris les organes des commissions adjacentes. La coopération sur des questions d’intérêt commun et la participation aux activités de développement des capacités organisées par les organes subsidiaires régionaux des sous-commissions adjacentes sont encouragées. La contribution coordonnée des organes subsidiaires régionaux aux activités de programme mondiales de la COI est vivement encouragée. Des consultations régulières entre les présidents, les bureaux et les secrétariats des sous-commissions permettent la conception, la mise au point et la réalisation conjointes d’initiatives. Les fonctions normatives sont uniformes et mondiales, au niveau de la COI. La mise en œuvre régionale suit les normes mondiales et contribue à l’élaboration de bonnes pratiques communes, en tenant compte, si nécessaire, des différences et des situations régionales.</w:t>
      </w:r>
    </w:p>
    <w:sectPr w:rsidR="00191E6D" w:rsidRPr="00495CD3" w:rsidSect="003F7186">
      <w:headerReference w:type="even" r:id="rId12"/>
      <w:headerReference w:type="default" r:id="rId13"/>
      <w:headerReference w:type="first" r:id="rId14"/>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979D9" w14:textId="77777777" w:rsidR="000E1C29" w:rsidRDefault="000E1C29">
      <w:r>
        <w:separator/>
      </w:r>
    </w:p>
  </w:endnote>
  <w:endnote w:type="continuationSeparator" w:id="0">
    <w:p w14:paraId="3EFE7894" w14:textId="77777777" w:rsidR="000E1C29" w:rsidRDefault="000E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Light">
    <w:altName w:val="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Light">
    <w:charset w:val="00"/>
    <w:family w:val="swiss"/>
    <w:pitch w:val="variable"/>
    <w:sig w:usb0="600002FF"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B7DE" w14:textId="77777777" w:rsidR="000E1C29" w:rsidRDefault="000E1C29">
      <w:r>
        <w:separator/>
      </w:r>
    </w:p>
  </w:footnote>
  <w:footnote w:type="continuationSeparator" w:id="0">
    <w:p w14:paraId="426BE2BF" w14:textId="77777777" w:rsidR="000E1C29" w:rsidRDefault="000E1C29">
      <w:r>
        <w:continuationSeparator/>
      </w:r>
    </w:p>
  </w:footnote>
  <w:footnote w:id="1">
    <w:p w14:paraId="27CF1774" w14:textId="77777777" w:rsidR="00257273" w:rsidRPr="00136CB2" w:rsidRDefault="00257273" w:rsidP="00257273">
      <w:pPr>
        <w:pStyle w:val="FootnoteText"/>
      </w:pPr>
      <w:r w:rsidRPr="00136CB2">
        <w:rPr>
          <w:rStyle w:val="FootnoteReference"/>
        </w:rPr>
        <w:footnoteRef/>
      </w:r>
      <w:r>
        <w:tab/>
      </w:r>
      <w:bookmarkStart w:id="2" w:name="_Hlk137560617"/>
      <w:r w:rsidRPr="00136CB2">
        <w:t>L</w:t>
      </w:r>
      <w:r>
        <w:t>’</w:t>
      </w:r>
      <w:r w:rsidRPr="00136CB2">
        <w:t>« océan Indien central », en tant que zone d</w:t>
      </w:r>
      <w:r>
        <w:t>’</w:t>
      </w:r>
      <w:r w:rsidRPr="00136CB2">
        <w:t>intérêt de l</w:t>
      </w:r>
      <w:r>
        <w:t>’</w:t>
      </w:r>
      <w:r w:rsidRPr="00136CB2">
        <w:t>IOCINDIO, désigne la zone adjacente, à l</w:t>
      </w:r>
      <w:r>
        <w:t>’</w:t>
      </w:r>
      <w:r w:rsidRPr="00136CB2">
        <w:t>ouest, à celle de l</w:t>
      </w:r>
      <w:r>
        <w:t>’</w:t>
      </w:r>
      <w:r w:rsidRPr="00136CB2">
        <w:t>IOCAFRICA et, à l</w:t>
      </w:r>
      <w:r>
        <w:t>’</w:t>
      </w:r>
      <w:r w:rsidRPr="00136CB2">
        <w:t>est, à celle de la WESTPAC.</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7D8F" w14:textId="118AB966" w:rsidR="003F3C42" w:rsidRPr="00FF54F5" w:rsidRDefault="003F3C42" w:rsidP="003F3C42">
    <w:pPr>
      <w:pStyle w:val="Header"/>
      <w:spacing w:after="240"/>
      <w:rPr>
        <w:rFonts w:cs="Arial"/>
        <w:bCs/>
        <w:szCs w:val="22"/>
      </w:rPr>
    </w:pPr>
    <w:bookmarkStart w:id="0" w:name="_Hlk130197366"/>
    <w:r w:rsidRPr="00352423">
      <w:rPr>
        <w:rFonts w:cs="Arial"/>
        <w:bCs/>
        <w:szCs w:val="22"/>
      </w:rPr>
      <w:t>IOC/</w:t>
    </w:r>
    <w:r w:rsidR="000723F0">
      <w:rPr>
        <w:rFonts w:cs="Arial"/>
        <w:bCs/>
        <w:szCs w:val="22"/>
      </w:rPr>
      <w:t>A-32/2.1.Doc Prov.</w:t>
    </w:r>
    <w:bookmarkEnd w:id="0"/>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03893BEF" w:rsidR="00755CED" w:rsidRDefault="000723F0" w:rsidP="000723F0">
    <w:pPr>
      <w:pStyle w:val="Header"/>
      <w:jc w:val="right"/>
    </w:pPr>
    <w:r w:rsidRPr="00352423">
      <w:rPr>
        <w:rFonts w:cs="Arial"/>
        <w:bCs/>
        <w:szCs w:val="22"/>
      </w:rPr>
      <w:t>IOC/</w:t>
    </w:r>
    <w:r>
      <w:rPr>
        <w:rFonts w:cs="Arial"/>
        <w:bCs/>
        <w:szCs w:val="22"/>
      </w:rPr>
      <w:t>A-32/2.1.Doc Prov. – page</w:t>
    </w:r>
    <w:r w:rsidR="00421E71">
      <w:rPr>
        <w:rFonts w:cs="Arial"/>
        <w:bCs/>
        <w:szCs w:val="22"/>
      </w:rPr>
      <w:t>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3A6F683D" w:rsidR="00EB3895" w:rsidRDefault="000723F0">
    <w:pPr>
      <w:pStyle w:val="Header"/>
    </w:pPr>
    <w:r>
      <w:rPr>
        <w:noProof/>
      </w:rPr>
      <mc:AlternateContent>
        <mc:Choice Requires="wps">
          <w:drawing>
            <wp:anchor distT="45720" distB="45720" distL="114300" distR="114300" simplePos="0" relativeHeight="251661312" behindDoc="0" locked="0" layoutInCell="1" allowOverlap="1" wp14:anchorId="695F0820" wp14:editId="5BFDF62F">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6C6242B4" w14:textId="603B2A3D" w:rsidR="00EB3895" w:rsidRPr="002A5D14" w:rsidRDefault="00EB3895" w:rsidP="00EB3895">
                          <w:pPr>
                            <w:pStyle w:val="Marge"/>
                            <w:tabs>
                              <w:tab w:val="left" w:pos="6237"/>
                              <w:tab w:val="left" w:pos="7088"/>
                            </w:tabs>
                            <w:spacing w:after="0"/>
                            <w:rPr>
                              <w:rFonts w:cs="Arial"/>
                              <w:b/>
                              <w:sz w:val="36"/>
                              <w:szCs w:val="36"/>
                            </w:rPr>
                          </w:pPr>
                          <w:bookmarkStart w:id="1"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1"/>
                          <w:r w:rsidR="00C3317D">
                            <w:rPr>
                              <w:rFonts w:cs="Arial"/>
                              <w:b/>
                              <w:sz w:val="36"/>
                              <w:szCs w:val="36"/>
                            </w:rPr>
                            <w:t>4</w:t>
                          </w:r>
                          <w:r w:rsidR="00F97E19">
                            <w:rPr>
                              <w:rFonts w:cs="Arial"/>
                              <w:b/>
                              <w:sz w:val="36"/>
                              <w:szCs w:val="36"/>
                            </w:rPr>
                            <w:t>.</w:t>
                          </w:r>
                          <w:r w:rsidR="00263FAE">
                            <w:rPr>
                              <w:rFonts w:cs="Arial"/>
                              <w:b/>
                              <w:sz w:val="36"/>
                              <w:szCs w:val="36"/>
                            </w:rPr>
                            <w:t>5</w:t>
                          </w:r>
                          <w:r w:rsidR="00F97E19">
                            <w:rPr>
                              <w:rFonts w:cs="Arial"/>
                              <w:b/>
                              <w:sz w:val="36"/>
                              <w:szCs w:val="36"/>
                            </w:rPr>
                            <w:t>.Doc(1)</w:t>
                          </w:r>
                        </w:p>
                        <w:p w14:paraId="10A5E3DC" w14:textId="3402B75E"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C3317D">
                            <w:rPr>
                              <w:rFonts w:cs="Arial"/>
                              <w:szCs w:val="22"/>
                            </w:rPr>
                            <w:t>29</w:t>
                          </w:r>
                          <w:r w:rsidR="000723F0">
                            <w:rPr>
                              <w:rFonts w:cs="Arial"/>
                              <w:szCs w:val="22"/>
                            </w:rPr>
                            <w:t xml:space="preserve"> </w:t>
                          </w:r>
                          <w:r w:rsidR="00803653">
                            <w:rPr>
                              <w:rFonts w:cs="Arial"/>
                              <w:szCs w:val="22"/>
                            </w:rPr>
                            <w:t>mai</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81.5pt;margin-top:-7.4pt;width:20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6C6242B4" w14:textId="603B2A3D" w:rsidR="00EB3895" w:rsidRPr="002A5D14" w:rsidRDefault="00EB3895" w:rsidP="00EB3895">
                    <w:pPr>
                      <w:pStyle w:val="Marge"/>
                      <w:tabs>
                        <w:tab w:val="left" w:pos="6237"/>
                        <w:tab w:val="left" w:pos="7088"/>
                      </w:tabs>
                      <w:spacing w:after="0"/>
                      <w:rPr>
                        <w:rFonts w:cs="Arial"/>
                        <w:b/>
                        <w:sz w:val="36"/>
                        <w:szCs w:val="36"/>
                      </w:rPr>
                    </w:pPr>
                    <w:bookmarkStart w:id="2"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2"/>
                    <w:r w:rsidR="00C3317D">
                      <w:rPr>
                        <w:rFonts w:cs="Arial"/>
                        <w:b/>
                        <w:sz w:val="36"/>
                        <w:szCs w:val="36"/>
                      </w:rPr>
                      <w:t>4</w:t>
                    </w:r>
                    <w:r w:rsidR="00F97E19">
                      <w:rPr>
                        <w:rFonts w:cs="Arial"/>
                        <w:b/>
                        <w:sz w:val="36"/>
                        <w:szCs w:val="36"/>
                      </w:rPr>
                      <w:t>.</w:t>
                    </w:r>
                    <w:r w:rsidR="00263FAE">
                      <w:rPr>
                        <w:rFonts w:cs="Arial"/>
                        <w:b/>
                        <w:sz w:val="36"/>
                        <w:szCs w:val="36"/>
                      </w:rPr>
                      <w:t>5</w:t>
                    </w:r>
                    <w:r w:rsidR="00F97E19">
                      <w:rPr>
                        <w:rFonts w:cs="Arial"/>
                        <w:b/>
                        <w:sz w:val="36"/>
                        <w:szCs w:val="36"/>
                      </w:rPr>
                      <w:t>.Doc(1)</w:t>
                    </w:r>
                  </w:p>
                  <w:p w14:paraId="10A5E3DC" w14:textId="3402B75E"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C3317D">
                      <w:rPr>
                        <w:rFonts w:cs="Arial"/>
                        <w:szCs w:val="22"/>
                      </w:rPr>
                      <w:t>29</w:t>
                    </w:r>
                    <w:r w:rsidR="000723F0">
                      <w:rPr>
                        <w:rFonts w:cs="Arial"/>
                        <w:szCs w:val="22"/>
                      </w:rPr>
                      <w:t xml:space="preserve"> </w:t>
                    </w:r>
                    <w:r w:rsidR="00803653">
                      <w:rPr>
                        <w:rFonts w:cs="Arial"/>
                        <w:szCs w:val="22"/>
                      </w:rPr>
                      <w:t>mai</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EE9A" w14:textId="77777777" w:rsidR="00020AA1" w:rsidRPr="00B8392A" w:rsidRDefault="004C0DA5" w:rsidP="00746B89">
    <w:pPr>
      <w:pStyle w:val="Header"/>
      <w:tabs>
        <w:tab w:val="clear" w:pos="8306"/>
      </w:tabs>
      <w:rPr>
        <w:rFonts w:cs="Arial"/>
        <w:sz w:val="20"/>
        <w:szCs w:val="20"/>
        <w:lang w:val="pt-PT"/>
      </w:rPr>
    </w:pPr>
    <w:r w:rsidRPr="005E0955">
      <w:rPr>
        <w:szCs w:val="22"/>
      </w:rPr>
      <w:t xml:space="preserve">IOC/A-32/4.5.Doc(1) </w:t>
    </w:r>
    <w:r>
      <w:rPr>
        <w:szCs w:val="22"/>
      </w:rPr>
      <w:t>– p</w:t>
    </w:r>
    <w:r w:rsidRPr="00C962F0">
      <w:rPr>
        <w:szCs w:val="22"/>
      </w:rPr>
      <w:t>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szCs w:val="22"/>
      </w:rPr>
      <w:t>2</w:t>
    </w:r>
    <w:r w:rsidRPr="00C962F0">
      <w:rPr>
        <w:rStyle w:val="PageNumber"/>
        <w:szCs w:val="22"/>
      </w:rPr>
      <w:fldChar w:fldCharType="end"/>
    </w:r>
    <w:r w:rsidRPr="006842FA">
      <w:rPr>
        <w:rStyle w:val="PageNumber"/>
        <w:rFonts w:cs="Arial"/>
        <w:sz w:val="20"/>
        <w:szCs w:val="20"/>
      </w:rPr>
      <w:fldChar w:fldCharType="begin"/>
    </w:r>
    <w:r w:rsidRPr="00B8392A">
      <w:rPr>
        <w:rStyle w:val="PageNumber"/>
        <w:rFonts w:cs="Arial"/>
        <w:sz w:val="20"/>
        <w:szCs w:val="20"/>
        <w:lang w:val="pt-PT"/>
      </w:rPr>
      <w:instrText xml:space="preserve"> PAGE </w:instrText>
    </w:r>
    <w:r w:rsidRPr="006842FA">
      <w:rPr>
        <w:rStyle w:val="PageNumber"/>
        <w:rFonts w:cs="Arial"/>
        <w:sz w:val="20"/>
        <w:szCs w:val="20"/>
      </w:rPr>
      <w:fldChar w:fldCharType="separate"/>
    </w:r>
    <w:r w:rsidRPr="00B8392A">
      <w:rPr>
        <w:rStyle w:val="PageNumber"/>
        <w:rFonts w:cs="Arial"/>
        <w:noProof/>
        <w:sz w:val="20"/>
        <w:szCs w:val="20"/>
        <w:lang w:val="pt-PT"/>
      </w:rPr>
      <w:t>2</w:t>
    </w:r>
    <w:r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D4F5" w14:textId="77777777" w:rsidR="00020AA1" w:rsidRPr="00003B31" w:rsidRDefault="004C0DA5" w:rsidP="00060604">
    <w:pPr>
      <w:pStyle w:val="Header"/>
      <w:ind w:left="6663"/>
      <w:rPr>
        <w:rFonts w:cs="Arial"/>
        <w:szCs w:val="22"/>
      </w:rPr>
    </w:pPr>
    <w:r w:rsidRPr="005E0955">
      <w:rPr>
        <w:szCs w:val="22"/>
      </w:rPr>
      <w:t xml:space="preserve">IOC/A-32/4.5.Doc(1) </w:t>
    </w:r>
    <w:r>
      <w:rPr>
        <w:szCs w:val="22"/>
      </w:rPr>
      <w:t>– p</w:t>
    </w:r>
    <w:r w:rsidRPr="00C962F0">
      <w:rPr>
        <w:szCs w:val="22"/>
      </w:rPr>
      <w:t>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szCs w:val="22"/>
      </w:rPr>
      <w:t>2</w:t>
    </w:r>
    <w:r w:rsidRPr="00C962F0">
      <w:rPr>
        <w:rStyle w:val="PageNumber"/>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8F8F" w14:textId="77777777" w:rsidR="00020AA1" w:rsidRPr="00B8392A" w:rsidRDefault="004C0DA5" w:rsidP="00294AD5">
    <w:pPr>
      <w:pStyle w:val="Header"/>
      <w:jc w:val="right"/>
      <w:rPr>
        <w:rFonts w:cs="Arial"/>
        <w:sz w:val="20"/>
        <w:szCs w:val="20"/>
        <w:lang w:val="pt-PT"/>
      </w:rPr>
    </w:pPr>
    <w:r w:rsidRPr="005E0955">
      <w:rPr>
        <w:szCs w:val="22"/>
      </w:rPr>
      <w:t xml:space="preserve">IOC/A-32/4.5.Doc(1) </w:t>
    </w:r>
    <w:r>
      <w:rPr>
        <w:szCs w:val="22"/>
      </w:rPr>
      <w:t>– p</w:t>
    </w:r>
    <w:r w:rsidRPr="00C962F0">
      <w:rPr>
        <w:szCs w:val="22"/>
      </w:rPr>
      <w:t>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szCs w:val="22"/>
      </w:rPr>
      <w:t>2</w:t>
    </w:r>
    <w:r w:rsidRPr="00C962F0">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84"/>
    <w:multiLevelType w:val="hybridMultilevel"/>
    <w:tmpl w:val="F7DAEDF4"/>
    <w:lvl w:ilvl="0" w:tplc="DDCC5CDC">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4937280"/>
    <w:multiLevelType w:val="hybridMultilevel"/>
    <w:tmpl w:val="055AD11E"/>
    <w:lvl w:ilvl="0" w:tplc="5EB233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15:restartNumberingAfterBreak="0">
    <w:nsid w:val="22164FA3"/>
    <w:multiLevelType w:val="hybridMultilevel"/>
    <w:tmpl w:val="A5065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87908"/>
    <w:multiLevelType w:val="hybridMultilevel"/>
    <w:tmpl w:val="5EB0ED52"/>
    <w:lvl w:ilvl="0" w:tplc="DDC685EE">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2C8778E7"/>
    <w:multiLevelType w:val="hybridMultilevel"/>
    <w:tmpl w:val="936ABD88"/>
    <w:lvl w:ilvl="0" w:tplc="846A4D78">
      <w:start w:val="1"/>
      <w:numFmt w:val="decimal"/>
      <w:lvlText w:val="%1."/>
      <w:lvlJc w:val="left"/>
      <w:pPr>
        <w:ind w:left="19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A592A"/>
    <w:multiLevelType w:val="hybridMultilevel"/>
    <w:tmpl w:val="75FEF954"/>
    <w:lvl w:ilvl="0" w:tplc="7130C9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710AB3"/>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741848"/>
    <w:multiLevelType w:val="hybridMultilevel"/>
    <w:tmpl w:val="2B6C5CB6"/>
    <w:lvl w:ilvl="0" w:tplc="0D3C224E">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B14D83"/>
    <w:multiLevelType w:val="singleLevel"/>
    <w:tmpl w:val="CD9EBCE6"/>
    <w:lvl w:ilvl="0">
      <w:start w:val="1"/>
      <w:numFmt w:val="bullet"/>
      <w:lvlText w:val=""/>
      <w:lvlJc w:val="left"/>
      <w:pPr>
        <w:tabs>
          <w:tab w:val="num" w:pos="644"/>
        </w:tabs>
        <w:ind w:left="284" w:firstLine="0"/>
      </w:pPr>
      <w:rPr>
        <w:rFonts w:ascii="Symbol" w:hAnsi="Symbol" w:hint="default"/>
      </w:rPr>
    </w:lvl>
  </w:abstractNum>
  <w:abstractNum w:abstractNumId="11" w15:restartNumberingAfterBreak="0">
    <w:nsid w:val="33E7502A"/>
    <w:multiLevelType w:val="hybridMultilevel"/>
    <w:tmpl w:val="EAA8E442"/>
    <w:lvl w:ilvl="0" w:tplc="6DBC3664">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7621EB"/>
    <w:multiLevelType w:val="hybridMultilevel"/>
    <w:tmpl w:val="8064F0C0"/>
    <w:lvl w:ilvl="0" w:tplc="7A4E653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3" w15:restartNumberingAfterBreak="0">
    <w:nsid w:val="368B1ED5"/>
    <w:multiLevelType w:val="hybridMultilevel"/>
    <w:tmpl w:val="B4767FD8"/>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250201"/>
    <w:multiLevelType w:val="hybridMultilevel"/>
    <w:tmpl w:val="9BDE430C"/>
    <w:lvl w:ilvl="0" w:tplc="74EE7326">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5" w15:restartNumberingAfterBreak="0">
    <w:nsid w:val="4A404EB2"/>
    <w:multiLevelType w:val="hybridMultilevel"/>
    <w:tmpl w:val="200CE034"/>
    <w:lvl w:ilvl="0" w:tplc="DECA80C2">
      <w:start w:val="1"/>
      <w:numFmt w:val="upperRoman"/>
      <w:lvlText w:val="%1."/>
      <w:lvlJc w:val="left"/>
      <w:pPr>
        <w:ind w:left="742" w:hanging="720"/>
      </w:pPr>
      <w:rPr>
        <w:rFonts w:hint="default"/>
        <w:b/>
        <w:bCs/>
        <w:color w:val="FF0000"/>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6" w15:restartNumberingAfterBreak="0">
    <w:nsid w:val="57AC1D2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53150F"/>
    <w:multiLevelType w:val="hybridMultilevel"/>
    <w:tmpl w:val="9B14B30E"/>
    <w:lvl w:ilvl="0" w:tplc="A406FE4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301CBE"/>
    <w:multiLevelType w:val="hybridMultilevel"/>
    <w:tmpl w:val="18188E14"/>
    <w:lvl w:ilvl="0" w:tplc="3BC2E848">
      <w:start w:val="1"/>
      <w:numFmt w:val="decimal"/>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4E3098D"/>
    <w:multiLevelType w:val="hybridMultilevel"/>
    <w:tmpl w:val="30E669A2"/>
    <w:lvl w:ilvl="0" w:tplc="DAC429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48194E"/>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6D7C69"/>
    <w:multiLevelType w:val="hybridMultilevel"/>
    <w:tmpl w:val="5802DFBC"/>
    <w:lvl w:ilvl="0" w:tplc="95E27420">
      <w:start w:val="1"/>
      <w:numFmt w:val="lowerRoman"/>
      <w:lvlText w:val="(%1)"/>
      <w:lvlJc w:val="left"/>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846369">
    <w:abstractNumId w:val="1"/>
  </w:num>
  <w:num w:numId="2" w16cid:durableId="1115710408">
    <w:abstractNumId w:val="11"/>
  </w:num>
  <w:num w:numId="3" w16cid:durableId="1955213118">
    <w:abstractNumId w:val="12"/>
  </w:num>
  <w:num w:numId="4" w16cid:durableId="701898349">
    <w:abstractNumId w:val="8"/>
  </w:num>
  <w:num w:numId="5" w16cid:durableId="1730569580">
    <w:abstractNumId w:val="16"/>
  </w:num>
  <w:num w:numId="6" w16cid:durableId="1350908652">
    <w:abstractNumId w:val="20"/>
  </w:num>
  <w:num w:numId="7" w16cid:durableId="749692511">
    <w:abstractNumId w:val="14"/>
  </w:num>
  <w:num w:numId="8" w16cid:durableId="1809012436">
    <w:abstractNumId w:val="9"/>
  </w:num>
  <w:num w:numId="9" w16cid:durableId="1660382262">
    <w:abstractNumId w:val="17"/>
  </w:num>
  <w:num w:numId="10" w16cid:durableId="1352996092">
    <w:abstractNumId w:val="15"/>
  </w:num>
  <w:num w:numId="11" w16cid:durableId="751583942">
    <w:abstractNumId w:val="7"/>
  </w:num>
  <w:num w:numId="12" w16cid:durableId="480122754">
    <w:abstractNumId w:val="4"/>
  </w:num>
  <w:num w:numId="13" w16cid:durableId="719862489">
    <w:abstractNumId w:val="3"/>
  </w:num>
  <w:num w:numId="14" w16cid:durableId="626669283">
    <w:abstractNumId w:val="5"/>
  </w:num>
  <w:num w:numId="15" w16cid:durableId="1787894968">
    <w:abstractNumId w:val="6"/>
  </w:num>
  <w:num w:numId="16" w16cid:durableId="2122072168">
    <w:abstractNumId w:val="18"/>
  </w:num>
  <w:num w:numId="17" w16cid:durableId="386802596">
    <w:abstractNumId w:val="21"/>
  </w:num>
  <w:num w:numId="18" w16cid:durableId="2075810136">
    <w:abstractNumId w:val="0"/>
  </w:num>
  <w:num w:numId="19" w16cid:durableId="1187258928">
    <w:abstractNumId w:val="2"/>
  </w:num>
  <w:num w:numId="20" w16cid:durableId="1198355949">
    <w:abstractNumId w:val="19"/>
  </w:num>
  <w:num w:numId="21" w16cid:durableId="1278367499">
    <w:abstractNumId w:val="13"/>
  </w:num>
  <w:num w:numId="22" w16cid:durableId="197062667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40484"/>
    <w:rsid w:val="000723F0"/>
    <w:rsid w:val="000763CE"/>
    <w:rsid w:val="00087E40"/>
    <w:rsid w:val="00093B4C"/>
    <w:rsid w:val="000A746F"/>
    <w:rsid w:val="000B0E4E"/>
    <w:rsid w:val="000C0EDD"/>
    <w:rsid w:val="000D2E63"/>
    <w:rsid w:val="000D39FC"/>
    <w:rsid w:val="000D4E4C"/>
    <w:rsid w:val="000E1C29"/>
    <w:rsid w:val="000E7AEA"/>
    <w:rsid w:val="000F189F"/>
    <w:rsid w:val="000F1DBA"/>
    <w:rsid w:val="000F258B"/>
    <w:rsid w:val="00100A35"/>
    <w:rsid w:val="00104265"/>
    <w:rsid w:val="0011081B"/>
    <w:rsid w:val="0011114C"/>
    <w:rsid w:val="00151B65"/>
    <w:rsid w:val="00161FD3"/>
    <w:rsid w:val="00166018"/>
    <w:rsid w:val="00177B08"/>
    <w:rsid w:val="001912E2"/>
    <w:rsid w:val="00191E6D"/>
    <w:rsid w:val="0019249C"/>
    <w:rsid w:val="001A6E27"/>
    <w:rsid w:val="001B1BB0"/>
    <w:rsid w:val="001B4417"/>
    <w:rsid w:val="001B623F"/>
    <w:rsid w:val="001B6892"/>
    <w:rsid w:val="001C0D14"/>
    <w:rsid w:val="001C6211"/>
    <w:rsid w:val="001D6AB2"/>
    <w:rsid w:val="001E413E"/>
    <w:rsid w:val="001F1F04"/>
    <w:rsid w:val="001F5D62"/>
    <w:rsid w:val="00201171"/>
    <w:rsid w:val="00213953"/>
    <w:rsid w:val="00214642"/>
    <w:rsid w:val="0023225E"/>
    <w:rsid w:val="00234C33"/>
    <w:rsid w:val="002435EF"/>
    <w:rsid w:val="0024382E"/>
    <w:rsid w:val="00243DFC"/>
    <w:rsid w:val="00251A54"/>
    <w:rsid w:val="00257273"/>
    <w:rsid w:val="00261E65"/>
    <w:rsid w:val="00263FAE"/>
    <w:rsid w:val="002750C1"/>
    <w:rsid w:val="0028206F"/>
    <w:rsid w:val="0029117F"/>
    <w:rsid w:val="0029119E"/>
    <w:rsid w:val="002924C9"/>
    <w:rsid w:val="0029264C"/>
    <w:rsid w:val="00292A0F"/>
    <w:rsid w:val="00297D4A"/>
    <w:rsid w:val="002B4B18"/>
    <w:rsid w:val="002B5DD7"/>
    <w:rsid w:val="002C2048"/>
    <w:rsid w:val="002D2C1D"/>
    <w:rsid w:val="002E70A1"/>
    <w:rsid w:val="002F3A57"/>
    <w:rsid w:val="00300149"/>
    <w:rsid w:val="00302497"/>
    <w:rsid w:val="003050F4"/>
    <w:rsid w:val="00310E5D"/>
    <w:rsid w:val="00311ECE"/>
    <w:rsid w:val="003210F7"/>
    <w:rsid w:val="0032163E"/>
    <w:rsid w:val="00325A64"/>
    <w:rsid w:val="00331445"/>
    <w:rsid w:val="003341B0"/>
    <w:rsid w:val="00340F34"/>
    <w:rsid w:val="00341C6C"/>
    <w:rsid w:val="0034355C"/>
    <w:rsid w:val="003445DF"/>
    <w:rsid w:val="00346C46"/>
    <w:rsid w:val="003514D2"/>
    <w:rsid w:val="003557A8"/>
    <w:rsid w:val="00360992"/>
    <w:rsid w:val="00363D04"/>
    <w:rsid w:val="00367A77"/>
    <w:rsid w:val="00367DB0"/>
    <w:rsid w:val="003745D0"/>
    <w:rsid w:val="003829C6"/>
    <w:rsid w:val="003927A3"/>
    <w:rsid w:val="00397DEC"/>
    <w:rsid w:val="003B2A8F"/>
    <w:rsid w:val="003B53FF"/>
    <w:rsid w:val="003B58D6"/>
    <w:rsid w:val="003B69D0"/>
    <w:rsid w:val="003B71EB"/>
    <w:rsid w:val="003C5CD1"/>
    <w:rsid w:val="003D3C1F"/>
    <w:rsid w:val="003D46DA"/>
    <w:rsid w:val="003D4875"/>
    <w:rsid w:val="003E2147"/>
    <w:rsid w:val="003E27AC"/>
    <w:rsid w:val="003E714B"/>
    <w:rsid w:val="003F3C42"/>
    <w:rsid w:val="003F589A"/>
    <w:rsid w:val="003F7C04"/>
    <w:rsid w:val="00401C01"/>
    <w:rsid w:val="0041299F"/>
    <w:rsid w:val="00421E71"/>
    <w:rsid w:val="00424C85"/>
    <w:rsid w:val="0042640D"/>
    <w:rsid w:val="004573F3"/>
    <w:rsid w:val="004618DE"/>
    <w:rsid w:val="00463EA2"/>
    <w:rsid w:val="004655C4"/>
    <w:rsid w:val="00465EE6"/>
    <w:rsid w:val="00472E41"/>
    <w:rsid w:val="00482B2E"/>
    <w:rsid w:val="00484032"/>
    <w:rsid w:val="00491E44"/>
    <w:rsid w:val="00494C58"/>
    <w:rsid w:val="00495CD3"/>
    <w:rsid w:val="004A327F"/>
    <w:rsid w:val="004A3DAD"/>
    <w:rsid w:val="004A43DC"/>
    <w:rsid w:val="004B08C6"/>
    <w:rsid w:val="004C0DA5"/>
    <w:rsid w:val="004C11B1"/>
    <w:rsid w:val="004C1526"/>
    <w:rsid w:val="004C1D3F"/>
    <w:rsid w:val="004C3E47"/>
    <w:rsid w:val="004D05D2"/>
    <w:rsid w:val="004D0F08"/>
    <w:rsid w:val="004E41CA"/>
    <w:rsid w:val="004E4665"/>
    <w:rsid w:val="004E56D5"/>
    <w:rsid w:val="004E6746"/>
    <w:rsid w:val="004F3D3D"/>
    <w:rsid w:val="004F6F06"/>
    <w:rsid w:val="00513180"/>
    <w:rsid w:val="005169D0"/>
    <w:rsid w:val="00516B7B"/>
    <w:rsid w:val="00533732"/>
    <w:rsid w:val="005561D9"/>
    <w:rsid w:val="00587870"/>
    <w:rsid w:val="00593E88"/>
    <w:rsid w:val="00596B7E"/>
    <w:rsid w:val="005B5EF5"/>
    <w:rsid w:val="005B69EF"/>
    <w:rsid w:val="005C112C"/>
    <w:rsid w:val="005C118A"/>
    <w:rsid w:val="005C7D01"/>
    <w:rsid w:val="005D54DD"/>
    <w:rsid w:val="005D6192"/>
    <w:rsid w:val="005D6352"/>
    <w:rsid w:val="005E57C9"/>
    <w:rsid w:val="006046D3"/>
    <w:rsid w:val="00611BDC"/>
    <w:rsid w:val="00615F9D"/>
    <w:rsid w:val="00623957"/>
    <w:rsid w:val="00632A9F"/>
    <w:rsid w:val="00642C0C"/>
    <w:rsid w:val="00654E67"/>
    <w:rsid w:val="00655725"/>
    <w:rsid w:val="006565BE"/>
    <w:rsid w:val="00673F0C"/>
    <w:rsid w:val="006835E4"/>
    <w:rsid w:val="0068583F"/>
    <w:rsid w:val="00695BA3"/>
    <w:rsid w:val="0069684F"/>
    <w:rsid w:val="006A3031"/>
    <w:rsid w:val="006A7102"/>
    <w:rsid w:val="006B0247"/>
    <w:rsid w:val="006B216F"/>
    <w:rsid w:val="006C2C65"/>
    <w:rsid w:val="006C5D80"/>
    <w:rsid w:val="006D052A"/>
    <w:rsid w:val="006D36DB"/>
    <w:rsid w:val="006D6768"/>
    <w:rsid w:val="006E2A83"/>
    <w:rsid w:val="0072647C"/>
    <w:rsid w:val="007308FC"/>
    <w:rsid w:val="00732CF3"/>
    <w:rsid w:val="007449EA"/>
    <w:rsid w:val="00753AFA"/>
    <w:rsid w:val="00755A0C"/>
    <w:rsid w:val="00755CED"/>
    <w:rsid w:val="0076217F"/>
    <w:rsid w:val="00764251"/>
    <w:rsid w:val="00767B01"/>
    <w:rsid w:val="007701CE"/>
    <w:rsid w:val="007718F4"/>
    <w:rsid w:val="00773D5C"/>
    <w:rsid w:val="00783CE9"/>
    <w:rsid w:val="0078472E"/>
    <w:rsid w:val="007967A2"/>
    <w:rsid w:val="007A3E25"/>
    <w:rsid w:val="007A42DA"/>
    <w:rsid w:val="007A45CC"/>
    <w:rsid w:val="007A49EB"/>
    <w:rsid w:val="007A7EC6"/>
    <w:rsid w:val="007B38A7"/>
    <w:rsid w:val="007B3B0A"/>
    <w:rsid w:val="007C403E"/>
    <w:rsid w:val="007D593C"/>
    <w:rsid w:val="007E49BC"/>
    <w:rsid w:val="007E49D1"/>
    <w:rsid w:val="007E6082"/>
    <w:rsid w:val="007F2BA5"/>
    <w:rsid w:val="007F340E"/>
    <w:rsid w:val="00803653"/>
    <w:rsid w:val="00814042"/>
    <w:rsid w:val="00814BE9"/>
    <w:rsid w:val="00823597"/>
    <w:rsid w:val="00833F92"/>
    <w:rsid w:val="00835BC3"/>
    <w:rsid w:val="008507E1"/>
    <w:rsid w:val="0085153D"/>
    <w:rsid w:val="00853A2A"/>
    <w:rsid w:val="008561DD"/>
    <w:rsid w:val="008608E4"/>
    <w:rsid w:val="00864B92"/>
    <w:rsid w:val="00871764"/>
    <w:rsid w:val="008735A8"/>
    <w:rsid w:val="00873BED"/>
    <w:rsid w:val="00881041"/>
    <w:rsid w:val="00881EB4"/>
    <w:rsid w:val="008852E4"/>
    <w:rsid w:val="008A6802"/>
    <w:rsid w:val="008B1290"/>
    <w:rsid w:val="008C238E"/>
    <w:rsid w:val="008C24D0"/>
    <w:rsid w:val="008C59A5"/>
    <w:rsid w:val="008D21CE"/>
    <w:rsid w:val="008D6721"/>
    <w:rsid w:val="00900028"/>
    <w:rsid w:val="00902342"/>
    <w:rsid w:val="009045C4"/>
    <w:rsid w:val="00904C98"/>
    <w:rsid w:val="009053BE"/>
    <w:rsid w:val="009063B7"/>
    <w:rsid w:val="00907D3B"/>
    <w:rsid w:val="009173FE"/>
    <w:rsid w:val="00920B40"/>
    <w:rsid w:val="00932970"/>
    <w:rsid w:val="009339FB"/>
    <w:rsid w:val="00936EC5"/>
    <w:rsid w:val="00945651"/>
    <w:rsid w:val="00954002"/>
    <w:rsid w:val="00972BBF"/>
    <w:rsid w:val="00976F6B"/>
    <w:rsid w:val="0098415A"/>
    <w:rsid w:val="0099559C"/>
    <w:rsid w:val="009B69C2"/>
    <w:rsid w:val="009C605F"/>
    <w:rsid w:val="009D667F"/>
    <w:rsid w:val="009E53F6"/>
    <w:rsid w:val="009E6CEB"/>
    <w:rsid w:val="009F5607"/>
    <w:rsid w:val="009F6758"/>
    <w:rsid w:val="00A00B63"/>
    <w:rsid w:val="00A01F17"/>
    <w:rsid w:val="00A0637E"/>
    <w:rsid w:val="00A129A1"/>
    <w:rsid w:val="00A13BF0"/>
    <w:rsid w:val="00A22A0A"/>
    <w:rsid w:val="00A22A86"/>
    <w:rsid w:val="00A23875"/>
    <w:rsid w:val="00A33021"/>
    <w:rsid w:val="00A36041"/>
    <w:rsid w:val="00A44962"/>
    <w:rsid w:val="00A56AFA"/>
    <w:rsid w:val="00A645B3"/>
    <w:rsid w:val="00A70F48"/>
    <w:rsid w:val="00A718D1"/>
    <w:rsid w:val="00A83610"/>
    <w:rsid w:val="00AB7EFE"/>
    <w:rsid w:val="00AC372B"/>
    <w:rsid w:val="00AE406B"/>
    <w:rsid w:val="00AF401F"/>
    <w:rsid w:val="00AF5FB6"/>
    <w:rsid w:val="00AF719F"/>
    <w:rsid w:val="00B10702"/>
    <w:rsid w:val="00B143FE"/>
    <w:rsid w:val="00B243F2"/>
    <w:rsid w:val="00B2519D"/>
    <w:rsid w:val="00B32BC4"/>
    <w:rsid w:val="00B33A92"/>
    <w:rsid w:val="00B35712"/>
    <w:rsid w:val="00B43F8C"/>
    <w:rsid w:val="00B54018"/>
    <w:rsid w:val="00B54421"/>
    <w:rsid w:val="00B557FF"/>
    <w:rsid w:val="00B60FF6"/>
    <w:rsid w:val="00B63A05"/>
    <w:rsid w:val="00B7042B"/>
    <w:rsid w:val="00B80382"/>
    <w:rsid w:val="00B872CA"/>
    <w:rsid w:val="00BB352A"/>
    <w:rsid w:val="00BC0383"/>
    <w:rsid w:val="00BC1245"/>
    <w:rsid w:val="00BD5A86"/>
    <w:rsid w:val="00BD661E"/>
    <w:rsid w:val="00BD7DC8"/>
    <w:rsid w:val="00BE109C"/>
    <w:rsid w:val="00BE1269"/>
    <w:rsid w:val="00BE3F20"/>
    <w:rsid w:val="00BF0D41"/>
    <w:rsid w:val="00C01DBD"/>
    <w:rsid w:val="00C04D19"/>
    <w:rsid w:val="00C0567E"/>
    <w:rsid w:val="00C05FC8"/>
    <w:rsid w:val="00C108A8"/>
    <w:rsid w:val="00C138E0"/>
    <w:rsid w:val="00C23847"/>
    <w:rsid w:val="00C2691F"/>
    <w:rsid w:val="00C3317D"/>
    <w:rsid w:val="00C3501E"/>
    <w:rsid w:val="00C37D17"/>
    <w:rsid w:val="00C41845"/>
    <w:rsid w:val="00C42C78"/>
    <w:rsid w:val="00C461E5"/>
    <w:rsid w:val="00C47877"/>
    <w:rsid w:val="00C5482F"/>
    <w:rsid w:val="00C70815"/>
    <w:rsid w:val="00C741FC"/>
    <w:rsid w:val="00C84B6A"/>
    <w:rsid w:val="00C85548"/>
    <w:rsid w:val="00C90FAD"/>
    <w:rsid w:val="00C91036"/>
    <w:rsid w:val="00C97B94"/>
    <w:rsid w:val="00CA1880"/>
    <w:rsid w:val="00CA38AC"/>
    <w:rsid w:val="00CA48CF"/>
    <w:rsid w:val="00CC085D"/>
    <w:rsid w:val="00CC3A67"/>
    <w:rsid w:val="00CC4DBC"/>
    <w:rsid w:val="00CC501A"/>
    <w:rsid w:val="00CD0E13"/>
    <w:rsid w:val="00CD2F4F"/>
    <w:rsid w:val="00CD43CE"/>
    <w:rsid w:val="00CD630D"/>
    <w:rsid w:val="00CE5093"/>
    <w:rsid w:val="00CE7C2F"/>
    <w:rsid w:val="00CF5D97"/>
    <w:rsid w:val="00D00424"/>
    <w:rsid w:val="00D06516"/>
    <w:rsid w:val="00D23B0B"/>
    <w:rsid w:val="00D23EDD"/>
    <w:rsid w:val="00D302AD"/>
    <w:rsid w:val="00D43F7D"/>
    <w:rsid w:val="00D4515E"/>
    <w:rsid w:val="00D67001"/>
    <w:rsid w:val="00D70881"/>
    <w:rsid w:val="00D779BB"/>
    <w:rsid w:val="00D85497"/>
    <w:rsid w:val="00D86646"/>
    <w:rsid w:val="00D87003"/>
    <w:rsid w:val="00D93FC1"/>
    <w:rsid w:val="00DA5A4C"/>
    <w:rsid w:val="00DA6724"/>
    <w:rsid w:val="00DA71B9"/>
    <w:rsid w:val="00DB1210"/>
    <w:rsid w:val="00DC0D15"/>
    <w:rsid w:val="00DC1F0C"/>
    <w:rsid w:val="00DC7F96"/>
    <w:rsid w:val="00DD53BA"/>
    <w:rsid w:val="00DD6E32"/>
    <w:rsid w:val="00DE4018"/>
    <w:rsid w:val="00DE4C91"/>
    <w:rsid w:val="00DF1829"/>
    <w:rsid w:val="00E01757"/>
    <w:rsid w:val="00E06DA9"/>
    <w:rsid w:val="00E171A1"/>
    <w:rsid w:val="00E174A3"/>
    <w:rsid w:val="00E230C3"/>
    <w:rsid w:val="00E2462D"/>
    <w:rsid w:val="00E3352D"/>
    <w:rsid w:val="00E4106F"/>
    <w:rsid w:val="00E45728"/>
    <w:rsid w:val="00E55EEC"/>
    <w:rsid w:val="00E5717B"/>
    <w:rsid w:val="00E621C7"/>
    <w:rsid w:val="00E62C51"/>
    <w:rsid w:val="00E65D5E"/>
    <w:rsid w:val="00E7085A"/>
    <w:rsid w:val="00E71F05"/>
    <w:rsid w:val="00E80CF6"/>
    <w:rsid w:val="00E912CA"/>
    <w:rsid w:val="00E96438"/>
    <w:rsid w:val="00EB3895"/>
    <w:rsid w:val="00EB51F4"/>
    <w:rsid w:val="00EC4D1B"/>
    <w:rsid w:val="00ED39E0"/>
    <w:rsid w:val="00EF374E"/>
    <w:rsid w:val="00EF5EE0"/>
    <w:rsid w:val="00F017CE"/>
    <w:rsid w:val="00F02EA8"/>
    <w:rsid w:val="00F04FBD"/>
    <w:rsid w:val="00F077E7"/>
    <w:rsid w:val="00F07CCD"/>
    <w:rsid w:val="00F12358"/>
    <w:rsid w:val="00F31EDD"/>
    <w:rsid w:val="00F639A6"/>
    <w:rsid w:val="00F74AA3"/>
    <w:rsid w:val="00F8500B"/>
    <w:rsid w:val="00F85B2D"/>
    <w:rsid w:val="00F90CD8"/>
    <w:rsid w:val="00F92310"/>
    <w:rsid w:val="00F94805"/>
    <w:rsid w:val="00F97E19"/>
    <w:rsid w:val="00FA1519"/>
    <w:rsid w:val="00FB3EC4"/>
    <w:rsid w:val="00FB4A98"/>
    <w:rsid w:val="00FC7B23"/>
    <w:rsid w:val="00FD010D"/>
    <w:rsid w:val="00FD098D"/>
    <w:rsid w:val="00FD630B"/>
    <w:rsid w:val="00FE2876"/>
    <w:rsid w:val="00FE4B3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link w:val="Heading1Char"/>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link w:val="Heading2Char"/>
    <w:uiPriority w:val="9"/>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link w:val="Heading3Char"/>
    <w:uiPriority w:val="9"/>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uiPriority w:val="9"/>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Pr>
      <w:vertAlign w:val="superscript"/>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qFormat/>
    <w:pPr>
      <w:ind w:firstLine="0"/>
    </w:pPr>
  </w:style>
  <w:style w:type="paragraph" w:styleId="FootnoteText">
    <w:name w:val="footnote text"/>
    <w:basedOn w:val="Normal"/>
    <w:link w:val="FootnoteTextChar"/>
    <w:semiHidden/>
    <w:pPr>
      <w:ind w:left="567" w:hanging="567"/>
    </w:pPr>
    <w:rPr>
      <w:rFonts w:eastAsia="Times New Roman"/>
      <w:sz w:val="20"/>
      <w:szCs w:val="20"/>
      <w:lang w:eastAsia="en-US"/>
    </w:rPr>
  </w:style>
  <w:style w:type="paragraph" w:styleId="Footer">
    <w:name w:val="footer"/>
    <w:basedOn w:val="Normal"/>
    <w:link w:val="FooterChar"/>
    <w:uiPriority w:val="99"/>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36041"/>
    <w:rPr>
      <w:rFonts w:ascii="Tahoma" w:hAnsi="Tahoma" w:cs="Tahoma"/>
      <w:sz w:val="16"/>
      <w:szCs w:val="16"/>
    </w:rPr>
  </w:style>
  <w:style w:type="character" w:customStyle="1" w:styleId="BalloonTextChar">
    <w:name w:val="Balloon Text Char"/>
    <w:link w:val="BalloonText"/>
    <w:uiPriority w:val="99"/>
    <w:rsid w:val="00A36041"/>
    <w:rPr>
      <w:rFonts w:ascii="Tahoma" w:hAnsi="Tahoma" w:cs="Tahoma"/>
      <w:snapToGrid w:val="0"/>
      <w:sz w:val="16"/>
      <w:szCs w:val="16"/>
      <w:lang w:eastAsia="zh-CN"/>
    </w:rPr>
  </w:style>
  <w:style w:type="paragraph" w:styleId="BodyText">
    <w:name w:val="Body Text"/>
    <w:basedOn w:val="Normal"/>
    <w:link w:val="BodyTextChar"/>
    <w:uiPriority w:val="1"/>
    <w:qFormat/>
    <w:rsid w:val="005169D0"/>
    <w:pPr>
      <w:spacing w:after="120"/>
    </w:pPr>
  </w:style>
  <w:style w:type="character" w:customStyle="1" w:styleId="BodyTextChar">
    <w:name w:val="Body Text Char"/>
    <w:link w:val="BodyText"/>
    <w:uiPriority w:val="1"/>
    <w:rsid w:val="005169D0"/>
    <w:rPr>
      <w:rFonts w:ascii="Arial" w:hAnsi="Arial"/>
      <w:snapToGrid w:val="0"/>
      <w:sz w:val="22"/>
      <w:szCs w:val="24"/>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uiPriority w:val="22"/>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uiPriority w:val="1"/>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uiPriority w:val="1"/>
    <w:rsid w:val="007A7EC6"/>
    <w:rPr>
      <w:rFonts w:eastAsia="Times New Roman"/>
      <w:sz w:val="24"/>
      <w:szCs w:val="24"/>
      <w:lang w:eastAsia="fr-FR"/>
    </w:rPr>
  </w:style>
  <w:style w:type="character" w:styleId="FollowedHyperlink">
    <w:name w:val="FollowedHyperlink"/>
    <w:uiPriority w:val="99"/>
    <w:rsid w:val="007A7EC6"/>
    <w:rPr>
      <w:color w:val="800080"/>
      <w:u w:val="single"/>
    </w:rPr>
  </w:style>
  <w:style w:type="character" w:customStyle="1" w:styleId="fn">
    <w:name w:val="fn"/>
    <w:basedOn w:val="DefaultParagraphFont"/>
    <w:rsid w:val="007A7EC6"/>
  </w:style>
  <w:style w:type="character" w:styleId="CommentReference">
    <w:name w:val="annotation reference"/>
    <w:uiPriority w:val="99"/>
    <w:rsid w:val="007A7EC6"/>
    <w:rPr>
      <w:sz w:val="16"/>
      <w:szCs w:val="16"/>
    </w:rPr>
  </w:style>
  <w:style w:type="paragraph" w:styleId="CommentText">
    <w:name w:val="annotation text"/>
    <w:basedOn w:val="Normal"/>
    <w:link w:val="CommentTextChar"/>
    <w:uiPriority w:val="99"/>
    <w:qFormat/>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uiPriority w:val="99"/>
    <w:qFormat/>
    <w:rsid w:val="007A7EC6"/>
    <w:rPr>
      <w:rFonts w:eastAsia="Times New Roman"/>
      <w:lang w:val="en-US" w:eastAsia="en-US"/>
    </w:rPr>
  </w:style>
  <w:style w:type="paragraph" w:styleId="CommentSubject">
    <w:name w:val="annotation subject"/>
    <w:basedOn w:val="CommentText"/>
    <w:next w:val="CommentText"/>
    <w:link w:val="CommentSubjectChar"/>
    <w:uiPriority w:val="99"/>
    <w:rsid w:val="007A7EC6"/>
    <w:rPr>
      <w:b/>
      <w:bCs/>
      <w:lang w:val="x-none" w:eastAsia="x-none"/>
    </w:rPr>
  </w:style>
  <w:style w:type="character" w:customStyle="1" w:styleId="CommentSubjectChar">
    <w:name w:val="Comment Subject Char"/>
    <w:basedOn w:val="CommentTextChar"/>
    <w:link w:val="CommentSubject"/>
    <w:uiPriority w:val="99"/>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uiPriority w:val="99"/>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uiPriority w:val="99"/>
    <w:rsid w:val="007A7EC6"/>
    <w:rPr>
      <w:rFonts w:eastAsia="Times New Roman"/>
      <w:lang w:val="en-US" w:eastAsia="en-US"/>
    </w:rPr>
  </w:style>
  <w:style w:type="character" w:styleId="EndnoteReference">
    <w:name w:val="endnote reference"/>
    <w:uiPriority w:val="99"/>
    <w:rsid w:val="007A7EC6"/>
    <w:rPr>
      <w:vertAlign w:val="superscript"/>
    </w:rPr>
  </w:style>
  <w:style w:type="character" w:customStyle="1" w:styleId="HeaderChar">
    <w:name w:val="Header Char"/>
    <w:basedOn w:val="DefaultParagraphFont"/>
    <w:link w:val="Header"/>
    <w:locked/>
    <w:rsid w:val="003F3C42"/>
    <w:rPr>
      <w:rFonts w:ascii="Arial" w:eastAsia="Times New Roman" w:hAnsi="Arial"/>
      <w:snapToGrid w:val="0"/>
      <w:sz w:val="22"/>
      <w:szCs w:val="24"/>
      <w:lang w:eastAsia="en-US"/>
    </w:rPr>
  </w:style>
  <w:style w:type="character" w:customStyle="1" w:styleId="Heading1Char">
    <w:name w:val="Heading 1 Char"/>
    <w:basedOn w:val="DefaultParagraphFont"/>
    <w:link w:val="Heading1"/>
    <w:rsid w:val="00191E6D"/>
    <w:rPr>
      <w:rFonts w:ascii="Arial" w:eastAsia="Times New Roman" w:hAnsi="Arial"/>
      <w:b/>
      <w:bCs/>
      <w:snapToGrid w:val="0"/>
      <w:kern w:val="28"/>
      <w:sz w:val="22"/>
      <w:szCs w:val="24"/>
      <w:lang w:eastAsia="en-US"/>
    </w:rPr>
  </w:style>
  <w:style w:type="character" w:customStyle="1" w:styleId="MargeChar">
    <w:name w:val="Marge Char"/>
    <w:link w:val="Marge"/>
    <w:qFormat/>
    <w:rsid w:val="00191E6D"/>
    <w:rPr>
      <w:rFonts w:ascii="Arial" w:eastAsia="Times New Roman" w:hAnsi="Arial"/>
      <w:snapToGrid w:val="0"/>
      <w:sz w:val="22"/>
      <w:szCs w:val="24"/>
      <w:lang w:eastAsia="en-US"/>
    </w:rPr>
  </w:style>
  <w:style w:type="character" w:customStyle="1" w:styleId="Stylepersonneldecomposition">
    <w:name w:val="Style personnel de composition"/>
    <w:rsid w:val="00B43F8C"/>
    <w:rPr>
      <w:rFonts w:ascii="Arial" w:hAnsi="Arial" w:cs="Arial"/>
      <w:color w:val="auto"/>
      <w:sz w:val="20"/>
    </w:rPr>
  </w:style>
  <w:style w:type="character" w:customStyle="1" w:styleId="Stylepersonnelderponse">
    <w:name w:val="Style personnel de réponse"/>
    <w:rsid w:val="00B43F8C"/>
    <w:rPr>
      <w:rFonts w:ascii="Arial" w:hAnsi="Arial" w:cs="Arial"/>
      <w:color w:val="auto"/>
      <w:sz w:val="20"/>
    </w:rPr>
  </w:style>
  <w:style w:type="character" w:styleId="UnresolvedMention">
    <w:name w:val="Unresolved Mention"/>
    <w:basedOn w:val="DefaultParagraphFont"/>
    <w:uiPriority w:val="99"/>
    <w:semiHidden/>
    <w:unhideWhenUsed/>
    <w:rsid w:val="00B43F8C"/>
    <w:rPr>
      <w:color w:val="605E5C"/>
      <w:shd w:val="clear" w:color="auto" w:fill="E1DFDD"/>
    </w:rPr>
  </w:style>
  <w:style w:type="character" w:customStyle="1" w:styleId="Heading2Char">
    <w:name w:val="Heading 2 Char"/>
    <w:basedOn w:val="DefaultParagraphFont"/>
    <w:link w:val="Heading2"/>
    <w:uiPriority w:val="9"/>
    <w:rsid w:val="00B43F8C"/>
    <w:rPr>
      <w:rFonts w:ascii="Arial" w:eastAsia="Times New Roman" w:hAnsi="Arial"/>
      <w:b/>
      <w:bCs/>
      <w:caps/>
      <w:snapToGrid w:val="0"/>
      <w:sz w:val="22"/>
      <w:szCs w:val="24"/>
      <w:lang w:eastAsia="en-US"/>
    </w:rPr>
  </w:style>
  <w:style w:type="character" w:customStyle="1" w:styleId="Heading3Char">
    <w:name w:val="Heading 3 Char"/>
    <w:basedOn w:val="DefaultParagraphFont"/>
    <w:link w:val="Heading3"/>
    <w:uiPriority w:val="9"/>
    <w:rsid w:val="00B43F8C"/>
    <w:rPr>
      <w:rFonts w:ascii="Arial" w:eastAsia="Times New Roman" w:hAnsi="Arial"/>
      <w:b/>
      <w:bCs/>
      <w:snapToGrid w:val="0"/>
      <w:sz w:val="22"/>
      <w:szCs w:val="24"/>
      <w:lang w:eastAsia="en-US"/>
    </w:rPr>
  </w:style>
  <w:style w:type="table" w:customStyle="1" w:styleId="Grilledutableau1">
    <w:name w:val="Grille du tableau1"/>
    <w:basedOn w:val="TableNormal"/>
    <w:next w:val="TableGrid"/>
    <w:uiPriority w:val="39"/>
    <w:rsid w:val="00B43F8C"/>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BalloonText"/>
    <w:uiPriority w:val="99"/>
    <w:semiHidden/>
    <w:unhideWhenUsed/>
    <w:rsid w:val="00B43F8C"/>
    <w:pPr>
      <w:widowControl w:val="0"/>
      <w:tabs>
        <w:tab w:val="clear" w:pos="567"/>
      </w:tabs>
      <w:snapToGrid/>
    </w:pPr>
    <w:rPr>
      <w:rFonts w:ascii="Segoe UI" w:eastAsia="Times New Roman" w:hAnsi="Segoe UI" w:cs="Segoe UI"/>
      <w:snapToGrid/>
      <w:sz w:val="18"/>
      <w:szCs w:val="18"/>
      <w:lang w:eastAsia="fr-FR"/>
    </w:rPr>
  </w:style>
  <w:style w:type="paragraph" w:customStyle="1" w:styleId="Sansinterligne1">
    <w:name w:val="Sans interligne1"/>
    <w:next w:val="NoSpacing"/>
    <w:uiPriority w:val="1"/>
    <w:qFormat/>
    <w:rsid w:val="00B43F8C"/>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Heading1"/>
    <w:next w:val="Normal"/>
    <w:uiPriority w:val="39"/>
    <w:unhideWhenUsed/>
    <w:qFormat/>
    <w:rsid w:val="00B43F8C"/>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Heading1"/>
    <w:next w:val="Normal"/>
    <w:autoRedefine/>
    <w:uiPriority w:val="39"/>
    <w:unhideWhenUsed/>
    <w:rsid w:val="00B43F8C"/>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Heading2"/>
    <w:next w:val="Normal"/>
    <w:autoRedefine/>
    <w:uiPriority w:val="39"/>
    <w:unhideWhenUsed/>
    <w:rsid w:val="00B43F8C"/>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DefaultParagraphFont"/>
    <w:uiPriority w:val="99"/>
    <w:unhideWhenUsed/>
    <w:rsid w:val="00B43F8C"/>
    <w:rPr>
      <w:color w:val="0000FF"/>
      <w:u w:val="single"/>
    </w:rPr>
  </w:style>
  <w:style w:type="paragraph" w:customStyle="1" w:styleId="TM31">
    <w:name w:val="TM 31"/>
    <w:basedOn w:val="Heading3"/>
    <w:next w:val="Normal"/>
    <w:autoRedefine/>
    <w:uiPriority w:val="39"/>
    <w:unhideWhenUsed/>
    <w:rsid w:val="00B43F8C"/>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FooterChar">
    <w:name w:val="Footer Char"/>
    <w:basedOn w:val="DefaultParagraphFont"/>
    <w:link w:val="Footer"/>
    <w:uiPriority w:val="99"/>
    <w:rsid w:val="00B43F8C"/>
    <w:rPr>
      <w:rFonts w:ascii="Arial" w:eastAsia="Times New Roman" w:hAnsi="Arial"/>
      <w:snapToGrid w:val="0"/>
      <w:sz w:val="22"/>
      <w:szCs w:val="24"/>
      <w:lang w:eastAsia="en-US"/>
    </w:rPr>
  </w:style>
  <w:style w:type="paragraph" w:customStyle="1" w:styleId="Paragraphedeliste1">
    <w:name w:val="Paragraphe de liste1"/>
    <w:basedOn w:val="Normal"/>
    <w:next w:val="ListParagraph"/>
    <w:link w:val="ParagraphedelisteCar"/>
    <w:uiPriority w:val="34"/>
    <w:qFormat/>
    <w:rsid w:val="00B43F8C"/>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eastAsia="en-US"/>
    </w:rPr>
  </w:style>
  <w:style w:type="character" w:customStyle="1" w:styleId="ParagraphedelisteCar">
    <w:name w:val="Paragraphe de liste Car"/>
    <w:aliases w:val="ADB List Paragraph Car,Dot pt Car,List Paragraph Char Char Char Car,Indicator Text Car,Numbered Para 1 Car,List Paragraph12 Car,Bullet Points Car,MAIN CONTENT Car,Bullet 1 Car,Light Grid - Accent 31 Car,References Car,stil3 Car"/>
    <w:link w:val="Paragraphedeliste1"/>
    <w:uiPriority w:val="34"/>
    <w:qFormat/>
    <w:rsid w:val="00B43F8C"/>
    <w:rPr>
      <w:rFonts w:ascii="Fira Sans Light" w:eastAsia="Calibri" w:hAnsi="Fira Sans Light" w:cs="Arial"/>
      <w:szCs w:val="22"/>
      <w:lang w:val="en-US" w:eastAsia="en-US"/>
    </w:rPr>
  </w:style>
  <w:style w:type="paragraph" w:customStyle="1" w:styleId="paragraph">
    <w:name w:val="paragraph"/>
    <w:basedOn w:val="Normal"/>
    <w:rsid w:val="00B43F8C"/>
    <w:pPr>
      <w:tabs>
        <w:tab w:val="clear" w:pos="567"/>
      </w:tabs>
      <w:snapToGrid/>
      <w:spacing w:before="100" w:beforeAutospacing="1" w:after="100" w:afterAutospacing="1"/>
    </w:pPr>
    <w:rPr>
      <w:rFonts w:ascii="Times New Roman" w:eastAsia="Times New Roman" w:hAnsi="Times New Roman"/>
      <w:snapToGrid/>
      <w:sz w:val="24"/>
      <w:lang w:eastAsia="fr-FR"/>
    </w:rPr>
  </w:style>
  <w:style w:type="character" w:customStyle="1" w:styleId="eop">
    <w:name w:val="eop"/>
    <w:basedOn w:val="DefaultParagraphFont"/>
    <w:rsid w:val="00B43F8C"/>
  </w:style>
  <w:style w:type="character" w:customStyle="1" w:styleId="ffa">
    <w:name w:val="ffa"/>
    <w:basedOn w:val="DefaultParagraphFont"/>
    <w:rsid w:val="00B43F8C"/>
  </w:style>
  <w:style w:type="character" w:customStyle="1" w:styleId="ws2a">
    <w:name w:val="ws2a"/>
    <w:basedOn w:val="DefaultParagraphFont"/>
    <w:rsid w:val="00B43F8C"/>
  </w:style>
  <w:style w:type="paragraph" w:customStyle="1" w:styleId="Lgende1">
    <w:name w:val="Légende1"/>
    <w:basedOn w:val="Normal"/>
    <w:next w:val="Normal"/>
    <w:uiPriority w:val="35"/>
    <w:unhideWhenUsed/>
    <w:qFormat/>
    <w:rsid w:val="00B43F8C"/>
    <w:pPr>
      <w:tabs>
        <w:tab w:val="clear" w:pos="567"/>
      </w:tabs>
      <w:snapToGrid/>
      <w:spacing w:after="200"/>
    </w:pPr>
    <w:rPr>
      <w:rFonts w:eastAsia="Arial" w:cs="Arial"/>
      <w:i/>
      <w:iCs/>
      <w:snapToGrid/>
      <w:color w:val="4FA68C"/>
      <w:sz w:val="18"/>
      <w:szCs w:val="18"/>
      <w:lang w:val="en-US" w:eastAsia="en-GB"/>
    </w:rPr>
  </w:style>
  <w:style w:type="character" w:customStyle="1" w:styleId="normaltextrun">
    <w:name w:val="normaltextrun"/>
    <w:basedOn w:val="DefaultParagraphFont"/>
    <w:rsid w:val="00B43F8C"/>
  </w:style>
  <w:style w:type="paragraph" w:customStyle="1" w:styleId="Tabledesillustrations1">
    <w:name w:val="Table des illustrations1"/>
    <w:basedOn w:val="Normal"/>
    <w:next w:val="Normal"/>
    <w:uiPriority w:val="99"/>
    <w:unhideWhenUsed/>
    <w:rsid w:val="00B43F8C"/>
    <w:pPr>
      <w:widowControl w:val="0"/>
      <w:tabs>
        <w:tab w:val="clear" w:pos="567"/>
      </w:tabs>
      <w:snapToGrid/>
      <w:spacing w:line="276" w:lineRule="auto"/>
    </w:pPr>
    <w:rPr>
      <w:rFonts w:ascii="Fira Sans Light" w:eastAsia="Calibri" w:hAnsi="Fira Sans Light" w:cs="Arial"/>
      <w:snapToGrid/>
      <w:sz w:val="20"/>
      <w:szCs w:val="22"/>
      <w:lang w:val="en-US" w:eastAsia="en-US"/>
    </w:rPr>
  </w:style>
  <w:style w:type="paragraph" w:customStyle="1" w:styleId="Objetducommentaire1">
    <w:name w:val="Objet du commentaire1"/>
    <w:basedOn w:val="CommentText"/>
    <w:next w:val="CommentText"/>
    <w:uiPriority w:val="99"/>
    <w:semiHidden/>
    <w:unhideWhenUsed/>
    <w:rsid w:val="00B43F8C"/>
    <w:pPr>
      <w:widowControl w:val="0"/>
      <w:spacing w:after="200"/>
    </w:pPr>
    <w:rPr>
      <w:rFonts w:ascii="Fira Sans Light" w:eastAsia="Calibri" w:hAnsi="Fira Sans Light" w:cs="Arial"/>
      <w:b/>
      <w:bCs/>
    </w:rPr>
  </w:style>
  <w:style w:type="character" w:customStyle="1" w:styleId="Lienhypertextesuivivisit1">
    <w:name w:val="Lien hypertexte suivi visité1"/>
    <w:basedOn w:val="DefaultParagraphFont"/>
    <w:uiPriority w:val="99"/>
    <w:semiHidden/>
    <w:unhideWhenUsed/>
    <w:rsid w:val="00B43F8C"/>
    <w:rPr>
      <w:color w:val="800080"/>
      <w:u w:val="single"/>
    </w:rPr>
  </w:style>
  <w:style w:type="character" w:customStyle="1" w:styleId="UnresolvedMention1">
    <w:name w:val="Unresolved Mention1"/>
    <w:basedOn w:val="DefaultParagraphFont"/>
    <w:uiPriority w:val="99"/>
    <w:semiHidden/>
    <w:unhideWhenUsed/>
    <w:rsid w:val="00B43F8C"/>
    <w:rPr>
      <w:color w:val="605E5C"/>
      <w:shd w:val="clear" w:color="auto" w:fill="E1DFDD"/>
    </w:rPr>
  </w:style>
  <w:style w:type="character" w:customStyle="1" w:styleId="TextedebullesCar1">
    <w:name w:val="Texte de bulles Car1"/>
    <w:basedOn w:val="DefaultParagraphFont"/>
    <w:semiHidden/>
    <w:rsid w:val="00B43F8C"/>
    <w:rPr>
      <w:rFonts w:ascii="Segoe UI" w:hAnsi="Segoe UI" w:cs="Segoe UI"/>
      <w:snapToGrid w:val="0"/>
      <w:sz w:val="18"/>
      <w:szCs w:val="18"/>
      <w:lang w:eastAsia="en-US"/>
    </w:rPr>
  </w:style>
  <w:style w:type="character" w:customStyle="1" w:styleId="ObjetducommentaireCar1">
    <w:name w:val="Objet du commentaire Car1"/>
    <w:basedOn w:val="CommentTextChar"/>
    <w:semiHidden/>
    <w:rsid w:val="00B43F8C"/>
    <w:rPr>
      <w:rFonts w:ascii="Arial" w:eastAsia="Arial" w:hAnsi="Arial" w:cs="Arial"/>
      <w:b/>
      <w:bCs/>
      <w:lang w:val="en-US" w:eastAsia="en-GB"/>
    </w:rPr>
  </w:style>
  <w:style w:type="character" w:customStyle="1" w:styleId="Mentionnonrsolue1">
    <w:name w:val="Mention non résolue1"/>
    <w:basedOn w:val="DefaultParagraphFont"/>
    <w:uiPriority w:val="99"/>
    <w:semiHidden/>
    <w:unhideWhenUsed/>
    <w:rsid w:val="00B43F8C"/>
    <w:rPr>
      <w:color w:val="605E5C"/>
      <w:shd w:val="clear" w:color="auto" w:fill="E1DFDD"/>
    </w:rPr>
  </w:style>
  <w:style w:type="character" w:customStyle="1" w:styleId="Style2Car">
    <w:name w:val="Style2 Car"/>
    <w:basedOn w:val="DefaultParagraphFont"/>
    <w:rsid w:val="00B43F8C"/>
    <w:rPr>
      <w:rFonts w:ascii="Arial" w:hAnsi="Arial"/>
      <w:iCs/>
      <w:snapToGrid w:val="0"/>
      <w:sz w:val="22"/>
      <w:szCs w:val="22"/>
      <w:shd w:val="clear" w:color="auto" w:fill="FFFFFF"/>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B43F8C"/>
    <w:pPr>
      <w:tabs>
        <w:tab w:val="clear" w:pos="567"/>
      </w:tabs>
      <w:snapToGrid/>
      <w:spacing w:before="120" w:after="160" w:line="240" w:lineRule="exact"/>
    </w:pPr>
    <w:rPr>
      <w:rFonts w:ascii="Times New Roman" w:hAnsi="Times New Roman"/>
      <w:snapToGrid/>
      <w:sz w:val="20"/>
      <w:szCs w:val="20"/>
      <w:vertAlign w:val="superscript"/>
    </w:rPr>
  </w:style>
  <w:style w:type="character" w:customStyle="1" w:styleId="Heading7Char">
    <w:name w:val="Heading 7 Char"/>
    <w:basedOn w:val="DefaultParagraphFont"/>
    <w:link w:val="Heading7"/>
    <w:rsid w:val="00B43F8C"/>
    <w:rPr>
      <w:color w:val="000000"/>
      <w:sz w:val="24"/>
      <w:szCs w:val="24"/>
      <w:u w:val="single"/>
    </w:rPr>
  </w:style>
  <w:style w:type="paragraph" w:customStyle="1" w:styleId="JOBSTYLE">
    <w:name w:val="JOBSTYLE"/>
    <w:basedOn w:val="Normal"/>
    <w:rsid w:val="00B43F8C"/>
    <w:pPr>
      <w:tabs>
        <w:tab w:val="left" w:pos="1134"/>
        <w:tab w:val="left" w:pos="6237"/>
      </w:tabs>
      <w:overflowPunct w:val="0"/>
      <w:autoSpaceDE w:val="0"/>
      <w:autoSpaceDN w:val="0"/>
      <w:adjustRightInd w:val="0"/>
      <w:snapToGrid/>
      <w:spacing w:line="960" w:lineRule="auto"/>
      <w:jc w:val="both"/>
      <w:textAlignment w:val="baseline"/>
    </w:pPr>
    <w:rPr>
      <w:rFonts w:ascii="Times New Roman" w:eastAsia="Times New Roman" w:hAnsi="Times New Roman"/>
      <w:snapToGrid/>
      <w:sz w:val="24"/>
      <w:lang w:val="en-GB" w:eastAsia="en-US"/>
    </w:rPr>
  </w:style>
  <w:style w:type="character" w:customStyle="1" w:styleId="UnresolvedMention2">
    <w:name w:val="Unresolved Mention2"/>
    <w:basedOn w:val="DefaultParagraphFont"/>
    <w:uiPriority w:val="99"/>
    <w:semiHidden/>
    <w:unhideWhenUsed/>
    <w:rsid w:val="00B43F8C"/>
    <w:rPr>
      <w:color w:val="605E5C"/>
      <w:shd w:val="clear" w:color="auto" w:fill="E1DFDD"/>
    </w:rPr>
  </w:style>
  <w:style w:type="character" w:customStyle="1" w:styleId="UnresolvedMention3">
    <w:name w:val="Unresolved Mention3"/>
    <w:basedOn w:val="DefaultParagraphFont"/>
    <w:uiPriority w:val="99"/>
    <w:semiHidden/>
    <w:unhideWhenUsed/>
    <w:rsid w:val="00B43F8C"/>
    <w:rPr>
      <w:color w:val="605E5C"/>
      <w:shd w:val="clear" w:color="auto" w:fill="E1DFDD"/>
    </w:rPr>
  </w:style>
  <w:style w:type="character" w:customStyle="1" w:styleId="Heading4Char">
    <w:name w:val="Heading 4 Char"/>
    <w:basedOn w:val="DefaultParagraphFont"/>
    <w:link w:val="Heading4"/>
    <w:uiPriority w:val="9"/>
    <w:rsid w:val="00B43F8C"/>
    <w:rPr>
      <w:rFonts w:ascii="Arial" w:eastAsia="Times New Roman" w:hAnsi="Arial"/>
      <w:b/>
      <w:bCs/>
      <w:snapToGrid w:val="0"/>
      <w:sz w:val="22"/>
      <w:szCs w:val="24"/>
      <w:lang w:eastAsia="en-US"/>
    </w:rPr>
  </w:style>
  <w:style w:type="character" w:customStyle="1" w:styleId="UnresolvedMention4">
    <w:name w:val="Unresolved Mention4"/>
    <w:basedOn w:val="DefaultParagraphFont"/>
    <w:uiPriority w:val="99"/>
    <w:semiHidden/>
    <w:unhideWhenUsed/>
    <w:rsid w:val="00B43F8C"/>
    <w:rPr>
      <w:color w:val="605E5C"/>
      <w:shd w:val="clear" w:color="auto" w:fill="E1DFDD"/>
    </w:rPr>
  </w:style>
  <w:style w:type="paragraph" w:customStyle="1" w:styleId="COI">
    <w:name w:val="COI"/>
    <w:basedOn w:val="Normal"/>
    <w:link w:val="COIChar"/>
    <w:autoRedefine/>
    <w:rsid w:val="00FB4A98"/>
    <w:pPr>
      <w:spacing w:after="240"/>
      <w:jc w:val="both"/>
    </w:pPr>
    <w:rPr>
      <w:rFonts w:eastAsia="Arial Unicode MS"/>
      <w:sz w:val="20"/>
      <w:szCs w:val="20"/>
      <w:lang w:val="en-GB" w:eastAsia="en-US"/>
    </w:rPr>
  </w:style>
  <w:style w:type="character" w:customStyle="1" w:styleId="COIChar">
    <w:name w:val="COI Char"/>
    <w:link w:val="COI"/>
    <w:rsid w:val="00FB4A98"/>
    <w:rPr>
      <w:rFonts w:ascii="Arial" w:eastAsia="Arial Unicode MS" w:hAnsi="Arial"/>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581383">
      <w:bodyDiv w:val="1"/>
      <w:marLeft w:val="0"/>
      <w:marRight w:val="0"/>
      <w:marTop w:val="0"/>
      <w:marBottom w:val="0"/>
      <w:divBdr>
        <w:top w:val="none" w:sz="0" w:space="0" w:color="auto"/>
        <w:left w:val="none" w:sz="0" w:space="0" w:color="auto"/>
        <w:bottom w:val="none" w:sz="0" w:space="0" w:color="auto"/>
        <w:right w:val="none" w:sz="0" w:space="0" w:color="auto"/>
      </w:divBdr>
    </w:div>
    <w:div w:id="19452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04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2626</Words>
  <Characters>14559</Characters>
  <Application>Microsoft Office Word</Application>
  <DocSecurity>4</DocSecurity>
  <Lines>121</Lines>
  <Paragraphs>34</Paragraphs>
  <ScaleCrop>false</ScaleCrop>
  <HeadingPairs>
    <vt:vector size="2" baseType="variant">
      <vt:variant>
        <vt:lpstr>Titre</vt:lpstr>
      </vt:variant>
      <vt:variant>
        <vt:i4>1</vt:i4>
      </vt:variant>
    </vt:vector>
  </HeadingPairs>
  <TitlesOfParts>
    <vt:vector size="1" baseType="lpstr">
      <vt:lpstr>Rapport final du Groupe de travail intersessions à composition _x000d_
non limitée sur le statut du Comité régional de la COI _x000d_
pour l’océan Indien central (IOCINDIO), 2022-2023_x000d_
Proposition concernant la création d’une sous-commission de la COI _x000d_
pour l’océan </vt:lpstr>
    </vt:vector>
  </TitlesOfParts>
  <Company>Unesco</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final du Groupe de travail intersessions à composition _x000d_
non limitée sur le statut du Comité régional de la COI _x000d_
pour l’océan Indien central (IOCINDIO), 2022-2023_x000d_
Proposition concernant la création d’une sous-commission de la COI _x000d_
pour l’océan Indien central (IOCINDIO)</dc:title>
  <dc:subject>IOC/A-32/4.5.Doc(1)</dc:subject>
  <dc:creator>as.machu@unesco.org</dc:creator>
  <cp:keywords>18.12F</cp:keywords>
  <dc:description/>
  <cp:lastModifiedBy>Boned, Patrice</cp:lastModifiedBy>
  <cp:revision>2</cp:revision>
  <cp:lastPrinted>2012-08-02T14:52:00Z</cp:lastPrinted>
  <dcterms:created xsi:type="dcterms:W3CDTF">2023-06-15T10:27:00Z</dcterms:created>
  <dcterms:modified xsi:type="dcterms:W3CDTF">2023-06-15T10:27:00Z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202301899</vt:lpwstr>
  </property>
</Properties>
</file>