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9E49" w14:textId="72053828" w:rsidR="00EA1C02" w:rsidRPr="00800C71" w:rsidRDefault="00334B9F" w:rsidP="00334B9F">
      <w:pPr>
        <w:keepNext/>
        <w:widowControl w:val="0"/>
        <w:tabs>
          <w:tab w:val="right" w:pos="9540"/>
        </w:tabs>
        <w:adjustRightInd w:val="0"/>
        <w:spacing w:after="240" w:line="240" w:lineRule="auto"/>
        <w:jc w:val="both"/>
        <w:textAlignment w:val="baseline"/>
        <w:outlineLvl w:val="6"/>
        <w:rPr>
          <w:rFonts w:ascii="Arial" w:eastAsia="Times New Roman" w:hAnsi="Arial" w:cs="Arial"/>
          <w:lang w:val="es-ES_tradnl"/>
        </w:rPr>
      </w:pPr>
      <w:r w:rsidRPr="00800C71">
        <w:rPr>
          <w:rFonts w:ascii="Arial" w:eastAsia="Times New Roman" w:hAnsi="Arial" w:cs="Arial"/>
          <w:u w:val="single"/>
          <w:lang w:val="es-ES_tradnl"/>
        </w:rPr>
        <w:t xml:space="preserve">Punto </w:t>
      </w:r>
      <w:r w:rsidR="005C58A5" w:rsidRPr="00800C71">
        <w:rPr>
          <w:rFonts w:ascii="Arial" w:eastAsia="Times New Roman" w:hAnsi="Arial" w:cs="Arial"/>
          <w:b/>
          <w:bCs/>
          <w:u w:val="single"/>
          <w:lang w:val="es-ES_tradnl"/>
        </w:rPr>
        <w:t>4.10</w:t>
      </w:r>
      <w:r w:rsidRPr="00800C71">
        <w:rPr>
          <w:rFonts w:ascii="Arial" w:eastAsia="Times New Roman" w:hAnsi="Arial" w:cs="Arial"/>
          <w:u w:val="single"/>
          <w:lang w:val="es-ES_tradnl"/>
        </w:rPr>
        <w:t xml:space="preserve"> del orden del día provisional</w:t>
      </w:r>
    </w:p>
    <w:tbl>
      <w:tblPr>
        <w:tblStyle w:val="Tablaconcuadrcul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81"/>
      </w:tblGrid>
      <w:tr w:rsidR="00334B9F" w:rsidRPr="00800C71" w14:paraId="03D16870" w14:textId="77777777" w:rsidTr="005C58A5">
        <w:trPr>
          <w:trHeight w:val="328"/>
          <w:jc w:val="center"/>
        </w:trPr>
        <w:tc>
          <w:tcPr>
            <w:tcW w:w="9781" w:type="dxa"/>
            <w:vAlign w:val="center"/>
          </w:tcPr>
          <w:p w14:paraId="0A5F4471" w14:textId="6E2C4C65" w:rsidR="00334B9F" w:rsidRPr="00800C71" w:rsidRDefault="00606E41" w:rsidP="005C58A5">
            <w:pPr>
              <w:tabs>
                <w:tab w:val="left" w:pos="567"/>
              </w:tabs>
              <w:snapToGrid w:val="0"/>
              <w:spacing w:before="240" w:after="240"/>
              <w:jc w:val="center"/>
              <w:rPr>
                <w:rFonts w:ascii="Arial" w:eastAsia="SimSun" w:hAnsi="Arial"/>
                <w:b/>
                <w:bCs/>
                <w:caps/>
                <w:snapToGrid w:val="0"/>
                <w:sz w:val="22"/>
                <w:szCs w:val="22"/>
                <w:lang w:val="es-ES_tradnl" w:eastAsia="zh-CN"/>
              </w:rPr>
            </w:pPr>
            <w:r w:rsidRPr="00800C71">
              <w:rPr>
                <w:rFonts w:ascii="Arial" w:eastAsia="SimSun" w:hAnsi="Arial"/>
                <w:b/>
                <w:bCs/>
                <w:caps/>
                <w:snapToGrid w:val="0"/>
                <w:sz w:val="22"/>
                <w:szCs w:val="22"/>
                <w:lang w:val="es-ES_tradnl" w:eastAsia="zh-CN"/>
              </w:rPr>
              <w:t>ESTADO DE</w:t>
            </w:r>
            <w:r w:rsidR="005C58A5" w:rsidRPr="00800C71">
              <w:rPr>
                <w:rFonts w:ascii="Arial" w:eastAsia="SimSun" w:hAnsi="Arial"/>
                <w:b/>
                <w:bCs/>
                <w:caps/>
                <w:snapToGrid w:val="0"/>
                <w:sz w:val="22"/>
                <w:szCs w:val="22"/>
                <w:lang w:val="es-ES_tradnl" w:eastAsia="zh-CN"/>
              </w:rPr>
              <w:t xml:space="preserve"> la ejecución del Decenio de las Naciones Unidas de las Ciencias Oceánicas para el Desarrollo Sostenible y perspectivas para 2024</w:t>
            </w:r>
          </w:p>
        </w:tc>
      </w:tr>
    </w:tbl>
    <w:p w14:paraId="13A04BCF" w14:textId="77777777" w:rsidR="00EA1C02" w:rsidRPr="00800C71" w:rsidRDefault="00EA1C02" w:rsidP="00C06866">
      <w:pPr>
        <w:tabs>
          <w:tab w:val="left" w:pos="-1440"/>
          <w:tab w:val="left" w:pos="-720"/>
          <w:tab w:val="left" w:pos="720"/>
          <w:tab w:val="left" w:pos="1440"/>
          <w:tab w:val="left" w:pos="2160"/>
          <w:tab w:val="left" w:pos="3600"/>
          <w:tab w:val="left" w:pos="4320"/>
          <w:tab w:val="left" w:pos="5040"/>
          <w:tab w:val="left" w:pos="5523"/>
          <w:tab w:val="left" w:pos="6480"/>
        </w:tabs>
        <w:spacing w:after="360" w:line="240" w:lineRule="auto"/>
        <w:jc w:val="center"/>
        <w:rPr>
          <w:rFonts w:ascii="Arial" w:hAnsi="Arial" w:cs="Arial"/>
          <w:caps/>
          <w:lang w:val="es-ES_tradnl"/>
        </w:rPr>
      </w:pPr>
    </w:p>
    <w:tbl>
      <w:tblPr>
        <w:tblStyle w:val="Tablaconcuadrcula"/>
        <w:tblW w:w="0" w:type="auto"/>
        <w:jc w:val="center"/>
        <w:tblCellMar>
          <w:top w:w="284" w:type="dxa"/>
          <w:left w:w="340" w:type="dxa"/>
          <w:bottom w:w="28" w:type="dxa"/>
          <w:right w:w="340" w:type="dxa"/>
        </w:tblCellMar>
        <w:tblLook w:val="04A0" w:firstRow="1" w:lastRow="0" w:firstColumn="1" w:lastColumn="0" w:noHBand="0" w:noVBand="1"/>
      </w:tblPr>
      <w:tblGrid>
        <w:gridCol w:w="7083"/>
      </w:tblGrid>
      <w:tr w:rsidR="007C13AF" w:rsidRPr="00800C71" w14:paraId="6495551A" w14:textId="77777777" w:rsidTr="005C58A5">
        <w:trPr>
          <w:jc w:val="center"/>
        </w:trPr>
        <w:tc>
          <w:tcPr>
            <w:tcW w:w="7083" w:type="dxa"/>
            <w:tcMar>
              <w:left w:w="284" w:type="dxa"/>
              <w:bottom w:w="85" w:type="dxa"/>
              <w:right w:w="284" w:type="dxa"/>
            </w:tcMar>
          </w:tcPr>
          <w:p w14:paraId="078903BE" w14:textId="77777777" w:rsidR="009A7585" w:rsidRPr="00800C71" w:rsidRDefault="00334B9F" w:rsidP="009A7585">
            <w:pPr>
              <w:tabs>
                <w:tab w:val="left" w:pos="567"/>
              </w:tabs>
              <w:snapToGrid w:val="0"/>
              <w:spacing w:after="240"/>
              <w:jc w:val="center"/>
              <w:rPr>
                <w:rFonts w:ascii="Arial" w:eastAsia="SimSun" w:hAnsi="Arial"/>
                <w:snapToGrid w:val="0"/>
                <w:sz w:val="22"/>
                <w:szCs w:val="22"/>
                <w:lang w:val="es-ES_tradnl" w:eastAsia="zh-CN"/>
              </w:rPr>
            </w:pPr>
            <w:r w:rsidRPr="00800C71">
              <w:rPr>
                <w:rFonts w:ascii="Arial" w:eastAsia="Times New Roman" w:hAnsi="Arial"/>
                <w:snapToGrid w:val="0"/>
                <w:sz w:val="22"/>
                <w:szCs w:val="22"/>
                <w:u w:val="single"/>
                <w:lang w:val="es-ES_tradnl"/>
              </w:rPr>
              <w:t>Resumen</w:t>
            </w:r>
          </w:p>
          <w:p w14:paraId="5A161964" w14:textId="347BAB43" w:rsidR="005C58A5" w:rsidRPr="00800C71" w:rsidRDefault="005C58A5" w:rsidP="005C58A5">
            <w:pPr>
              <w:tabs>
                <w:tab w:val="left" w:pos="567"/>
              </w:tabs>
              <w:snapToGrid w:val="0"/>
              <w:spacing w:after="240"/>
              <w:jc w:val="both"/>
              <w:rPr>
                <w:rFonts w:ascii="Arial" w:eastAsia="DengXian" w:hAnsi="Arial" w:cs="Arial"/>
                <w:sz w:val="22"/>
                <w:szCs w:val="22"/>
                <w:lang w:val="es-ES_tradnl" w:eastAsia="zh-CN"/>
              </w:rPr>
            </w:pPr>
            <w:r w:rsidRPr="00800C71">
              <w:rPr>
                <w:rFonts w:ascii="Arial" w:eastAsia="DengXian" w:hAnsi="Arial" w:cs="Arial"/>
                <w:sz w:val="22"/>
                <w:szCs w:val="22"/>
                <w:lang w:val="es-ES_tradnl" w:eastAsia="zh-CN"/>
              </w:rPr>
              <w:t xml:space="preserve">De conformidad con la resolución EC-55/1, en este documento se proporciona información sobre los principales resultados de la ejecución del Decenio del Océano en los cuatro pilares principales de actividad, a saber, i) las acciones del Decenio; ii) las estructuras de gobernanza y coordinación y los grupos de trabajo </w:t>
            </w:r>
            <w:r w:rsidR="00BA01F8" w:rsidRPr="00800C71">
              <w:rPr>
                <w:rFonts w:ascii="Arial" w:eastAsia="DengXian" w:hAnsi="Arial" w:cs="Arial"/>
                <w:sz w:val="22"/>
                <w:szCs w:val="22"/>
                <w:lang w:val="es-ES_tradnl" w:eastAsia="zh-CN"/>
              </w:rPr>
              <w:t>oficiosos</w:t>
            </w:r>
            <w:r w:rsidRPr="00800C71">
              <w:rPr>
                <w:rFonts w:ascii="Arial" w:eastAsia="DengXian" w:hAnsi="Arial" w:cs="Arial"/>
                <w:sz w:val="22"/>
                <w:szCs w:val="22"/>
                <w:lang w:val="es-ES_tradnl" w:eastAsia="zh-CN"/>
              </w:rPr>
              <w:t>; iii) la movilización de recursos; y iv) la participación de las partes interesadas y el alcance durante el período comprendido entre junio de 2021 y mayo de 2023. Se definen los desafíos restantes y las oportunidades en los distintos pilares y, por último, se presenta una visión y una perspectiva para 2023–2024 y los años posteriores.</w:t>
            </w:r>
          </w:p>
          <w:p w14:paraId="1CD90026" w14:textId="77777777" w:rsidR="005C58A5" w:rsidRPr="00800C71" w:rsidRDefault="005C58A5" w:rsidP="005C58A5">
            <w:pPr>
              <w:tabs>
                <w:tab w:val="left" w:pos="567"/>
              </w:tabs>
              <w:snapToGrid w:val="0"/>
              <w:spacing w:after="240"/>
              <w:jc w:val="both"/>
              <w:rPr>
                <w:rFonts w:ascii="Arial" w:eastAsia="DengXian" w:hAnsi="Arial" w:cs="Arial"/>
                <w:sz w:val="22"/>
                <w:szCs w:val="22"/>
                <w:lang w:val="es-ES_tradnl" w:eastAsia="zh-CN"/>
              </w:rPr>
            </w:pPr>
            <w:r w:rsidRPr="00800C71">
              <w:rPr>
                <w:rFonts w:ascii="Arial" w:eastAsia="DengXian" w:hAnsi="Arial" w:cs="Arial"/>
                <w:sz w:val="22"/>
                <w:szCs w:val="22"/>
                <w:u w:val="single"/>
                <w:lang w:val="es-ES_tradnl" w:eastAsia="zh-CN"/>
              </w:rPr>
              <w:t>Repercusiones financieras</w:t>
            </w:r>
            <w:r w:rsidRPr="00800C71">
              <w:rPr>
                <w:rFonts w:ascii="Arial" w:eastAsia="DengXian" w:hAnsi="Arial" w:cs="Arial"/>
                <w:sz w:val="22"/>
                <w:szCs w:val="22"/>
                <w:lang w:val="es-ES_tradnl" w:eastAsia="zh-CN"/>
              </w:rPr>
              <w:t>: párrafos 17 a 22.</w:t>
            </w:r>
          </w:p>
          <w:p w14:paraId="2E6144B3" w14:textId="07660AD3" w:rsidR="007C13AF" w:rsidRPr="00800C71" w:rsidRDefault="005C58A5" w:rsidP="005C58A5">
            <w:pPr>
              <w:tabs>
                <w:tab w:val="left" w:pos="567"/>
              </w:tabs>
              <w:snapToGrid w:val="0"/>
              <w:spacing w:after="240"/>
              <w:jc w:val="both"/>
              <w:rPr>
                <w:rFonts w:ascii="Arial" w:eastAsia="Times New Roman" w:hAnsi="Arial"/>
                <w:snapToGrid w:val="0"/>
                <w:szCs w:val="22"/>
                <w:lang w:val="es-ES_tradnl"/>
              </w:rPr>
            </w:pPr>
            <w:r w:rsidRPr="00800C71">
              <w:rPr>
                <w:rFonts w:ascii="Arial" w:eastAsia="DengXian" w:hAnsi="Arial" w:cs="Arial"/>
                <w:sz w:val="22"/>
                <w:szCs w:val="22"/>
                <w:u w:val="single"/>
                <w:lang w:val="es-ES_tradnl" w:eastAsia="zh-CN"/>
              </w:rPr>
              <w:t>Resolución propuesta</w:t>
            </w:r>
            <w:r w:rsidRPr="00800C71">
              <w:rPr>
                <w:rFonts w:ascii="Arial" w:eastAsia="DengXian" w:hAnsi="Arial" w:cs="Arial"/>
                <w:sz w:val="22"/>
                <w:szCs w:val="22"/>
                <w:lang w:val="es-ES_tradnl" w:eastAsia="zh-CN"/>
              </w:rPr>
              <w:t xml:space="preserve">: </w:t>
            </w:r>
            <w:r w:rsidR="00606E41" w:rsidRPr="00800C71">
              <w:rPr>
                <w:rFonts w:ascii="Arial" w:eastAsia="DengXian" w:hAnsi="Arial" w:cs="Arial"/>
                <w:sz w:val="22"/>
                <w:szCs w:val="22"/>
                <w:lang w:val="es-ES_tradnl" w:eastAsia="zh-CN"/>
              </w:rPr>
              <w:t>s</w:t>
            </w:r>
            <w:r w:rsidRPr="00800C71">
              <w:rPr>
                <w:rFonts w:ascii="Arial" w:eastAsia="DengXian" w:hAnsi="Arial" w:cs="Arial"/>
                <w:sz w:val="22"/>
                <w:szCs w:val="22"/>
                <w:lang w:val="es-ES_tradnl" w:eastAsia="zh-CN"/>
              </w:rPr>
              <w:t>e invita a la Asamblea a examinar el proyecto de resolución que lleva la referencia A-32/[4.12] en el documento de decisión provisional (documento IOC</w:t>
            </w:r>
            <w:r w:rsidR="00606E41" w:rsidRPr="00800C71">
              <w:rPr>
                <w:rFonts w:ascii="Arial" w:eastAsia="DengXian" w:hAnsi="Arial" w:cs="Arial"/>
                <w:sz w:val="22"/>
                <w:szCs w:val="22"/>
                <w:lang w:val="es-ES_tradnl" w:eastAsia="zh-CN"/>
              </w:rPr>
              <w:t>/A</w:t>
            </w:r>
            <w:r w:rsidRPr="00800C71">
              <w:rPr>
                <w:rFonts w:ascii="Arial" w:eastAsia="DengXian" w:hAnsi="Arial" w:cs="Arial"/>
                <w:sz w:val="22"/>
                <w:szCs w:val="22"/>
                <w:lang w:val="es-ES_tradnl" w:eastAsia="zh-CN"/>
              </w:rPr>
              <w:t>-32/AP Prov.).</w:t>
            </w:r>
          </w:p>
        </w:tc>
      </w:tr>
    </w:tbl>
    <w:p w14:paraId="4FEEAAA0" w14:textId="77777777" w:rsidR="00F9513F" w:rsidRPr="00800C71" w:rsidRDefault="00F9513F" w:rsidP="00A62288">
      <w:pPr>
        <w:tabs>
          <w:tab w:val="left" w:pos="567"/>
        </w:tabs>
        <w:snapToGrid w:val="0"/>
        <w:spacing w:after="0" w:line="240" w:lineRule="auto"/>
        <w:jc w:val="both"/>
        <w:rPr>
          <w:rFonts w:ascii="Arial" w:eastAsia="Times New Roman" w:hAnsi="Arial" w:cs="Arial"/>
          <w:snapToGrid w:val="0"/>
          <w:szCs w:val="24"/>
          <w:lang w:val="es-ES_tradnl"/>
        </w:rPr>
      </w:pPr>
    </w:p>
    <w:p w14:paraId="12149059" w14:textId="77777777" w:rsidR="00270E93" w:rsidRPr="00800C71" w:rsidRDefault="00270E93" w:rsidP="00A62288">
      <w:pPr>
        <w:tabs>
          <w:tab w:val="left" w:pos="567"/>
        </w:tabs>
        <w:snapToGrid w:val="0"/>
        <w:spacing w:after="0" w:line="240" w:lineRule="auto"/>
        <w:jc w:val="both"/>
        <w:rPr>
          <w:rFonts w:ascii="Arial" w:eastAsia="Times New Roman" w:hAnsi="Arial" w:cs="Arial"/>
          <w:snapToGrid w:val="0"/>
          <w:szCs w:val="24"/>
          <w:lang w:val="es-ES_tradnl"/>
        </w:rPr>
        <w:sectPr w:rsidR="00270E93" w:rsidRPr="00800C71" w:rsidSect="009A7585">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680" w:footer="680" w:gutter="0"/>
          <w:cols w:space="708"/>
          <w:titlePg/>
          <w:docGrid w:linePitch="360"/>
        </w:sectPr>
      </w:pPr>
    </w:p>
    <w:p w14:paraId="078BCDDF"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szCs w:val="24"/>
          <w:lang w:val="es-ES_tradnl"/>
        </w:rPr>
      </w:pPr>
      <w:r w:rsidRPr="00800C71">
        <w:rPr>
          <w:rFonts w:ascii="Arial" w:eastAsia="Times New Roman" w:hAnsi="Arial" w:cs="Arial"/>
          <w:snapToGrid w:val="0"/>
          <w:szCs w:val="24"/>
          <w:lang w:val="es-ES_tradnl"/>
        </w:rPr>
        <w:lastRenderedPageBreak/>
        <w:t>En diciembre de 2017, sobre la base de las iniciativas de los Estados Miembros de la COI y la Secretaría de la COI, la Asamblea General de las Naciones Unidas proclamó el Decenio de las Naciones Unidas de las Ciencias Oceánicas para el Desarrollo Sostenible de 2021 a 2030, en adelante el Decenio del Océano. El Decenio del Océano es una oportunidad única para lograr un cambio radical en la generación y el uso de las ciencias oceánicas. Influirá en la forma en que los países invierten y participan en la ciencia y la innovación para adoptar metas sociales y alinear la inversión en investigación, y así contribuir a la consecución de objetivos comunes, incluida la Agenda 2030.</w:t>
      </w:r>
    </w:p>
    <w:p w14:paraId="196599BD" w14:textId="1C1D3DC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Times New Roman" w:hAnsi="Arial" w:cs="Arial"/>
          <w:bCs/>
          <w:snapToGrid w:val="0"/>
          <w:lang w:val="es-ES_tradnl"/>
        </w:rPr>
      </w:pPr>
      <w:r w:rsidRPr="00800C71">
        <w:rPr>
          <w:rFonts w:ascii="Arial" w:eastAsia="Times New Roman" w:hAnsi="Arial" w:cs="Arial"/>
          <w:snapToGrid w:val="0"/>
          <w:szCs w:val="24"/>
          <w:lang w:val="es-ES_tradnl"/>
        </w:rPr>
        <w:t>De conformidad con la resolución A/RES/72/73 de la Asamblea General de las Naciones Unidas y la resolución EC-LI.1 de la COI, tras la fase preparatoria del Decenio de las Naciones Unidas de las Ciencias Oceánicas para el Desarrollo Sostenible (2021-2030), de la que se informa en los documentos IOC-XXX/2 Anexo 3 (2019), IOC/EC-53/4.1.Doc(1)Rev. (2020), IOC/A</w:t>
      </w:r>
      <w:r w:rsidR="0005515E" w:rsidRPr="00800C71">
        <w:rPr>
          <w:rFonts w:ascii="Arial" w:eastAsia="Times New Roman" w:hAnsi="Arial" w:cs="Arial"/>
          <w:snapToGrid w:val="0"/>
          <w:szCs w:val="24"/>
          <w:lang w:val="es-ES_tradnl"/>
        </w:rPr>
        <w:noBreakHyphen/>
      </w:r>
      <w:r w:rsidRPr="00800C71">
        <w:rPr>
          <w:rFonts w:ascii="Arial" w:eastAsia="Times New Roman" w:hAnsi="Arial" w:cs="Arial"/>
          <w:snapToGrid w:val="0"/>
          <w:szCs w:val="24"/>
          <w:lang w:val="es-ES_tradnl"/>
        </w:rPr>
        <w:t>31/3.7.Doc(2) (2021) e IOC/EC-55/4.1.Doc(2) (2022), el período comprendido entre junio de 2021 y mayo de 2023 ha experimentado una intensa y continua actividad en la ejecución del Decenio del Océano.</w:t>
      </w:r>
    </w:p>
    <w:p w14:paraId="69C7A433"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Este periodo abarcó los dos primeros años esenciales de la puesta en marcha del Decenio del Océano, que fueron de intensa actividad en numerosos frentes. Se han realizado importantes esfuerzos en materia de compromiso y visibilidad, se ha creado una cartera de acciones del Decenio sólida y adecuadamente fundada, y se ha establecido una arquitectura central y descentralizada para la gobernanza y la coordinación del Decenio.</w:t>
      </w:r>
    </w:p>
    <w:p w14:paraId="2AF32FBD" w14:textId="77777777" w:rsidR="005C58A5" w:rsidRPr="00800C71" w:rsidRDefault="005C58A5" w:rsidP="0005515E">
      <w:pPr>
        <w:keepNext/>
        <w:tabs>
          <w:tab w:val="left" w:pos="709"/>
        </w:tabs>
        <w:adjustRightInd w:val="0"/>
        <w:snapToGrid w:val="0"/>
        <w:spacing w:after="240" w:line="240" w:lineRule="auto"/>
        <w:jc w:val="both"/>
        <w:textAlignment w:val="baseline"/>
        <w:rPr>
          <w:rFonts w:ascii="Arial" w:eastAsia="Arial" w:hAnsi="Arial" w:cs="Arial"/>
          <w:b/>
          <w:bCs/>
          <w:snapToGrid w:val="0"/>
          <w:color w:val="000000"/>
          <w:szCs w:val="24"/>
          <w:lang w:val="es-ES_tradnl"/>
        </w:rPr>
      </w:pPr>
      <w:r w:rsidRPr="00800C71">
        <w:rPr>
          <w:rFonts w:ascii="Arial" w:eastAsia="Times New Roman" w:hAnsi="Arial" w:cs="Arial"/>
          <w:b/>
          <w:bCs/>
          <w:snapToGrid w:val="0"/>
          <w:szCs w:val="24"/>
          <w:lang w:val="es-ES_tradnl"/>
        </w:rPr>
        <w:t>Acciones del Decenio</w:t>
      </w:r>
    </w:p>
    <w:p w14:paraId="4E7B3F20"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Desde la primera Convocatoria de Acciones del Decenio (n.º 01/2020) que solicitaba unas 250 contribuciones potenciales, se han puesto en marcha otras cuatro convocatorias de acciones del Decenio durante este periodo. La Convocatoria de Acciones del Decenio n.º 02/2021 comenzó en octubre de 2021 y se cerró el 31 de enero de 2022. En dicha convocatoria se solicitaban programas que contribuyeran a los desafíos del Decenio del Océano relacionados con la contaminación del mar, la gestión y restauración de los ecosistemas y el nexo entre el océano y el clima. En la tercera Convocatoria de Acciones del Decenio (n.º 03/2022), que se inició el 15 de abril de 2022 y se cerró el 30 de agosto de 2022, se solicitaban programas que contribuyeran a los desafíos del Decenio del Océano relacionados con la alimentación azul sostenible y la economía oceánica sostenible, así como proyectos para 16 programas aprobados del Decenio. Esta convocatoria también solicitaba contribuciones en especie o financieras para apoyar las acciones del Decenio en los pequeños Estados insulares en desarrollo (PEID) de África y el Pacífico. La Convocatoria de Acciones del Decenio n.º 04/2022 se abrió el 15 de octubre de 2022 y se cerró el 31 de enero, y solicitaba programas relacionados con el ecosistema oceánico digital y la resiliencia costera. La Convocatoria de Acciones del Decenio n.º 05/2023, que se abrió el 15 de abril de 2023 y se cerrará el 31 de agosto de 2023, solicita programas relacionados con la contaminación del mar, centrándose en los subtemas de la contaminación por plásticos y nutrientes, y programas relacionados con la gestión y restauración de ecosistemas, con especial atención a los mecanismos de gestión por áreas, la restauración de ecosistemas y los múltiples factores de perturbación oceánicos. En todas las convocatorias de acciones del Decenio también se solicitaron proyectos que se pudieran integrar en los programas del Decenio ya aprobados.</w:t>
      </w:r>
    </w:p>
    <w:p w14:paraId="693183D1"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Hasta mayo de 2023, las convocatorias de acciones del Decenio han dado lugar a la aprobación de 47 programas, 235 proyectos y 79 contribuciones. Se espera que en junio de 2023 se apruebe un conjunto adicional de acciones del Decenio que incluya un nuevo programa y más de 30 proyectos. La cartera de acciones del Decenio abarca todas las cuencas oceánicas y los 10 desafíos del Decenio. Representa el trabajo colectivo de miles de personas y cientos de instituciones, y es una muestra del interés significativo y mundial que sigue suscitando el Decenio del Océano.</w:t>
      </w:r>
    </w:p>
    <w:p w14:paraId="2B9AD6EC"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lastRenderedPageBreak/>
        <w:t>La primera iteración del marco de seguimiento y evaluación del Decenio del Océano se puso en marcha en enero de 2022 y en el momento de preparar este documento el 49 % de las acciones del Decenio habían completado sus informes y, a pesar de que no todas las acciones del Decenio informaron, los datos presentados permiten observar tendencias notables en una serie de cuestiones relacionadas con la ejecución del Decenio. Salvo que se indique lo contrario, los siguientes análisis se basan en los datos comunicados por este subconjunto de acciones del Decenio.</w:t>
      </w:r>
    </w:p>
    <w:p w14:paraId="6E33E815"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En cuanto al liderazgo de las acciones del Decenio, el 39 % están dirigidas por asociados norteamericanos, el 30 % por asociados europeos y el 14 % por asociados de Asia-Pacífico. Las principales instituciones que participan en las acciones del Decenio son sobre todo centros de investigación, seguidas de gobiernos y universidades. Se identificaron más de 3700 instituciones asociadas, que presentan características similares en cuanto a distribución geográfica y tipo de institución. Según los informes de las acciones del Decenio, el 57 % de las personas que participaban en ellas eran mujeres frente a un 43 % de hombres. Más de 4500 profesionales oceánicos en el inicio de sus carreras participan directamente en las actividades del Decenio.</w:t>
      </w:r>
    </w:p>
    <w:p w14:paraId="585B715A"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Persisten notables lagunas geográficas en la cartera de acciones del Decenio. La participación de los asociados en los PEID sigue siendo muy baja. Según los datos facilitados, sólo el 6 % de las acciones del Decenio se realizan en los PEID, y de éstas, menos de la mitad están dirigidas por asociados de los PEID. Y sólo el 4 % de las acciones del Decenio son dirigidas por asociados de África. Se han iniciado esfuerzos concertados y específicos para aumentar el compromiso en los PEID y en África, entre otras cosas mediante la elaboración y la puesta en marcha de la hoja de ruta para África del Decenio del Océano y la creación del grupo de trabajo para África del Decenio del Océano, así como la elaboración de un curso de formación para fomentar la concepción conjunta destinado a asociados africanos. Se ha completado un estudio preliminar y una evaluación de las necesidades de recursos para el establecimiento de una Oficina de Coordinación del Decenio en la oficina de la Subcomisión de la COI para África y Estados Insulares Adyacentes (IOCAFRICA), que se presentó en la séptima reunión de IOCAFRICA en marzo de 2023. Del mismo modo, se va a establecer un grupo de trabajo para las Américas Tropicales y el Caribe que supervisará la elaboración de una estrategia regional del Decenio del Océano para esta región, y se presentó un estudio preliminar para la creación de una oficina de coordinación del Decenio en la oficina de la Subcomisión de la COI para el Caribe y Regiones Adyacentes (IOCARIBE) en la 17ª reunión de IOCARIBE en mayo de 2023. Se sigue trabajando con asociados del Pacífico Sur para crear un centro de colaboración del Decenio. Se necesitarán recursos financieros y en especie adicionales para impulsar plenamente estas medidas en África y los PEID y garantizar un mayor compromiso de estos países en el Decenio.</w:t>
      </w:r>
    </w:p>
    <w:p w14:paraId="4718701F"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Según los informes, las acciones del Decenio generaron aproximadamente 25 000 productos del conocimiento, incluida literatura científica y una amplia gama de otros tipos de productos del conocimiento; la mayor parte de productos del conocimiento estaban relacionados con los desafíos 1 (contaminación del mar), 2 (gestión de los ecosistemas) y 9 (capacidades y conocimientos para todos los desafíos del Decenio del Océano). Las acciones del Decenio informaron de 21 000 casos de asimilación de conocimientos, que se plasmaron en citas científicas, o incorporaciones a la política, la gestión, la educación u otros usos. Los desafíos 9 (capacidades y conocimientos para todos), 5 (nexo océano-clima) y 1 (contaminación del mar) fueron los más citados en cuanto a integración de conocimientos.</w:t>
      </w:r>
    </w:p>
    <w:p w14:paraId="0F923AB8"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Según los datos proporcionados, las acciones del Decenio impulsaron casi 4000 iniciativas de desarrollo de capacidades, centradas en gran medida en los profesionales oceánicos en el inicio de sus carreras. El mecanismo de desarrollo de capacidades del Decenio del Océano, apoyado por el Gobierno de Flandes (Reino de Bélgica), será plenamente operativo en los próximos meses y proporcionará un marco para el desarrollo de capacidades como parte del Decenio del Océano.</w:t>
      </w:r>
    </w:p>
    <w:p w14:paraId="77E35612"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 xml:space="preserve">La Comisión Oceanográfica Intergubernamental (COI) dirige 16 programas y proyectos del Decenio sobre diversos temas y participa activamente en varios otros. La contribución de la COI al </w:t>
      </w:r>
      <w:r w:rsidRPr="00800C71">
        <w:rPr>
          <w:rFonts w:ascii="Arial" w:eastAsia="Times New Roman" w:hAnsi="Arial" w:cs="Arial"/>
          <w:snapToGrid w:val="0"/>
          <w:szCs w:val="24"/>
          <w:lang w:val="es-ES_tradnl"/>
        </w:rPr>
        <w:lastRenderedPageBreak/>
        <w:t>Decenio tiene un gran potencial de refuerzo en materia de recursos humanos y labor programática básica. Sin embargo, se necesitan recursos adicionales para garantizar la plena operatividad de estas iniciativas. El documento IOC/INF-1425 proporciona información adicional sobre la contribución de la COI al Decenio, así como un resumen de las necesidades de recursos. Además de las acciones del Decenio dirigidas por la COI, otras entidades de las Naciones Unidas, entre ellas la FAO y el PNUMA, coordinan un pequeño número de acciones. El documento IOC/INF-1428 presenta los resultados de un análisis y un plan de acción para canalizar el interés expresado por otras entidades de las Naciones Unidas de reforzar su participación en el Decenio del Océano.</w:t>
      </w:r>
    </w:p>
    <w:p w14:paraId="6769D757" w14:textId="26BD18C3" w:rsidR="005C58A5" w:rsidRPr="00800C71" w:rsidRDefault="005C58A5" w:rsidP="0005515E">
      <w:pPr>
        <w:keepNext/>
        <w:spacing w:after="160" w:line="259" w:lineRule="auto"/>
        <w:rPr>
          <w:rFonts w:ascii="Arial" w:eastAsia="Arial" w:hAnsi="Arial" w:cs="Arial"/>
          <w:b/>
          <w:bCs/>
          <w:color w:val="000000"/>
          <w:lang w:val="es-ES_tradnl" w:eastAsia="zh-CN"/>
        </w:rPr>
      </w:pPr>
      <w:r w:rsidRPr="00800C71">
        <w:rPr>
          <w:rFonts w:ascii="Arial" w:eastAsia="DengXian" w:hAnsi="Arial" w:cs="Arial"/>
          <w:b/>
          <w:bCs/>
          <w:lang w:val="es-ES_tradnl" w:eastAsia="zh-CN"/>
        </w:rPr>
        <w:t xml:space="preserve">Estructuras de gobernanza y coordinación y grupos de trabajo </w:t>
      </w:r>
      <w:r w:rsidR="00606E41" w:rsidRPr="00800C71">
        <w:rPr>
          <w:rFonts w:ascii="Arial" w:eastAsia="DengXian" w:hAnsi="Arial" w:cs="Arial"/>
          <w:b/>
          <w:bCs/>
          <w:lang w:val="es-ES_tradnl" w:eastAsia="zh-CN"/>
        </w:rPr>
        <w:t>oficiosos</w:t>
      </w:r>
    </w:p>
    <w:p w14:paraId="62770689"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Se celebraron dos reuniones de la Junta Asesora del Decenio provisional antes de que el grupo se disolviera a finales de 2021. La Junta Asesora del Decenio, que se constituyó en diciembre de 2021, celebró su sesión inicial en enero de 2022 y más adelante —marzo de 2022— su primera reunión operativa presencial. Siguieron tres sesiones en línea en 2022 y principios de 2023, y la segunda reunión presencial de la Junta se celebró en mayo de 2023. Durante sus reuniones, la Junta examinó recomendaciones relacionadas con la aprobación de programas del Decenio de las convocatorias de acciones del Decenio y debatió una serie de cuestiones estratégicas referentes a la evaluación de los progresos del Decenio, la movilización de recursos, la importancia de los conocimientos indígenas y locales para el Decenio y los medios para aumentar la participación de los pequeños Estados insulares en desarrollo y los países menos adelantados. En el documento IOC/INF-1426 se presenta un resumen de la labor de la Junta durante este periodo.</w:t>
      </w:r>
    </w:p>
    <w:p w14:paraId="0B429F1F" w14:textId="3DC7A8E1"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iCs/>
          <w:snapToGrid w:val="0"/>
          <w:color w:val="000000"/>
          <w:lang w:val="es-ES_tradnl"/>
        </w:rPr>
      </w:pPr>
      <w:r w:rsidRPr="00800C71">
        <w:rPr>
          <w:rFonts w:ascii="Arial" w:eastAsia="Times New Roman" w:hAnsi="Arial" w:cs="Arial"/>
          <w:snapToGrid w:val="0"/>
          <w:szCs w:val="24"/>
          <w:lang w:val="es-ES_tradnl"/>
        </w:rPr>
        <w:t>Durante este periodo, se crearon tres oficinas de coordinación del Decenio, seis centros de colaboración del Decenio y nueve asociaciones para la ejecución del Decenio. Las oficinas de coordinación del Decenio y los centros de colaboración del Decenio desempeñan un papel esencial de apoyo a la Unidad de Coordinación del Decenio para coordinar las acciones del Decenio, catalizar nuevas iniciativas, fomentar la participación de las partes interesadas, movilizar recursos e informar sobre el Decenio. La Comisión Oceanográfica Intergubernamental (COI) acoge las tres oficinas de coordinación del Decenio (Región del Pacífico Occidental - WESTPAC; intercambio de datos - IODE; y observaciones oceánicas - GOOS). El primero de ellos cuenta con el apoyo de Tailandia, pero se necesitan recursos adicionales para la plena operatividad las oficinas de coordinación del Decenio en materia de intercambio de datos y observación de los océanos. Los centros de colaboración del Decenio han sido creados por los asociados y cuentan con todos los recursos y financiación necesarios. El documento IOC/INF-1425 proporciona información sobre los centros de colaboración del Decenio existentes. En la actualidad se estudia la posibilidad de que las oficinas de coordinación del Decenio de IOCAFRICA e IOCARIBE desempeñen una función esencial de coordinación regional, y se debate con los asociados la creación de centros de colaboración del Decenio para las regiones del océano Antártico, el océano Ártico y el Pacífico Sur.</w:t>
      </w:r>
    </w:p>
    <w:p w14:paraId="15DF2A93"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Los centros de colaboración del Decenio indicaron que, desde el inicio de sus operaciones en el segundo semestre de 2022, han puesto en marcha un total de más de 350 iniciativas de desarrollo de capacidades dirigidas a más de 27 000 beneficiarios, de los cuales el 56 % eran mujeres y el 28 % eran profesionales oceánicos en el inicio de sus carreras. Informaron asimismo de que han impulsado el desarrollo de 13 nuevas acciones del Decenio.</w:t>
      </w:r>
    </w:p>
    <w:p w14:paraId="2D7119BA"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 xml:space="preserve">Se han creado 34 comités nacionales del Decenio que impulsan diversas iniciativas para catalizar el interés y los recursos nacionales en favor del Decenio, y proporcionan una plataforma para debatir las prioridades nacionales vinculadas con el Decenio. Existen importantes lagunas en la cobertura mundial de los comités nacionales del Decenio, especialmente en los PEID. De los 34 comités actuales, 14 informaron a la primera edición del marco de seguimiento y evaluación. Estos comités reagrupan en total a 597 miembros, con una media de 42 miembros por comité. Por término medio, el 12 % de los miembros de los comités son profesionales oceánicos en el inicio de sus carreras y el 36 % son mujeres. Los comités informaron de la realización de un total de más de 500 actividades relacionadas con el Decenio que, según sus estimaciones, habrían alcanzado a más de </w:t>
      </w:r>
      <w:r w:rsidRPr="00800C71">
        <w:rPr>
          <w:rFonts w:ascii="Arial" w:eastAsia="Times New Roman" w:hAnsi="Arial" w:cs="Arial"/>
          <w:snapToGrid w:val="0"/>
          <w:szCs w:val="24"/>
          <w:lang w:val="es-ES_tradnl"/>
        </w:rPr>
        <w:lastRenderedPageBreak/>
        <w:t>un millón de personas. El documento IOC/INF-1429 presenta una publicación reciente elaborada con el conjunto de comités nacionales del Decenio existentes.</w:t>
      </w:r>
    </w:p>
    <w:p w14:paraId="66F4C39E"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En diciembre de 2021 se creó un grupo de coordinación de datos para respaldar la formulación y la aplicación de la estrategia del Decenio en materia de datos, información y conocimientos. El documento IOC/INF-1427 presenta la estrategia en materia de datos, información y conocimientos elaborada por este grupo, que guiará el desarrollo del ecosistema digital interoperable previsto en el marco del Decenio. Se ha creado un grupo de datos corporativos para explorar y desarrollar acciones que faciliten el intercambio de datos entre el sector privado y la comunidad científica. El grupo de comunicación estratégica se ha renovado y está formado por 25 expertos en comunicación que asesoran a la Unidad de Coordinación del Decenio en materia de herramientas y enfoques de comunicación. Se estableció una lista de expertos del Decenio del Océano, que cuenta con más de 220 miembros, a fin de crear un grupo de expertos que ayude a la Secretaría de la COI a determinar los objetivos estratégicos de los desafíos del Decenio del Océano, examinar las propuestas de programas del Decenio y llevar a cabo los procesos periódicos de examen del Decenio.</w:t>
      </w:r>
    </w:p>
    <w:p w14:paraId="57017670" w14:textId="77777777" w:rsidR="005C58A5" w:rsidRPr="00800C71" w:rsidRDefault="005C58A5" w:rsidP="0005515E">
      <w:pPr>
        <w:keepNext/>
        <w:tabs>
          <w:tab w:val="left" w:pos="709"/>
        </w:tabs>
        <w:spacing w:after="240" w:line="240" w:lineRule="auto"/>
        <w:rPr>
          <w:rFonts w:ascii="Arial" w:eastAsia="Arial" w:hAnsi="Arial" w:cs="Arial"/>
          <w:b/>
          <w:bCs/>
          <w:color w:val="000000"/>
          <w:lang w:val="es-ES_tradnl" w:eastAsia="zh-CN"/>
        </w:rPr>
      </w:pPr>
      <w:r w:rsidRPr="00800C71">
        <w:rPr>
          <w:rFonts w:ascii="Arial" w:eastAsia="DengXian" w:hAnsi="Arial" w:cs="Arial"/>
          <w:b/>
          <w:bCs/>
          <w:lang w:val="es-ES_tradnl" w:eastAsia="zh-CN"/>
        </w:rPr>
        <w:t>Movilización de recursos</w:t>
      </w:r>
      <w:r w:rsidRPr="00800C71">
        <w:rPr>
          <w:rFonts w:ascii="Arial" w:eastAsia="DengXian" w:hAnsi="Arial" w:cs="Arial"/>
          <w:lang w:val="es-ES_tradnl" w:eastAsia="zh-CN"/>
        </w:rPr>
        <w:t xml:space="preserve"> </w:t>
      </w:r>
    </w:p>
    <w:p w14:paraId="6E29920F"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Los siguientes Estados Miembros y organizaciones han aportado contribuciones en especie o financieras específicas para respaldar las actividades de coordinación del Decenio durante este período: Bélgica (Gobierno de Flandes), el Canadá, el Consejo de Investigación de Noruega, Francia, Fugro, el Japón, Noruega, Portugal, la República de Corea, REV-Ocean y Suecia.</w:t>
      </w:r>
    </w:p>
    <w:p w14:paraId="4BD52E74"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La movilización de recursos en especie y financieros sigue siendo una cuestión fundamental para el éxito de la ejecución del Decenio. Se necesitan recursos para sufragar los costos de coordinación tanto a nivel central (es decir, la Unidad de Coordinación del Decenio) como a nivel descentralizado (en particular, las oficinas de coordinación del Decenio dirigidas por la COI), así como para las acciones aprobadas y futuras del Decenio. Según los datos comunicados por los 23 programas del Decenio en el marco de seguimiento y evaluación, para el próximo período de 12 meses se han conseguido aproximadamente 37 millones de dólares estadounidenses (aproximadamente el 20 % del total) cuando se necesitan 188 millones de dólares estadounidenses para la plena ejecución durante el período presupuestado. Las estructuras de coordinación descentralizadas informaron de que habían logrado la movilización de unos 11 millones de dólares estadounidenses en recursos en especie y financieros durante el último año.</w:t>
      </w:r>
    </w:p>
    <w:p w14:paraId="4C63EC49"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La Alianza para el Decenio del Océano ha crecido durante este período y ahora cuenta con 10 mecenas y 18 miembros institucionales. Los miembros de la Alianza han participado activamente en actos de alto nivel y han dado a conocer el Decenio del Océano entre sus electores. Se sigue colaborando con los miembros de la Alianza en la elaboración de iniciativas conjuntas de financiación o apoyo al Decenio. Se han concertado patrocinios de convocatorias de acciones del Decenio con AXA Research Fund, MeerWissen Initiatives, JPI Oceans y organismos nacionales de financiación del Canadá y Noruega. Hay conversaciones en curso con otros socios para reproducir y ampliar este modelo.</w:t>
      </w:r>
    </w:p>
    <w:p w14:paraId="306C85AF"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Durante este período se realizaron importantes esfuerzos para involucrar a las fundaciones filantrópicas. Del 1 al 3 de junio de 2022 se celebró una reunión presencial del Diálogo de Fundaciones en Rabat (Marruecos), organizada por la Fundación Mohamed VI para la Protección del Medio Ambiente, que dio lugar a la creación de nuevas asociaciones e iniciativas relacionadas con la concepción conjunta, las comunicaciones estratégicas y el desarrollo de capacidades. La próxima edición del Diálogo de Fundaciones, que reunirá a más de 30 fundaciones filantrópicas en Mónaco en junio de 2023, será organizada por la Fundación Príncipe Alberto II de Mónaco.</w:t>
      </w:r>
    </w:p>
    <w:p w14:paraId="4E516A42"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Las comisiones de servicio y los préstamos de personal de Francia, Japón y Fugro (asociado del sector privado) suponen un apoyo inestimable a la coordinación del Decenio. Se estableció un grupo de trabajo del sector privado para apoyar la elaboración de un enfoque estratégico de participación de los asociados de la industria.</w:t>
      </w:r>
    </w:p>
    <w:p w14:paraId="24663E18"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bookmarkStart w:id="0" w:name="_Hlk103078448"/>
      <w:r w:rsidRPr="00800C71">
        <w:rPr>
          <w:rFonts w:ascii="Arial" w:eastAsia="Times New Roman" w:hAnsi="Arial" w:cs="Arial"/>
          <w:snapToGrid w:val="0"/>
          <w:szCs w:val="24"/>
          <w:lang w:val="es-ES_tradnl"/>
        </w:rPr>
        <w:lastRenderedPageBreak/>
        <w:t>Para mantener el impulso y el nivel de actividad actuales se necesitan urgentemente recursos financieros o en especie adicionales que permitan garantizar la plena dotación de recursos de la Unidad de Coordinación del Decenio y su funcionamiento (IOC/INF-1425). También será indispensable una movilización de recursos significativa para apoyar las acciones del Decenio. El documento IOC/INF-1424 contiene una evaluación actualizada de las necesidades de recursos para las acciones del Decenio.</w:t>
      </w:r>
      <w:bookmarkEnd w:id="0"/>
    </w:p>
    <w:p w14:paraId="0168E994" w14:textId="77777777" w:rsidR="005C58A5" w:rsidRPr="00800C71" w:rsidRDefault="005C58A5" w:rsidP="0005515E">
      <w:pPr>
        <w:keepNext/>
        <w:tabs>
          <w:tab w:val="left" w:pos="709"/>
        </w:tabs>
        <w:spacing w:after="240" w:line="240" w:lineRule="auto"/>
        <w:rPr>
          <w:rFonts w:ascii="Arial" w:eastAsia="Arial" w:hAnsi="Arial" w:cs="Arial"/>
          <w:b/>
          <w:bCs/>
          <w:color w:val="000000"/>
          <w:lang w:val="es-ES_tradnl" w:eastAsia="zh-CN"/>
        </w:rPr>
      </w:pPr>
      <w:r w:rsidRPr="00800C71">
        <w:rPr>
          <w:rFonts w:ascii="Arial" w:eastAsia="DengXian" w:hAnsi="Arial" w:cs="Arial"/>
          <w:b/>
          <w:bCs/>
          <w:lang w:val="es-ES_tradnl" w:eastAsia="zh-CN"/>
        </w:rPr>
        <w:t>Participación y divulgación de los interesados</w:t>
      </w:r>
      <w:r w:rsidRPr="00800C71">
        <w:rPr>
          <w:rFonts w:ascii="Arial" w:eastAsia="DengXian" w:hAnsi="Arial" w:cs="Arial"/>
          <w:lang w:val="es-ES_tradnl" w:eastAsia="zh-CN"/>
        </w:rPr>
        <w:t xml:space="preserve"> </w:t>
      </w:r>
    </w:p>
    <w:p w14:paraId="30D5717D" w14:textId="54295FB4"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Durante este período</w:t>
      </w:r>
      <w:r w:rsidR="00A52171" w:rsidRPr="00800C71">
        <w:rPr>
          <w:rFonts w:ascii="Arial" w:eastAsia="Times New Roman" w:hAnsi="Arial" w:cs="Arial"/>
          <w:snapToGrid w:val="0"/>
          <w:szCs w:val="24"/>
          <w:lang w:val="es-ES_tradnl"/>
        </w:rPr>
        <w:t xml:space="preserve"> </w:t>
      </w:r>
      <w:r w:rsidR="009C050F" w:rsidRPr="00800C71">
        <w:rPr>
          <w:rFonts w:ascii="Arial" w:eastAsia="Times New Roman" w:hAnsi="Arial" w:cs="Arial"/>
          <w:snapToGrid w:val="0"/>
          <w:szCs w:val="24"/>
          <w:lang w:val="es-ES_tradnl"/>
        </w:rPr>
        <w:t>se realizaron</w:t>
      </w:r>
      <w:r w:rsidRPr="00800C71">
        <w:rPr>
          <w:rFonts w:ascii="Arial" w:eastAsia="Times New Roman" w:hAnsi="Arial" w:cs="Arial"/>
          <w:snapToGrid w:val="0"/>
          <w:szCs w:val="24"/>
          <w:lang w:val="es-ES_tradnl"/>
        </w:rPr>
        <w:t xml:space="preserve"> </w:t>
      </w:r>
      <w:r w:rsidR="009C050F" w:rsidRPr="00800C71">
        <w:rPr>
          <w:rFonts w:ascii="Arial" w:eastAsia="Times New Roman" w:hAnsi="Arial" w:cs="Arial"/>
          <w:snapToGrid w:val="0"/>
          <w:szCs w:val="24"/>
          <w:lang w:val="es-ES_tradnl"/>
        </w:rPr>
        <w:t xml:space="preserve">intensos esfuerzos para facilitar la sensibilización y la participación de </w:t>
      </w:r>
      <w:r w:rsidRPr="00800C71">
        <w:rPr>
          <w:rFonts w:ascii="Arial" w:eastAsia="Times New Roman" w:hAnsi="Arial" w:cs="Arial"/>
          <w:snapToGrid w:val="0"/>
          <w:szCs w:val="24"/>
          <w:lang w:val="es-ES_tradnl"/>
        </w:rPr>
        <w:t>las partes interesadas. Se celebraron actos presenciales o híbridos sobre diferentes aspectos del Decenio del Océano en el Congreso Mundial de la Naturaleza de la UICN (Marsella, septiembre de 2021), las COP 26 y 27 de la CMNUCC (Glasgow, noviembre de 2021, y Sharm el Sheij, noviembre de 2022), la Cumbre “Un Océano” (Brest, febrero de 2022), la Conferencia de las Naciones Unidas sobre los Océanos (Lisboa, junio de 2022), la COP 15 del CDB (Montreal, diciembre de 2022), la Conferencia “Nuestro Océano” (Panamá, marzo de 2023) y la Conferencia de las Naciones Unidas sobre el Agua (Nueva York, marzo de 2023). De estos acontecimientos, el más significativo fue la Conferencia sobre los Océanos por su amplia movilización. El Decenio del Océano coordinó un acto de alto nivel de la Alianza para el Decenio del Océano en el que participaron varios de sus mecenas, entre ellos los presidentes de Kenya, Portugal y Palau. El Decenio también organizó con gran éxito un acto con múltiples partes interesadas en el que se presentaron los logros y las asociaciones.</w:t>
      </w:r>
    </w:p>
    <w:p w14:paraId="076F8E06" w14:textId="64F36AC8" w:rsidR="005C58A5" w:rsidRPr="00800C71" w:rsidRDefault="009C050F"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La versión renovada del</w:t>
      </w:r>
      <w:r w:rsidR="005C58A5" w:rsidRPr="00800C71">
        <w:rPr>
          <w:rFonts w:ascii="Arial" w:eastAsia="Times New Roman" w:hAnsi="Arial" w:cs="Arial"/>
          <w:snapToGrid w:val="0"/>
          <w:szCs w:val="24"/>
          <w:lang w:val="es-ES_tradnl"/>
        </w:rPr>
        <w:t xml:space="preserve"> sitio web del Decenio del Océano se </w:t>
      </w:r>
      <w:r w:rsidRPr="00800C71">
        <w:rPr>
          <w:rFonts w:ascii="Arial" w:eastAsia="Times New Roman" w:hAnsi="Arial" w:cs="Arial"/>
          <w:snapToGrid w:val="0"/>
          <w:szCs w:val="24"/>
          <w:lang w:val="es-ES_tradnl"/>
        </w:rPr>
        <w:t xml:space="preserve">puso en marcha </w:t>
      </w:r>
      <w:r w:rsidR="005C58A5" w:rsidRPr="00800C71">
        <w:rPr>
          <w:rFonts w:ascii="Arial" w:eastAsia="Times New Roman" w:hAnsi="Arial" w:cs="Arial"/>
          <w:snapToGrid w:val="0"/>
          <w:szCs w:val="24"/>
          <w:lang w:val="es-ES_tradnl"/>
        </w:rPr>
        <w:t>en octubre de 2021 y sigue mejorándose. Este sitio incorpora la red del Decenio del Océano, una plataforma comunitaria en línea para el intercambio y la colaboración que cuenta con más de 6200 usuarios registrados, y es la plataforma digital de los diferentes grupos que trabajan en el marco del Decenio. GenOcean es la campaña de comunicación pública del Decenio, que se puso en marcha el 4 de abril de 2022, y cuyo objetivo es incitar al público en general a tomar medidas basadas en un mejor conocimiento de los océanos. Se ha llevado a cabo una revisión interna de esta campaña, que se volverá a poner en marcha a finales de 2023 para centrarse en iniciativas de ciencia ciudadana.</w:t>
      </w:r>
    </w:p>
    <w:p w14:paraId="5DA83157"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Las plataformas del Decenio del Océano han aumentado su número de seguidores en las redes sociales hasta alcanzar unos 45 000 aproximadamente. Según los informes presentados en la primera edición del marco de seguimiento y presentación de informes, el alcance combinado en las redes sociales de las acciones del Decenio y los mecanismos de coordinación del Decenio (las oficinas de coordinación, los centros de colaboración, los planes de ejecución, los comités nacionales) supera los 6 millones de seguidores.</w:t>
      </w:r>
    </w:p>
    <w:p w14:paraId="1879BECC" w14:textId="074A9FF4" w:rsidR="005C58A5" w:rsidRPr="00800C71" w:rsidRDefault="005C58A5" w:rsidP="0005515E">
      <w:pPr>
        <w:keepNext/>
        <w:tabs>
          <w:tab w:val="left" w:pos="709"/>
        </w:tabs>
        <w:spacing w:after="240" w:line="240" w:lineRule="auto"/>
        <w:rPr>
          <w:rFonts w:ascii="Arial" w:eastAsia="Arial" w:hAnsi="Arial" w:cs="Arial"/>
          <w:b/>
          <w:bCs/>
          <w:color w:val="000000"/>
          <w:lang w:val="es-ES_tradnl" w:eastAsia="zh-CN"/>
        </w:rPr>
      </w:pPr>
      <w:r w:rsidRPr="00800C71">
        <w:rPr>
          <w:rFonts w:ascii="Arial" w:eastAsia="DengXian" w:hAnsi="Arial" w:cs="Arial"/>
          <w:b/>
          <w:bCs/>
          <w:lang w:val="es-ES_tradnl" w:eastAsia="zh-CN"/>
        </w:rPr>
        <w:t>Perspectivas para el próximo período</w:t>
      </w:r>
    </w:p>
    <w:p w14:paraId="11994E5C"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El proceso Visión 2030 se ha puesto en marcha y estará operativo durante los próximos 12 meses a través de una serie de grupos de trabajo de expertos para establecer una ambición estratégica colectiva y cuantificable para cada uno de los desafíos del Decenio del Océano. Los resultados del proceso Visión 2030 se utilizarán en futuras convocatorias de acciones del Decenio para facilitar la solicitud de programas y proyectos que satisfagan las necesidades prioritarias identificadas para cada desafío, y en las gestiones con los proveedores de recursos para ajustar la movilización de medios a las necesidades más acuciantes del Decenio del Océano. Tras la validación de los resultados de este proceso en la Conferencia del Decenio del Océano 2024, se establecerá un marco operacional de control e información de los avances hacia la consecución del objetivo estratégico de cada desafío.</w:t>
      </w:r>
    </w:p>
    <w:p w14:paraId="415FE661" w14:textId="77777777" w:rsidR="005C58A5"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Arial" w:hAnsi="Arial" w:cs="Arial"/>
          <w:snapToGrid w:val="0"/>
          <w:color w:val="000000"/>
          <w:szCs w:val="24"/>
          <w:lang w:val="es-ES_tradnl"/>
        </w:rPr>
      </w:pPr>
      <w:r w:rsidRPr="00800C71">
        <w:rPr>
          <w:rFonts w:ascii="Arial" w:eastAsia="Times New Roman" w:hAnsi="Arial" w:cs="Arial"/>
          <w:snapToGrid w:val="0"/>
          <w:szCs w:val="24"/>
          <w:lang w:val="es-ES_tradnl"/>
        </w:rPr>
        <w:t xml:space="preserve">Ya está en marcha la planificación de la Conferencia del Decenio del Océano 2024, que organizará el Gobierno de España en Barcelona en abril de 2024. Este hito constituirá una importante plataforma para que la comunidad del Decenio del Océano celebre los logros del Decenio, presente soluciones innovadoras, comunique los resultados de las acciones del Decenio, </w:t>
      </w:r>
      <w:r w:rsidRPr="00800C71">
        <w:rPr>
          <w:rFonts w:ascii="Arial" w:eastAsia="Times New Roman" w:hAnsi="Arial" w:cs="Arial"/>
          <w:snapToGrid w:val="0"/>
          <w:szCs w:val="24"/>
          <w:lang w:val="es-ES_tradnl"/>
        </w:rPr>
        <w:lastRenderedPageBreak/>
        <w:t>y defina colectivamente una estrategia para los próximos años de aplicación del Decenio del Océano, en el marco de la presentación y el examen del proceso Visión 2030.</w:t>
      </w:r>
    </w:p>
    <w:p w14:paraId="1CBA05AE" w14:textId="2A793F13" w:rsidR="007C13AF" w:rsidRPr="00800C71" w:rsidRDefault="005C58A5" w:rsidP="0005515E">
      <w:pPr>
        <w:numPr>
          <w:ilvl w:val="0"/>
          <w:numId w:val="32"/>
        </w:numPr>
        <w:adjustRightInd w:val="0"/>
        <w:snapToGrid w:val="0"/>
        <w:spacing w:after="240" w:line="240" w:lineRule="auto"/>
        <w:ind w:left="0" w:firstLine="0"/>
        <w:jc w:val="both"/>
        <w:textAlignment w:val="baseline"/>
        <w:rPr>
          <w:rFonts w:ascii="Arial" w:eastAsia="Times New Roman" w:hAnsi="Arial" w:cs="Arial"/>
          <w:snapToGrid w:val="0"/>
          <w:szCs w:val="24"/>
          <w:lang w:val="es-ES_tradnl"/>
        </w:rPr>
      </w:pPr>
      <w:r w:rsidRPr="00800C71">
        <w:rPr>
          <w:rFonts w:ascii="Arial" w:eastAsia="DengXian" w:hAnsi="Arial" w:cs="Arial"/>
          <w:lang w:val="es-ES_tradnl" w:eastAsia="zh-CN"/>
        </w:rPr>
        <w:t>La Conferencia del Decenio del Océano 2024 se está preparando de manera que se articule perfectamente con otros eventos regionales e internacionales clave que tendrán lugar antes y después de la Conferencia, incluida la Cumbre sobre los Objetivos de Desarrollo Sostenible que se celebrará al margen de la Asamblea General de las Naciones Unidas (Nueva York, septiembre de 2023), la COP28 de la CMNUCC (Dubái, diciembre de 2023), la Conferencia preparatoria de las Naciones Unidas sobre los Océanos (Costa Rica, junio de 2024) y la cuarta Conferencia internacional de los PEID (Antigua y Barbuda, junio de 2024, por determinar). Se ha establecido una estrecha cooperación con los coorganizadores de la Conferencia de las Naciones Unidas sobre los Océanos de 2025 (Niza, junio de 2025) para garantizar la complementariedad con los resultados de la Conferencia del Decenio del Océano de 2024.</w:t>
      </w:r>
    </w:p>
    <w:sectPr w:rsidR="007C13AF" w:rsidRPr="00800C71" w:rsidSect="00270E93">
      <w:headerReference w:type="even" r:id="rId14"/>
      <w:headerReference w:type="default" r:id="rId15"/>
      <w:headerReference w:type="first" r:id="rId16"/>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E4EA1" w14:textId="77777777" w:rsidR="005B54A0" w:rsidRDefault="005B54A0">
      <w:pPr>
        <w:spacing w:after="0" w:line="240" w:lineRule="auto"/>
      </w:pPr>
      <w:r>
        <w:separator/>
      </w:r>
    </w:p>
  </w:endnote>
  <w:endnote w:type="continuationSeparator" w:id="0">
    <w:p w14:paraId="550AD241" w14:textId="77777777" w:rsidR="005B54A0" w:rsidRDefault="005B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7400" w14:textId="77777777" w:rsidR="00800C71" w:rsidRDefault="00800C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E861" w14:textId="77777777" w:rsidR="00800C71" w:rsidRDefault="00800C7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D6F0" w14:textId="77777777" w:rsidR="00800C71" w:rsidRDefault="00800C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894B1" w14:textId="77777777" w:rsidR="005B54A0" w:rsidRDefault="005B54A0">
      <w:pPr>
        <w:spacing w:after="0" w:line="240" w:lineRule="auto"/>
      </w:pPr>
      <w:r>
        <w:separator/>
      </w:r>
    </w:p>
  </w:footnote>
  <w:footnote w:type="continuationSeparator" w:id="0">
    <w:p w14:paraId="3CD00A6F" w14:textId="77777777" w:rsidR="005B54A0" w:rsidRDefault="005B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1C95" w14:textId="77777777" w:rsidR="00800C71" w:rsidRDefault="00800C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F9FB" w14:textId="04CC9603" w:rsidR="009A7585" w:rsidRPr="006B4B9F" w:rsidRDefault="00EA1C02" w:rsidP="00EA1C02">
    <w:pPr>
      <w:pStyle w:val="Encabezado"/>
      <w:jc w:val="right"/>
      <w:rPr>
        <w:rFonts w:asciiTheme="minorBidi" w:hAnsiTheme="minorBidi"/>
      </w:rPr>
    </w:pPr>
    <w:r w:rsidRPr="00EA1C02">
      <w:rPr>
        <w:rFonts w:asciiTheme="minorBidi" w:hAnsiTheme="minorBidi"/>
        <w:lang w:val="en-GB"/>
      </w:rPr>
      <w:t>IOC-32</w:t>
    </w:r>
    <w:r w:rsidR="009A7585" w:rsidRPr="006B4B9F">
      <w:rPr>
        <w:rFonts w:asciiTheme="minorBidi" w:hAnsiTheme="minorBidi"/>
        <w:lang w:val="es-ES"/>
      </w:rPr>
      <w:t>/</w:t>
    </w:r>
    <w:sdt>
      <w:sdtPr>
        <w:rPr>
          <w:rFonts w:asciiTheme="minorBidi" w:hAnsiTheme="minorBidi"/>
          <w:lang w:val="es-ES"/>
        </w:rPr>
        <w:alias w:val="SIGNATURA"/>
        <w:tag w:val=""/>
        <w:id w:val="-151837210"/>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005B54A0">
          <w:rPr>
            <w:rFonts w:asciiTheme="minorBidi" w:hAnsiTheme="minorBidi"/>
            <w:lang w:val="es-ES"/>
          </w:rPr>
          <w:t>4.12.Doc(1)</w:t>
        </w:r>
      </w:sdtContent>
    </w:sdt>
    <w:r w:rsidR="009A7585" w:rsidRPr="006B4B9F">
      <w:rPr>
        <w:rFonts w:asciiTheme="minorBidi" w:hAnsiTheme="minorBidi"/>
        <w:lang w:val="es-ES"/>
      </w:rPr>
      <w:t xml:space="preserve"> </w:t>
    </w:r>
    <w:r w:rsidR="009A7585" w:rsidRPr="007C361D">
      <w:rPr>
        <w:rFonts w:asciiTheme="minorBidi" w:hAnsiTheme="minorBidi"/>
        <w:lang w:val="es-ES"/>
      </w:rPr>
      <w:t>–</w:t>
    </w:r>
    <w:r w:rsidR="009A7585" w:rsidRPr="006B4B9F">
      <w:rPr>
        <w:rFonts w:asciiTheme="minorBidi" w:hAnsiTheme="minorBidi"/>
        <w:lang w:val="es-ES"/>
      </w:rPr>
      <w:t xml:space="preserve"> pág. </w:t>
    </w:r>
    <w:r w:rsidR="009A7585" w:rsidRPr="006B4B9F">
      <w:rPr>
        <w:rFonts w:asciiTheme="minorBidi" w:hAnsiTheme="minorBidi"/>
        <w:lang w:val="es-ES"/>
      </w:rPr>
      <w:fldChar w:fldCharType="begin"/>
    </w:r>
    <w:r w:rsidR="009A7585" w:rsidRPr="006B4B9F">
      <w:rPr>
        <w:rFonts w:asciiTheme="minorBidi" w:hAnsiTheme="minorBidi"/>
        <w:lang w:val="es-ES"/>
      </w:rPr>
      <w:instrText>PAGE   \* MERGEFORMAT</w:instrText>
    </w:r>
    <w:r w:rsidR="009A7585" w:rsidRPr="006B4B9F">
      <w:rPr>
        <w:rFonts w:asciiTheme="minorBidi" w:hAnsiTheme="minorBidi"/>
        <w:lang w:val="es-ES"/>
      </w:rPr>
      <w:fldChar w:fldCharType="separate"/>
    </w:r>
    <w:r w:rsidR="009A7585" w:rsidRPr="006B4B9F">
      <w:rPr>
        <w:rFonts w:asciiTheme="minorBidi" w:hAnsiTheme="minorBidi"/>
        <w:lang w:val="es-ES"/>
      </w:rPr>
      <w:t>2</w:t>
    </w:r>
    <w:r w:rsidR="009A7585" w:rsidRPr="006B4B9F">
      <w:rPr>
        <w:rFonts w:asciiTheme="minorBidi" w:hAnsiTheme="minorBidi"/>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1842" w14:textId="4550DFCF" w:rsidR="00270E93" w:rsidRDefault="00A12059" w:rsidP="005B54A0">
    <w:pPr>
      <w:pStyle w:val="Encabezado"/>
      <w:tabs>
        <w:tab w:val="clear" w:pos="4536"/>
        <w:tab w:val="clear" w:pos="9072"/>
      </w:tabs>
      <w:spacing w:after="520"/>
      <w:ind w:left="6096"/>
      <w:rPr>
        <w:rFonts w:ascii="Arial" w:eastAsia="SimSun" w:hAnsi="Arial" w:cs="Arial"/>
        <w:snapToGrid w:val="0"/>
        <w:lang w:val="es-ES_tradnl" w:eastAsia="zh-CN"/>
      </w:rPr>
    </w:pPr>
    <w:r w:rsidRPr="000833BB">
      <w:rPr>
        <w:rFonts w:cs="Arial"/>
        <w:b/>
        <w:caps/>
        <w:noProof/>
        <w:lang w:eastAsia="fr-FR"/>
      </w:rPr>
      <w:drawing>
        <wp:anchor distT="0" distB="0" distL="114300" distR="114300" simplePos="0" relativeHeight="251662336" behindDoc="0" locked="0" layoutInCell="1" allowOverlap="1" wp14:anchorId="099866F2" wp14:editId="36B21979">
          <wp:simplePos x="0" y="0"/>
          <wp:positionH relativeFrom="column">
            <wp:posOffset>-4445</wp:posOffset>
          </wp:positionH>
          <wp:positionV relativeFrom="page">
            <wp:posOffset>711361</wp:posOffset>
          </wp:positionV>
          <wp:extent cx="1578610" cy="1047115"/>
          <wp:effectExtent l="0" t="0" r="2540" b="63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270E93" w:rsidRPr="000833BB">
      <w:rPr>
        <w:rFonts w:cs="Arial"/>
        <w:b/>
        <w:caps/>
        <w:noProof/>
        <w:lang w:eastAsia="fr-FR"/>
      </w:rPr>
      <mc:AlternateContent>
        <mc:Choice Requires="wps">
          <w:drawing>
            <wp:anchor distT="0" distB="0" distL="114300" distR="114300" simplePos="0" relativeHeight="251663360" behindDoc="0" locked="0" layoutInCell="1" allowOverlap="1" wp14:anchorId="6987FC57" wp14:editId="20E87717">
              <wp:simplePos x="0" y="0"/>
              <wp:positionH relativeFrom="column">
                <wp:posOffset>-4098</wp:posOffset>
              </wp:positionH>
              <wp:positionV relativeFrom="paragraph">
                <wp:posOffset>-22800</wp:posOffset>
              </wp:positionV>
              <wp:extent cx="1578610" cy="284672"/>
              <wp:effectExtent l="0" t="0" r="2540" b="1270"/>
              <wp:wrapNone/>
              <wp:docPr id="3" name="Text Box 3"/>
              <wp:cNvGraphicFramePr/>
              <a:graphic xmlns:a="http://schemas.openxmlformats.org/drawingml/2006/main">
                <a:graphicData uri="http://schemas.microsoft.com/office/word/2010/wordprocessingShape">
                  <wps:wsp>
                    <wps:cNvSpPr txBox="1"/>
                    <wps:spPr>
                      <a:xfrm>
                        <a:off x="0" y="0"/>
                        <a:ext cx="1578610" cy="284672"/>
                      </a:xfrm>
                      <a:prstGeom prst="rect">
                        <a:avLst/>
                      </a:prstGeom>
                      <a:solidFill>
                        <a:schemeClr val="lt1"/>
                      </a:solidFill>
                      <a:ln w="6350">
                        <a:noFill/>
                      </a:ln>
                    </wps:spPr>
                    <wps:txbx>
                      <w:txbxContent>
                        <w:p w14:paraId="112D6CE6" w14:textId="77777777" w:rsidR="00270E93" w:rsidRPr="00EA1C02" w:rsidRDefault="00270E93">
                          <w:pPr>
                            <w:rPr>
                              <w:lang w:val="es-ES"/>
                            </w:rPr>
                          </w:pPr>
                          <w:r w:rsidRPr="00EA1C02">
                            <w:rPr>
                              <w:rFonts w:ascii="Arial" w:hAnsi="Arial" w:cs="Arial"/>
                              <w:lang w:val="es-ES"/>
                            </w:rPr>
                            <w:t>Distribución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87FC57" id="_x0000_t202" coordsize="21600,21600" o:spt="202" path="m,l,21600r21600,l21600,xe">
              <v:stroke joinstyle="miter"/>
              <v:path gradientshapeok="t" o:connecttype="rect"/>
            </v:shapetype>
            <v:shape id="Text Box 3" o:spid="_x0000_s1026" type="#_x0000_t202" style="position:absolute;left:0;text-align:left;margin-left:-.3pt;margin-top:-1.8pt;width:124.3pt;height:2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o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4dF4OpsM0MTRNpyNJtNhg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" fillcolor="white [3201]" stroked="f" strokeweight=".5pt">
              <v:textbox>
                <w:txbxContent>
                  <w:p w14:paraId="112D6CE6" w14:textId="77777777" w:rsidR="00270E93" w:rsidRPr="00EA1C02" w:rsidRDefault="00270E93">
                    <w:pPr>
                      <w:rPr>
                        <w:lang w:val="es-ES"/>
                      </w:rPr>
                    </w:pPr>
                    <w:r w:rsidRPr="00EA1C02">
                      <w:rPr>
                        <w:rFonts w:ascii="Arial" w:hAnsi="Arial" w:cs="Arial"/>
                        <w:lang w:val="es-ES"/>
                      </w:rPr>
                      <w:t>Distribución limitada</w:t>
                    </w:r>
                  </w:p>
                </w:txbxContent>
              </v:textbox>
            </v:shape>
          </w:pict>
        </mc:Fallback>
      </mc:AlternateContent>
    </w:r>
    <w:r w:rsidR="00270E93" w:rsidRPr="000833BB">
      <w:rPr>
        <w:rFonts w:ascii="Arial" w:hAnsi="Arial" w:cs="Arial"/>
        <w:b/>
        <w:bCs/>
        <w:caps/>
        <w:sz w:val="36"/>
        <w:szCs w:val="36"/>
        <w:lang w:val="es-ES"/>
      </w:rPr>
      <w:t>IOC</w:t>
    </w:r>
    <w:r w:rsidR="000833BB" w:rsidRPr="000833BB">
      <w:rPr>
        <w:rFonts w:ascii="Arial" w:hAnsi="Arial" w:cs="Arial"/>
        <w:b/>
        <w:bCs/>
        <w:caps/>
        <w:sz w:val="36"/>
        <w:szCs w:val="36"/>
        <w:lang w:val="es-ES"/>
      </w:rPr>
      <w:t>/A-</w:t>
    </w:r>
    <w:r w:rsidR="00270E93" w:rsidRPr="000833BB">
      <w:rPr>
        <w:rFonts w:ascii="Arial" w:hAnsi="Arial" w:cs="Arial"/>
        <w:b/>
        <w:bCs/>
        <w:caps/>
        <w:sz w:val="36"/>
        <w:szCs w:val="36"/>
        <w:lang w:val="es-ES"/>
      </w:rPr>
      <w:t>32/</w:t>
    </w:r>
    <w:sdt>
      <w:sdtPr>
        <w:rPr>
          <w:rFonts w:ascii="Arial" w:hAnsi="Arial" w:cs="Arial"/>
          <w:b/>
          <w:bCs/>
          <w:sz w:val="36"/>
          <w:szCs w:val="36"/>
          <w:lang w:val="es-ES"/>
        </w:rPr>
        <w:alias w:val="SIGNATURA"/>
        <w:tag w:val=""/>
        <w:id w:val="76226421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5B54A0">
          <w:rPr>
            <w:rFonts w:ascii="Arial" w:hAnsi="Arial" w:cs="Arial"/>
            <w:b/>
            <w:bCs/>
            <w:sz w:val="36"/>
            <w:szCs w:val="36"/>
            <w:lang w:val="es-ES"/>
          </w:rPr>
          <w:t>4.12.Doc(1)</w:t>
        </w:r>
      </w:sdtContent>
    </w:sdt>
    <w:r w:rsidR="00270E93" w:rsidRPr="00EA1C02">
      <w:rPr>
        <w:rFonts w:asciiTheme="minorBidi" w:hAnsiTheme="minorBidi"/>
        <w:b/>
        <w:bCs/>
        <w:sz w:val="36"/>
        <w:szCs w:val="36"/>
        <w:lang w:val="es-ES"/>
      </w:rPr>
      <w:br/>
    </w:r>
    <w:r w:rsidR="00270E93" w:rsidRPr="00EA1C02">
      <w:rPr>
        <w:rFonts w:ascii="Arial" w:hAnsi="Arial" w:cs="Arial"/>
        <w:lang w:val="es-ES"/>
      </w:rPr>
      <w:t>París,</w:t>
    </w:r>
    <w:r w:rsidR="00270E93" w:rsidRPr="00EA1C02">
      <w:rPr>
        <w:rFonts w:ascii="Arial" w:eastAsia="Times New Roman" w:hAnsi="Arial" w:cs="Arial"/>
        <w:snapToGrid w:val="0"/>
        <w:lang w:val="es-ES_tradnl"/>
      </w:rPr>
      <w:t xml:space="preserve"> </w:t>
    </w:r>
    <w:r w:rsidR="00800C71">
      <w:rPr>
        <w:rFonts w:ascii="Arial" w:eastAsia="Times New Roman" w:hAnsi="Arial" w:cs="Arial"/>
        <w:snapToGrid w:val="0"/>
        <w:lang w:val="es-ES"/>
      </w:rPr>
      <w:t xml:space="preserve">29 de </w:t>
    </w:r>
    <w:r w:rsidR="00800C71">
      <w:rPr>
        <w:rFonts w:ascii="Arial" w:eastAsia="Times New Roman" w:hAnsi="Arial" w:cs="Arial"/>
        <w:snapToGrid w:val="0"/>
        <w:lang w:val="es-ES"/>
      </w:rPr>
      <w:t>mayo</w:t>
    </w:r>
    <w:r w:rsidR="005B54A0">
      <w:rPr>
        <w:rFonts w:ascii="Arial" w:eastAsia="Times New Roman" w:hAnsi="Arial" w:cs="Arial"/>
        <w:snapToGrid w:val="0"/>
        <w:lang w:val="es-ES"/>
      </w:rPr>
      <w:t xml:space="preserve"> de 2023</w:t>
    </w:r>
    <w:r w:rsidR="00270E93" w:rsidRPr="00EA1C02">
      <w:rPr>
        <w:rFonts w:ascii="Arial" w:eastAsia="Times New Roman" w:hAnsi="Arial" w:cs="Arial"/>
        <w:lang w:val="es-ES_tradnl"/>
      </w:rPr>
      <w:br/>
    </w:r>
    <w:r w:rsidR="00270E93" w:rsidRPr="00EA1C02">
      <w:rPr>
        <w:rFonts w:ascii="Arial" w:eastAsia="SimSun" w:hAnsi="Arial" w:cs="Arial"/>
        <w:snapToGrid w:val="0"/>
        <w:lang w:val="es-ES_tradnl" w:eastAsia="zh-CN"/>
      </w:rPr>
      <w:t xml:space="preserve">Original: </w:t>
    </w:r>
    <w:sdt>
      <w:sdtPr>
        <w:rPr>
          <w:rFonts w:ascii="Arial" w:eastAsia="SimSun" w:hAnsi="Arial" w:cs="Arial"/>
          <w:snapToGrid w:val="0"/>
          <w:lang w:val="es-ES_tradnl" w:eastAsia="zh-CN"/>
        </w:rPr>
        <w:alias w:val="idioma"/>
        <w:tag w:val="idioma"/>
        <w:id w:val="1756158435"/>
        <w:temporary/>
        <w15:color w:val="FF0000"/>
        <w:dropDownList>
          <w:listItem w:value="Choose an item."/>
          <w:listItem w:displayText="inglés" w:value="inglés"/>
          <w:listItem w:displayText="francés" w:value="francés"/>
          <w:listItem w:displayText="francés e inglés" w:value="francés e inglés"/>
        </w:dropDownList>
      </w:sdtPr>
      <w:sdtEndPr/>
      <w:sdtContent>
        <w:r w:rsidR="00270E93" w:rsidRPr="00EA1C02">
          <w:rPr>
            <w:rFonts w:ascii="Arial" w:eastAsia="SimSun" w:hAnsi="Arial" w:cs="Arial"/>
            <w:snapToGrid w:val="0"/>
            <w:lang w:val="es-ES_tradnl" w:eastAsia="zh-CN"/>
          </w:rPr>
          <w:t>inglés</w:t>
        </w:r>
      </w:sdtContent>
    </w:sdt>
  </w:p>
  <w:p w14:paraId="03FB55E6" w14:textId="77777777" w:rsidR="00270E93" w:rsidRPr="00334B9F" w:rsidRDefault="00270E93" w:rsidP="00A12059">
    <w:pPr>
      <w:tabs>
        <w:tab w:val="left" w:pos="-1440"/>
        <w:tab w:val="left" w:pos="-720"/>
      </w:tabs>
      <w:spacing w:before="1800" w:after="0" w:line="240" w:lineRule="auto"/>
      <w:jc w:val="center"/>
      <w:rPr>
        <w:rFonts w:ascii="Arial" w:hAnsi="Arial" w:cs="Arial"/>
        <w:b/>
        <w:lang w:val="es-ES"/>
      </w:rPr>
    </w:pPr>
    <w:r w:rsidRPr="00334B9F">
      <w:rPr>
        <w:rFonts w:ascii="Arial" w:hAnsi="Arial" w:cs="Arial"/>
        <w:b/>
        <w:bCs/>
        <w:lang w:val="es-ES"/>
      </w:rPr>
      <w:t>COMISIÓN OCEANOGRÁFICA INTERGUBERNAMENTAL</w:t>
    </w:r>
  </w:p>
  <w:p w14:paraId="5C1B1BB0" w14:textId="77777777" w:rsidR="00270E93" w:rsidRPr="00334B9F" w:rsidRDefault="00270E93" w:rsidP="00334B9F">
    <w:pPr>
      <w:tabs>
        <w:tab w:val="left" w:pos="-1440"/>
        <w:tab w:val="left" w:pos="-720"/>
      </w:tabs>
      <w:spacing w:after="0" w:line="240" w:lineRule="auto"/>
      <w:jc w:val="center"/>
      <w:rPr>
        <w:rFonts w:ascii="Arial" w:hAnsi="Arial" w:cs="Arial"/>
        <w:bCs/>
        <w:lang w:val="es-ES"/>
      </w:rPr>
    </w:pPr>
    <w:r w:rsidRPr="00334B9F">
      <w:rPr>
        <w:rFonts w:ascii="Arial" w:hAnsi="Arial" w:cs="Arial"/>
        <w:bCs/>
        <w:lang w:val="es-ES"/>
      </w:rPr>
      <w:t>(de la UNESCO)</w:t>
    </w:r>
  </w:p>
  <w:p w14:paraId="1702258D" w14:textId="77777777" w:rsidR="00270E93" w:rsidRPr="00334B9F" w:rsidRDefault="00270E93" w:rsidP="00334B9F">
    <w:pPr>
      <w:tabs>
        <w:tab w:val="left" w:pos="-1440"/>
        <w:tab w:val="left" w:pos="-720"/>
        <w:tab w:val="center" w:pos="4677"/>
      </w:tabs>
      <w:spacing w:before="240" w:after="600" w:line="240" w:lineRule="auto"/>
      <w:jc w:val="center"/>
      <w:rPr>
        <w:rFonts w:ascii="Arial" w:hAnsi="Arial" w:cs="Arial"/>
        <w:bCs/>
        <w:lang w:val="es-ES_tradnl"/>
      </w:rPr>
    </w:pPr>
    <w:r w:rsidRPr="00334B9F">
      <w:rPr>
        <w:rFonts w:ascii="Arial" w:hAnsi="Arial" w:cs="Arial"/>
        <w:b/>
        <w:bCs/>
        <w:lang w:val="es-ES"/>
      </w:rPr>
      <w:t>32ª reunión de la Asamblea</w:t>
    </w:r>
    <w:r w:rsidRPr="00334B9F">
      <w:rPr>
        <w:rFonts w:ascii="Arial" w:hAnsi="Arial" w:cs="Arial"/>
        <w:bCs/>
        <w:lang w:val="es-ES"/>
      </w:rPr>
      <w:br/>
      <w:t>UNESCO, 21-30 de junio de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97DB" w14:textId="1DBBEB87" w:rsidR="00270E93" w:rsidRPr="000833BB" w:rsidRDefault="000833BB" w:rsidP="000833BB">
    <w:pPr>
      <w:pStyle w:val="Encabezado"/>
    </w:pPr>
    <w:r w:rsidRPr="000833BB">
      <w:rPr>
        <w:rFonts w:ascii="Arial" w:hAnsi="Arial" w:cs="Arial"/>
        <w:caps/>
        <w:lang w:val="es-ES"/>
      </w:rPr>
      <w:t>IOC/A-32</w:t>
    </w:r>
    <w:r w:rsidR="00270E93" w:rsidRPr="000833BB">
      <w:rPr>
        <w:rFonts w:ascii="Arial" w:hAnsi="Arial" w:cs="Arial"/>
        <w:caps/>
        <w:lang w:val="es-ES"/>
      </w:rPr>
      <w:t>/</w:t>
    </w:r>
    <w:sdt>
      <w:sdtPr>
        <w:rPr>
          <w:rFonts w:ascii="Arial" w:hAnsi="Arial" w:cs="Arial"/>
          <w:lang w:val="es-ES"/>
        </w:rPr>
        <w:alias w:val="SIGNATURA"/>
        <w:tag w:val=""/>
        <w:id w:val="-176367595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5B54A0">
          <w:rPr>
            <w:rFonts w:ascii="Arial" w:hAnsi="Arial" w:cs="Arial"/>
            <w:lang w:val="es-ES"/>
          </w:rPr>
          <w:t>4.12.Doc(1)</w:t>
        </w:r>
      </w:sdtContent>
    </w:sdt>
    <w:r w:rsidR="00270E93" w:rsidRPr="000833BB">
      <w:rPr>
        <w:rFonts w:ascii="Arial" w:hAnsi="Arial" w:cs="Arial"/>
        <w:lang w:val="es-ES"/>
      </w:rPr>
      <w:t xml:space="preserve"> – pág. </w:t>
    </w:r>
    <w:r w:rsidR="00270E93" w:rsidRPr="000833BB">
      <w:rPr>
        <w:rFonts w:ascii="Arial" w:hAnsi="Arial" w:cs="Arial"/>
        <w:lang w:val="es-ES"/>
      </w:rPr>
      <w:fldChar w:fldCharType="begin"/>
    </w:r>
    <w:r w:rsidR="00270E93" w:rsidRPr="000833BB">
      <w:rPr>
        <w:rFonts w:ascii="Arial" w:hAnsi="Arial" w:cs="Arial"/>
        <w:lang w:val="es-ES"/>
      </w:rPr>
      <w:instrText>PAGE   \* MERGEFORMAT</w:instrText>
    </w:r>
    <w:r w:rsidR="00270E93" w:rsidRPr="000833BB">
      <w:rPr>
        <w:rFonts w:ascii="Arial" w:hAnsi="Arial" w:cs="Arial"/>
        <w:lang w:val="es-ES"/>
      </w:rPr>
      <w:fldChar w:fldCharType="separate"/>
    </w:r>
    <w:r w:rsidR="00270E93" w:rsidRPr="000833BB">
      <w:rPr>
        <w:rFonts w:ascii="Arial" w:hAnsi="Arial" w:cs="Arial"/>
        <w:lang w:val="es-ES"/>
      </w:rPr>
      <w:t>1</w:t>
    </w:r>
    <w:r w:rsidR="00270E93" w:rsidRPr="000833BB">
      <w:rPr>
        <w:rFonts w:ascii="Arial" w:hAnsi="Arial" w:cs="Arial"/>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CEFD" w14:textId="47722B14" w:rsidR="000833BB" w:rsidRPr="00800C71" w:rsidRDefault="000833BB" w:rsidP="000833BB">
    <w:pPr>
      <w:pStyle w:val="Encabezado"/>
      <w:jc w:val="right"/>
      <w:rPr>
        <w:rFonts w:asciiTheme="minorBidi" w:hAnsiTheme="minorBidi"/>
      </w:rPr>
    </w:pPr>
    <w:r w:rsidRPr="00800C71">
      <w:rPr>
        <w:rFonts w:asciiTheme="minorBidi" w:hAnsiTheme="minorBidi"/>
        <w:caps/>
        <w:lang w:val="es-ES"/>
      </w:rPr>
      <w:t>IOC/A-32/</w:t>
    </w:r>
    <w:sdt>
      <w:sdtPr>
        <w:rPr>
          <w:rFonts w:asciiTheme="minorBidi" w:hAnsiTheme="minorBidi"/>
          <w:lang w:val="es-ES"/>
        </w:rPr>
        <w:alias w:val="SIGNATURA"/>
        <w:tag w:val=""/>
        <w:id w:val="191198000"/>
        <w:temporary/>
        <w:dataBinding w:prefixMappings="xmlns:ns0='http://purl.org/dc/elements/1.1/' xmlns:ns1='http://schemas.openxmlformats.org/package/2006/metadata/core-properties' " w:xpath="/ns1:coreProperties[1]/ns1:keywords[1]" w:storeItemID="{6C3C8BC8-F283-45AE-878A-BAB7291924A1}"/>
        <w15:color w:val="000000"/>
        <w:text/>
      </w:sdtPr>
      <w:sdtEndPr>
        <w:rPr>
          <w:lang w:val="fr-FR"/>
        </w:rPr>
      </w:sdtEndPr>
      <w:sdtContent>
        <w:r w:rsidR="005B54A0" w:rsidRPr="00800C71">
          <w:rPr>
            <w:rFonts w:asciiTheme="minorBidi" w:hAnsiTheme="minorBidi"/>
          </w:rPr>
          <w:t>4.12.Doc(1)</w:t>
        </w:r>
      </w:sdtContent>
    </w:sdt>
    <w:r w:rsidRPr="00800C71">
      <w:rPr>
        <w:rFonts w:asciiTheme="minorBidi" w:hAnsiTheme="minorBidi"/>
        <w:lang w:val="es-ES"/>
      </w:rPr>
      <w:t xml:space="preserve"> – pág. </w:t>
    </w:r>
    <w:r w:rsidRPr="00800C71">
      <w:rPr>
        <w:rFonts w:asciiTheme="minorBidi" w:hAnsiTheme="minorBidi"/>
        <w:lang w:val="es-ES"/>
      </w:rPr>
      <w:fldChar w:fldCharType="begin"/>
    </w:r>
    <w:r w:rsidRPr="00800C71">
      <w:rPr>
        <w:rFonts w:asciiTheme="minorBidi" w:hAnsiTheme="minorBidi"/>
        <w:lang w:val="es-ES"/>
      </w:rPr>
      <w:instrText>PAGE   \* MERGEFORMAT</w:instrText>
    </w:r>
    <w:r w:rsidRPr="00800C71">
      <w:rPr>
        <w:rFonts w:asciiTheme="minorBidi" w:hAnsiTheme="minorBidi"/>
        <w:lang w:val="es-ES"/>
      </w:rPr>
      <w:fldChar w:fldCharType="separate"/>
    </w:r>
    <w:r w:rsidRPr="00800C71">
      <w:rPr>
        <w:rFonts w:asciiTheme="minorBidi" w:hAnsiTheme="minorBidi"/>
        <w:lang w:val="es-ES"/>
      </w:rPr>
      <w:t>2</w:t>
    </w:r>
    <w:r w:rsidRPr="00800C71">
      <w:rPr>
        <w:rFonts w:asciiTheme="minorBidi" w:hAnsiTheme="minorBidi"/>
        <w:lang w:val="es-E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E3F1" w14:textId="4093DF2E" w:rsidR="00270E93" w:rsidRPr="000833BB" w:rsidRDefault="000833BB" w:rsidP="000833BB">
    <w:pPr>
      <w:pStyle w:val="Encabezado"/>
      <w:jc w:val="right"/>
      <w:rPr>
        <w:rFonts w:ascii="Arial" w:hAnsi="Arial" w:cs="Arial"/>
        <w:caps/>
      </w:rPr>
    </w:pPr>
    <w:r w:rsidRPr="000833BB">
      <w:rPr>
        <w:rFonts w:ascii="Arial" w:hAnsi="Arial" w:cs="Arial"/>
        <w:caps/>
        <w:lang w:val="es-ES"/>
      </w:rPr>
      <w:t>IOC/A-32</w:t>
    </w:r>
    <w:r w:rsidR="00270E93" w:rsidRPr="000833BB">
      <w:rPr>
        <w:rFonts w:ascii="Arial" w:hAnsi="Arial" w:cs="Arial"/>
        <w:caps/>
        <w:lang w:val="es-ES"/>
      </w:rPr>
      <w:t>/</w:t>
    </w:r>
    <w:sdt>
      <w:sdtPr>
        <w:rPr>
          <w:rFonts w:ascii="Arial" w:hAnsi="Arial" w:cs="Arial"/>
          <w:lang w:val="es-ES"/>
        </w:rPr>
        <w:alias w:val="SIGNATURA"/>
        <w:tag w:val=""/>
        <w:id w:val="917984299"/>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5B54A0">
          <w:rPr>
            <w:rFonts w:ascii="Arial" w:hAnsi="Arial" w:cs="Arial"/>
            <w:lang w:val="es-ES"/>
          </w:rPr>
          <w:t>4.12.Doc(1)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00"/>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0077E"/>
    <w:multiLevelType w:val="hybridMultilevel"/>
    <w:tmpl w:val="1EA29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B1693F"/>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37869"/>
    <w:multiLevelType w:val="hybridMultilevel"/>
    <w:tmpl w:val="DDA0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54F4B"/>
    <w:multiLevelType w:val="hybridMultilevel"/>
    <w:tmpl w:val="745A20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B3112D7"/>
    <w:multiLevelType w:val="multilevel"/>
    <w:tmpl w:val="4EF80814"/>
    <w:lvl w:ilvl="0">
      <w:start w:val="1"/>
      <w:numFmt w:val="decimal"/>
      <w:lvlText w:val="%1."/>
      <w:lvlJc w:val="left"/>
      <w:pPr>
        <w:ind w:left="930" w:hanging="570"/>
      </w:pPr>
      <w:rPr>
        <w:rFonts w:hint="default"/>
        <w:color w:val="auto"/>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BEF147E"/>
    <w:multiLevelType w:val="hybridMultilevel"/>
    <w:tmpl w:val="6AEEB90C"/>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AA652E"/>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6B7C8B"/>
    <w:multiLevelType w:val="multilevel"/>
    <w:tmpl w:val="4E963232"/>
    <w:lvl w:ilvl="0">
      <w:start w:val="2"/>
      <w:numFmt w:val="decimal"/>
      <w:lvlText w:val="%1."/>
      <w:lvlJc w:val="left"/>
      <w:pPr>
        <w:ind w:left="360" w:hanging="360"/>
      </w:pPr>
      <w:rPr>
        <w:rFonts w:hint="default"/>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12A32"/>
    <w:multiLevelType w:val="hybridMultilevel"/>
    <w:tmpl w:val="0F5A7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3D30F29"/>
    <w:multiLevelType w:val="multilevel"/>
    <w:tmpl w:val="800A875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2E08D7"/>
    <w:multiLevelType w:val="multilevel"/>
    <w:tmpl w:val="B9F2133A"/>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A1190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4B3376"/>
    <w:multiLevelType w:val="hybridMultilevel"/>
    <w:tmpl w:val="CE66DA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1182BBC"/>
    <w:multiLevelType w:val="multilevel"/>
    <w:tmpl w:val="2B584442"/>
    <w:lvl w:ilvl="0">
      <w:start w:val="3"/>
      <w:numFmt w:val="decimal"/>
      <w:lvlText w:val="%1"/>
      <w:lvlJc w:val="left"/>
      <w:pPr>
        <w:ind w:left="420" w:hanging="420"/>
      </w:pPr>
      <w:rPr>
        <w:rFonts w:eastAsia="Times New Roman" w:hint="default"/>
      </w:rPr>
    </w:lvl>
    <w:lvl w:ilvl="1">
      <w:start w:val="30"/>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38CD465B"/>
    <w:multiLevelType w:val="hybridMultilevel"/>
    <w:tmpl w:val="C73CD57A"/>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16" w15:restartNumberingAfterBreak="0">
    <w:nsid w:val="3A5D37FD"/>
    <w:multiLevelType w:val="hybridMultilevel"/>
    <w:tmpl w:val="3B8263C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3ACB4AD3"/>
    <w:multiLevelType w:val="multilevel"/>
    <w:tmpl w:val="9DF2F00E"/>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3468FB"/>
    <w:multiLevelType w:val="hybridMultilevel"/>
    <w:tmpl w:val="4EF0E1F4"/>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43861B9D"/>
    <w:multiLevelType w:val="hybridMultilevel"/>
    <w:tmpl w:val="FF3406DC"/>
    <w:lvl w:ilvl="0" w:tplc="6D0824A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630337"/>
    <w:multiLevelType w:val="hybridMultilevel"/>
    <w:tmpl w:val="03C2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26216"/>
    <w:multiLevelType w:val="multilevel"/>
    <w:tmpl w:val="6B0284D4"/>
    <w:lvl w:ilvl="0">
      <w:start w:val="3"/>
      <w:numFmt w:val="decimal"/>
      <w:lvlText w:val="%1"/>
      <w:lvlJc w:val="left"/>
      <w:pPr>
        <w:ind w:left="420" w:hanging="420"/>
      </w:pPr>
      <w:rPr>
        <w:rFonts w:eastAsia="Times New Roman" w:hint="default"/>
      </w:rPr>
    </w:lvl>
    <w:lvl w:ilvl="1">
      <w:start w:val="45"/>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57E235B9"/>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24" w15:restartNumberingAfterBreak="0">
    <w:nsid w:val="5CE03CAD"/>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B54B75"/>
    <w:multiLevelType w:val="multilevel"/>
    <w:tmpl w:val="2F7870B2"/>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0E5AF9"/>
    <w:multiLevelType w:val="hybridMultilevel"/>
    <w:tmpl w:val="A28E9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BD575A"/>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6126B5"/>
    <w:multiLevelType w:val="hybridMultilevel"/>
    <w:tmpl w:val="B9348754"/>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151662"/>
    <w:multiLevelType w:val="hybridMultilevel"/>
    <w:tmpl w:val="B6A44560"/>
    <w:lvl w:ilvl="0" w:tplc="040C0001">
      <w:start w:val="1"/>
      <w:numFmt w:val="bullet"/>
      <w:lvlText w:val=""/>
      <w:lvlJc w:val="left"/>
      <w:pPr>
        <w:ind w:left="3554" w:hanging="360"/>
      </w:pPr>
      <w:rPr>
        <w:rFonts w:ascii="Symbol" w:hAnsi="Symbol" w:hint="default"/>
      </w:rPr>
    </w:lvl>
    <w:lvl w:ilvl="1" w:tplc="040C0003">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30" w15:restartNumberingAfterBreak="0">
    <w:nsid w:val="7E414518"/>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FB33D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101711">
    <w:abstractNumId w:val="5"/>
  </w:num>
  <w:num w:numId="2" w16cid:durableId="267583594">
    <w:abstractNumId w:val="31"/>
  </w:num>
  <w:num w:numId="3" w16cid:durableId="878198530">
    <w:abstractNumId w:val="6"/>
  </w:num>
  <w:num w:numId="4" w16cid:durableId="1787313475">
    <w:abstractNumId w:val="28"/>
  </w:num>
  <w:num w:numId="5" w16cid:durableId="86653882">
    <w:abstractNumId w:val="26"/>
  </w:num>
  <w:num w:numId="6" w16cid:durableId="1537502511">
    <w:abstractNumId w:val="3"/>
  </w:num>
  <w:num w:numId="7" w16cid:durableId="710149218">
    <w:abstractNumId w:val="1"/>
  </w:num>
  <w:num w:numId="8" w16cid:durableId="1730612573">
    <w:abstractNumId w:val="22"/>
  </w:num>
  <w:num w:numId="9" w16cid:durableId="1618222396">
    <w:abstractNumId w:val="29"/>
  </w:num>
  <w:num w:numId="10" w16cid:durableId="700936135">
    <w:abstractNumId w:val="15"/>
  </w:num>
  <w:num w:numId="11" w16cid:durableId="2067293719">
    <w:abstractNumId w:val="21"/>
  </w:num>
  <w:num w:numId="12" w16cid:durableId="1522205117">
    <w:abstractNumId w:val="14"/>
  </w:num>
  <w:num w:numId="13" w16cid:durableId="255600244">
    <w:abstractNumId w:val="10"/>
  </w:num>
  <w:num w:numId="14" w16cid:durableId="1993867633">
    <w:abstractNumId w:val="20"/>
  </w:num>
  <w:num w:numId="15" w16cid:durableId="1206527266">
    <w:abstractNumId w:val="16"/>
  </w:num>
  <w:num w:numId="16" w16cid:durableId="206839737">
    <w:abstractNumId w:val="18"/>
  </w:num>
  <w:num w:numId="17" w16cid:durableId="153648711">
    <w:abstractNumId w:val="9"/>
  </w:num>
  <w:num w:numId="18" w16cid:durableId="610089407">
    <w:abstractNumId w:val="13"/>
  </w:num>
  <w:num w:numId="19" w16cid:durableId="866407410">
    <w:abstractNumId w:val="4"/>
  </w:num>
  <w:num w:numId="20" w16cid:durableId="1816025921">
    <w:abstractNumId w:val="12"/>
  </w:num>
  <w:num w:numId="21" w16cid:durableId="658460240">
    <w:abstractNumId w:val="2"/>
  </w:num>
  <w:num w:numId="22" w16cid:durableId="17321873">
    <w:abstractNumId w:val="8"/>
  </w:num>
  <w:num w:numId="23" w16cid:durableId="640884953">
    <w:abstractNumId w:val="19"/>
  </w:num>
  <w:num w:numId="24" w16cid:durableId="1985117544">
    <w:abstractNumId w:val="24"/>
  </w:num>
  <w:num w:numId="25" w16cid:durableId="1124230968">
    <w:abstractNumId w:val="7"/>
  </w:num>
  <w:num w:numId="26" w16cid:durableId="1408725679">
    <w:abstractNumId w:val="0"/>
  </w:num>
  <w:num w:numId="27" w16cid:durableId="28381495">
    <w:abstractNumId w:val="30"/>
  </w:num>
  <w:num w:numId="28" w16cid:durableId="1799254483">
    <w:abstractNumId w:val="11"/>
  </w:num>
  <w:num w:numId="29" w16cid:durableId="119303775">
    <w:abstractNumId w:val="25"/>
  </w:num>
  <w:num w:numId="30" w16cid:durableId="245920030">
    <w:abstractNumId w:val="27"/>
  </w:num>
  <w:num w:numId="31" w16cid:durableId="1559516330">
    <w:abstractNumId w:val="17"/>
  </w:num>
  <w:num w:numId="32" w16cid:durableId="10987928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A0"/>
    <w:rsid w:val="00001124"/>
    <w:rsid w:val="00003B9C"/>
    <w:rsid w:val="00011FAE"/>
    <w:rsid w:val="00012EF5"/>
    <w:rsid w:val="00013C44"/>
    <w:rsid w:val="00014BFA"/>
    <w:rsid w:val="00026076"/>
    <w:rsid w:val="0002762D"/>
    <w:rsid w:val="00030B00"/>
    <w:rsid w:val="00030F5F"/>
    <w:rsid w:val="00031988"/>
    <w:rsid w:val="00043BE3"/>
    <w:rsid w:val="00047058"/>
    <w:rsid w:val="000510F9"/>
    <w:rsid w:val="00051DB3"/>
    <w:rsid w:val="00052718"/>
    <w:rsid w:val="00053057"/>
    <w:rsid w:val="0005515E"/>
    <w:rsid w:val="0005619B"/>
    <w:rsid w:val="000579C1"/>
    <w:rsid w:val="00061790"/>
    <w:rsid w:val="000654B5"/>
    <w:rsid w:val="00070E39"/>
    <w:rsid w:val="0007215D"/>
    <w:rsid w:val="00072EB8"/>
    <w:rsid w:val="00073A25"/>
    <w:rsid w:val="000749F6"/>
    <w:rsid w:val="00081CC1"/>
    <w:rsid w:val="000833BB"/>
    <w:rsid w:val="000940A3"/>
    <w:rsid w:val="000A02BF"/>
    <w:rsid w:val="000A470F"/>
    <w:rsid w:val="000A7DDB"/>
    <w:rsid w:val="000B5761"/>
    <w:rsid w:val="000C538E"/>
    <w:rsid w:val="000C6DAB"/>
    <w:rsid w:val="000D1F55"/>
    <w:rsid w:val="000D2A30"/>
    <w:rsid w:val="000D6D14"/>
    <w:rsid w:val="000E0B71"/>
    <w:rsid w:val="000F0829"/>
    <w:rsid w:val="000F4B74"/>
    <w:rsid w:val="00116936"/>
    <w:rsid w:val="00120BAB"/>
    <w:rsid w:val="0012211B"/>
    <w:rsid w:val="00123669"/>
    <w:rsid w:val="001239A7"/>
    <w:rsid w:val="00127F1F"/>
    <w:rsid w:val="00134AC2"/>
    <w:rsid w:val="001350A1"/>
    <w:rsid w:val="0014066D"/>
    <w:rsid w:val="0014069C"/>
    <w:rsid w:val="00141C6C"/>
    <w:rsid w:val="001433BF"/>
    <w:rsid w:val="00143417"/>
    <w:rsid w:val="00143A88"/>
    <w:rsid w:val="00145297"/>
    <w:rsid w:val="00150C0A"/>
    <w:rsid w:val="00150D2D"/>
    <w:rsid w:val="0015688A"/>
    <w:rsid w:val="001622B1"/>
    <w:rsid w:val="00165003"/>
    <w:rsid w:val="001705F1"/>
    <w:rsid w:val="001729AE"/>
    <w:rsid w:val="00194051"/>
    <w:rsid w:val="0019439C"/>
    <w:rsid w:val="0019554A"/>
    <w:rsid w:val="00197D0B"/>
    <w:rsid w:val="001A41ED"/>
    <w:rsid w:val="001B039D"/>
    <w:rsid w:val="001B49DB"/>
    <w:rsid w:val="001B5EA7"/>
    <w:rsid w:val="001C6BE2"/>
    <w:rsid w:val="001C78DF"/>
    <w:rsid w:val="001D1A62"/>
    <w:rsid w:val="001D2380"/>
    <w:rsid w:val="001E6937"/>
    <w:rsid w:val="001F1FB4"/>
    <w:rsid w:val="001F5749"/>
    <w:rsid w:val="0020213B"/>
    <w:rsid w:val="00202379"/>
    <w:rsid w:val="00204839"/>
    <w:rsid w:val="00204F05"/>
    <w:rsid w:val="002157AC"/>
    <w:rsid w:val="002178D7"/>
    <w:rsid w:val="002206D6"/>
    <w:rsid w:val="00224E63"/>
    <w:rsid w:val="002265A1"/>
    <w:rsid w:val="00233BBA"/>
    <w:rsid w:val="0025449D"/>
    <w:rsid w:val="00254B55"/>
    <w:rsid w:val="00255E52"/>
    <w:rsid w:val="00255F85"/>
    <w:rsid w:val="00261FAE"/>
    <w:rsid w:val="002626A8"/>
    <w:rsid w:val="00266A07"/>
    <w:rsid w:val="0026705C"/>
    <w:rsid w:val="00270E93"/>
    <w:rsid w:val="002711F4"/>
    <w:rsid w:val="002712C1"/>
    <w:rsid w:val="0027196C"/>
    <w:rsid w:val="00277F4D"/>
    <w:rsid w:val="00281171"/>
    <w:rsid w:val="00284946"/>
    <w:rsid w:val="002859BD"/>
    <w:rsid w:val="00286E69"/>
    <w:rsid w:val="0029100C"/>
    <w:rsid w:val="002948EB"/>
    <w:rsid w:val="00297A5B"/>
    <w:rsid w:val="002A7B0B"/>
    <w:rsid w:val="002B29F8"/>
    <w:rsid w:val="002B72C5"/>
    <w:rsid w:val="002B770D"/>
    <w:rsid w:val="002C0BC2"/>
    <w:rsid w:val="002D1160"/>
    <w:rsid w:val="002D3768"/>
    <w:rsid w:val="002D4E94"/>
    <w:rsid w:val="002D636B"/>
    <w:rsid w:val="002D65B4"/>
    <w:rsid w:val="002D70E7"/>
    <w:rsid w:val="002D7CB8"/>
    <w:rsid w:val="002E1324"/>
    <w:rsid w:val="002E2565"/>
    <w:rsid w:val="002E6ABC"/>
    <w:rsid w:val="002F5445"/>
    <w:rsid w:val="002F7AAC"/>
    <w:rsid w:val="003034C8"/>
    <w:rsid w:val="00306D56"/>
    <w:rsid w:val="00306F1A"/>
    <w:rsid w:val="00313A39"/>
    <w:rsid w:val="00314DB3"/>
    <w:rsid w:val="003203AD"/>
    <w:rsid w:val="00322F2B"/>
    <w:rsid w:val="00323A09"/>
    <w:rsid w:val="00327DFF"/>
    <w:rsid w:val="00334B9F"/>
    <w:rsid w:val="00344D12"/>
    <w:rsid w:val="003450BB"/>
    <w:rsid w:val="00345B0A"/>
    <w:rsid w:val="00347E12"/>
    <w:rsid w:val="0035159F"/>
    <w:rsid w:val="003550B6"/>
    <w:rsid w:val="003637B7"/>
    <w:rsid w:val="00364478"/>
    <w:rsid w:val="00365FF0"/>
    <w:rsid w:val="00367ECB"/>
    <w:rsid w:val="00376033"/>
    <w:rsid w:val="00384530"/>
    <w:rsid w:val="0038481A"/>
    <w:rsid w:val="003849FB"/>
    <w:rsid w:val="003B603D"/>
    <w:rsid w:val="003D2D9C"/>
    <w:rsid w:val="003D38D7"/>
    <w:rsid w:val="003E19E8"/>
    <w:rsid w:val="003F4FA5"/>
    <w:rsid w:val="00405F89"/>
    <w:rsid w:val="00410AE0"/>
    <w:rsid w:val="00420B86"/>
    <w:rsid w:val="00421184"/>
    <w:rsid w:val="0042210B"/>
    <w:rsid w:val="004249A4"/>
    <w:rsid w:val="004264A1"/>
    <w:rsid w:val="004274D9"/>
    <w:rsid w:val="0043784B"/>
    <w:rsid w:val="00437BC1"/>
    <w:rsid w:val="0044007E"/>
    <w:rsid w:val="0044331D"/>
    <w:rsid w:val="00443561"/>
    <w:rsid w:val="00445A68"/>
    <w:rsid w:val="00450AEF"/>
    <w:rsid w:val="0045729C"/>
    <w:rsid w:val="00460EF5"/>
    <w:rsid w:val="00465932"/>
    <w:rsid w:val="00466DC8"/>
    <w:rsid w:val="00467D31"/>
    <w:rsid w:val="00475C34"/>
    <w:rsid w:val="0048778E"/>
    <w:rsid w:val="00495349"/>
    <w:rsid w:val="004A0A53"/>
    <w:rsid w:val="004A5C3C"/>
    <w:rsid w:val="004A76DC"/>
    <w:rsid w:val="004B0DD3"/>
    <w:rsid w:val="004B12B7"/>
    <w:rsid w:val="004B2EB3"/>
    <w:rsid w:val="004B39C5"/>
    <w:rsid w:val="004B7C72"/>
    <w:rsid w:val="004C0FDD"/>
    <w:rsid w:val="004C2F3F"/>
    <w:rsid w:val="004C4896"/>
    <w:rsid w:val="004C68A9"/>
    <w:rsid w:val="004D3883"/>
    <w:rsid w:val="004E4896"/>
    <w:rsid w:val="004E6698"/>
    <w:rsid w:val="004F3539"/>
    <w:rsid w:val="00502D2E"/>
    <w:rsid w:val="00513B3B"/>
    <w:rsid w:val="005157B2"/>
    <w:rsid w:val="00520B54"/>
    <w:rsid w:val="00525FF3"/>
    <w:rsid w:val="00532970"/>
    <w:rsid w:val="0054578B"/>
    <w:rsid w:val="005530B7"/>
    <w:rsid w:val="00572A20"/>
    <w:rsid w:val="00577B72"/>
    <w:rsid w:val="00581E76"/>
    <w:rsid w:val="005919C0"/>
    <w:rsid w:val="005A5CD8"/>
    <w:rsid w:val="005B1954"/>
    <w:rsid w:val="005B4334"/>
    <w:rsid w:val="005B54A0"/>
    <w:rsid w:val="005C1238"/>
    <w:rsid w:val="005C58A5"/>
    <w:rsid w:val="005C5EDA"/>
    <w:rsid w:val="005D2590"/>
    <w:rsid w:val="005D32F9"/>
    <w:rsid w:val="005D37C6"/>
    <w:rsid w:val="005D3BD6"/>
    <w:rsid w:val="005E0976"/>
    <w:rsid w:val="005E1C29"/>
    <w:rsid w:val="005E1E61"/>
    <w:rsid w:val="005E3F02"/>
    <w:rsid w:val="005E4395"/>
    <w:rsid w:val="005E4A11"/>
    <w:rsid w:val="005E534C"/>
    <w:rsid w:val="005F1A2E"/>
    <w:rsid w:val="00602C73"/>
    <w:rsid w:val="00604E47"/>
    <w:rsid w:val="00606C59"/>
    <w:rsid w:val="00606D0A"/>
    <w:rsid w:val="00606E41"/>
    <w:rsid w:val="00610898"/>
    <w:rsid w:val="00617C8D"/>
    <w:rsid w:val="0062013D"/>
    <w:rsid w:val="006251BB"/>
    <w:rsid w:val="006316C7"/>
    <w:rsid w:val="00636A71"/>
    <w:rsid w:val="00636C3C"/>
    <w:rsid w:val="00651FC3"/>
    <w:rsid w:val="00653992"/>
    <w:rsid w:val="00653A18"/>
    <w:rsid w:val="00657ABB"/>
    <w:rsid w:val="0067576D"/>
    <w:rsid w:val="0067607D"/>
    <w:rsid w:val="00676A26"/>
    <w:rsid w:val="00681B52"/>
    <w:rsid w:val="0068784D"/>
    <w:rsid w:val="006932B7"/>
    <w:rsid w:val="00693F9D"/>
    <w:rsid w:val="0069405E"/>
    <w:rsid w:val="006A433F"/>
    <w:rsid w:val="006A7653"/>
    <w:rsid w:val="006B4B9F"/>
    <w:rsid w:val="006C125F"/>
    <w:rsid w:val="006D18BE"/>
    <w:rsid w:val="006D293A"/>
    <w:rsid w:val="006D7279"/>
    <w:rsid w:val="006F45EE"/>
    <w:rsid w:val="006F6140"/>
    <w:rsid w:val="006F70D0"/>
    <w:rsid w:val="00702FD6"/>
    <w:rsid w:val="00703FA3"/>
    <w:rsid w:val="00706E5E"/>
    <w:rsid w:val="007125AB"/>
    <w:rsid w:val="00715D11"/>
    <w:rsid w:val="007229F7"/>
    <w:rsid w:val="00723B7D"/>
    <w:rsid w:val="0072433F"/>
    <w:rsid w:val="00726845"/>
    <w:rsid w:val="00732A6C"/>
    <w:rsid w:val="007340C3"/>
    <w:rsid w:val="00740F0B"/>
    <w:rsid w:val="0075108B"/>
    <w:rsid w:val="00752E99"/>
    <w:rsid w:val="007548C8"/>
    <w:rsid w:val="007555FC"/>
    <w:rsid w:val="00760C5B"/>
    <w:rsid w:val="00771964"/>
    <w:rsid w:val="0077257B"/>
    <w:rsid w:val="007742AC"/>
    <w:rsid w:val="00776A7F"/>
    <w:rsid w:val="00783ADF"/>
    <w:rsid w:val="007870B6"/>
    <w:rsid w:val="007A0A94"/>
    <w:rsid w:val="007A4B03"/>
    <w:rsid w:val="007A5629"/>
    <w:rsid w:val="007A61E2"/>
    <w:rsid w:val="007A7D68"/>
    <w:rsid w:val="007C13AF"/>
    <w:rsid w:val="007C17D6"/>
    <w:rsid w:val="007C361D"/>
    <w:rsid w:val="007C54A0"/>
    <w:rsid w:val="007C633A"/>
    <w:rsid w:val="007D306C"/>
    <w:rsid w:val="007D7802"/>
    <w:rsid w:val="007E360D"/>
    <w:rsid w:val="00800C71"/>
    <w:rsid w:val="00801556"/>
    <w:rsid w:val="00802BA9"/>
    <w:rsid w:val="0080779E"/>
    <w:rsid w:val="00812CB9"/>
    <w:rsid w:val="00813385"/>
    <w:rsid w:val="008272AD"/>
    <w:rsid w:val="008402A4"/>
    <w:rsid w:val="008507B6"/>
    <w:rsid w:val="00866FCE"/>
    <w:rsid w:val="00874EBB"/>
    <w:rsid w:val="00882F3D"/>
    <w:rsid w:val="00886260"/>
    <w:rsid w:val="00887583"/>
    <w:rsid w:val="00896CE6"/>
    <w:rsid w:val="00896F8F"/>
    <w:rsid w:val="008A05FA"/>
    <w:rsid w:val="008A26F9"/>
    <w:rsid w:val="008B2A0F"/>
    <w:rsid w:val="008C717E"/>
    <w:rsid w:val="008D0811"/>
    <w:rsid w:val="008E1404"/>
    <w:rsid w:val="008F7946"/>
    <w:rsid w:val="00910AD1"/>
    <w:rsid w:val="00914A6C"/>
    <w:rsid w:val="0091655F"/>
    <w:rsid w:val="00916D06"/>
    <w:rsid w:val="00917D62"/>
    <w:rsid w:val="00920088"/>
    <w:rsid w:val="009265F1"/>
    <w:rsid w:val="00941800"/>
    <w:rsid w:val="00943E4A"/>
    <w:rsid w:val="00944170"/>
    <w:rsid w:val="009556BB"/>
    <w:rsid w:val="00961BD2"/>
    <w:rsid w:val="00965D7C"/>
    <w:rsid w:val="00966E6D"/>
    <w:rsid w:val="00967335"/>
    <w:rsid w:val="00967F10"/>
    <w:rsid w:val="0097217F"/>
    <w:rsid w:val="00973B58"/>
    <w:rsid w:val="00977AF6"/>
    <w:rsid w:val="009910CB"/>
    <w:rsid w:val="00996950"/>
    <w:rsid w:val="009A7585"/>
    <w:rsid w:val="009B2EE5"/>
    <w:rsid w:val="009B3153"/>
    <w:rsid w:val="009C050F"/>
    <w:rsid w:val="009C4DF3"/>
    <w:rsid w:val="009D64ED"/>
    <w:rsid w:val="009E649A"/>
    <w:rsid w:val="009F4778"/>
    <w:rsid w:val="009F4F33"/>
    <w:rsid w:val="00A00643"/>
    <w:rsid w:val="00A12059"/>
    <w:rsid w:val="00A179B5"/>
    <w:rsid w:val="00A17C67"/>
    <w:rsid w:val="00A2058F"/>
    <w:rsid w:val="00A205C0"/>
    <w:rsid w:val="00A219A0"/>
    <w:rsid w:val="00A26D04"/>
    <w:rsid w:val="00A27E58"/>
    <w:rsid w:val="00A3322E"/>
    <w:rsid w:val="00A45F32"/>
    <w:rsid w:val="00A52171"/>
    <w:rsid w:val="00A53889"/>
    <w:rsid w:val="00A55839"/>
    <w:rsid w:val="00A62288"/>
    <w:rsid w:val="00A70AF2"/>
    <w:rsid w:val="00A724AD"/>
    <w:rsid w:val="00A72E9D"/>
    <w:rsid w:val="00A74E52"/>
    <w:rsid w:val="00A75C53"/>
    <w:rsid w:val="00A77FEC"/>
    <w:rsid w:val="00A80786"/>
    <w:rsid w:val="00A8508E"/>
    <w:rsid w:val="00A86313"/>
    <w:rsid w:val="00A90DE6"/>
    <w:rsid w:val="00A92993"/>
    <w:rsid w:val="00A96C4A"/>
    <w:rsid w:val="00AA06AA"/>
    <w:rsid w:val="00AA0E2E"/>
    <w:rsid w:val="00AA4697"/>
    <w:rsid w:val="00AA5C17"/>
    <w:rsid w:val="00AB04F6"/>
    <w:rsid w:val="00AB7F8C"/>
    <w:rsid w:val="00AC630E"/>
    <w:rsid w:val="00AD267C"/>
    <w:rsid w:val="00AD3CFA"/>
    <w:rsid w:val="00AD57AF"/>
    <w:rsid w:val="00AD57D6"/>
    <w:rsid w:val="00AE0227"/>
    <w:rsid w:val="00AE32AB"/>
    <w:rsid w:val="00AE565F"/>
    <w:rsid w:val="00AE681E"/>
    <w:rsid w:val="00B001AA"/>
    <w:rsid w:val="00B00700"/>
    <w:rsid w:val="00B02BB6"/>
    <w:rsid w:val="00B1527D"/>
    <w:rsid w:val="00B1622A"/>
    <w:rsid w:val="00B17DDC"/>
    <w:rsid w:val="00B256F1"/>
    <w:rsid w:val="00B370E8"/>
    <w:rsid w:val="00B4031C"/>
    <w:rsid w:val="00B43948"/>
    <w:rsid w:val="00B52F96"/>
    <w:rsid w:val="00B5752F"/>
    <w:rsid w:val="00B61624"/>
    <w:rsid w:val="00B6340F"/>
    <w:rsid w:val="00B6356B"/>
    <w:rsid w:val="00B7427E"/>
    <w:rsid w:val="00B81F61"/>
    <w:rsid w:val="00B87471"/>
    <w:rsid w:val="00B87B7D"/>
    <w:rsid w:val="00B92E4C"/>
    <w:rsid w:val="00B92FEB"/>
    <w:rsid w:val="00BA01F8"/>
    <w:rsid w:val="00BA6958"/>
    <w:rsid w:val="00BB3BC0"/>
    <w:rsid w:val="00BB4A4E"/>
    <w:rsid w:val="00BC1101"/>
    <w:rsid w:val="00BC113B"/>
    <w:rsid w:val="00BC2DDD"/>
    <w:rsid w:val="00BC44C3"/>
    <w:rsid w:val="00BC4654"/>
    <w:rsid w:val="00BD08D7"/>
    <w:rsid w:val="00BD5360"/>
    <w:rsid w:val="00BE7E2B"/>
    <w:rsid w:val="00BF22FA"/>
    <w:rsid w:val="00BF3B76"/>
    <w:rsid w:val="00C03AB7"/>
    <w:rsid w:val="00C04E89"/>
    <w:rsid w:val="00C06866"/>
    <w:rsid w:val="00C07114"/>
    <w:rsid w:val="00C17AD1"/>
    <w:rsid w:val="00C258EF"/>
    <w:rsid w:val="00C319A2"/>
    <w:rsid w:val="00C32A7F"/>
    <w:rsid w:val="00C3549F"/>
    <w:rsid w:val="00C37485"/>
    <w:rsid w:val="00C40ABD"/>
    <w:rsid w:val="00C4782B"/>
    <w:rsid w:val="00C53D3C"/>
    <w:rsid w:val="00C54A92"/>
    <w:rsid w:val="00C567E8"/>
    <w:rsid w:val="00C623A9"/>
    <w:rsid w:val="00C6619B"/>
    <w:rsid w:val="00C7698D"/>
    <w:rsid w:val="00C76C09"/>
    <w:rsid w:val="00C83846"/>
    <w:rsid w:val="00C92BD2"/>
    <w:rsid w:val="00C94F69"/>
    <w:rsid w:val="00C96422"/>
    <w:rsid w:val="00C97229"/>
    <w:rsid w:val="00CA30DF"/>
    <w:rsid w:val="00CA3A8C"/>
    <w:rsid w:val="00CA5A49"/>
    <w:rsid w:val="00CA7A62"/>
    <w:rsid w:val="00CA7D04"/>
    <w:rsid w:val="00CB750C"/>
    <w:rsid w:val="00CC150C"/>
    <w:rsid w:val="00CC771B"/>
    <w:rsid w:val="00CD211A"/>
    <w:rsid w:val="00CD261E"/>
    <w:rsid w:val="00CD4C9D"/>
    <w:rsid w:val="00CE22EE"/>
    <w:rsid w:val="00CF2755"/>
    <w:rsid w:val="00CF37EE"/>
    <w:rsid w:val="00CF65BD"/>
    <w:rsid w:val="00CF6EBD"/>
    <w:rsid w:val="00D04509"/>
    <w:rsid w:val="00D16395"/>
    <w:rsid w:val="00D17316"/>
    <w:rsid w:val="00D1760D"/>
    <w:rsid w:val="00D21E0B"/>
    <w:rsid w:val="00D267FC"/>
    <w:rsid w:val="00D32645"/>
    <w:rsid w:val="00D32A85"/>
    <w:rsid w:val="00D36CE6"/>
    <w:rsid w:val="00D4294F"/>
    <w:rsid w:val="00D46FD1"/>
    <w:rsid w:val="00D504EA"/>
    <w:rsid w:val="00D62092"/>
    <w:rsid w:val="00D634B1"/>
    <w:rsid w:val="00D65CC9"/>
    <w:rsid w:val="00D71C7E"/>
    <w:rsid w:val="00D7270B"/>
    <w:rsid w:val="00D767B3"/>
    <w:rsid w:val="00D83DCA"/>
    <w:rsid w:val="00D916DA"/>
    <w:rsid w:val="00D97F2A"/>
    <w:rsid w:val="00DA05DC"/>
    <w:rsid w:val="00DA23EC"/>
    <w:rsid w:val="00DB15C8"/>
    <w:rsid w:val="00DB1AEF"/>
    <w:rsid w:val="00DC1CF3"/>
    <w:rsid w:val="00DC507A"/>
    <w:rsid w:val="00DC5A95"/>
    <w:rsid w:val="00DD066B"/>
    <w:rsid w:val="00DD6645"/>
    <w:rsid w:val="00DD702D"/>
    <w:rsid w:val="00DE23F2"/>
    <w:rsid w:val="00DF06A2"/>
    <w:rsid w:val="00E02A5C"/>
    <w:rsid w:val="00E043D4"/>
    <w:rsid w:val="00E063E4"/>
    <w:rsid w:val="00E0779E"/>
    <w:rsid w:val="00E119DC"/>
    <w:rsid w:val="00E12245"/>
    <w:rsid w:val="00E131F0"/>
    <w:rsid w:val="00E16F19"/>
    <w:rsid w:val="00E20898"/>
    <w:rsid w:val="00E2598B"/>
    <w:rsid w:val="00E32A62"/>
    <w:rsid w:val="00E345A8"/>
    <w:rsid w:val="00E44A86"/>
    <w:rsid w:val="00E44B85"/>
    <w:rsid w:val="00E44BD4"/>
    <w:rsid w:val="00E44DB0"/>
    <w:rsid w:val="00E522A5"/>
    <w:rsid w:val="00E5424A"/>
    <w:rsid w:val="00E579CC"/>
    <w:rsid w:val="00E65C8C"/>
    <w:rsid w:val="00E67938"/>
    <w:rsid w:val="00E7235D"/>
    <w:rsid w:val="00E73136"/>
    <w:rsid w:val="00E76283"/>
    <w:rsid w:val="00E80EB2"/>
    <w:rsid w:val="00E83E68"/>
    <w:rsid w:val="00E869C8"/>
    <w:rsid w:val="00E8712D"/>
    <w:rsid w:val="00E8714A"/>
    <w:rsid w:val="00E935D2"/>
    <w:rsid w:val="00E956F4"/>
    <w:rsid w:val="00EA0456"/>
    <w:rsid w:val="00EA1C02"/>
    <w:rsid w:val="00EA2AA2"/>
    <w:rsid w:val="00EA4B2A"/>
    <w:rsid w:val="00EA4BD0"/>
    <w:rsid w:val="00EA60D9"/>
    <w:rsid w:val="00EB7202"/>
    <w:rsid w:val="00EC0632"/>
    <w:rsid w:val="00EC3164"/>
    <w:rsid w:val="00EC402F"/>
    <w:rsid w:val="00ED0003"/>
    <w:rsid w:val="00ED5129"/>
    <w:rsid w:val="00ED707D"/>
    <w:rsid w:val="00EE25C5"/>
    <w:rsid w:val="00EE6C43"/>
    <w:rsid w:val="00EF168C"/>
    <w:rsid w:val="00EF4408"/>
    <w:rsid w:val="00EF6F4C"/>
    <w:rsid w:val="00EF7445"/>
    <w:rsid w:val="00F045F1"/>
    <w:rsid w:val="00F11431"/>
    <w:rsid w:val="00F1242E"/>
    <w:rsid w:val="00F227C5"/>
    <w:rsid w:val="00F30FD9"/>
    <w:rsid w:val="00F3218A"/>
    <w:rsid w:val="00F352B2"/>
    <w:rsid w:val="00F43693"/>
    <w:rsid w:val="00F45776"/>
    <w:rsid w:val="00F46CC0"/>
    <w:rsid w:val="00F51001"/>
    <w:rsid w:val="00F57FB2"/>
    <w:rsid w:val="00F60397"/>
    <w:rsid w:val="00F70B3C"/>
    <w:rsid w:val="00F70FB2"/>
    <w:rsid w:val="00F72A9C"/>
    <w:rsid w:val="00F77793"/>
    <w:rsid w:val="00F9022C"/>
    <w:rsid w:val="00F94591"/>
    <w:rsid w:val="00F94F77"/>
    <w:rsid w:val="00F9513F"/>
    <w:rsid w:val="00FA3F67"/>
    <w:rsid w:val="00FA581A"/>
    <w:rsid w:val="00FA69AB"/>
    <w:rsid w:val="00FA7938"/>
    <w:rsid w:val="00FC0F09"/>
    <w:rsid w:val="00FC181B"/>
    <w:rsid w:val="00FC5CE2"/>
    <w:rsid w:val="00FC679D"/>
    <w:rsid w:val="00FD2498"/>
    <w:rsid w:val="00FD3C60"/>
    <w:rsid w:val="00FD639A"/>
    <w:rsid w:val="00FE0802"/>
    <w:rsid w:val="00FE5FAA"/>
    <w:rsid w:val="00FF0CD9"/>
    <w:rsid w:val="00FF2770"/>
    <w:rsid w:val="00FF2929"/>
    <w:rsid w:val="00FF4A3C"/>
    <w:rsid w:val="00FF6C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9D8201"/>
  <w15:docId w15:val="{2ABC4571-FBBB-44D4-A1BE-C7EF5770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C"/>
    <w:rPr>
      <w:rFonts w:eastAsiaTheme="minorHAnsi"/>
      <w:lang w:eastAsia="en-US"/>
    </w:rPr>
  </w:style>
  <w:style w:type="paragraph" w:styleId="Ttulo1">
    <w:name w:val="heading 1"/>
    <w:basedOn w:val="Normal"/>
    <w:next w:val="Normal"/>
    <w:link w:val="Ttulo1Car"/>
    <w:qFormat/>
    <w:rsid w:val="00A62288"/>
    <w:pPr>
      <w:keepNext/>
      <w:keepLines/>
      <w:tabs>
        <w:tab w:val="left" w:pos="567"/>
      </w:tabs>
      <w:snapToGrid w:val="0"/>
      <w:spacing w:before="240" w:after="240" w:line="240" w:lineRule="auto"/>
      <w:jc w:val="center"/>
      <w:outlineLvl w:val="0"/>
    </w:pPr>
    <w:rPr>
      <w:rFonts w:ascii="Arial" w:eastAsia="Times New Roman" w:hAnsi="Arial" w:cs="Times New Roman"/>
      <w:b/>
      <w:bCs/>
      <w:snapToGrid w:val="0"/>
      <w:kern w:val="2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62288"/>
    <w:rPr>
      <w:rFonts w:ascii="Arial" w:eastAsia="Times New Roman" w:hAnsi="Arial" w:cs="Times New Roman"/>
      <w:b/>
      <w:bCs/>
      <w:snapToGrid w:val="0"/>
      <w:kern w:val="28"/>
      <w:szCs w:val="24"/>
      <w:lang w:eastAsia="en-US"/>
    </w:rPr>
  </w:style>
  <w:style w:type="paragraph" w:styleId="Encabezado">
    <w:name w:val="header"/>
    <w:basedOn w:val="Normal"/>
    <w:link w:val="EncabezadoCar"/>
    <w:unhideWhenUsed/>
    <w:rsid w:val="00A62288"/>
    <w:pPr>
      <w:tabs>
        <w:tab w:val="center" w:pos="4536"/>
        <w:tab w:val="right" w:pos="9072"/>
      </w:tabs>
      <w:spacing w:after="0" w:line="240" w:lineRule="auto"/>
    </w:pPr>
  </w:style>
  <w:style w:type="character" w:customStyle="1" w:styleId="EncabezadoCar">
    <w:name w:val="Encabezado Car"/>
    <w:basedOn w:val="Fuentedeprrafopredeter"/>
    <w:link w:val="Encabezado"/>
    <w:rsid w:val="00A62288"/>
    <w:rPr>
      <w:rFonts w:eastAsiaTheme="minorHAnsi"/>
      <w:lang w:eastAsia="en-US"/>
    </w:rPr>
  </w:style>
  <w:style w:type="paragraph" w:customStyle="1" w:styleId="cote">
    <w:name w:val="cote"/>
    <w:basedOn w:val="Normal"/>
    <w:qFormat/>
    <w:rsid w:val="00A62288"/>
    <w:pPr>
      <w:tabs>
        <w:tab w:val="left" w:pos="567"/>
      </w:tabs>
      <w:snapToGrid w:val="0"/>
      <w:spacing w:after="0" w:line="240" w:lineRule="auto"/>
    </w:pPr>
    <w:rPr>
      <w:rFonts w:ascii="Arial" w:eastAsia="SimSun" w:hAnsi="Arial" w:cs="Times New Roman"/>
      <w:snapToGrid w:val="0"/>
      <w:szCs w:val="24"/>
      <w:lang w:eastAsia="zh-CN"/>
    </w:rPr>
  </w:style>
  <w:style w:type="paragraph" w:styleId="Prrafodelista">
    <w:name w:val="List Paragraph"/>
    <w:basedOn w:val="Normal"/>
    <w:uiPriority w:val="34"/>
    <w:qFormat/>
    <w:rsid w:val="00A62288"/>
    <w:pPr>
      <w:ind w:left="720"/>
      <w:contextualSpacing/>
    </w:pPr>
  </w:style>
  <w:style w:type="paragraph" w:styleId="Piedepgina">
    <w:name w:val="footer"/>
    <w:basedOn w:val="Normal"/>
    <w:link w:val="PiedepginaCar"/>
    <w:uiPriority w:val="99"/>
    <w:unhideWhenUsed/>
    <w:rsid w:val="00A62288"/>
    <w:pPr>
      <w:tabs>
        <w:tab w:val="center" w:pos="4703"/>
        <w:tab w:val="right" w:pos="9406"/>
      </w:tabs>
      <w:spacing w:after="0" w:line="240" w:lineRule="auto"/>
    </w:pPr>
  </w:style>
  <w:style w:type="character" w:customStyle="1" w:styleId="PiedepginaCar">
    <w:name w:val="Pie de página Car"/>
    <w:basedOn w:val="Fuentedeprrafopredeter"/>
    <w:link w:val="Piedepgina"/>
    <w:uiPriority w:val="99"/>
    <w:rsid w:val="00A62288"/>
    <w:rPr>
      <w:rFonts w:eastAsiaTheme="minorHAnsi"/>
      <w:lang w:eastAsia="en-US"/>
    </w:rPr>
  </w:style>
  <w:style w:type="character" w:styleId="Refdecomentario">
    <w:name w:val="annotation reference"/>
    <w:basedOn w:val="Fuentedeprrafopredeter"/>
    <w:uiPriority w:val="99"/>
    <w:semiHidden/>
    <w:unhideWhenUsed/>
    <w:rsid w:val="00A62288"/>
    <w:rPr>
      <w:sz w:val="16"/>
      <w:szCs w:val="16"/>
    </w:rPr>
  </w:style>
  <w:style w:type="paragraph" w:styleId="Textocomentario">
    <w:name w:val="annotation text"/>
    <w:basedOn w:val="Normal"/>
    <w:link w:val="TextocomentarioCar"/>
    <w:uiPriority w:val="99"/>
    <w:semiHidden/>
    <w:unhideWhenUsed/>
    <w:rsid w:val="00A622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2288"/>
    <w:rPr>
      <w:rFonts w:eastAsiaTheme="minorHAnsi"/>
      <w:sz w:val="20"/>
      <w:szCs w:val="20"/>
      <w:lang w:eastAsia="en-US"/>
    </w:rPr>
  </w:style>
  <w:style w:type="paragraph" w:styleId="Textodeglobo">
    <w:name w:val="Balloon Text"/>
    <w:basedOn w:val="Normal"/>
    <w:link w:val="TextodegloboCar"/>
    <w:uiPriority w:val="99"/>
    <w:semiHidden/>
    <w:unhideWhenUsed/>
    <w:rsid w:val="00A622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2288"/>
    <w:rPr>
      <w:rFonts w:ascii="Segoe UI" w:eastAsiaTheme="minorHAnsi" w:hAnsi="Segoe UI" w:cs="Segoe UI"/>
      <w:sz w:val="18"/>
      <w:szCs w:val="18"/>
      <w:lang w:eastAsia="en-US"/>
    </w:rPr>
  </w:style>
  <w:style w:type="paragraph" w:styleId="Asuntodelcomentario">
    <w:name w:val="annotation subject"/>
    <w:basedOn w:val="Textocomentario"/>
    <w:next w:val="Textocomentario"/>
    <w:link w:val="AsuntodelcomentarioCar"/>
    <w:uiPriority w:val="99"/>
    <w:semiHidden/>
    <w:unhideWhenUsed/>
    <w:rsid w:val="00577B72"/>
    <w:rPr>
      <w:b/>
      <w:bCs/>
    </w:rPr>
  </w:style>
  <w:style w:type="character" w:customStyle="1" w:styleId="AsuntodelcomentarioCar">
    <w:name w:val="Asunto del comentario Car"/>
    <w:basedOn w:val="TextocomentarioCar"/>
    <w:link w:val="Asuntodelcomentario"/>
    <w:uiPriority w:val="99"/>
    <w:semiHidden/>
    <w:rsid w:val="00577B72"/>
    <w:rPr>
      <w:rFonts w:eastAsiaTheme="minorHAnsi"/>
      <w:b/>
      <w:bCs/>
      <w:sz w:val="20"/>
      <w:szCs w:val="20"/>
      <w:lang w:eastAsia="en-US"/>
    </w:rPr>
  </w:style>
  <w:style w:type="paragraph" w:customStyle="1" w:styleId="b">
    <w:name w:val="(b)"/>
    <w:basedOn w:val="Normal"/>
    <w:link w:val="bCar"/>
    <w:rsid w:val="005C5EDA"/>
    <w:pPr>
      <w:tabs>
        <w:tab w:val="left" w:pos="-737"/>
        <w:tab w:val="left" w:pos="1134"/>
      </w:tabs>
      <w:snapToGrid w:val="0"/>
      <w:spacing w:after="240" w:line="240" w:lineRule="auto"/>
      <w:ind w:left="1134" w:hanging="567"/>
      <w:jc w:val="both"/>
    </w:pPr>
    <w:rPr>
      <w:rFonts w:ascii="Arial" w:eastAsiaTheme="minorEastAsia" w:hAnsi="Arial" w:cs="Times New Roman"/>
      <w:snapToGrid w:val="0"/>
      <w:szCs w:val="24"/>
      <w:lang w:val="en-GB"/>
    </w:rPr>
  </w:style>
  <w:style w:type="character" w:customStyle="1" w:styleId="bCar">
    <w:name w:val="(b) Car"/>
    <w:link w:val="b"/>
    <w:locked/>
    <w:rsid w:val="005C5EDA"/>
    <w:rPr>
      <w:rFonts w:ascii="Arial" w:hAnsi="Arial" w:cs="Times New Roman"/>
      <w:snapToGrid w:val="0"/>
      <w:szCs w:val="24"/>
      <w:lang w:val="en-GB" w:eastAsia="en-US"/>
    </w:rPr>
  </w:style>
  <w:style w:type="paragraph" w:customStyle="1" w:styleId="Marge">
    <w:name w:val="Marge"/>
    <w:basedOn w:val="Normal"/>
    <w:link w:val="MargeCar"/>
    <w:rsid w:val="00313A3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ar">
    <w:name w:val="Marge Car"/>
    <w:link w:val="Marge"/>
    <w:rsid w:val="00313A39"/>
    <w:rPr>
      <w:rFonts w:ascii="Arial" w:eastAsia="Times New Roman" w:hAnsi="Arial" w:cs="Times New Roman"/>
      <w:snapToGrid w:val="0"/>
      <w:szCs w:val="24"/>
      <w:lang w:eastAsia="en-US"/>
    </w:rPr>
  </w:style>
  <w:style w:type="paragraph" w:customStyle="1" w:styleId="ENTCG">
    <w:name w:val="ENTCG"/>
    <w:basedOn w:val="Normal"/>
    <w:rsid w:val="00313A39"/>
    <w:pPr>
      <w:tabs>
        <w:tab w:val="left" w:pos="567"/>
      </w:tabs>
      <w:snapToGrid w:val="0"/>
      <w:spacing w:after="0" w:line="240" w:lineRule="auto"/>
    </w:pPr>
    <w:rPr>
      <w:rFonts w:ascii="Times New Roman" w:eastAsia="SimSun" w:hAnsi="Times New Roman" w:cs="Times New Roman"/>
      <w:snapToGrid w:val="0"/>
      <w:sz w:val="34"/>
      <w:szCs w:val="20"/>
      <w:lang w:eastAsia="zh-CN"/>
    </w:rPr>
  </w:style>
  <w:style w:type="table" w:styleId="Tablaconcuadrcula">
    <w:name w:val="Table Grid"/>
    <w:basedOn w:val="Tablanormal"/>
    <w:rsid w:val="007C13A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Resumen">
    <w:name w:val="Texto_Resumen"/>
    <w:basedOn w:val="Normal"/>
    <w:qFormat/>
    <w:rsid w:val="007C13AF"/>
    <w:pPr>
      <w:keepNext/>
      <w:tabs>
        <w:tab w:val="left" w:pos="567"/>
      </w:tabs>
      <w:snapToGrid w:val="0"/>
      <w:spacing w:before="240" w:after="240" w:line="240" w:lineRule="auto"/>
      <w:jc w:val="both"/>
    </w:pPr>
    <w:rPr>
      <w:rFonts w:ascii="Arial" w:eastAsia="Times New Roman" w:hAnsi="Arial" w:cs="Times New Roman"/>
      <w:snapToGrid w:val="0"/>
      <w:szCs w:val="24"/>
      <w:lang w:val="es-ES"/>
    </w:rPr>
  </w:style>
  <w:style w:type="character" w:customStyle="1" w:styleId="MargeChar">
    <w:name w:val="Marge Char"/>
    <w:rsid w:val="007C13AF"/>
    <w:rPr>
      <w:rFonts w:ascii="Arial" w:hAnsi="Arial"/>
      <w:snapToGrid w:val="0"/>
      <w:sz w:val="22"/>
      <w:szCs w:val="24"/>
      <w:lang w:val="es-ES_tradnl" w:eastAsia="zh-CN"/>
    </w:rPr>
  </w:style>
  <w:style w:type="paragraph" w:customStyle="1" w:styleId="Ttulo10">
    <w:name w:val="Título1"/>
    <w:basedOn w:val="Normal"/>
    <w:qFormat/>
    <w:rsid w:val="007C13AF"/>
    <w:pPr>
      <w:tabs>
        <w:tab w:val="left" w:pos="567"/>
      </w:tabs>
      <w:snapToGrid w:val="0"/>
      <w:spacing w:before="240" w:after="240" w:line="240" w:lineRule="auto"/>
      <w:jc w:val="center"/>
    </w:pPr>
    <w:rPr>
      <w:rFonts w:ascii="Arial" w:eastAsia="SimSun" w:hAnsi="Arial" w:cs="Times New Roman"/>
      <w:b/>
      <w:bCs/>
      <w:caps/>
      <w:snapToGrid w:val="0"/>
      <w:szCs w:val="24"/>
      <w:lang w:val="es-ES" w:eastAsia="zh-CN"/>
    </w:rPr>
  </w:style>
  <w:style w:type="paragraph" w:styleId="Revisin">
    <w:name w:val="Revision"/>
    <w:hidden/>
    <w:uiPriority w:val="99"/>
    <w:semiHidden/>
    <w:rsid w:val="00606E41"/>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spanish\Pool\IOC\ASSEMBLEE\32a\.Modelo%20IOC-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33D6-CB5D-49D0-9D66-2427DAAC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IOC-32.dotx</Template>
  <TotalTime>8</TotalTime>
  <Pages>8</Pages>
  <Words>3733</Words>
  <Characters>20536</Characters>
  <Application>Microsoft Office Word</Application>
  <DocSecurity>0</DocSecurity>
  <Lines>171</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32ª reunión de la Asamblea de la COI_x000d_
Información sobre la ejecución del Decenio de las Naciones Unidas de las Ciencias Oceánicas para el Desarrollo Sostenible y perspectivas para 2024</vt:lpstr>
      <vt:lpstr>32ª reunión de la Asamblea de la COI</vt:lpstr>
    </vt:vector>
  </TitlesOfParts>
  <Company>UNESCO</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32ª reunión de la Asamblea de la COI_x000d_
Información sobre la ejecución del Decenio de las Naciones Unidas de las Ciencias Oceánicas para el Desarrollo Sostenible y perspectivas para 2024</dc:title>
  <dc:subject>IOC/A-32/4.12.DOC(1)</dc:subject>
  <dc:creator>Burgos Pratx, Juan Pablo</dc:creator>
  <cp:keywords>4.12.Doc(1)</cp:keywords>
  <dc:description/>
  <cp:lastModifiedBy>Burgos Pratx, Juan Pablo</cp:lastModifiedBy>
  <cp:revision>2</cp:revision>
  <cp:lastPrinted>2019-10-31T08:57:00Z</cp:lastPrinted>
  <dcterms:created xsi:type="dcterms:W3CDTF">2023-06-16T13:27:00Z</dcterms:created>
  <dcterms:modified xsi:type="dcterms:W3CDTF">2023-06-16T13:27:00Z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202301788</vt:lpwstr>
  </property>
  <property fmtid="{D5CDD505-2E9C-101B-9397-08002B2CF9AE}" pid="3" name="Language">
    <vt:lpwstr>S</vt:lpwstr>
  </property>
</Properties>
</file>