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395C" w14:textId="64AB77F4" w:rsidR="00AA5F8E" w:rsidRDefault="00502140" w:rsidP="00B96458">
      <w:pPr>
        <w:pStyle w:val="BodyTextIndent3"/>
        <w:ind w:left="0" w:right="-261" w:firstLine="3600"/>
        <w:jc w:val="both"/>
        <w:rPr>
          <w:rFonts w:ascii="Arial" w:hAnsi="Arial" w:cs="Arial"/>
          <w:b/>
          <w:szCs w:val="22"/>
          <w:lang w:val="it-IT"/>
        </w:rPr>
      </w:pPr>
      <w:r w:rsidRPr="002C20F3">
        <w:rPr>
          <w:rFonts w:ascii="Arial" w:hAnsi="Arial" w:cs="Arial"/>
          <w:b/>
          <w:szCs w:val="22"/>
          <w:lang w:val="it-IT"/>
        </w:rPr>
        <w:tab/>
      </w:r>
    </w:p>
    <w:p w14:paraId="58276856" w14:textId="77777777" w:rsidR="00050737" w:rsidRPr="00050737" w:rsidRDefault="00050737" w:rsidP="00050737">
      <w:pPr>
        <w:pStyle w:val="Footer"/>
        <w:jc w:val="center"/>
        <w:rPr>
          <w:rFonts w:ascii="Arial" w:hAnsi="Arial" w:cs="Arial"/>
          <w:b/>
          <w:bCs/>
          <w:sz w:val="22"/>
          <w:szCs w:val="22"/>
          <w:lang w:val="es-ES"/>
        </w:rPr>
      </w:pPr>
      <w:r w:rsidRPr="00050737">
        <w:rPr>
          <w:rFonts w:ascii="Arial" w:hAnsi="Arial" w:cs="Arial"/>
          <w:b/>
          <w:bCs/>
          <w:sz w:val="22"/>
          <w:szCs w:val="22"/>
          <w:lang w:val="es-ES"/>
        </w:rPr>
        <w:t>COMISIÓN OCEANOGRÁFICA INTERGUBERNAMENTAL</w:t>
      </w:r>
    </w:p>
    <w:p w14:paraId="3FAF8B88" w14:textId="44189B34" w:rsidR="008D23A7" w:rsidRPr="00050737" w:rsidRDefault="00050737" w:rsidP="00050737">
      <w:pPr>
        <w:pStyle w:val="Footer"/>
        <w:tabs>
          <w:tab w:val="clear" w:pos="4153"/>
          <w:tab w:val="clear" w:pos="8306"/>
        </w:tabs>
        <w:jc w:val="center"/>
        <w:rPr>
          <w:rFonts w:ascii="Arial" w:hAnsi="Arial" w:cs="Arial"/>
          <w:sz w:val="22"/>
          <w:szCs w:val="22"/>
          <w:lang w:val="es-ES"/>
        </w:rPr>
      </w:pPr>
      <w:r w:rsidRPr="00050737">
        <w:rPr>
          <w:rFonts w:ascii="Arial" w:hAnsi="Arial" w:cs="Arial"/>
          <w:sz w:val="22"/>
          <w:szCs w:val="22"/>
          <w:lang w:val="es-ES"/>
        </w:rPr>
        <w:t>(de la UNESCO)</w:t>
      </w:r>
    </w:p>
    <w:p w14:paraId="4C88C842" w14:textId="77777777" w:rsidR="008D23A7" w:rsidRPr="00050737" w:rsidRDefault="008D23A7" w:rsidP="00E4633C">
      <w:pPr>
        <w:pStyle w:val="Footer"/>
        <w:tabs>
          <w:tab w:val="clear" w:pos="4153"/>
          <w:tab w:val="clear" w:pos="8306"/>
          <w:tab w:val="left" w:pos="5245"/>
        </w:tabs>
        <w:jc w:val="center"/>
        <w:rPr>
          <w:rFonts w:ascii="Arial" w:hAnsi="Arial" w:cs="Arial"/>
          <w:sz w:val="22"/>
          <w:szCs w:val="22"/>
          <w:lang w:val="es-ES"/>
        </w:rPr>
      </w:pPr>
    </w:p>
    <w:p w14:paraId="36775C60" w14:textId="77777777" w:rsidR="003B7C02" w:rsidRPr="00050737" w:rsidRDefault="003B7C02" w:rsidP="00E4633C">
      <w:pPr>
        <w:pStyle w:val="Footer"/>
        <w:tabs>
          <w:tab w:val="clear" w:pos="4153"/>
          <w:tab w:val="clear" w:pos="8306"/>
          <w:tab w:val="left" w:pos="5245"/>
        </w:tabs>
        <w:jc w:val="center"/>
        <w:rPr>
          <w:rFonts w:ascii="Arial" w:hAnsi="Arial" w:cs="Arial"/>
          <w:sz w:val="22"/>
          <w:szCs w:val="22"/>
          <w:lang w:val="es-ES"/>
        </w:rPr>
      </w:pPr>
    </w:p>
    <w:p w14:paraId="1C1FA4E5" w14:textId="6F32E952" w:rsidR="008D23A7" w:rsidRPr="00050737" w:rsidRDefault="0028461B" w:rsidP="0028461B">
      <w:pPr>
        <w:pStyle w:val="Footer"/>
        <w:jc w:val="center"/>
        <w:rPr>
          <w:rFonts w:ascii="Arial" w:hAnsi="Arial" w:cs="Arial"/>
          <w:b/>
          <w:sz w:val="22"/>
          <w:szCs w:val="22"/>
          <w:lang w:val="es-ES"/>
        </w:rPr>
      </w:pPr>
      <w:r w:rsidRPr="0028461B">
        <w:rPr>
          <w:rFonts w:ascii="Arial" w:hAnsi="Arial" w:cs="Arial"/>
          <w:b/>
          <w:bCs/>
          <w:sz w:val="22"/>
          <w:szCs w:val="22"/>
          <w:lang w:val="es-ES"/>
        </w:rPr>
        <w:t>13ª REUNIÓN DEL GRUPO INTERGUBERNAMENTAL DE COORDINACIÓN</w:t>
      </w:r>
      <w:r>
        <w:rPr>
          <w:rFonts w:ascii="Arial" w:hAnsi="Arial" w:cs="Arial"/>
          <w:b/>
          <w:bCs/>
          <w:sz w:val="22"/>
          <w:szCs w:val="22"/>
          <w:lang w:val="es-ES"/>
        </w:rPr>
        <w:br/>
      </w:r>
      <w:r w:rsidRPr="0028461B">
        <w:rPr>
          <w:rFonts w:ascii="Arial" w:hAnsi="Arial" w:cs="Arial"/>
          <w:b/>
          <w:bCs/>
          <w:sz w:val="22"/>
          <w:szCs w:val="22"/>
          <w:lang w:val="es-ES"/>
        </w:rPr>
        <w:t>DEL SISTEMA DE ALERTA CONTRA LOS TSUNAMIS Y ATENUACIÓN DE SUS EFECTOS EN</w:t>
      </w:r>
      <w:r>
        <w:rPr>
          <w:rFonts w:ascii="Arial" w:hAnsi="Arial" w:cs="Arial"/>
          <w:b/>
          <w:bCs/>
          <w:sz w:val="22"/>
          <w:szCs w:val="22"/>
          <w:lang w:val="es-ES"/>
        </w:rPr>
        <w:br/>
      </w:r>
      <w:r w:rsidRPr="0028461B">
        <w:rPr>
          <w:rFonts w:ascii="Arial" w:hAnsi="Arial" w:cs="Arial"/>
          <w:b/>
          <w:bCs/>
          <w:sz w:val="22"/>
          <w:szCs w:val="22"/>
          <w:lang w:val="es-ES"/>
        </w:rPr>
        <w:t>EL OCÉANO ÍNDICO</w:t>
      </w:r>
    </w:p>
    <w:p w14:paraId="0505ACC0" w14:textId="77777777" w:rsidR="008D23A7" w:rsidRPr="00050737" w:rsidRDefault="008D23A7" w:rsidP="00E4633C">
      <w:pPr>
        <w:pStyle w:val="Footer"/>
        <w:tabs>
          <w:tab w:val="clear" w:pos="4153"/>
          <w:tab w:val="clear" w:pos="8306"/>
        </w:tabs>
        <w:jc w:val="center"/>
        <w:rPr>
          <w:rFonts w:ascii="Arial" w:hAnsi="Arial" w:cs="Arial"/>
          <w:sz w:val="22"/>
          <w:szCs w:val="22"/>
          <w:lang w:val="es-ES"/>
        </w:rPr>
      </w:pPr>
    </w:p>
    <w:p w14:paraId="45C10722" w14:textId="42A7BD6C" w:rsidR="008D23A7" w:rsidRDefault="0028461B" w:rsidP="0028461B">
      <w:pPr>
        <w:pStyle w:val="Footer"/>
        <w:jc w:val="center"/>
        <w:rPr>
          <w:rFonts w:ascii="Arial" w:hAnsi="Arial" w:cs="Arial"/>
          <w:sz w:val="22"/>
          <w:szCs w:val="22"/>
          <w:lang w:val="es-ES"/>
        </w:rPr>
      </w:pPr>
      <w:r w:rsidRPr="0028461B">
        <w:rPr>
          <w:rFonts w:ascii="Arial" w:hAnsi="Arial" w:cs="Arial"/>
          <w:sz w:val="22"/>
          <w:szCs w:val="22"/>
          <w:lang w:val="es-ES"/>
        </w:rPr>
        <w:t>Bali (Indonesia)</w:t>
      </w:r>
    </w:p>
    <w:p w14:paraId="353445D3" w14:textId="77777777" w:rsidR="0028461B" w:rsidRPr="00050737" w:rsidRDefault="0028461B" w:rsidP="0028461B">
      <w:pPr>
        <w:pStyle w:val="Footer"/>
        <w:jc w:val="center"/>
        <w:rPr>
          <w:rFonts w:ascii="Arial" w:hAnsi="Arial" w:cs="Arial"/>
          <w:sz w:val="22"/>
          <w:szCs w:val="22"/>
          <w:lang w:val="es-ES"/>
        </w:rPr>
      </w:pPr>
    </w:p>
    <w:p w14:paraId="193B84D6" w14:textId="59E492E5" w:rsidR="008D23A7" w:rsidRPr="00D46FF6" w:rsidRDefault="0028461B" w:rsidP="0028461B">
      <w:pPr>
        <w:pStyle w:val="Footer"/>
        <w:jc w:val="center"/>
        <w:rPr>
          <w:rFonts w:ascii="Arial" w:hAnsi="Arial" w:cs="Arial"/>
          <w:bCs/>
          <w:sz w:val="22"/>
          <w:szCs w:val="22"/>
          <w:lang w:val="es-ES"/>
        </w:rPr>
      </w:pPr>
      <w:r w:rsidRPr="0028461B">
        <w:rPr>
          <w:rFonts w:ascii="Arial" w:hAnsi="Arial" w:cs="Arial"/>
          <w:bCs/>
          <w:sz w:val="22"/>
          <w:szCs w:val="22"/>
          <w:lang w:val="es-ES"/>
        </w:rPr>
        <w:t>28 de noviembre-1 de diciembre de 2022</w:t>
      </w:r>
    </w:p>
    <w:p w14:paraId="1B63C549" w14:textId="77777777" w:rsidR="0089672B" w:rsidRDefault="0089672B" w:rsidP="00E4633C">
      <w:pPr>
        <w:pStyle w:val="Footer"/>
        <w:jc w:val="center"/>
        <w:rPr>
          <w:rFonts w:ascii="Arial" w:hAnsi="Arial" w:cs="Arial"/>
          <w:bCs/>
          <w:sz w:val="22"/>
          <w:szCs w:val="22"/>
          <w:lang w:val="es-ES"/>
        </w:rPr>
      </w:pPr>
    </w:p>
    <w:p w14:paraId="4D01FC82" w14:textId="77777777" w:rsidR="003D36F0" w:rsidRPr="00D46FF6" w:rsidRDefault="003D36F0" w:rsidP="00E4633C">
      <w:pPr>
        <w:pStyle w:val="Footer"/>
        <w:jc w:val="center"/>
        <w:rPr>
          <w:rFonts w:ascii="Arial" w:hAnsi="Arial" w:cs="Arial"/>
          <w:bCs/>
          <w:sz w:val="22"/>
          <w:szCs w:val="22"/>
          <w:lang w:val="es-ES"/>
        </w:rPr>
      </w:pPr>
    </w:p>
    <w:p w14:paraId="5D943631" w14:textId="3935C7C8" w:rsidR="003B7C02" w:rsidRPr="00D46FF6" w:rsidRDefault="004D79DE" w:rsidP="00667EEC">
      <w:pPr>
        <w:pStyle w:val="Footer"/>
        <w:tabs>
          <w:tab w:val="clear" w:pos="4153"/>
          <w:tab w:val="clear" w:pos="8306"/>
        </w:tabs>
        <w:spacing w:after="240"/>
        <w:jc w:val="both"/>
        <w:rPr>
          <w:rFonts w:ascii="Arial" w:hAnsi="Arial" w:cs="Arial"/>
          <w:b/>
          <w:bCs/>
          <w:sz w:val="22"/>
          <w:szCs w:val="22"/>
          <w:lang w:val="es-ES"/>
        </w:rPr>
      </w:pPr>
      <w:r>
        <w:rPr>
          <w:noProof/>
        </w:rPr>
        <mc:AlternateContent>
          <mc:Choice Requires="wps">
            <w:drawing>
              <wp:anchor distT="45720" distB="45720" distL="114300" distR="114300" simplePos="0" relativeHeight="251658752" behindDoc="0" locked="0" layoutInCell="1" allowOverlap="1" wp14:anchorId="7136F3AC" wp14:editId="0CD096CC">
                <wp:simplePos x="0" y="0"/>
                <wp:positionH relativeFrom="column">
                  <wp:posOffset>581660</wp:posOffset>
                </wp:positionH>
                <wp:positionV relativeFrom="paragraph">
                  <wp:posOffset>46355</wp:posOffset>
                </wp:positionV>
                <wp:extent cx="4986655" cy="2241550"/>
                <wp:effectExtent l="0" t="0" r="4445"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41550"/>
                        </a:xfrm>
                        <a:prstGeom prst="rect">
                          <a:avLst/>
                        </a:prstGeom>
                        <a:solidFill>
                          <a:srgbClr val="FFFFFF"/>
                        </a:solidFill>
                        <a:ln w="9525">
                          <a:solidFill>
                            <a:srgbClr val="000000"/>
                          </a:solidFill>
                          <a:miter lim="800000"/>
                          <a:headEnd/>
                          <a:tailEnd/>
                        </a:ln>
                      </wps:spPr>
                      <wps:txbx>
                        <w:txbxContent>
                          <w:p w14:paraId="1E9DABC4" w14:textId="0EB56ECC" w:rsidR="00780A7E" w:rsidRPr="00050737" w:rsidRDefault="00F15E7D" w:rsidP="00050737">
                            <w:pPr>
                              <w:pStyle w:val="Footer"/>
                              <w:tabs>
                                <w:tab w:val="clear" w:pos="4153"/>
                                <w:tab w:val="clear" w:pos="8306"/>
                              </w:tabs>
                              <w:spacing w:after="240"/>
                              <w:jc w:val="center"/>
                              <w:rPr>
                                <w:rFonts w:ascii="Arial" w:hAnsi="Arial" w:cs="Arial"/>
                                <w:b/>
                                <w:bCs/>
                                <w:sz w:val="22"/>
                                <w:szCs w:val="22"/>
                                <w:lang w:val="es-ES"/>
                              </w:rPr>
                            </w:pPr>
                            <w:r>
                              <w:rPr>
                                <w:rFonts w:ascii="Arial" w:hAnsi="Arial" w:cs="Arial"/>
                                <w:b/>
                                <w:bCs/>
                                <w:sz w:val="22"/>
                                <w:szCs w:val="22"/>
                                <w:lang w:val="es-ES"/>
                              </w:rPr>
                              <w:t>R</w:t>
                            </w:r>
                            <w:r w:rsidRPr="00050737">
                              <w:rPr>
                                <w:rFonts w:ascii="Arial" w:hAnsi="Arial" w:cs="Arial"/>
                                <w:b/>
                                <w:bCs/>
                                <w:sz w:val="22"/>
                                <w:szCs w:val="22"/>
                                <w:lang w:val="es-ES"/>
                              </w:rPr>
                              <w:t>esumen</w:t>
                            </w:r>
                            <w:r>
                              <w:rPr>
                                <w:rFonts w:ascii="Arial" w:hAnsi="Arial" w:cs="Arial"/>
                                <w:b/>
                                <w:bCs/>
                                <w:sz w:val="22"/>
                                <w:szCs w:val="22"/>
                                <w:lang w:val="es-ES"/>
                              </w:rPr>
                              <w:t xml:space="preserve"> dispositivo</w:t>
                            </w:r>
                          </w:p>
                          <w:p w14:paraId="58CCC0B0" w14:textId="77777777" w:rsidR="00D235B8" w:rsidRPr="00D235B8" w:rsidRDefault="00D235B8" w:rsidP="00D235B8">
                            <w:pPr>
                              <w:spacing w:after="200" w:line="239" w:lineRule="auto"/>
                              <w:ind w:left="142" w:right="47"/>
                              <w:jc w:val="both"/>
                              <w:rPr>
                                <w:rFonts w:ascii="Arial" w:hAnsi="Arial" w:cs="Arial"/>
                                <w:sz w:val="22"/>
                                <w:szCs w:val="22"/>
                                <w:lang w:val="es-ES"/>
                              </w:rPr>
                            </w:pPr>
                            <w:r w:rsidRPr="00D235B8">
                              <w:rPr>
                                <w:rFonts w:ascii="Arial" w:hAnsi="Arial" w:cs="Arial"/>
                                <w:sz w:val="22"/>
                                <w:szCs w:val="22"/>
                                <w:lang w:val="es-ES"/>
                              </w:rPr>
                              <w:t>De conformidad con el artículo 48.3 del Reglamento de los principales órganos subsidiarios de la Comisión, el Grupo Intergubernamental de Coordinación del Sistema de Alerta contra los Tsunamis y Atenuación de sus Efectos en el Océano Índico debe presentar informes de sus reuniones a un órgano rector.</w:t>
                            </w:r>
                          </w:p>
                          <w:p w14:paraId="31570546" w14:textId="4208F282" w:rsidR="003D36F0" w:rsidRPr="00050737" w:rsidRDefault="00D235B8" w:rsidP="00D235B8">
                            <w:pPr>
                              <w:pStyle w:val="BodyText"/>
                              <w:spacing w:after="200" w:line="239" w:lineRule="auto"/>
                              <w:ind w:left="142" w:right="47"/>
                              <w:jc w:val="both"/>
                              <w:rPr>
                                <w:rFonts w:ascii="Arial" w:hAnsi="Arial" w:cs="Arial"/>
                                <w:sz w:val="22"/>
                                <w:szCs w:val="22"/>
                                <w:lang w:val="es-ES"/>
                              </w:rPr>
                            </w:pPr>
                            <w:r w:rsidRPr="00D235B8">
                              <w:rPr>
                                <w:rFonts w:ascii="Arial" w:hAnsi="Arial" w:cs="Arial"/>
                                <w:sz w:val="22"/>
                                <w:szCs w:val="22"/>
                                <w:lang w:val="es-ES"/>
                              </w:rPr>
                              <w:t>Se invitará a la Asamblea de la COI, en su 32ª reunión, a examinar el presente resumen dispositivo. Para obtener información más detallada sobre la 13</w:t>
                            </w:r>
                            <w:r w:rsidRPr="00D235B8">
                              <w:rPr>
                                <w:rFonts w:ascii="Arial" w:hAnsi="Arial" w:cs="Arial"/>
                                <w:sz w:val="22"/>
                                <w:szCs w:val="22"/>
                                <w:vertAlign w:val="superscript"/>
                                <w:lang w:val="es-ES"/>
                              </w:rPr>
                              <w:t>a</w:t>
                            </w:r>
                            <w:r w:rsidRPr="00D235B8">
                              <w:rPr>
                                <w:rFonts w:ascii="Arial" w:hAnsi="Arial" w:cs="Arial"/>
                                <w:sz w:val="22"/>
                                <w:szCs w:val="22"/>
                                <w:lang w:val="es-ES"/>
                              </w:rPr>
                              <w:t xml:space="preserve"> reunión del ICG/IOTWMS, consulte su sitio web en el enlace siguiente: </w:t>
                            </w:r>
                            <w:hyperlink r:id="rId11" w:history="1">
                              <w:r w:rsidRPr="00D235B8">
                                <w:rPr>
                                  <w:rFonts w:ascii="Arial" w:hAnsi="Arial" w:cs="Arial"/>
                                  <w:color w:val="0000FF"/>
                                  <w:sz w:val="22"/>
                                  <w:szCs w:val="22"/>
                                  <w:u w:val="single"/>
                                  <w:lang w:val="es-ES"/>
                                </w:rPr>
                                <w:t>https://oceanexpert.org/event/3672</w:t>
                              </w:r>
                            </w:hyperlink>
                            <w:r w:rsidRPr="00D235B8">
                              <w:rPr>
                                <w:rFonts w:ascii="Arial" w:hAnsi="Arial" w:cs="Arial"/>
                                <w:sz w:val="22"/>
                                <w:szCs w:val="22"/>
                                <w:lang w:val="es-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6F3AC" id="_x0000_t202" coordsize="21600,21600" o:spt="202" path="m,l,21600r21600,l21600,xe">
                <v:stroke joinstyle="miter"/>
                <v:path gradientshapeok="t" o:connecttype="rect"/>
              </v:shapetype>
              <v:shape id="Text Box 1" o:spid="_x0000_s1026" type="#_x0000_t202" style="position:absolute;left:0;text-align:left;margin-left:45.8pt;margin-top:3.65pt;width:392.65pt;height:17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">
                <v:textbox style="mso-fit-shape-to-text:t">
                  <w:txbxContent>
                    <w:p w14:paraId="1E9DABC4" w14:textId="0EB56ECC" w:rsidR="00780A7E" w:rsidRPr="00050737" w:rsidRDefault="00F15E7D" w:rsidP="00050737">
                      <w:pPr>
                        <w:pStyle w:val="Footer"/>
                        <w:tabs>
                          <w:tab w:val="clear" w:pos="4153"/>
                          <w:tab w:val="clear" w:pos="8306"/>
                        </w:tabs>
                        <w:spacing w:after="240"/>
                        <w:jc w:val="center"/>
                        <w:rPr>
                          <w:rFonts w:ascii="Arial" w:hAnsi="Arial" w:cs="Arial"/>
                          <w:b/>
                          <w:bCs/>
                          <w:sz w:val="22"/>
                          <w:szCs w:val="22"/>
                          <w:lang w:val="es-ES"/>
                        </w:rPr>
                      </w:pPr>
                      <w:r>
                        <w:rPr>
                          <w:rFonts w:ascii="Arial" w:hAnsi="Arial" w:cs="Arial"/>
                          <w:b/>
                          <w:bCs/>
                          <w:sz w:val="22"/>
                          <w:szCs w:val="22"/>
                          <w:lang w:val="es-ES"/>
                        </w:rPr>
                        <w:t>R</w:t>
                      </w:r>
                      <w:r w:rsidRPr="00050737">
                        <w:rPr>
                          <w:rFonts w:ascii="Arial" w:hAnsi="Arial" w:cs="Arial"/>
                          <w:b/>
                          <w:bCs/>
                          <w:sz w:val="22"/>
                          <w:szCs w:val="22"/>
                          <w:lang w:val="es-ES"/>
                        </w:rPr>
                        <w:t>esumen</w:t>
                      </w:r>
                      <w:r>
                        <w:rPr>
                          <w:rFonts w:ascii="Arial" w:hAnsi="Arial" w:cs="Arial"/>
                          <w:b/>
                          <w:bCs/>
                          <w:sz w:val="22"/>
                          <w:szCs w:val="22"/>
                          <w:lang w:val="es-ES"/>
                        </w:rPr>
                        <w:t xml:space="preserve"> dispositivo</w:t>
                      </w:r>
                    </w:p>
                    <w:p w14:paraId="58CCC0B0" w14:textId="77777777" w:rsidR="00D235B8" w:rsidRPr="00D235B8" w:rsidRDefault="00D235B8" w:rsidP="00D235B8">
                      <w:pPr>
                        <w:spacing w:after="200" w:line="239" w:lineRule="auto"/>
                        <w:ind w:left="142" w:right="47"/>
                        <w:jc w:val="both"/>
                        <w:rPr>
                          <w:rFonts w:ascii="Arial" w:hAnsi="Arial" w:cs="Arial"/>
                          <w:sz w:val="22"/>
                          <w:szCs w:val="22"/>
                          <w:lang w:val="es-ES"/>
                        </w:rPr>
                      </w:pPr>
                      <w:r w:rsidRPr="00D235B8">
                        <w:rPr>
                          <w:rFonts w:ascii="Arial" w:hAnsi="Arial" w:cs="Arial"/>
                          <w:sz w:val="22"/>
                          <w:szCs w:val="22"/>
                          <w:lang w:val="es-ES"/>
                        </w:rPr>
                        <w:t>De conformidad con el artículo 48.3 del Reglamento de los principales órganos subsidiarios de la Comisión, el Grupo Intergubernamental de Coordinación del Sistema de Alerta contra los Tsunamis y Atenuación de sus Efectos en el Océano Índico debe presentar informes de sus reuniones a un órgano rector.</w:t>
                      </w:r>
                    </w:p>
                    <w:p w14:paraId="31570546" w14:textId="4208F282" w:rsidR="003D36F0" w:rsidRPr="00050737" w:rsidRDefault="00D235B8" w:rsidP="00D235B8">
                      <w:pPr>
                        <w:pStyle w:val="BodyText"/>
                        <w:spacing w:after="200" w:line="239" w:lineRule="auto"/>
                        <w:ind w:left="142" w:right="47"/>
                        <w:jc w:val="both"/>
                        <w:rPr>
                          <w:rFonts w:ascii="Arial" w:hAnsi="Arial" w:cs="Arial"/>
                          <w:sz w:val="22"/>
                          <w:szCs w:val="22"/>
                          <w:lang w:val="es-ES"/>
                        </w:rPr>
                      </w:pPr>
                      <w:r w:rsidRPr="00D235B8">
                        <w:rPr>
                          <w:rFonts w:ascii="Arial" w:hAnsi="Arial" w:cs="Arial"/>
                          <w:sz w:val="22"/>
                          <w:szCs w:val="22"/>
                          <w:lang w:val="es-ES"/>
                        </w:rPr>
                        <w:t>Se invitará a la Asamblea de la COI, en su 32ª reunión, a examinar el presente resumen dispositivo. Para obtener información más detallada sobre la 13</w:t>
                      </w:r>
                      <w:r w:rsidRPr="00D235B8">
                        <w:rPr>
                          <w:rFonts w:ascii="Arial" w:hAnsi="Arial" w:cs="Arial"/>
                          <w:sz w:val="22"/>
                          <w:szCs w:val="22"/>
                          <w:vertAlign w:val="superscript"/>
                          <w:lang w:val="es-ES"/>
                        </w:rPr>
                        <w:t>a</w:t>
                      </w:r>
                      <w:r w:rsidRPr="00D235B8">
                        <w:rPr>
                          <w:rFonts w:ascii="Arial" w:hAnsi="Arial" w:cs="Arial"/>
                          <w:sz w:val="22"/>
                          <w:szCs w:val="22"/>
                          <w:lang w:val="es-ES"/>
                        </w:rPr>
                        <w:t xml:space="preserve"> reunión del ICG/IOTWMS, consulte su sitio web en el enlace siguiente: </w:t>
                      </w:r>
                      <w:hyperlink r:id="rId12" w:history="1">
                        <w:r w:rsidRPr="00D235B8">
                          <w:rPr>
                            <w:rFonts w:ascii="Arial" w:hAnsi="Arial" w:cs="Arial"/>
                            <w:color w:val="0000FF"/>
                            <w:sz w:val="22"/>
                            <w:szCs w:val="22"/>
                            <w:u w:val="single"/>
                            <w:lang w:val="es-ES"/>
                          </w:rPr>
                          <w:t>https://oceanexpert.org/event/3672</w:t>
                        </w:r>
                      </w:hyperlink>
                      <w:r w:rsidRPr="00D235B8">
                        <w:rPr>
                          <w:rFonts w:ascii="Arial" w:hAnsi="Arial" w:cs="Arial"/>
                          <w:sz w:val="22"/>
                          <w:szCs w:val="22"/>
                          <w:lang w:val="es-ES"/>
                        </w:rPr>
                        <w:t>.</w:t>
                      </w:r>
                    </w:p>
                  </w:txbxContent>
                </v:textbox>
                <w10:wrap type="square"/>
              </v:shape>
            </w:pict>
          </mc:Fallback>
        </mc:AlternateContent>
      </w:r>
    </w:p>
    <w:p w14:paraId="19EFEA3E" w14:textId="77777777" w:rsidR="003B7C02" w:rsidRPr="00D46FF6" w:rsidRDefault="003B7C02" w:rsidP="00667EEC">
      <w:pPr>
        <w:pStyle w:val="Footer"/>
        <w:tabs>
          <w:tab w:val="clear" w:pos="4153"/>
          <w:tab w:val="clear" w:pos="8306"/>
        </w:tabs>
        <w:spacing w:after="240"/>
        <w:jc w:val="both"/>
        <w:rPr>
          <w:rFonts w:ascii="Arial" w:hAnsi="Arial" w:cs="Arial"/>
          <w:b/>
          <w:bCs/>
          <w:sz w:val="22"/>
          <w:szCs w:val="22"/>
          <w:lang w:val="es-ES"/>
        </w:rPr>
      </w:pPr>
    </w:p>
    <w:p w14:paraId="4A6B7FD3" w14:textId="77777777" w:rsidR="0002560F" w:rsidRPr="00D46FF6" w:rsidRDefault="0002560F" w:rsidP="00667EEC">
      <w:pPr>
        <w:pStyle w:val="Footer"/>
        <w:tabs>
          <w:tab w:val="clear" w:pos="4153"/>
          <w:tab w:val="clear" w:pos="8306"/>
        </w:tabs>
        <w:spacing w:after="240"/>
        <w:jc w:val="both"/>
        <w:rPr>
          <w:rFonts w:ascii="Arial" w:hAnsi="Arial" w:cs="Arial"/>
          <w:b/>
          <w:bCs/>
          <w:sz w:val="22"/>
          <w:szCs w:val="22"/>
          <w:lang w:val="es-ES"/>
        </w:rPr>
      </w:pPr>
    </w:p>
    <w:p w14:paraId="1913A1CA" w14:textId="77777777" w:rsidR="0002560F" w:rsidRPr="00D46FF6" w:rsidRDefault="0002560F" w:rsidP="00667EEC">
      <w:pPr>
        <w:pStyle w:val="Footer"/>
        <w:tabs>
          <w:tab w:val="clear" w:pos="4153"/>
          <w:tab w:val="clear" w:pos="8306"/>
        </w:tabs>
        <w:spacing w:after="240"/>
        <w:jc w:val="both"/>
        <w:rPr>
          <w:rFonts w:ascii="Arial" w:hAnsi="Arial" w:cs="Arial"/>
          <w:b/>
          <w:bCs/>
          <w:sz w:val="22"/>
          <w:szCs w:val="22"/>
          <w:lang w:val="es-ES"/>
        </w:rPr>
      </w:pPr>
    </w:p>
    <w:p w14:paraId="21327796" w14:textId="77777777" w:rsidR="0002560F" w:rsidRPr="00D46FF6" w:rsidRDefault="0002560F" w:rsidP="00667EEC">
      <w:pPr>
        <w:pStyle w:val="Footer"/>
        <w:tabs>
          <w:tab w:val="clear" w:pos="4153"/>
          <w:tab w:val="clear" w:pos="8306"/>
        </w:tabs>
        <w:spacing w:after="240"/>
        <w:jc w:val="both"/>
        <w:rPr>
          <w:rFonts w:ascii="Arial" w:hAnsi="Arial" w:cs="Arial"/>
          <w:b/>
          <w:bCs/>
          <w:sz w:val="22"/>
          <w:szCs w:val="22"/>
          <w:lang w:val="es-ES"/>
        </w:rPr>
      </w:pPr>
    </w:p>
    <w:p w14:paraId="2822679F" w14:textId="77777777" w:rsidR="0002560F" w:rsidRPr="00D46FF6" w:rsidRDefault="0002560F" w:rsidP="00667EEC">
      <w:pPr>
        <w:pStyle w:val="Footer"/>
        <w:tabs>
          <w:tab w:val="clear" w:pos="4153"/>
          <w:tab w:val="clear" w:pos="8306"/>
        </w:tabs>
        <w:spacing w:after="240"/>
        <w:jc w:val="both"/>
        <w:rPr>
          <w:rFonts w:ascii="Arial" w:hAnsi="Arial" w:cs="Arial"/>
          <w:b/>
          <w:bCs/>
          <w:sz w:val="22"/>
          <w:szCs w:val="22"/>
          <w:lang w:val="es-ES"/>
        </w:rPr>
      </w:pPr>
    </w:p>
    <w:p w14:paraId="4AEE0618" w14:textId="77777777" w:rsidR="0002560F" w:rsidRPr="00D46FF6" w:rsidRDefault="0002560F" w:rsidP="00667EEC">
      <w:pPr>
        <w:pStyle w:val="Footer"/>
        <w:tabs>
          <w:tab w:val="clear" w:pos="4153"/>
          <w:tab w:val="clear" w:pos="8306"/>
        </w:tabs>
        <w:spacing w:after="240"/>
        <w:jc w:val="both"/>
        <w:rPr>
          <w:rFonts w:ascii="Arial" w:hAnsi="Arial" w:cs="Arial"/>
          <w:b/>
          <w:bCs/>
          <w:sz w:val="22"/>
          <w:szCs w:val="22"/>
          <w:lang w:val="es-ES"/>
        </w:rPr>
      </w:pPr>
    </w:p>
    <w:p w14:paraId="286C9D90" w14:textId="77777777" w:rsidR="0002560F" w:rsidRDefault="0002560F" w:rsidP="00667EEC">
      <w:pPr>
        <w:pStyle w:val="Footer"/>
        <w:tabs>
          <w:tab w:val="clear" w:pos="4153"/>
          <w:tab w:val="clear" w:pos="8306"/>
        </w:tabs>
        <w:spacing w:after="240"/>
        <w:jc w:val="both"/>
        <w:rPr>
          <w:rFonts w:ascii="Arial" w:hAnsi="Arial" w:cs="Arial"/>
          <w:b/>
          <w:bCs/>
          <w:sz w:val="22"/>
          <w:szCs w:val="22"/>
          <w:lang w:val="es-ES"/>
        </w:rPr>
      </w:pPr>
    </w:p>
    <w:p w14:paraId="7D206965"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sz w:val="22"/>
          <w:szCs w:val="22"/>
          <w:lang w:val="es-ES_tradnl"/>
        </w:rPr>
      </w:pPr>
      <w:r w:rsidRPr="00A20F83">
        <w:rPr>
          <w:rFonts w:ascii="Arial" w:hAnsi="Arial" w:cs="Arial"/>
          <w:sz w:val="22"/>
          <w:szCs w:val="22"/>
          <w:lang w:val="es-ES_tradnl"/>
        </w:rPr>
        <w:t>La 13ª reunión del Grupo Intergubernamental de Coordinación del Sistema de Alerta contra los Tsunamis y Atenuación de sus Efectos en el Océano Índico (ICG/IOTWMS-XIII) se celebró en Bali (Indonesia) bajo la presidencia de la Prof. Dwikorita Karnawati. Asistieron a la reunión 54 delegados de 17 Estados Miembros de la región del océano Índico, cuatro funcionarios de organismos de las Naciones Unidas (tres de ellos de la UNESCO y uno de la CESPAP) y 10 observadores de cinco Estados Miembros (Alemania, Australia, Indonesia, Irán y Omán). El orden del día aprobado de la reunión figura en el anexo A.</w:t>
      </w:r>
      <w:bookmarkStart w:id="0" w:name="_Hlk122088162"/>
      <w:bookmarkEnd w:id="0"/>
    </w:p>
    <w:p w14:paraId="5F783C0E"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sz w:val="22"/>
          <w:szCs w:val="22"/>
          <w:lang w:val="es-ES_tradnl"/>
        </w:rPr>
      </w:pPr>
      <w:r w:rsidRPr="00A20F83">
        <w:rPr>
          <w:rFonts w:ascii="Arial" w:hAnsi="Arial" w:cs="Arial"/>
          <w:b/>
          <w:bCs/>
          <w:sz w:val="22"/>
          <w:szCs w:val="22"/>
          <w:lang w:val="es-ES_tradnl"/>
        </w:rPr>
        <w:t>El ICG examinó</w:t>
      </w:r>
      <w:r w:rsidRPr="00A20F83">
        <w:rPr>
          <w:rFonts w:ascii="Arial" w:hAnsi="Arial" w:cs="Arial"/>
          <w:sz w:val="22"/>
          <w:szCs w:val="22"/>
          <w:lang w:val="es-ES_tradnl"/>
        </w:rPr>
        <w:t xml:space="preserve"> los progresos realizados durante el periodo entre reuniones, y los informes y recomendaciones de su </w:t>
      </w:r>
      <w:proofErr w:type="gramStart"/>
      <w:r w:rsidRPr="00A20F83">
        <w:rPr>
          <w:rFonts w:ascii="Arial" w:hAnsi="Arial" w:cs="Arial"/>
          <w:sz w:val="22"/>
          <w:szCs w:val="22"/>
          <w:lang w:val="es-ES_tradnl"/>
        </w:rPr>
        <w:t>Presidenta</w:t>
      </w:r>
      <w:proofErr w:type="gramEnd"/>
      <w:r w:rsidRPr="00A20F83">
        <w:rPr>
          <w:rFonts w:ascii="Arial" w:hAnsi="Arial" w:cs="Arial"/>
          <w:sz w:val="22"/>
          <w:szCs w:val="22"/>
          <w:lang w:val="es-ES_tradnl"/>
        </w:rPr>
        <w:t>, sus grupos de trabajo y sus equipos de trabajo, así como de la Secretaría de la COI/UNESCO para el ICG/IOTWMS y el Centro de Información sobre los Tsunamis en el Océano Índico (IOTIC). El ICG examinó también la Estrategia a Plazo Medio del IOTWMS (2019-2024), el informe sobre el ejercicio IOWave20, la evaluación de la capacidad para la preparación ante los tsunamis en el océano Índico de 2018 (2020), el documento de definición de los servicios de los proveedores de servicios sobre tsunamis (2019), la guía del usuario de los centros nacionales de alerta contra los tsunamis, y los informes de situación de los proveedores de servicios sobre tsunamis de Australia, la India e Indonesia. Asimismo, el ICG recibió y examinó los siguientes informes, de los que tomó nota: los informes de las reuniones 13ª, 14</w:t>
      </w:r>
      <w:r w:rsidRPr="00A20F83">
        <w:rPr>
          <w:rFonts w:ascii="Arial" w:hAnsi="Arial" w:cs="Arial"/>
          <w:sz w:val="22"/>
          <w:szCs w:val="22"/>
          <w:vertAlign w:val="superscript"/>
          <w:lang w:val="es-ES_tradnl"/>
        </w:rPr>
        <w:t>a</w:t>
      </w:r>
      <w:r w:rsidRPr="00A20F83">
        <w:rPr>
          <w:rFonts w:ascii="Arial" w:hAnsi="Arial" w:cs="Arial"/>
          <w:sz w:val="22"/>
          <w:szCs w:val="22"/>
          <w:lang w:val="es-ES_tradnl"/>
        </w:rPr>
        <w:t xml:space="preserve"> y 15ª del Grupo de Trabajo sobre los Sistemas de Alerta contra los Tsunamis y Otros Peligros relacionados con el Nivel del Mar y Atenuación de sus Efectos (TOWS-WG) de la COI/UNESCO. Muchos debates se centraron en la respuesta a la pandemia de COVID-19. Así, el ICG examinó otros dos documentos importantes, a saber, 1) </w:t>
      </w:r>
      <w:r w:rsidRPr="00A20F83">
        <w:rPr>
          <w:rFonts w:ascii="Arial" w:hAnsi="Arial" w:cs="Arial"/>
          <w:i/>
          <w:iCs/>
          <w:sz w:val="22"/>
          <w:szCs w:val="22"/>
          <w:lang w:val="es-ES_tradnl"/>
        </w:rPr>
        <w:t xml:space="preserve">Guidelines for Tsunami Warning Services, Evacuation and Sheltering during </w:t>
      </w:r>
      <w:r w:rsidRPr="00A20F83">
        <w:rPr>
          <w:rFonts w:ascii="Arial" w:hAnsi="Arial" w:cs="Arial"/>
          <w:i/>
          <w:iCs/>
          <w:sz w:val="22"/>
          <w:szCs w:val="22"/>
          <w:lang w:val="es-ES_tradnl"/>
        </w:rPr>
        <w:lastRenderedPageBreak/>
        <w:t>COVID-19</w:t>
      </w:r>
      <w:r w:rsidRPr="00A20F83">
        <w:rPr>
          <w:rFonts w:ascii="Arial" w:hAnsi="Arial" w:cs="Arial"/>
          <w:sz w:val="22"/>
          <w:szCs w:val="22"/>
          <w:lang w:val="es-ES_tradnl"/>
        </w:rPr>
        <w:t xml:space="preserve"> (Directrices para los servicios de alerta contra los tsunamis, la evacuación y el refugio durante la COVID-19) y 2) </w:t>
      </w:r>
      <w:r w:rsidRPr="00A20F83">
        <w:rPr>
          <w:rFonts w:ascii="Arial" w:hAnsi="Arial" w:cs="Arial"/>
          <w:i/>
          <w:iCs/>
          <w:sz w:val="22"/>
          <w:szCs w:val="22"/>
          <w:lang w:val="es-ES_tradnl"/>
        </w:rPr>
        <w:t>Impacts of COVID-19 Pandemic on IOTWMS Monitoring Networks and Tsunami Service Providers</w:t>
      </w:r>
      <w:r w:rsidRPr="00A20F83">
        <w:rPr>
          <w:rFonts w:ascii="Arial" w:hAnsi="Arial" w:cs="Arial"/>
          <w:sz w:val="22"/>
          <w:szCs w:val="22"/>
          <w:lang w:val="es-ES_tradnl"/>
        </w:rPr>
        <w:t xml:space="preserve"> (Repercusiones de la pandemia de COVID-19 para las redes de vigilancia y los proveedores de servicios sobre tsunamis del IOTWMS).</w:t>
      </w:r>
    </w:p>
    <w:p w14:paraId="22A4C260"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color w:val="000000"/>
          <w:sz w:val="22"/>
          <w:szCs w:val="22"/>
          <w:lang w:val="es-ES_tradnl"/>
        </w:rPr>
      </w:pPr>
      <w:r w:rsidRPr="00A20F83">
        <w:rPr>
          <w:rFonts w:ascii="Arial" w:hAnsi="Arial" w:cs="Arial"/>
          <w:b/>
          <w:bCs/>
          <w:sz w:val="22"/>
          <w:szCs w:val="22"/>
          <w:lang w:val="es-ES_tradnl"/>
        </w:rPr>
        <w:t>El ICG tomó nota</w:t>
      </w:r>
      <w:r w:rsidRPr="00A20F83">
        <w:rPr>
          <w:rFonts w:ascii="Arial" w:hAnsi="Arial" w:cs="Arial"/>
          <w:sz w:val="22"/>
          <w:szCs w:val="22"/>
          <w:lang w:val="es-ES_tradnl"/>
        </w:rPr>
        <w:t xml:space="preserve"> del discurso pronunciado el 23 de marzo de 2022 por el </w:t>
      </w:r>
      <w:proofErr w:type="gramStart"/>
      <w:r w:rsidRPr="00A20F83">
        <w:rPr>
          <w:rFonts w:ascii="Arial" w:hAnsi="Arial" w:cs="Arial"/>
          <w:sz w:val="22"/>
          <w:szCs w:val="22"/>
          <w:lang w:val="es-ES_tradnl"/>
        </w:rPr>
        <w:t>Secretario General</w:t>
      </w:r>
      <w:proofErr w:type="gramEnd"/>
      <w:r w:rsidRPr="00A20F83">
        <w:rPr>
          <w:rFonts w:ascii="Arial" w:hAnsi="Arial" w:cs="Arial"/>
          <w:sz w:val="22"/>
          <w:szCs w:val="22"/>
          <w:lang w:val="es-ES_tradnl"/>
        </w:rPr>
        <w:t xml:space="preserve"> de las Naciones Unidas, António Guterres, en el que anunció que las Naciones Unidas encabezarían una nueva acción para garantizar que todos los habitantes del planeta estuvieran protegidos por sistemas de alerta temprana en un plazo de cinco años (2027).</w:t>
      </w:r>
    </w:p>
    <w:p w14:paraId="25C195D3"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bCs/>
          <w:sz w:val="22"/>
          <w:szCs w:val="22"/>
          <w:lang w:val="es-ES_tradnl"/>
        </w:rPr>
      </w:pPr>
      <w:r w:rsidRPr="00A20F83">
        <w:rPr>
          <w:rFonts w:ascii="Arial" w:hAnsi="Arial" w:cs="Arial"/>
          <w:b/>
          <w:bCs/>
          <w:sz w:val="22"/>
          <w:szCs w:val="22"/>
          <w:lang w:val="es-ES_tradnl"/>
        </w:rPr>
        <w:t>El ICG tomó nota también</w:t>
      </w:r>
      <w:r w:rsidRPr="00A20F83">
        <w:rPr>
          <w:rFonts w:ascii="Arial" w:hAnsi="Arial" w:cs="Arial"/>
          <w:sz w:val="22"/>
          <w:szCs w:val="22"/>
          <w:lang w:val="es-ES_tradnl"/>
        </w:rPr>
        <w:t xml:space="preserve"> del ambicioso objetivo del Programa de Tsunamis del Decenio del Océano de las Naciones Unidas de lograr que el 100 % de las comunidades en riesgo estén preparadas y sean resilientes ante los tsunamis.</w:t>
      </w:r>
    </w:p>
    <w:p w14:paraId="0E9D74EE"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sz w:val="22"/>
          <w:szCs w:val="22"/>
          <w:lang w:val="es-ES_tradnl"/>
        </w:rPr>
      </w:pPr>
      <w:r w:rsidRPr="00A20F83">
        <w:rPr>
          <w:rFonts w:ascii="Arial" w:hAnsi="Arial" w:cs="Arial"/>
          <w:b/>
          <w:bCs/>
          <w:sz w:val="22"/>
          <w:szCs w:val="22"/>
          <w:lang w:val="es-ES_tradnl"/>
        </w:rPr>
        <w:t xml:space="preserve">El ICG tomó nota </w:t>
      </w:r>
      <w:r w:rsidRPr="00A20F83">
        <w:rPr>
          <w:rFonts w:ascii="Arial" w:hAnsi="Arial" w:cs="Arial"/>
          <w:sz w:val="22"/>
          <w:szCs w:val="22"/>
          <w:lang w:val="es-ES_tradnl"/>
        </w:rPr>
        <w:t>de los esfuerzos del Grupo de Trabajo sobre los Sistemas de Alerta contra los Tsunamis y Otros Peligros relacionados con el Nivel del Mar y Atenuación de sus Efectos (TOWS-WG) de la COI orientados a comprender mejor la amenaza de los tsunamis generados por fuentes no sísmicas y complejas, así como a formular orientaciones sobre las mejores prácticas en materia de vigilancia y alerta de esos eventos.</w:t>
      </w:r>
    </w:p>
    <w:p w14:paraId="499B878E"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color w:val="000000"/>
          <w:sz w:val="22"/>
          <w:szCs w:val="22"/>
          <w:lang w:val="es-ES_tradnl"/>
        </w:rPr>
      </w:pPr>
      <w:r w:rsidRPr="00A20F83">
        <w:rPr>
          <w:rFonts w:ascii="Arial" w:hAnsi="Arial" w:cs="Arial"/>
          <w:b/>
          <w:sz w:val="22"/>
          <w:szCs w:val="22"/>
          <w:lang w:val="es-ES_tradnl"/>
        </w:rPr>
        <w:t>El ICG tomó nota también</w:t>
      </w:r>
      <w:r w:rsidRPr="00A20F83">
        <w:rPr>
          <w:rFonts w:ascii="Arial" w:hAnsi="Arial" w:cs="Arial"/>
          <w:sz w:val="22"/>
          <w:szCs w:val="22"/>
          <w:lang w:val="es-ES_tradnl"/>
        </w:rPr>
        <w:t xml:space="preserve"> de la importancia de los datos sísmicos para la determinación oportuna y precisa de las amenazas de tsunami por los proveedores de servicios sobre tsunamis, y de los progresos realizados en el intercambio bilateral de datos sísmicos entre determinados Estados Miembros. Asimismo, </w:t>
      </w:r>
      <w:r w:rsidRPr="00A20F83">
        <w:rPr>
          <w:rFonts w:ascii="Arial" w:hAnsi="Arial" w:cs="Arial"/>
          <w:b/>
          <w:bCs/>
          <w:sz w:val="22"/>
          <w:szCs w:val="22"/>
          <w:lang w:val="es-ES_tradnl"/>
        </w:rPr>
        <w:t>instó</w:t>
      </w:r>
      <w:r w:rsidRPr="00A20F83">
        <w:rPr>
          <w:rFonts w:ascii="Arial" w:hAnsi="Arial" w:cs="Arial"/>
          <w:sz w:val="22"/>
          <w:szCs w:val="22"/>
          <w:lang w:val="es-ES_tradnl"/>
        </w:rPr>
        <w:t xml:space="preserve"> a los Estados Miembros, especialmente en la región del océano Índico noroccidental, a proporcionar todos los datos sísmicos pertinentes en tiempo real a los proveedores de servicios sobre tsunamis y a otros Estados Miembros.</w:t>
      </w:r>
    </w:p>
    <w:p w14:paraId="6EAC3C28"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b/>
          <w:sz w:val="22"/>
          <w:szCs w:val="22"/>
          <w:lang w:val="es-ES_tradnl"/>
        </w:rPr>
      </w:pPr>
      <w:r w:rsidRPr="00A20F83">
        <w:rPr>
          <w:rFonts w:ascii="Arial" w:hAnsi="Arial" w:cs="Arial"/>
          <w:b/>
          <w:bCs/>
          <w:sz w:val="22"/>
          <w:szCs w:val="22"/>
          <w:lang w:val="es-ES_tradnl"/>
        </w:rPr>
        <w:t>El ICG alentó</w:t>
      </w:r>
      <w:r w:rsidRPr="00A20F83">
        <w:rPr>
          <w:rFonts w:ascii="Arial" w:hAnsi="Arial" w:cs="Arial"/>
          <w:sz w:val="22"/>
          <w:szCs w:val="22"/>
          <w:lang w:val="es-ES_tradnl"/>
        </w:rPr>
        <w:t xml:space="preserve"> a los Estados Miembros a que siguieran examinando sus cadenas de alerta contra tsunamis con miras a reducir al mínimo el número de etapas, y a que determinaran claramente las responsabilidades de las partes interesadas, especialmente en lo que respecta a las amenazas de tsunamis locales.</w:t>
      </w:r>
    </w:p>
    <w:p w14:paraId="608CC81C"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Style w:val="st"/>
          <w:rFonts w:ascii="Arial" w:hAnsi="Arial" w:cs="Arial"/>
          <w:sz w:val="22"/>
          <w:szCs w:val="22"/>
          <w:lang w:val="es-ES_tradnl"/>
        </w:rPr>
      </w:pPr>
      <w:r w:rsidRPr="00A20F83">
        <w:rPr>
          <w:rFonts w:ascii="Arial" w:hAnsi="Arial" w:cs="Arial"/>
          <w:b/>
          <w:bCs/>
          <w:sz w:val="22"/>
          <w:szCs w:val="22"/>
          <w:lang w:val="es-ES_tradnl"/>
        </w:rPr>
        <w:t xml:space="preserve">El ICG alentó </w:t>
      </w:r>
      <w:r w:rsidRPr="00A20F83">
        <w:rPr>
          <w:rFonts w:ascii="Arial" w:hAnsi="Arial" w:cs="Arial"/>
          <w:sz w:val="22"/>
          <w:szCs w:val="22"/>
          <w:lang w:val="es-ES_tradnl"/>
        </w:rPr>
        <w:t>a los Estados Miembros a mejorar la preparación de las comunidades para los tsunamis locales, incluidos los tsunamis generados por fuentes no sísmicas y complejas, haciendo hincapié igualmente en la autoevacuación basada en las señales de la naturaleza.</w:t>
      </w:r>
    </w:p>
    <w:p w14:paraId="13E5C480"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color w:val="000000"/>
          <w:sz w:val="22"/>
          <w:szCs w:val="22"/>
          <w:lang w:val="es-ES_tradnl"/>
        </w:rPr>
      </w:pPr>
      <w:r w:rsidRPr="00A20F83">
        <w:rPr>
          <w:rFonts w:ascii="Arial" w:hAnsi="Arial" w:cs="Arial"/>
          <w:b/>
          <w:bCs/>
          <w:sz w:val="22"/>
          <w:szCs w:val="22"/>
          <w:lang w:val="es-ES_tradnl"/>
        </w:rPr>
        <w:t>El ICG alentó</w:t>
      </w:r>
      <w:r w:rsidRPr="00A20F83">
        <w:rPr>
          <w:rFonts w:ascii="Arial" w:hAnsi="Arial" w:cs="Arial"/>
          <w:sz w:val="22"/>
          <w:szCs w:val="22"/>
          <w:lang w:val="es-ES_tradnl"/>
        </w:rPr>
        <w:t xml:space="preserve"> a los Estados Miembros a que hicieran hincapié ante los organismos de gestión de desastres y los medios de difusión en la función que desempeñan, con los centros nacionales de alerta contra los tsunamis (NTWC), en el fortalecimiento de la cadena de alerta nacional para garantizar una respuesta óptima de las comunidades, y a que recalcaran la importancia de que todos los organismos participen en foros regionales sobre gobernanza y aspectos técnicos en materia de tsunamis.</w:t>
      </w:r>
    </w:p>
    <w:p w14:paraId="70B00C4F"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sz w:val="22"/>
          <w:szCs w:val="22"/>
          <w:lang w:val="es-ES_tradnl"/>
        </w:rPr>
      </w:pPr>
      <w:r w:rsidRPr="00A20F83">
        <w:rPr>
          <w:rFonts w:ascii="Arial" w:hAnsi="Arial" w:cs="Arial"/>
          <w:b/>
          <w:bCs/>
          <w:sz w:val="22"/>
          <w:szCs w:val="22"/>
          <w:lang w:val="es-ES_tradnl"/>
        </w:rPr>
        <w:t>El ICG tomó nota</w:t>
      </w:r>
      <w:r w:rsidRPr="00A20F83">
        <w:rPr>
          <w:rFonts w:ascii="Arial" w:hAnsi="Arial" w:cs="Arial"/>
          <w:sz w:val="22"/>
          <w:szCs w:val="22"/>
          <w:lang w:val="es-ES_tradnl"/>
        </w:rPr>
        <w:t xml:space="preserve"> de la ejecución satisfactoria del ejercicio IOWave 20 realizado por los Estados Miembros, de la obtención de la acreditación Tsunami Ready de la COI/UNESCO por parte de dos aldeas en la India y nueve aldeas en Indonesia, y de la organización de un taller sobre Tsunami Ready en el océano Índico en Bali (Indonesia) del 22 al 26 de noviembre de 2022. </w:t>
      </w:r>
      <w:r w:rsidRPr="00A20F83">
        <w:rPr>
          <w:rFonts w:ascii="Arial" w:hAnsi="Arial" w:cs="Arial"/>
          <w:b/>
          <w:bCs/>
          <w:sz w:val="22"/>
          <w:szCs w:val="22"/>
          <w:lang w:val="es-ES_tradnl"/>
        </w:rPr>
        <w:t>Alentó</w:t>
      </w:r>
      <w:r w:rsidRPr="00A20F83">
        <w:rPr>
          <w:rFonts w:ascii="Arial" w:hAnsi="Arial" w:cs="Arial"/>
          <w:sz w:val="22"/>
          <w:szCs w:val="22"/>
          <w:lang w:val="es-ES_tradnl"/>
        </w:rPr>
        <w:t xml:space="preserve"> a todos los Estados Miembros a considerar la posibilidad de aplicar el programa de acreditación Tsunami Ready en las comunidades vulnerables para que reciban la acreditación de la COI/UNESCO.</w:t>
      </w:r>
    </w:p>
    <w:p w14:paraId="2CD51A2D"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bCs/>
          <w:color w:val="000000"/>
          <w:sz w:val="22"/>
          <w:szCs w:val="22"/>
          <w:lang w:val="es-ES_tradnl"/>
        </w:rPr>
      </w:pPr>
      <w:r w:rsidRPr="00A20F83">
        <w:rPr>
          <w:rFonts w:ascii="Arial" w:hAnsi="Arial" w:cs="Arial"/>
          <w:b/>
          <w:bCs/>
          <w:sz w:val="22"/>
          <w:szCs w:val="22"/>
          <w:lang w:val="es-ES_tradnl"/>
        </w:rPr>
        <w:t>El ICG tomó nota también</w:t>
      </w:r>
      <w:r w:rsidRPr="00A20F83">
        <w:rPr>
          <w:rFonts w:ascii="Arial" w:hAnsi="Arial" w:cs="Arial"/>
          <w:sz w:val="22"/>
          <w:szCs w:val="22"/>
          <w:lang w:val="es-ES_tradnl"/>
        </w:rPr>
        <w:t xml:space="preserve"> de los resultados satisfactorios de la fase 1 y de las fases 2a y 2b del proyecto financiado por la CESPAP “Fortalecimiento de la alerta temprana contra los tsunamis en la región noroccidental del océano Índico mediante la cooperación regional”, así como de los esfuerzos para elaborar una fase 2c del proyecto que abarque una formación en elaboración </w:t>
      </w:r>
      <w:r w:rsidRPr="00A20F83">
        <w:rPr>
          <w:rFonts w:ascii="Arial" w:hAnsi="Arial" w:cs="Arial"/>
          <w:sz w:val="22"/>
          <w:szCs w:val="22"/>
          <w:lang w:val="es-ES_tradnl"/>
        </w:rPr>
        <w:lastRenderedPageBreak/>
        <w:t>de mapas de inundación y evacuación que respalde la ejecución del programa Tsunami Ready en la región.</w:t>
      </w:r>
    </w:p>
    <w:p w14:paraId="065A0459"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Style w:val="st"/>
          <w:rFonts w:ascii="Arial" w:hAnsi="Arial" w:cs="Arial"/>
          <w:b/>
          <w:sz w:val="22"/>
          <w:szCs w:val="22"/>
          <w:lang w:val="es-ES_tradnl"/>
        </w:rPr>
      </w:pPr>
      <w:r w:rsidRPr="00A20F83">
        <w:rPr>
          <w:rFonts w:ascii="Arial" w:hAnsi="Arial" w:cs="Arial"/>
          <w:b/>
          <w:bCs/>
          <w:sz w:val="22"/>
          <w:szCs w:val="22"/>
          <w:lang w:val="es-ES_tradnl"/>
        </w:rPr>
        <w:t>El ICG aprobó</w:t>
      </w:r>
      <w:r w:rsidRPr="00A20F83">
        <w:rPr>
          <w:rFonts w:ascii="Arial" w:hAnsi="Arial" w:cs="Arial"/>
          <w:sz w:val="22"/>
          <w:szCs w:val="22"/>
          <w:lang w:val="es-ES_tradnl"/>
        </w:rPr>
        <w:t xml:space="preserve"> el nuevo mandato del Centro de Información sobre los Tsunamis en el Océano Índico (IOTIC), incluida la inclusión de una tarea relativa al Día Mundial de Concienciación sobre los Tsunamis.</w:t>
      </w:r>
    </w:p>
    <w:p w14:paraId="46656F32"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Style w:val="st"/>
          <w:rFonts w:ascii="Arial" w:hAnsi="Arial" w:cs="Arial"/>
          <w:b/>
          <w:sz w:val="22"/>
          <w:szCs w:val="22"/>
          <w:lang w:val="es-ES_tradnl"/>
        </w:rPr>
      </w:pPr>
      <w:r w:rsidRPr="00A20F83">
        <w:rPr>
          <w:rFonts w:ascii="Arial" w:hAnsi="Arial" w:cs="Arial"/>
          <w:b/>
          <w:bCs/>
          <w:sz w:val="22"/>
          <w:szCs w:val="22"/>
          <w:lang w:val="es-ES_tradnl"/>
        </w:rPr>
        <w:t>El ICG decidió</w:t>
      </w:r>
      <w:r w:rsidRPr="00A20F83">
        <w:rPr>
          <w:rFonts w:ascii="Arial" w:hAnsi="Arial" w:cs="Arial"/>
          <w:sz w:val="22"/>
          <w:szCs w:val="22"/>
          <w:lang w:val="es-ES_tradnl"/>
        </w:rPr>
        <w:t xml:space="preserve"> llevar a cabo un ejercicio IOWave en septiembre-octubre de 2023.</w:t>
      </w:r>
    </w:p>
    <w:p w14:paraId="2E25DFF3" w14:textId="3C67B917" w:rsidR="00E93641" w:rsidRPr="00D235B8" w:rsidRDefault="00D235B8" w:rsidP="0061045A">
      <w:pPr>
        <w:numPr>
          <w:ilvl w:val="0"/>
          <w:numId w:val="2"/>
        </w:numPr>
        <w:autoSpaceDE w:val="0"/>
        <w:autoSpaceDN w:val="0"/>
        <w:adjustRightInd w:val="0"/>
        <w:spacing w:before="240" w:after="240" w:line="240" w:lineRule="atLeast"/>
        <w:ind w:left="0" w:firstLine="0"/>
        <w:jc w:val="both"/>
        <w:rPr>
          <w:rFonts w:asciiTheme="minorBidi" w:hAnsiTheme="minorBidi" w:cstheme="minorBidi"/>
          <w:sz w:val="22"/>
          <w:szCs w:val="22"/>
          <w:lang w:val="es-ES"/>
        </w:rPr>
      </w:pPr>
      <w:r w:rsidRPr="00A20F83">
        <w:rPr>
          <w:rFonts w:ascii="Arial" w:hAnsi="Arial" w:cs="Arial"/>
          <w:b/>
          <w:bCs/>
          <w:sz w:val="22"/>
          <w:szCs w:val="22"/>
          <w:lang w:val="es-ES_tradnl"/>
        </w:rPr>
        <w:t>El ICG decidió</w:t>
      </w:r>
      <w:r w:rsidRPr="00A20F83">
        <w:rPr>
          <w:rFonts w:ascii="Arial" w:hAnsi="Arial" w:cs="Arial"/>
          <w:sz w:val="22"/>
          <w:szCs w:val="22"/>
          <w:lang w:val="es-ES_tradnl"/>
        </w:rPr>
        <w:t xml:space="preserve"> mantener:</w:t>
      </w:r>
    </w:p>
    <w:p w14:paraId="1B031730" w14:textId="77777777" w:rsidR="00D235B8" w:rsidRPr="0067285A" w:rsidRDefault="00D235B8" w:rsidP="0061045A">
      <w:pPr>
        <w:pStyle w:val="COI"/>
        <w:rPr>
          <w:lang w:val="es-ES"/>
        </w:rPr>
      </w:pPr>
      <w:r w:rsidRPr="0067285A">
        <w:rPr>
          <w:lang w:val="es-ES"/>
        </w:rPr>
        <w:t>el Grupo de trabajo 1 sobre riesgo de tsunamis y sensibilización y preparación de las comunidades;</w:t>
      </w:r>
    </w:p>
    <w:p w14:paraId="609D4D19" w14:textId="77777777" w:rsidR="00D235B8" w:rsidRPr="0067285A" w:rsidRDefault="00D235B8" w:rsidP="0061045A">
      <w:pPr>
        <w:pStyle w:val="COI"/>
        <w:rPr>
          <w:lang w:val="es-ES"/>
        </w:rPr>
      </w:pPr>
      <w:r w:rsidRPr="0067285A">
        <w:rPr>
          <w:lang w:val="es-ES"/>
        </w:rPr>
        <w:t>el Grupo de trabajo 2 sobre detección de tsunamis, alerta y difusión;</w:t>
      </w:r>
    </w:p>
    <w:p w14:paraId="0DA3AEEC" w14:textId="77777777" w:rsidR="00D235B8" w:rsidRPr="0067285A" w:rsidRDefault="00D235B8" w:rsidP="0061045A">
      <w:pPr>
        <w:pStyle w:val="COI"/>
        <w:rPr>
          <w:lang w:val="es-ES"/>
        </w:rPr>
      </w:pPr>
      <w:r w:rsidRPr="0067285A">
        <w:rPr>
          <w:lang w:val="es-ES"/>
        </w:rPr>
        <w:t>el Grupo de trabajo subregional para el océano Índico noroccidental;</w:t>
      </w:r>
    </w:p>
    <w:p w14:paraId="5B7A4A5B" w14:textId="77777777" w:rsidR="00D235B8" w:rsidRPr="0067285A" w:rsidRDefault="00D235B8" w:rsidP="0061045A">
      <w:pPr>
        <w:pStyle w:val="COI"/>
        <w:rPr>
          <w:lang w:val="es-ES"/>
        </w:rPr>
      </w:pPr>
      <w:r w:rsidRPr="0067285A">
        <w:rPr>
          <w:lang w:val="es-ES"/>
        </w:rPr>
        <w:t>el Equipo de trabajo sobre la evaluación científica del peligro de tsunami en la zona de subducción de Makran;</w:t>
      </w:r>
    </w:p>
    <w:p w14:paraId="5B86A64F" w14:textId="7D836EDB" w:rsidR="00D235B8" w:rsidRPr="005B4251" w:rsidRDefault="00D235B8" w:rsidP="0061045A">
      <w:pPr>
        <w:pStyle w:val="COI"/>
        <w:rPr>
          <w:rFonts w:asciiTheme="minorBidi" w:hAnsiTheme="minorBidi" w:cstheme="minorBidi"/>
          <w:lang w:val="es-ES"/>
        </w:rPr>
      </w:pPr>
      <w:r w:rsidRPr="0067285A">
        <w:rPr>
          <w:lang w:val="es-ES"/>
        </w:rPr>
        <w:t>el Grupo de Dirección del ICG/IOTWMS.</w:t>
      </w:r>
    </w:p>
    <w:p w14:paraId="7E0D32BB" w14:textId="042895B7" w:rsidR="00E93641" w:rsidRPr="00D235B8" w:rsidRDefault="00D235B8" w:rsidP="0061045A">
      <w:pPr>
        <w:numPr>
          <w:ilvl w:val="0"/>
          <w:numId w:val="2"/>
        </w:numPr>
        <w:autoSpaceDE w:val="0"/>
        <w:autoSpaceDN w:val="0"/>
        <w:adjustRightInd w:val="0"/>
        <w:spacing w:before="240" w:after="240" w:line="240" w:lineRule="atLeast"/>
        <w:ind w:left="0" w:firstLine="0"/>
        <w:jc w:val="both"/>
        <w:rPr>
          <w:rFonts w:asciiTheme="minorBidi" w:hAnsiTheme="minorBidi" w:cstheme="minorBidi"/>
          <w:sz w:val="22"/>
          <w:szCs w:val="22"/>
          <w:lang w:val="es-ES"/>
        </w:rPr>
      </w:pPr>
      <w:r w:rsidRPr="00D235B8">
        <w:rPr>
          <w:rFonts w:ascii="Arial" w:hAnsi="Arial" w:cs="Arial"/>
          <w:b/>
          <w:bCs/>
          <w:sz w:val="22"/>
          <w:szCs w:val="22"/>
          <w:lang w:val="es-ES_tradnl"/>
        </w:rPr>
        <w:t>El ICG decidió</w:t>
      </w:r>
      <w:r w:rsidRPr="00D235B8">
        <w:rPr>
          <w:rFonts w:ascii="Arial" w:hAnsi="Arial" w:cs="Arial"/>
          <w:sz w:val="22"/>
          <w:szCs w:val="22"/>
          <w:lang w:val="es-ES_tradnl"/>
        </w:rPr>
        <w:t xml:space="preserve"> establecer:</w:t>
      </w:r>
    </w:p>
    <w:p w14:paraId="54A1E583" w14:textId="77777777" w:rsidR="00D235B8" w:rsidRPr="0067285A" w:rsidRDefault="00D235B8" w:rsidP="0061045A">
      <w:pPr>
        <w:pStyle w:val="COI"/>
        <w:rPr>
          <w:lang w:val="es-ES"/>
        </w:rPr>
      </w:pPr>
      <w:r w:rsidRPr="0067285A">
        <w:rPr>
          <w:lang w:val="es-ES"/>
        </w:rPr>
        <w:t>un Grupo de trabajo 3 sobre la puesta en marcha de Tsunami Ready;</w:t>
      </w:r>
    </w:p>
    <w:p w14:paraId="68898D2C" w14:textId="61EEB45F" w:rsidR="00D235B8" w:rsidRPr="005B4251" w:rsidRDefault="00D235B8" w:rsidP="0061045A">
      <w:pPr>
        <w:pStyle w:val="COI"/>
        <w:rPr>
          <w:rFonts w:asciiTheme="minorBidi" w:hAnsiTheme="minorBidi" w:cstheme="minorBidi"/>
          <w:lang w:val="es-ES"/>
        </w:rPr>
      </w:pPr>
      <w:r w:rsidRPr="0067285A">
        <w:rPr>
          <w:lang w:val="es-ES"/>
        </w:rPr>
        <w:t>un Equipo de trabajo sobre el ejercicio IOWave 23.</w:t>
      </w:r>
    </w:p>
    <w:p w14:paraId="69B7DB08"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Style w:val="st"/>
          <w:rFonts w:ascii="Arial" w:hAnsi="Arial" w:cs="Arial"/>
          <w:bCs/>
          <w:sz w:val="22"/>
          <w:szCs w:val="22"/>
          <w:lang w:val="es-ES_tradnl"/>
        </w:rPr>
      </w:pPr>
      <w:r w:rsidRPr="00A20F83">
        <w:rPr>
          <w:rFonts w:ascii="Arial" w:hAnsi="Arial" w:cs="Arial"/>
          <w:b/>
          <w:bCs/>
          <w:sz w:val="22"/>
          <w:szCs w:val="22"/>
          <w:lang w:val="es-ES_tradnl"/>
        </w:rPr>
        <w:t>El ICG decidió</w:t>
      </w:r>
      <w:r w:rsidRPr="00A20F83">
        <w:rPr>
          <w:rFonts w:ascii="Arial" w:hAnsi="Arial" w:cs="Arial"/>
          <w:sz w:val="22"/>
          <w:szCs w:val="22"/>
          <w:lang w:val="es-ES_tradnl"/>
        </w:rPr>
        <w:t xml:space="preserve"> establecer centros de coordinación de Tsunami Ready designados por cada Estado Miembro con miras a mejorar la comunicación, coordinación y aplicación del programa Tsunami Ready u otras iniciativas similares en la región del océano Índico.</w:t>
      </w:r>
    </w:p>
    <w:p w14:paraId="4D5ABB97"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Style w:val="st"/>
          <w:rFonts w:ascii="Arial" w:hAnsi="Arial" w:cs="Arial"/>
          <w:sz w:val="22"/>
          <w:szCs w:val="22"/>
          <w:lang w:val="es-ES_tradnl"/>
        </w:rPr>
      </w:pPr>
      <w:r w:rsidRPr="00A20F83">
        <w:rPr>
          <w:rFonts w:ascii="Arial" w:hAnsi="Arial" w:cs="Arial"/>
          <w:b/>
          <w:bCs/>
          <w:sz w:val="22"/>
          <w:szCs w:val="22"/>
          <w:lang w:val="es-ES_tradnl"/>
        </w:rPr>
        <w:t xml:space="preserve">El ICG decidió </w:t>
      </w:r>
      <w:r w:rsidRPr="00A20F83">
        <w:rPr>
          <w:rFonts w:ascii="Arial" w:hAnsi="Arial" w:cs="Arial"/>
          <w:sz w:val="22"/>
          <w:szCs w:val="22"/>
          <w:lang w:val="es-ES_tradnl"/>
        </w:rPr>
        <w:t>organizar durante el periodo entre reuniones —en el primer semestre de 2023 y antes de que se realice el ejercicio IOWave 23— dos talleres de formación sobre procedimientos normalizados de operaciones, uno de ellos en la región del océano Índico occidental y otro en la del océano Índico oriental, siempre que se disponga de financiación.</w:t>
      </w:r>
    </w:p>
    <w:p w14:paraId="2CDB6919"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Style w:val="st"/>
          <w:rFonts w:ascii="Arial" w:hAnsi="Arial" w:cs="Arial"/>
          <w:sz w:val="22"/>
          <w:szCs w:val="22"/>
          <w:lang w:val="es-ES_tradnl"/>
        </w:rPr>
      </w:pPr>
      <w:r w:rsidRPr="00A20F83">
        <w:rPr>
          <w:rFonts w:ascii="Arial" w:hAnsi="Arial" w:cs="Arial"/>
          <w:b/>
          <w:bCs/>
          <w:sz w:val="22"/>
          <w:szCs w:val="22"/>
          <w:lang w:val="es-ES_tradnl"/>
        </w:rPr>
        <w:t>El ICG decidió</w:t>
      </w:r>
      <w:r w:rsidRPr="00A20F83">
        <w:rPr>
          <w:rFonts w:ascii="Arial" w:hAnsi="Arial" w:cs="Arial"/>
          <w:sz w:val="22"/>
          <w:szCs w:val="22"/>
          <w:lang w:val="es-ES_tradnl"/>
        </w:rPr>
        <w:t xml:space="preserve"> seguir ejecutando actividades entre reuniones como la celebración de reuniones integradas para optimizar los recursos, si se dispone de ellos.</w:t>
      </w:r>
    </w:p>
    <w:p w14:paraId="785BA45E"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eastAsia="MS Mincho" w:hAnsi="Arial" w:cs="Arial"/>
          <w:bCs/>
          <w:sz w:val="22"/>
          <w:szCs w:val="22"/>
          <w:lang w:val="es-ES_tradnl"/>
        </w:rPr>
      </w:pPr>
      <w:r w:rsidRPr="00A20F83">
        <w:rPr>
          <w:rFonts w:ascii="Arial" w:hAnsi="Arial" w:cs="Arial"/>
          <w:b/>
          <w:bCs/>
          <w:sz w:val="22"/>
          <w:szCs w:val="22"/>
          <w:lang w:val="es-ES_tradnl"/>
        </w:rPr>
        <w:t>El ICG decidió</w:t>
      </w:r>
      <w:r w:rsidRPr="00A20F83">
        <w:rPr>
          <w:rFonts w:ascii="Arial" w:hAnsi="Arial" w:cs="Arial"/>
          <w:sz w:val="22"/>
          <w:szCs w:val="22"/>
          <w:lang w:val="es-ES_tradnl"/>
        </w:rPr>
        <w:t xml:space="preserve"> llevar a cabo de nuevo una evaluación completa de la capacidad en materia de preparación ante los tsunamis en el océano Índico en 2024 a fin de examinar los progresos del IOTWMS desde el tsunami del océano Índico de 2004. Asimismo, antes de cada reunión del ICG efectuará una evaluación más breve mediante un cuestionario en línea, que se someterá al examen de los Estados Miembros, con el objetivo de supervisar continuamente los progresos después de cada periodo entre reuniones, y así ayudar a orientar los planes de trabajo del ICG/IOTWMS.</w:t>
      </w:r>
    </w:p>
    <w:p w14:paraId="6EBDA481"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sz w:val="22"/>
          <w:szCs w:val="22"/>
          <w:lang w:val="es-ES_tradnl"/>
        </w:rPr>
      </w:pPr>
      <w:r w:rsidRPr="00A20F83">
        <w:rPr>
          <w:rFonts w:ascii="Arial" w:hAnsi="Arial" w:cs="Arial"/>
          <w:b/>
          <w:bCs/>
          <w:sz w:val="22"/>
          <w:szCs w:val="22"/>
          <w:lang w:val="es-ES_tradnl"/>
        </w:rPr>
        <w:t>El ICG decidió</w:t>
      </w:r>
      <w:r w:rsidRPr="00A20F83">
        <w:rPr>
          <w:rFonts w:ascii="Arial" w:hAnsi="Arial" w:cs="Arial"/>
          <w:sz w:val="22"/>
          <w:szCs w:val="22"/>
          <w:lang w:val="es-ES_tradnl"/>
        </w:rPr>
        <w:t xml:space="preserve"> ampliar los servicios de los proveedores de servicios sobre tsunamis (TSP) del IOTWMS para incluir los tsunamis generados por fuentes no sísmicas y complejas.</w:t>
      </w:r>
    </w:p>
    <w:p w14:paraId="7C5CDA87"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Style w:val="st"/>
          <w:rFonts w:ascii="Arial" w:hAnsi="Arial" w:cs="Arial"/>
          <w:sz w:val="22"/>
          <w:szCs w:val="22"/>
          <w:lang w:val="es-ES_tradnl"/>
        </w:rPr>
      </w:pPr>
      <w:r w:rsidRPr="00A20F83">
        <w:rPr>
          <w:rFonts w:ascii="Arial" w:hAnsi="Arial" w:cs="Arial"/>
          <w:b/>
          <w:bCs/>
          <w:sz w:val="22"/>
          <w:szCs w:val="22"/>
          <w:lang w:val="es-ES_tradnl"/>
        </w:rPr>
        <w:t>El ICG eligió</w:t>
      </w:r>
      <w:r w:rsidRPr="00A20F83">
        <w:rPr>
          <w:rFonts w:ascii="Arial" w:hAnsi="Arial" w:cs="Arial"/>
          <w:sz w:val="22"/>
          <w:szCs w:val="22"/>
          <w:lang w:val="es-ES_tradnl"/>
        </w:rPr>
        <w:t xml:space="preserve"> sus directivos para el próximo periodo entre reuniones que comienza al final de la reunión. La Prof. Dra. Dwikorita Karnawati (Indonesia) fue reelegida </w:t>
      </w:r>
      <w:proofErr w:type="gramStart"/>
      <w:r w:rsidRPr="00A20F83">
        <w:rPr>
          <w:rFonts w:ascii="Arial" w:hAnsi="Arial" w:cs="Arial"/>
          <w:sz w:val="22"/>
          <w:szCs w:val="22"/>
          <w:lang w:val="es-ES_tradnl"/>
        </w:rPr>
        <w:t>Presidenta</w:t>
      </w:r>
      <w:proofErr w:type="gramEnd"/>
      <w:r w:rsidRPr="00A20F83">
        <w:rPr>
          <w:rFonts w:ascii="Arial" w:hAnsi="Arial" w:cs="Arial"/>
          <w:sz w:val="22"/>
          <w:szCs w:val="22"/>
          <w:lang w:val="es-ES_tradnl"/>
        </w:rPr>
        <w:t>, y el Dr. Yuelong Miao (Australia) y el Sr. Pattabhi Rama Rao Eluri (India) fueron elegidos Vicepresidentes.</w:t>
      </w:r>
    </w:p>
    <w:p w14:paraId="11385C04"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Fonts w:ascii="Arial" w:hAnsi="Arial" w:cs="Arial"/>
          <w:color w:val="000000"/>
          <w:sz w:val="22"/>
          <w:szCs w:val="22"/>
          <w:lang w:val="es-ES_tradnl"/>
        </w:rPr>
      </w:pPr>
      <w:r w:rsidRPr="00A20F83">
        <w:rPr>
          <w:rFonts w:ascii="Arial" w:hAnsi="Arial" w:cs="Arial"/>
          <w:b/>
          <w:bCs/>
          <w:sz w:val="22"/>
          <w:szCs w:val="22"/>
          <w:lang w:val="es-ES_tradnl"/>
        </w:rPr>
        <w:t>El ICG acogió con satisfacción</w:t>
      </w:r>
      <w:r w:rsidRPr="00A20F83">
        <w:rPr>
          <w:rFonts w:ascii="Arial" w:hAnsi="Arial" w:cs="Arial"/>
          <w:sz w:val="22"/>
          <w:szCs w:val="22"/>
          <w:lang w:val="es-ES_tradnl"/>
        </w:rPr>
        <w:t xml:space="preserve"> la contribución y el apoyo constante del Gobierno de Australia a la Secretaría del ICG/IOTWMS de la COI/UNESCO y el apoyo del Gobierno de Indonesia al Centro de Información sobre los Tsunamis en el Océano Índico (IOTIC).</w:t>
      </w:r>
    </w:p>
    <w:p w14:paraId="3A2EB961"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Style w:val="st"/>
          <w:rFonts w:ascii="Arial" w:hAnsi="Arial" w:cs="Arial"/>
          <w:sz w:val="22"/>
          <w:szCs w:val="22"/>
          <w:lang w:val="es-ES_tradnl"/>
        </w:rPr>
      </w:pPr>
      <w:r w:rsidRPr="00A20F83">
        <w:rPr>
          <w:rFonts w:ascii="Arial" w:hAnsi="Arial" w:cs="Arial"/>
          <w:b/>
          <w:bCs/>
          <w:sz w:val="22"/>
          <w:szCs w:val="22"/>
          <w:lang w:val="es-ES_tradnl"/>
        </w:rPr>
        <w:lastRenderedPageBreak/>
        <w:t>El ICG decidió</w:t>
      </w:r>
      <w:r w:rsidRPr="00A20F83">
        <w:rPr>
          <w:rFonts w:ascii="Arial" w:hAnsi="Arial" w:cs="Arial"/>
          <w:sz w:val="22"/>
          <w:szCs w:val="22"/>
          <w:lang w:val="es-ES_tradnl"/>
        </w:rPr>
        <w:t xml:space="preserve"> celebrar su 14ª reunión a finales de 2024, de manera que coincida con la celebración del 20º aniversario del tsunami del océano Índico de 2004, y </w:t>
      </w:r>
      <w:r w:rsidRPr="00A20F83">
        <w:rPr>
          <w:rFonts w:ascii="Arial" w:hAnsi="Arial" w:cs="Arial"/>
          <w:b/>
          <w:bCs/>
          <w:sz w:val="22"/>
          <w:szCs w:val="22"/>
          <w:lang w:val="es-ES_tradnl"/>
        </w:rPr>
        <w:t>aceptó con agradecimiento</w:t>
      </w:r>
      <w:r w:rsidRPr="00A20F83">
        <w:rPr>
          <w:rFonts w:ascii="Arial" w:hAnsi="Arial" w:cs="Arial"/>
          <w:sz w:val="22"/>
          <w:szCs w:val="22"/>
          <w:lang w:val="es-ES_tradnl"/>
        </w:rPr>
        <w:t xml:space="preserve"> la oferta del Gobierno de Indonesia de acogerla.</w:t>
      </w:r>
    </w:p>
    <w:p w14:paraId="2D8A935C" w14:textId="77777777" w:rsidR="00D235B8" w:rsidRPr="00A20F83" w:rsidRDefault="00D235B8" w:rsidP="0061045A">
      <w:pPr>
        <w:numPr>
          <w:ilvl w:val="0"/>
          <w:numId w:val="2"/>
        </w:numPr>
        <w:autoSpaceDE w:val="0"/>
        <w:autoSpaceDN w:val="0"/>
        <w:adjustRightInd w:val="0"/>
        <w:spacing w:before="240" w:after="240" w:line="240" w:lineRule="atLeast"/>
        <w:ind w:left="0" w:firstLine="0"/>
        <w:jc w:val="both"/>
        <w:rPr>
          <w:rStyle w:val="st"/>
          <w:rFonts w:ascii="Arial" w:hAnsi="Arial" w:cs="Arial"/>
          <w:sz w:val="22"/>
          <w:szCs w:val="22"/>
          <w:lang w:val="es-ES_tradnl"/>
        </w:rPr>
      </w:pPr>
      <w:r w:rsidRPr="00A20F83">
        <w:rPr>
          <w:rFonts w:ascii="Arial" w:hAnsi="Arial" w:cs="Arial"/>
          <w:b/>
          <w:bCs/>
          <w:sz w:val="22"/>
          <w:szCs w:val="22"/>
          <w:lang w:val="es-ES_tradnl"/>
        </w:rPr>
        <w:t>El ICG aceptó</w:t>
      </w:r>
      <w:r w:rsidRPr="00A20F83">
        <w:rPr>
          <w:rFonts w:ascii="Arial" w:hAnsi="Arial" w:cs="Arial"/>
          <w:sz w:val="22"/>
          <w:szCs w:val="22"/>
          <w:lang w:val="es-ES_tradnl"/>
        </w:rPr>
        <w:t xml:space="preserve"> con reconocimiento la propuesta de Omán de acoger su 15ª reunión en 2026.</w:t>
      </w:r>
    </w:p>
    <w:p w14:paraId="285A13C3" w14:textId="2E92AD8D" w:rsidR="003B6D4C" w:rsidRPr="00D235B8" w:rsidRDefault="00D235B8" w:rsidP="0061045A">
      <w:pPr>
        <w:numPr>
          <w:ilvl w:val="0"/>
          <w:numId w:val="2"/>
        </w:numPr>
        <w:autoSpaceDE w:val="0"/>
        <w:autoSpaceDN w:val="0"/>
        <w:adjustRightInd w:val="0"/>
        <w:spacing w:before="240" w:after="240" w:line="240" w:lineRule="atLeast"/>
        <w:ind w:left="0" w:firstLine="0"/>
        <w:jc w:val="both"/>
        <w:rPr>
          <w:rFonts w:asciiTheme="minorBidi" w:hAnsiTheme="minorBidi" w:cstheme="minorBidi"/>
          <w:sz w:val="22"/>
          <w:szCs w:val="22"/>
          <w:lang w:val="es-ES"/>
        </w:rPr>
      </w:pPr>
      <w:r w:rsidRPr="00A20F83">
        <w:rPr>
          <w:rFonts w:ascii="Arial" w:hAnsi="Arial" w:cs="Arial"/>
          <w:b/>
          <w:bCs/>
          <w:sz w:val="22"/>
          <w:szCs w:val="22"/>
          <w:lang w:val="es-ES_tradnl"/>
        </w:rPr>
        <w:t>El ICG agradeció</w:t>
      </w:r>
      <w:r w:rsidRPr="00A20F83">
        <w:rPr>
          <w:rFonts w:ascii="Arial" w:hAnsi="Arial" w:cs="Arial"/>
          <w:sz w:val="22"/>
          <w:szCs w:val="22"/>
          <w:lang w:val="es-ES_tradnl"/>
        </w:rPr>
        <w:t xml:space="preserve"> al Gobierno de Indonesia las excelentes disposiciones adoptadas para acoger su 13ª reunión.</w:t>
      </w:r>
    </w:p>
    <w:sectPr w:rsidR="003B6D4C" w:rsidRPr="00D235B8" w:rsidSect="009733D5">
      <w:headerReference w:type="even" r:id="rId13"/>
      <w:headerReference w:type="default" r:id="rId14"/>
      <w:headerReference w:type="first" r:id="rId15"/>
      <w:pgSz w:w="11907" w:h="16840" w:code="9"/>
      <w:pgMar w:top="1418"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FC86" w14:textId="77777777" w:rsidR="00631673" w:rsidRDefault="00631673">
      <w:r>
        <w:separator/>
      </w:r>
    </w:p>
  </w:endnote>
  <w:endnote w:type="continuationSeparator" w:id="0">
    <w:p w14:paraId="68161E75" w14:textId="77777777" w:rsidR="00631673" w:rsidRDefault="0063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44BB" w14:textId="77777777" w:rsidR="00631673" w:rsidRDefault="00631673">
      <w:r>
        <w:separator/>
      </w:r>
    </w:p>
  </w:footnote>
  <w:footnote w:type="continuationSeparator" w:id="0">
    <w:p w14:paraId="3A3FE4CA" w14:textId="77777777" w:rsidR="00631673" w:rsidRDefault="0063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8F95" w14:textId="225231D8" w:rsidR="0002560F" w:rsidRPr="00E93641" w:rsidRDefault="00D235B8" w:rsidP="00D235B8">
    <w:pPr>
      <w:pStyle w:val="Header"/>
      <w:rPr>
        <w:szCs w:val="22"/>
        <w:lang w:val="en-AU"/>
      </w:rPr>
    </w:pPr>
    <w:r w:rsidRPr="00D235B8">
      <w:rPr>
        <w:szCs w:val="22"/>
        <w:lang w:val="es-ES"/>
      </w:rPr>
      <w:t>ICG/IOTWMS-XIII/3s</w:t>
    </w:r>
    <w:r w:rsidR="0002560F" w:rsidRPr="00E93641">
      <w:rPr>
        <w:szCs w:val="22"/>
        <w:lang w:val="en-AU"/>
      </w:rPr>
      <w:t xml:space="preserve"> –</w:t>
    </w:r>
    <w:r w:rsidR="00D200BC" w:rsidRPr="00E93641">
      <w:rPr>
        <w:szCs w:val="22"/>
        <w:lang w:val="en-AU"/>
      </w:rPr>
      <w:t xml:space="preserve"> p</w:t>
    </w:r>
    <w:r w:rsidR="00E93641" w:rsidRPr="00E93641">
      <w:rPr>
        <w:szCs w:val="22"/>
        <w:lang w:val="en-AU"/>
      </w:rPr>
      <w:t>ág.</w:t>
    </w:r>
    <w:r w:rsidR="00D200BC" w:rsidRPr="00E93641">
      <w:rPr>
        <w:szCs w:val="22"/>
        <w:lang w:val="en-AU"/>
      </w:rPr>
      <w:t xml:space="preserve"> </w:t>
    </w:r>
    <w:r w:rsidR="00D200BC" w:rsidRPr="00E93641">
      <w:rPr>
        <w:szCs w:val="22"/>
        <w:lang w:val="en-AU"/>
      </w:rPr>
      <w:fldChar w:fldCharType="begin"/>
    </w:r>
    <w:r w:rsidR="00D200BC" w:rsidRPr="00E93641">
      <w:rPr>
        <w:szCs w:val="22"/>
        <w:lang w:val="en-AU"/>
      </w:rPr>
      <w:instrText>PAGE   \* MERGEFORMAT</w:instrText>
    </w:r>
    <w:r w:rsidR="00D200BC" w:rsidRPr="00E93641">
      <w:rPr>
        <w:szCs w:val="22"/>
        <w:lang w:val="en-AU"/>
      </w:rPr>
      <w:fldChar w:fldCharType="separate"/>
    </w:r>
    <w:r w:rsidR="00681C8D" w:rsidRPr="00E93641">
      <w:rPr>
        <w:noProof/>
        <w:szCs w:val="22"/>
        <w:lang w:val="en-AU"/>
      </w:rPr>
      <w:t>16</w:t>
    </w:r>
    <w:r w:rsidR="00D200BC" w:rsidRPr="00E93641">
      <w:rPr>
        <w:szCs w:val="22"/>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ABEC" w14:textId="7F88FC15" w:rsidR="00ED4416" w:rsidRPr="00E93641" w:rsidRDefault="00D235B8" w:rsidP="0086722F">
    <w:pPr>
      <w:pStyle w:val="Header"/>
      <w:tabs>
        <w:tab w:val="clear" w:pos="8306"/>
      </w:tabs>
      <w:ind w:left="6663"/>
      <w:rPr>
        <w:szCs w:val="22"/>
        <w:lang w:val="en-AU"/>
      </w:rPr>
    </w:pPr>
    <w:r w:rsidRPr="00D235B8">
      <w:rPr>
        <w:szCs w:val="22"/>
        <w:lang w:val="es-ES"/>
      </w:rPr>
      <w:t>ICG/IOTWMS-XIII/3s</w:t>
    </w:r>
    <w:r w:rsidR="003B6D4C" w:rsidRPr="00E93641">
      <w:rPr>
        <w:szCs w:val="22"/>
        <w:lang w:val="en-AU"/>
      </w:rPr>
      <w:t xml:space="preserve"> </w:t>
    </w:r>
    <w:r w:rsidR="0002560F" w:rsidRPr="00E93641">
      <w:rPr>
        <w:szCs w:val="22"/>
        <w:lang w:val="en-AU"/>
      </w:rPr>
      <w:t xml:space="preserve">– </w:t>
    </w:r>
    <w:r w:rsidR="00E93641" w:rsidRPr="00E93641">
      <w:rPr>
        <w:szCs w:val="22"/>
        <w:lang w:val="en-AU"/>
      </w:rPr>
      <w:t>pág.</w:t>
    </w:r>
    <w:r w:rsidR="0002560F" w:rsidRPr="00E93641">
      <w:rPr>
        <w:szCs w:val="22"/>
        <w:lang w:val="en-AU"/>
      </w:rPr>
      <w:t xml:space="preserve"> </w:t>
    </w:r>
    <w:r w:rsidR="0002560F" w:rsidRPr="00E93641">
      <w:rPr>
        <w:szCs w:val="22"/>
        <w:lang w:val="en-AU"/>
      </w:rPr>
      <w:fldChar w:fldCharType="begin"/>
    </w:r>
    <w:r w:rsidR="0002560F" w:rsidRPr="00E93641">
      <w:rPr>
        <w:szCs w:val="22"/>
        <w:lang w:val="en-AU"/>
      </w:rPr>
      <w:instrText>PAGE   \* MERGEFORMAT</w:instrText>
    </w:r>
    <w:r w:rsidR="0002560F" w:rsidRPr="00E93641">
      <w:rPr>
        <w:szCs w:val="22"/>
        <w:lang w:val="en-AU"/>
      </w:rPr>
      <w:fldChar w:fldCharType="separate"/>
    </w:r>
    <w:r w:rsidR="0002560F" w:rsidRPr="00E93641">
      <w:rPr>
        <w:szCs w:val="22"/>
        <w:lang w:val="en-AU"/>
      </w:rPr>
      <w:t>2</w:t>
    </w:r>
    <w:r w:rsidR="0002560F" w:rsidRPr="00E93641">
      <w:rPr>
        <w:szCs w:val="22"/>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FE7" w14:textId="5BB2D4D7" w:rsidR="0002560F" w:rsidRPr="00050737" w:rsidRDefault="00292939" w:rsidP="0028461B">
    <w:pPr>
      <w:ind w:left="142" w:right="96" w:firstLine="3544"/>
      <w:rPr>
        <w:rFonts w:ascii="Arial" w:eastAsia="Arial" w:hAnsi="Arial" w:cs="Arial"/>
        <w:b/>
        <w:bCs/>
        <w:sz w:val="32"/>
        <w:szCs w:val="32"/>
        <w:lang w:val="es-ES"/>
      </w:rPr>
    </w:pPr>
    <w:r>
      <w:rPr>
        <w:noProof/>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02560F" w:rsidRPr="00050737">
      <w:rPr>
        <w:rFonts w:ascii="Arial" w:eastAsia="Arial" w:hAnsi="Arial" w:cs="Arial"/>
        <w:b/>
        <w:bCs/>
        <w:sz w:val="32"/>
        <w:szCs w:val="32"/>
        <w:lang w:val="es-ES"/>
      </w:rPr>
      <w:t>ICG/</w:t>
    </w:r>
    <w:r w:rsidR="0028461B" w:rsidRPr="0028461B">
      <w:rPr>
        <w:rFonts w:ascii="Arial" w:eastAsia="Arial" w:hAnsi="Arial" w:cs="Arial"/>
        <w:b/>
        <w:bCs/>
        <w:sz w:val="32"/>
        <w:szCs w:val="32"/>
        <w:lang w:val="es-ES"/>
      </w:rPr>
      <w:t>IOTWMS-XIII</w:t>
    </w:r>
    <w:r w:rsidR="0002560F" w:rsidRPr="00050737">
      <w:rPr>
        <w:rFonts w:ascii="Arial" w:eastAsia="Arial" w:hAnsi="Arial" w:cs="Arial"/>
        <w:b/>
        <w:bCs/>
        <w:sz w:val="32"/>
        <w:szCs w:val="32"/>
        <w:lang w:val="es-ES"/>
      </w:rPr>
      <w:t>/3s</w:t>
    </w:r>
  </w:p>
  <w:p w14:paraId="47AEA249" w14:textId="6E6B2A1A" w:rsidR="0002560F" w:rsidRPr="00050737" w:rsidRDefault="0028461B" w:rsidP="0028461B">
    <w:pPr>
      <w:ind w:left="142" w:right="96" w:firstLine="3544"/>
      <w:rPr>
        <w:rFonts w:ascii="Arial" w:eastAsia="Arial" w:hAnsi="Arial" w:cs="Arial"/>
        <w:lang w:val="es-ES"/>
      </w:rPr>
    </w:pPr>
    <w:r>
      <w:rPr>
        <w:rFonts w:ascii="Arial" w:eastAsia="Arial" w:hAnsi="Arial" w:cs="Arial"/>
        <w:lang w:val="es-ES"/>
      </w:rPr>
      <w:t>23</w:t>
    </w:r>
    <w:r w:rsidR="00050737" w:rsidRPr="00050737">
      <w:rPr>
        <w:rFonts w:ascii="Arial" w:eastAsia="Arial" w:hAnsi="Arial" w:cs="Arial"/>
        <w:lang w:val="es-ES"/>
      </w:rPr>
      <w:t xml:space="preserve"> de mayo de 2023</w:t>
    </w:r>
  </w:p>
  <w:p w14:paraId="11949D9E" w14:textId="6792C15F" w:rsidR="0002560F" w:rsidRPr="00B14399" w:rsidRDefault="0002560F" w:rsidP="0028461B">
    <w:pPr>
      <w:ind w:left="142" w:right="96" w:firstLine="3544"/>
      <w:rPr>
        <w:rFonts w:ascii="Arial" w:eastAsia="Arial" w:hAnsi="Arial" w:cs="Arial"/>
      </w:rPr>
    </w:pPr>
    <w:r>
      <w:rPr>
        <w:rFonts w:ascii="Arial" w:eastAsia="Arial" w:hAnsi="Arial" w:cs="Arial"/>
      </w:rPr>
      <w:t xml:space="preserve">Original: </w:t>
    </w:r>
    <w:r w:rsidR="00050737" w:rsidRPr="00E93641">
      <w:rPr>
        <w:rFonts w:ascii="Arial" w:eastAsia="Arial" w:hAnsi="Arial" w:cs="Arial"/>
        <w:lang w:val="es-ES_tradnl"/>
      </w:rPr>
      <w:t>inglés</w:t>
    </w:r>
  </w:p>
  <w:p w14:paraId="0D6F7ABD" w14:textId="77777777" w:rsidR="0002560F" w:rsidRPr="00B14399" w:rsidRDefault="0002560F" w:rsidP="0002560F">
    <w:pPr>
      <w:spacing w:before="100" w:beforeAutospacing="1"/>
      <w:ind w:left="5670" w:right="296" w:hanging="56"/>
      <w:jc w:val="right"/>
      <w:rPr>
        <w:rFonts w:ascii="Arial" w:eastAsia="Arial" w:hAnsi="Arial" w:cs="Arial"/>
      </w:rPr>
    </w:pPr>
  </w:p>
  <w:p w14:paraId="4DC3CA99" w14:textId="77777777" w:rsidR="0002560F" w:rsidRPr="00292939" w:rsidRDefault="0002560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9E6002"/>
    <w:multiLevelType w:val="multilevel"/>
    <w:tmpl w:val="E5A2257A"/>
    <w:lvl w:ilvl="0">
      <w:start w:val="1"/>
      <w:numFmt w:val="decimal"/>
      <w:pStyle w:val="Heading1"/>
      <w:suff w:val="space"/>
      <w:lvlText w:val="%1. "/>
      <w:lvlJc w:val="left"/>
      <w:pPr>
        <w:ind w:left="480" w:hanging="480"/>
      </w:pPr>
      <w:rPr>
        <w:rFonts w:hint="default"/>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E7C42D5"/>
    <w:multiLevelType w:val="hybridMultilevel"/>
    <w:tmpl w:val="FD1A67E4"/>
    <w:lvl w:ilvl="0" w:tplc="2B9668EC">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751464695">
    <w:abstractNumId w:val="1"/>
  </w:num>
  <w:num w:numId="2" w16cid:durableId="42291076">
    <w:abstractNumId w:val="0"/>
  </w:num>
  <w:num w:numId="3" w16cid:durableId="74037026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B3"/>
    <w:rsid w:val="000028AE"/>
    <w:rsid w:val="00007232"/>
    <w:rsid w:val="00016195"/>
    <w:rsid w:val="0002013A"/>
    <w:rsid w:val="00021DD8"/>
    <w:rsid w:val="000222C5"/>
    <w:rsid w:val="0002560F"/>
    <w:rsid w:val="000345BF"/>
    <w:rsid w:val="00037FC4"/>
    <w:rsid w:val="00040660"/>
    <w:rsid w:val="000415AB"/>
    <w:rsid w:val="00046F60"/>
    <w:rsid w:val="00050737"/>
    <w:rsid w:val="0005367E"/>
    <w:rsid w:val="0006143E"/>
    <w:rsid w:val="00062B7B"/>
    <w:rsid w:val="000662ED"/>
    <w:rsid w:val="00067EF8"/>
    <w:rsid w:val="00071D44"/>
    <w:rsid w:val="000769BE"/>
    <w:rsid w:val="00081C99"/>
    <w:rsid w:val="00084FB7"/>
    <w:rsid w:val="00087416"/>
    <w:rsid w:val="00091AD2"/>
    <w:rsid w:val="000928F9"/>
    <w:rsid w:val="00097219"/>
    <w:rsid w:val="000A095C"/>
    <w:rsid w:val="000A58AE"/>
    <w:rsid w:val="000B6EC4"/>
    <w:rsid w:val="000C0B00"/>
    <w:rsid w:val="000C394B"/>
    <w:rsid w:val="000D1159"/>
    <w:rsid w:val="000D3316"/>
    <w:rsid w:val="000D5816"/>
    <w:rsid w:val="000E110D"/>
    <w:rsid w:val="000E33B9"/>
    <w:rsid w:val="000E4926"/>
    <w:rsid w:val="000E6E09"/>
    <w:rsid w:val="000F0CEB"/>
    <w:rsid w:val="000F5757"/>
    <w:rsid w:val="000F6011"/>
    <w:rsid w:val="000F7B1C"/>
    <w:rsid w:val="001048BE"/>
    <w:rsid w:val="001100EC"/>
    <w:rsid w:val="00113A8E"/>
    <w:rsid w:val="00123440"/>
    <w:rsid w:val="00131950"/>
    <w:rsid w:val="001322DE"/>
    <w:rsid w:val="0014434D"/>
    <w:rsid w:val="001474EE"/>
    <w:rsid w:val="00151636"/>
    <w:rsid w:val="00152ECA"/>
    <w:rsid w:val="0015539E"/>
    <w:rsid w:val="001577ED"/>
    <w:rsid w:val="001616E0"/>
    <w:rsid w:val="0016230E"/>
    <w:rsid w:val="00167CAA"/>
    <w:rsid w:val="001740DD"/>
    <w:rsid w:val="0017491B"/>
    <w:rsid w:val="00175A1B"/>
    <w:rsid w:val="001834E7"/>
    <w:rsid w:val="00190E87"/>
    <w:rsid w:val="001978CF"/>
    <w:rsid w:val="001A14AB"/>
    <w:rsid w:val="001A2DDC"/>
    <w:rsid w:val="001A42A2"/>
    <w:rsid w:val="001C768E"/>
    <w:rsid w:val="001C7DE3"/>
    <w:rsid w:val="001D19EF"/>
    <w:rsid w:val="001D3C3F"/>
    <w:rsid w:val="001E2484"/>
    <w:rsid w:val="001E4830"/>
    <w:rsid w:val="001F501B"/>
    <w:rsid w:val="00206629"/>
    <w:rsid w:val="00210904"/>
    <w:rsid w:val="00214108"/>
    <w:rsid w:val="00216C2A"/>
    <w:rsid w:val="002244DB"/>
    <w:rsid w:val="00227240"/>
    <w:rsid w:val="00230469"/>
    <w:rsid w:val="0023152A"/>
    <w:rsid w:val="00233C55"/>
    <w:rsid w:val="002346CE"/>
    <w:rsid w:val="00235DE1"/>
    <w:rsid w:val="00243DCA"/>
    <w:rsid w:val="00244EBD"/>
    <w:rsid w:val="002501B1"/>
    <w:rsid w:val="00250383"/>
    <w:rsid w:val="00252C9D"/>
    <w:rsid w:val="00254BA9"/>
    <w:rsid w:val="00256CB1"/>
    <w:rsid w:val="00260F52"/>
    <w:rsid w:val="00264DD3"/>
    <w:rsid w:val="002708F3"/>
    <w:rsid w:val="0027267C"/>
    <w:rsid w:val="00274670"/>
    <w:rsid w:val="00275C2B"/>
    <w:rsid w:val="00280EAF"/>
    <w:rsid w:val="0028461B"/>
    <w:rsid w:val="00284862"/>
    <w:rsid w:val="00284BE6"/>
    <w:rsid w:val="002863E9"/>
    <w:rsid w:val="002864B0"/>
    <w:rsid w:val="00286681"/>
    <w:rsid w:val="002870A2"/>
    <w:rsid w:val="00292939"/>
    <w:rsid w:val="0029483A"/>
    <w:rsid w:val="002963C2"/>
    <w:rsid w:val="00297910"/>
    <w:rsid w:val="002A105C"/>
    <w:rsid w:val="002A7FE1"/>
    <w:rsid w:val="002B0CF1"/>
    <w:rsid w:val="002B1D7A"/>
    <w:rsid w:val="002B2067"/>
    <w:rsid w:val="002B7356"/>
    <w:rsid w:val="002B75A8"/>
    <w:rsid w:val="002C20F3"/>
    <w:rsid w:val="002C2D92"/>
    <w:rsid w:val="002C2E8E"/>
    <w:rsid w:val="002C3FE3"/>
    <w:rsid w:val="002C4A1C"/>
    <w:rsid w:val="002D1E01"/>
    <w:rsid w:val="002D32E2"/>
    <w:rsid w:val="002D445E"/>
    <w:rsid w:val="002E0C6C"/>
    <w:rsid w:val="002E2128"/>
    <w:rsid w:val="002E3B4A"/>
    <w:rsid w:val="002E60A1"/>
    <w:rsid w:val="002E74C2"/>
    <w:rsid w:val="002F154A"/>
    <w:rsid w:val="002F4A9F"/>
    <w:rsid w:val="003023E9"/>
    <w:rsid w:val="00313177"/>
    <w:rsid w:val="00313C0D"/>
    <w:rsid w:val="0031493E"/>
    <w:rsid w:val="0031587A"/>
    <w:rsid w:val="003224D8"/>
    <w:rsid w:val="003248B5"/>
    <w:rsid w:val="0032738A"/>
    <w:rsid w:val="0032782B"/>
    <w:rsid w:val="00330C5B"/>
    <w:rsid w:val="00334B80"/>
    <w:rsid w:val="00337957"/>
    <w:rsid w:val="00340541"/>
    <w:rsid w:val="003422D1"/>
    <w:rsid w:val="00343536"/>
    <w:rsid w:val="00343C94"/>
    <w:rsid w:val="00346F3E"/>
    <w:rsid w:val="003500D9"/>
    <w:rsid w:val="00352F6A"/>
    <w:rsid w:val="00354A21"/>
    <w:rsid w:val="003603E8"/>
    <w:rsid w:val="00360686"/>
    <w:rsid w:val="00360AE3"/>
    <w:rsid w:val="003635C5"/>
    <w:rsid w:val="003667F8"/>
    <w:rsid w:val="00372CED"/>
    <w:rsid w:val="00375F45"/>
    <w:rsid w:val="0038382E"/>
    <w:rsid w:val="00383CFC"/>
    <w:rsid w:val="0039106E"/>
    <w:rsid w:val="00391F90"/>
    <w:rsid w:val="00392BD5"/>
    <w:rsid w:val="00397BC3"/>
    <w:rsid w:val="003B0792"/>
    <w:rsid w:val="003B6D4C"/>
    <w:rsid w:val="003B7C02"/>
    <w:rsid w:val="003C3EA4"/>
    <w:rsid w:val="003C68AA"/>
    <w:rsid w:val="003C6F53"/>
    <w:rsid w:val="003D0094"/>
    <w:rsid w:val="003D212E"/>
    <w:rsid w:val="003D2D60"/>
    <w:rsid w:val="003D36F0"/>
    <w:rsid w:val="003D5EF6"/>
    <w:rsid w:val="003E34BF"/>
    <w:rsid w:val="003E5544"/>
    <w:rsid w:val="003F1803"/>
    <w:rsid w:val="003F5B1B"/>
    <w:rsid w:val="003F73CA"/>
    <w:rsid w:val="00400BB2"/>
    <w:rsid w:val="00405DBE"/>
    <w:rsid w:val="00406AAC"/>
    <w:rsid w:val="00406E17"/>
    <w:rsid w:val="00413B75"/>
    <w:rsid w:val="004179D1"/>
    <w:rsid w:val="00420D08"/>
    <w:rsid w:val="00426AC3"/>
    <w:rsid w:val="00430EC6"/>
    <w:rsid w:val="00432256"/>
    <w:rsid w:val="004350D0"/>
    <w:rsid w:val="0043558D"/>
    <w:rsid w:val="004362C1"/>
    <w:rsid w:val="00440E04"/>
    <w:rsid w:val="00445B95"/>
    <w:rsid w:val="00446F2D"/>
    <w:rsid w:val="004470D7"/>
    <w:rsid w:val="00447A37"/>
    <w:rsid w:val="004526D0"/>
    <w:rsid w:val="00454419"/>
    <w:rsid w:val="004557F6"/>
    <w:rsid w:val="00456AA4"/>
    <w:rsid w:val="00457198"/>
    <w:rsid w:val="00464281"/>
    <w:rsid w:val="004661E9"/>
    <w:rsid w:val="004667BD"/>
    <w:rsid w:val="00467ED9"/>
    <w:rsid w:val="004702C1"/>
    <w:rsid w:val="00473EC8"/>
    <w:rsid w:val="004752CC"/>
    <w:rsid w:val="004774D6"/>
    <w:rsid w:val="00480216"/>
    <w:rsid w:val="00491656"/>
    <w:rsid w:val="00495B14"/>
    <w:rsid w:val="00495FDD"/>
    <w:rsid w:val="00496E4E"/>
    <w:rsid w:val="004A0297"/>
    <w:rsid w:val="004A227E"/>
    <w:rsid w:val="004A5C43"/>
    <w:rsid w:val="004A6E34"/>
    <w:rsid w:val="004B25EE"/>
    <w:rsid w:val="004B7EFA"/>
    <w:rsid w:val="004C0701"/>
    <w:rsid w:val="004C43B3"/>
    <w:rsid w:val="004C5E24"/>
    <w:rsid w:val="004C7706"/>
    <w:rsid w:val="004D6AA1"/>
    <w:rsid w:val="004D79DE"/>
    <w:rsid w:val="004E30F7"/>
    <w:rsid w:val="004E4907"/>
    <w:rsid w:val="004E6AED"/>
    <w:rsid w:val="004E6C7B"/>
    <w:rsid w:val="004F3918"/>
    <w:rsid w:val="004F57BF"/>
    <w:rsid w:val="004F6404"/>
    <w:rsid w:val="004F717A"/>
    <w:rsid w:val="005003A3"/>
    <w:rsid w:val="00500675"/>
    <w:rsid w:val="00501540"/>
    <w:rsid w:val="00502140"/>
    <w:rsid w:val="005027F0"/>
    <w:rsid w:val="00504212"/>
    <w:rsid w:val="005108ED"/>
    <w:rsid w:val="00512CE2"/>
    <w:rsid w:val="00513812"/>
    <w:rsid w:val="00513920"/>
    <w:rsid w:val="005170CF"/>
    <w:rsid w:val="00517DCE"/>
    <w:rsid w:val="00521DD9"/>
    <w:rsid w:val="00531D0A"/>
    <w:rsid w:val="005328C7"/>
    <w:rsid w:val="00534168"/>
    <w:rsid w:val="005366C4"/>
    <w:rsid w:val="00544463"/>
    <w:rsid w:val="00544E7F"/>
    <w:rsid w:val="00552A5F"/>
    <w:rsid w:val="00555060"/>
    <w:rsid w:val="00557F6B"/>
    <w:rsid w:val="005657CD"/>
    <w:rsid w:val="00573759"/>
    <w:rsid w:val="00574792"/>
    <w:rsid w:val="005826D6"/>
    <w:rsid w:val="00584F71"/>
    <w:rsid w:val="00587E35"/>
    <w:rsid w:val="005925C2"/>
    <w:rsid w:val="00593B35"/>
    <w:rsid w:val="0059603A"/>
    <w:rsid w:val="005A17BC"/>
    <w:rsid w:val="005A36A5"/>
    <w:rsid w:val="005A47AE"/>
    <w:rsid w:val="005A580E"/>
    <w:rsid w:val="005A6545"/>
    <w:rsid w:val="005A72D3"/>
    <w:rsid w:val="005A7FCF"/>
    <w:rsid w:val="005B7CF1"/>
    <w:rsid w:val="005C2F5E"/>
    <w:rsid w:val="005C3618"/>
    <w:rsid w:val="005C3E0A"/>
    <w:rsid w:val="005C7187"/>
    <w:rsid w:val="005D2CEB"/>
    <w:rsid w:val="005D3F66"/>
    <w:rsid w:val="005D4281"/>
    <w:rsid w:val="005E17FB"/>
    <w:rsid w:val="005E502D"/>
    <w:rsid w:val="0060629F"/>
    <w:rsid w:val="0061045A"/>
    <w:rsid w:val="00611CCF"/>
    <w:rsid w:val="00613CA3"/>
    <w:rsid w:val="0061626A"/>
    <w:rsid w:val="006162A8"/>
    <w:rsid w:val="00620C97"/>
    <w:rsid w:val="006223BC"/>
    <w:rsid w:val="00622F24"/>
    <w:rsid w:val="00624056"/>
    <w:rsid w:val="00624592"/>
    <w:rsid w:val="00630731"/>
    <w:rsid w:val="00631673"/>
    <w:rsid w:val="00633693"/>
    <w:rsid w:val="00642C2D"/>
    <w:rsid w:val="0064557C"/>
    <w:rsid w:val="00655444"/>
    <w:rsid w:val="00667EEC"/>
    <w:rsid w:val="006700B1"/>
    <w:rsid w:val="00672545"/>
    <w:rsid w:val="0067285A"/>
    <w:rsid w:val="00675589"/>
    <w:rsid w:val="00677032"/>
    <w:rsid w:val="00681C8D"/>
    <w:rsid w:val="00683F75"/>
    <w:rsid w:val="006903A1"/>
    <w:rsid w:val="00691B4F"/>
    <w:rsid w:val="00692EAF"/>
    <w:rsid w:val="00695921"/>
    <w:rsid w:val="00697EAB"/>
    <w:rsid w:val="006A083A"/>
    <w:rsid w:val="006A2045"/>
    <w:rsid w:val="006A3FAA"/>
    <w:rsid w:val="006A5012"/>
    <w:rsid w:val="006B0977"/>
    <w:rsid w:val="006B410C"/>
    <w:rsid w:val="006B6117"/>
    <w:rsid w:val="006B6591"/>
    <w:rsid w:val="006C094C"/>
    <w:rsid w:val="006C5D0B"/>
    <w:rsid w:val="006C71E7"/>
    <w:rsid w:val="006E3204"/>
    <w:rsid w:val="006E4934"/>
    <w:rsid w:val="006F2184"/>
    <w:rsid w:val="007017E5"/>
    <w:rsid w:val="00701A5F"/>
    <w:rsid w:val="0070487B"/>
    <w:rsid w:val="00705E7C"/>
    <w:rsid w:val="00706404"/>
    <w:rsid w:val="00706651"/>
    <w:rsid w:val="007067FD"/>
    <w:rsid w:val="00710047"/>
    <w:rsid w:val="00712B56"/>
    <w:rsid w:val="00713ED1"/>
    <w:rsid w:val="007147F7"/>
    <w:rsid w:val="007207BC"/>
    <w:rsid w:val="007220D5"/>
    <w:rsid w:val="00723888"/>
    <w:rsid w:val="00735A9C"/>
    <w:rsid w:val="007367A9"/>
    <w:rsid w:val="00742174"/>
    <w:rsid w:val="007426D7"/>
    <w:rsid w:val="0075069A"/>
    <w:rsid w:val="00753398"/>
    <w:rsid w:val="00766995"/>
    <w:rsid w:val="007706E0"/>
    <w:rsid w:val="00771BB0"/>
    <w:rsid w:val="00775376"/>
    <w:rsid w:val="007757FF"/>
    <w:rsid w:val="00780A7E"/>
    <w:rsid w:val="0078168E"/>
    <w:rsid w:val="0078470A"/>
    <w:rsid w:val="007869DA"/>
    <w:rsid w:val="00787067"/>
    <w:rsid w:val="0079106A"/>
    <w:rsid w:val="00791B4E"/>
    <w:rsid w:val="0079589F"/>
    <w:rsid w:val="00797688"/>
    <w:rsid w:val="007A121B"/>
    <w:rsid w:val="007A31A5"/>
    <w:rsid w:val="007A4F17"/>
    <w:rsid w:val="007A7CD2"/>
    <w:rsid w:val="007B0703"/>
    <w:rsid w:val="007B096B"/>
    <w:rsid w:val="007B1CB3"/>
    <w:rsid w:val="007B7B8C"/>
    <w:rsid w:val="007C6513"/>
    <w:rsid w:val="007C6B88"/>
    <w:rsid w:val="007E1425"/>
    <w:rsid w:val="007E3326"/>
    <w:rsid w:val="007F3093"/>
    <w:rsid w:val="007F3C5B"/>
    <w:rsid w:val="007F421D"/>
    <w:rsid w:val="007F5B10"/>
    <w:rsid w:val="007F70C2"/>
    <w:rsid w:val="00800CAE"/>
    <w:rsid w:val="00803403"/>
    <w:rsid w:val="0080426C"/>
    <w:rsid w:val="00807F42"/>
    <w:rsid w:val="00810D2B"/>
    <w:rsid w:val="008112A5"/>
    <w:rsid w:val="00825326"/>
    <w:rsid w:val="008271DC"/>
    <w:rsid w:val="00827F94"/>
    <w:rsid w:val="00830877"/>
    <w:rsid w:val="00831742"/>
    <w:rsid w:val="008447C2"/>
    <w:rsid w:val="00845B89"/>
    <w:rsid w:val="00845D67"/>
    <w:rsid w:val="00845EF2"/>
    <w:rsid w:val="008608DA"/>
    <w:rsid w:val="00862177"/>
    <w:rsid w:val="00863201"/>
    <w:rsid w:val="0086480C"/>
    <w:rsid w:val="00864D3F"/>
    <w:rsid w:val="00865E10"/>
    <w:rsid w:val="0086722F"/>
    <w:rsid w:val="00875477"/>
    <w:rsid w:val="00876D39"/>
    <w:rsid w:val="00882C34"/>
    <w:rsid w:val="00892174"/>
    <w:rsid w:val="008925A1"/>
    <w:rsid w:val="0089672B"/>
    <w:rsid w:val="008A0BA8"/>
    <w:rsid w:val="008A0CD0"/>
    <w:rsid w:val="008A2E82"/>
    <w:rsid w:val="008A35AC"/>
    <w:rsid w:val="008A5293"/>
    <w:rsid w:val="008A52B5"/>
    <w:rsid w:val="008B226E"/>
    <w:rsid w:val="008B2A26"/>
    <w:rsid w:val="008B2BD3"/>
    <w:rsid w:val="008B3BA1"/>
    <w:rsid w:val="008B4593"/>
    <w:rsid w:val="008B4F45"/>
    <w:rsid w:val="008B5BA9"/>
    <w:rsid w:val="008C68D5"/>
    <w:rsid w:val="008D1AC4"/>
    <w:rsid w:val="008D23A7"/>
    <w:rsid w:val="008D3B5D"/>
    <w:rsid w:val="008D4127"/>
    <w:rsid w:val="008D6203"/>
    <w:rsid w:val="008D7692"/>
    <w:rsid w:val="008E00AF"/>
    <w:rsid w:val="008E031B"/>
    <w:rsid w:val="008E0E79"/>
    <w:rsid w:val="008E1331"/>
    <w:rsid w:val="008E7EE4"/>
    <w:rsid w:val="008F1E7D"/>
    <w:rsid w:val="008F636F"/>
    <w:rsid w:val="008F7410"/>
    <w:rsid w:val="0090097F"/>
    <w:rsid w:val="009012FB"/>
    <w:rsid w:val="0090637E"/>
    <w:rsid w:val="00906C32"/>
    <w:rsid w:val="00910D40"/>
    <w:rsid w:val="0091329A"/>
    <w:rsid w:val="00914D1B"/>
    <w:rsid w:val="00926F56"/>
    <w:rsid w:val="009328C6"/>
    <w:rsid w:val="00934BC2"/>
    <w:rsid w:val="0094074C"/>
    <w:rsid w:val="00945D82"/>
    <w:rsid w:val="00956D94"/>
    <w:rsid w:val="00961CBC"/>
    <w:rsid w:val="00965D35"/>
    <w:rsid w:val="00973394"/>
    <w:rsid w:val="009733D5"/>
    <w:rsid w:val="00974348"/>
    <w:rsid w:val="00980298"/>
    <w:rsid w:val="00982E9A"/>
    <w:rsid w:val="0098300C"/>
    <w:rsid w:val="00985E91"/>
    <w:rsid w:val="00986B09"/>
    <w:rsid w:val="00990B2E"/>
    <w:rsid w:val="0099773E"/>
    <w:rsid w:val="009A16EB"/>
    <w:rsid w:val="009A2421"/>
    <w:rsid w:val="009A5EF3"/>
    <w:rsid w:val="009B40C0"/>
    <w:rsid w:val="009B4F5E"/>
    <w:rsid w:val="009B6F5D"/>
    <w:rsid w:val="009B6FED"/>
    <w:rsid w:val="009B7735"/>
    <w:rsid w:val="009C3259"/>
    <w:rsid w:val="009C7258"/>
    <w:rsid w:val="009D00E1"/>
    <w:rsid w:val="009D1A97"/>
    <w:rsid w:val="009D2284"/>
    <w:rsid w:val="009D383D"/>
    <w:rsid w:val="009D6D3B"/>
    <w:rsid w:val="009D728B"/>
    <w:rsid w:val="009D7586"/>
    <w:rsid w:val="009D795A"/>
    <w:rsid w:val="009E38F6"/>
    <w:rsid w:val="009E40ED"/>
    <w:rsid w:val="009E66B7"/>
    <w:rsid w:val="009E7609"/>
    <w:rsid w:val="009F2DB1"/>
    <w:rsid w:val="009F358B"/>
    <w:rsid w:val="00A01196"/>
    <w:rsid w:val="00A11EAA"/>
    <w:rsid w:val="00A131F3"/>
    <w:rsid w:val="00A15F51"/>
    <w:rsid w:val="00A16F2E"/>
    <w:rsid w:val="00A22A5D"/>
    <w:rsid w:val="00A2593A"/>
    <w:rsid w:val="00A312AE"/>
    <w:rsid w:val="00A35B4B"/>
    <w:rsid w:val="00A36557"/>
    <w:rsid w:val="00A4296D"/>
    <w:rsid w:val="00A650E7"/>
    <w:rsid w:val="00A67A5A"/>
    <w:rsid w:val="00A72DEB"/>
    <w:rsid w:val="00A72F48"/>
    <w:rsid w:val="00A7384A"/>
    <w:rsid w:val="00A73909"/>
    <w:rsid w:val="00A7523E"/>
    <w:rsid w:val="00A77034"/>
    <w:rsid w:val="00A80062"/>
    <w:rsid w:val="00A84C0A"/>
    <w:rsid w:val="00A87789"/>
    <w:rsid w:val="00A9166D"/>
    <w:rsid w:val="00A9248B"/>
    <w:rsid w:val="00A9582C"/>
    <w:rsid w:val="00AA5F8E"/>
    <w:rsid w:val="00AA79CA"/>
    <w:rsid w:val="00AB0B28"/>
    <w:rsid w:val="00AB5D77"/>
    <w:rsid w:val="00AC23D0"/>
    <w:rsid w:val="00AC26F5"/>
    <w:rsid w:val="00AC62E5"/>
    <w:rsid w:val="00AC774E"/>
    <w:rsid w:val="00AD3217"/>
    <w:rsid w:val="00AD32DA"/>
    <w:rsid w:val="00AD514D"/>
    <w:rsid w:val="00AD5EF1"/>
    <w:rsid w:val="00AD69EB"/>
    <w:rsid w:val="00AD7B70"/>
    <w:rsid w:val="00AE4CA8"/>
    <w:rsid w:val="00AE59C0"/>
    <w:rsid w:val="00AE5E89"/>
    <w:rsid w:val="00AF1361"/>
    <w:rsid w:val="00AF630E"/>
    <w:rsid w:val="00B01FD3"/>
    <w:rsid w:val="00B03C9D"/>
    <w:rsid w:val="00B04E29"/>
    <w:rsid w:val="00B06E1C"/>
    <w:rsid w:val="00B24E37"/>
    <w:rsid w:val="00B278E7"/>
    <w:rsid w:val="00B30BA8"/>
    <w:rsid w:val="00B35B9C"/>
    <w:rsid w:val="00B37B66"/>
    <w:rsid w:val="00B4120C"/>
    <w:rsid w:val="00B440F6"/>
    <w:rsid w:val="00B4553A"/>
    <w:rsid w:val="00B4665F"/>
    <w:rsid w:val="00B531EE"/>
    <w:rsid w:val="00B53212"/>
    <w:rsid w:val="00B53726"/>
    <w:rsid w:val="00B81D5F"/>
    <w:rsid w:val="00B82A4B"/>
    <w:rsid w:val="00B83266"/>
    <w:rsid w:val="00B87FAB"/>
    <w:rsid w:val="00B907B7"/>
    <w:rsid w:val="00B93AF3"/>
    <w:rsid w:val="00B93D7F"/>
    <w:rsid w:val="00B96458"/>
    <w:rsid w:val="00BA03C2"/>
    <w:rsid w:val="00BA04FB"/>
    <w:rsid w:val="00BA5892"/>
    <w:rsid w:val="00BB0D11"/>
    <w:rsid w:val="00BB463C"/>
    <w:rsid w:val="00BC1FDA"/>
    <w:rsid w:val="00BC5A53"/>
    <w:rsid w:val="00BC71C4"/>
    <w:rsid w:val="00BD5436"/>
    <w:rsid w:val="00BD77DB"/>
    <w:rsid w:val="00BE3304"/>
    <w:rsid w:val="00BE4116"/>
    <w:rsid w:val="00BE49DF"/>
    <w:rsid w:val="00BE4EC7"/>
    <w:rsid w:val="00BE548F"/>
    <w:rsid w:val="00BF0539"/>
    <w:rsid w:val="00BF1047"/>
    <w:rsid w:val="00BF29E7"/>
    <w:rsid w:val="00BF5E0E"/>
    <w:rsid w:val="00C01EA7"/>
    <w:rsid w:val="00C05C91"/>
    <w:rsid w:val="00C101A5"/>
    <w:rsid w:val="00C11792"/>
    <w:rsid w:val="00C12B73"/>
    <w:rsid w:val="00C17591"/>
    <w:rsid w:val="00C20B6E"/>
    <w:rsid w:val="00C20C1D"/>
    <w:rsid w:val="00C21D4A"/>
    <w:rsid w:val="00C2267C"/>
    <w:rsid w:val="00C252E8"/>
    <w:rsid w:val="00C26E6F"/>
    <w:rsid w:val="00C30A50"/>
    <w:rsid w:val="00C37AA2"/>
    <w:rsid w:val="00C451DA"/>
    <w:rsid w:val="00C45CE4"/>
    <w:rsid w:val="00C473B1"/>
    <w:rsid w:val="00C540AA"/>
    <w:rsid w:val="00C55101"/>
    <w:rsid w:val="00C55AD9"/>
    <w:rsid w:val="00C56440"/>
    <w:rsid w:val="00C567B1"/>
    <w:rsid w:val="00C609E6"/>
    <w:rsid w:val="00C62833"/>
    <w:rsid w:val="00C6421B"/>
    <w:rsid w:val="00C64F5D"/>
    <w:rsid w:val="00C66FBE"/>
    <w:rsid w:val="00C91C36"/>
    <w:rsid w:val="00C93B82"/>
    <w:rsid w:val="00CA04F9"/>
    <w:rsid w:val="00CA25E2"/>
    <w:rsid w:val="00CA6637"/>
    <w:rsid w:val="00CB2996"/>
    <w:rsid w:val="00CB47C8"/>
    <w:rsid w:val="00CC1617"/>
    <w:rsid w:val="00CC1C7E"/>
    <w:rsid w:val="00CC1DEE"/>
    <w:rsid w:val="00CD0E4A"/>
    <w:rsid w:val="00CD170E"/>
    <w:rsid w:val="00CD5999"/>
    <w:rsid w:val="00CD6DEB"/>
    <w:rsid w:val="00CE043C"/>
    <w:rsid w:val="00CE1201"/>
    <w:rsid w:val="00CE3E74"/>
    <w:rsid w:val="00CE7A15"/>
    <w:rsid w:val="00CE7C81"/>
    <w:rsid w:val="00CF1773"/>
    <w:rsid w:val="00D021EB"/>
    <w:rsid w:val="00D0618C"/>
    <w:rsid w:val="00D105B3"/>
    <w:rsid w:val="00D1724B"/>
    <w:rsid w:val="00D200BC"/>
    <w:rsid w:val="00D21A30"/>
    <w:rsid w:val="00D235B8"/>
    <w:rsid w:val="00D23D69"/>
    <w:rsid w:val="00D24AF1"/>
    <w:rsid w:val="00D314D7"/>
    <w:rsid w:val="00D325A4"/>
    <w:rsid w:val="00D3492F"/>
    <w:rsid w:val="00D34FB6"/>
    <w:rsid w:val="00D35E41"/>
    <w:rsid w:val="00D3638C"/>
    <w:rsid w:val="00D363B0"/>
    <w:rsid w:val="00D37991"/>
    <w:rsid w:val="00D42CDE"/>
    <w:rsid w:val="00D44B26"/>
    <w:rsid w:val="00D46F18"/>
    <w:rsid w:val="00D46FF6"/>
    <w:rsid w:val="00D47C62"/>
    <w:rsid w:val="00D56E2F"/>
    <w:rsid w:val="00D63BB5"/>
    <w:rsid w:val="00D64521"/>
    <w:rsid w:val="00D646E1"/>
    <w:rsid w:val="00D6533E"/>
    <w:rsid w:val="00D656BF"/>
    <w:rsid w:val="00D679ED"/>
    <w:rsid w:val="00D703FF"/>
    <w:rsid w:val="00D727B3"/>
    <w:rsid w:val="00D7677F"/>
    <w:rsid w:val="00D812F3"/>
    <w:rsid w:val="00D814EB"/>
    <w:rsid w:val="00D83CFB"/>
    <w:rsid w:val="00D8762F"/>
    <w:rsid w:val="00D92195"/>
    <w:rsid w:val="00D924F7"/>
    <w:rsid w:val="00D92505"/>
    <w:rsid w:val="00D92BC4"/>
    <w:rsid w:val="00D93951"/>
    <w:rsid w:val="00D93E88"/>
    <w:rsid w:val="00D94B20"/>
    <w:rsid w:val="00DB2841"/>
    <w:rsid w:val="00DB33DB"/>
    <w:rsid w:val="00DB595F"/>
    <w:rsid w:val="00DB7FDE"/>
    <w:rsid w:val="00DC6AD4"/>
    <w:rsid w:val="00DD21B5"/>
    <w:rsid w:val="00DD5C67"/>
    <w:rsid w:val="00DD634E"/>
    <w:rsid w:val="00DE36C4"/>
    <w:rsid w:val="00DE3758"/>
    <w:rsid w:val="00DE6D07"/>
    <w:rsid w:val="00DF11DE"/>
    <w:rsid w:val="00DF4111"/>
    <w:rsid w:val="00DF7C2F"/>
    <w:rsid w:val="00E04A98"/>
    <w:rsid w:val="00E123A4"/>
    <w:rsid w:val="00E12E4B"/>
    <w:rsid w:val="00E152DE"/>
    <w:rsid w:val="00E24AA2"/>
    <w:rsid w:val="00E25A01"/>
    <w:rsid w:val="00E3020D"/>
    <w:rsid w:val="00E40BA2"/>
    <w:rsid w:val="00E43611"/>
    <w:rsid w:val="00E4633C"/>
    <w:rsid w:val="00E507A8"/>
    <w:rsid w:val="00E52DBC"/>
    <w:rsid w:val="00E60136"/>
    <w:rsid w:val="00E66912"/>
    <w:rsid w:val="00E70B0C"/>
    <w:rsid w:val="00E73F98"/>
    <w:rsid w:val="00E74D27"/>
    <w:rsid w:val="00E750B3"/>
    <w:rsid w:val="00E830E6"/>
    <w:rsid w:val="00E83C62"/>
    <w:rsid w:val="00E87446"/>
    <w:rsid w:val="00E9087D"/>
    <w:rsid w:val="00E93641"/>
    <w:rsid w:val="00E97785"/>
    <w:rsid w:val="00EA06F9"/>
    <w:rsid w:val="00EB5A1B"/>
    <w:rsid w:val="00EC0733"/>
    <w:rsid w:val="00EC3D7D"/>
    <w:rsid w:val="00EC3E66"/>
    <w:rsid w:val="00EC51BC"/>
    <w:rsid w:val="00EC7990"/>
    <w:rsid w:val="00ED06DF"/>
    <w:rsid w:val="00ED1E3F"/>
    <w:rsid w:val="00ED25B6"/>
    <w:rsid w:val="00ED386B"/>
    <w:rsid w:val="00ED4416"/>
    <w:rsid w:val="00ED551C"/>
    <w:rsid w:val="00ED59AF"/>
    <w:rsid w:val="00ED743D"/>
    <w:rsid w:val="00EE2BB9"/>
    <w:rsid w:val="00EE415A"/>
    <w:rsid w:val="00EF07EB"/>
    <w:rsid w:val="00EF0831"/>
    <w:rsid w:val="00EF43CF"/>
    <w:rsid w:val="00EF7631"/>
    <w:rsid w:val="00F0149C"/>
    <w:rsid w:val="00F04D60"/>
    <w:rsid w:val="00F05B77"/>
    <w:rsid w:val="00F05BF2"/>
    <w:rsid w:val="00F06E82"/>
    <w:rsid w:val="00F10511"/>
    <w:rsid w:val="00F10B6C"/>
    <w:rsid w:val="00F1126D"/>
    <w:rsid w:val="00F15DCF"/>
    <w:rsid w:val="00F15E7D"/>
    <w:rsid w:val="00F26183"/>
    <w:rsid w:val="00F3046C"/>
    <w:rsid w:val="00F31EBF"/>
    <w:rsid w:val="00F35EE4"/>
    <w:rsid w:val="00F35FCF"/>
    <w:rsid w:val="00F36C9A"/>
    <w:rsid w:val="00F371EF"/>
    <w:rsid w:val="00F37BE0"/>
    <w:rsid w:val="00F4194C"/>
    <w:rsid w:val="00F44251"/>
    <w:rsid w:val="00F50B5E"/>
    <w:rsid w:val="00F5113F"/>
    <w:rsid w:val="00F51C44"/>
    <w:rsid w:val="00F546F1"/>
    <w:rsid w:val="00F56928"/>
    <w:rsid w:val="00F62F46"/>
    <w:rsid w:val="00F631D6"/>
    <w:rsid w:val="00F652F1"/>
    <w:rsid w:val="00F726C9"/>
    <w:rsid w:val="00F74D25"/>
    <w:rsid w:val="00F74EFD"/>
    <w:rsid w:val="00F755B8"/>
    <w:rsid w:val="00F85F10"/>
    <w:rsid w:val="00F8662B"/>
    <w:rsid w:val="00F90A7B"/>
    <w:rsid w:val="00F90DC3"/>
    <w:rsid w:val="00F934FD"/>
    <w:rsid w:val="00F96A18"/>
    <w:rsid w:val="00F96A9C"/>
    <w:rsid w:val="00FA4BF2"/>
    <w:rsid w:val="00FB0B3A"/>
    <w:rsid w:val="00FB0B78"/>
    <w:rsid w:val="00FB3B0A"/>
    <w:rsid w:val="00FB752D"/>
    <w:rsid w:val="00FC10D6"/>
    <w:rsid w:val="00FD05FF"/>
    <w:rsid w:val="00FD08B8"/>
    <w:rsid w:val="00FD156D"/>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qFormat/>
    <w:pPr>
      <w:keepNext/>
      <w:numPr>
        <w:numId w:val="1"/>
      </w:numPr>
      <w:spacing w:before="240" w:after="60"/>
      <w:outlineLvl w:val="0"/>
    </w:pPr>
    <w:rPr>
      <w:rFonts w:ascii="Times New Roman Bold" w:hAnsi="Times New Roman Bold" w:cs="Arial"/>
      <w:bCs/>
      <w:caps/>
      <w:kern w:val="32"/>
    </w:rPr>
  </w:style>
  <w:style w:type="paragraph" w:styleId="Heading2">
    <w:name w:val="heading 2"/>
    <w:basedOn w:val="Normal"/>
    <w:next w:val="Normal"/>
    <w:qFormat/>
    <w:rsid w:val="00C473B1"/>
    <w:pPr>
      <w:numPr>
        <w:ilvl w:val="1"/>
        <w:numId w:val="1"/>
      </w:numPr>
      <w:spacing w:before="240" w:after="60"/>
      <w:ind w:left="0" w:firstLine="0"/>
      <w:outlineLvl w:val="1"/>
    </w:pPr>
    <w:rPr>
      <w:rFonts w:hAnsi="Times New Roman Bold" w:cs="Arial"/>
      <w:bCs/>
      <w:iCs/>
      <w:cap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Heading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Heading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Heading7">
    <w:name w:val="heading 7"/>
    <w:basedOn w:val="Normal"/>
    <w:next w:val="Normal"/>
    <w:qFormat/>
    <w:rsid w:val="008D23A7"/>
    <w:pPr>
      <w:tabs>
        <w:tab w:val="num" w:pos="1296"/>
      </w:tabs>
      <w:spacing w:before="240" w:after="60"/>
      <w:ind w:left="1296" w:hanging="1296"/>
      <w:outlineLvl w:val="6"/>
    </w:pPr>
    <w:rPr>
      <w:lang w:val="en-US"/>
    </w:rPr>
  </w:style>
  <w:style w:type="paragraph" w:styleId="Heading8">
    <w:name w:val="heading 8"/>
    <w:basedOn w:val="Normal"/>
    <w:next w:val="Normal"/>
    <w:qFormat/>
    <w:rsid w:val="008D23A7"/>
    <w:pPr>
      <w:tabs>
        <w:tab w:val="num" w:pos="1440"/>
      </w:tabs>
      <w:spacing w:before="240" w:after="60"/>
      <w:ind w:left="1440" w:hanging="1440"/>
      <w:outlineLvl w:val="7"/>
    </w:pPr>
    <w:rPr>
      <w:i/>
      <w:iCs/>
      <w:lang w:val="en-US"/>
    </w:rPr>
  </w:style>
  <w:style w:type="paragraph" w:styleId="Heading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D34FB6"/>
    <w:rPr>
      <w:color w:val="0000FF"/>
      <w:u w:val="single"/>
    </w:rPr>
  </w:style>
  <w:style w:type="character" w:styleId="CommentReference">
    <w:name w:val="annotation reference"/>
    <w:semiHidden/>
    <w:rsid w:val="00BA03C2"/>
    <w:rPr>
      <w:sz w:val="16"/>
      <w:szCs w:val="16"/>
    </w:rPr>
  </w:style>
  <w:style w:type="paragraph" w:styleId="CommentText">
    <w:name w:val="annotation text"/>
    <w:basedOn w:val="Normal"/>
    <w:semiHidden/>
    <w:rsid w:val="00BA03C2"/>
    <w:rPr>
      <w:sz w:val="20"/>
      <w:szCs w:val="20"/>
    </w:rPr>
  </w:style>
  <w:style w:type="paragraph" w:styleId="CommentSubject">
    <w:name w:val="annotation subject"/>
    <w:basedOn w:val="CommentText"/>
    <w:next w:val="CommentText"/>
    <w:semiHidden/>
    <w:rsid w:val="00BA03C2"/>
    <w:rPr>
      <w:b/>
      <w:bCs/>
    </w:rPr>
  </w:style>
  <w:style w:type="paragraph" w:styleId="Header">
    <w:name w:val="header"/>
    <w:basedOn w:val="Normal"/>
    <w:link w:val="HeaderCh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Footer">
    <w:name w:val="footer"/>
    <w:basedOn w:val="Normal"/>
    <w:rsid w:val="008D23A7"/>
    <w:pPr>
      <w:tabs>
        <w:tab w:val="center" w:pos="4153"/>
        <w:tab w:val="right" w:pos="8306"/>
      </w:tabs>
    </w:pPr>
    <w:rPr>
      <w:lang w:val="en-US"/>
    </w:rPr>
  </w:style>
  <w:style w:type="paragraph" w:styleId="BodyTextIndent3">
    <w:name w:val="Body Text Indent 3"/>
    <w:basedOn w:val="Normal"/>
    <w:rsid w:val="008D23A7"/>
    <w:pPr>
      <w:ind w:left="7200"/>
    </w:pPr>
    <w:rPr>
      <w:sz w:val="22"/>
      <w:lang w:val="fr-FR"/>
    </w:rPr>
  </w:style>
  <w:style w:type="paragraph" w:customStyle="1" w:styleId="COI">
    <w:name w:val="COI"/>
    <w:basedOn w:val="Marge"/>
    <w:autoRedefine/>
    <w:rsid w:val="0061045A"/>
    <w:pPr>
      <w:numPr>
        <w:numId w:val="3"/>
      </w:numPr>
      <w:tabs>
        <w:tab w:val="clear" w:pos="567"/>
      </w:tabs>
      <w:spacing w:after="120"/>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PageNumber">
    <w:name w:val="page number"/>
    <w:basedOn w:val="DefaultParagraphFont"/>
    <w:rsid w:val="007A121B"/>
  </w:style>
  <w:style w:type="table" w:styleId="TableGrid">
    <w:name w:val="Table Grid"/>
    <w:basedOn w:val="Table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814EB"/>
    <w:rPr>
      <w:rFonts w:ascii="Times New Roman Bold" w:hAnsi="Times New Roman Bold" w:cs="Arial"/>
      <w:bCs/>
      <w:caps/>
      <w:kern w:val="32"/>
      <w:sz w:val="24"/>
      <w:szCs w:val="24"/>
      <w:lang w:val="en-AU" w:eastAsia="en-US"/>
    </w:rPr>
  </w:style>
  <w:style w:type="character" w:customStyle="1" w:styleId="CharChar">
    <w:name w:val="Char Char"/>
    <w:locked/>
    <w:rsid w:val="007B1CB3"/>
    <w:rPr>
      <w:rFonts w:ascii="Times New Roman Bold" w:hAnsi="Times New Roman Bold" w:cs="Arial"/>
      <w:bCs/>
      <w:caps/>
      <w:kern w:val="32"/>
      <w:sz w:val="24"/>
      <w:szCs w:val="24"/>
      <w:lang w:val="en-AU" w:eastAsia="en-US" w:bidi="ar-SA"/>
    </w:rPr>
  </w:style>
  <w:style w:type="paragraph" w:styleId="FootnoteText">
    <w:name w:val="footnote text"/>
    <w:basedOn w:val="Normal"/>
    <w:semiHidden/>
    <w:rsid w:val="009C7258"/>
    <w:rPr>
      <w:sz w:val="20"/>
      <w:szCs w:val="20"/>
    </w:rPr>
  </w:style>
  <w:style w:type="character" w:styleId="FootnoteReference">
    <w:name w:val="footnote reference"/>
    <w:semiHidden/>
    <w:rsid w:val="009C7258"/>
    <w:rPr>
      <w:vertAlign w:val="superscript"/>
    </w:rPr>
  </w:style>
  <w:style w:type="paragraph" w:styleId="NoSpacing">
    <w:name w:val="No Spacing"/>
    <w:uiPriority w:val="1"/>
    <w:qFormat/>
    <w:rsid w:val="00244EBD"/>
    <w:rPr>
      <w:rFonts w:ascii="Calibri" w:eastAsia="Calibri" w:hAnsi="Calibri"/>
      <w:sz w:val="22"/>
      <w:szCs w:val="22"/>
      <w:lang w:val="en-AU" w:eastAsia="en-US"/>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
    <w:basedOn w:val="Normal"/>
    <w:uiPriority w:val="1"/>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FollowedHyperlink">
    <w:name w:val="FollowedHyperlink"/>
    <w:rsid w:val="00DD5C67"/>
    <w:rPr>
      <w:color w:val="954F72"/>
      <w:u w:val="single"/>
    </w:rPr>
  </w:style>
  <w:style w:type="character" w:customStyle="1" w:styleId="HeaderChar">
    <w:name w:val="Header Char"/>
    <w:link w:val="Header"/>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styleId="UnresolvedMention">
    <w:name w:val="Unresolved Mention"/>
    <w:uiPriority w:val="99"/>
    <w:semiHidden/>
    <w:unhideWhenUsed/>
    <w:rsid w:val="009A5EF3"/>
    <w:rPr>
      <w:color w:val="605E5C"/>
      <w:shd w:val="clear" w:color="auto" w:fill="E1DFDD"/>
    </w:rPr>
  </w:style>
  <w:style w:type="paragraph" w:styleId="Revision">
    <w:name w:val="Revision"/>
    <w:hidden/>
    <w:uiPriority w:val="99"/>
    <w:semiHidden/>
    <w:rsid w:val="000A58AE"/>
    <w:rPr>
      <w:sz w:val="24"/>
      <w:szCs w:val="24"/>
      <w:lang w:val="en-AU" w:eastAsia="en-US"/>
    </w:rPr>
  </w:style>
  <w:style w:type="paragraph" w:styleId="BodyText">
    <w:name w:val="Body Text"/>
    <w:basedOn w:val="Normal"/>
    <w:link w:val="BodyTextChar"/>
    <w:rsid w:val="003B7C02"/>
    <w:pPr>
      <w:spacing w:after="120"/>
    </w:pPr>
  </w:style>
  <w:style w:type="character" w:customStyle="1" w:styleId="BodyTextChar">
    <w:name w:val="Body Text Char"/>
    <w:link w:val="BodyText"/>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eanexpert.org/event/36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3672"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CD7F4-036F-470C-B0EC-21210DC32E62}">
  <ds:schemaRefs>
    <ds:schemaRef ds:uri="http://schemas.microsoft.com/office/2006/metadata/properties"/>
    <ds:schemaRef ds:uri="http://schemas.microsoft.com/office/infopath/2007/PartnerControls"/>
    <ds:schemaRef ds:uri="de86eab3-7e79-4a6c-9299-b0d67a87b48e"/>
  </ds:schemaRefs>
</ds:datastoreItem>
</file>

<file path=customXml/itemProps2.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6A973-2DC3-764D-8B58-B1BFD0EFB22F}">
  <ds:schemaRefs>
    <ds:schemaRef ds:uri="http://schemas.openxmlformats.org/officeDocument/2006/bibliography"/>
  </ds:schemaRefs>
</ds:datastoreItem>
</file>

<file path=customXml/itemProps4.xml><?xml version="1.0" encoding="utf-8"?>
<ds:datastoreItem xmlns:ds="http://schemas.openxmlformats.org/officeDocument/2006/customXml" ds:itemID="{FB8569D7-DF91-478F-975C-764F1FA7E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7935</Characters>
  <Application>Microsoft Office Word</Application>
  <DocSecurity>4</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Comisión Oceanográfica Intergubernamental_x000d_
(de la UNESCO)_x000d_
16ª reunión del grupo intergubernamental de coordinación del sistema de alerta contra los tsunamis y otras amenazas costeras en el Caribe y regiones adyacentes _x000d_
25 a 28 de abril de 2023, San José</vt:lpstr>
      <vt:lpstr/>
    </vt:vector>
  </TitlesOfParts>
  <Company>IOC</Company>
  <LinksUpToDate>false</LinksUpToDate>
  <CharactersWithSpaces>9481</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Oceanográfica Intergubernamental_x000d_
(de la UNESCO)_x000d_
13ª reunión del grupo intergubernamental de coordinación del sistema de alerta contra los tsunamis y atenuación de sus efectos en el Océano Índico_x000d_
Bali (Indonesia)_x000d_
28 de noviembre-1 de diciembre de 2022</dc:title>
  <dc:subject>ICG/IOTWMS-XIII/3S</dc:subject>
  <dc:creator>bille</dc:creator>
  <cp:keywords/>
  <dc:description/>
  <cp:lastModifiedBy>Boned, Patrice</cp:lastModifiedBy>
  <cp:revision>2</cp:revision>
  <cp:lastPrinted>2015-05-19T11:47:00Z</cp:lastPrinted>
  <dcterms:created xsi:type="dcterms:W3CDTF">2023-06-17T09:19:00Z</dcterms:created>
  <dcterms:modified xsi:type="dcterms:W3CDTF">2023-06-17T09:19:00Z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y fmtid="{D5CDD505-2E9C-101B-9397-08002B2CF9AE}" pid="3" name="JobDCPMS">
    <vt:lpwstr>202301880</vt:lpwstr>
  </property>
  <property fmtid="{D5CDD505-2E9C-101B-9397-08002B2CF9AE}" pid="4" name="Language">
    <vt:lpwstr>S</vt:lpwstr>
  </property>
</Properties>
</file>