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B83068" w:rsidRPr="006842FA" w14:paraId="0A1A3F69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DAC9C43" w14:textId="77777777" w:rsidR="00467E3F" w:rsidRPr="00B81254" w:rsidRDefault="00B83068" w:rsidP="00853565">
            <w:pPr>
              <w:pStyle w:val="Marge"/>
              <w:jc w:val="center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Резюме</w:t>
            </w:r>
          </w:p>
          <w:p w14:paraId="1AB3DC8B" w14:textId="74DB5111" w:rsidR="00BE68AF" w:rsidRPr="00B81254" w:rsidRDefault="00BE68AF" w:rsidP="00056BF7">
            <w:pPr>
              <w:pStyle w:val="Marge"/>
              <w:rPr>
                <w:rFonts w:cs="Arial"/>
                <w:szCs w:val="22"/>
                <w:u w:val="single"/>
                <w:lang w:val="ru-RU"/>
              </w:rPr>
            </w:pPr>
            <w:r>
              <w:rPr>
                <w:rFonts w:cs="Arial"/>
                <w:szCs w:val="22"/>
                <w:lang w:val="ru"/>
              </w:rPr>
              <w:t>Совместная исследовательская группа ВМО, МОК, МНС и ЮНЕП по Глобальной системе наблюдения за климатом (СИГ-ГСНК) была сформирована в 2020 году в рамках Комиссии по инфраструктуре ВМО. Совместная исследовательская группа рассмотрела управление и структуру ГСНК, сделав ряд ключевых рекомендаций для рассмотрения спонсорами ГСНК (см. полный доклад GCOS-246).</w:t>
            </w:r>
          </w:p>
          <w:p w14:paraId="7462AF3F" w14:textId="60BD738F" w:rsidR="00413F17" w:rsidRPr="00B81254" w:rsidRDefault="00937F04" w:rsidP="00056BF7">
            <w:pPr>
              <w:pStyle w:val="Marge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lang w:val="ru"/>
              </w:rPr>
              <w:t>В этом документе представлены рабочее резюме, рекомендации высокого уровня и рекомендации СИГ-ГСНК, которые касаются МОК и являются предметом решения.</w:t>
            </w:r>
          </w:p>
          <w:p w14:paraId="144A136E" w14:textId="1F5FE26D" w:rsidR="00467E3F" w:rsidRPr="00B81254" w:rsidRDefault="00467E3F" w:rsidP="00056BF7">
            <w:pPr>
              <w:pStyle w:val="Marge"/>
              <w:rPr>
                <w:rFonts w:cs="Arial"/>
                <w:szCs w:val="22"/>
                <w:lang w:val="ru-RU"/>
              </w:rPr>
            </w:pPr>
            <w:r>
              <w:rPr>
                <w:rFonts w:cs="Arial"/>
                <w:szCs w:val="22"/>
                <w:u w:val="single"/>
                <w:lang w:val="ru"/>
              </w:rPr>
              <w:t>Финансовые и административные последствия</w:t>
            </w:r>
            <w:r>
              <w:rPr>
                <w:rFonts w:cs="Arial"/>
                <w:szCs w:val="22"/>
                <w:lang w:val="ru"/>
              </w:rPr>
              <w:t xml:space="preserve">: пункт 32. </w:t>
            </w:r>
          </w:p>
          <w:p w14:paraId="6CF4E5A1" w14:textId="376BB3DF" w:rsidR="00737A18" w:rsidRPr="00467E3F" w:rsidRDefault="00413F17" w:rsidP="00003B31">
            <w:pPr>
              <w:pStyle w:val="Marge"/>
              <w:spacing w:after="120"/>
              <w:rPr>
                <w:rFonts w:cs="Arial"/>
                <w:szCs w:val="22"/>
              </w:rPr>
            </w:pPr>
            <w:r>
              <w:rPr>
                <w:szCs w:val="22"/>
                <w:u w:val="single"/>
                <w:lang w:val="ru"/>
              </w:rPr>
              <w:t>Предлагаемое решение</w:t>
            </w:r>
            <w:r>
              <w:rPr>
                <w:szCs w:val="22"/>
                <w:lang w:val="ru"/>
              </w:rPr>
              <w:t xml:space="preserve"> представлено в документе о принятых и предлагаемых мерах </w:t>
            </w:r>
            <w:r>
              <w:rPr>
                <w:lang w:val="ru"/>
              </w:rPr>
              <w:t>(документ IOC-32/AP Prov.Rev.)</w:t>
            </w:r>
            <w:r>
              <w:rPr>
                <w:szCs w:val="22"/>
                <w:lang w:val="ru"/>
              </w:rPr>
              <w:t xml:space="preserve"> под номером Реш. A-32/4.10</w:t>
            </w:r>
          </w:p>
        </w:tc>
      </w:tr>
    </w:tbl>
    <w:p w14:paraId="2BFF649B" w14:textId="77777777" w:rsidR="00746B89" w:rsidRPr="006842FA" w:rsidRDefault="00746B89" w:rsidP="009F3DCE">
      <w:pPr>
        <w:pStyle w:val="Heading3"/>
        <w:sectPr w:rsidR="00746B89" w:rsidRPr="006842FA" w:rsidSect="003F7186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47AFA76A" w14:textId="1E74E345" w:rsidR="00737A18" w:rsidRDefault="00C13B34" w:rsidP="009F3DCE">
      <w:pPr>
        <w:pStyle w:val="Heading3"/>
      </w:pPr>
      <w:r>
        <w:rPr>
          <w:lang w:val="ru"/>
        </w:rPr>
        <w:lastRenderedPageBreak/>
        <w:t>Рабочее резюме</w:t>
      </w:r>
    </w:p>
    <w:p w14:paraId="55D23CA5" w14:textId="349445E6" w:rsidR="00C13B34" w:rsidRPr="00B81254" w:rsidRDefault="00C13B34" w:rsidP="0057237F">
      <w:pPr>
        <w:pStyle w:val="COI"/>
        <w:rPr>
          <w:lang w:val="ru-RU"/>
        </w:rPr>
      </w:pPr>
      <w:r>
        <w:rPr>
          <w:lang w:val="ru"/>
        </w:rPr>
        <w:t>Совместная исследовательская группа ВМО, МОК, МНС и ЮНЕП по Глобальной системе наблюдений за климатом (СИГ-ГСНК) была сформирована в 2020 году (круг ведения включен в Приложение D, а состав участников — в Приложение E полного доклада, GCOS-246). Под руководством двух сопредседателей, Цинчэнь Чао (CMA</w:t>
      </w:r>
      <w:r>
        <w:rPr>
          <w:vertAlign w:val="superscript"/>
          <w:lang w:val="ru"/>
        </w:rPr>
        <w:footnoteReference w:id="1"/>
      </w:r>
      <w:r>
        <w:rPr>
          <w:lang w:val="ru"/>
        </w:rPr>
        <w:t>) и Мартина Висбека (GEOMAR</w:t>
      </w:r>
      <w:r>
        <w:rPr>
          <w:vertAlign w:val="superscript"/>
          <w:lang w:val="ru"/>
        </w:rPr>
        <w:footnoteReference w:id="2"/>
      </w:r>
      <w:r>
        <w:rPr>
          <w:lang w:val="ru"/>
        </w:rPr>
        <w:t xml:space="preserve">), Совместная исследовательская группа рассмотрела управление и структуру ГСНК. </w:t>
      </w:r>
    </w:p>
    <w:p w14:paraId="7D6D5BF5" w14:textId="78E4967C" w:rsidR="00C13B34" w:rsidRPr="00B81254" w:rsidRDefault="00C13B34" w:rsidP="0057237F">
      <w:pPr>
        <w:pStyle w:val="COI"/>
        <w:rPr>
          <w:lang w:val="ru-RU"/>
        </w:rPr>
      </w:pPr>
      <w:r>
        <w:rPr>
          <w:lang w:val="ru"/>
        </w:rPr>
        <w:t>Роль ГСНК заключается в поддержке [...] соответствующих аспектов [...] глобальных программ, связанных с климатом. В частности, ГСНК будет обеспечивать удовлетворение потребностей в данных для мониторинга климатической системы с целью оценки последствий изменчивости и изменения климата и практического применения полученных научных данных в интересах национального экономического развития, а также в проведении исследований, которые обеспечили бы более глубокое понимание климатической системы и более широкие возможности с точки зрения моделирования климата и составления прогнозов (Меморандум о взаимопонимании 1998 года)</w:t>
      </w:r>
      <w:r>
        <w:rPr>
          <w:vertAlign w:val="superscript"/>
          <w:lang w:val="ru"/>
        </w:rPr>
        <w:footnoteReference w:id="3"/>
      </w:r>
      <w:r>
        <w:rPr>
          <w:lang w:val="ru"/>
        </w:rPr>
        <w:t>.</w:t>
      </w:r>
    </w:p>
    <w:p w14:paraId="676DB3EC" w14:textId="393A82C6" w:rsidR="00C13B34" w:rsidRPr="00B81254" w:rsidRDefault="00C13B34" w:rsidP="0057237F">
      <w:pPr>
        <w:pStyle w:val="COI"/>
        <w:rPr>
          <w:lang w:val="ru-RU"/>
        </w:rPr>
      </w:pPr>
      <w:r>
        <w:rPr>
          <w:lang w:val="ru"/>
        </w:rPr>
        <w:t xml:space="preserve">ГСНК играет жизненно важную роль в обеспечении глобальной координации наблюдений за климатом для своевременного предоставления информации, установления передовой практики и методов для обеспечения высокого качества и калибровки, продвижения системы, пригодной для использования по многим параметрам, и обеспечения легкого доступа к данным и информации для всех пользователей. </w:t>
      </w:r>
    </w:p>
    <w:p w14:paraId="769C508E" w14:textId="14B7B8E1" w:rsidR="00C13B34" w:rsidRPr="00B81254" w:rsidRDefault="00C13B34" w:rsidP="0057237F">
      <w:pPr>
        <w:pStyle w:val="COI"/>
        <w:rPr>
          <w:lang w:val="ru-RU"/>
        </w:rPr>
      </w:pPr>
      <w:r>
        <w:rPr>
          <w:lang w:val="ru"/>
        </w:rPr>
        <w:t xml:space="preserve">Компетентность и опыт ГСНК, а также ее успех в предоставлении важнейшей базовой информации для международных климатических процессов (РКИК ООН) получили широкое признание. Однако взгляд на нее на национальном уровне и в научном сообществе неоднозначен. </w:t>
      </w:r>
    </w:p>
    <w:p w14:paraId="65CB4009" w14:textId="54731EFD" w:rsidR="00C13B34" w:rsidRPr="00B81254" w:rsidRDefault="00C13B34" w:rsidP="0057237F">
      <w:pPr>
        <w:pStyle w:val="COI"/>
        <w:rPr>
          <w:lang w:val="ru-RU"/>
        </w:rPr>
      </w:pPr>
      <w:r>
        <w:rPr>
          <w:lang w:val="ru"/>
        </w:rPr>
        <w:t xml:space="preserve">В последний раз спонсоры проводили проверку ГСНК в 2014 году и внесли некоторые предложения по изменению. Однако управление никоим образом не изменилось. Спустя 30 лет ее нынешняя структура требует пересмотра, обновления и укрепления в некоторых областях, она нуждается в более прозрачных отношениях со спонсорами, наблюдательными сетями, сторонниками и ключевыми пользователями. Необходима большая ясность в том, как рекомендации ГСНК могут быть реализованы широким кругом заинтересованных сторон и сетевых партнеров. Финансирование координации ГСНК, а также ряда ее сетей нуждается в усовершенствовании, учитывая различные национальные реалии и, как следствие, неравномерное участие. </w:t>
      </w:r>
    </w:p>
    <w:p w14:paraId="41647B33" w14:textId="370E8EA4" w:rsidR="00C13B34" w:rsidRPr="00B81254" w:rsidRDefault="00C13B34" w:rsidP="0057237F">
      <w:pPr>
        <w:pStyle w:val="COI"/>
        <w:rPr>
          <w:lang w:val="ru-RU"/>
        </w:rPr>
      </w:pPr>
      <w:r>
        <w:rPr>
          <w:lang w:val="ru"/>
        </w:rPr>
        <w:t xml:space="preserve">СИГ-ГСНК собрала информацию о программе ГСНК и активно обсудила текущую ситуацию. СИГ-ГСНК создала ряд подгрупп и консультаций и при поддержке секретариата ГСНК провела детальный анализ ситуации в ГСНК и представила промежуточный отчет, в котором прокомментировала некоторые элементы и аспекты программы, дав спонсорам пищу для размышления. </w:t>
      </w:r>
    </w:p>
    <w:p w14:paraId="72B8F9F6" w14:textId="77777777" w:rsidR="00C13B34" w:rsidRPr="00B81254" w:rsidRDefault="00C13B34" w:rsidP="00056BF7">
      <w:pPr>
        <w:pStyle w:val="COI"/>
        <w:spacing w:after="120"/>
        <w:rPr>
          <w:lang w:val="ru-RU"/>
        </w:rPr>
      </w:pPr>
      <w:r>
        <w:rPr>
          <w:lang w:val="ru"/>
        </w:rPr>
        <w:t>СИГ-ГСНК выявила много сильных сторон:</w:t>
      </w:r>
    </w:p>
    <w:p w14:paraId="680DB097" w14:textId="77777777" w:rsidR="00C13B34" w:rsidRPr="00B81254" w:rsidRDefault="00C13B34" w:rsidP="00056BF7">
      <w:pPr>
        <w:pStyle w:val="COI"/>
        <w:numPr>
          <w:ilvl w:val="0"/>
          <w:numId w:val="14"/>
        </w:numPr>
        <w:spacing w:after="120"/>
        <w:rPr>
          <w:lang w:val="ru-RU"/>
        </w:rPr>
      </w:pPr>
      <w:r>
        <w:rPr>
          <w:lang w:val="ru"/>
        </w:rPr>
        <w:t>ГСНК признана мощным и авторитетным механизмом для международной координации, планирования, развития и обзора систем и сетей наблюдений за климатом.</w:t>
      </w:r>
    </w:p>
    <w:p w14:paraId="2D67C941" w14:textId="77777777" w:rsidR="00C13B34" w:rsidRPr="00B81254" w:rsidRDefault="00C13B34" w:rsidP="00056BF7">
      <w:pPr>
        <w:pStyle w:val="COI"/>
        <w:numPr>
          <w:ilvl w:val="0"/>
          <w:numId w:val="14"/>
        </w:numPr>
        <w:spacing w:after="120"/>
        <w:rPr>
          <w:lang w:val="ru-RU"/>
        </w:rPr>
      </w:pPr>
      <w:r>
        <w:rPr>
          <w:lang w:val="ru"/>
        </w:rPr>
        <w:lastRenderedPageBreak/>
        <w:t>Большой научный и технический опыт групп и руководящего комитета, а также эффективные рабочие механизмы, существующие между ними, обеспечивают эффективный вклад в план реализации ГСНК и отчеты о состоянии ГСНК.</w:t>
      </w:r>
    </w:p>
    <w:p w14:paraId="677036BB" w14:textId="703D925C" w:rsidR="00C13B34" w:rsidRPr="00B81254" w:rsidRDefault="00C13B34" w:rsidP="00056BF7">
      <w:pPr>
        <w:pStyle w:val="COI"/>
        <w:numPr>
          <w:ilvl w:val="0"/>
          <w:numId w:val="14"/>
        </w:numPr>
        <w:spacing w:after="120"/>
        <w:rPr>
          <w:lang w:val="ru-RU"/>
        </w:rPr>
      </w:pPr>
      <w:r>
        <w:rPr>
          <w:lang w:val="ru"/>
        </w:rPr>
        <w:t>ГСНК признана одним из ключевых международных координационных механизмов, который способствует проведению наблюдений за климатом сетями, поддерживаемыми ВМО, ГСНО, космическими наблюдениями, координируемыми КЕОС и КГМС, а также многими другими сетями других крупных спонсоров. ГСНК разработала и внедрила концепцию основных климатических переменных (ОКП), которая получила широкое одобрение со стороны сообщества и научных программ.</w:t>
      </w:r>
    </w:p>
    <w:p w14:paraId="11577E73" w14:textId="448301EB" w:rsidR="00C13B34" w:rsidRPr="00B81254" w:rsidRDefault="00C13B34" w:rsidP="00056BF7">
      <w:pPr>
        <w:pStyle w:val="COI"/>
        <w:numPr>
          <w:ilvl w:val="0"/>
          <w:numId w:val="14"/>
        </w:numPr>
        <w:spacing w:after="120"/>
        <w:rPr>
          <w:lang w:val="ru-RU"/>
        </w:rPr>
      </w:pPr>
      <w:r>
        <w:rPr>
          <w:lang w:val="ru"/>
        </w:rPr>
        <w:t>ГСНК уполномочена регулярно отчитываться перед Сторонами РКИК ООН о своей работе и достигнутом прогрессе. Она отчитывается перед Вспомогательным органом для консультирования по научным и техническим аспектам (ВОКНТА) и таким образом предоставляет РКИК ООН отчеты о состоянии дел и планы реализации, которые признаются Конференцией Сторон (например, Решение 19/CP.22).</w:t>
      </w:r>
    </w:p>
    <w:p w14:paraId="6B503665" w14:textId="70ED7420" w:rsidR="00C13B34" w:rsidRPr="00B81254" w:rsidRDefault="00C13B34" w:rsidP="00056BF7">
      <w:pPr>
        <w:pStyle w:val="COI"/>
        <w:numPr>
          <w:ilvl w:val="0"/>
          <w:numId w:val="14"/>
        </w:numPr>
        <w:spacing w:after="120"/>
        <w:rPr>
          <w:lang w:val="ru-RU"/>
        </w:rPr>
      </w:pPr>
      <w:r>
        <w:rPr>
          <w:lang w:val="ru"/>
        </w:rPr>
        <w:t>ГСНК признана ведущим независимым эталоном в определении требований к наблюдениям за климатом</w:t>
      </w:r>
      <w:r>
        <w:rPr>
          <w:b/>
          <w:bCs/>
          <w:lang w:val="ru"/>
        </w:rPr>
        <w:t xml:space="preserve"> </w:t>
      </w:r>
      <w:r>
        <w:rPr>
          <w:lang w:val="ru"/>
        </w:rPr>
        <w:t>для мониторинга климата в интересах науки, прикладных программ и более широких потребностей заинтересованных сторон, в том числе в поддержку мер и политики по адаптации и смягчению последствий изменения климата и все более широкого спектра климатических услуг.</w:t>
      </w:r>
    </w:p>
    <w:p w14:paraId="7F43BB32" w14:textId="608CF512" w:rsidR="00C13B34" w:rsidRPr="00C13B34" w:rsidRDefault="00C13B34" w:rsidP="00056BF7">
      <w:pPr>
        <w:pStyle w:val="COI"/>
        <w:numPr>
          <w:ilvl w:val="0"/>
          <w:numId w:val="14"/>
        </w:numPr>
        <w:spacing w:after="120"/>
        <w:ind w:hanging="357"/>
      </w:pPr>
      <w:r>
        <w:rPr>
          <w:lang w:val="ru"/>
        </w:rPr>
        <w:t>Несмотря на достигнутые на сегодняшний день успехи, некоторые области нуждаются в улучшении. В частности, СИГ-ГСНК рекомендовала пересмотреть мандат, чтобы лучше отразить текущую ситуацию и обеспечить сохранение актуальности и функциональности ГСНК. Обновленный мандат должен затрагивать следующие области:</w:t>
      </w:r>
    </w:p>
    <w:p w14:paraId="541C236B" w14:textId="77777777" w:rsidR="00C13B34" w:rsidRPr="00B81254" w:rsidRDefault="00C13B34" w:rsidP="00056BF7">
      <w:pPr>
        <w:pStyle w:val="COI"/>
        <w:numPr>
          <w:ilvl w:val="0"/>
          <w:numId w:val="11"/>
        </w:numPr>
        <w:spacing w:after="120"/>
        <w:ind w:hanging="357"/>
        <w:rPr>
          <w:lang w:val="ru-RU"/>
        </w:rPr>
      </w:pPr>
      <w:r>
        <w:rPr>
          <w:lang w:val="ru"/>
        </w:rPr>
        <w:t>Обеспечение более целенаправленного и упорядоченного механизма управления, включая положения об эффективном руководящем комитете, который определяет стратегию и участие ГСНК и выступает за устойчивые и систематические наблюдения за климатом.</w:t>
      </w:r>
    </w:p>
    <w:p w14:paraId="51ED12BA" w14:textId="77777777" w:rsidR="00C13B34" w:rsidRPr="00B81254" w:rsidRDefault="00C13B34" w:rsidP="00056BF7">
      <w:pPr>
        <w:pStyle w:val="COI"/>
        <w:numPr>
          <w:ilvl w:val="0"/>
          <w:numId w:val="11"/>
        </w:numPr>
        <w:spacing w:after="120"/>
        <w:ind w:hanging="357"/>
        <w:rPr>
          <w:lang w:val="ru-RU"/>
        </w:rPr>
      </w:pPr>
      <w:r>
        <w:rPr>
          <w:lang w:val="ru"/>
        </w:rPr>
        <w:t xml:space="preserve">Уточнение порядка финансирования программы и секретариата ГСНК, чтобы она могла выполнять свои координационные функции и поддерживать сети и системы данных. </w:t>
      </w:r>
    </w:p>
    <w:p w14:paraId="22A7BDBC" w14:textId="77777777" w:rsidR="00C13B34" w:rsidRPr="00B81254" w:rsidRDefault="00C13B34" w:rsidP="00056BF7">
      <w:pPr>
        <w:pStyle w:val="COI"/>
        <w:numPr>
          <w:ilvl w:val="0"/>
          <w:numId w:val="11"/>
        </w:numPr>
        <w:spacing w:after="120"/>
        <w:ind w:hanging="357"/>
        <w:rPr>
          <w:lang w:val="ru-RU"/>
        </w:rPr>
      </w:pPr>
      <w:r>
        <w:rPr>
          <w:lang w:val="ru"/>
        </w:rPr>
        <w:t>Формулирование дополнительных потребностей в наблюдениях для адаптации, смягчения последствий и климатических услуг.</w:t>
      </w:r>
    </w:p>
    <w:p w14:paraId="2C44821E" w14:textId="77777777" w:rsidR="00C13B34" w:rsidRPr="00B81254" w:rsidRDefault="00C13B34" w:rsidP="00056BF7">
      <w:pPr>
        <w:pStyle w:val="COI"/>
        <w:numPr>
          <w:ilvl w:val="0"/>
          <w:numId w:val="11"/>
        </w:numPr>
        <w:spacing w:after="120"/>
        <w:ind w:hanging="357"/>
        <w:rPr>
          <w:lang w:val="ru-RU"/>
        </w:rPr>
      </w:pPr>
      <w:r>
        <w:rPr>
          <w:lang w:val="ru"/>
        </w:rPr>
        <w:t>Предоставление ГСНК четких возможностей для выработки рекомендаций для своих спонсоров и вспомогательных сетей (включая вклад в нормативный материал, руководства и передовой опыт).</w:t>
      </w:r>
    </w:p>
    <w:p w14:paraId="5D41D46D" w14:textId="77777777" w:rsidR="00C13B34" w:rsidRPr="00B81254" w:rsidRDefault="00C13B34" w:rsidP="00056BF7">
      <w:pPr>
        <w:pStyle w:val="COI"/>
        <w:numPr>
          <w:ilvl w:val="0"/>
          <w:numId w:val="11"/>
        </w:numPr>
        <w:spacing w:after="120"/>
        <w:ind w:hanging="357"/>
        <w:rPr>
          <w:lang w:val="ru-RU"/>
        </w:rPr>
      </w:pPr>
      <w:r>
        <w:rPr>
          <w:lang w:val="ru"/>
        </w:rPr>
        <w:t>Обеспечение более широкого и устойчивого вовлечения и глобального участия в ГСНК.</w:t>
      </w:r>
    </w:p>
    <w:p w14:paraId="7A91B0CB" w14:textId="7E53A928" w:rsidR="00C13B34" w:rsidRPr="00B81254" w:rsidRDefault="00C13B34" w:rsidP="00056BF7">
      <w:pPr>
        <w:pStyle w:val="COI"/>
        <w:numPr>
          <w:ilvl w:val="0"/>
          <w:numId w:val="11"/>
        </w:numPr>
        <w:rPr>
          <w:lang w:val="ru-RU"/>
        </w:rPr>
      </w:pPr>
      <w:r>
        <w:rPr>
          <w:lang w:val="ru"/>
        </w:rPr>
        <w:t>Расширение и укрепление понимания потребностей и поддержки программ постоянных наблюдений на «глобальном Юге».</w:t>
      </w:r>
    </w:p>
    <w:p w14:paraId="79540AA2" w14:textId="456BA18E" w:rsidR="00C13B34" w:rsidRPr="00B81254" w:rsidRDefault="00C13B34" w:rsidP="0057237F">
      <w:pPr>
        <w:pStyle w:val="COI"/>
        <w:rPr>
          <w:lang w:val="ru-RU"/>
        </w:rPr>
      </w:pPr>
      <w:bookmarkStart w:id="0" w:name="_heading=h.1fob9te" w:colFirst="0" w:colLast="0"/>
      <w:bookmarkEnd w:id="0"/>
      <w:r>
        <w:rPr>
          <w:lang w:val="ru"/>
        </w:rPr>
        <w:t xml:space="preserve">СИГ-ГСНК представила шесть рекомендаций высокого уровня, обобщающих отдельные результаты, и определила еще 16 дополнительных рекомендаций.  </w:t>
      </w:r>
    </w:p>
    <w:p w14:paraId="4C127140" w14:textId="1901780F" w:rsidR="00C13B34" w:rsidRPr="00056BF7" w:rsidRDefault="00C13B34" w:rsidP="00056BF7">
      <w:pPr>
        <w:pStyle w:val="Heading3"/>
      </w:pPr>
      <w:r>
        <w:rPr>
          <w:lang w:val="ru"/>
        </w:rPr>
        <w:t>Рекомендации высокого уровня</w:t>
      </w:r>
    </w:p>
    <w:p w14:paraId="4959650C" w14:textId="1E230BCA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HR1</w:t>
      </w:r>
      <w:r>
        <w:rPr>
          <w:lang w:val="ru"/>
        </w:rPr>
        <w:t xml:space="preserve">: Спонсорам ГСНК следует рассмотреть возможность пересмотра существующего Меморандума о взаимопонимании (МоВ) и разделить его содержание на два раздела. Первый раздел будет представлять собой основной МоВ, в котором будут изложены цели высокого уровня программы, поддерживаемой спонсорами. Второй раздел будет содержать </w:t>
      </w:r>
      <w:r>
        <w:rPr>
          <w:lang w:val="ru"/>
        </w:rPr>
        <w:lastRenderedPageBreak/>
        <w:t>приложения к основному МоВ, касающиеся операционных процедур, таких как уточнение роли подписавших его сторон в отношении ресурсного обеспечения, надзорных функций и более подробной структуры управления, включая руководящий комитет, и может обновляться Руководящим комитетом с согласия представителей спонсоров в Руководящем комитете ГСНК.</w:t>
      </w:r>
    </w:p>
    <w:p w14:paraId="058666CA" w14:textId="77777777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HR2</w:t>
      </w:r>
      <w:r>
        <w:rPr>
          <w:lang w:val="ru"/>
        </w:rPr>
        <w:t>: Руководящий комитет ГСНК должен обеспечить соответствие своей организационной структуры поставленным целям и продолжать стремиться к более тесному сотрудничеству и интеграции между своими группами с учетом изменений в международном ландшафте, новых переменных и областей работы, реформы ВМО и других потребностей спонсоров и бенефициаров.</w:t>
      </w:r>
    </w:p>
    <w:p w14:paraId="1021F64D" w14:textId="77777777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HR3</w:t>
      </w:r>
      <w:r>
        <w:rPr>
          <w:lang w:val="ru"/>
        </w:rPr>
        <w:t>: ГСНК следует улучшить взаимодействие с заинтересованными сторонами и партнерами, а Руководящему комитету следует рассмотреть механизм официального признания этих групп в пересмотренной структуре управления.</w:t>
      </w:r>
    </w:p>
    <w:p w14:paraId="01F2B42E" w14:textId="77777777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HR4</w:t>
      </w:r>
      <w:r>
        <w:rPr>
          <w:lang w:val="ru"/>
        </w:rPr>
        <w:t xml:space="preserve">: Программа ГСНК должна продолжать решать новые проблемы, особенно те, которые вызваны изменением климата в отношении пресной воды, продовольственной безопасности и биоразнообразия, путем развития, пересмотра и повышения полезности ОКП. Их требования должны способствовать лучшему пониманию энергетического, водного и углеродного климатических циклов, поддерживать меры и политику по адаптации и смягчению последствий изменения климата, а также затрагивать биосферу, биоразнообразие и биогеохимию, помимо признанных в настоящее время областей ГСНК — атмосферы, океана и суши. </w:t>
      </w:r>
    </w:p>
    <w:p w14:paraId="56F6F1C5" w14:textId="77777777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HR5</w:t>
      </w:r>
      <w:r>
        <w:rPr>
          <w:lang w:val="ru"/>
        </w:rPr>
        <w:t xml:space="preserve">: МоВ должен уточнить роль ГСНК как независимой группы экспертов в процессе РКИК ООН, удовлетворяя при этом потребности и цели своих спонсоров.  </w:t>
      </w:r>
    </w:p>
    <w:p w14:paraId="42652825" w14:textId="5AA60116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HR6</w:t>
      </w:r>
      <w:r>
        <w:rPr>
          <w:lang w:val="ru"/>
        </w:rPr>
        <w:t xml:space="preserve">: Руководящий комитет должен наладить регулярный структурированный диалог со спонсорами (программными и ресурсными) по вопросам стратегии, политики, финансирования и управления ГСНК.  </w:t>
      </w:r>
    </w:p>
    <w:p w14:paraId="6E5BBE55" w14:textId="43F484A6" w:rsidR="00C13B34" w:rsidRPr="00056BF7" w:rsidRDefault="00F32BDA" w:rsidP="00056BF7">
      <w:pPr>
        <w:pStyle w:val="Heading3"/>
      </w:pPr>
      <w:r>
        <w:rPr>
          <w:lang w:val="ru"/>
        </w:rPr>
        <w:t>Дополнительные рекомендации</w:t>
      </w:r>
    </w:p>
    <w:p w14:paraId="29D2CFAA" w14:textId="53E5A82F" w:rsidR="00C13B34" w:rsidRPr="00B81254" w:rsidRDefault="0057237F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1</w:t>
      </w:r>
      <w:r>
        <w:rPr>
          <w:lang w:val="ru"/>
        </w:rPr>
        <w:t>: ГСНК следует улучшить взаимодействие с заинтересованными сторонами. Руководящий комитет ГСНК должен разработать стратегию дальнейшего улучшения взаимодействия со всеми заинтересованными сторонами и контролировать ее реализацию.</w:t>
      </w:r>
    </w:p>
    <w:p w14:paraId="17756A94" w14:textId="0D8B318E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2</w:t>
      </w:r>
      <w:r>
        <w:rPr>
          <w:lang w:val="ru"/>
        </w:rPr>
        <w:t>: МоВ должен быть пересмотрен, как показано в Приложении А полного доклада (GCOS-246). Он должен включать разъяснение роли сторон, подписавших соглашение, механизмов финансирования и роли руководящего комитета. Он также должен служить руководством при разработке стратегии ГСНК и планов вовлечения. ГСНК должна продолжать отвечать потребностям РКИК ООН и выполнять Парижское соглашение в отношении систематических наблюдений, состояния климата, адаптации и смягчения последствий.</w:t>
      </w:r>
    </w:p>
    <w:p w14:paraId="0E865DA0" w14:textId="65CEC689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3</w:t>
      </w:r>
      <w:r>
        <w:rPr>
          <w:lang w:val="ru"/>
        </w:rPr>
        <w:t xml:space="preserve">: Программа ГСНК должна понимать потребности «Глобального Юга» и оказывать ему поддержку. Предыдущие усилия должны быть усилены посредством адекватной поддержки. Региональные семинары проводились только при поддержке других программ, а Механизм сотрудничества ГСНК (GCM) в последние годы получал лишь минимальную поддержку. ГСНК должна возобновить свою региональную программу, работая с ВМО и другими заинтересованными органами, и представить результаты РКИК ООН. </w:t>
      </w:r>
    </w:p>
    <w:p w14:paraId="53C27CE5" w14:textId="5C3119E9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4</w:t>
      </w:r>
      <w:r>
        <w:rPr>
          <w:lang w:val="ru"/>
        </w:rPr>
        <w:t xml:space="preserve">: Руководящий комитет и спонсоры должны помочь ГСНК сохранить свою роль в консультировании РКИК ООН по вопросам наблюдения за климатом. </w:t>
      </w:r>
      <w:r>
        <w:rPr>
          <w:lang w:val="ru"/>
        </w:rPr>
        <w:lastRenderedPageBreak/>
        <w:t>Будущая рабочая программа ГСНК должна продолжать рассматривать вопросы углеродного цикла, адаптации, смягчения последствий и климатических показателей, чтобы помочь ей соответствовать ожиданиям РКИК ООН.</w:t>
      </w:r>
    </w:p>
    <w:p w14:paraId="673E38C0" w14:textId="5CEC2C33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5</w:t>
      </w:r>
      <w:r>
        <w:rPr>
          <w:lang w:val="ru"/>
        </w:rPr>
        <w:t>: Руководящий комитет ГСНК должен разработать серию многолетних совещаний всех заинтересованных сторон по всей цепочке создания ценности для предоставления консультаций и внесения вклада в ГСНК. Они должны четко определить ожидания от этих встреч, а также обязательства по поддержке и финансированию.</w:t>
      </w:r>
    </w:p>
    <w:p w14:paraId="59141C9A" w14:textId="3D14FB21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6</w:t>
      </w:r>
      <w:r>
        <w:rPr>
          <w:lang w:val="ru"/>
        </w:rPr>
        <w:t>: В то время как ГСНК должна обеспечить продолжение представления регулярных отчетов о состоянии и планов реализации, она также должна перейти к более регулярному обновлению информации о состоянии системы наблюдений за климатом на основе информации, получаемой от соответствующих сетей и программ наблюдений. Это позволит убедиться, что глобальная система наблюдения за климатом (включая ОКП и их требования) соответствует своему назначению и удовлетворяет потребности всех пользователей, насколько это практически возможно, и определить меры по исправлению ситуации.</w:t>
      </w:r>
    </w:p>
    <w:p w14:paraId="739A2DA3" w14:textId="34D5172B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7</w:t>
      </w:r>
      <w:r>
        <w:rPr>
          <w:lang w:val="ru"/>
        </w:rPr>
        <w:t>: ГСНК должна обеспечить соответствующее географическое, гендерное и возрастное представительство в своих органах.</w:t>
      </w:r>
    </w:p>
    <w:p w14:paraId="7CD5C36B" w14:textId="4236E970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8</w:t>
      </w:r>
      <w:r>
        <w:rPr>
          <w:lang w:val="ru"/>
        </w:rPr>
        <w:t xml:space="preserve">: Руководящий комитет должен обеспечить продолжение пересмотра будущей рабочей программы ГСНК и повысить полезность ОКП и их требований. Рабочая программа должна четко учитывать потребности адаптации и смягчения последствий изменения климата, полностью интегрировать наблюдения за биосферой во всех областях, усилить пропаганду устойчивости и непрерывности наблюдений </w:t>
      </w:r>
      <w:r>
        <w:rPr>
          <w:i/>
          <w:iCs/>
          <w:lang w:val="ru"/>
        </w:rPr>
        <w:t>in situ</w:t>
      </w:r>
      <w:r>
        <w:rPr>
          <w:lang w:val="ru"/>
        </w:rPr>
        <w:t xml:space="preserve"> и работать с ВПИК над созданием регулярного, ежегодного механизма для обсуждения потребностей ВПИК в наблюдениях.</w:t>
      </w:r>
    </w:p>
    <w:p w14:paraId="2FB6CDCB" w14:textId="3B014179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9</w:t>
      </w:r>
      <w:r>
        <w:rPr>
          <w:lang w:val="ru"/>
        </w:rPr>
        <w:t>: Следует рассмотреть вопрос об укреплении потенциала команды секретариата ГСНК, расположенной в Департаменте инфраструктуры ВМО, и назначении или определении руководителя команды на соответствующем уровне.</w:t>
      </w:r>
    </w:p>
    <w:p w14:paraId="1301AA35" w14:textId="4BD8FC1D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10</w:t>
      </w:r>
      <w:r>
        <w:rPr>
          <w:lang w:val="ru"/>
        </w:rPr>
        <w:t>: Председатель Руководящего комитета ГСНК продолжает пользоваться признанием и уважением как представитель ГСНК на соответствующих форумах, дополняя представительскую и пропагандистскую роль ВМО и других соучредителей.</w:t>
      </w:r>
    </w:p>
    <w:p w14:paraId="41EB7557" w14:textId="404A44E5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11</w:t>
      </w:r>
      <w:r>
        <w:rPr>
          <w:lang w:val="ru"/>
        </w:rPr>
        <w:t>: Председатель ГСНК должен быть признан членом группы управления INFCOM и, по согласованию с президентом INFCOM, время от времени получать приглашения для информирования ИС и Конгресса о прогрессе, эффективности и потребностях глобальной системы наблюдения за климатом.</w:t>
      </w:r>
    </w:p>
    <w:p w14:paraId="01016C64" w14:textId="67510D8D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12</w:t>
      </w:r>
      <w:r>
        <w:rPr>
          <w:lang w:val="ru"/>
        </w:rPr>
        <w:t>: Председатель ГСНК и председатели групп должны установить тесные связи, посредством участия экспертов и согласования усилий, с соответствующими группами экспертов ИНФКОМ (и наоборот, где это необходимо), а также с группами SERCOM и Исследовательского совета, особенно там, где это поможет в понимании потребностей и применении ОКП для информирования об изменении климата и адаптации.</w:t>
      </w:r>
    </w:p>
    <w:p w14:paraId="2EA7ED61" w14:textId="2D639344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13</w:t>
      </w:r>
      <w:r>
        <w:rPr>
          <w:lang w:val="ru"/>
        </w:rPr>
        <w:t>: Роль ГСНК в представлении МОК информации о прогрессе и потребностях в наблюдениях за климатом океана должна и далее признаваться и укрепляться МОК.</w:t>
      </w:r>
    </w:p>
    <w:p w14:paraId="7B4A6CCA" w14:textId="2F47AEF9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14</w:t>
      </w:r>
      <w:r>
        <w:rPr>
          <w:lang w:val="ru"/>
        </w:rPr>
        <w:t xml:space="preserve">: В пересмотренном МоВ должно быть четко указано, что подписавшие его стороны берут на себя обязательства по долгосрочной поддержке Секретариата ГСНК. Стороны, подписавшие пересмотренный МоВ, должны обеспечить </w:t>
      </w:r>
      <w:r>
        <w:rPr>
          <w:lang w:val="ru"/>
        </w:rPr>
        <w:lastRenderedPageBreak/>
        <w:t>наличие финансовых и натуральных ресурсов на соответствующем уровне (в настоящее время один миллион швейцарских франков в год) для секретариата ГСНК в целях выполнения пересмотренного мандата.</w:t>
      </w:r>
    </w:p>
    <w:p w14:paraId="713C82D2" w14:textId="4BC6AFB8" w:rsidR="00C13B34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15</w:t>
      </w:r>
      <w:r>
        <w:rPr>
          <w:lang w:val="ru"/>
        </w:rPr>
        <w:t xml:space="preserve">: ГСНК должна предоставить потенциальным спонсорам четкую информацию, основанную на ценности, и ясное видение того, как она надеется развивать глобальную систему наблюдения за климатом в будущем. </w:t>
      </w:r>
    </w:p>
    <w:p w14:paraId="70A83B52" w14:textId="1AA2A0B6" w:rsidR="0034156B" w:rsidRPr="00B81254" w:rsidRDefault="00C13B34" w:rsidP="0057237F">
      <w:pPr>
        <w:pStyle w:val="COI"/>
        <w:rPr>
          <w:lang w:val="ru-RU"/>
        </w:rPr>
      </w:pPr>
      <w:r>
        <w:rPr>
          <w:b/>
          <w:bCs/>
          <w:lang w:val="ru"/>
        </w:rPr>
        <w:t>РЕКОМЕНДАЦИЯ 16</w:t>
      </w:r>
      <w:r>
        <w:rPr>
          <w:lang w:val="ru"/>
        </w:rPr>
        <w:t>: ГСНК должна пересмотреть цели Механизма сотрудничества ГСНК (МСГ), чтобы лучше согласовать его с текущей ситуацией и сделать его более привлекательным для потенциальных доноров. ГСНК должна разработать план по информированию потенциальных доноров о МСГ и его новой направленности и мобилизации ресурсов.</w:t>
      </w:r>
    </w:p>
    <w:p w14:paraId="5FCA6A44" w14:textId="6BFC328B" w:rsidR="005448A6" w:rsidRPr="00B81254" w:rsidRDefault="00F32BDA" w:rsidP="009F3DCE">
      <w:pPr>
        <w:pStyle w:val="Heading3"/>
        <w:rPr>
          <w:lang w:val="ru-RU"/>
        </w:rPr>
      </w:pPr>
      <w:r>
        <w:rPr>
          <w:lang w:val="ru"/>
        </w:rPr>
        <w:t xml:space="preserve">Предлагаемый пересмотр Меморандума о взаимопонимании ГСНК </w:t>
      </w:r>
    </w:p>
    <w:p w14:paraId="378971CD" w14:textId="3FA99AE2" w:rsidR="005448A6" w:rsidRPr="00B81254" w:rsidRDefault="005448A6" w:rsidP="00056BF7">
      <w:pPr>
        <w:pStyle w:val="COI"/>
        <w:spacing w:after="120"/>
        <w:rPr>
          <w:lang w:val="ru-RU"/>
        </w:rPr>
      </w:pPr>
      <w:r>
        <w:rPr>
          <w:lang w:val="ru"/>
        </w:rPr>
        <w:t>Предлагаемый новый МоВ состоит из двух частей: (1) Соглашение, описывающее цели и мандат ГСНК, а также обязательства спонсора, и (2) Три технических приложения, описывающие ГСНК, вопросы управления и финансовые вопросы. Для обеспечения гибкости при обновлении технической части, она разделена на три части, как показано ниже. Предлагается передать Руководящему комитету полномочия по формулированию и изменению технических частей с согласия представителей спонсоров в Руководящем комитете ГСНК:</w:t>
      </w:r>
    </w:p>
    <w:p w14:paraId="6B3D9889" w14:textId="77777777" w:rsidR="0087144D" w:rsidRPr="00B81254" w:rsidRDefault="005448A6" w:rsidP="00056BF7">
      <w:pPr>
        <w:pStyle w:val="COI"/>
        <w:numPr>
          <w:ilvl w:val="0"/>
          <w:numId w:val="12"/>
        </w:numPr>
        <w:spacing w:after="120"/>
        <w:rPr>
          <w:lang w:val="ru-RU"/>
        </w:rPr>
      </w:pPr>
      <w:r>
        <w:rPr>
          <w:lang w:val="ru"/>
        </w:rPr>
        <w:t>Приложение A: Концепция Глобальной системы наблюдения за климатом</w:t>
      </w:r>
    </w:p>
    <w:p w14:paraId="0DC07DB0" w14:textId="77777777" w:rsidR="0087144D" w:rsidRPr="00B81254" w:rsidRDefault="005448A6" w:rsidP="00056BF7">
      <w:pPr>
        <w:pStyle w:val="COI"/>
        <w:numPr>
          <w:ilvl w:val="0"/>
          <w:numId w:val="12"/>
        </w:numPr>
        <w:spacing w:after="120"/>
        <w:rPr>
          <w:lang w:val="ru-RU"/>
        </w:rPr>
      </w:pPr>
      <w:r>
        <w:rPr>
          <w:lang w:val="ru"/>
        </w:rPr>
        <w:t>Приложение B: Круг полномочий, структура и функции Руководящего комитета и секретариата</w:t>
      </w:r>
    </w:p>
    <w:p w14:paraId="48F65B59" w14:textId="1BB5EBE7" w:rsidR="00D817C7" w:rsidRPr="009F3DCE" w:rsidRDefault="005448A6" w:rsidP="00056BF7">
      <w:pPr>
        <w:pStyle w:val="COI"/>
        <w:numPr>
          <w:ilvl w:val="0"/>
          <w:numId w:val="12"/>
        </w:numPr>
      </w:pPr>
      <w:r>
        <w:rPr>
          <w:lang w:val="ru"/>
        </w:rPr>
        <w:t>Приложение C: Финансовые соглашения</w:t>
      </w:r>
    </w:p>
    <w:p w14:paraId="2DEC82C7" w14:textId="7DD53E7D" w:rsidR="00D817C7" w:rsidRPr="00B81254" w:rsidRDefault="00D817C7" w:rsidP="0057237F">
      <w:pPr>
        <w:pStyle w:val="COI"/>
        <w:rPr>
          <w:lang w:val="ru-RU"/>
        </w:rPr>
      </w:pPr>
      <w:r>
        <w:rPr>
          <w:lang w:val="ru"/>
        </w:rPr>
        <w:t>Полный текст предлагаемого пересмотренного МоВ представлен в Приложении А к полному докладу (GCOS-246).</w:t>
      </w:r>
    </w:p>
    <w:p w14:paraId="7D7903D0" w14:textId="1EEF40AE" w:rsidR="00D817C7" w:rsidRPr="00D817C7" w:rsidRDefault="00D817C7" w:rsidP="009F3DCE">
      <w:pPr>
        <w:pStyle w:val="Heading3"/>
      </w:pPr>
      <w:r>
        <w:rPr>
          <w:lang w:val="ru"/>
        </w:rPr>
        <w:t>Финансовые и административные последствия</w:t>
      </w:r>
    </w:p>
    <w:p w14:paraId="69C8DF61" w14:textId="68A7AEF5" w:rsidR="00D817C7" w:rsidRPr="00B81254" w:rsidRDefault="005448A6" w:rsidP="0057237F">
      <w:pPr>
        <w:pStyle w:val="COI"/>
        <w:rPr>
          <w:lang w:val="ru-RU"/>
        </w:rPr>
      </w:pPr>
      <w:r>
        <w:rPr>
          <w:lang w:val="ru"/>
        </w:rPr>
        <w:t>В настоящее время нет конкретных финансовых и административных последствий, однако Исполнительному секретарю следует обратить внимание на Рекомендацию 14, согласно которой стороны, подписавшие пересмотренный МоВ, должны обеспечить наличие у ГСНК соответствующих финансовых ресурсов и ресурсов в натуральной форме для выполнения пересмотренного мандата.</w:t>
      </w:r>
    </w:p>
    <w:sectPr w:rsidR="00D817C7" w:rsidRPr="00B81254" w:rsidSect="003F7186">
      <w:headerReference w:type="even" r:id="rId11"/>
      <w:headerReference w:type="default" r:id="rId12"/>
      <w:headerReference w:type="first" r:id="rId13"/>
      <w:type w:val="oddPage"/>
      <w:pgSz w:w="11906" w:h="16838" w:code="9"/>
      <w:pgMar w:top="1418" w:right="1134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8B32" w14:textId="77777777" w:rsidR="00896F11" w:rsidRDefault="00896F11">
      <w:r>
        <w:separator/>
      </w:r>
    </w:p>
  </w:endnote>
  <w:endnote w:type="continuationSeparator" w:id="0">
    <w:p w14:paraId="03DEF824" w14:textId="77777777" w:rsidR="00896F11" w:rsidRDefault="0089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Calibri"/>
    <w:charset w:val="00"/>
    <w:family w:val="auto"/>
    <w:pitch w:val="default"/>
  </w:font>
  <w:font w:name="Walbaum Display Light">
    <w:altName w:val="Walbaum Display Light"/>
    <w:charset w:val="00"/>
    <w:family w:val="roman"/>
    <w:pitch w:val="variable"/>
    <w:sig w:usb0="8000002F" w:usb1="0000000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CF21" w14:textId="77777777" w:rsidR="00896F11" w:rsidRDefault="00896F11">
      <w:r>
        <w:separator/>
      </w:r>
    </w:p>
  </w:footnote>
  <w:footnote w:type="continuationSeparator" w:id="0">
    <w:p w14:paraId="1EF8636A" w14:textId="77777777" w:rsidR="00896F11" w:rsidRDefault="00896F11">
      <w:r>
        <w:continuationSeparator/>
      </w:r>
    </w:p>
  </w:footnote>
  <w:footnote w:id="1">
    <w:p w14:paraId="08237FE8" w14:textId="77777777" w:rsidR="00C13B34" w:rsidRPr="00B81254" w:rsidRDefault="00C13B34" w:rsidP="00C13B34">
      <w:pPr>
        <w:pBdr>
          <w:top w:val="nil"/>
          <w:left w:val="nil"/>
          <w:bottom w:val="nil"/>
          <w:right w:val="nil"/>
          <w:between w:val="nil"/>
        </w:pBdr>
        <w:ind w:left="180" w:hanging="180"/>
        <w:rPr>
          <w:sz w:val="18"/>
          <w:szCs w:val="18"/>
          <w:lang w:val="ru-RU"/>
        </w:rPr>
      </w:pPr>
      <w:r>
        <w:rPr>
          <w:rStyle w:val="FootnoteReference"/>
          <w:lang w:val="ru"/>
        </w:rPr>
        <w:footnoteRef/>
      </w:r>
      <w:r>
        <w:rPr>
          <w:rFonts w:ascii="Verdana" w:eastAsia="Verdana" w:hAnsi="Verdana" w:cs="Verdana"/>
          <w:color w:val="404040"/>
          <w:sz w:val="18"/>
          <w:szCs w:val="18"/>
          <w:lang w:val="ru"/>
        </w:rPr>
        <w:t xml:space="preserve"> Метеорологическая администрация Китая</w:t>
      </w:r>
    </w:p>
  </w:footnote>
  <w:footnote w:id="2">
    <w:p w14:paraId="54EE9822" w14:textId="77777777" w:rsidR="00C13B34" w:rsidRPr="00B81254" w:rsidRDefault="00C13B34" w:rsidP="00C13B34">
      <w:pPr>
        <w:pBdr>
          <w:top w:val="nil"/>
          <w:left w:val="nil"/>
          <w:bottom w:val="nil"/>
          <w:right w:val="nil"/>
          <w:between w:val="nil"/>
        </w:pBdr>
        <w:ind w:left="180" w:hanging="180"/>
        <w:rPr>
          <w:sz w:val="18"/>
          <w:szCs w:val="18"/>
          <w:lang w:val="ru-RU"/>
        </w:rPr>
      </w:pPr>
      <w:r>
        <w:rPr>
          <w:rStyle w:val="FootnoteReference"/>
          <w:lang w:val="ru"/>
        </w:rPr>
        <w:footnoteRef/>
      </w:r>
      <w:r>
        <w:rPr>
          <w:rFonts w:ascii="Verdana" w:eastAsia="Verdana" w:hAnsi="Verdana" w:cs="Verdana"/>
          <w:color w:val="404040"/>
          <w:sz w:val="18"/>
          <w:szCs w:val="18"/>
          <w:lang w:val="ru"/>
        </w:rPr>
        <w:t xml:space="preserve"> GEOMAR Центр исследований океана им. Гельмгольца в Киле</w:t>
      </w:r>
    </w:p>
  </w:footnote>
  <w:footnote w:id="3">
    <w:p w14:paraId="604F3AAC" w14:textId="77777777" w:rsidR="00C13B34" w:rsidRDefault="00C13B34" w:rsidP="00C13B34">
      <w:pPr>
        <w:pBdr>
          <w:top w:val="nil"/>
          <w:left w:val="nil"/>
          <w:bottom w:val="nil"/>
          <w:right w:val="nil"/>
          <w:between w:val="nil"/>
        </w:pBdr>
      </w:pPr>
      <w:r>
        <w:rPr>
          <w:rStyle w:val="FootnoteReference"/>
          <w:lang w:val="ru"/>
        </w:rPr>
        <w:footnoteRef/>
      </w:r>
      <w:r>
        <w:rPr>
          <w:rFonts w:ascii="Verdana" w:eastAsia="Verdana" w:hAnsi="Verdana" w:cs="Verdana"/>
          <w:color w:val="404040"/>
          <w:sz w:val="18"/>
          <w:szCs w:val="18"/>
          <w:lang w:val="ru"/>
        </w:rPr>
        <w:t xml:space="preserve"> Меморандум о взаимопонимании между Всемирной метеорологической организацией, Межправительственной океанографической комиссией Организации Объединенных Наций по вопросам образования, науки и культуры, Программой ООН по окружающей среде и Международным советом по науке 1998 г., см. Приложение 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4482" w14:textId="77777777" w:rsidR="00020AA1" w:rsidRPr="00C962F0" w:rsidRDefault="00020AA1">
    <w:pPr>
      <w:pStyle w:val="Header"/>
      <w:rPr>
        <w:szCs w:val="22"/>
      </w:rPr>
    </w:pPr>
    <w:r w:rsidRPr="00B81254">
      <w:rPr>
        <w:szCs w:val="22"/>
      </w:rPr>
      <w:t>ICG/CARIBE-EWS II/WD </w:t>
    </w:r>
    <w:r w:rsidRPr="00B81254">
      <w:rPr>
        <w:szCs w:val="22"/>
        <w:highlight w:val="cyan"/>
      </w:rPr>
      <w:t>__</w:t>
    </w:r>
  </w:p>
  <w:p w14:paraId="7A2DEEC3" w14:textId="77777777" w:rsidR="00020AA1" w:rsidRPr="00C962F0" w:rsidRDefault="00020AA1">
    <w:pPr>
      <w:pStyle w:val="Header"/>
      <w:rPr>
        <w:szCs w:val="22"/>
      </w:rPr>
    </w:pPr>
    <w:r>
      <w:rPr>
        <w:szCs w:val="22"/>
        <w:lang w:val="ru"/>
      </w:rPr>
      <w:t xml:space="preserve">Страница 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2</w:t>
    </w:r>
    <w:r>
      <w:rPr>
        <w:rStyle w:val="PageNumber"/>
        <w:szCs w:val="22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1437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 xml:space="preserve">IOC-XXIV/2 Annex </w:t>
    </w:r>
    <w:r>
      <w:rPr>
        <w:szCs w:val="22"/>
        <w:highlight w:val="yellow"/>
        <w:lang w:val="ru"/>
      </w:rPr>
      <w:t>__</w:t>
    </w:r>
  </w:p>
  <w:p w14:paraId="714745B7" w14:textId="77777777" w:rsidR="00020AA1" w:rsidRPr="00746B89" w:rsidRDefault="00020AA1" w:rsidP="00DF2FB9">
    <w:pPr>
      <w:pStyle w:val="Header"/>
      <w:tabs>
        <w:tab w:val="clear" w:pos="8306"/>
      </w:tabs>
      <w:rPr>
        <w:szCs w:val="22"/>
      </w:rPr>
    </w:pPr>
    <w:r>
      <w:rPr>
        <w:szCs w:val="22"/>
        <w:lang w:val="ru"/>
      </w:rPr>
      <w:t xml:space="preserve">Страница </w:t>
    </w:r>
    <w:r>
      <w:rPr>
        <w:rStyle w:val="PageNumber"/>
        <w:szCs w:val="22"/>
        <w:lang w:val="ru"/>
      </w:rPr>
      <w:fldChar w:fldCharType="begin"/>
    </w:r>
    <w:r>
      <w:rPr>
        <w:rStyle w:val="PageNumber"/>
        <w:szCs w:val="22"/>
        <w:lang w:val="ru"/>
      </w:rPr>
      <w:instrText xml:space="preserve"> PAGE </w:instrText>
    </w:r>
    <w:r>
      <w:rPr>
        <w:rStyle w:val="PageNumber"/>
        <w:szCs w:val="22"/>
        <w:lang w:val="ru"/>
      </w:rPr>
      <w:fldChar w:fldCharType="separate"/>
    </w:r>
    <w:r>
      <w:rPr>
        <w:rStyle w:val="PageNumber"/>
        <w:noProof/>
        <w:szCs w:val="22"/>
        <w:lang w:val="ru"/>
      </w:rPr>
      <w:t>3</w:t>
    </w:r>
    <w:r>
      <w:rPr>
        <w:rStyle w:val="PageNumber"/>
        <w:szCs w:val="22"/>
        <w:lang w:val="ru"/>
      </w:rPr>
      <w:fldChar w:fldCharType="end"/>
    </w:r>
  </w:p>
  <w:p w14:paraId="564A5F1C" w14:textId="77777777" w:rsidR="00020AA1" w:rsidRPr="00DF2FB9" w:rsidRDefault="00020AA1" w:rsidP="00DF2FB9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8AC3" w14:textId="528FB342" w:rsidR="00B8392A" w:rsidRPr="00B81254" w:rsidRDefault="00B8392A" w:rsidP="00B81254">
    <w:pPr>
      <w:pStyle w:val="Marge"/>
      <w:tabs>
        <w:tab w:val="left" w:pos="6096"/>
        <w:tab w:val="left" w:pos="7560"/>
      </w:tabs>
      <w:spacing w:after="0"/>
      <w:rPr>
        <w:rFonts w:cs="Arial"/>
        <w:b/>
        <w:szCs w:val="22"/>
        <w:lang w:val="ru-RU"/>
      </w:rPr>
    </w:pPr>
    <w:r>
      <w:rPr>
        <w:rFonts w:cs="Arial"/>
        <w:szCs w:val="22"/>
        <w:lang w:val="ru"/>
      </w:rPr>
      <w:t>Рассылается по списку</w:t>
    </w:r>
    <w:r>
      <w:rPr>
        <w:rFonts w:cs="Arial"/>
        <w:szCs w:val="22"/>
        <w:lang w:val="ru"/>
      </w:rPr>
      <w:tab/>
    </w:r>
    <w:r>
      <w:rPr>
        <w:rFonts w:cs="Arial"/>
        <w:b/>
        <w:bCs/>
        <w:sz w:val="36"/>
        <w:szCs w:val="36"/>
        <w:lang w:val="ru"/>
      </w:rPr>
      <w:t>IOC</w:t>
    </w:r>
    <w:r w:rsidR="00B81254" w:rsidRPr="00B81254">
      <w:rPr>
        <w:rFonts w:cs="Arial"/>
        <w:b/>
        <w:bCs/>
        <w:sz w:val="36"/>
        <w:szCs w:val="36"/>
        <w:lang w:val="ru-RU"/>
      </w:rPr>
      <w:t>/</w:t>
    </w:r>
    <w:r w:rsidR="00B81254">
      <w:rPr>
        <w:rFonts w:cs="Arial"/>
        <w:b/>
        <w:bCs/>
        <w:sz w:val="36"/>
        <w:szCs w:val="36"/>
        <w:lang w:val="fr-FR"/>
      </w:rPr>
      <w:t>A</w:t>
    </w:r>
    <w:r>
      <w:rPr>
        <w:rFonts w:cs="Arial"/>
        <w:b/>
        <w:bCs/>
        <w:sz w:val="36"/>
        <w:szCs w:val="36"/>
        <w:lang w:val="ru"/>
      </w:rPr>
      <w:t>-32/4.</w:t>
    </w:r>
    <w:proofErr w:type="gramStart"/>
    <w:r>
      <w:rPr>
        <w:rFonts w:cs="Arial"/>
        <w:b/>
        <w:bCs/>
        <w:sz w:val="36"/>
        <w:szCs w:val="36"/>
        <w:lang w:val="ru"/>
      </w:rPr>
      <w:t>10.Doc</w:t>
    </w:r>
    <w:proofErr w:type="gramEnd"/>
    <w:r>
      <w:rPr>
        <w:rFonts w:cs="Arial"/>
        <w:b/>
        <w:bCs/>
        <w:sz w:val="36"/>
        <w:szCs w:val="36"/>
        <w:lang w:val="ru"/>
      </w:rPr>
      <w:t>(2)</w:t>
    </w:r>
  </w:p>
  <w:p w14:paraId="2FB5FF55" w14:textId="3A210B30" w:rsidR="00B8392A" w:rsidRPr="00B81254" w:rsidRDefault="00B8392A" w:rsidP="00B81254">
    <w:pPr>
      <w:tabs>
        <w:tab w:val="clear" w:pos="567"/>
        <w:tab w:val="left" w:pos="6096"/>
        <w:tab w:val="left" w:pos="7560"/>
      </w:tabs>
      <w:jc w:val="both"/>
      <w:rPr>
        <w:rFonts w:cs="Arial"/>
        <w:szCs w:val="22"/>
        <w:lang w:val="ru-RU"/>
      </w:rPr>
    </w:pPr>
    <w:r>
      <w:rPr>
        <w:noProof/>
        <w:lang w:val="ru"/>
      </w:rPr>
      <w:drawing>
        <wp:anchor distT="0" distB="0" distL="114300" distR="114300" simplePos="0" relativeHeight="251659264" behindDoc="0" locked="0" layoutInCell="1" allowOverlap="1" wp14:anchorId="3B435C4C" wp14:editId="22389153">
          <wp:simplePos x="0" y="0"/>
          <wp:positionH relativeFrom="column">
            <wp:posOffset>-19685</wp:posOffset>
          </wp:positionH>
          <wp:positionV relativeFrom="paragraph">
            <wp:posOffset>101600</wp:posOffset>
          </wp:positionV>
          <wp:extent cx="1578610" cy="1047115"/>
          <wp:effectExtent l="0" t="0" r="2540" b="635"/>
          <wp:wrapSquare wrapText="bothSides"/>
          <wp:docPr id="4" name="Picture 4" descr="Логотип, название компании Описание генерируется автоматическ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2"/>
        <w:lang w:val="ru"/>
      </w:rPr>
      <w:tab/>
      <w:t>Париж, 23 мая 2023 года</w:t>
    </w:r>
  </w:p>
  <w:p w14:paraId="741124F6" w14:textId="77777777" w:rsidR="00B8392A" w:rsidRPr="00B81254" w:rsidRDefault="00B8392A" w:rsidP="00B81254">
    <w:pPr>
      <w:tabs>
        <w:tab w:val="clear" w:pos="567"/>
        <w:tab w:val="left" w:pos="6096"/>
        <w:tab w:val="left" w:pos="7560"/>
      </w:tabs>
      <w:jc w:val="both"/>
      <w:rPr>
        <w:rFonts w:cs="Arial"/>
        <w:szCs w:val="22"/>
        <w:lang w:val="ru-RU"/>
      </w:rPr>
    </w:pPr>
    <w:r>
      <w:rPr>
        <w:rFonts w:cs="Arial"/>
        <w:szCs w:val="22"/>
        <w:lang w:val="ru"/>
      </w:rPr>
      <w:tab/>
      <w:t>Язык оригинала: английский</w:t>
    </w:r>
  </w:p>
  <w:p w14:paraId="50C3DD57" w14:textId="77777777" w:rsidR="00B8392A" w:rsidRPr="00B81254" w:rsidRDefault="00B8392A" w:rsidP="00B812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6096"/>
        <w:tab w:val="left" w:pos="7020"/>
        <w:tab w:val="left" w:pos="7088"/>
      </w:tabs>
      <w:jc w:val="both"/>
      <w:rPr>
        <w:rFonts w:cs="Arial"/>
        <w:b/>
        <w:szCs w:val="22"/>
        <w:lang w:val="ru-RU"/>
      </w:rPr>
    </w:pPr>
  </w:p>
  <w:p w14:paraId="050F22B5" w14:textId="77777777" w:rsidR="00B8392A" w:rsidRPr="00B81254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30B333E6" w14:textId="77777777" w:rsidR="00B8392A" w:rsidRPr="00B81254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65DAD698" w14:textId="77777777" w:rsidR="00B8392A" w:rsidRPr="00B81254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17676F78" w14:textId="77777777" w:rsidR="00B8392A" w:rsidRPr="00B81254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762C17CC" w14:textId="77777777" w:rsidR="00B8392A" w:rsidRPr="00B81254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  <w:lang w:val="ru-RU"/>
      </w:rPr>
    </w:pPr>
  </w:p>
  <w:p w14:paraId="1499D8B6" w14:textId="77777777" w:rsidR="00B8392A" w:rsidRPr="00B81254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  <w:lang w:val="ru-RU"/>
      </w:rPr>
    </w:pPr>
    <w:r>
      <w:rPr>
        <w:rFonts w:cs="Arial"/>
        <w:b/>
        <w:bCs/>
        <w:szCs w:val="22"/>
        <w:lang w:val="ru"/>
      </w:rPr>
      <w:t>МЕЖПРАВИТЕЛЬСТВЕННАЯ ОКЕАНОГРАФИЧЕСКАЯ КОМИССИЯ</w:t>
    </w:r>
  </w:p>
  <w:p w14:paraId="6D1B6B4C" w14:textId="77777777" w:rsidR="00B8392A" w:rsidRPr="00B81254" w:rsidRDefault="00B8392A" w:rsidP="00B8392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  <w:r>
      <w:rPr>
        <w:rFonts w:cs="Arial"/>
        <w:szCs w:val="22"/>
        <w:lang w:val="ru"/>
      </w:rPr>
      <w:t>(ЮНЕСКО)</w:t>
    </w:r>
  </w:p>
  <w:p w14:paraId="4FF030C1" w14:textId="77777777" w:rsidR="00B8392A" w:rsidRPr="00B81254" w:rsidRDefault="00B8392A" w:rsidP="00B8392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  <w:lang w:val="ru-RU"/>
      </w:rPr>
    </w:pPr>
  </w:p>
  <w:p w14:paraId="4C8B368D" w14:textId="77777777" w:rsidR="00B8392A" w:rsidRPr="00B81254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lang w:val="ru-RU"/>
      </w:rPr>
    </w:pPr>
    <w:r>
      <w:rPr>
        <w:rFonts w:cs="Arial"/>
        <w:b/>
        <w:bCs/>
        <w:lang w:val="ru"/>
      </w:rPr>
      <w:t>Тридцать вторая сессия Ассамблеи</w:t>
    </w:r>
  </w:p>
  <w:p w14:paraId="13B8A248" w14:textId="77777777" w:rsidR="00B8392A" w:rsidRPr="00B81254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szCs w:val="22"/>
        <w:lang w:val="ru-RU"/>
      </w:rPr>
    </w:pPr>
    <w:r>
      <w:rPr>
        <w:rFonts w:cs="Arial"/>
        <w:lang w:val="ru"/>
      </w:rPr>
      <w:t>ЮНЕСКО, 21–30 июня 2023 года</w:t>
    </w:r>
  </w:p>
  <w:p w14:paraId="2D365C94" w14:textId="77777777" w:rsidR="00B8392A" w:rsidRPr="00B81254" w:rsidRDefault="00B8392A" w:rsidP="00B8392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ru-RU"/>
      </w:rPr>
    </w:pPr>
  </w:p>
  <w:p w14:paraId="198A6AFE" w14:textId="77777777" w:rsidR="00B8392A" w:rsidRPr="00B81254" w:rsidRDefault="00B8392A" w:rsidP="00B8392A">
    <w:pPr>
      <w:jc w:val="center"/>
      <w:rPr>
        <w:rFonts w:cs="Arial"/>
        <w:szCs w:val="22"/>
        <w:lang w:val="ru-RU"/>
      </w:rPr>
    </w:pPr>
  </w:p>
  <w:p w14:paraId="6E3741DA" w14:textId="77777777" w:rsidR="00B8392A" w:rsidRPr="00B81254" w:rsidRDefault="00B8392A" w:rsidP="00B8392A">
    <w:pPr>
      <w:jc w:val="center"/>
      <w:rPr>
        <w:rFonts w:cs="Arial"/>
        <w:szCs w:val="22"/>
        <w:lang w:val="ru-RU"/>
      </w:rPr>
    </w:pPr>
  </w:p>
  <w:p w14:paraId="58E62F25" w14:textId="77777777" w:rsidR="00B8392A" w:rsidRPr="00B81254" w:rsidRDefault="00B8392A" w:rsidP="00B8392A">
    <w:pPr>
      <w:jc w:val="center"/>
      <w:rPr>
        <w:rFonts w:cs="Arial"/>
        <w:szCs w:val="22"/>
        <w:lang w:val="ru-RU"/>
      </w:rPr>
    </w:pPr>
  </w:p>
  <w:p w14:paraId="11AB8E76" w14:textId="77777777" w:rsidR="00B8392A" w:rsidRPr="00B81254" w:rsidRDefault="00B8392A" w:rsidP="00B8392A">
    <w:pPr>
      <w:jc w:val="center"/>
      <w:rPr>
        <w:rFonts w:cs="Arial"/>
        <w:szCs w:val="22"/>
        <w:lang w:val="ru-RU"/>
      </w:rPr>
    </w:pPr>
  </w:p>
  <w:p w14:paraId="7D850D8B" w14:textId="77777777" w:rsidR="00B8392A" w:rsidRPr="00B81254" w:rsidRDefault="00B8392A" w:rsidP="00B8392A">
    <w:pPr>
      <w:jc w:val="center"/>
      <w:rPr>
        <w:rFonts w:cs="Arial"/>
        <w:szCs w:val="22"/>
        <w:lang w:val="ru-RU"/>
      </w:rPr>
    </w:pPr>
  </w:p>
  <w:p w14:paraId="7465950A" w14:textId="4D3C0750" w:rsidR="00B8392A" w:rsidRPr="00B81254" w:rsidRDefault="00B8392A" w:rsidP="00B8392A">
    <w:pPr>
      <w:pStyle w:val="Heading7"/>
      <w:tabs>
        <w:tab w:val="clear" w:pos="567"/>
        <w:tab w:val="right" w:pos="9540"/>
      </w:tabs>
      <w:rPr>
        <w:rFonts w:asciiTheme="minorBidi" w:hAnsiTheme="minorBidi" w:cstheme="minorBidi"/>
        <w:szCs w:val="22"/>
        <w:lang w:val="ru-RU"/>
      </w:rPr>
    </w:pPr>
    <w:r>
      <w:rPr>
        <w:rFonts w:asciiTheme="minorBidi" w:hAnsiTheme="minorBidi" w:cstheme="minorBidi"/>
        <w:sz w:val="24"/>
        <w:lang w:val="ru"/>
      </w:rPr>
      <w:t xml:space="preserve">Пункт </w:t>
    </w:r>
    <w:r>
      <w:rPr>
        <w:rFonts w:asciiTheme="minorBidi" w:hAnsiTheme="minorBidi" w:cstheme="minorBidi"/>
        <w:b/>
        <w:bCs/>
        <w:sz w:val="24"/>
        <w:lang w:val="ru"/>
      </w:rPr>
      <w:t>4.10</w:t>
    </w:r>
    <w:r>
      <w:rPr>
        <w:rFonts w:asciiTheme="minorBidi" w:hAnsiTheme="minorBidi" w:cstheme="minorBidi"/>
        <w:sz w:val="24"/>
        <w:lang w:val="ru"/>
      </w:rPr>
      <w:t xml:space="preserve"> предварительной повестки дня</w:t>
    </w:r>
  </w:p>
  <w:p w14:paraId="78139119" w14:textId="77777777" w:rsidR="00B8392A" w:rsidRPr="00B81254" w:rsidRDefault="00B8392A" w:rsidP="00B8392A">
    <w:pPr>
      <w:rPr>
        <w:rFonts w:cs="Arial"/>
        <w:szCs w:val="22"/>
        <w:lang w:val="ru-RU"/>
      </w:rPr>
    </w:pPr>
  </w:p>
  <w:p w14:paraId="21B25EA6" w14:textId="77777777" w:rsidR="00B8392A" w:rsidRPr="00B81254" w:rsidRDefault="00B8392A" w:rsidP="00B8392A">
    <w:pPr>
      <w:rPr>
        <w:rFonts w:cs="Arial"/>
        <w:szCs w:val="22"/>
        <w:lang w:val="ru-RU"/>
      </w:rPr>
    </w:pPr>
  </w:p>
  <w:p w14:paraId="52E5D5CE" w14:textId="59268192" w:rsidR="00B8392A" w:rsidRPr="00B81254" w:rsidRDefault="00E96102" w:rsidP="00B8392A">
    <w:pPr>
      <w:pStyle w:val="Docheading"/>
      <w:rPr>
        <w:sz w:val="32"/>
        <w:szCs w:val="32"/>
        <w:lang w:val="ru-RU"/>
      </w:rPr>
    </w:pPr>
    <w:r>
      <w:rPr>
        <w:color w:val="000000"/>
        <w:lang w:val="ru"/>
      </w:rPr>
      <w:t xml:space="preserve">Резюме итогового доклада </w:t>
    </w:r>
    <w:r>
      <w:rPr>
        <w:b w:val="0"/>
        <w:bCs w:val="0"/>
        <w:color w:val="000000"/>
        <w:lang w:val="ru"/>
      </w:rPr>
      <w:br/>
    </w:r>
    <w:r>
      <w:rPr>
        <w:color w:val="000000"/>
        <w:lang w:val="ru"/>
      </w:rPr>
      <w:t>Совместной исследовательской группы по ГСНК (СИГ-ГСНК)</w:t>
    </w:r>
  </w:p>
  <w:p w14:paraId="56480EF6" w14:textId="77777777" w:rsidR="00020AA1" w:rsidRPr="00B81254" w:rsidRDefault="00020AA1" w:rsidP="00B8392A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16FC" w14:textId="4831AADD" w:rsidR="00020AA1" w:rsidRPr="00655F5E" w:rsidRDefault="00655F5E" w:rsidP="00655F5E">
    <w:pPr>
      <w:pStyle w:val="Header"/>
      <w:tabs>
        <w:tab w:val="clear" w:pos="8306"/>
      </w:tabs>
      <w:rPr>
        <w:rFonts w:cs="Arial"/>
        <w:szCs w:val="22"/>
      </w:rPr>
    </w:pPr>
    <w:r>
      <w:rPr>
        <w:rFonts w:cs="Arial"/>
        <w:szCs w:val="22"/>
        <w:lang w:val="ru"/>
      </w:rPr>
      <w:t>IOC</w:t>
    </w:r>
    <w:r w:rsidR="00B81254">
      <w:rPr>
        <w:rFonts w:cs="Arial"/>
        <w:szCs w:val="22"/>
        <w:lang w:val="fr-FR"/>
      </w:rPr>
      <w:t>/A</w:t>
    </w:r>
    <w:r>
      <w:rPr>
        <w:rFonts w:cs="Arial"/>
        <w:szCs w:val="22"/>
        <w:lang w:val="ru"/>
      </w:rPr>
      <w:t>-32/4.</w:t>
    </w:r>
    <w:proofErr w:type="gramStart"/>
    <w:r>
      <w:rPr>
        <w:rFonts w:cs="Arial"/>
        <w:szCs w:val="22"/>
        <w:lang w:val="ru"/>
      </w:rPr>
      <w:t>10.Doc</w:t>
    </w:r>
    <w:proofErr w:type="gramEnd"/>
    <w:r>
      <w:rPr>
        <w:rFonts w:cs="Arial"/>
        <w:szCs w:val="22"/>
        <w:lang w:val="ru"/>
      </w:rPr>
      <w:t>(2) – страница </w:t>
    </w:r>
    <w:r>
      <w:rPr>
        <w:rStyle w:val="PageNumber"/>
        <w:rFonts w:cs="Arial"/>
        <w:szCs w:val="22"/>
        <w:lang w:val="ru"/>
      </w:rPr>
      <w:fldChar w:fldCharType="begin"/>
    </w:r>
    <w:r>
      <w:rPr>
        <w:rStyle w:val="PageNumber"/>
        <w:rFonts w:cs="Arial"/>
        <w:szCs w:val="22"/>
        <w:lang w:val="ru"/>
      </w:rPr>
      <w:instrText xml:space="preserve"> PAGE </w:instrText>
    </w:r>
    <w:r>
      <w:rPr>
        <w:rStyle w:val="PageNumber"/>
        <w:rFonts w:cs="Arial"/>
        <w:szCs w:val="22"/>
        <w:lang w:val="ru"/>
      </w:rPr>
      <w:fldChar w:fldCharType="separate"/>
    </w:r>
    <w:r>
      <w:rPr>
        <w:rStyle w:val="PageNumber"/>
        <w:rFonts w:cs="Arial"/>
        <w:noProof/>
        <w:szCs w:val="22"/>
        <w:lang w:val="ru"/>
      </w:rPr>
      <w:t>2</w:t>
    </w:r>
    <w:r>
      <w:rPr>
        <w:rStyle w:val="PageNumber"/>
        <w:rFonts w:cs="Arial"/>
        <w:szCs w:val="22"/>
        <w:lang w:val="ru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C40E" w14:textId="7E480982" w:rsidR="00020AA1" w:rsidRPr="00655F5E" w:rsidRDefault="00655F5E" w:rsidP="00B81254">
    <w:pPr>
      <w:pStyle w:val="Header"/>
      <w:tabs>
        <w:tab w:val="clear" w:pos="8306"/>
      </w:tabs>
      <w:ind w:left="6096"/>
      <w:rPr>
        <w:rFonts w:cs="Arial"/>
        <w:szCs w:val="22"/>
      </w:rPr>
    </w:pPr>
    <w:r>
      <w:rPr>
        <w:rFonts w:cs="Arial"/>
        <w:color w:val="000000"/>
        <w:szCs w:val="22"/>
        <w:lang w:val="ru"/>
      </w:rPr>
      <w:t>IOC</w:t>
    </w:r>
    <w:r w:rsidR="00B81254">
      <w:rPr>
        <w:rFonts w:cs="Arial"/>
        <w:color w:val="000000"/>
        <w:szCs w:val="22"/>
        <w:lang w:val="fr-FR"/>
      </w:rPr>
      <w:t>/A</w:t>
    </w:r>
    <w:r>
      <w:rPr>
        <w:rFonts w:cs="Arial"/>
        <w:color w:val="000000"/>
        <w:szCs w:val="22"/>
        <w:lang w:val="ru"/>
      </w:rPr>
      <w:t>-32/4.</w:t>
    </w:r>
    <w:proofErr w:type="gramStart"/>
    <w:r>
      <w:rPr>
        <w:rFonts w:cs="Arial"/>
        <w:color w:val="000000"/>
        <w:szCs w:val="22"/>
        <w:lang w:val="ru"/>
      </w:rPr>
      <w:t>10.Doc</w:t>
    </w:r>
    <w:proofErr w:type="gramEnd"/>
    <w:r>
      <w:rPr>
        <w:rFonts w:cs="Arial"/>
        <w:color w:val="000000"/>
        <w:szCs w:val="22"/>
        <w:lang w:val="ru"/>
      </w:rPr>
      <w:t xml:space="preserve">(2) – </w:t>
    </w:r>
    <w:r>
      <w:rPr>
        <w:rFonts w:cs="Arial"/>
        <w:szCs w:val="22"/>
        <w:lang w:val="ru"/>
      </w:rPr>
      <w:t>страница </w:t>
    </w:r>
    <w:r>
      <w:rPr>
        <w:rStyle w:val="PageNumber"/>
        <w:rFonts w:cs="Arial"/>
        <w:szCs w:val="22"/>
        <w:lang w:val="ru"/>
      </w:rPr>
      <w:fldChar w:fldCharType="begin"/>
    </w:r>
    <w:r>
      <w:rPr>
        <w:rStyle w:val="PageNumber"/>
        <w:rFonts w:cs="Arial"/>
        <w:szCs w:val="22"/>
        <w:lang w:val="ru"/>
      </w:rPr>
      <w:instrText xml:space="preserve"> PAGE </w:instrText>
    </w:r>
    <w:r>
      <w:rPr>
        <w:rStyle w:val="PageNumber"/>
        <w:rFonts w:cs="Arial"/>
        <w:szCs w:val="22"/>
        <w:lang w:val="ru"/>
      </w:rPr>
      <w:fldChar w:fldCharType="separate"/>
    </w:r>
    <w:r>
      <w:rPr>
        <w:rStyle w:val="PageNumber"/>
        <w:rFonts w:cs="Arial"/>
        <w:noProof/>
        <w:szCs w:val="22"/>
        <w:lang w:val="ru"/>
      </w:rPr>
      <w:t>3</w:t>
    </w:r>
    <w:r>
      <w:rPr>
        <w:rStyle w:val="PageNumber"/>
        <w:rFonts w:cs="Arial"/>
        <w:szCs w:val="22"/>
        <w:lang w:val="ru"/>
      </w:rPr>
      <w:fldChar w:fldCharType="end"/>
    </w:r>
  </w:p>
  <w:p w14:paraId="4B851398" w14:textId="77777777" w:rsidR="00020AA1" w:rsidRPr="00003B31" w:rsidRDefault="00020AA1" w:rsidP="00B8392A">
    <w:pPr>
      <w:pStyle w:val="Header"/>
      <w:ind w:left="6804"/>
      <w:rPr>
        <w:rFonts w:cs="Arial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5E29" w14:textId="157A153A" w:rsidR="00020AA1" w:rsidRPr="00B8392A" w:rsidRDefault="00020AA1" w:rsidP="00294AD5">
    <w:pPr>
      <w:pStyle w:val="Header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  <w:lang w:val="ru"/>
      </w:rPr>
      <w:t>IOC</w:t>
    </w:r>
    <w:r w:rsidR="00B81254">
      <w:rPr>
        <w:rFonts w:cs="Arial"/>
        <w:sz w:val="20"/>
        <w:szCs w:val="20"/>
        <w:lang w:val="fr-FR"/>
      </w:rPr>
      <w:t>/A</w:t>
    </w:r>
    <w:r>
      <w:rPr>
        <w:rFonts w:cs="Arial"/>
        <w:sz w:val="20"/>
        <w:szCs w:val="20"/>
        <w:lang w:val="ru"/>
      </w:rPr>
      <w:t>-32/4.</w:t>
    </w:r>
    <w:proofErr w:type="gramStart"/>
    <w:r>
      <w:rPr>
        <w:rFonts w:cs="Arial"/>
        <w:sz w:val="20"/>
        <w:szCs w:val="20"/>
        <w:lang w:val="ru"/>
      </w:rPr>
      <w:t>10.Doc</w:t>
    </w:r>
    <w:proofErr w:type="gramEnd"/>
    <w:r>
      <w:rPr>
        <w:rFonts w:cs="Arial"/>
        <w:sz w:val="20"/>
        <w:szCs w:val="20"/>
        <w:lang w:val="ru"/>
      </w:rPr>
      <w:t>(2)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ECE5F3A"/>
    <w:lvl w:ilvl="0">
      <w:start w:val="1"/>
      <w:numFmt w:val="bullet"/>
      <w:pStyle w:val="Listnumbered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F6068"/>
    <w:multiLevelType w:val="hybridMultilevel"/>
    <w:tmpl w:val="4C04C528"/>
    <w:lvl w:ilvl="0" w:tplc="3480A302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30DD3ACB"/>
    <w:multiLevelType w:val="hybridMultilevel"/>
    <w:tmpl w:val="624C63C2"/>
    <w:lvl w:ilvl="0" w:tplc="C97E8356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5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4B204C64"/>
    <w:multiLevelType w:val="hybridMultilevel"/>
    <w:tmpl w:val="BE2E72B4"/>
    <w:lvl w:ilvl="0" w:tplc="BCA6AA7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ED0811"/>
    <w:multiLevelType w:val="hybridMultilevel"/>
    <w:tmpl w:val="5EDCA1B8"/>
    <w:lvl w:ilvl="0" w:tplc="C97E8356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8" w15:restartNumberingAfterBreak="0">
    <w:nsid w:val="554A48E0"/>
    <w:multiLevelType w:val="hybridMultilevel"/>
    <w:tmpl w:val="D2221732"/>
    <w:lvl w:ilvl="0" w:tplc="621659AC">
      <w:start w:val="1"/>
      <w:numFmt w:val="decimal"/>
      <w:pStyle w:val="COI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F67DD"/>
    <w:multiLevelType w:val="multilevel"/>
    <w:tmpl w:val="890C24FC"/>
    <w:lvl w:ilvl="0">
      <w:start w:val="1"/>
      <w:numFmt w:val="bullet"/>
      <w:pStyle w:val="Heading2E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1E3439"/>
    <w:multiLevelType w:val="hybridMultilevel"/>
    <w:tmpl w:val="E6061114"/>
    <w:lvl w:ilvl="0" w:tplc="B4163634">
      <w:start w:val="1"/>
      <w:numFmt w:val="bullet"/>
      <w:lvlText w:val="-"/>
      <w:lvlJc w:val="left"/>
      <w:pPr>
        <w:ind w:left="1069" w:hanging="360"/>
      </w:pPr>
      <w:rPr>
        <w:rFonts w:ascii="Walbaum Display Light" w:hAnsi="Walbaum Display Light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8494076">
    <w:abstractNumId w:val="5"/>
  </w:num>
  <w:num w:numId="2" w16cid:durableId="1495685645">
    <w:abstractNumId w:val="6"/>
  </w:num>
  <w:num w:numId="3" w16cid:durableId="2074768777">
    <w:abstractNumId w:val="0"/>
  </w:num>
  <w:num w:numId="4" w16cid:durableId="518465821">
    <w:abstractNumId w:val="1"/>
  </w:num>
  <w:num w:numId="5" w16cid:durableId="1541821952">
    <w:abstractNumId w:val="3"/>
  </w:num>
  <w:num w:numId="6" w16cid:durableId="823475343">
    <w:abstractNumId w:val="6"/>
  </w:num>
  <w:num w:numId="7" w16cid:durableId="2072999585">
    <w:abstractNumId w:val="6"/>
  </w:num>
  <w:num w:numId="8" w16cid:durableId="927421263">
    <w:abstractNumId w:val="0"/>
  </w:num>
  <w:num w:numId="9" w16cid:durableId="1466435343">
    <w:abstractNumId w:val="9"/>
  </w:num>
  <w:num w:numId="10" w16cid:durableId="1696075573">
    <w:abstractNumId w:val="2"/>
  </w:num>
  <w:num w:numId="11" w16cid:durableId="1417508182">
    <w:abstractNumId w:val="7"/>
  </w:num>
  <w:num w:numId="12" w16cid:durableId="2047178610">
    <w:abstractNumId w:val="4"/>
  </w:num>
  <w:num w:numId="13" w16cid:durableId="1724712139">
    <w:abstractNumId w:val="8"/>
  </w:num>
  <w:num w:numId="14" w16cid:durableId="161516534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102"/>
    <w:rsid w:val="00003B31"/>
    <w:rsid w:val="00010BBB"/>
    <w:rsid w:val="00020AA1"/>
    <w:rsid w:val="00056BF7"/>
    <w:rsid w:val="00056F67"/>
    <w:rsid w:val="00085D6A"/>
    <w:rsid w:val="000F0254"/>
    <w:rsid w:val="00123719"/>
    <w:rsid w:val="001241D7"/>
    <w:rsid w:val="00137E97"/>
    <w:rsid w:val="001448C4"/>
    <w:rsid w:val="00155393"/>
    <w:rsid w:val="001572C7"/>
    <w:rsid w:val="00167158"/>
    <w:rsid w:val="00196052"/>
    <w:rsid w:val="001B3B24"/>
    <w:rsid w:val="001C6455"/>
    <w:rsid w:val="0021210D"/>
    <w:rsid w:val="00294AD5"/>
    <w:rsid w:val="002C7DE3"/>
    <w:rsid w:val="002E0859"/>
    <w:rsid w:val="00326F1A"/>
    <w:rsid w:val="0034156B"/>
    <w:rsid w:val="003561BE"/>
    <w:rsid w:val="003805F5"/>
    <w:rsid w:val="003A7860"/>
    <w:rsid w:val="003D3711"/>
    <w:rsid w:val="003F55CF"/>
    <w:rsid w:val="003F7186"/>
    <w:rsid w:val="004031FB"/>
    <w:rsid w:val="00413F17"/>
    <w:rsid w:val="00424DE6"/>
    <w:rsid w:val="004529B8"/>
    <w:rsid w:val="00467E3F"/>
    <w:rsid w:val="004A135F"/>
    <w:rsid w:val="004C1625"/>
    <w:rsid w:val="004E29AF"/>
    <w:rsid w:val="004F7D6C"/>
    <w:rsid w:val="005448A6"/>
    <w:rsid w:val="0057237F"/>
    <w:rsid w:val="00576270"/>
    <w:rsid w:val="005C7A36"/>
    <w:rsid w:val="005C7D76"/>
    <w:rsid w:val="005E544C"/>
    <w:rsid w:val="006110DA"/>
    <w:rsid w:val="00633EA5"/>
    <w:rsid w:val="00655F5E"/>
    <w:rsid w:val="006842FA"/>
    <w:rsid w:val="0068682C"/>
    <w:rsid w:val="00690A0C"/>
    <w:rsid w:val="00690FD2"/>
    <w:rsid w:val="00693199"/>
    <w:rsid w:val="006B4B95"/>
    <w:rsid w:val="006C18D9"/>
    <w:rsid w:val="006C6449"/>
    <w:rsid w:val="00730882"/>
    <w:rsid w:val="00737A18"/>
    <w:rsid w:val="00746B89"/>
    <w:rsid w:val="0079212B"/>
    <w:rsid w:val="00792EB1"/>
    <w:rsid w:val="008001EE"/>
    <w:rsid w:val="008048D2"/>
    <w:rsid w:val="0081004E"/>
    <w:rsid w:val="00853565"/>
    <w:rsid w:val="0087144D"/>
    <w:rsid w:val="00896F11"/>
    <w:rsid w:val="008A6E5C"/>
    <w:rsid w:val="008B384B"/>
    <w:rsid w:val="008D2398"/>
    <w:rsid w:val="008F6942"/>
    <w:rsid w:val="009026D3"/>
    <w:rsid w:val="00937F04"/>
    <w:rsid w:val="00993CA4"/>
    <w:rsid w:val="009B63AB"/>
    <w:rsid w:val="009C0A89"/>
    <w:rsid w:val="009C15B1"/>
    <w:rsid w:val="009E6A03"/>
    <w:rsid w:val="009F3A67"/>
    <w:rsid w:val="009F3DCE"/>
    <w:rsid w:val="009F7769"/>
    <w:rsid w:val="00A11697"/>
    <w:rsid w:val="00A25BC8"/>
    <w:rsid w:val="00A55503"/>
    <w:rsid w:val="00AD3D55"/>
    <w:rsid w:val="00B722DE"/>
    <w:rsid w:val="00B81254"/>
    <w:rsid w:val="00B83068"/>
    <w:rsid w:val="00B8392A"/>
    <w:rsid w:val="00BD6603"/>
    <w:rsid w:val="00BE68AF"/>
    <w:rsid w:val="00BF069C"/>
    <w:rsid w:val="00BF3835"/>
    <w:rsid w:val="00C1002D"/>
    <w:rsid w:val="00C13B34"/>
    <w:rsid w:val="00C2635E"/>
    <w:rsid w:val="00C3684D"/>
    <w:rsid w:val="00C4032B"/>
    <w:rsid w:val="00C6486C"/>
    <w:rsid w:val="00C648D3"/>
    <w:rsid w:val="00C75B02"/>
    <w:rsid w:val="00C962F0"/>
    <w:rsid w:val="00D013ED"/>
    <w:rsid w:val="00D36BDC"/>
    <w:rsid w:val="00D5049E"/>
    <w:rsid w:val="00D55FEC"/>
    <w:rsid w:val="00D817C7"/>
    <w:rsid w:val="00DF2FB9"/>
    <w:rsid w:val="00E63DEF"/>
    <w:rsid w:val="00E64936"/>
    <w:rsid w:val="00E96102"/>
    <w:rsid w:val="00EE0542"/>
    <w:rsid w:val="00F32BDA"/>
    <w:rsid w:val="00F463F2"/>
    <w:rsid w:val="00F8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A74E61"/>
  <w15:docId w15:val="{67634F44-7ED3-AA44-8F09-E8BE36A9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en-GB"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autoRedefine/>
    <w:qFormat/>
    <w:rsid w:val="009F3DCE"/>
    <w:pPr>
      <w:keepNext/>
      <w:keepLines/>
      <w:spacing w:before="240"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57237F"/>
    <w:pPr>
      <w:numPr>
        <w:numId w:val="13"/>
      </w:numPr>
      <w:tabs>
        <w:tab w:val="clear" w:pos="567"/>
        <w:tab w:val="left" w:pos="709"/>
      </w:tabs>
      <w:ind w:left="0" w:firstLine="0"/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57237F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F67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en-GB" w:eastAsia="en-US"/>
    </w:rPr>
  </w:style>
  <w:style w:type="paragraph" w:customStyle="1" w:styleId="Heading2E">
    <w:name w:val="Heading 2E"/>
    <w:basedOn w:val="Normal"/>
    <w:rsid w:val="00C13B34"/>
    <w:pPr>
      <w:keepNext/>
      <w:numPr>
        <w:numId w:val="9"/>
      </w:numPr>
      <w:tabs>
        <w:tab w:val="clear" w:pos="567"/>
      </w:tabs>
      <w:adjustRightInd w:val="0"/>
      <w:snapToGrid/>
      <w:outlineLvl w:val="0"/>
    </w:pPr>
    <w:rPr>
      <w:rFonts w:ascii="Verdana" w:eastAsia="Verdana" w:hAnsi="Verdana" w:cs="Verdana"/>
      <w:b/>
      <w:snapToGrid/>
      <w:color w:val="404040"/>
      <w:sz w:val="28"/>
      <w:szCs w:val="20"/>
      <w:lang w:eastAsia="en-GB"/>
    </w:rPr>
  </w:style>
  <w:style w:type="paragraph" w:styleId="Revision">
    <w:name w:val="Revision"/>
    <w:hidden/>
    <w:uiPriority w:val="99"/>
    <w:semiHidden/>
    <w:rsid w:val="00655F5E"/>
    <w:rPr>
      <w:rFonts w:ascii="Arial" w:hAnsi="Arial"/>
      <w:snapToGrid w:val="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2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04E59-F2BC-984B-8A35-46BF6F9E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1918</Words>
  <Characters>13188</Characters>
  <Application>Microsoft Office Word</Application>
  <DocSecurity>4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Road to the UN Year</vt:lpstr>
      <vt:lpstr>The Road to the UN Year</vt:lpstr>
    </vt:vector>
  </TitlesOfParts>
  <Company>UNESCO</Company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Road to the UN Year</dc:title>
  <dc:creator>Microsoft Office User</dc:creator>
  <cp:lastModifiedBy>Boned, Patrice</cp:lastModifiedBy>
  <cp:revision>2</cp:revision>
  <cp:lastPrinted>2002-06-12T09:28:00Z</cp:lastPrinted>
  <dcterms:created xsi:type="dcterms:W3CDTF">2023-06-17T10:21:00Z</dcterms:created>
  <dcterms:modified xsi:type="dcterms:W3CDTF">2023-06-17T10:21:00Z</dcterms:modified>
</cp:coreProperties>
</file>