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A021EE" w14:paraId="56CE70E1" w14:textId="77777777">
        <w:trPr>
          <w:jc w:val="center"/>
        </w:trPr>
        <w:tc>
          <w:tcPr>
            <w:tcW w:w="7654" w:type="dxa"/>
            <w:tcMar>
              <w:top w:w="170" w:type="dxa"/>
              <w:left w:w="170" w:type="dxa"/>
              <w:bottom w:w="170" w:type="dxa"/>
              <w:right w:w="170" w:type="dxa"/>
            </w:tcMar>
          </w:tcPr>
          <w:p w14:paraId="47AFF20B" w14:textId="77777777" w:rsidR="00467E3F" w:rsidRPr="00A021EE" w:rsidRDefault="00B83068" w:rsidP="00853565">
            <w:pPr>
              <w:pStyle w:val="Marge"/>
              <w:jc w:val="center"/>
              <w:rPr>
                <w:rFonts w:cs="Arial"/>
                <w:szCs w:val="22"/>
                <w:lang w:val="fr-FR"/>
              </w:rPr>
            </w:pPr>
            <w:r>
              <w:rPr>
                <w:rFonts w:cs="Arial"/>
                <w:szCs w:val="22"/>
                <w:u w:val="single"/>
                <w:lang w:val="fr"/>
              </w:rPr>
              <w:t>Résumé</w:t>
            </w:r>
          </w:p>
          <w:p w14:paraId="1F236688" w14:textId="78D6CF18" w:rsidR="00433B4C" w:rsidRPr="00A021EE" w:rsidRDefault="00433B4C" w:rsidP="00433B4C">
            <w:pPr>
              <w:pBdr>
                <w:top w:val="nil"/>
                <w:left w:val="nil"/>
                <w:bottom w:val="nil"/>
                <w:right w:val="nil"/>
                <w:between w:val="nil"/>
              </w:pBdr>
              <w:tabs>
                <w:tab w:val="left" w:pos="709"/>
              </w:tabs>
              <w:suppressAutoHyphens/>
              <w:snapToGrid/>
              <w:spacing w:after="240"/>
              <w:ind w:left="-35"/>
              <w:jc w:val="both"/>
              <w:textDirection w:val="btLr"/>
              <w:textAlignment w:val="top"/>
              <w:outlineLvl w:val="0"/>
              <w:rPr>
                <w:rFonts w:eastAsia="Arial" w:cs="Arial"/>
                <w:color w:val="000000"/>
                <w:szCs w:val="22"/>
                <w:lang w:val="fr-FR"/>
              </w:rPr>
            </w:pPr>
            <w:r>
              <w:rPr>
                <w:rFonts w:eastAsia="Arial" w:cs="Arial"/>
                <w:color w:val="000000"/>
                <w:szCs w:val="22"/>
                <w:lang w:val="fr"/>
              </w:rPr>
              <w:t>Le Comité mixte de collaboration OMM-COI (désigné ci-après JCB) a été créé par la résolution XXX-2 (2019) de l'Assemblée de la COI et par une résolution « miroir » adoptée par l'OMM (</w:t>
            </w:r>
            <w:r>
              <w:rPr>
                <w:rFonts w:eastAsia="Arial" w:cs="Arial"/>
                <w:szCs w:val="22"/>
                <w:lang w:val="fr"/>
              </w:rPr>
              <w:t>). E</w:t>
            </w:r>
            <w:r>
              <w:rPr>
                <w:rFonts w:eastAsia="Arial" w:cs="Arial"/>
                <w:color w:val="000000"/>
                <w:szCs w:val="22"/>
                <w:lang w:val="fr"/>
              </w:rPr>
              <w:t xml:space="preserve">n 2021, la COI a adopté la Stratégie et le rapport de collaboration OMM-COI (décision A-31/3.5.5 de la COI). En 2022, le Comité mixte de collaboration s'est réuni virtuellement et a identifié une série d'actions </w:t>
            </w:r>
            <w:r>
              <w:rPr>
                <w:rFonts w:eastAsia="Arial" w:cs="Arial"/>
                <w:szCs w:val="22"/>
                <w:lang w:val="fr"/>
              </w:rPr>
              <w:t>potentielles</w:t>
            </w:r>
            <w:r>
              <w:rPr>
                <w:rFonts w:eastAsia="Arial" w:cs="Arial"/>
                <w:color w:val="000000"/>
                <w:szCs w:val="22"/>
                <w:lang w:val="fr"/>
              </w:rPr>
              <w:t xml:space="preserve"> pour soutenir la mise en œuvre de ses objectifs. </w:t>
            </w:r>
          </w:p>
          <w:p w14:paraId="2C21414E" w14:textId="63D3C1E1" w:rsidR="00433B4C" w:rsidRPr="00A021EE" w:rsidRDefault="00433B4C" w:rsidP="00433B4C">
            <w:pPr>
              <w:pBdr>
                <w:top w:val="nil"/>
                <w:left w:val="nil"/>
                <w:bottom w:val="nil"/>
                <w:right w:val="nil"/>
                <w:between w:val="nil"/>
              </w:pBdr>
              <w:tabs>
                <w:tab w:val="left" w:pos="709"/>
              </w:tabs>
              <w:suppressAutoHyphens/>
              <w:snapToGrid/>
              <w:spacing w:after="240"/>
              <w:ind w:left="-35"/>
              <w:jc w:val="both"/>
              <w:textDirection w:val="btLr"/>
              <w:textAlignment w:val="top"/>
              <w:outlineLvl w:val="0"/>
              <w:rPr>
                <w:color w:val="000000"/>
                <w:lang w:val="fr-FR"/>
              </w:rPr>
            </w:pPr>
            <w:r>
              <w:rPr>
                <w:rFonts w:eastAsia="Arial" w:cs="Arial"/>
                <w:color w:val="000000"/>
                <w:szCs w:val="22"/>
                <w:lang w:val="fr"/>
              </w:rPr>
              <w:t>Le présent document résume les résultats de la réunion du Comité mixte de collaboration susmentionnée et présente les prochaines mesures que le Comité prendra (avec le soutien des secrétariats de la COI et de l'OMM) pour mener à bien les tâches qui lui ont été confiées et procéder à un examen des progrès accomplis, comme l'a demandé la COI en 2019 (résolution XXX-2 de la COI).</w:t>
            </w:r>
          </w:p>
          <w:p w14:paraId="538183C2" w14:textId="77D2D41F" w:rsidR="00413F17" w:rsidRPr="00A021EE" w:rsidRDefault="00A16ACF" w:rsidP="00F167D7">
            <w:pPr>
              <w:pBdr>
                <w:top w:val="nil"/>
                <w:left w:val="nil"/>
                <w:bottom w:val="nil"/>
                <w:right w:val="nil"/>
                <w:between w:val="nil"/>
              </w:pBdr>
              <w:tabs>
                <w:tab w:val="left" w:pos="709"/>
              </w:tabs>
              <w:suppressAutoHyphens/>
              <w:snapToGrid/>
              <w:spacing w:after="240"/>
              <w:ind w:left="-35"/>
              <w:jc w:val="both"/>
              <w:textDirection w:val="btLr"/>
              <w:textAlignment w:val="top"/>
              <w:outlineLvl w:val="0"/>
              <w:rPr>
                <w:rFonts w:cs="Arial"/>
                <w:szCs w:val="22"/>
                <w:lang w:val="fr-FR"/>
              </w:rPr>
            </w:pPr>
            <w:r>
              <w:rPr>
                <w:rFonts w:cs="Arial"/>
                <w:szCs w:val="22"/>
                <w:lang w:val="fr"/>
              </w:rPr>
              <w:t xml:space="preserve">L'objectif de ce document est d'examiner les progrès réalisés et d'approuver l'approche des prochaines étapes du Comité mixte de collaboration. </w:t>
            </w:r>
          </w:p>
          <w:p w14:paraId="3A98DB71" w14:textId="4C179C9F" w:rsidR="00A16ACF" w:rsidRPr="00A021EE" w:rsidRDefault="00A16ACF" w:rsidP="00F167D7">
            <w:pPr>
              <w:pBdr>
                <w:top w:val="nil"/>
                <w:left w:val="nil"/>
                <w:bottom w:val="nil"/>
                <w:right w:val="nil"/>
                <w:between w:val="nil"/>
              </w:pBdr>
              <w:tabs>
                <w:tab w:val="left" w:pos="709"/>
              </w:tabs>
              <w:suppressAutoHyphens/>
              <w:snapToGrid/>
              <w:spacing w:after="240"/>
              <w:ind w:left="-35"/>
              <w:jc w:val="both"/>
              <w:textDirection w:val="btLr"/>
              <w:textAlignment w:val="top"/>
              <w:outlineLvl w:val="0"/>
              <w:rPr>
                <w:rFonts w:cs="Arial"/>
                <w:szCs w:val="22"/>
                <w:lang w:val="fr-FR"/>
              </w:rPr>
            </w:pPr>
            <w:r>
              <w:rPr>
                <w:rFonts w:cs="Arial"/>
                <w:szCs w:val="22"/>
                <w:u w:val="single"/>
                <w:lang w:val="fr"/>
              </w:rPr>
              <w:t>Incidences financières et administratives :</w:t>
            </w:r>
            <w:r>
              <w:rPr>
                <w:rFonts w:cs="Arial"/>
                <w:szCs w:val="22"/>
                <w:lang w:val="fr"/>
              </w:rPr>
              <w:t xml:space="preserve"> Il n'y a pas d'implications financières et administratives</w:t>
            </w:r>
          </w:p>
          <w:p w14:paraId="769F42B1" w14:textId="3115F41B" w:rsidR="00737A18" w:rsidRPr="00A021EE" w:rsidRDefault="00A16ACF" w:rsidP="00F167D7">
            <w:pPr>
              <w:ind w:left="-35"/>
              <w:rPr>
                <w:rFonts w:eastAsia="Calibri"/>
                <w:u w:val="single"/>
                <w:lang w:val="fr-FR"/>
              </w:rPr>
            </w:pPr>
            <w:r>
              <w:rPr>
                <w:rFonts w:cs="Arial"/>
                <w:szCs w:val="22"/>
                <w:u w:val="single"/>
                <w:lang w:val="fr"/>
              </w:rPr>
              <w:t>La (les) décision(s) proposée(s</w:t>
            </w:r>
            <w:r>
              <w:rPr>
                <w:rFonts w:cs="Arial"/>
                <w:szCs w:val="22"/>
                <w:lang w:val="fr"/>
              </w:rPr>
              <w:t>) est (sont) référencée</w:t>
            </w:r>
            <w:r>
              <w:rPr>
                <w:rFonts w:cs="Arial"/>
                <w:szCs w:val="22"/>
                <w:u w:val="single"/>
                <w:lang w:val="fr"/>
              </w:rPr>
              <w:t>(</w:t>
            </w:r>
            <w:r>
              <w:rPr>
                <w:rFonts w:cs="Arial"/>
                <w:szCs w:val="22"/>
                <w:lang w:val="fr"/>
              </w:rPr>
              <w:t>s) A-32/4.9 dans le Document d'action provisoire (document IOC-32/AP Prov.)</w:t>
            </w:r>
          </w:p>
        </w:tc>
      </w:tr>
    </w:tbl>
    <w:p w14:paraId="48CD519D" w14:textId="69BE9EB8" w:rsidR="00F116E7" w:rsidRPr="00A021EE" w:rsidRDefault="00F116E7" w:rsidP="00BE219B">
      <w:pPr>
        <w:pStyle w:val="Heading3"/>
        <w:rPr>
          <w:lang w:val="fr-FR"/>
        </w:rPr>
      </w:pPr>
    </w:p>
    <w:p w14:paraId="50DBE39E" w14:textId="77777777" w:rsidR="00F116E7" w:rsidRPr="00A021EE" w:rsidRDefault="00F116E7">
      <w:pPr>
        <w:tabs>
          <w:tab w:val="clear" w:pos="567"/>
        </w:tabs>
        <w:snapToGrid/>
        <w:rPr>
          <w:rFonts w:eastAsia="Arial Unicode MS"/>
          <w:b/>
          <w:bCs/>
          <w:szCs w:val="22"/>
          <w:lang w:val="fr-FR"/>
        </w:rPr>
      </w:pPr>
      <w:r>
        <w:rPr>
          <w:lang w:val="fr"/>
        </w:rPr>
        <w:br w:type="page"/>
      </w:r>
    </w:p>
    <w:p w14:paraId="34DA60E0" w14:textId="77777777" w:rsidR="00737A18" w:rsidRDefault="009026D3" w:rsidP="00BE219B">
      <w:pPr>
        <w:pStyle w:val="Heading3"/>
      </w:pPr>
      <w:r>
        <w:rPr>
          <w:lang w:val="fr"/>
        </w:rPr>
        <w:lastRenderedPageBreak/>
        <w:t>Introduction</w:t>
      </w:r>
    </w:p>
    <w:p w14:paraId="41E99416" w14:textId="3AC79816" w:rsidR="003E59E0" w:rsidRPr="00A021EE" w:rsidRDefault="003E59E0" w:rsidP="00BE219B">
      <w:pPr>
        <w:pStyle w:val="COI"/>
        <w:spacing w:after="240"/>
        <w:rPr>
          <w:lang w:val="fr-FR"/>
        </w:rPr>
      </w:pPr>
      <w:r>
        <w:rPr>
          <w:lang w:val="fr"/>
        </w:rPr>
        <w:t xml:space="preserve">Le Conseil de collaboration de la Commission technique mixte OMM/COI de l'UNESCO a tenu sa deuxième session (JCB-2) en ligne au cours de deux réunions de trois heures les 1er et 2 mars 2022 (voir </w:t>
      </w:r>
      <w:hyperlink r:id="rId8" w:history="1">
        <w:r>
          <w:rPr>
            <w:rStyle w:val="Hyperlink"/>
            <w:lang w:val="fr"/>
          </w:rPr>
          <w:t>IOC/INF-1420</w:t>
        </w:r>
      </w:hyperlink>
      <w:r>
        <w:rPr>
          <w:u w:val="single"/>
          <w:lang w:val="fr"/>
        </w:rPr>
        <w:t>,</w:t>
      </w:r>
      <w:r>
        <w:rPr>
          <w:lang w:val="fr"/>
        </w:rPr>
        <w:t xml:space="preserve"> annexe 1 pour connaître l'ordre du jour). </w:t>
      </w:r>
    </w:p>
    <w:p w14:paraId="73C706D5" w14:textId="46AD471C" w:rsidR="003E59E0" w:rsidRPr="00A021EE" w:rsidRDefault="003E59E0" w:rsidP="00BE219B">
      <w:pPr>
        <w:pStyle w:val="COI"/>
        <w:rPr>
          <w:lang w:val="fr-FR"/>
        </w:rPr>
      </w:pPr>
      <w:r>
        <w:rPr>
          <w:lang w:val="fr"/>
        </w:rPr>
        <w:t>Les co-Présidents du Comité mixte de collaboration, M. Albert Martis (OMM) et M. Srinivasa Kumar Tummala (COI), ont présidé la session. Suite à l'adoption de la Stratégie de collaboration conjointe OMM-IOC (2022-2025) par le Conseil exécutif de l'OMM lors de sa 73e session (EC73) et par l'Assemblée de la COI lors de sa 31e session (A-32) en juin 2021 (</w:t>
      </w:r>
      <w:hyperlink r:id="rId9" w:history="1">
        <w:r>
          <w:rPr>
            <w:rStyle w:val="Hyperlink"/>
            <w:lang w:val="fr"/>
          </w:rPr>
          <w:t>IOC/A-31/3.5.5.Doc(1) Rev.</w:t>
        </w:r>
      </w:hyperlink>
      <w:r>
        <w:rPr>
          <w:lang w:val="fr"/>
        </w:rPr>
        <w:t>), les résultats escomptés du JCB-2 étaient les suivants :</w:t>
      </w:r>
    </w:p>
    <w:p w14:paraId="5B353CF8" w14:textId="5B32C5B5" w:rsidR="003E59E0" w:rsidRPr="00A021EE" w:rsidRDefault="003E59E0" w:rsidP="00F167D7">
      <w:pPr>
        <w:pStyle w:val="ListParagraph"/>
        <w:numPr>
          <w:ilvl w:val="0"/>
          <w:numId w:val="18"/>
        </w:numPr>
        <w:tabs>
          <w:tab w:val="clear" w:pos="567"/>
        </w:tabs>
        <w:spacing w:after="120"/>
        <w:ind w:left="1134" w:hanging="444"/>
        <w:contextualSpacing w:val="0"/>
        <w:rPr>
          <w:lang w:val="fr-FR"/>
        </w:rPr>
      </w:pPr>
      <w:r>
        <w:rPr>
          <w:lang w:val="fr"/>
        </w:rPr>
        <w:t>Comprendre le rôle du Comité mixte de collaboration dans la valorisation des activités conjointes et de l'intérêt mutuel de l'OMM et de la COI ;</w:t>
      </w:r>
    </w:p>
    <w:p w14:paraId="69E3D59D" w14:textId="7B2BA106" w:rsidR="003E59E0" w:rsidRPr="00A021EE" w:rsidRDefault="003E59E0" w:rsidP="00F167D7">
      <w:pPr>
        <w:pStyle w:val="ListParagraph"/>
        <w:numPr>
          <w:ilvl w:val="0"/>
          <w:numId w:val="18"/>
        </w:numPr>
        <w:tabs>
          <w:tab w:val="clear" w:pos="567"/>
        </w:tabs>
        <w:spacing w:after="120"/>
        <w:ind w:left="1134" w:hanging="442"/>
        <w:contextualSpacing w:val="0"/>
        <w:rPr>
          <w:lang w:val="fr-FR"/>
        </w:rPr>
      </w:pPr>
      <w:r>
        <w:rPr>
          <w:lang w:val="fr"/>
        </w:rPr>
        <w:t>Identifier les lacunes et les domaines possibles de collaboration renforcée et formuler des recommandations pour combler ces lacunes ; et</w:t>
      </w:r>
    </w:p>
    <w:p w14:paraId="05A7E814" w14:textId="06905933" w:rsidR="003E59E0" w:rsidRPr="00A021EE" w:rsidRDefault="003E59E0" w:rsidP="00F167D7">
      <w:pPr>
        <w:pStyle w:val="ListParagraph"/>
        <w:numPr>
          <w:ilvl w:val="0"/>
          <w:numId w:val="18"/>
        </w:numPr>
        <w:tabs>
          <w:tab w:val="clear" w:pos="567"/>
        </w:tabs>
        <w:spacing w:after="240"/>
        <w:ind w:left="1134" w:hanging="442"/>
        <w:contextualSpacing w:val="0"/>
        <w:rPr>
          <w:lang w:val="fr-FR"/>
        </w:rPr>
      </w:pPr>
      <w:r>
        <w:rPr>
          <w:lang w:val="fr"/>
        </w:rPr>
        <w:t>Rédiger les grandes lignes d'un plan de travail pour 2022-2023.</w:t>
      </w:r>
    </w:p>
    <w:p w14:paraId="5F419DB4" w14:textId="6ECF504F" w:rsidR="003E59E0" w:rsidRPr="00A021EE" w:rsidRDefault="003E59E0" w:rsidP="00BE219B">
      <w:pPr>
        <w:pStyle w:val="COI"/>
        <w:rPr>
          <w:lang w:val="fr-FR"/>
        </w:rPr>
      </w:pPr>
      <w:r>
        <w:rPr>
          <w:lang w:val="fr"/>
        </w:rPr>
        <w:t>La réunion a suivi l'approche de la chaîne de valeur, depuis les observations jusqu'à la recherche et au développement des capacités, en passant par les données, la modélisation et les services du Comité mixte de collaboration. La COI et l'OMM ont toutes deux présenté leurs priorités et leurs activités connexes, souligné l'état d'avancement des travaux en 2021 et proposé des priorités à court terme pour l'action du Comité mixte de collaboration. Le Comité mixte de collaboration a discuté des lacunes et des opportunités, et de la manière dont il pourrait apporter une valeur ajoutée. Un plan de travail collaboratif commun pour 2022-2023 a été adopté avec les éléments clés suivants :</w:t>
      </w:r>
    </w:p>
    <w:p w14:paraId="734BF6AD" w14:textId="3625DB38" w:rsidR="003E59E0" w:rsidRPr="00A021EE" w:rsidRDefault="003E59E0" w:rsidP="00F167D7">
      <w:pPr>
        <w:pStyle w:val="ListParagraph"/>
        <w:numPr>
          <w:ilvl w:val="0"/>
          <w:numId w:val="18"/>
        </w:numPr>
        <w:tabs>
          <w:tab w:val="clear" w:pos="567"/>
        </w:tabs>
        <w:spacing w:after="120"/>
        <w:ind w:left="1134" w:hanging="444"/>
        <w:contextualSpacing w:val="0"/>
        <w:rPr>
          <w:lang w:val="fr-FR"/>
        </w:rPr>
      </w:pPr>
      <w:r>
        <w:rPr>
          <w:lang w:val="fr"/>
        </w:rPr>
        <w:t>Mise en place d'une série de webinaires du Comité mixte de collaboration sur l'ensemble de la chaîne de valeur ;</w:t>
      </w:r>
    </w:p>
    <w:p w14:paraId="44434774" w14:textId="1B36DEEC" w:rsidR="003E59E0" w:rsidRPr="00A021EE" w:rsidRDefault="003E59E0" w:rsidP="00F167D7">
      <w:pPr>
        <w:pStyle w:val="ListParagraph"/>
        <w:numPr>
          <w:ilvl w:val="0"/>
          <w:numId w:val="18"/>
        </w:numPr>
        <w:tabs>
          <w:tab w:val="clear" w:pos="567"/>
        </w:tabs>
        <w:spacing w:after="120"/>
        <w:ind w:left="1134" w:hanging="444"/>
        <w:contextualSpacing w:val="0"/>
        <w:rPr>
          <w:lang w:val="fr-FR"/>
        </w:rPr>
      </w:pPr>
      <w:r>
        <w:rPr>
          <w:lang w:val="fr"/>
        </w:rPr>
        <w:t>Élaboration de propositions pour le Livre blanc sur la position des satellites océaniques ;</w:t>
      </w:r>
    </w:p>
    <w:p w14:paraId="641909AD" w14:textId="7EF14C0E" w:rsidR="003E59E0" w:rsidRPr="00A021EE" w:rsidRDefault="003E59E0" w:rsidP="00F167D7">
      <w:pPr>
        <w:pStyle w:val="ListParagraph"/>
        <w:numPr>
          <w:ilvl w:val="0"/>
          <w:numId w:val="18"/>
        </w:numPr>
        <w:tabs>
          <w:tab w:val="clear" w:pos="567"/>
        </w:tabs>
        <w:spacing w:after="120"/>
        <w:ind w:left="1134" w:hanging="444"/>
        <w:contextualSpacing w:val="0"/>
        <w:rPr>
          <w:lang w:val="fr-FR"/>
        </w:rPr>
      </w:pPr>
      <w:r>
        <w:rPr>
          <w:lang w:val="fr"/>
        </w:rPr>
        <w:t>Renforcement de la synergie entre le processus GBON/RRR et la co-conception du GOOS afin de promouvoir la durabilité de l'observation ;</w:t>
      </w:r>
    </w:p>
    <w:p w14:paraId="2F951833" w14:textId="06F44831" w:rsidR="003E59E0" w:rsidRPr="00A021EE" w:rsidRDefault="003E59E0" w:rsidP="00F167D7">
      <w:pPr>
        <w:pStyle w:val="ListParagraph"/>
        <w:numPr>
          <w:ilvl w:val="0"/>
          <w:numId w:val="18"/>
        </w:numPr>
        <w:tabs>
          <w:tab w:val="clear" w:pos="567"/>
        </w:tabs>
        <w:spacing w:after="120"/>
        <w:ind w:left="1134" w:hanging="444"/>
        <w:contextualSpacing w:val="0"/>
        <w:rPr>
          <w:lang w:val="fr-FR"/>
        </w:rPr>
      </w:pPr>
      <w:r>
        <w:rPr>
          <w:lang w:val="fr"/>
        </w:rPr>
        <w:t>Accent mis sur la recherche sur le carbone océanique et sur la capacité et le concept d'observation ;</w:t>
      </w:r>
    </w:p>
    <w:p w14:paraId="05CE3B04" w14:textId="73A197F8" w:rsidR="003E59E0" w:rsidRPr="00A021EE" w:rsidRDefault="003E59E0" w:rsidP="00F167D7">
      <w:pPr>
        <w:pStyle w:val="ListParagraph"/>
        <w:numPr>
          <w:ilvl w:val="0"/>
          <w:numId w:val="18"/>
        </w:numPr>
        <w:tabs>
          <w:tab w:val="clear" w:pos="567"/>
        </w:tabs>
        <w:spacing w:after="120"/>
        <w:ind w:left="1134" w:hanging="444"/>
        <w:contextualSpacing w:val="0"/>
        <w:rPr>
          <w:lang w:val="fr-FR"/>
        </w:rPr>
      </w:pPr>
      <w:r>
        <w:rPr>
          <w:lang w:val="fr"/>
        </w:rPr>
        <w:t>Développement conjoint d'une carte de données océaniques ;</w:t>
      </w:r>
    </w:p>
    <w:p w14:paraId="53BABDCD" w14:textId="71214608" w:rsidR="003E59E0" w:rsidRPr="00A021EE" w:rsidRDefault="003E59E0" w:rsidP="00F167D7">
      <w:pPr>
        <w:pStyle w:val="ListParagraph"/>
        <w:numPr>
          <w:ilvl w:val="0"/>
          <w:numId w:val="18"/>
        </w:numPr>
        <w:tabs>
          <w:tab w:val="clear" w:pos="567"/>
        </w:tabs>
        <w:spacing w:after="120"/>
        <w:ind w:left="1134" w:hanging="444"/>
        <w:contextualSpacing w:val="0"/>
        <w:rPr>
          <w:lang w:val="fr-FR"/>
        </w:rPr>
      </w:pPr>
      <w:r>
        <w:rPr>
          <w:lang w:val="fr"/>
        </w:rPr>
        <w:t>Collaboration sur l'interopérabilité entre la COI/IODE, l'OIH/ODIS et les travaux du WIS de l'OMM : Implication accrue de tous les membres du Comité mixte de collaboration dans le développement du WIS 2.0, du plan de mise en œuvre ODIS et des initiatives régionales ;</w:t>
      </w:r>
    </w:p>
    <w:p w14:paraId="3E1047E6" w14:textId="3222F816" w:rsidR="003E59E0" w:rsidRPr="00A021EE" w:rsidRDefault="003E59E0" w:rsidP="00F167D7">
      <w:pPr>
        <w:pStyle w:val="ListParagraph"/>
        <w:numPr>
          <w:ilvl w:val="0"/>
          <w:numId w:val="18"/>
        </w:numPr>
        <w:tabs>
          <w:tab w:val="clear" w:pos="567"/>
        </w:tabs>
        <w:spacing w:after="120"/>
        <w:ind w:left="1134" w:hanging="444"/>
        <w:contextualSpacing w:val="0"/>
        <w:rPr>
          <w:lang w:val="fr-FR"/>
        </w:rPr>
      </w:pPr>
      <w:r>
        <w:rPr>
          <w:lang w:val="fr"/>
        </w:rPr>
        <w:t>Collaboration entre la COI/IODE et l'OMM sur les meilleures pratiques en matière d'océans (IOC OBPS) ;</w:t>
      </w:r>
    </w:p>
    <w:p w14:paraId="11A32803" w14:textId="604D9B6E" w:rsidR="003E59E0" w:rsidRPr="00A021EE" w:rsidRDefault="003E59E0" w:rsidP="00F167D7">
      <w:pPr>
        <w:pStyle w:val="ListParagraph"/>
        <w:numPr>
          <w:ilvl w:val="0"/>
          <w:numId w:val="18"/>
        </w:numPr>
        <w:tabs>
          <w:tab w:val="clear" w:pos="567"/>
        </w:tabs>
        <w:spacing w:after="120"/>
        <w:ind w:left="1134" w:hanging="444"/>
        <w:contextualSpacing w:val="0"/>
        <w:rPr>
          <w:lang w:val="fr-FR"/>
        </w:rPr>
      </w:pPr>
      <w:r>
        <w:rPr>
          <w:lang w:val="fr"/>
        </w:rPr>
        <w:t>Harmonisation de la politique de l'OMM et de la COI en matière de données, conseils et consultations ;</w:t>
      </w:r>
    </w:p>
    <w:p w14:paraId="3B42AC51" w14:textId="24889EB6" w:rsidR="003E59E0" w:rsidRPr="00A021EE" w:rsidRDefault="003E59E0" w:rsidP="00F167D7">
      <w:pPr>
        <w:pStyle w:val="ListParagraph"/>
        <w:numPr>
          <w:ilvl w:val="0"/>
          <w:numId w:val="18"/>
        </w:numPr>
        <w:tabs>
          <w:tab w:val="clear" w:pos="567"/>
        </w:tabs>
        <w:spacing w:after="120"/>
        <w:ind w:left="1134" w:hanging="444"/>
        <w:contextualSpacing w:val="0"/>
        <w:rPr>
          <w:lang w:val="fr-FR"/>
        </w:rPr>
      </w:pPr>
      <w:r>
        <w:rPr>
          <w:lang w:val="fr"/>
        </w:rPr>
        <w:t>Réponse renforcée et résilience face aux risques d'inondations côtières pour les populations côtières, y compris les tsunamis ;</w:t>
      </w:r>
    </w:p>
    <w:p w14:paraId="07D9863B" w14:textId="283D850F" w:rsidR="003E59E0" w:rsidRPr="00A021EE" w:rsidRDefault="003E59E0" w:rsidP="00F167D7">
      <w:pPr>
        <w:pStyle w:val="ListParagraph"/>
        <w:numPr>
          <w:ilvl w:val="0"/>
          <w:numId w:val="18"/>
        </w:numPr>
        <w:tabs>
          <w:tab w:val="clear" w:pos="567"/>
        </w:tabs>
        <w:spacing w:after="120"/>
        <w:ind w:left="1134" w:hanging="444"/>
        <w:contextualSpacing w:val="0"/>
        <w:rPr>
          <w:lang w:val="fr-FR"/>
        </w:rPr>
      </w:pPr>
      <w:r>
        <w:rPr>
          <w:lang w:val="fr"/>
        </w:rPr>
        <w:t>Progrès des prévisions océaniques S/GDPFS au profit des utilisateurs finaux et des membres ;</w:t>
      </w:r>
    </w:p>
    <w:p w14:paraId="3EFF4101" w14:textId="57F87B3C" w:rsidR="003E59E0" w:rsidRPr="00A021EE" w:rsidRDefault="003E59E0" w:rsidP="00F167D7">
      <w:pPr>
        <w:pStyle w:val="ListParagraph"/>
        <w:numPr>
          <w:ilvl w:val="0"/>
          <w:numId w:val="18"/>
        </w:numPr>
        <w:tabs>
          <w:tab w:val="clear" w:pos="567"/>
        </w:tabs>
        <w:spacing w:after="120"/>
        <w:ind w:left="1134" w:hanging="444"/>
        <w:contextualSpacing w:val="0"/>
        <w:rPr>
          <w:lang w:val="fr-FR"/>
        </w:rPr>
      </w:pPr>
      <w:r>
        <w:rPr>
          <w:lang w:val="fr"/>
        </w:rPr>
        <w:t>Multiplication des possibilités, pour la communauté d'experts en météorologie marine et en océanographie, de se réunir au niveau régional/local, tout en augmentant la participation des décideurs ;</w:t>
      </w:r>
    </w:p>
    <w:p w14:paraId="616D8659" w14:textId="6986A48C" w:rsidR="003E59E0" w:rsidRPr="003E59E0" w:rsidRDefault="003E59E0" w:rsidP="00F167D7">
      <w:pPr>
        <w:pStyle w:val="ListParagraph"/>
        <w:numPr>
          <w:ilvl w:val="0"/>
          <w:numId w:val="18"/>
        </w:numPr>
        <w:tabs>
          <w:tab w:val="clear" w:pos="567"/>
        </w:tabs>
        <w:spacing w:after="120"/>
        <w:ind w:left="1134" w:hanging="444"/>
        <w:contextualSpacing w:val="0"/>
      </w:pPr>
      <w:r>
        <w:rPr>
          <w:lang w:val="fr"/>
        </w:rPr>
        <w:lastRenderedPageBreak/>
        <w:t>Accueil conjoint de grands événements océaniques par l'OMM et la COI et codirection d'autres grands événements/conférences (p. ex. COP) ;</w:t>
      </w:r>
    </w:p>
    <w:p w14:paraId="41C7ED02" w14:textId="741296A7" w:rsidR="003E59E0" w:rsidRPr="00A021EE" w:rsidRDefault="003E59E0" w:rsidP="00F167D7">
      <w:pPr>
        <w:pStyle w:val="ListParagraph"/>
        <w:numPr>
          <w:ilvl w:val="0"/>
          <w:numId w:val="18"/>
        </w:numPr>
        <w:tabs>
          <w:tab w:val="clear" w:pos="567"/>
        </w:tabs>
        <w:spacing w:after="120"/>
        <w:ind w:left="1134" w:hanging="444"/>
        <w:contextualSpacing w:val="0"/>
        <w:rPr>
          <w:lang w:val="fr-FR"/>
        </w:rPr>
      </w:pPr>
      <w:r>
        <w:rPr>
          <w:lang w:val="fr"/>
        </w:rPr>
        <w:t>Renforcement de la collaboration régionale entre l'OMM et la COI (par exemple, événement Ocean Side) ;</w:t>
      </w:r>
    </w:p>
    <w:p w14:paraId="2DDC360D" w14:textId="6D637EF3" w:rsidR="003E59E0" w:rsidRPr="00A021EE" w:rsidRDefault="003E59E0" w:rsidP="00F167D7">
      <w:pPr>
        <w:pStyle w:val="ListParagraph"/>
        <w:numPr>
          <w:ilvl w:val="0"/>
          <w:numId w:val="18"/>
        </w:numPr>
        <w:tabs>
          <w:tab w:val="clear" w:pos="567"/>
        </w:tabs>
        <w:spacing w:after="120"/>
        <w:ind w:left="1134" w:hanging="444"/>
        <w:contextualSpacing w:val="0"/>
        <w:rPr>
          <w:lang w:val="fr-FR"/>
        </w:rPr>
      </w:pPr>
      <w:r>
        <w:rPr>
          <w:lang w:val="fr"/>
        </w:rPr>
        <w:t>Intensification de l'exploitation des plans stratégiques existants de l'OMM et de la COI afin d'obtenir une contribution plus importante ;</w:t>
      </w:r>
    </w:p>
    <w:p w14:paraId="74125FC5" w14:textId="0A5FEC44" w:rsidR="003E59E0" w:rsidRPr="00A021EE" w:rsidRDefault="003E59E0" w:rsidP="00F167D7">
      <w:pPr>
        <w:pStyle w:val="ListParagraph"/>
        <w:numPr>
          <w:ilvl w:val="0"/>
          <w:numId w:val="18"/>
        </w:numPr>
        <w:tabs>
          <w:tab w:val="clear" w:pos="567"/>
        </w:tabs>
        <w:spacing w:after="120"/>
        <w:ind w:left="1134" w:hanging="444"/>
        <w:contextualSpacing w:val="0"/>
        <w:rPr>
          <w:lang w:val="fr-FR"/>
        </w:rPr>
      </w:pPr>
      <w:r>
        <w:rPr>
          <w:lang w:val="fr"/>
        </w:rPr>
        <w:t>Création de liens et harmonisation des activités, programmes et stratégies de développement des capacités de l'OMM et de la COI ;</w:t>
      </w:r>
    </w:p>
    <w:p w14:paraId="18F98B19" w14:textId="627CE228" w:rsidR="003E59E0" w:rsidRPr="00A021EE" w:rsidRDefault="003E59E0" w:rsidP="00BE219B">
      <w:pPr>
        <w:pStyle w:val="Heading3"/>
        <w:rPr>
          <w:lang w:val="fr-FR"/>
        </w:rPr>
      </w:pPr>
      <w:r>
        <w:rPr>
          <w:lang w:val="fr"/>
        </w:rPr>
        <w:t>Progrès en 2022-2023 et état d'avancement de la révision du Comité mixte de collaboration</w:t>
      </w:r>
    </w:p>
    <w:p w14:paraId="70AE28ED" w14:textId="2248D871" w:rsidR="003E59E0" w:rsidRPr="00A021EE" w:rsidRDefault="003E59E0" w:rsidP="00BE219B">
      <w:pPr>
        <w:pStyle w:val="COI"/>
        <w:spacing w:after="240"/>
        <w:rPr>
          <w:lang w:val="fr-FR"/>
        </w:rPr>
      </w:pPr>
      <w:r>
        <w:rPr>
          <w:lang w:val="fr"/>
        </w:rPr>
        <w:t>La réunion JCB-2 qui s'est tenue en mars 2022 a été positive et plusieurs domaines importants de collaboration ont été identifiés, comme le souligne le plan de travail 2022-2023.  Bien que la COI/l'OMM aient progressé sur un certain nombre de points décrits dans le plan de travail, les progrès globaux ont été plus lents que prévu. Cela s'explique en partie par le fait que le COVID-19 ait eu un impact sur la capacité du Comité mixte de collaboration à se réunir en présentiel pour discuter, évaluer les progrès ou établir des priorités pour les actions et d'autres questions liées aux ressources.</w:t>
      </w:r>
    </w:p>
    <w:p w14:paraId="0FCA236F" w14:textId="6DEC34E9" w:rsidR="003E59E0" w:rsidRPr="00A021EE" w:rsidRDefault="003E59E0" w:rsidP="00BE219B">
      <w:pPr>
        <w:pStyle w:val="COI"/>
        <w:spacing w:after="240"/>
        <w:rPr>
          <w:lang w:val="fr-FR"/>
        </w:rPr>
      </w:pPr>
      <w:r>
        <w:rPr>
          <w:lang w:val="fr"/>
        </w:rPr>
        <w:t>En outre, bien que le Comité mixte de collaboration ait rempli une partie de la mission qui lui a été confiée par la COI (résolution XXX-2, 2019) et préparé une stratégie de collaboration OMM-COI adoptée en 2021, ainsi qu'un plan de travail pour 2022-2023, il n'a pas donné suite à la demande de la COI d'examiner ses résultats au bout de quatre ans, en rendant compte à l'Assemblée de la COI en 2023. En outre, le mécanisme de mise en œuvre d'une stratégie de collaboration du Comité mixte de collaboration n'est pas très clair, par exemple en ce qui concerne son fonctionnement par rapport à d'autres stratégies existantes de l'OMM et de la COI.</w:t>
      </w:r>
    </w:p>
    <w:p w14:paraId="58BE1F28" w14:textId="710961B2" w:rsidR="003E59E0" w:rsidRPr="00A021EE" w:rsidRDefault="003E59E0" w:rsidP="00BE219B">
      <w:pPr>
        <w:pStyle w:val="COI"/>
        <w:spacing w:after="240"/>
        <w:rPr>
          <w:lang w:val="fr-FR"/>
        </w:rPr>
      </w:pPr>
      <w:r>
        <w:rPr>
          <w:lang w:val="fr"/>
        </w:rPr>
        <w:t>Les Présidents du Comité mixte de collaboration se sont réunis en ligne en mars 2023 et ont convenu d'aborder l'avancement du plan de travail et l'examen quadriennal du Comité lors d'une réunion en septembre/octobre 2023. L'ordre du jour de cette réunion sera discuté lors d'une réunion virtuelle en juillet, mais comprendra un examen et une concentration sur les sujets prioritaires pour la collaboration. Le Secrétaire exécutif et le secrétariat de la COI ont renouvelé leur engagement à l'égard des travaux du Comité mixte de collaboration.</w:t>
      </w:r>
    </w:p>
    <w:p w14:paraId="76AF1C70" w14:textId="643E2C11" w:rsidR="00C3684D" w:rsidRPr="00A021EE" w:rsidRDefault="00C3684D" w:rsidP="00BE219B">
      <w:pPr>
        <w:spacing w:after="240"/>
        <w:rPr>
          <w:lang w:val="fr-FR"/>
        </w:rPr>
      </w:pPr>
    </w:p>
    <w:sectPr w:rsidR="00C3684D" w:rsidRPr="00A021EE" w:rsidSect="003F7186">
      <w:headerReference w:type="even" r:id="rId10"/>
      <w:headerReference w:type="default" r:id="rId11"/>
      <w:headerReference w:type="first" r:id="rId12"/>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E52B2" w14:textId="77777777" w:rsidR="004C2B7F" w:rsidRDefault="004C2B7F">
      <w:r>
        <w:separator/>
      </w:r>
    </w:p>
  </w:endnote>
  <w:endnote w:type="continuationSeparator" w:id="0">
    <w:p w14:paraId="5D556B78" w14:textId="77777777" w:rsidR="004C2B7F" w:rsidRDefault="004C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3AD10" w14:textId="77777777" w:rsidR="004C2B7F" w:rsidRDefault="004C2B7F">
      <w:r>
        <w:separator/>
      </w:r>
    </w:p>
  </w:footnote>
  <w:footnote w:type="continuationSeparator" w:id="0">
    <w:p w14:paraId="740BD0B5" w14:textId="77777777" w:rsidR="004C2B7F" w:rsidRDefault="004C2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4079" w14:textId="4D88B6CA" w:rsidR="00020AA1" w:rsidRPr="00BE219B" w:rsidRDefault="00B8392A" w:rsidP="00A16ACF">
    <w:pPr>
      <w:pStyle w:val="Header"/>
      <w:tabs>
        <w:tab w:val="clear" w:pos="8306"/>
      </w:tabs>
      <w:rPr>
        <w:rFonts w:cs="Arial"/>
        <w:szCs w:val="22"/>
      </w:rPr>
    </w:pPr>
    <w:r>
      <w:rPr>
        <w:rFonts w:cs="Arial"/>
        <w:szCs w:val="22"/>
        <w:lang w:val="fr"/>
      </w:rPr>
      <w:t>IOC</w:t>
    </w:r>
    <w:r w:rsidR="00A021EE">
      <w:rPr>
        <w:rFonts w:cs="Arial"/>
        <w:szCs w:val="22"/>
        <w:lang w:val="fr"/>
      </w:rPr>
      <w:t>/A</w:t>
    </w:r>
    <w:r>
      <w:rPr>
        <w:rFonts w:cs="Arial"/>
        <w:szCs w:val="22"/>
        <w:lang w:val="fr"/>
      </w:rPr>
      <w:t>-32/4.</w:t>
    </w:r>
    <w:proofErr w:type="gramStart"/>
    <w:r>
      <w:rPr>
        <w:rFonts w:cs="Arial"/>
        <w:szCs w:val="22"/>
        <w:lang w:val="fr"/>
      </w:rPr>
      <w:t>9.Doc</w:t>
    </w:r>
    <w:proofErr w:type="gramEnd"/>
    <w:r>
      <w:rPr>
        <w:rFonts w:cs="Arial"/>
        <w:szCs w:val="22"/>
        <w:lang w:val="fr"/>
      </w:rPr>
      <w:t xml:space="preserve">(1) - page </w:t>
    </w:r>
    <w:r>
      <w:rPr>
        <w:rStyle w:val="PageNumber"/>
        <w:rFonts w:cs="Arial"/>
        <w:szCs w:val="22"/>
        <w:lang w:val="fr"/>
      </w:rPr>
      <w:fldChar w:fldCharType="begin"/>
    </w:r>
    <w:r>
      <w:rPr>
        <w:rStyle w:val="PageNumber"/>
        <w:rFonts w:cs="Arial"/>
        <w:szCs w:val="22"/>
        <w:lang w:val="fr"/>
      </w:rPr>
      <w:instrText xml:space="preserve"> PAGE </w:instrText>
    </w:r>
    <w:r>
      <w:rPr>
        <w:rStyle w:val="PageNumber"/>
        <w:rFonts w:cs="Arial"/>
        <w:szCs w:val="22"/>
        <w:lang w:val="fr"/>
      </w:rPr>
      <w:fldChar w:fldCharType="separate"/>
    </w:r>
    <w:r>
      <w:rPr>
        <w:rStyle w:val="PageNumber"/>
        <w:rFonts w:cs="Arial"/>
        <w:noProof/>
        <w:szCs w:val="22"/>
        <w:lang w:val="fr"/>
      </w:rPr>
      <w:t>2</w:t>
    </w:r>
    <w:r>
      <w:rPr>
        <w:rStyle w:val="PageNumber"/>
        <w:rFonts w:cs="Arial"/>
        <w:szCs w:val="22"/>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62E42" w14:textId="7C899D49" w:rsidR="00020AA1" w:rsidRPr="00BE219B" w:rsidRDefault="00F116E7" w:rsidP="00BE219B">
    <w:pPr>
      <w:pStyle w:val="Header"/>
      <w:ind w:left="6663"/>
      <w:rPr>
        <w:rFonts w:cs="Arial"/>
        <w:sz w:val="24"/>
      </w:rPr>
    </w:pPr>
    <w:r>
      <w:rPr>
        <w:rFonts w:cs="Arial"/>
        <w:szCs w:val="22"/>
        <w:lang w:val="fr"/>
      </w:rPr>
      <w:t>IOC</w:t>
    </w:r>
    <w:r w:rsidR="00A021EE">
      <w:rPr>
        <w:rFonts w:cs="Arial"/>
        <w:szCs w:val="22"/>
        <w:lang w:val="fr"/>
      </w:rPr>
      <w:t>/A</w:t>
    </w:r>
    <w:r>
      <w:rPr>
        <w:rFonts w:cs="Arial"/>
        <w:szCs w:val="22"/>
        <w:lang w:val="fr"/>
      </w:rPr>
      <w:t>-32/4.</w:t>
    </w:r>
    <w:proofErr w:type="gramStart"/>
    <w:r>
      <w:rPr>
        <w:rFonts w:cs="Arial"/>
        <w:szCs w:val="22"/>
        <w:lang w:val="fr"/>
      </w:rPr>
      <w:t>9.Doc</w:t>
    </w:r>
    <w:proofErr w:type="gramEnd"/>
    <w:r>
      <w:rPr>
        <w:rFonts w:cs="Arial"/>
        <w:szCs w:val="22"/>
        <w:lang w:val="fr"/>
      </w:rPr>
      <w:t xml:space="preserve">(1) - page </w:t>
    </w:r>
    <w:r>
      <w:rPr>
        <w:rStyle w:val="PageNumber"/>
        <w:rFonts w:cs="Arial"/>
        <w:szCs w:val="22"/>
        <w:lang w:val="fr"/>
      </w:rPr>
      <w:fldChar w:fldCharType="begin"/>
    </w:r>
    <w:r>
      <w:rPr>
        <w:rStyle w:val="PageNumber"/>
        <w:rFonts w:cs="Arial"/>
        <w:szCs w:val="22"/>
        <w:lang w:val="fr"/>
      </w:rPr>
      <w:instrText xml:space="preserve"> PAGE </w:instrText>
    </w:r>
    <w:r>
      <w:rPr>
        <w:rStyle w:val="PageNumber"/>
        <w:rFonts w:cs="Arial"/>
        <w:szCs w:val="22"/>
        <w:lang w:val="fr"/>
      </w:rPr>
      <w:fldChar w:fldCharType="separate"/>
    </w:r>
    <w:r>
      <w:rPr>
        <w:rStyle w:val="PageNumber"/>
        <w:rFonts w:cs="Arial"/>
        <w:szCs w:val="22"/>
        <w:lang w:val="fr"/>
      </w:rPr>
      <w:t>2</w:t>
    </w:r>
    <w:r>
      <w:rPr>
        <w:rStyle w:val="PageNumber"/>
        <w:rFonts w:cs="Arial"/>
        <w:szCs w:val="22"/>
        <w:lang w:val="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5AEE" w14:textId="45588595" w:rsidR="00F116E7" w:rsidRPr="00A021EE" w:rsidRDefault="00F116E7" w:rsidP="00A021EE">
    <w:pPr>
      <w:pStyle w:val="Marge"/>
      <w:tabs>
        <w:tab w:val="left" w:pos="6237"/>
        <w:tab w:val="left" w:pos="7560"/>
      </w:tabs>
      <w:spacing w:after="0"/>
      <w:rPr>
        <w:rFonts w:cs="Arial"/>
        <w:b/>
        <w:szCs w:val="22"/>
        <w:lang w:val="fr-FR"/>
      </w:rPr>
    </w:pPr>
    <w:r>
      <w:rPr>
        <w:rFonts w:cs="Arial"/>
        <w:szCs w:val="22"/>
        <w:lang w:val="fr"/>
      </w:rPr>
      <w:t>Distribution restreinte</w:t>
    </w:r>
    <w:r>
      <w:rPr>
        <w:rFonts w:cs="Arial"/>
        <w:szCs w:val="22"/>
        <w:lang w:val="fr"/>
      </w:rPr>
      <w:tab/>
    </w:r>
    <w:r>
      <w:rPr>
        <w:rFonts w:cs="Arial"/>
        <w:b/>
        <w:bCs/>
        <w:sz w:val="36"/>
        <w:szCs w:val="36"/>
        <w:lang w:val="fr"/>
      </w:rPr>
      <w:t>IOC</w:t>
    </w:r>
    <w:r w:rsidR="00A021EE">
      <w:rPr>
        <w:rFonts w:cs="Arial"/>
        <w:b/>
        <w:bCs/>
        <w:sz w:val="36"/>
        <w:szCs w:val="36"/>
        <w:lang w:val="fr"/>
      </w:rPr>
      <w:t>/A</w:t>
    </w:r>
    <w:r>
      <w:rPr>
        <w:rFonts w:cs="Arial"/>
        <w:b/>
        <w:bCs/>
        <w:sz w:val="36"/>
        <w:szCs w:val="36"/>
        <w:lang w:val="fr"/>
      </w:rPr>
      <w:t>-32/4.</w:t>
    </w:r>
    <w:proofErr w:type="gramStart"/>
    <w:r>
      <w:rPr>
        <w:rFonts w:cs="Arial"/>
        <w:b/>
        <w:bCs/>
        <w:sz w:val="36"/>
        <w:szCs w:val="36"/>
        <w:lang w:val="fr"/>
      </w:rPr>
      <w:t>9.Doc</w:t>
    </w:r>
    <w:proofErr w:type="gramEnd"/>
    <w:r>
      <w:rPr>
        <w:rFonts w:cs="Arial"/>
        <w:b/>
        <w:bCs/>
        <w:sz w:val="36"/>
        <w:szCs w:val="36"/>
        <w:lang w:val="fr"/>
      </w:rPr>
      <w:t xml:space="preserve">(1) </w:t>
    </w:r>
  </w:p>
  <w:p w14:paraId="66092EF4" w14:textId="77777777" w:rsidR="00F116E7" w:rsidRPr="00A021EE" w:rsidRDefault="00F116E7" w:rsidP="00A021EE">
    <w:pPr>
      <w:tabs>
        <w:tab w:val="clear" w:pos="567"/>
        <w:tab w:val="left" w:pos="6237"/>
        <w:tab w:val="left" w:pos="7560"/>
      </w:tabs>
      <w:jc w:val="both"/>
      <w:rPr>
        <w:rFonts w:cs="Arial"/>
        <w:szCs w:val="22"/>
        <w:lang w:val="fr-FR"/>
      </w:rPr>
    </w:pPr>
    <w:r>
      <w:rPr>
        <w:noProof/>
        <w:lang w:val="fr"/>
      </w:rPr>
      <w:drawing>
        <wp:anchor distT="0" distB="0" distL="114300" distR="114300" simplePos="0" relativeHeight="251661312" behindDoc="0" locked="0" layoutInCell="1" allowOverlap="1" wp14:anchorId="1EDB8255" wp14:editId="6623AFD3">
          <wp:simplePos x="0" y="0"/>
          <wp:positionH relativeFrom="column">
            <wp:posOffset>-124460</wp:posOffset>
          </wp:positionH>
          <wp:positionV relativeFrom="paragraph">
            <wp:posOffset>101600</wp:posOffset>
          </wp:positionV>
          <wp:extent cx="1578610" cy="1047115"/>
          <wp:effectExtent l="0" t="0" r="2540" b="635"/>
          <wp:wrapSquare wrapText="bothSides"/>
          <wp:docPr id="2" name="Picture 2" descr="Logo, nom de l'entrepris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lang w:val="fr"/>
      </w:rPr>
      <w:tab/>
      <w:t>Paris, le 23 mai 2023</w:t>
    </w:r>
  </w:p>
  <w:p w14:paraId="095B4652" w14:textId="77777777" w:rsidR="00F116E7" w:rsidRPr="00A021EE" w:rsidRDefault="00F116E7" w:rsidP="00A021EE">
    <w:pPr>
      <w:tabs>
        <w:tab w:val="clear" w:pos="567"/>
        <w:tab w:val="left" w:pos="6237"/>
        <w:tab w:val="left" w:pos="7560"/>
      </w:tabs>
      <w:jc w:val="both"/>
      <w:rPr>
        <w:rFonts w:cs="Arial"/>
        <w:szCs w:val="22"/>
        <w:lang w:val="fr-FR"/>
      </w:rPr>
    </w:pPr>
    <w:r>
      <w:rPr>
        <w:rFonts w:cs="Arial"/>
        <w:szCs w:val="22"/>
        <w:lang w:val="fr"/>
      </w:rPr>
      <w:tab/>
      <w:t>Original : anglais</w:t>
    </w:r>
  </w:p>
  <w:p w14:paraId="0DA57F0D" w14:textId="77777777" w:rsidR="00F116E7" w:rsidRPr="00A021EE" w:rsidRDefault="00F116E7" w:rsidP="00A021EE">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6237"/>
        <w:tab w:val="left" w:pos="7020"/>
        <w:tab w:val="left" w:pos="7088"/>
      </w:tabs>
      <w:jc w:val="both"/>
      <w:rPr>
        <w:rFonts w:cs="Arial"/>
        <w:b/>
        <w:szCs w:val="22"/>
        <w:lang w:val="fr-FR"/>
      </w:rPr>
    </w:pPr>
  </w:p>
  <w:p w14:paraId="2107BF3C" w14:textId="77777777" w:rsidR="00F116E7" w:rsidRPr="00A021EE" w:rsidRDefault="00F116E7" w:rsidP="00F116E7">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41402C66" w14:textId="77777777" w:rsidR="00F116E7" w:rsidRPr="00A021EE" w:rsidRDefault="00F116E7" w:rsidP="00F116E7">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55F42975" w14:textId="77777777" w:rsidR="00F116E7" w:rsidRPr="00A021EE" w:rsidRDefault="00F116E7" w:rsidP="00F116E7">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12E756A2" w14:textId="77777777" w:rsidR="00F116E7" w:rsidRPr="00A021EE" w:rsidRDefault="00F116E7" w:rsidP="00F116E7">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4FF33242" w14:textId="77777777" w:rsidR="00F116E7" w:rsidRPr="00A021EE" w:rsidRDefault="00F116E7" w:rsidP="00F116E7">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3FDBEAAA" w14:textId="77777777" w:rsidR="00F116E7" w:rsidRPr="00A021EE" w:rsidRDefault="00F116E7" w:rsidP="00F116E7">
    <w:pPr>
      <w:tabs>
        <w:tab w:val="left" w:pos="-1440"/>
        <w:tab w:val="left" w:pos="-720"/>
        <w:tab w:val="left" w:pos="720"/>
        <w:tab w:val="left" w:pos="2160"/>
        <w:tab w:val="left" w:pos="3600"/>
        <w:tab w:val="left" w:pos="4320"/>
        <w:tab w:val="left" w:pos="5040"/>
        <w:tab w:val="left" w:pos="5523"/>
        <w:tab w:val="left" w:pos="6480"/>
      </w:tabs>
      <w:jc w:val="center"/>
      <w:rPr>
        <w:rFonts w:cs="Arial"/>
        <w:b/>
        <w:szCs w:val="22"/>
        <w:lang w:val="fr-FR"/>
      </w:rPr>
    </w:pPr>
    <w:r>
      <w:rPr>
        <w:rFonts w:cs="Arial"/>
        <w:b/>
        <w:bCs/>
        <w:szCs w:val="22"/>
        <w:lang w:val="fr"/>
      </w:rPr>
      <w:t>COMMISSION OCÉANOGRAPHIQUE INTERGOUVERNEMENTALE</w:t>
    </w:r>
  </w:p>
  <w:p w14:paraId="72C649AE" w14:textId="77777777" w:rsidR="00F116E7" w:rsidRPr="00A021EE" w:rsidRDefault="00F116E7" w:rsidP="00F116E7">
    <w:pPr>
      <w:tabs>
        <w:tab w:val="left" w:pos="-1440"/>
        <w:tab w:val="left" w:pos="-720"/>
        <w:tab w:val="left" w:pos="720"/>
        <w:tab w:val="left" w:pos="2160"/>
        <w:tab w:val="left" w:pos="3600"/>
        <w:tab w:val="left" w:pos="4320"/>
        <w:tab w:val="left" w:pos="5040"/>
        <w:tab w:val="left" w:pos="5523"/>
        <w:tab w:val="left" w:pos="6480"/>
      </w:tabs>
      <w:jc w:val="center"/>
      <w:rPr>
        <w:rFonts w:cs="Arial"/>
        <w:bCs/>
        <w:szCs w:val="22"/>
        <w:lang w:val="fr-FR"/>
      </w:rPr>
    </w:pPr>
    <w:r>
      <w:rPr>
        <w:rFonts w:cs="Arial"/>
        <w:szCs w:val="22"/>
        <w:lang w:val="fr"/>
      </w:rPr>
      <w:t>(</w:t>
    </w:r>
    <w:proofErr w:type="gramStart"/>
    <w:r>
      <w:rPr>
        <w:rFonts w:cs="Arial"/>
        <w:szCs w:val="22"/>
        <w:lang w:val="fr"/>
      </w:rPr>
      <w:t>de</w:t>
    </w:r>
    <w:proofErr w:type="gramEnd"/>
    <w:r>
      <w:rPr>
        <w:rFonts w:cs="Arial"/>
        <w:szCs w:val="22"/>
        <w:lang w:val="fr"/>
      </w:rPr>
      <w:t xml:space="preserve"> l'UNESCO)</w:t>
    </w:r>
  </w:p>
  <w:p w14:paraId="3C0594D1" w14:textId="77777777" w:rsidR="00F116E7" w:rsidRPr="00A021EE" w:rsidRDefault="00F116E7" w:rsidP="00F116E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fr-FR"/>
      </w:rPr>
    </w:pPr>
  </w:p>
  <w:p w14:paraId="3D2AF276" w14:textId="77777777" w:rsidR="00F116E7" w:rsidRPr="00A021EE" w:rsidRDefault="00F116E7" w:rsidP="00F116E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lang w:val="fr-FR"/>
      </w:rPr>
    </w:pPr>
    <w:r>
      <w:rPr>
        <w:rFonts w:cs="Arial"/>
        <w:b/>
        <w:bCs/>
        <w:lang w:val="fr"/>
      </w:rPr>
      <w:t>Trente-deuxième session de l'Assemblée</w:t>
    </w:r>
  </w:p>
  <w:p w14:paraId="33A47F38" w14:textId="77777777" w:rsidR="00F116E7" w:rsidRPr="00A021EE" w:rsidRDefault="00F116E7" w:rsidP="00F116E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lang w:val="fr-FR"/>
      </w:rPr>
    </w:pPr>
    <w:r>
      <w:rPr>
        <w:rFonts w:cs="Arial"/>
        <w:lang w:val="fr"/>
      </w:rPr>
      <w:t>UNESCO, 21-30 juin 2023</w:t>
    </w:r>
  </w:p>
  <w:p w14:paraId="48B165D4" w14:textId="77777777" w:rsidR="00F116E7" w:rsidRPr="00A021EE" w:rsidRDefault="00F116E7" w:rsidP="00F116E7">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fr-FR"/>
      </w:rPr>
    </w:pPr>
  </w:p>
  <w:p w14:paraId="589C51BA" w14:textId="77777777" w:rsidR="00F116E7" w:rsidRPr="00A021EE" w:rsidRDefault="00F116E7" w:rsidP="00F116E7">
    <w:pPr>
      <w:jc w:val="center"/>
      <w:rPr>
        <w:rFonts w:cs="Arial"/>
        <w:szCs w:val="22"/>
        <w:lang w:val="fr-FR"/>
      </w:rPr>
    </w:pPr>
  </w:p>
  <w:p w14:paraId="7FF832FE" w14:textId="77777777" w:rsidR="00F116E7" w:rsidRPr="00A021EE" w:rsidRDefault="00F116E7" w:rsidP="00F116E7">
    <w:pPr>
      <w:jc w:val="center"/>
      <w:rPr>
        <w:rFonts w:cs="Arial"/>
        <w:szCs w:val="22"/>
        <w:lang w:val="fr-FR"/>
      </w:rPr>
    </w:pPr>
  </w:p>
  <w:p w14:paraId="6FC94616" w14:textId="77777777" w:rsidR="00F116E7" w:rsidRPr="00A021EE" w:rsidRDefault="00F116E7" w:rsidP="00F116E7">
    <w:pPr>
      <w:jc w:val="center"/>
      <w:rPr>
        <w:rFonts w:cs="Arial"/>
        <w:szCs w:val="22"/>
        <w:lang w:val="fr-FR"/>
      </w:rPr>
    </w:pPr>
  </w:p>
  <w:p w14:paraId="1792B819" w14:textId="77777777" w:rsidR="00F116E7" w:rsidRPr="00A021EE" w:rsidRDefault="00F116E7" w:rsidP="00F116E7">
    <w:pPr>
      <w:jc w:val="center"/>
      <w:rPr>
        <w:rFonts w:cs="Arial"/>
        <w:szCs w:val="22"/>
        <w:lang w:val="fr-FR"/>
      </w:rPr>
    </w:pPr>
  </w:p>
  <w:p w14:paraId="72AD6587" w14:textId="77777777" w:rsidR="00F116E7" w:rsidRPr="00A021EE" w:rsidRDefault="00F116E7" w:rsidP="00F116E7">
    <w:pPr>
      <w:jc w:val="center"/>
      <w:rPr>
        <w:rFonts w:cs="Arial"/>
        <w:szCs w:val="22"/>
        <w:lang w:val="fr-FR"/>
      </w:rPr>
    </w:pPr>
  </w:p>
  <w:p w14:paraId="011CF311" w14:textId="77777777" w:rsidR="00F116E7" w:rsidRPr="00A021EE" w:rsidRDefault="00F116E7" w:rsidP="00F116E7">
    <w:pPr>
      <w:pStyle w:val="Heading7"/>
      <w:tabs>
        <w:tab w:val="clear" w:pos="567"/>
        <w:tab w:val="right" w:pos="9540"/>
      </w:tabs>
      <w:rPr>
        <w:rFonts w:asciiTheme="minorBidi" w:hAnsiTheme="minorBidi" w:cstheme="minorBidi"/>
        <w:szCs w:val="22"/>
        <w:lang w:val="fr-FR"/>
      </w:rPr>
    </w:pPr>
    <w:r>
      <w:rPr>
        <w:rFonts w:asciiTheme="minorBidi" w:hAnsiTheme="minorBidi" w:cstheme="minorBidi"/>
        <w:sz w:val="24"/>
        <w:lang w:val="fr"/>
      </w:rPr>
      <w:t xml:space="preserve">Point </w:t>
    </w:r>
    <w:r>
      <w:rPr>
        <w:rFonts w:asciiTheme="minorBidi" w:hAnsiTheme="minorBidi" w:cstheme="minorBidi"/>
        <w:b/>
        <w:bCs/>
        <w:sz w:val="24"/>
        <w:lang w:val="fr"/>
      </w:rPr>
      <w:t>4.9</w:t>
    </w:r>
    <w:r>
      <w:rPr>
        <w:rFonts w:asciiTheme="minorBidi" w:hAnsiTheme="minorBidi" w:cstheme="minorBidi"/>
        <w:sz w:val="24"/>
        <w:lang w:val="fr"/>
      </w:rPr>
      <w:t xml:space="preserve"> de l'ordre du jour provisoire</w:t>
    </w:r>
  </w:p>
  <w:p w14:paraId="4EA592F0" w14:textId="77777777" w:rsidR="00F116E7" w:rsidRPr="00A021EE" w:rsidRDefault="00F116E7" w:rsidP="00F116E7">
    <w:pPr>
      <w:rPr>
        <w:rFonts w:cs="Arial"/>
        <w:szCs w:val="22"/>
        <w:lang w:val="fr-FR"/>
      </w:rPr>
    </w:pPr>
  </w:p>
  <w:p w14:paraId="4102F122" w14:textId="77777777" w:rsidR="00F116E7" w:rsidRPr="00A021EE" w:rsidRDefault="00F116E7" w:rsidP="00F116E7">
    <w:pPr>
      <w:rPr>
        <w:rFonts w:cs="Arial"/>
        <w:szCs w:val="22"/>
        <w:lang w:val="fr-FR"/>
      </w:rPr>
    </w:pPr>
  </w:p>
  <w:p w14:paraId="28E97288" w14:textId="77777777" w:rsidR="00F116E7" w:rsidRPr="00A021EE" w:rsidRDefault="00F116E7" w:rsidP="00BE219B">
    <w:pPr>
      <w:pStyle w:val="Docheading"/>
      <w:rPr>
        <w:lang w:val="fr-FR"/>
      </w:rPr>
    </w:pPr>
    <w:r>
      <w:rPr>
        <w:lang w:val="fr"/>
      </w:rPr>
      <w:t>Résumé de l'état d'avancement des travaux du Comité de collaboration mixte OMM-COI</w:t>
    </w:r>
  </w:p>
  <w:p w14:paraId="63D7C417" w14:textId="3F734974" w:rsidR="00020AA1" w:rsidRPr="00A021EE" w:rsidRDefault="00020AA1" w:rsidP="00294AD5">
    <w:pPr>
      <w:pStyle w:val="Header"/>
      <w:jc w:val="right"/>
      <w:rPr>
        <w:rFonts w:cs="Arial"/>
        <w:sz w:val="20"/>
        <w:szCs w:val="20"/>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3382144"/>
    <w:multiLevelType w:val="hybridMultilevel"/>
    <w:tmpl w:val="DE5E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0CA4DB9"/>
    <w:multiLevelType w:val="hybridMultilevel"/>
    <w:tmpl w:val="FB0ED892"/>
    <w:lvl w:ilvl="0" w:tplc="BB7E71DE">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4256C2"/>
    <w:multiLevelType w:val="hybridMultilevel"/>
    <w:tmpl w:val="E416C646"/>
    <w:lvl w:ilvl="0" w:tplc="D256C7D2">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CD1485"/>
    <w:multiLevelType w:val="hybridMultilevel"/>
    <w:tmpl w:val="46521AE2"/>
    <w:lvl w:ilvl="0" w:tplc="D256C7D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8" w15:restartNumberingAfterBreak="0">
    <w:nsid w:val="35937D6B"/>
    <w:multiLevelType w:val="hybridMultilevel"/>
    <w:tmpl w:val="8264CC3E"/>
    <w:lvl w:ilvl="0" w:tplc="D1728D3A">
      <w:start w:val="1"/>
      <w:numFmt w:val="decimal"/>
      <w:lvlText w:val="%1."/>
      <w:lvlJc w:val="left"/>
      <w:pPr>
        <w:ind w:left="-131" w:hanging="360"/>
      </w:pPr>
      <w:rPr>
        <w:rFonts w:ascii="Arial" w:hAnsi="Arial" w:hint="default"/>
        <w:b w:val="0"/>
        <w:i/>
        <w:sz w:val="20"/>
        <w:szCs w:val="22"/>
      </w:rPr>
    </w:lvl>
    <w:lvl w:ilvl="1" w:tplc="15F4ACEE">
      <w:start w:val="1"/>
      <w:numFmt w:val="decimal"/>
      <w:lvlText w:val="%2."/>
      <w:lvlJc w:val="left"/>
      <w:pPr>
        <w:ind w:left="1099" w:hanging="870"/>
      </w:pPr>
      <w:rPr>
        <w:rFonts w:hint="default"/>
      </w:rPr>
    </w:lvl>
    <w:lvl w:ilvl="2" w:tplc="040C001B" w:tentative="1">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9" w15:restartNumberingAfterBreak="0">
    <w:nsid w:val="3AF22525"/>
    <w:multiLevelType w:val="hybridMultilevel"/>
    <w:tmpl w:val="6EBCBEAE"/>
    <w:lvl w:ilvl="0" w:tplc="D256C7D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67069"/>
    <w:multiLevelType w:val="hybridMultilevel"/>
    <w:tmpl w:val="D1820D64"/>
    <w:lvl w:ilvl="0" w:tplc="BB7E71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D46B32"/>
    <w:multiLevelType w:val="hybridMultilevel"/>
    <w:tmpl w:val="87B80C34"/>
    <w:lvl w:ilvl="0" w:tplc="9D8455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204C64"/>
    <w:multiLevelType w:val="hybridMultilevel"/>
    <w:tmpl w:val="6F9ACB32"/>
    <w:lvl w:ilvl="0" w:tplc="D5A6DCB0">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CD56A92"/>
    <w:multiLevelType w:val="hybridMultilevel"/>
    <w:tmpl w:val="474ED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8E7636"/>
    <w:multiLevelType w:val="hybridMultilevel"/>
    <w:tmpl w:val="080C1A22"/>
    <w:lvl w:ilvl="0" w:tplc="EE38723C">
      <w:start w:val="1"/>
      <w:numFmt w:val="decimal"/>
      <w:pStyle w:val="COI"/>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2E3DF9"/>
    <w:multiLevelType w:val="hybridMultilevel"/>
    <w:tmpl w:val="195A12DE"/>
    <w:lvl w:ilvl="0" w:tplc="18DE4B6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6649152">
    <w:abstractNumId w:val="7"/>
  </w:num>
  <w:num w:numId="2" w16cid:durableId="78792144">
    <w:abstractNumId w:val="12"/>
  </w:num>
  <w:num w:numId="3" w16cid:durableId="197855601">
    <w:abstractNumId w:val="0"/>
  </w:num>
  <w:num w:numId="4" w16cid:durableId="1735078919">
    <w:abstractNumId w:val="2"/>
  </w:num>
  <w:num w:numId="5" w16cid:durableId="457073328">
    <w:abstractNumId w:val="3"/>
  </w:num>
  <w:num w:numId="6" w16cid:durableId="515538091">
    <w:abstractNumId w:val="12"/>
  </w:num>
  <w:num w:numId="7" w16cid:durableId="1918979943">
    <w:abstractNumId w:val="12"/>
  </w:num>
  <w:num w:numId="8" w16cid:durableId="323242517">
    <w:abstractNumId w:val="10"/>
  </w:num>
  <w:num w:numId="9" w16cid:durableId="1420327771">
    <w:abstractNumId w:val="4"/>
  </w:num>
  <w:num w:numId="10" w16cid:durableId="2013340199">
    <w:abstractNumId w:val="13"/>
  </w:num>
  <w:num w:numId="11" w16cid:durableId="109975758">
    <w:abstractNumId w:val="1"/>
  </w:num>
  <w:num w:numId="12" w16cid:durableId="602686032">
    <w:abstractNumId w:val="8"/>
  </w:num>
  <w:num w:numId="13" w16cid:durableId="1385324566">
    <w:abstractNumId w:val="15"/>
  </w:num>
  <w:num w:numId="14" w16cid:durableId="1562597788">
    <w:abstractNumId w:val="6"/>
  </w:num>
  <w:num w:numId="15" w16cid:durableId="731736658">
    <w:abstractNumId w:val="11"/>
  </w:num>
  <w:num w:numId="16" w16cid:durableId="1663775088">
    <w:abstractNumId w:val="5"/>
  </w:num>
  <w:num w:numId="17" w16cid:durableId="851263658">
    <w:abstractNumId w:val="14"/>
  </w:num>
  <w:num w:numId="18" w16cid:durableId="1879973159">
    <w:abstractNumId w:val="9"/>
  </w:num>
  <w:num w:numId="19" w16cid:durableId="1500080481">
    <w:abstractNumId w:val="14"/>
  </w:num>
  <w:num w:numId="20" w16cid:durableId="305669431">
    <w:abstractNumId w:val="14"/>
  </w:num>
  <w:num w:numId="21" w16cid:durableId="728573618">
    <w:abstractNumId w:val="14"/>
  </w:num>
  <w:num w:numId="22" w16cid:durableId="55385267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E0"/>
    <w:rsid w:val="00003B31"/>
    <w:rsid w:val="00010BBB"/>
    <w:rsid w:val="00020AA1"/>
    <w:rsid w:val="00045A48"/>
    <w:rsid w:val="00056F67"/>
    <w:rsid w:val="00085D6A"/>
    <w:rsid w:val="000F0254"/>
    <w:rsid w:val="00123719"/>
    <w:rsid w:val="001241D7"/>
    <w:rsid w:val="00137E97"/>
    <w:rsid w:val="001448C4"/>
    <w:rsid w:val="00155393"/>
    <w:rsid w:val="001572C7"/>
    <w:rsid w:val="00167158"/>
    <w:rsid w:val="00196052"/>
    <w:rsid w:val="001B3B24"/>
    <w:rsid w:val="001C6455"/>
    <w:rsid w:val="0021210D"/>
    <w:rsid w:val="00226621"/>
    <w:rsid w:val="00294AD5"/>
    <w:rsid w:val="002C7DE3"/>
    <w:rsid w:val="002E0859"/>
    <w:rsid w:val="0034156B"/>
    <w:rsid w:val="003561BE"/>
    <w:rsid w:val="003805F5"/>
    <w:rsid w:val="003A7860"/>
    <w:rsid w:val="003D3711"/>
    <w:rsid w:val="003E59E0"/>
    <w:rsid w:val="003F55CF"/>
    <w:rsid w:val="003F7186"/>
    <w:rsid w:val="004031FB"/>
    <w:rsid w:val="00413F17"/>
    <w:rsid w:val="00424DE6"/>
    <w:rsid w:val="00433B4C"/>
    <w:rsid w:val="004529B8"/>
    <w:rsid w:val="00454380"/>
    <w:rsid w:val="004555E6"/>
    <w:rsid w:val="00467E3F"/>
    <w:rsid w:val="004A135F"/>
    <w:rsid w:val="004C1625"/>
    <w:rsid w:val="004C2B7F"/>
    <w:rsid w:val="004F3E0E"/>
    <w:rsid w:val="004F7D6C"/>
    <w:rsid w:val="00576270"/>
    <w:rsid w:val="005C7A36"/>
    <w:rsid w:val="005C7D76"/>
    <w:rsid w:val="005E544C"/>
    <w:rsid w:val="006110DA"/>
    <w:rsid w:val="00633EA5"/>
    <w:rsid w:val="006842FA"/>
    <w:rsid w:val="0068682C"/>
    <w:rsid w:val="00690A0C"/>
    <w:rsid w:val="00690FD2"/>
    <w:rsid w:val="00693199"/>
    <w:rsid w:val="006B4B95"/>
    <w:rsid w:val="006C18D9"/>
    <w:rsid w:val="006C6449"/>
    <w:rsid w:val="00737A18"/>
    <w:rsid w:val="00746B89"/>
    <w:rsid w:val="00780FBB"/>
    <w:rsid w:val="0079212B"/>
    <w:rsid w:val="008048D2"/>
    <w:rsid w:val="0081004E"/>
    <w:rsid w:val="00853565"/>
    <w:rsid w:val="008A6E5C"/>
    <w:rsid w:val="008B384B"/>
    <w:rsid w:val="008D2398"/>
    <w:rsid w:val="008F6942"/>
    <w:rsid w:val="009026D3"/>
    <w:rsid w:val="00905860"/>
    <w:rsid w:val="0093773D"/>
    <w:rsid w:val="00953E7F"/>
    <w:rsid w:val="00957FB0"/>
    <w:rsid w:val="0098559C"/>
    <w:rsid w:val="00993CA4"/>
    <w:rsid w:val="009B63AB"/>
    <w:rsid w:val="009C0A89"/>
    <w:rsid w:val="009C15B1"/>
    <w:rsid w:val="009E6A03"/>
    <w:rsid w:val="009F3A67"/>
    <w:rsid w:val="009F7769"/>
    <w:rsid w:val="00A021EE"/>
    <w:rsid w:val="00A11697"/>
    <w:rsid w:val="00A16ACF"/>
    <w:rsid w:val="00A25BC8"/>
    <w:rsid w:val="00A947AE"/>
    <w:rsid w:val="00AD3D55"/>
    <w:rsid w:val="00B722DE"/>
    <w:rsid w:val="00B83068"/>
    <w:rsid w:val="00B8392A"/>
    <w:rsid w:val="00B91C06"/>
    <w:rsid w:val="00BD6603"/>
    <w:rsid w:val="00BE022B"/>
    <w:rsid w:val="00BE219B"/>
    <w:rsid w:val="00BF069C"/>
    <w:rsid w:val="00BF3835"/>
    <w:rsid w:val="00C1002D"/>
    <w:rsid w:val="00C2635E"/>
    <w:rsid w:val="00C3684D"/>
    <w:rsid w:val="00C4032B"/>
    <w:rsid w:val="00C6486C"/>
    <w:rsid w:val="00C648D3"/>
    <w:rsid w:val="00C75B02"/>
    <w:rsid w:val="00C962F0"/>
    <w:rsid w:val="00CD1321"/>
    <w:rsid w:val="00D013ED"/>
    <w:rsid w:val="00D36BDC"/>
    <w:rsid w:val="00D441D6"/>
    <w:rsid w:val="00D5049E"/>
    <w:rsid w:val="00D55FEC"/>
    <w:rsid w:val="00DF2FB9"/>
    <w:rsid w:val="00E63DEF"/>
    <w:rsid w:val="00E64936"/>
    <w:rsid w:val="00EE0542"/>
    <w:rsid w:val="00EF1D81"/>
    <w:rsid w:val="00F116E7"/>
    <w:rsid w:val="00F167D7"/>
    <w:rsid w:val="00F463F2"/>
    <w:rsid w:val="00F50536"/>
    <w:rsid w:val="00F818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04D4C4"/>
  <w15:docId w15:val="{4CE74480-11C8-AE46-B993-1AB1F269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BE219B"/>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BE219B"/>
    <w:pPr>
      <w:keepNext/>
      <w:keepLines/>
      <w:numPr>
        <w:numId w:val="17"/>
      </w:numPr>
      <w:tabs>
        <w:tab w:val="clear" w:pos="567"/>
        <w:tab w:val="left" w:pos="709"/>
      </w:tabs>
      <w:spacing w:after="120"/>
      <w:ind w:left="0" w:firstLine="0"/>
      <w:outlineLvl w:val="2"/>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BE219B"/>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styleId="Revision">
    <w:name w:val="Revision"/>
    <w:hidden/>
    <w:uiPriority w:val="99"/>
    <w:semiHidden/>
    <w:rsid w:val="00A16ACF"/>
    <w:rPr>
      <w:rFonts w:ascii="Arial" w:hAnsi="Arial"/>
      <w:snapToGrid w:val="0"/>
      <w:sz w:val="22"/>
      <w:szCs w:val="24"/>
      <w:lang w:val="en-GB" w:eastAsia="en-US"/>
    </w:rPr>
  </w:style>
  <w:style w:type="character" w:styleId="UnresolvedMention">
    <w:name w:val="Unresolved Mention"/>
    <w:basedOn w:val="DefaultParagraphFont"/>
    <w:uiPriority w:val="99"/>
    <w:semiHidden/>
    <w:unhideWhenUsed/>
    <w:rsid w:val="00A16ACF"/>
    <w:rPr>
      <w:color w:val="605E5C"/>
      <w:shd w:val="clear" w:color="auto" w:fill="E1DFDD"/>
    </w:rPr>
  </w:style>
  <w:style w:type="paragraph" w:styleId="ListParagraph">
    <w:name w:val="List Paragraph"/>
    <w:basedOn w:val="Normal"/>
    <w:uiPriority w:val="34"/>
    <w:qFormat/>
    <w:rsid w:val="004555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047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ceanexpert.org/document/32557"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C43F3-951C-5040-A298-C467BB003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5780</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3</cp:revision>
  <cp:lastPrinted>2002-06-12T09:28:00Z</cp:lastPrinted>
  <dcterms:created xsi:type="dcterms:W3CDTF">2023-06-17T09:39:00Z</dcterms:created>
  <dcterms:modified xsi:type="dcterms:W3CDTF">2023-06-17T09:58:00Z</dcterms:modified>
</cp:coreProperties>
</file>