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055102" w14:paraId="56CE70E1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7AFF20B" w14:textId="77777777" w:rsidR="00467E3F" w:rsidRPr="00055102" w:rsidRDefault="00B83068" w:rsidP="00853565">
            <w:pPr>
              <w:pStyle w:val="Marge"/>
              <w:jc w:val="center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Резюме</w:t>
            </w:r>
          </w:p>
          <w:p w14:paraId="1F236688" w14:textId="78D6CF18" w:rsidR="00433B4C" w:rsidRPr="00055102" w:rsidRDefault="00433B4C" w:rsidP="0043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uppressAutoHyphens/>
              <w:snapToGrid/>
              <w:spacing w:after="240"/>
              <w:ind w:left="-35"/>
              <w:jc w:val="both"/>
              <w:textDirection w:val="btLr"/>
              <w:textAlignment w:val="top"/>
              <w:outlineLvl w:val="0"/>
              <w:rPr>
                <w:rFonts w:eastAsia="Arial" w:cs="Arial"/>
                <w:color w:val="000000"/>
                <w:szCs w:val="22"/>
                <w:lang w:val="ru-RU"/>
              </w:rPr>
            </w:pPr>
            <w:r>
              <w:rPr>
                <w:rFonts w:eastAsia="Arial" w:cs="Arial"/>
                <w:color w:val="000000"/>
                <w:szCs w:val="22"/>
                <w:lang w:val="ru"/>
              </w:rPr>
              <w:t>Совместный совет по сотрудничеству между ВМО и МОК (далее ССС) был создан на основании резолюции XXX-2 (2019) Ассамблеи МОК и "зеркальной" резолюции, принятой ВМО</w:t>
            </w:r>
            <w:r>
              <w:rPr>
                <w:rFonts w:eastAsia="Arial" w:cs="Arial"/>
                <w:szCs w:val="22"/>
                <w:lang w:val="ru"/>
              </w:rPr>
              <w:t>. В</w:t>
            </w:r>
            <w:r>
              <w:rPr>
                <w:rFonts w:eastAsia="Arial" w:cs="Arial"/>
                <w:color w:val="000000"/>
                <w:szCs w:val="22"/>
                <w:lang w:val="ru"/>
              </w:rPr>
              <w:t xml:space="preserve"> 2021 году МОК приняла стратегию и доклад о сотрудничестве между ВМО и МОК (решение МОК A-31/3.5.5). В 2022 году ССС провел виртуальную встречу и определил набор </w:t>
            </w:r>
            <w:r>
              <w:rPr>
                <w:rFonts w:eastAsia="Arial" w:cs="Arial"/>
                <w:szCs w:val="22"/>
                <w:lang w:val="ru"/>
              </w:rPr>
              <w:t>потенциальных</w:t>
            </w:r>
            <w:r>
              <w:rPr>
                <w:rFonts w:eastAsia="Arial" w:cs="Arial"/>
                <w:color w:val="000000"/>
                <w:szCs w:val="22"/>
                <w:lang w:val="ru"/>
              </w:rPr>
              <w:t xml:space="preserve"> действий для поддержки реализации своих целей. </w:t>
            </w:r>
          </w:p>
          <w:p w14:paraId="2C21414E" w14:textId="63D3C1E1" w:rsidR="00433B4C" w:rsidRPr="00055102" w:rsidRDefault="00433B4C" w:rsidP="0043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uppressAutoHyphens/>
              <w:snapToGrid/>
              <w:spacing w:after="240"/>
              <w:ind w:left="-35"/>
              <w:jc w:val="both"/>
              <w:textDirection w:val="btLr"/>
              <w:textAlignment w:val="top"/>
              <w:outlineLvl w:val="0"/>
              <w:rPr>
                <w:color w:val="000000"/>
                <w:lang w:val="ru-RU"/>
              </w:rPr>
            </w:pPr>
            <w:r>
              <w:rPr>
                <w:rFonts w:eastAsia="Arial" w:cs="Arial"/>
                <w:color w:val="000000"/>
                <w:szCs w:val="22"/>
                <w:lang w:val="ru"/>
              </w:rPr>
              <w:t>В настоящем документе обобщены итоги вышеупомянутой встречи ССС и представлены следующие шаги, которые предпримет ССС (при поддержке секретариатов МОК и ВМО) для выполнения возложенных на него задач и проведения обзора прогресса в соответствии с просьбой МОК от 2019 года (резолюция МОК XXX-2).</w:t>
            </w:r>
          </w:p>
          <w:p w14:paraId="538183C2" w14:textId="77D2D41F" w:rsidR="00413F17" w:rsidRPr="00055102" w:rsidRDefault="00A16ACF" w:rsidP="00F16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uppressAutoHyphens/>
              <w:snapToGrid/>
              <w:spacing w:after="240"/>
              <w:ind w:left="-35"/>
              <w:jc w:val="both"/>
              <w:textDirection w:val="btLr"/>
              <w:textAlignment w:val="top"/>
              <w:outlineLvl w:val="0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szCs w:val="22"/>
                <w:lang w:val="ru"/>
              </w:rPr>
              <w:t xml:space="preserve">Цель документа — представить обзор прогресса и утвердить подход к следующим шагам ССС. </w:t>
            </w:r>
          </w:p>
          <w:p w14:paraId="3A98DB71" w14:textId="4C179C9F" w:rsidR="00A16ACF" w:rsidRPr="00055102" w:rsidRDefault="00A16ACF" w:rsidP="00F16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uppressAutoHyphens/>
              <w:snapToGrid/>
              <w:spacing w:after="240"/>
              <w:ind w:left="-35"/>
              <w:jc w:val="both"/>
              <w:textDirection w:val="btLr"/>
              <w:textAlignment w:val="top"/>
              <w:outlineLvl w:val="0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Финансовые и административные последствия</w:t>
            </w:r>
            <w:r>
              <w:rPr>
                <w:rFonts w:cs="Arial"/>
                <w:szCs w:val="22"/>
                <w:lang w:val="ru"/>
              </w:rPr>
              <w:t>: Финансовые и административные последствия отсутствуют.</w:t>
            </w:r>
          </w:p>
          <w:p w14:paraId="769F42B1" w14:textId="3115F41B" w:rsidR="00737A18" w:rsidRPr="00055102" w:rsidRDefault="00A16ACF" w:rsidP="00F167D7">
            <w:pPr>
              <w:ind w:left="-35"/>
              <w:rPr>
                <w:rFonts w:eastAsia="Calibri"/>
                <w:u w:val="single"/>
                <w:lang w:val="ru-RU"/>
              </w:rPr>
            </w:pPr>
            <w:r>
              <w:rPr>
                <w:rFonts w:cs="Arial"/>
                <w:szCs w:val="22"/>
                <w:lang w:val="ru"/>
              </w:rPr>
              <w:t xml:space="preserve">В Документе о принятых и предлагаемых мерах (документ IOC-32/AP Prov.) </w:t>
            </w:r>
            <w:r>
              <w:rPr>
                <w:rFonts w:cs="Arial"/>
                <w:szCs w:val="22"/>
                <w:u w:val="single"/>
                <w:lang w:val="ru"/>
              </w:rPr>
              <w:t>предлагаемое решение (решения)</w:t>
            </w:r>
            <w:r>
              <w:rPr>
                <w:rFonts w:cs="Arial"/>
                <w:szCs w:val="22"/>
                <w:lang w:val="ru"/>
              </w:rPr>
              <w:t xml:space="preserve"> имеет номер A-32/4.9</w:t>
            </w:r>
          </w:p>
        </w:tc>
      </w:tr>
    </w:tbl>
    <w:p w14:paraId="48CD519D" w14:textId="69BE9EB8" w:rsidR="00F116E7" w:rsidRPr="00055102" w:rsidRDefault="00F116E7" w:rsidP="00BE219B">
      <w:pPr>
        <w:pStyle w:val="Heading3"/>
        <w:rPr>
          <w:lang w:val="ru-RU"/>
        </w:rPr>
      </w:pPr>
    </w:p>
    <w:p w14:paraId="50DBE39E" w14:textId="77777777" w:rsidR="00F116E7" w:rsidRPr="00055102" w:rsidRDefault="00F116E7">
      <w:pPr>
        <w:tabs>
          <w:tab w:val="clear" w:pos="567"/>
        </w:tabs>
        <w:snapToGrid/>
        <w:rPr>
          <w:rFonts w:eastAsia="Arial Unicode MS"/>
          <w:b/>
          <w:bCs/>
          <w:szCs w:val="22"/>
          <w:lang w:val="ru-RU"/>
        </w:rPr>
      </w:pPr>
      <w:r>
        <w:rPr>
          <w:lang w:val="ru"/>
        </w:rPr>
        <w:br w:type="page"/>
      </w:r>
    </w:p>
    <w:p w14:paraId="34DA60E0" w14:textId="77777777" w:rsidR="00737A18" w:rsidRDefault="009026D3" w:rsidP="00BE219B">
      <w:pPr>
        <w:pStyle w:val="Heading3"/>
      </w:pPr>
      <w:r>
        <w:rPr>
          <w:lang w:val="ru"/>
        </w:rPr>
        <w:lastRenderedPageBreak/>
        <w:t>Введение</w:t>
      </w:r>
    </w:p>
    <w:p w14:paraId="41E99416" w14:textId="3AC79816" w:rsidR="003E59E0" w:rsidRPr="00055102" w:rsidRDefault="003E59E0" w:rsidP="00BE219B">
      <w:pPr>
        <w:pStyle w:val="COI"/>
        <w:spacing w:after="240"/>
        <w:rPr>
          <w:lang w:val="ru-RU"/>
        </w:rPr>
      </w:pPr>
      <w:r>
        <w:rPr>
          <w:lang w:val="ru"/>
        </w:rPr>
        <w:t xml:space="preserve">Совместный совет по сотрудничеству (ССС) между Всемирной метеорологической организацией (ВМО) и Межправительственной океанографической комиссией ЮНЕСКО (МОК) провел свою вторую сессию (ССС-2) в режиме онлайн в ходе двух 3-часовых заседаний 1–2 марта 2022 года (см. повестку дня в документе </w:t>
      </w:r>
      <w:hyperlink r:id="rId8" w:history="1">
        <w:r>
          <w:rPr>
            <w:rStyle w:val="Hyperlink"/>
            <w:lang w:val="ru"/>
          </w:rPr>
          <w:t>IOC/INF-1420</w:t>
        </w:r>
      </w:hyperlink>
      <w:r>
        <w:rPr>
          <w:lang w:val="ru"/>
        </w:rPr>
        <w:t xml:space="preserve">, Приложение 1). </w:t>
      </w:r>
    </w:p>
    <w:p w14:paraId="73C706D5" w14:textId="46AD471C" w:rsidR="003E59E0" w:rsidRPr="00055102" w:rsidRDefault="003E59E0" w:rsidP="00BE219B">
      <w:pPr>
        <w:pStyle w:val="COI"/>
        <w:rPr>
          <w:lang w:val="ru-RU"/>
        </w:rPr>
      </w:pPr>
      <w:r>
        <w:rPr>
          <w:lang w:val="ru"/>
        </w:rPr>
        <w:t>Председателями сессии выступили сопредседатели ССС д-р Альберт Мартис (ВМО) и д-р Сриниваса Кумар Туммала (МОК). После принятия Совместной стратегии сотрудничества ВМО и МОК (2022–2025 гг.) на 73-й сессии Исполнительного совета ВМО (EC73) и на 31-й сессии Ассамблеи МОК (A-32) в июне 2021 года (</w:t>
      </w:r>
      <w:hyperlink r:id="rId9" w:history="1">
        <w:r>
          <w:rPr>
            <w:rStyle w:val="Hyperlink"/>
            <w:lang w:val="ru"/>
          </w:rPr>
          <w:t xml:space="preserve">IOC/A-31/3.5.5.Doc(1) </w:t>
        </w:r>
        <w:proofErr w:type="spellStart"/>
        <w:r>
          <w:rPr>
            <w:rStyle w:val="Hyperlink"/>
            <w:lang w:val="ru"/>
          </w:rPr>
          <w:t>Rev</w:t>
        </w:r>
        <w:proofErr w:type="spellEnd"/>
        <w:r>
          <w:rPr>
            <w:rStyle w:val="Hyperlink"/>
            <w:lang w:val="ru"/>
          </w:rPr>
          <w:t>.</w:t>
        </w:r>
      </w:hyperlink>
      <w:r>
        <w:rPr>
          <w:lang w:val="ru"/>
        </w:rPr>
        <w:t>), ожидаемые результаты ССС-2 были следующими:</w:t>
      </w:r>
    </w:p>
    <w:p w14:paraId="5B353CF8" w14:textId="5B32C5B5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Понять роль ССС в повышении ценности совместной деятельности и взаимных интересов ВМО и МОК;</w:t>
      </w:r>
    </w:p>
    <w:p w14:paraId="69E3D59D" w14:textId="7B2BA106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2"/>
        <w:contextualSpacing w:val="0"/>
        <w:rPr>
          <w:lang w:val="ru-RU"/>
        </w:rPr>
      </w:pPr>
      <w:r>
        <w:rPr>
          <w:lang w:val="ru"/>
        </w:rPr>
        <w:t>Выявить пробелы/возможные области усиления сотрудничества и сформулировать рекомендации по устранению этих пробелов;</w:t>
      </w:r>
    </w:p>
    <w:p w14:paraId="05A7E814" w14:textId="06905933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240"/>
        <w:ind w:left="1134" w:hanging="442"/>
        <w:contextualSpacing w:val="0"/>
        <w:rPr>
          <w:lang w:val="ru-RU"/>
        </w:rPr>
      </w:pPr>
      <w:r>
        <w:rPr>
          <w:lang w:val="ru"/>
        </w:rPr>
        <w:t>Составить проект плана работы на 2022–2023 гг.</w:t>
      </w:r>
    </w:p>
    <w:p w14:paraId="5F419DB4" w14:textId="6ECF504F" w:rsidR="003E59E0" w:rsidRPr="00055102" w:rsidRDefault="003E59E0" w:rsidP="00BE219B">
      <w:pPr>
        <w:pStyle w:val="COI"/>
        <w:rPr>
          <w:lang w:val="ru-RU"/>
        </w:rPr>
      </w:pPr>
      <w:r>
        <w:rPr>
          <w:lang w:val="ru"/>
        </w:rPr>
        <w:t>На встрече был применен подход ССС, основанный на цепочке создания ценности, начиная с наблюдений, данных, моделирования, услуг и заканчивая исследованиями и развитием потенциала. МОК и ВМО представили свои приоритеты и соответствующие мероприятия, рассказали о ходе работы в 2021 году и предложили краткосрочные приоритеты для деятельности ССС. ССС обсудил пробелы и возможности, а также то, как и где ССС может внести дополнительный вклад. Был согласован план совместной работы на 2022–2023 годы, включающий следующие ключевые пункты:</w:t>
      </w:r>
    </w:p>
    <w:p w14:paraId="734BF6AD" w14:textId="3625DB38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Выпуск серии вебинаров ССС по всей цепочке создания ценности;</w:t>
      </w:r>
    </w:p>
    <w:p w14:paraId="44434774" w14:textId="1B36DEEC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Разработка предложений по белой книге о положении спутников в океане;</w:t>
      </w:r>
    </w:p>
    <w:p w14:paraId="641909AD" w14:textId="7EF14C0E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Усиление синергии между процессом ГОСН/RRR и совместной разработкой ГСНО для содействия устойчивости наблюдений;</w:t>
      </w:r>
    </w:p>
    <w:p w14:paraId="2F951833" w14:textId="06F44831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Повышенное внимание к исследованиям океанического углерода, а также к потенциалу наблюдений и их разработке;</w:t>
      </w:r>
    </w:p>
    <w:p w14:paraId="05CE3B04" w14:textId="73A197F8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Совместная разработка карты океанических данных;</w:t>
      </w:r>
    </w:p>
    <w:p w14:paraId="53BABDCD" w14:textId="71214608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Сотрудничество в области операционной совместимости между МОК/МООД ИХО/ОДИС и ВИС ВМО: Расширение участия всех членов ССС в разработке плана внедрения ВИС 2.0 и ОДИС и региональных инициатив;</w:t>
      </w:r>
    </w:p>
    <w:p w14:paraId="3E1047E6" w14:textId="3222F816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Сотрудничество между МОК/МООД и ВМО в области передового опыта в области океанических исследований (МОК ОБИС);</w:t>
      </w:r>
    </w:p>
    <w:p w14:paraId="11A32803" w14:textId="604D9B6E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Согласование политики, руководства и консультаций в отношении данных между ВМО и МОК;</w:t>
      </w:r>
    </w:p>
    <w:p w14:paraId="3B42AC51" w14:textId="24889EB6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Активное реагирование и устойчивость к опасностям наводнений в прибрежных районах для прибрежных сообществ, включая цунами;</w:t>
      </w:r>
    </w:p>
    <w:p w14:paraId="07D9863B" w14:textId="283D850F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Усовершенствование океанического прогнозирования К/ГСОДП (комплексная глобальная система обработки данных и прогнозирования) в интересах конечных пользователей и членов;</w:t>
      </w:r>
    </w:p>
    <w:p w14:paraId="3EFF4101" w14:textId="57F87B3C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Расширение возможностей для объединения экспертного сообщества в области морской метеорологии и океанографии на региональном/местном уровне в дополнение к расширению участия лиц, отвечающих за принятие решений;</w:t>
      </w:r>
    </w:p>
    <w:p w14:paraId="616D8659" w14:textId="6986A48C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lastRenderedPageBreak/>
        <w:t xml:space="preserve">Совместное проведение крупных океанических мероприятий ВМО и </w:t>
      </w:r>
      <w:proofErr w:type="gramStart"/>
      <w:r>
        <w:rPr>
          <w:lang w:val="ru"/>
        </w:rPr>
        <w:t>МОК</w:t>
      </w:r>
      <w:proofErr w:type="gramEnd"/>
      <w:r>
        <w:rPr>
          <w:lang w:val="ru"/>
        </w:rPr>
        <w:t xml:space="preserve"> и совместное руководство другими крупными мероприятиями/конференциями (например, КС);</w:t>
      </w:r>
    </w:p>
    <w:p w14:paraId="41C7ED02" w14:textId="741296A7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Расширение регионального сотрудничества между ВМО и МОК (например, параллельное мероприятие, связанное с океаном);</w:t>
      </w:r>
    </w:p>
    <w:p w14:paraId="2DDC360D" w14:textId="6D637EF3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Более активное использование существующих стратегических планов ВМО и МОК для достижения более весомого вклада;</w:t>
      </w:r>
    </w:p>
    <w:p w14:paraId="74125FC5" w14:textId="0A5FEC44" w:rsidR="003E59E0" w:rsidRPr="00055102" w:rsidRDefault="003E59E0" w:rsidP="00F167D7">
      <w:pPr>
        <w:pStyle w:val="ListParagraph"/>
        <w:numPr>
          <w:ilvl w:val="0"/>
          <w:numId w:val="18"/>
        </w:numPr>
        <w:tabs>
          <w:tab w:val="clear" w:pos="567"/>
        </w:tabs>
        <w:spacing w:after="120"/>
        <w:ind w:left="1134" w:hanging="444"/>
        <w:contextualSpacing w:val="0"/>
        <w:rPr>
          <w:lang w:val="ru-RU"/>
        </w:rPr>
      </w:pPr>
      <w:r>
        <w:rPr>
          <w:lang w:val="ru"/>
        </w:rPr>
        <w:t>Установление связей и гармонизация мероприятий/программ/стратегий ВМО и МОК по развитию потенциала.</w:t>
      </w:r>
    </w:p>
    <w:p w14:paraId="18F98B19" w14:textId="627CE228" w:rsidR="003E59E0" w:rsidRPr="00055102" w:rsidRDefault="003E59E0" w:rsidP="00BE219B">
      <w:pPr>
        <w:pStyle w:val="Heading3"/>
        <w:rPr>
          <w:lang w:val="ru-RU"/>
        </w:rPr>
      </w:pPr>
      <w:r>
        <w:rPr>
          <w:lang w:val="ru"/>
        </w:rPr>
        <w:t>Прогресс в 2022–2023 гг. и статус обзора деятельности ССС</w:t>
      </w:r>
    </w:p>
    <w:p w14:paraId="70AE28ED" w14:textId="2248D871" w:rsidR="003E59E0" w:rsidRPr="00055102" w:rsidRDefault="003E59E0" w:rsidP="00BE219B">
      <w:pPr>
        <w:pStyle w:val="COI"/>
        <w:spacing w:after="240"/>
        <w:rPr>
          <w:lang w:val="ru-RU"/>
        </w:rPr>
      </w:pPr>
      <w:r>
        <w:rPr>
          <w:lang w:val="ru"/>
        </w:rPr>
        <w:t>Встреча ССС-2, состоявшаяся в марте 2022 года, прошла в позитивном ключе, были определены несколько важных областей для сотрудничества, внесенные в План работы на 2022–2023 годы.  Несмотря на то, что МОК/ВМО добились прогресса по ряду пунктов, указанных в плане работы, общий прогресс был медленнее, чем ожидалось. Отчасти это является следствием того, что COVID-19 повлиял на способность ССС проводить личные встречи для обсуждения, оценки прогресса или определения приоритетности действий и других вопросов, связанных с ресурсами.</w:t>
      </w:r>
    </w:p>
    <w:p w14:paraId="0FCA236F" w14:textId="6DEC34E9" w:rsidR="003E59E0" w:rsidRPr="00055102" w:rsidRDefault="003E59E0" w:rsidP="00BE219B">
      <w:pPr>
        <w:pStyle w:val="COI"/>
        <w:spacing w:after="240"/>
        <w:rPr>
          <w:lang w:val="ru-RU"/>
        </w:rPr>
      </w:pPr>
      <w:r>
        <w:rPr>
          <w:lang w:val="ru"/>
        </w:rPr>
        <w:t>Кроме того, хотя ССС выполнил часть поручений МОК (резолюция XXX-2, 2019 г.) и подготовил стратегию сотрудничества ВМО и МОК, принятую в 2021 году, а также план работы на 2022–2023 годы, он не выполнил просьбу МОК о проведении обзора своей деятельности через четыре года с представлением доклада Ассамблее МОК в 2023 году. Кроме того, несколько неясен механизм реализации стратегии сотрудничества ССС, например, как она будет функционировать наряду с другими существующими стратегиями ВМО и МОК.</w:t>
      </w:r>
    </w:p>
    <w:p w14:paraId="58BE1F28" w14:textId="710961B2" w:rsidR="003E59E0" w:rsidRPr="00055102" w:rsidRDefault="003E59E0" w:rsidP="00BE219B">
      <w:pPr>
        <w:pStyle w:val="COI"/>
        <w:spacing w:after="240"/>
        <w:rPr>
          <w:lang w:val="ru-RU"/>
        </w:rPr>
      </w:pPr>
      <w:r>
        <w:rPr>
          <w:lang w:val="ru"/>
        </w:rPr>
        <w:t>Председатели ССС провели онлайн-встречу в марте 2023 года и договорились рассмотреть ход выполнения Рабочего плана и Обзора 4-летней работы ССС на встрече в сентябре/октябре 2023 года. Повестка дня этого мероприятия будет обсуждаться на виртуальной встрече в июле, однако она будет включать обзор и фокус на приоритетных темах для сотрудничества. Исполнительный секретарь и секретариат МОК вновь подтвердили свою приверженность работе ССС.</w:t>
      </w:r>
    </w:p>
    <w:p w14:paraId="76AF1C70" w14:textId="643E2C11" w:rsidR="00C3684D" w:rsidRPr="00055102" w:rsidRDefault="00C3684D" w:rsidP="00BE219B">
      <w:pPr>
        <w:spacing w:after="240"/>
        <w:rPr>
          <w:lang w:val="ru-RU"/>
        </w:rPr>
      </w:pPr>
    </w:p>
    <w:sectPr w:rsidR="00C3684D" w:rsidRPr="00055102" w:rsidSect="003F7186">
      <w:headerReference w:type="even" r:id="rId10"/>
      <w:headerReference w:type="default" r:id="rId11"/>
      <w:headerReference w:type="first" r:id="rId12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52B2" w14:textId="77777777" w:rsidR="004C2B7F" w:rsidRDefault="004C2B7F">
      <w:r>
        <w:separator/>
      </w:r>
    </w:p>
  </w:endnote>
  <w:endnote w:type="continuationSeparator" w:id="0">
    <w:p w14:paraId="5D556B78" w14:textId="77777777" w:rsidR="004C2B7F" w:rsidRDefault="004C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AD10" w14:textId="77777777" w:rsidR="004C2B7F" w:rsidRDefault="004C2B7F">
      <w:r>
        <w:separator/>
      </w:r>
    </w:p>
  </w:footnote>
  <w:footnote w:type="continuationSeparator" w:id="0">
    <w:p w14:paraId="740BD0B5" w14:textId="77777777" w:rsidR="004C2B7F" w:rsidRDefault="004C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4079" w14:textId="0216E6A5" w:rsidR="00020AA1" w:rsidRPr="00BE219B" w:rsidRDefault="00B8392A" w:rsidP="00A16ACF">
    <w:pPr>
      <w:pStyle w:val="Header"/>
      <w:tabs>
        <w:tab w:val="clear" w:pos="8306"/>
      </w:tabs>
      <w:rPr>
        <w:rFonts w:cs="Arial"/>
        <w:szCs w:val="22"/>
      </w:rPr>
    </w:pPr>
    <w:r>
      <w:rPr>
        <w:rFonts w:cs="Arial"/>
        <w:szCs w:val="22"/>
        <w:lang w:val="ru"/>
      </w:rPr>
      <w:t>IOC</w:t>
    </w:r>
    <w:r w:rsidR="00055102">
      <w:rPr>
        <w:rFonts w:cs="Arial"/>
        <w:szCs w:val="22"/>
        <w:lang w:val="fr-FR"/>
      </w:rPr>
      <w:t>/A</w:t>
    </w:r>
    <w:r>
      <w:rPr>
        <w:rFonts w:cs="Arial"/>
        <w:szCs w:val="22"/>
        <w:lang w:val="ru"/>
      </w:rPr>
      <w:t>-32/4.</w:t>
    </w:r>
    <w:proofErr w:type="gramStart"/>
    <w:r>
      <w:rPr>
        <w:rFonts w:cs="Arial"/>
        <w:szCs w:val="22"/>
        <w:lang w:val="ru"/>
      </w:rPr>
      <w:t>9.Doc</w:t>
    </w:r>
    <w:proofErr w:type="gramEnd"/>
    <w:r>
      <w:rPr>
        <w:rFonts w:cs="Arial"/>
        <w:szCs w:val="22"/>
        <w:lang w:val="ru"/>
      </w:rPr>
      <w:t>(1) – страница </w:t>
    </w:r>
    <w:r>
      <w:rPr>
        <w:rStyle w:val="PageNumber"/>
        <w:rFonts w:cs="Arial"/>
        <w:szCs w:val="22"/>
        <w:lang w:val="ru"/>
      </w:rPr>
      <w:fldChar w:fldCharType="begin"/>
    </w:r>
    <w:r>
      <w:rPr>
        <w:rStyle w:val="PageNumber"/>
        <w:rFonts w:cs="Arial"/>
        <w:szCs w:val="22"/>
        <w:lang w:val="ru"/>
      </w:rPr>
      <w:instrText xml:space="preserve"> PAGE </w:instrText>
    </w:r>
    <w:r>
      <w:rPr>
        <w:rStyle w:val="PageNumber"/>
        <w:rFonts w:cs="Arial"/>
        <w:szCs w:val="22"/>
        <w:lang w:val="ru"/>
      </w:rPr>
      <w:fldChar w:fldCharType="separate"/>
    </w:r>
    <w:r>
      <w:rPr>
        <w:rStyle w:val="PageNumber"/>
        <w:rFonts w:cs="Arial"/>
        <w:noProof/>
        <w:szCs w:val="22"/>
        <w:lang w:val="ru"/>
      </w:rPr>
      <w:t>2</w:t>
    </w:r>
    <w:r>
      <w:rPr>
        <w:rStyle w:val="PageNumber"/>
        <w:rFonts w:cs="Arial"/>
        <w:szCs w:val="22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2E42" w14:textId="2C9A9ED0" w:rsidR="00020AA1" w:rsidRPr="00BE219B" w:rsidRDefault="00F116E7" w:rsidP="00055102">
    <w:pPr>
      <w:pStyle w:val="Header"/>
      <w:ind w:left="6096"/>
      <w:rPr>
        <w:rFonts w:cs="Arial"/>
        <w:sz w:val="24"/>
      </w:rPr>
    </w:pPr>
    <w:r>
      <w:rPr>
        <w:rFonts w:cs="Arial"/>
        <w:szCs w:val="22"/>
        <w:lang w:val="ru"/>
      </w:rPr>
      <w:t>IOC</w:t>
    </w:r>
    <w:r w:rsidR="00055102">
      <w:rPr>
        <w:rFonts w:cs="Arial"/>
        <w:szCs w:val="22"/>
        <w:lang w:val="fr-FR"/>
      </w:rPr>
      <w:t>/A</w:t>
    </w:r>
    <w:r>
      <w:rPr>
        <w:rFonts w:cs="Arial"/>
        <w:szCs w:val="22"/>
        <w:lang w:val="ru"/>
      </w:rPr>
      <w:t>-32/4.</w:t>
    </w:r>
    <w:proofErr w:type="gramStart"/>
    <w:r>
      <w:rPr>
        <w:rFonts w:cs="Arial"/>
        <w:szCs w:val="22"/>
        <w:lang w:val="ru"/>
      </w:rPr>
      <w:t>9.Doc</w:t>
    </w:r>
    <w:proofErr w:type="gramEnd"/>
    <w:r>
      <w:rPr>
        <w:rFonts w:cs="Arial"/>
        <w:szCs w:val="22"/>
        <w:lang w:val="ru"/>
      </w:rPr>
      <w:t>(1) – страница </w:t>
    </w:r>
    <w:r>
      <w:rPr>
        <w:rStyle w:val="PageNumber"/>
        <w:rFonts w:cs="Arial"/>
        <w:szCs w:val="22"/>
        <w:lang w:val="ru"/>
      </w:rPr>
      <w:fldChar w:fldCharType="begin"/>
    </w:r>
    <w:r>
      <w:rPr>
        <w:rStyle w:val="PageNumber"/>
        <w:rFonts w:cs="Arial"/>
        <w:szCs w:val="22"/>
        <w:lang w:val="ru"/>
      </w:rPr>
      <w:instrText xml:space="preserve"> PAGE </w:instrText>
    </w:r>
    <w:r>
      <w:rPr>
        <w:rStyle w:val="PageNumber"/>
        <w:rFonts w:cs="Arial"/>
        <w:szCs w:val="22"/>
        <w:lang w:val="ru"/>
      </w:rPr>
      <w:fldChar w:fldCharType="separate"/>
    </w:r>
    <w:r>
      <w:rPr>
        <w:rStyle w:val="PageNumber"/>
        <w:rFonts w:cs="Arial"/>
        <w:szCs w:val="22"/>
        <w:lang w:val="ru"/>
      </w:rPr>
      <w:t>2</w:t>
    </w:r>
    <w:r>
      <w:rPr>
        <w:rStyle w:val="PageNumber"/>
        <w:rFonts w:cs="Arial"/>
        <w:szCs w:val="22"/>
        <w:lang w:val="r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5AEE" w14:textId="45F3B507" w:rsidR="00F116E7" w:rsidRPr="00055102" w:rsidRDefault="00F116E7" w:rsidP="00055102">
    <w:pPr>
      <w:pStyle w:val="Marge"/>
      <w:tabs>
        <w:tab w:val="left" w:pos="6237"/>
        <w:tab w:val="left" w:pos="7560"/>
      </w:tabs>
      <w:spacing w:after="0"/>
      <w:rPr>
        <w:rFonts w:cs="Arial"/>
        <w:b/>
        <w:szCs w:val="22"/>
        <w:lang w:val="ru-RU"/>
      </w:rPr>
    </w:pPr>
    <w:r>
      <w:rPr>
        <w:rFonts w:cs="Arial"/>
        <w:szCs w:val="22"/>
        <w:lang w:val="ru"/>
      </w:rPr>
      <w:t>Рассылается по списку</w:t>
    </w:r>
    <w:r>
      <w:rPr>
        <w:rFonts w:cs="Arial"/>
        <w:szCs w:val="22"/>
        <w:lang w:val="ru"/>
      </w:rPr>
      <w:tab/>
    </w:r>
    <w:r>
      <w:rPr>
        <w:rFonts w:cs="Arial"/>
        <w:b/>
        <w:bCs/>
        <w:sz w:val="36"/>
        <w:szCs w:val="36"/>
        <w:lang w:val="ru"/>
      </w:rPr>
      <w:t>IOC</w:t>
    </w:r>
    <w:r w:rsidR="00055102" w:rsidRPr="00055102">
      <w:rPr>
        <w:rFonts w:cs="Arial"/>
        <w:b/>
        <w:bCs/>
        <w:sz w:val="36"/>
        <w:szCs w:val="36"/>
        <w:lang w:val="ru-RU"/>
      </w:rPr>
      <w:t>/</w:t>
    </w:r>
    <w:r w:rsidR="00055102">
      <w:rPr>
        <w:rFonts w:cs="Arial"/>
        <w:b/>
        <w:bCs/>
        <w:sz w:val="36"/>
        <w:szCs w:val="36"/>
        <w:lang w:val="fr-FR"/>
      </w:rPr>
      <w:t>A</w:t>
    </w:r>
    <w:r>
      <w:rPr>
        <w:rFonts w:cs="Arial"/>
        <w:b/>
        <w:bCs/>
        <w:sz w:val="36"/>
        <w:szCs w:val="36"/>
        <w:lang w:val="ru"/>
      </w:rPr>
      <w:t>-32/4.</w:t>
    </w:r>
    <w:proofErr w:type="gramStart"/>
    <w:r>
      <w:rPr>
        <w:rFonts w:cs="Arial"/>
        <w:b/>
        <w:bCs/>
        <w:sz w:val="36"/>
        <w:szCs w:val="36"/>
        <w:lang w:val="ru"/>
      </w:rPr>
      <w:t>9.Doc</w:t>
    </w:r>
    <w:proofErr w:type="gramEnd"/>
    <w:r>
      <w:rPr>
        <w:rFonts w:cs="Arial"/>
        <w:b/>
        <w:bCs/>
        <w:sz w:val="36"/>
        <w:szCs w:val="36"/>
        <w:lang w:val="ru"/>
      </w:rPr>
      <w:t xml:space="preserve">(1) </w:t>
    </w:r>
  </w:p>
  <w:p w14:paraId="66092EF4" w14:textId="77777777" w:rsidR="00F116E7" w:rsidRPr="00055102" w:rsidRDefault="00F116E7" w:rsidP="00055102">
    <w:pPr>
      <w:tabs>
        <w:tab w:val="clear" w:pos="567"/>
        <w:tab w:val="left" w:pos="6237"/>
        <w:tab w:val="left" w:pos="7560"/>
      </w:tabs>
      <w:jc w:val="both"/>
      <w:rPr>
        <w:rFonts w:cs="Arial"/>
        <w:szCs w:val="22"/>
        <w:lang w:val="ru-RU"/>
      </w:rPr>
    </w:pPr>
    <w:r>
      <w:rPr>
        <w:noProof/>
        <w:lang w:val="ru"/>
      </w:rPr>
      <w:drawing>
        <wp:anchor distT="0" distB="0" distL="114300" distR="114300" simplePos="0" relativeHeight="251661312" behindDoc="0" locked="0" layoutInCell="1" allowOverlap="1" wp14:anchorId="1EDB8255" wp14:editId="6623AFD3">
          <wp:simplePos x="0" y="0"/>
          <wp:positionH relativeFrom="column">
            <wp:posOffset>-124460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2" name="Picture 2" descr="Логотип, название компании Описание генерируется автоматичес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2"/>
        <w:lang w:val="ru"/>
      </w:rPr>
      <w:tab/>
      <w:t>Париж, 23 мая 2023 года</w:t>
    </w:r>
  </w:p>
  <w:p w14:paraId="095B4652" w14:textId="77777777" w:rsidR="00F116E7" w:rsidRPr="00055102" w:rsidRDefault="00F116E7" w:rsidP="00055102">
    <w:pPr>
      <w:tabs>
        <w:tab w:val="clear" w:pos="567"/>
        <w:tab w:val="left" w:pos="6237"/>
        <w:tab w:val="left" w:pos="7560"/>
      </w:tabs>
      <w:jc w:val="both"/>
      <w:rPr>
        <w:rFonts w:cs="Arial"/>
        <w:szCs w:val="22"/>
        <w:lang w:val="ru-RU"/>
      </w:rPr>
    </w:pPr>
    <w:r>
      <w:rPr>
        <w:rFonts w:cs="Arial"/>
        <w:szCs w:val="22"/>
        <w:lang w:val="ru"/>
      </w:rPr>
      <w:tab/>
      <w:t>Язык оригинала: английский</w:t>
    </w:r>
  </w:p>
  <w:p w14:paraId="0DA57F0D" w14:textId="77777777" w:rsidR="00F116E7" w:rsidRPr="00055102" w:rsidRDefault="00F116E7" w:rsidP="0005510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6237"/>
        <w:tab w:val="left" w:pos="7020"/>
        <w:tab w:val="left" w:pos="7088"/>
      </w:tabs>
      <w:jc w:val="both"/>
      <w:rPr>
        <w:rFonts w:cs="Arial"/>
        <w:b/>
        <w:szCs w:val="22"/>
        <w:lang w:val="ru-RU"/>
      </w:rPr>
    </w:pPr>
  </w:p>
  <w:p w14:paraId="2107BF3C" w14:textId="77777777" w:rsidR="00F116E7" w:rsidRPr="00055102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41402C66" w14:textId="77777777" w:rsidR="00F116E7" w:rsidRPr="00055102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55F42975" w14:textId="77777777" w:rsidR="00F116E7" w:rsidRPr="00055102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12E756A2" w14:textId="77777777" w:rsidR="00F116E7" w:rsidRPr="00055102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4FF33242" w14:textId="77777777" w:rsidR="00F116E7" w:rsidRPr="00055102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3FDBEAAA" w14:textId="77777777" w:rsidR="00F116E7" w:rsidRPr="00055102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  <w:lang w:val="ru-RU"/>
      </w:rPr>
    </w:pPr>
    <w:r>
      <w:rPr>
        <w:rFonts w:cs="Arial"/>
        <w:b/>
        <w:bCs/>
        <w:szCs w:val="22"/>
        <w:lang w:val="ru"/>
      </w:rPr>
      <w:t>МЕЖПРАВИТЕЛЬСТВЕННАЯ ОКЕАНОГРАФИЧЕСКАЯ КОМИССИЯ</w:t>
    </w:r>
  </w:p>
  <w:p w14:paraId="72C649AE" w14:textId="77777777" w:rsidR="00F116E7" w:rsidRPr="00055102" w:rsidRDefault="00F116E7" w:rsidP="00F116E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ru-RU"/>
      </w:rPr>
    </w:pPr>
    <w:r>
      <w:rPr>
        <w:rFonts w:cs="Arial"/>
        <w:szCs w:val="22"/>
        <w:lang w:val="ru"/>
      </w:rPr>
      <w:t>(ЮНЕСКО)</w:t>
    </w:r>
  </w:p>
  <w:p w14:paraId="3C0594D1" w14:textId="77777777" w:rsidR="00F116E7" w:rsidRPr="00055102" w:rsidRDefault="00F116E7" w:rsidP="00F116E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  <w:lang w:val="ru-RU"/>
      </w:rPr>
    </w:pPr>
  </w:p>
  <w:p w14:paraId="3D2AF276" w14:textId="77777777" w:rsidR="00F116E7" w:rsidRPr="00055102" w:rsidRDefault="00F116E7" w:rsidP="00F116E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lang w:val="ru-RU"/>
      </w:rPr>
    </w:pPr>
    <w:r>
      <w:rPr>
        <w:rFonts w:cs="Arial"/>
        <w:b/>
        <w:bCs/>
        <w:lang w:val="ru"/>
      </w:rPr>
      <w:t>Тридцать вторая сессия Ассамблеи</w:t>
    </w:r>
  </w:p>
  <w:p w14:paraId="33A47F38" w14:textId="77777777" w:rsidR="00F116E7" w:rsidRPr="00055102" w:rsidRDefault="00F116E7" w:rsidP="00F116E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szCs w:val="22"/>
        <w:lang w:val="ru-RU"/>
      </w:rPr>
    </w:pPr>
    <w:r>
      <w:rPr>
        <w:rFonts w:cs="Arial"/>
        <w:lang w:val="ru"/>
      </w:rPr>
      <w:t xml:space="preserve">ЮНЕСКО, </w:t>
    </w:r>
    <w:proofErr w:type="gramStart"/>
    <w:r>
      <w:rPr>
        <w:rFonts w:cs="Arial"/>
        <w:lang w:val="ru"/>
      </w:rPr>
      <w:t>21-30</w:t>
    </w:r>
    <w:proofErr w:type="gramEnd"/>
    <w:r>
      <w:rPr>
        <w:rFonts w:cs="Arial"/>
        <w:lang w:val="ru"/>
      </w:rPr>
      <w:t xml:space="preserve"> июня 2023 года</w:t>
    </w:r>
  </w:p>
  <w:p w14:paraId="48B165D4" w14:textId="77777777" w:rsidR="00F116E7" w:rsidRPr="00055102" w:rsidRDefault="00F116E7" w:rsidP="00F116E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ru-RU"/>
      </w:rPr>
    </w:pPr>
  </w:p>
  <w:p w14:paraId="589C51BA" w14:textId="77777777" w:rsidR="00F116E7" w:rsidRPr="00055102" w:rsidRDefault="00F116E7" w:rsidP="00F116E7">
    <w:pPr>
      <w:jc w:val="center"/>
      <w:rPr>
        <w:rFonts w:cs="Arial"/>
        <w:szCs w:val="22"/>
        <w:lang w:val="ru-RU"/>
      </w:rPr>
    </w:pPr>
  </w:p>
  <w:p w14:paraId="7FF832FE" w14:textId="77777777" w:rsidR="00F116E7" w:rsidRPr="00055102" w:rsidRDefault="00F116E7" w:rsidP="00F116E7">
    <w:pPr>
      <w:jc w:val="center"/>
      <w:rPr>
        <w:rFonts w:cs="Arial"/>
        <w:szCs w:val="22"/>
        <w:lang w:val="ru-RU"/>
      </w:rPr>
    </w:pPr>
  </w:p>
  <w:p w14:paraId="6FC94616" w14:textId="77777777" w:rsidR="00F116E7" w:rsidRPr="00055102" w:rsidRDefault="00F116E7" w:rsidP="00F116E7">
    <w:pPr>
      <w:jc w:val="center"/>
      <w:rPr>
        <w:rFonts w:cs="Arial"/>
        <w:szCs w:val="22"/>
        <w:lang w:val="ru-RU"/>
      </w:rPr>
    </w:pPr>
  </w:p>
  <w:p w14:paraId="1792B819" w14:textId="77777777" w:rsidR="00F116E7" w:rsidRPr="00055102" w:rsidRDefault="00F116E7" w:rsidP="00F116E7">
    <w:pPr>
      <w:jc w:val="center"/>
      <w:rPr>
        <w:rFonts w:cs="Arial"/>
        <w:szCs w:val="22"/>
        <w:lang w:val="ru-RU"/>
      </w:rPr>
    </w:pPr>
  </w:p>
  <w:p w14:paraId="72AD6587" w14:textId="77777777" w:rsidR="00F116E7" w:rsidRPr="00055102" w:rsidRDefault="00F116E7" w:rsidP="00F116E7">
    <w:pPr>
      <w:jc w:val="center"/>
      <w:rPr>
        <w:rFonts w:cs="Arial"/>
        <w:szCs w:val="22"/>
        <w:lang w:val="ru-RU"/>
      </w:rPr>
    </w:pPr>
  </w:p>
  <w:p w14:paraId="011CF311" w14:textId="77777777" w:rsidR="00F116E7" w:rsidRPr="00055102" w:rsidRDefault="00F116E7" w:rsidP="00F116E7">
    <w:pPr>
      <w:pStyle w:val="Heading7"/>
      <w:tabs>
        <w:tab w:val="clear" w:pos="567"/>
        <w:tab w:val="right" w:pos="9540"/>
      </w:tabs>
      <w:rPr>
        <w:rFonts w:asciiTheme="minorBidi" w:hAnsiTheme="minorBidi" w:cstheme="minorBidi"/>
        <w:szCs w:val="22"/>
        <w:lang w:val="ru-RU"/>
      </w:rPr>
    </w:pPr>
    <w:r>
      <w:rPr>
        <w:rFonts w:asciiTheme="minorBidi" w:hAnsiTheme="minorBidi" w:cstheme="minorBidi"/>
        <w:sz w:val="24"/>
        <w:lang w:val="ru"/>
      </w:rPr>
      <w:t xml:space="preserve">Пункт </w:t>
    </w:r>
    <w:r>
      <w:rPr>
        <w:rFonts w:asciiTheme="minorBidi" w:hAnsiTheme="minorBidi" w:cstheme="minorBidi"/>
        <w:b/>
        <w:bCs/>
        <w:sz w:val="24"/>
        <w:lang w:val="ru"/>
      </w:rPr>
      <w:t>4.9</w:t>
    </w:r>
    <w:r>
      <w:rPr>
        <w:rFonts w:asciiTheme="minorBidi" w:hAnsiTheme="minorBidi" w:cstheme="minorBidi"/>
        <w:sz w:val="24"/>
        <w:lang w:val="ru"/>
      </w:rPr>
      <w:t xml:space="preserve"> предварительной повестки дня</w:t>
    </w:r>
  </w:p>
  <w:p w14:paraId="4EA592F0" w14:textId="77777777" w:rsidR="00F116E7" w:rsidRPr="00055102" w:rsidRDefault="00F116E7" w:rsidP="00F116E7">
    <w:pPr>
      <w:rPr>
        <w:rFonts w:cs="Arial"/>
        <w:szCs w:val="22"/>
        <w:lang w:val="ru-RU"/>
      </w:rPr>
    </w:pPr>
  </w:p>
  <w:p w14:paraId="4102F122" w14:textId="77777777" w:rsidR="00F116E7" w:rsidRPr="00055102" w:rsidRDefault="00F116E7" w:rsidP="00F116E7">
    <w:pPr>
      <w:rPr>
        <w:rFonts w:cs="Arial"/>
        <w:szCs w:val="22"/>
        <w:lang w:val="ru-RU"/>
      </w:rPr>
    </w:pPr>
  </w:p>
  <w:p w14:paraId="28E97288" w14:textId="77777777" w:rsidR="00F116E7" w:rsidRPr="00055102" w:rsidRDefault="00F116E7" w:rsidP="00BE219B">
    <w:pPr>
      <w:pStyle w:val="Docheading"/>
      <w:rPr>
        <w:lang w:val="ru-RU"/>
      </w:rPr>
    </w:pPr>
    <w:r>
      <w:rPr>
        <w:lang w:val="ru"/>
      </w:rPr>
      <w:t>Краткая информация о ходе работы Совместного совета по сотрудничеству между ВМО и МОК</w:t>
    </w:r>
  </w:p>
  <w:p w14:paraId="63D7C417" w14:textId="3F734974" w:rsidR="00020AA1" w:rsidRPr="00055102" w:rsidRDefault="00020AA1" w:rsidP="00294AD5">
    <w:pPr>
      <w:pStyle w:val="Header"/>
      <w:jc w:val="right"/>
      <w:rPr>
        <w:rFonts w:cs="Arial"/>
        <w:sz w:val="20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3382144"/>
    <w:multiLevelType w:val="hybridMultilevel"/>
    <w:tmpl w:val="DE5E4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10CA4DB9"/>
    <w:multiLevelType w:val="hybridMultilevel"/>
    <w:tmpl w:val="FB0ED892"/>
    <w:lvl w:ilvl="0" w:tplc="BB7E71D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256C2"/>
    <w:multiLevelType w:val="hybridMultilevel"/>
    <w:tmpl w:val="E416C646"/>
    <w:lvl w:ilvl="0" w:tplc="D256C7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D1485"/>
    <w:multiLevelType w:val="hybridMultilevel"/>
    <w:tmpl w:val="46521AE2"/>
    <w:lvl w:ilvl="0" w:tplc="D256C7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35937D6B"/>
    <w:multiLevelType w:val="hybridMultilevel"/>
    <w:tmpl w:val="8264CC3E"/>
    <w:lvl w:ilvl="0" w:tplc="D1728D3A">
      <w:start w:val="1"/>
      <w:numFmt w:val="decimal"/>
      <w:lvlText w:val="%1."/>
      <w:lvlJc w:val="left"/>
      <w:pPr>
        <w:ind w:left="-131" w:hanging="360"/>
      </w:pPr>
      <w:rPr>
        <w:rFonts w:ascii="Arial" w:hAnsi="Arial" w:hint="default"/>
        <w:b w:val="0"/>
        <w:i/>
        <w:sz w:val="20"/>
        <w:szCs w:val="22"/>
      </w:rPr>
    </w:lvl>
    <w:lvl w:ilvl="1" w:tplc="15F4ACEE">
      <w:start w:val="1"/>
      <w:numFmt w:val="decimal"/>
      <w:lvlText w:val="%2."/>
      <w:lvlJc w:val="left"/>
      <w:pPr>
        <w:ind w:left="1099" w:hanging="87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309" w:hanging="180"/>
      </w:pPr>
    </w:lvl>
    <w:lvl w:ilvl="3" w:tplc="040C000F" w:tentative="1">
      <w:start w:val="1"/>
      <w:numFmt w:val="decimal"/>
      <w:lvlText w:val="%4."/>
      <w:lvlJc w:val="left"/>
      <w:pPr>
        <w:ind w:left="2029" w:hanging="360"/>
      </w:pPr>
    </w:lvl>
    <w:lvl w:ilvl="4" w:tplc="040C0019" w:tentative="1">
      <w:start w:val="1"/>
      <w:numFmt w:val="lowerLetter"/>
      <w:lvlText w:val="%5."/>
      <w:lvlJc w:val="left"/>
      <w:pPr>
        <w:ind w:left="2749" w:hanging="360"/>
      </w:pPr>
    </w:lvl>
    <w:lvl w:ilvl="5" w:tplc="040C001B" w:tentative="1">
      <w:start w:val="1"/>
      <w:numFmt w:val="lowerRoman"/>
      <w:lvlText w:val="%6."/>
      <w:lvlJc w:val="right"/>
      <w:pPr>
        <w:ind w:left="3469" w:hanging="180"/>
      </w:pPr>
    </w:lvl>
    <w:lvl w:ilvl="6" w:tplc="040C000F" w:tentative="1">
      <w:start w:val="1"/>
      <w:numFmt w:val="decimal"/>
      <w:lvlText w:val="%7."/>
      <w:lvlJc w:val="left"/>
      <w:pPr>
        <w:ind w:left="4189" w:hanging="360"/>
      </w:pPr>
    </w:lvl>
    <w:lvl w:ilvl="7" w:tplc="040C0019" w:tentative="1">
      <w:start w:val="1"/>
      <w:numFmt w:val="lowerLetter"/>
      <w:lvlText w:val="%8."/>
      <w:lvlJc w:val="left"/>
      <w:pPr>
        <w:ind w:left="4909" w:hanging="360"/>
      </w:pPr>
    </w:lvl>
    <w:lvl w:ilvl="8" w:tplc="040C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3AF22525"/>
    <w:multiLevelType w:val="hybridMultilevel"/>
    <w:tmpl w:val="6EBCBEAE"/>
    <w:lvl w:ilvl="0" w:tplc="D256C7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67069"/>
    <w:multiLevelType w:val="hybridMultilevel"/>
    <w:tmpl w:val="D1820D64"/>
    <w:lvl w:ilvl="0" w:tplc="BB7E71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46B32"/>
    <w:multiLevelType w:val="hybridMultilevel"/>
    <w:tmpl w:val="87B80C34"/>
    <w:lvl w:ilvl="0" w:tplc="9D845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4C64"/>
    <w:multiLevelType w:val="hybridMultilevel"/>
    <w:tmpl w:val="6F9ACB32"/>
    <w:lvl w:ilvl="0" w:tplc="D5A6DCB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D56A92"/>
    <w:multiLevelType w:val="hybridMultilevel"/>
    <w:tmpl w:val="474ED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E7636"/>
    <w:multiLevelType w:val="hybridMultilevel"/>
    <w:tmpl w:val="080C1A22"/>
    <w:lvl w:ilvl="0" w:tplc="EE38723C">
      <w:start w:val="1"/>
      <w:numFmt w:val="decimal"/>
      <w:pStyle w:val="COI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E3DF9"/>
    <w:multiLevelType w:val="hybridMultilevel"/>
    <w:tmpl w:val="195A12DE"/>
    <w:lvl w:ilvl="0" w:tplc="18DE4B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49152">
    <w:abstractNumId w:val="7"/>
  </w:num>
  <w:num w:numId="2" w16cid:durableId="78792144">
    <w:abstractNumId w:val="12"/>
  </w:num>
  <w:num w:numId="3" w16cid:durableId="197855601">
    <w:abstractNumId w:val="0"/>
  </w:num>
  <w:num w:numId="4" w16cid:durableId="1735078919">
    <w:abstractNumId w:val="2"/>
  </w:num>
  <w:num w:numId="5" w16cid:durableId="457073328">
    <w:abstractNumId w:val="3"/>
  </w:num>
  <w:num w:numId="6" w16cid:durableId="515538091">
    <w:abstractNumId w:val="12"/>
  </w:num>
  <w:num w:numId="7" w16cid:durableId="1918979943">
    <w:abstractNumId w:val="12"/>
  </w:num>
  <w:num w:numId="8" w16cid:durableId="323242517">
    <w:abstractNumId w:val="10"/>
  </w:num>
  <w:num w:numId="9" w16cid:durableId="1420327771">
    <w:abstractNumId w:val="4"/>
  </w:num>
  <w:num w:numId="10" w16cid:durableId="2013340199">
    <w:abstractNumId w:val="13"/>
  </w:num>
  <w:num w:numId="11" w16cid:durableId="109975758">
    <w:abstractNumId w:val="1"/>
  </w:num>
  <w:num w:numId="12" w16cid:durableId="602686032">
    <w:abstractNumId w:val="8"/>
  </w:num>
  <w:num w:numId="13" w16cid:durableId="1385324566">
    <w:abstractNumId w:val="15"/>
  </w:num>
  <w:num w:numId="14" w16cid:durableId="1562597788">
    <w:abstractNumId w:val="6"/>
  </w:num>
  <w:num w:numId="15" w16cid:durableId="731736658">
    <w:abstractNumId w:val="11"/>
  </w:num>
  <w:num w:numId="16" w16cid:durableId="1663775088">
    <w:abstractNumId w:val="5"/>
  </w:num>
  <w:num w:numId="17" w16cid:durableId="851263658">
    <w:abstractNumId w:val="14"/>
  </w:num>
  <w:num w:numId="18" w16cid:durableId="1879973159">
    <w:abstractNumId w:val="9"/>
  </w:num>
  <w:num w:numId="19" w16cid:durableId="1500080481">
    <w:abstractNumId w:val="14"/>
  </w:num>
  <w:num w:numId="20" w16cid:durableId="305669431">
    <w:abstractNumId w:val="14"/>
  </w:num>
  <w:num w:numId="21" w16cid:durableId="728573618">
    <w:abstractNumId w:val="14"/>
  </w:num>
  <w:num w:numId="22" w16cid:durableId="55385267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E0"/>
    <w:rsid w:val="00003B31"/>
    <w:rsid w:val="00010BBB"/>
    <w:rsid w:val="00020AA1"/>
    <w:rsid w:val="00045A48"/>
    <w:rsid w:val="00055102"/>
    <w:rsid w:val="00056F67"/>
    <w:rsid w:val="00085D6A"/>
    <w:rsid w:val="000F0254"/>
    <w:rsid w:val="00123719"/>
    <w:rsid w:val="001241D7"/>
    <w:rsid w:val="00137E97"/>
    <w:rsid w:val="001448C4"/>
    <w:rsid w:val="00155393"/>
    <w:rsid w:val="001572C7"/>
    <w:rsid w:val="00167158"/>
    <w:rsid w:val="00196052"/>
    <w:rsid w:val="001B3B24"/>
    <w:rsid w:val="001C6455"/>
    <w:rsid w:val="0021210D"/>
    <w:rsid w:val="00226621"/>
    <w:rsid w:val="00294AD5"/>
    <w:rsid w:val="002C7DE3"/>
    <w:rsid w:val="002E0859"/>
    <w:rsid w:val="0034156B"/>
    <w:rsid w:val="003561BE"/>
    <w:rsid w:val="003805F5"/>
    <w:rsid w:val="003A7860"/>
    <w:rsid w:val="003D3711"/>
    <w:rsid w:val="003E59E0"/>
    <w:rsid w:val="003F55CF"/>
    <w:rsid w:val="003F7186"/>
    <w:rsid w:val="004031FB"/>
    <w:rsid w:val="00413F17"/>
    <w:rsid w:val="00424DE6"/>
    <w:rsid w:val="00433B4C"/>
    <w:rsid w:val="004529B8"/>
    <w:rsid w:val="004555E6"/>
    <w:rsid w:val="00467E3F"/>
    <w:rsid w:val="004A135F"/>
    <w:rsid w:val="004C1625"/>
    <w:rsid w:val="004C2B7F"/>
    <w:rsid w:val="004F3E0E"/>
    <w:rsid w:val="004F7D6C"/>
    <w:rsid w:val="00576270"/>
    <w:rsid w:val="005C7A36"/>
    <w:rsid w:val="005C7D76"/>
    <w:rsid w:val="005E544C"/>
    <w:rsid w:val="006110DA"/>
    <w:rsid w:val="00633EA5"/>
    <w:rsid w:val="006842FA"/>
    <w:rsid w:val="0068682C"/>
    <w:rsid w:val="00690A0C"/>
    <w:rsid w:val="00690FD2"/>
    <w:rsid w:val="00693199"/>
    <w:rsid w:val="006B4B95"/>
    <w:rsid w:val="006C18D9"/>
    <w:rsid w:val="006C6449"/>
    <w:rsid w:val="00737A18"/>
    <w:rsid w:val="00746B89"/>
    <w:rsid w:val="00780FBB"/>
    <w:rsid w:val="0079212B"/>
    <w:rsid w:val="008048D2"/>
    <w:rsid w:val="0081004E"/>
    <w:rsid w:val="00853565"/>
    <w:rsid w:val="008A6E5C"/>
    <w:rsid w:val="008B384B"/>
    <w:rsid w:val="008D2398"/>
    <w:rsid w:val="008F6942"/>
    <w:rsid w:val="009026D3"/>
    <w:rsid w:val="00905860"/>
    <w:rsid w:val="0093773D"/>
    <w:rsid w:val="00953E7F"/>
    <w:rsid w:val="00957FB0"/>
    <w:rsid w:val="0098559C"/>
    <w:rsid w:val="00993CA4"/>
    <w:rsid w:val="009B63AB"/>
    <w:rsid w:val="009C0A89"/>
    <w:rsid w:val="009C15B1"/>
    <w:rsid w:val="009E6A03"/>
    <w:rsid w:val="009F3A67"/>
    <w:rsid w:val="009F7769"/>
    <w:rsid w:val="00A11697"/>
    <w:rsid w:val="00A16ACF"/>
    <w:rsid w:val="00A25BC8"/>
    <w:rsid w:val="00A947AE"/>
    <w:rsid w:val="00AD3D55"/>
    <w:rsid w:val="00B722DE"/>
    <w:rsid w:val="00B83068"/>
    <w:rsid w:val="00B8392A"/>
    <w:rsid w:val="00B91C06"/>
    <w:rsid w:val="00BD6603"/>
    <w:rsid w:val="00BE022B"/>
    <w:rsid w:val="00BE219B"/>
    <w:rsid w:val="00BF069C"/>
    <w:rsid w:val="00BF3835"/>
    <w:rsid w:val="00C1002D"/>
    <w:rsid w:val="00C2635E"/>
    <w:rsid w:val="00C3684D"/>
    <w:rsid w:val="00C4032B"/>
    <w:rsid w:val="00C6486C"/>
    <w:rsid w:val="00C648D3"/>
    <w:rsid w:val="00C75B02"/>
    <w:rsid w:val="00C962F0"/>
    <w:rsid w:val="00CD1321"/>
    <w:rsid w:val="00D013ED"/>
    <w:rsid w:val="00D36BDC"/>
    <w:rsid w:val="00D441D6"/>
    <w:rsid w:val="00D5049E"/>
    <w:rsid w:val="00D55FEC"/>
    <w:rsid w:val="00DF2FB9"/>
    <w:rsid w:val="00E63DEF"/>
    <w:rsid w:val="00E64936"/>
    <w:rsid w:val="00EE0542"/>
    <w:rsid w:val="00EF1D81"/>
    <w:rsid w:val="00F116E7"/>
    <w:rsid w:val="00F167D7"/>
    <w:rsid w:val="00F463F2"/>
    <w:rsid w:val="00F50536"/>
    <w:rsid w:val="00F8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04D4C4"/>
  <w15:docId w15:val="{4CE74480-11C8-AE46-B993-1AB1F26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BE219B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uiPriority w:val="99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BE219B"/>
    <w:pPr>
      <w:keepNext/>
      <w:keepLines/>
      <w:numPr>
        <w:numId w:val="17"/>
      </w:numPr>
      <w:tabs>
        <w:tab w:val="clear" w:pos="567"/>
        <w:tab w:val="left" w:pos="709"/>
      </w:tabs>
      <w:spacing w:after="120"/>
      <w:ind w:left="0" w:firstLine="0"/>
      <w:outlineLvl w:val="2"/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BE219B"/>
    <w:rPr>
      <w:rFonts w:ascii="Arial" w:eastAsia="Arial Unicode MS" w:hAnsi="Arial"/>
      <w:snapToGrid w:val="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56F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F67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F67"/>
    <w:rPr>
      <w:rFonts w:ascii="Arial" w:hAnsi="Arial"/>
      <w:b/>
      <w:bCs/>
      <w:snapToGrid w:val="0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56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6F67"/>
    <w:rPr>
      <w:rFonts w:ascii="Segoe UI" w:hAnsi="Segoe UI" w:cs="Segoe UI"/>
      <w:snapToGrid w:val="0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A16ACF"/>
    <w:rPr>
      <w:rFonts w:ascii="Arial" w:hAnsi="Arial"/>
      <w:snapToGrid w:val="0"/>
      <w:sz w:val="22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6A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5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3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2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304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32557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43F3-951C-5040-A298-C467BB00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5125</Characters>
  <Application>Microsoft Office Word</Application>
  <DocSecurity>4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creator>Microsoft Office User</dc:creator>
  <cp:lastModifiedBy>Boned, Patrice</cp:lastModifiedBy>
  <cp:revision>2</cp:revision>
  <cp:lastPrinted>2002-06-12T09:28:00Z</cp:lastPrinted>
  <dcterms:created xsi:type="dcterms:W3CDTF">2023-06-17T10:24:00Z</dcterms:created>
  <dcterms:modified xsi:type="dcterms:W3CDTF">2023-06-17T10:24:00Z</dcterms:modified>
</cp:coreProperties>
</file>