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7E56" w14:textId="77777777" w:rsidR="002A35B3" w:rsidRDefault="002A35B3">
      <w:pPr>
        <w:widowControl w:val="0"/>
        <w:pBdr>
          <w:top w:val="nil"/>
          <w:left w:val="nil"/>
          <w:bottom w:val="nil"/>
          <w:right w:val="nil"/>
          <w:between w:val="nil"/>
        </w:pBdr>
        <w:spacing w:line="276" w:lineRule="auto"/>
        <w:jc w:val="center"/>
        <w:rPr>
          <w:b/>
          <w:color w:val="000000"/>
          <w:sz w:val="24"/>
          <w:szCs w:val="24"/>
        </w:rPr>
      </w:pPr>
    </w:p>
    <w:p w14:paraId="15A37513" w14:textId="77777777" w:rsidR="002A35B3" w:rsidRPr="005B250D" w:rsidRDefault="002A35B3">
      <w:pPr>
        <w:widowControl w:val="0"/>
        <w:pBdr>
          <w:top w:val="nil"/>
          <w:left w:val="nil"/>
          <w:bottom w:val="nil"/>
          <w:right w:val="nil"/>
          <w:between w:val="nil"/>
        </w:pBdr>
        <w:spacing w:line="276" w:lineRule="auto"/>
        <w:rPr>
          <w:sz w:val="24"/>
          <w:szCs w:val="24"/>
        </w:rPr>
      </w:pPr>
    </w:p>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2A35B3" w14:paraId="51EB1070" w14:textId="77777777">
        <w:trPr>
          <w:jc w:val="center"/>
        </w:trPr>
        <w:tc>
          <w:tcPr>
            <w:tcW w:w="7654" w:type="dxa"/>
            <w:tcMar>
              <w:top w:w="170" w:type="dxa"/>
              <w:left w:w="170" w:type="dxa"/>
              <w:bottom w:w="170" w:type="dxa"/>
              <w:right w:w="170" w:type="dxa"/>
            </w:tcMar>
          </w:tcPr>
          <w:p w14:paraId="3ACF067C" w14:textId="77777777" w:rsidR="002A35B3" w:rsidRDefault="009F38BC">
            <w:pPr>
              <w:pBdr>
                <w:top w:val="nil"/>
                <w:left w:val="nil"/>
                <w:bottom w:val="nil"/>
                <w:right w:val="nil"/>
                <w:between w:val="nil"/>
              </w:pBdr>
              <w:spacing w:after="240"/>
              <w:jc w:val="center"/>
              <w:rPr>
                <w:color w:val="000000"/>
              </w:rPr>
            </w:pPr>
            <w:r>
              <w:rPr>
                <w:color w:val="000000"/>
                <w:u w:val="single"/>
                <w:lang w:val="ru"/>
              </w:rPr>
              <w:t>Резюме</w:t>
            </w:r>
          </w:p>
          <w:p w14:paraId="45555206" w14:textId="68625C5E" w:rsidR="00C73FDF" w:rsidRDefault="009F38BC">
            <w:pPr>
              <w:pBdr>
                <w:top w:val="nil"/>
                <w:left w:val="nil"/>
                <w:bottom w:val="nil"/>
                <w:right w:val="nil"/>
                <w:between w:val="nil"/>
              </w:pBdr>
              <w:spacing w:after="120"/>
              <w:jc w:val="both"/>
            </w:pPr>
            <w:r>
              <w:rPr>
                <w:lang w:val="ru"/>
              </w:rPr>
              <w:t>В Решении XXIX/9.1 Ассамблея МОК на своей 29-й сессии в 2017 году приняла к сведению назначение МОК курирующим учреждением по конкретным показателям ЦУР 14, в частности по задачам 14.3 и 14.a. Это означает, что МОК отвечает за методологическую разработку и оценку этих показателей ЦУР, а также отчетность по ним на глобальном уровне. В</w:t>
            </w:r>
            <w:hyperlink r:id="rId7">
              <w:r>
                <w:rPr>
                  <w:lang w:val="ru"/>
                </w:rPr>
                <w:t xml:space="preserve"> </w:t>
              </w:r>
            </w:hyperlink>
            <w:hyperlink r:id="rId8">
              <w:r>
                <w:rPr>
                  <w:color w:val="1155CC"/>
                  <w:u w:val="single"/>
                  <w:lang w:val="ru"/>
                </w:rPr>
                <w:t>Решении EC-LI/4.3</w:t>
              </w:r>
            </w:hyperlink>
            <w:r>
              <w:rPr>
                <w:lang w:val="ru"/>
              </w:rPr>
              <w:t xml:space="preserve"> исполнительный совет МОК на своей 51-й сессии в 2018 году одобрил осуществление второго издания </w:t>
            </w:r>
            <w:r>
              <w:rPr>
                <w:i/>
                <w:iCs/>
                <w:lang w:val="ru"/>
              </w:rPr>
              <w:t>Глобального доклада о состоянии океанографии</w:t>
            </w:r>
            <w:r>
              <w:rPr>
                <w:lang w:val="ru"/>
              </w:rPr>
              <w:t xml:space="preserve"> и его роль в качестве основного механизма отчетности по выполнению задачи 14.a ЦУР. На той же сессии Исполнительный совет МОК в</w:t>
            </w:r>
            <w:hyperlink r:id="rId9">
              <w:r>
                <w:rPr>
                  <w:u w:val="single"/>
                  <w:lang w:val="ru"/>
                </w:rPr>
                <w:t xml:space="preserve"> </w:t>
              </w:r>
            </w:hyperlink>
            <w:hyperlink r:id="rId10">
              <w:r>
                <w:rPr>
                  <w:color w:val="1155CC"/>
                  <w:u w:val="single"/>
                  <w:lang w:val="ru"/>
                </w:rPr>
                <w:t>Решении EC-LI/4.4</w:t>
              </w:r>
            </w:hyperlink>
            <w:r>
              <w:rPr>
                <w:lang w:val="ru"/>
              </w:rPr>
              <w:t xml:space="preserve"> приветствовал методологию для показателя 14.3.1, представленную в документе</w:t>
            </w:r>
            <w:hyperlink r:id="rId11">
              <w:r>
                <w:rPr>
                  <w:lang w:val="ru"/>
                </w:rPr>
                <w:t xml:space="preserve"> </w:t>
              </w:r>
            </w:hyperlink>
            <w:hyperlink r:id="rId12">
              <w:r>
                <w:rPr>
                  <w:color w:val="1155CC"/>
                  <w:u w:val="single"/>
                  <w:lang w:val="ru"/>
                </w:rPr>
                <w:t>IOC/EC-LI/2 Annex 6</w:t>
              </w:r>
            </w:hyperlink>
            <w:r>
              <w:rPr>
                <w:lang w:val="ru"/>
              </w:rPr>
              <w:t>.</w:t>
            </w:r>
          </w:p>
          <w:p w14:paraId="33389FCF" w14:textId="66A43330" w:rsidR="002A35B3" w:rsidRDefault="009F38BC">
            <w:pPr>
              <w:pBdr>
                <w:top w:val="nil"/>
                <w:left w:val="nil"/>
                <w:bottom w:val="nil"/>
                <w:right w:val="nil"/>
                <w:between w:val="nil"/>
              </w:pBdr>
              <w:spacing w:after="120"/>
              <w:jc w:val="both"/>
            </w:pPr>
            <w:r>
              <w:rPr>
                <w:lang w:val="ru"/>
              </w:rPr>
              <w:t>В настоящем документе представлен обзор проделанной работы в отношении показателей по задачам 14.3 (закисление океана) и 14.a (морские научные исследования), по которым МОК определена в качестве курирующего учреждения, а также в отношении показателей 14.1.1 и 14.2.1 ЦУР 14, по которым МОК оказывает техническую поддержку ЮНЕП, поощряя участие государств-членов и представление данных.</w:t>
            </w:r>
          </w:p>
          <w:p w14:paraId="223273D8" w14:textId="207E650E" w:rsidR="002A35B3" w:rsidRDefault="009F38BC">
            <w:pPr>
              <w:pBdr>
                <w:top w:val="nil"/>
                <w:left w:val="nil"/>
                <w:bottom w:val="nil"/>
                <w:right w:val="nil"/>
                <w:between w:val="nil"/>
              </w:pBdr>
              <w:spacing w:after="120"/>
              <w:jc w:val="both"/>
            </w:pPr>
            <w:r>
              <w:rPr>
                <w:u w:val="single"/>
                <w:lang w:val="ru"/>
              </w:rPr>
              <w:t>Финансовые и административные последствия</w:t>
            </w:r>
            <w:r>
              <w:rPr>
                <w:lang w:val="ru"/>
              </w:rPr>
              <w:t>: изложены в пункте 29.</w:t>
            </w:r>
          </w:p>
          <w:p w14:paraId="28DA1883" w14:textId="56A85B25" w:rsidR="002A35B3" w:rsidRPr="005E14AC" w:rsidRDefault="009F38BC" w:rsidP="005E14AC">
            <w:pPr>
              <w:spacing w:after="120"/>
              <w:jc w:val="both"/>
            </w:pPr>
            <w:r>
              <w:rPr>
                <w:lang w:val="ru"/>
              </w:rPr>
              <w:t xml:space="preserve">В Документе о принятых и предлагаемых мерах (документ IOC-32/AP Prov.) </w:t>
            </w:r>
            <w:r>
              <w:rPr>
                <w:u w:val="single"/>
                <w:lang w:val="ru"/>
              </w:rPr>
              <w:t>предлагаемое решение</w:t>
            </w:r>
            <w:r>
              <w:rPr>
                <w:lang w:val="ru"/>
              </w:rPr>
              <w:t xml:space="preserve"> имеет номер Реш. А-32/4.11.</w:t>
            </w:r>
          </w:p>
        </w:tc>
      </w:tr>
    </w:tbl>
    <w:p w14:paraId="41E27107" w14:textId="77777777" w:rsidR="002A35B3" w:rsidRDefault="002A35B3">
      <w:pPr>
        <w:pStyle w:val="Heading3"/>
        <w:sectPr w:rsidR="002A35B3">
          <w:headerReference w:type="even" r:id="rId13"/>
          <w:headerReference w:type="default" r:id="rId14"/>
          <w:headerReference w:type="first" r:id="rId15"/>
          <w:pgSz w:w="11906" w:h="16838"/>
          <w:pgMar w:top="1418" w:right="1134" w:bottom="1134" w:left="1134" w:header="709" w:footer="680" w:gutter="0"/>
          <w:pgNumType w:start="1"/>
          <w:cols w:space="720"/>
          <w:titlePg/>
        </w:sectPr>
      </w:pPr>
    </w:p>
    <w:p w14:paraId="2716F94E" w14:textId="77777777" w:rsidR="002A35B3" w:rsidRPr="005E14AC" w:rsidRDefault="009F38BC" w:rsidP="005E14AC">
      <w:pPr>
        <w:pStyle w:val="Heading3"/>
        <w:rPr>
          <w:rFonts w:asciiTheme="minorBidi" w:hAnsiTheme="minorBidi" w:cstheme="minorBidi"/>
        </w:rPr>
      </w:pPr>
      <w:r>
        <w:rPr>
          <w:rFonts w:asciiTheme="minorBidi" w:hAnsiTheme="minorBidi" w:cstheme="minorBidi"/>
          <w:bCs/>
          <w:lang w:val="ru"/>
        </w:rPr>
        <w:lastRenderedPageBreak/>
        <w:t>Введение</w:t>
      </w:r>
    </w:p>
    <w:p w14:paraId="3766DE0F" w14:textId="54FF9C4A" w:rsidR="002A35B3" w:rsidRPr="005E14AC" w:rsidRDefault="009F38BC" w:rsidP="00143487">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ru"/>
        </w:rPr>
        <w:t xml:space="preserve">В 2015 году государства-члены Организации Объединенных Наций приняли Повестку дня на период до 2030 года и ряд Целей устойчивого развития (ЦУР), включая отдельную цель, касающуюся океана (ЦУР 14), в которой содержится призыв к «сохранению и рациональному использованию океанов, морей и морских ресурсов в целях устойчивого развития». Данная цель является важнейшим ориентиром для взаимодействия МОК с государствами-членами, а также для осуществления ее программ на глобальном, региональном и страновом уровнях. </w:t>
      </w:r>
    </w:p>
    <w:p w14:paraId="0061AC30" w14:textId="393089E8" w:rsidR="002A35B3" w:rsidRPr="005E14AC" w:rsidRDefault="009F38BC" w:rsidP="00143487">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ru"/>
        </w:rPr>
        <w:t>В решении</w:t>
      </w:r>
      <w:hyperlink r:id="rId16" w:history="1">
        <w:r>
          <w:rPr>
            <w:rFonts w:asciiTheme="minorBidi" w:hAnsiTheme="minorBidi" w:cstheme="minorBidi"/>
            <w:lang w:val="ru"/>
          </w:rPr>
          <w:t xml:space="preserve"> </w:t>
        </w:r>
      </w:hyperlink>
      <w:hyperlink r:id="rId17" w:history="1">
        <w:r>
          <w:rPr>
            <w:rFonts w:asciiTheme="minorBidi" w:hAnsiTheme="minorBidi" w:cstheme="minorBidi"/>
            <w:lang w:val="ru"/>
          </w:rPr>
          <w:t>EC-XLIX/4.1</w:t>
        </w:r>
      </w:hyperlink>
      <w:r>
        <w:rPr>
          <w:rFonts w:asciiTheme="minorBidi" w:hAnsiTheme="minorBidi" w:cstheme="minorBidi"/>
          <w:lang w:val="ru"/>
        </w:rPr>
        <w:t xml:space="preserve"> Исполнительный совет МОК на своей 49-й сессии постановил, что МОК следует обеспечить «оказание странам нормативной поддержки, связанной с разработкой, осуществлением, мониторингом выполнения и представлением отчетности в отношении мер, направленных на достижение ЦУР 14, касающейся океана, и связанных с ней задач».</w:t>
      </w:r>
    </w:p>
    <w:p w14:paraId="3E174C88" w14:textId="162766A5" w:rsidR="002A35B3" w:rsidRPr="005E14AC" w:rsidRDefault="009F38BC" w:rsidP="00143487">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ru"/>
        </w:rPr>
        <w:t>6 марта 2015 года Статистическая комиссия ООН (UNStats) на своей 46-й сессии учредила Межучрежденческую экспертную группу по показателям достижения ЦУР (МЭГ-ЦУР) в составе государств-членов в целях (i) разработки системы показателей для мониторинга и обзора деятельности по осуществлению целей и задач Повестки дня на период до 2030 года на глобальном уровне; (ii) оказания технической поддержки внедрению утвержденной системы показателей и мониторинга в течение 15-летнего периода до 2030 года; (iii) регулярного обзора методологических разработок и вопросов, касающихся показателей и относящихся к ним метаданных.</w:t>
      </w:r>
    </w:p>
    <w:p w14:paraId="1EDFE5DC" w14:textId="009987DC" w:rsidR="002A35B3" w:rsidRPr="005E14AC" w:rsidRDefault="009F38BC" w:rsidP="001A56A5">
      <w:pPr>
        <w:numPr>
          <w:ilvl w:val="0"/>
          <w:numId w:val="4"/>
        </w:numPr>
        <w:tabs>
          <w:tab w:val="clear" w:pos="567"/>
          <w:tab w:val="left" w:pos="709"/>
        </w:tabs>
        <w:spacing w:after="120"/>
        <w:jc w:val="both"/>
        <w:rPr>
          <w:rFonts w:asciiTheme="minorBidi" w:hAnsiTheme="minorBidi" w:cstheme="minorBidi"/>
        </w:rPr>
      </w:pPr>
      <w:r>
        <w:rPr>
          <w:rFonts w:asciiTheme="minorBidi" w:hAnsiTheme="minorBidi" w:cstheme="minorBidi"/>
          <w:lang w:val="ru"/>
        </w:rPr>
        <w:t xml:space="preserve">В 2016 году МЭГ-ЦУР согласовала перечень показателей по всем ЦУР, который был утвержден Статистической комиссией ООН. МОК была назначена курирующим учреждением по двум задачам ЦУР 14 и соответствующим показателям: закисление океана </w:t>
      </w:r>
      <w:hyperlink r:id="rId18" w:history="1">
        <w:r>
          <w:rPr>
            <w:rFonts w:asciiTheme="minorBidi" w:hAnsiTheme="minorBidi" w:cstheme="minorBidi"/>
            <w:lang w:val="ru"/>
          </w:rPr>
          <w:t>(задача 14.3</w:t>
        </w:r>
      </w:hyperlink>
      <w:r>
        <w:rPr>
          <w:rFonts w:asciiTheme="minorBidi" w:hAnsiTheme="minorBidi" w:cstheme="minorBidi"/>
          <w:lang w:val="ru"/>
        </w:rPr>
        <w:t xml:space="preserve">) и морские научные исследования </w:t>
      </w:r>
      <w:hyperlink r:id="rId19" w:history="1">
        <w:r>
          <w:rPr>
            <w:rFonts w:asciiTheme="minorBidi" w:hAnsiTheme="minorBidi" w:cstheme="minorBidi"/>
            <w:lang w:val="ru"/>
          </w:rPr>
          <w:t>(задача 14.a</w:t>
        </w:r>
      </w:hyperlink>
      <w:r>
        <w:rPr>
          <w:rFonts w:asciiTheme="minorBidi" w:hAnsiTheme="minorBidi" w:cstheme="minorBidi"/>
          <w:lang w:val="ru"/>
        </w:rPr>
        <w:t>). Кроме того, была создана</w:t>
      </w:r>
      <w:hyperlink r:id="rId20" w:history="1">
        <w:r>
          <w:rPr>
            <w:rFonts w:asciiTheme="minorBidi" w:hAnsiTheme="minorBidi" w:cstheme="minorBidi"/>
            <w:lang w:val="ru"/>
          </w:rPr>
          <w:t xml:space="preserve"> </w:t>
        </w:r>
      </w:hyperlink>
      <w:hyperlink r:id="rId21" w:history="1">
        <w:r>
          <w:rPr>
            <w:rFonts w:asciiTheme="minorBidi" w:hAnsiTheme="minorBidi" w:cstheme="minorBidi"/>
            <w:lang w:val="ru"/>
          </w:rPr>
          <w:t>разноуровневая классификация</w:t>
        </w:r>
      </w:hyperlink>
      <w:r>
        <w:rPr>
          <w:rFonts w:asciiTheme="minorBidi" w:hAnsiTheme="minorBidi" w:cstheme="minorBidi"/>
          <w:lang w:val="ru"/>
        </w:rPr>
        <w:t xml:space="preserve"> показателей ЦУР для оценки степени выполнимости каждого из них: от уровня III (отсутствие международно установленной методологии), уровня II (при наличии концептуально четко оформленного показателя, согласованной на международном уровне методологии и стандартов, регулярный сбор данных отсутствует) до уровня I (концептуально четко оформленный показатель, характеризующийся наличием согласованной на международном уровне методологии и регулярным сбором данных по не менее чем 50% стран). МОК курирует достижение двух следующих показателей:</w:t>
      </w:r>
    </w:p>
    <w:p w14:paraId="0E81F2BB" w14:textId="77777777" w:rsidR="002A35B3" w:rsidRPr="005E14AC" w:rsidRDefault="009F38BC" w:rsidP="001A56A5">
      <w:pPr>
        <w:numPr>
          <w:ilvl w:val="0"/>
          <w:numId w:val="1"/>
        </w:numPr>
        <w:tabs>
          <w:tab w:val="left" w:pos="709"/>
        </w:tabs>
        <w:spacing w:after="120"/>
        <w:rPr>
          <w:rFonts w:asciiTheme="minorBidi" w:hAnsiTheme="minorBidi" w:cstheme="minorBidi"/>
        </w:rPr>
      </w:pPr>
      <w:r>
        <w:rPr>
          <w:rFonts w:asciiTheme="minorBidi" w:hAnsiTheme="minorBidi" w:cstheme="minorBidi"/>
          <w:lang w:val="ru"/>
        </w:rPr>
        <w:t>Показатель по задаче 14.a.1: Доля бюджетных ассигнований на научные исследования в области морских технологий в общем объеме бюджетных ассигнований на научные исследования.</w:t>
      </w:r>
    </w:p>
    <w:p w14:paraId="2A49A030" w14:textId="77777777" w:rsidR="002A35B3" w:rsidRPr="005E14AC" w:rsidRDefault="009F38BC" w:rsidP="001A56A5">
      <w:pPr>
        <w:numPr>
          <w:ilvl w:val="0"/>
          <w:numId w:val="1"/>
        </w:numPr>
        <w:tabs>
          <w:tab w:val="left" w:pos="709"/>
        </w:tabs>
        <w:spacing w:after="200"/>
        <w:rPr>
          <w:rFonts w:asciiTheme="minorBidi" w:hAnsiTheme="minorBidi" w:cstheme="minorBidi"/>
        </w:rPr>
      </w:pPr>
      <w:r>
        <w:rPr>
          <w:rFonts w:asciiTheme="minorBidi" w:hAnsiTheme="minorBidi" w:cstheme="minorBidi"/>
          <w:lang w:val="ru"/>
        </w:rPr>
        <w:t>Показатель по задаче 14.3.1: Средняя кислотность (pH) морской воды, измеряемая согласованной группой репрезентативных станций отбора проб.</w:t>
      </w:r>
    </w:p>
    <w:p w14:paraId="65932A60" w14:textId="77777777" w:rsidR="002A35B3" w:rsidRPr="005E14AC" w:rsidRDefault="009F38BC" w:rsidP="001A56A5">
      <w:pPr>
        <w:numPr>
          <w:ilvl w:val="0"/>
          <w:numId w:val="4"/>
        </w:numPr>
        <w:tabs>
          <w:tab w:val="clear" w:pos="567"/>
          <w:tab w:val="left" w:pos="709"/>
        </w:tabs>
        <w:spacing w:after="120"/>
        <w:jc w:val="both"/>
        <w:rPr>
          <w:rFonts w:asciiTheme="minorBidi" w:hAnsiTheme="minorBidi" w:cstheme="minorBidi"/>
        </w:rPr>
      </w:pPr>
      <w:r>
        <w:rPr>
          <w:rFonts w:asciiTheme="minorBidi" w:hAnsiTheme="minorBidi" w:cstheme="minorBidi"/>
          <w:lang w:val="ru"/>
        </w:rPr>
        <w:t>МОК также назначена учреждением технической поддержки по показателям для двух дополнительных задач ЦУР 14, а именно задачи 14.1, касающейся загрязнения морской среды, и задачи 14.2, касающейся морских и прибрежных экосистем, курирование которых возложено на Программу ООН по окружающей среде. Для этих двух задач используются следующие показатели:</w:t>
      </w:r>
    </w:p>
    <w:p w14:paraId="59CD9604" w14:textId="77777777" w:rsidR="002A35B3" w:rsidRPr="005E14AC" w:rsidRDefault="009F38BC" w:rsidP="001A56A5">
      <w:pPr>
        <w:numPr>
          <w:ilvl w:val="0"/>
          <w:numId w:val="3"/>
        </w:numPr>
        <w:tabs>
          <w:tab w:val="left" w:pos="709"/>
        </w:tabs>
        <w:spacing w:after="120"/>
        <w:rPr>
          <w:rFonts w:asciiTheme="minorBidi" w:hAnsiTheme="minorBidi" w:cstheme="minorBidi"/>
        </w:rPr>
      </w:pPr>
      <w:r>
        <w:rPr>
          <w:rFonts w:asciiTheme="minorBidi" w:hAnsiTheme="minorBidi" w:cstheme="minorBidi"/>
          <w:lang w:val="ru"/>
        </w:rPr>
        <w:t>Показатель по задаче 14.1.1: Индекс прибрежной эвтрофикации и плотность плавающего лома пластмасс.</w:t>
      </w:r>
    </w:p>
    <w:p w14:paraId="3F00FBEF" w14:textId="1182A00C" w:rsidR="002A35B3" w:rsidRPr="005E14AC" w:rsidRDefault="009F38BC" w:rsidP="001A56A5">
      <w:pPr>
        <w:numPr>
          <w:ilvl w:val="0"/>
          <w:numId w:val="3"/>
        </w:numPr>
        <w:tabs>
          <w:tab w:val="left" w:pos="709"/>
        </w:tabs>
        <w:spacing w:after="240"/>
        <w:ind w:left="1434" w:hanging="357"/>
        <w:rPr>
          <w:rFonts w:asciiTheme="minorBidi" w:hAnsiTheme="minorBidi" w:cstheme="minorBidi"/>
        </w:rPr>
      </w:pPr>
      <w:r>
        <w:rPr>
          <w:rFonts w:asciiTheme="minorBidi" w:hAnsiTheme="minorBidi" w:cstheme="minorBidi"/>
          <w:lang w:val="ru"/>
        </w:rPr>
        <w:t xml:space="preserve">Показатель по задаче 14.2.1: </w:t>
      </w:r>
      <w:r>
        <w:rPr>
          <w:rFonts w:asciiTheme="minorBidi" w:hAnsiTheme="minorBidi" w:cstheme="minorBidi"/>
          <w:color w:val="000000"/>
          <w:lang w:val="ru"/>
        </w:rPr>
        <w:t>Количество стран, использующих экосистемные подходы к управлению морскими территориями</w:t>
      </w:r>
    </w:p>
    <w:p w14:paraId="06DA06DD" w14:textId="1CFDB414" w:rsidR="002A35B3" w:rsidRPr="005E14AC" w:rsidRDefault="009F38BC" w:rsidP="00143487">
      <w:pPr>
        <w:pStyle w:val="Heading3"/>
        <w:rPr>
          <w:rFonts w:asciiTheme="minorBidi" w:hAnsiTheme="minorBidi" w:cstheme="minorBidi"/>
        </w:rPr>
      </w:pPr>
      <w:r>
        <w:rPr>
          <w:rFonts w:asciiTheme="minorBidi" w:hAnsiTheme="minorBidi" w:cstheme="minorBidi"/>
          <w:bCs/>
          <w:lang w:val="ru"/>
        </w:rPr>
        <w:lastRenderedPageBreak/>
        <w:t xml:space="preserve">Ход разработки методологий под патронатом МОК </w:t>
      </w:r>
      <w:r>
        <w:rPr>
          <w:rFonts w:asciiTheme="minorBidi" w:hAnsiTheme="minorBidi" w:cstheme="minorBidi"/>
          <w:b w:val="0"/>
          <w:lang w:val="ru"/>
        </w:rPr>
        <w:br/>
      </w:r>
      <w:r>
        <w:rPr>
          <w:rFonts w:asciiTheme="minorBidi" w:hAnsiTheme="minorBidi" w:cstheme="minorBidi"/>
          <w:bCs/>
          <w:lang w:val="ru"/>
        </w:rPr>
        <w:t>(Показатели по задачам 14.a.1 и 14.3.1)</w:t>
      </w:r>
    </w:p>
    <w:p w14:paraId="1AAC08A4" w14:textId="572F016B" w:rsidR="002A35B3" w:rsidRPr="005E14AC" w:rsidRDefault="009F38BC" w:rsidP="001A56A5">
      <w:pPr>
        <w:keepNext/>
        <w:tabs>
          <w:tab w:val="left" w:pos="709"/>
        </w:tabs>
        <w:spacing w:after="240"/>
        <w:rPr>
          <w:rFonts w:asciiTheme="minorBidi" w:hAnsiTheme="minorBidi" w:cstheme="minorBidi"/>
          <w:i/>
          <w:iCs/>
          <w:u w:val="single"/>
        </w:rPr>
      </w:pPr>
      <w:r>
        <w:rPr>
          <w:lang w:val="ru"/>
        </w:rPr>
        <w:t xml:space="preserve">Оказываемая МОК техническая поддержка предусматривает разработку согласованной методологии для внедрения соответствующих показателей ЦУР с данными и основополагающих стандартов данных с целью сбора данных от государств-членов и их представления Статистическому отделу ООН на глобальном уровне. По каждому показателю в методологии содержится следующая информация: определения, методика отбора проб, руководящие принципы оценки, контроль качества данных, анализ данных, наглядное представление данных и принципы отчетности. </w:t>
      </w:r>
      <w:r>
        <w:rPr>
          <w:rFonts w:asciiTheme="minorBidi" w:hAnsiTheme="minorBidi"/>
          <w:b/>
          <w:bCs/>
          <w:i/>
          <w:iCs/>
          <w:u w:val="single"/>
          <w:lang w:val="ru"/>
        </w:rPr>
        <w:t>Показатель по задаче 14.3.1</w:t>
      </w:r>
      <w:r>
        <w:rPr>
          <w:rFonts w:asciiTheme="minorBidi" w:hAnsiTheme="minorBidi"/>
          <w:i/>
          <w:iCs/>
          <w:lang w:val="ru"/>
        </w:rPr>
        <w:t xml:space="preserve">: </w:t>
      </w:r>
      <w:r>
        <w:rPr>
          <w:rFonts w:asciiTheme="minorBidi" w:hAnsiTheme="minorBidi"/>
          <w:i/>
          <w:iCs/>
          <w:u w:val="single"/>
          <w:lang w:val="ru"/>
        </w:rPr>
        <w:t>Средняя кислотность (pH) морской воды, измеряемая согласованной группой</w:t>
      </w:r>
      <w:r>
        <w:rPr>
          <w:lang w:val="ru"/>
        </w:rPr>
        <w:br/>
      </w:r>
      <w:r>
        <w:rPr>
          <w:rFonts w:asciiTheme="minorBidi" w:hAnsiTheme="minorBidi"/>
          <w:i/>
          <w:iCs/>
          <w:u w:val="single"/>
          <w:lang w:val="ru"/>
        </w:rPr>
        <w:t>репрезентативных станций отбора проб</w:t>
      </w:r>
    </w:p>
    <w:p w14:paraId="54D44408" w14:textId="77777777"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ru"/>
        </w:rPr>
        <w:t xml:space="preserve">МОК разработала методологию для показателя по задаче 14.3.1 и в настоящее время собирает соответствующие данные от государств-членов и направляет ежегодные отчеты в ООН. </w:t>
      </w:r>
      <w:hyperlink r:id="rId22" w:history="1">
        <w:r>
          <w:rPr>
            <w:rFonts w:asciiTheme="minorBidi" w:hAnsiTheme="minorBidi" w:cstheme="minorBidi"/>
            <w:lang w:val="ru"/>
          </w:rPr>
          <w:t xml:space="preserve"> </w:t>
        </w:r>
      </w:hyperlink>
      <w:hyperlink r:id="rId23" w:history="1">
        <w:r>
          <w:rPr>
            <w:rFonts w:asciiTheme="minorBidi" w:hAnsiTheme="minorBidi" w:cstheme="minorBidi"/>
            <w:color w:val="1155CC"/>
            <w:u w:val="single"/>
            <w:lang w:val="ru"/>
          </w:rPr>
          <w:t>Методология для показателя по задаче 14.3.1</w:t>
        </w:r>
      </w:hyperlink>
      <w:r>
        <w:rPr>
          <w:rFonts w:asciiTheme="minorBidi" w:hAnsiTheme="minorBidi" w:cstheme="minorBidi"/>
          <w:lang w:val="ru"/>
        </w:rPr>
        <w:t xml:space="preserve"> содержит необходимые указания по проведению наблюдений за закислением океана с использованием различных типов технологий и измерением различных переменных, включая pH, парциальное давление углекислого газа [</w:t>
      </w:r>
      <w:r>
        <w:rPr>
          <w:rFonts w:asciiTheme="minorBidi" w:hAnsiTheme="minorBidi" w:cstheme="minorBidi"/>
          <w:i/>
          <w:iCs/>
          <w:lang w:val="ru"/>
        </w:rPr>
        <w:t>p</w:t>
      </w:r>
      <w:r>
        <w:rPr>
          <w:rFonts w:asciiTheme="minorBidi" w:hAnsiTheme="minorBidi" w:cstheme="minorBidi"/>
          <w:lang w:val="ru"/>
        </w:rPr>
        <w:t>CO</w:t>
      </w:r>
      <w:r>
        <w:rPr>
          <w:rFonts w:asciiTheme="minorBidi" w:hAnsiTheme="minorBidi" w:cstheme="minorBidi"/>
          <w:vertAlign w:val="subscript"/>
          <w:lang w:val="ru"/>
        </w:rPr>
        <w:t>2</w:t>
      </w:r>
      <w:r>
        <w:rPr>
          <w:rFonts w:asciiTheme="minorBidi" w:hAnsiTheme="minorBidi" w:cstheme="minorBidi"/>
          <w:lang w:val="ru"/>
        </w:rPr>
        <w:t xml:space="preserve">], общее количество растворенного неорганического углерода [CT/DIC] и общую щелочность [AT/TA], а также соленость и температуру. Она также оказывает поддержку в отношении того, как и какие наборы данных должны быть представлены в МОК, чтобы обеспечить производство контролируемых по качеству глобальных и, возможно, региональных продуктов в соответствии с просьбой Межучрежденческой экспертной группы по показателям достижения ЦУР (см. </w:t>
      </w:r>
      <w:hyperlink r:id="rId24" w:history="1">
        <w:r>
          <w:rPr>
            <w:rFonts w:asciiTheme="minorBidi" w:hAnsiTheme="minorBidi" w:cstheme="minorBidi"/>
            <w:color w:val="1155CC"/>
            <w:u w:val="single"/>
            <w:lang w:val="ru"/>
          </w:rPr>
          <w:t>https://unstats.un.org/sdgs/iaeg-sdgs/</w:t>
        </w:r>
      </w:hyperlink>
      <w:r>
        <w:rPr>
          <w:rFonts w:asciiTheme="minorBidi" w:hAnsiTheme="minorBidi" w:cstheme="minorBidi"/>
          <w:lang w:val="ru"/>
        </w:rPr>
        <w:t>). Методология была разработана в сотрудничестве с Программой МОК по международному обмену океанографическими данными и информацией (МООД), международными экспертами в области закисления океана (включая руководителей информационных ресурсов) и Глобальной сетью наблюдений за закислением океана (ГСН-ЗО).</w:t>
      </w:r>
    </w:p>
    <w:p w14:paraId="6E42D98B" w14:textId="3A22EF4E"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ru"/>
        </w:rPr>
        <w:t>В июле 2018 года Исполнительный совет МОК на своей 51-й сессии одобрил методологию (</w:t>
      </w:r>
      <w:hyperlink r:id="rId25" w:history="1">
        <w:r>
          <w:rPr>
            <w:rFonts w:asciiTheme="minorBidi" w:hAnsiTheme="minorBidi" w:cstheme="minorBidi"/>
            <w:color w:val="1155CC"/>
            <w:u w:val="single"/>
            <w:lang w:val="ru"/>
          </w:rPr>
          <w:t>IOC/EC-LI/2 Annex 6 rev.</w:t>
        </w:r>
      </w:hyperlink>
      <w:r>
        <w:rPr>
          <w:rFonts w:asciiTheme="minorBidi" w:hAnsiTheme="minorBidi" w:cstheme="minorBidi"/>
          <w:lang w:val="ru"/>
        </w:rPr>
        <w:t>), и после повышения уровня до уровня II, присвоенного МЭГ-ЦУР в ноябре 2018 года, показатель теперь соответствует категории: «при наличии концептуально четко оформленного показателя, согласованной на международном уровне методологии и стандартов, регулярный сбор данных отсутствует».</w:t>
      </w:r>
    </w:p>
    <w:p w14:paraId="15A0A641" w14:textId="084AEA4E"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ru"/>
        </w:rPr>
        <w:t>В своих циркулярных письмах МОК с 2019 года предлагает государствам-членам МОК и экспертам в соответствующих странах, а также национальным центрам океанографических данных (НЦОД) внести свой вклад в сбор данных для задачи 14.3.1.</w:t>
      </w:r>
    </w:p>
    <w:p w14:paraId="4F16CFB9" w14:textId="77777777"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ru"/>
        </w:rPr>
        <w:t>Государствам-членам МОК настоятельно рекомендуется представить соответствующие данные по показателю по задаче 14.3.1. Представленные данные должны быть подтверждены как «национальные данные, представленные государствами-членами МОК». Все представленные данные должны соответствовать инструкциям и рекомендациям, изложенным в методологии, и соответствовать формату соответствующих файлов данных и метаданных.</w:t>
      </w:r>
    </w:p>
    <w:p w14:paraId="392BCA51" w14:textId="24418184"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ru"/>
        </w:rPr>
        <w:t>Для облегчения представления данных МОК в сотрудничестве с МООД разработала интернет-портал (</w:t>
      </w:r>
      <w:hyperlink r:id="rId26" w:history="1">
        <w:r>
          <w:rPr>
            <w:rFonts w:asciiTheme="minorBidi" w:hAnsiTheme="minorBidi" w:cstheme="minorBidi"/>
            <w:color w:val="1155CC"/>
            <w:u w:val="single"/>
            <w:lang w:val="ru"/>
          </w:rPr>
          <w:t>https://oa.iode.org/</w:t>
        </w:r>
      </w:hyperlink>
      <w:r>
        <w:rPr>
          <w:rFonts w:asciiTheme="minorBidi" w:hAnsiTheme="minorBidi" w:cstheme="minorBidi"/>
          <w:lang w:val="ru"/>
        </w:rPr>
        <w:t>) на основе методологии для показателя по задаче 14.3.1 и соответствующих файлов данных и метаданных. Интернет-интерфейс представления данных позволяет загружать заполненные файлы данных и метаданных, а также некоторую дополнительную информацию. Поощряется открытый доступ к данным. Предполагается, что данные и метаданные будут передаваться и использоваться по одной из трех лицензий Creative Common. Процедура подачи данных через портал включает в себя подробную информацию, объясняющую и описывающую все представленные выше шаги.</w:t>
      </w:r>
    </w:p>
    <w:p w14:paraId="5FFD64A8" w14:textId="77777777"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ru"/>
        </w:rPr>
        <w:t xml:space="preserve">Секретариат МОК продолжает тесно сотрудничать с руководителями информационных ресурсов и представителями национальных и международных баз данных, содержащих данные о химии карбонатов океана, относящиеся к задаче 14.3.1, для дальнейшего улучшения и упрощения процесса сбора данных путем внедрения объединенной системы данных, объединяющей базы данных и позволяющей осуществлять автоматизированный обмен соответствующими наборами данных. Ожидается, что система будет введена в действие к следующему запросу о представлении данных для показателя по задаче 14.3.1 в конце 2023 года. </w:t>
      </w:r>
    </w:p>
    <w:p w14:paraId="56EFA741" w14:textId="5E245F9C" w:rsidR="00A843DD" w:rsidRDefault="00C25041">
      <w:pPr>
        <w:pStyle w:val="ListParagraph"/>
        <w:numPr>
          <w:ilvl w:val="0"/>
          <w:numId w:val="4"/>
        </w:numPr>
        <w:tabs>
          <w:tab w:val="clear" w:pos="567"/>
          <w:tab w:val="left" w:pos="709"/>
        </w:tabs>
        <w:spacing w:after="240"/>
        <w:contextualSpacing w:val="0"/>
        <w:jc w:val="both"/>
        <w:rPr>
          <w:rFonts w:asciiTheme="minorBidi" w:hAnsiTheme="minorBidi" w:cstheme="minorBidi"/>
        </w:rPr>
      </w:pPr>
      <w:r>
        <w:rPr>
          <w:rFonts w:asciiTheme="minorBidi" w:hAnsiTheme="minorBidi" w:cstheme="minorBidi"/>
          <w:highlight w:val="white"/>
          <w:lang w:val="ru"/>
        </w:rPr>
        <w:t xml:space="preserve">С 2019 года информация, предоставляемая на </w:t>
      </w:r>
      <w:hyperlink r:id="rId27" w:history="1">
        <w:r>
          <w:rPr>
            <w:rFonts w:asciiTheme="minorBidi" w:hAnsiTheme="minorBidi" w:cstheme="minorBidi"/>
            <w:color w:val="1155CC"/>
            <w:highlight w:val="white"/>
            <w:u w:val="single"/>
            <w:lang w:val="ru"/>
          </w:rPr>
          <w:t>портале данных по задаче 14.3.1,</w:t>
        </w:r>
      </w:hyperlink>
      <w:r>
        <w:rPr>
          <w:rFonts w:asciiTheme="minorBidi" w:hAnsiTheme="minorBidi" w:cstheme="minorBidi"/>
          <w:highlight w:val="white"/>
          <w:lang w:val="ru"/>
        </w:rPr>
        <w:t xml:space="preserve"> использовалась для ежегодного (каждый февраль) представления в офис Генерального секретаря О</w:t>
      </w:r>
      <w:r>
        <w:rPr>
          <w:rFonts w:asciiTheme="minorBidi" w:hAnsiTheme="minorBidi" w:cstheme="minorBidi"/>
          <w:lang w:val="ru"/>
        </w:rPr>
        <w:t xml:space="preserve">ОН в целях публикации в июле того же года. Данные, представленные в отношении показателя задачи 14.3.1, также ежегодно публикуются в Отчете о Целях устойчивого развития. С момента запуска портала данных по задаче 14.3.1 ЦУР в декабре 2019 года все большее число наблюдений за закислением океана поступает в МОК и включается в ежегодную оценку выполнения задачи 14.3.1 (в 2022 году сообщалось о 308 станциях в 35 странах, а в 2023 году — о 539 станциях в 41 стране). Однако нынешний глобальный охват проблемы закисления океана остается недостаточным, имеются пробелы в наблюдениях и данных во всех районах океана. Скорость изменения закисления океана, его характер и масштабы сильно варьируются от региона к региону и поэтому требуют наблюдений с высоким пространственным и временным разрешением. </w:t>
      </w:r>
    </w:p>
    <w:p w14:paraId="2EA35565" w14:textId="7B8CB982" w:rsidR="002A35B3" w:rsidRPr="001A56A5" w:rsidRDefault="003D287C" w:rsidP="001A56A5">
      <w:pPr>
        <w:pStyle w:val="ListParagraph"/>
        <w:numPr>
          <w:ilvl w:val="0"/>
          <w:numId w:val="4"/>
        </w:numPr>
        <w:tabs>
          <w:tab w:val="clear" w:pos="567"/>
          <w:tab w:val="left" w:pos="709"/>
        </w:tabs>
        <w:spacing w:after="240"/>
        <w:contextualSpacing w:val="0"/>
        <w:jc w:val="both"/>
        <w:rPr>
          <w:rFonts w:asciiTheme="minorBidi" w:hAnsiTheme="minorBidi" w:cstheme="minorBidi"/>
        </w:rPr>
      </w:pPr>
      <w:r>
        <w:rPr>
          <w:rFonts w:asciiTheme="minorBidi" w:hAnsiTheme="minorBidi" w:cstheme="minorBidi"/>
          <w:lang w:val="ru"/>
        </w:rPr>
        <w:t xml:space="preserve">МОК также использует последние результаты и данные, собранные по показателю по задаче 14.3.1 для главы о закислении океана, в ежегодный Доклад </w:t>
      </w:r>
      <w:r>
        <w:rPr>
          <w:rFonts w:asciiTheme="minorBidi" w:hAnsiTheme="minorBidi" w:cstheme="minorBidi"/>
          <w:i/>
          <w:iCs/>
          <w:lang w:val="ru"/>
        </w:rPr>
        <w:t>Всемирной метеорологической организации (ВМО)</w:t>
      </w:r>
      <w:r>
        <w:rPr>
          <w:rFonts w:asciiTheme="minorBidi" w:hAnsiTheme="minorBidi" w:cstheme="minorBidi"/>
          <w:lang w:val="ru"/>
        </w:rPr>
        <w:t xml:space="preserve"> </w:t>
      </w:r>
      <w:r>
        <w:rPr>
          <w:rFonts w:asciiTheme="minorBidi" w:hAnsiTheme="minorBidi" w:cstheme="minorBidi"/>
          <w:i/>
          <w:iCs/>
          <w:lang w:val="ru"/>
        </w:rPr>
        <w:t>о состоянии глобального климата</w:t>
      </w:r>
      <w:r>
        <w:rPr>
          <w:rFonts w:asciiTheme="minorBidi" w:hAnsiTheme="minorBidi" w:cstheme="minorBidi"/>
          <w:lang w:val="ru"/>
        </w:rPr>
        <w:t xml:space="preserve">. Этот доклад информирует Конференцию сторон Рамочной конвенции ООН об изменении климата (РКИК ООН) и </w:t>
      </w:r>
      <w:r>
        <w:rPr>
          <w:rFonts w:asciiTheme="minorBidi" w:hAnsiTheme="minorBidi" w:cstheme="minorBidi"/>
          <w:i/>
          <w:iCs/>
          <w:lang w:val="ru"/>
        </w:rPr>
        <w:t>Доклад МОК о состоянии Мирового океана</w:t>
      </w:r>
      <w:r>
        <w:rPr>
          <w:rFonts w:asciiTheme="minorBidi" w:hAnsiTheme="minorBidi" w:cstheme="minorBidi"/>
          <w:lang w:val="ru"/>
        </w:rPr>
        <w:t>.</w:t>
      </w:r>
    </w:p>
    <w:p w14:paraId="4B0FC687" w14:textId="6EA04C65" w:rsidR="002A35B3" w:rsidRPr="005E14AC" w:rsidRDefault="009F38BC" w:rsidP="001A56A5">
      <w:pPr>
        <w:keepNext/>
        <w:tabs>
          <w:tab w:val="left" w:pos="709"/>
        </w:tabs>
        <w:spacing w:after="240"/>
        <w:rPr>
          <w:rFonts w:asciiTheme="minorBidi" w:hAnsiTheme="minorBidi" w:cstheme="minorBidi"/>
          <w:i/>
          <w:u w:val="single"/>
        </w:rPr>
      </w:pPr>
      <w:r>
        <w:rPr>
          <w:rFonts w:asciiTheme="minorBidi" w:hAnsiTheme="minorBidi" w:cstheme="minorBidi"/>
          <w:b/>
          <w:bCs/>
          <w:i/>
          <w:iCs/>
          <w:u w:val="single"/>
          <w:lang w:val="ru"/>
        </w:rPr>
        <w:t>Показатель задачи 14.a.1</w:t>
      </w:r>
      <w:r>
        <w:rPr>
          <w:rFonts w:asciiTheme="minorBidi" w:hAnsiTheme="minorBidi" w:cstheme="minorBidi"/>
          <w:i/>
          <w:iCs/>
          <w:u w:val="single"/>
          <w:lang w:val="ru"/>
        </w:rPr>
        <w:t>:</w:t>
      </w:r>
      <w:r>
        <w:rPr>
          <w:rFonts w:asciiTheme="minorBidi" w:hAnsiTheme="minorBidi" w:cstheme="minorBidi"/>
          <w:u w:val="single"/>
          <w:lang w:val="ru"/>
        </w:rPr>
        <w:t xml:space="preserve"> </w:t>
      </w:r>
      <w:r>
        <w:rPr>
          <w:rFonts w:asciiTheme="minorBidi" w:hAnsiTheme="minorBidi" w:cstheme="minorBidi"/>
          <w:i/>
          <w:iCs/>
          <w:u w:val="single"/>
          <w:lang w:val="ru"/>
        </w:rPr>
        <w:t xml:space="preserve">Доля бюджетных ассигнований на научные исследования в области морских </w:t>
      </w:r>
      <w:r>
        <w:rPr>
          <w:rFonts w:asciiTheme="minorBidi" w:hAnsiTheme="minorBidi" w:cstheme="minorBidi"/>
          <w:lang w:val="ru"/>
        </w:rPr>
        <w:br/>
      </w:r>
      <w:r>
        <w:rPr>
          <w:rFonts w:asciiTheme="minorBidi" w:hAnsiTheme="minorBidi" w:cstheme="minorBidi"/>
          <w:i/>
          <w:iCs/>
          <w:u w:val="single"/>
          <w:lang w:val="ru"/>
        </w:rPr>
        <w:t>технологий в общем объеме бюджетных ассигнований на научные исследования</w:t>
      </w:r>
    </w:p>
    <w:p w14:paraId="374003C8" w14:textId="325B7F05"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ru"/>
        </w:rPr>
        <w:t xml:space="preserve">В 2017 г. на основе опробованной в рамках Глобального доклада о состоянии океанографии методологии и в соответствии с решением XXIX/9.1 Ассамблея МОК приветствовала предлагаемую методологию для показателя по задаче 14.a.1. </w:t>
      </w:r>
    </w:p>
    <w:p w14:paraId="2DDDE839" w14:textId="264E5274"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ru"/>
        </w:rPr>
        <w:t xml:space="preserve">В июле 2018 года Исполнительный совет МОК в своем решении IOC/EC-LI/4.3 подтвердил важность </w:t>
      </w:r>
      <w:r>
        <w:rPr>
          <w:rFonts w:asciiTheme="minorBidi" w:hAnsiTheme="minorBidi" w:cstheme="minorBidi"/>
          <w:i/>
          <w:iCs/>
          <w:lang w:val="ru"/>
        </w:rPr>
        <w:t>Глобального доклада о состоянии океанографии</w:t>
      </w:r>
      <w:r>
        <w:rPr>
          <w:rFonts w:asciiTheme="minorBidi" w:hAnsiTheme="minorBidi" w:cstheme="minorBidi"/>
          <w:lang w:val="ru"/>
        </w:rPr>
        <w:t xml:space="preserve"> </w:t>
      </w:r>
      <w:r>
        <w:rPr>
          <w:rFonts w:asciiTheme="minorBidi" w:hAnsiTheme="minorBidi" w:cstheme="minorBidi"/>
          <w:i/>
          <w:iCs/>
          <w:lang w:val="ru"/>
        </w:rPr>
        <w:t>(ГДСО</w:t>
      </w:r>
      <w:r>
        <w:rPr>
          <w:rFonts w:asciiTheme="minorBidi" w:hAnsiTheme="minorBidi" w:cstheme="minorBidi"/>
          <w:lang w:val="ru"/>
        </w:rPr>
        <w:t xml:space="preserve">) в качестве основного механизма оценки прогресса в достижении задачи 14.а. Цели устойчивого развития (ЦУР) 14 (показатель 14.a.1) и признал, что инвестиции в науку об океане являются ключевым фактором развития устойчивой экономики океана, однако, поскольку следующее полное издание ГДСО, как ожидается, будет опубликовано в 2025 году, Секретариат МОК в сотрудничестве с Редакционным советом ГДСО-2020 циркулярным письмом </w:t>
      </w:r>
      <w:hyperlink r:id="rId28" w:history="1">
        <w:r>
          <w:rPr>
            <w:rStyle w:val="Hyperlink"/>
            <w:rFonts w:asciiTheme="minorBidi" w:hAnsiTheme="minorBidi" w:cstheme="minorBidi"/>
            <w:lang w:val="ru"/>
          </w:rPr>
          <w:t>2919</w:t>
        </w:r>
      </w:hyperlink>
      <w:r>
        <w:rPr>
          <w:rFonts w:asciiTheme="minorBidi" w:hAnsiTheme="minorBidi" w:cstheme="minorBidi"/>
          <w:lang w:val="ru"/>
        </w:rPr>
        <w:t xml:space="preserve"> запустил в январе 2023 года вопросник в рамках механизма отслеживания для Глобального доклада о состоянии океанографии (Механизм отслеживания ГДСО) для сбора базовой информации о текущем потенциале наук об океане в той или иной стране, включая данные по задаче 14.a.1. Обновленная информация, представленная в ДЭСВ ООН, включает данные 39 государств-членов и будет также опубликована в июле 2023 года. </w:t>
      </w:r>
    </w:p>
    <w:p w14:paraId="43F98898" w14:textId="736D8D76" w:rsidR="00F30D9F" w:rsidRDefault="009F38BC" w:rsidP="001A56A5">
      <w:pPr>
        <w:numPr>
          <w:ilvl w:val="0"/>
          <w:numId w:val="4"/>
        </w:numPr>
        <w:tabs>
          <w:tab w:val="clear" w:pos="567"/>
          <w:tab w:val="left" w:pos="709"/>
        </w:tabs>
        <w:spacing w:after="120"/>
        <w:jc w:val="both"/>
        <w:rPr>
          <w:rFonts w:asciiTheme="minorBidi" w:hAnsiTheme="minorBidi" w:cstheme="minorBidi"/>
        </w:rPr>
      </w:pPr>
      <w:r>
        <w:rPr>
          <w:rFonts w:asciiTheme="minorBidi" w:hAnsiTheme="minorBidi" w:cstheme="minorBidi"/>
          <w:lang w:val="ru"/>
        </w:rPr>
        <w:t xml:space="preserve">Представление задачи 14.a.1 на 2023 год завершается следующим заявлением: </w:t>
      </w:r>
    </w:p>
    <w:p w14:paraId="3522A102" w14:textId="47F06B26" w:rsidR="002A35B3" w:rsidRPr="005E14AC" w:rsidRDefault="009F38BC" w:rsidP="001A56A5">
      <w:pPr>
        <w:tabs>
          <w:tab w:val="clear" w:pos="567"/>
          <w:tab w:val="left" w:pos="709"/>
        </w:tabs>
        <w:spacing w:after="240"/>
        <w:ind w:left="714" w:right="721" w:hanging="5"/>
        <w:jc w:val="both"/>
        <w:rPr>
          <w:rFonts w:asciiTheme="minorBidi" w:hAnsiTheme="minorBidi" w:cstheme="minorBidi"/>
        </w:rPr>
      </w:pPr>
      <w:r>
        <w:rPr>
          <w:rFonts w:asciiTheme="minorBidi" w:hAnsiTheme="minorBidi" w:cstheme="minorBidi"/>
          <w:i/>
          <w:iCs/>
          <w:lang w:val="ru"/>
        </w:rPr>
        <w:t xml:space="preserve">В целом доля валовых внутренних расходов на исследования и разработки (ВРНИР), посвященные наукам об океане, заметно мала, учитывая, что океан покрывает более 70 % поверхности нашей планеты. В среднем всего 1,1 % национальных бюджетов на научные исследования выделяется на науки об океане, а процентная доля варьируется от 0,01 % до 9,5 %, причем самые крупные экономики инвестируют и самые большие абсолютные суммы. Тем не менее, бюджет на науки об океане продолжает составлять небольшую долю по сравнению со скромной оценкой вклада океана в мировую экономику в размере 1,5 трлн долларов США в 2010 году и 2,5 % мировой валовой добавленной стоимости... И хотя число стран, внесших свой вклад в оценку, колеблется год от года, можно констатировать, что бюджеты на науки об океане значительно варьировались с 2013 по 2021 годы в рамках отдельных стран. Самые низкие среднемировые показатели были зафиксированы в 2019 и 2020 годах, что может быть связано с изменением приоритетов, особенно в 2020 году, в частности, из-за глобального кризиса в сфере здравоохранения из-за COVID-19. Будущие оценки обеспечат необходимую информацию для проверки выявленных тенденций и соответствующих предположений в области финансирования наук об океане, а также воздействия Десятилетия ООН, посвященного науке об океане в интересах устойчивого развития. </w:t>
      </w:r>
    </w:p>
    <w:p w14:paraId="0C879C73" w14:textId="0CF1418E"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ru"/>
        </w:rPr>
        <w:t>Помимо представления задачи 14.a.1 в ДЭСВ ООН, полный анализ вопросника Механизма отслеживания ГДСО будет представлен в публикации Механизма отслеживания ГДСО, призванной предоставить основные актуальные цифры, например, человеческий и технический потенциал, в дополнение к некоторым предварительным оценкам воздействия COVID-19 на науки об океане.</w:t>
      </w:r>
    </w:p>
    <w:p w14:paraId="4989AFA2" w14:textId="77777777"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ru"/>
        </w:rPr>
        <w:t>Ожидается, что подготовка ГДСО-2025 начнется в третьем квартале 2023 года.</w:t>
      </w:r>
    </w:p>
    <w:p w14:paraId="6FCDF22B" w14:textId="6D4B7642" w:rsidR="002A35B3" w:rsidRPr="005E14AC" w:rsidRDefault="009F38BC" w:rsidP="001A56A5">
      <w:pPr>
        <w:pStyle w:val="Heading3"/>
        <w:keepLines w:val="0"/>
        <w:rPr>
          <w:rFonts w:asciiTheme="minorBidi" w:hAnsiTheme="minorBidi" w:cstheme="minorBidi"/>
        </w:rPr>
      </w:pPr>
      <w:r>
        <w:rPr>
          <w:rFonts w:asciiTheme="minorBidi" w:hAnsiTheme="minorBidi" w:cstheme="minorBidi"/>
          <w:bCs/>
          <w:lang w:val="ru"/>
        </w:rPr>
        <w:t xml:space="preserve">Ход разработки методологий, получающих </w:t>
      </w:r>
      <w:r>
        <w:rPr>
          <w:rFonts w:asciiTheme="minorBidi" w:hAnsiTheme="minorBidi" w:cstheme="minorBidi"/>
          <w:b w:val="0"/>
          <w:lang w:val="ru"/>
        </w:rPr>
        <w:br/>
      </w:r>
      <w:r>
        <w:rPr>
          <w:rFonts w:asciiTheme="minorBidi" w:hAnsiTheme="minorBidi" w:cstheme="minorBidi"/>
          <w:bCs/>
          <w:lang w:val="ru"/>
        </w:rPr>
        <w:t>техническую поддержку МОК (показатели по задачам 14.1.1 и 14.2.1)</w:t>
      </w:r>
    </w:p>
    <w:p w14:paraId="32A80A22" w14:textId="77777777" w:rsidR="002A35B3" w:rsidRPr="005E14AC" w:rsidRDefault="009F38BC" w:rsidP="001A56A5">
      <w:pPr>
        <w:keepNext/>
        <w:pBdr>
          <w:top w:val="nil"/>
          <w:left w:val="nil"/>
          <w:bottom w:val="nil"/>
          <w:right w:val="nil"/>
          <w:between w:val="nil"/>
        </w:pBdr>
        <w:tabs>
          <w:tab w:val="left" w:pos="709"/>
        </w:tabs>
        <w:spacing w:after="240"/>
        <w:jc w:val="both"/>
        <w:rPr>
          <w:rFonts w:asciiTheme="minorBidi" w:hAnsiTheme="minorBidi" w:cstheme="minorBidi"/>
          <w:i/>
          <w:u w:val="single"/>
        </w:rPr>
      </w:pPr>
      <w:r>
        <w:rPr>
          <w:rFonts w:asciiTheme="minorBidi" w:hAnsiTheme="minorBidi" w:cstheme="minorBidi"/>
          <w:b/>
          <w:bCs/>
          <w:i/>
          <w:iCs/>
          <w:u w:val="single"/>
          <w:lang w:val="ru"/>
        </w:rPr>
        <w:t xml:space="preserve">Показатель по задаче 14.1.1: </w:t>
      </w:r>
      <w:r>
        <w:rPr>
          <w:rFonts w:asciiTheme="minorBidi" w:hAnsiTheme="minorBidi" w:cstheme="minorBidi"/>
          <w:i/>
          <w:iCs/>
          <w:u w:val="single"/>
          <w:lang w:val="ru"/>
        </w:rPr>
        <w:t>И</w:t>
      </w:r>
      <w:r>
        <w:rPr>
          <w:rFonts w:asciiTheme="minorBidi" w:hAnsiTheme="minorBidi" w:cstheme="minorBidi"/>
          <w:i/>
          <w:iCs/>
          <w:lang w:val="ru"/>
        </w:rPr>
        <w:t>ндекс прибрежной эвтрофикации и плотность плавающего лома пластмасс</w:t>
      </w:r>
    </w:p>
    <w:p w14:paraId="739982BB" w14:textId="77777777"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ru"/>
        </w:rPr>
        <w:t>МОК назначена в качестве технического консультативного органа для поддержки работы по разработке Индекса потенциала эвтрофикации прибрежных зон (ИПЭП) в качестве показателя по задаче 14.1, касающейся загрязнения прибрежных морских экосистем питательными веществами.</w:t>
      </w:r>
    </w:p>
    <w:p w14:paraId="63392B9B" w14:textId="643C02D7"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ru"/>
        </w:rPr>
        <w:t>Разработка ИПЭП до следующего уровня осуществляется под руководством МОК, в то время как ЮНЕП выступает в качестве курирующего учреждения по показателю 14.1.1. Для реализации ИПЭП необходимо разработать компонент на базе модели растворенного кремнезема и оценить эффективность ИПЭП в прогнозировании воздействия на прибрежные зоны в глобальном масштабе. Для продвижения и углубления понимания потенциала ИПЭП как показателя, МОК в 2019 году подготовил анимацию для YouTube:</w:t>
      </w:r>
      <w:hyperlink r:id="rId29" w:history="1">
        <w:r>
          <w:rPr>
            <w:rFonts w:asciiTheme="minorBidi" w:hAnsiTheme="minorBidi" w:cstheme="minorBidi"/>
            <w:lang w:val="ru"/>
          </w:rPr>
          <w:t xml:space="preserve"> </w:t>
        </w:r>
      </w:hyperlink>
      <w:hyperlink r:id="rId30" w:history="1">
        <w:r>
          <w:rPr>
            <w:rStyle w:val="Hyperlink"/>
            <w:lang w:val="ru"/>
          </w:rPr>
          <w:t>https://youtu.be/qW2nV2bsyCs</w:t>
        </w:r>
      </w:hyperlink>
      <w:r>
        <w:rPr>
          <w:rFonts w:asciiTheme="minorBidi" w:hAnsiTheme="minorBidi" w:cstheme="minorBidi"/>
          <w:lang w:val="ru"/>
        </w:rPr>
        <w:t>. Подробный план работы был разработан Группой экспертов МОК по Программе исследований питательных веществ и их воздействия на прибрежную зону в 2017 году. Эта работа потребовала финансирования двух молодых ученых и проведения экспертного семинара для проверки моделей. Поиск источников финансирования оказался непростой задачей, но в конце 2021 года она была решена за счет объединения средств ЮНЕП в рамках соглашения между ООН, а также норвежского финансирования (НОРАД). Работы продолжаются и будут завершены во втором квартале 2024 года.</w:t>
      </w:r>
    </w:p>
    <w:p w14:paraId="234AB3E6" w14:textId="3B7CC7CE" w:rsidR="002A35B3" w:rsidRPr="001A56A5" w:rsidRDefault="009F38BC" w:rsidP="001A56A5">
      <w:pPr>
        <w:keepNext/>
        <w:pBdr>
          <w:top w:val="nil"/>
          <w:left w:val="nil"/>
          <w:bottom w:val="nil"/>
          <w:right w:val="nil"/>
          <w:between w:val="nil"/>
        </w:pBdr>
        <w:tabs>
          <w:tab w:val="left" w:pos="709"/>
        </w:tabs>
        <w:spacing w:after="240"/>
        <w:rPr>
          <w:rFonts w:asciiTheme="minorBidi" w:hAnsiTheme="minorBidi" w:cstheme="minorBidi"/>
          <w:u w:val="single"/>
        </w:rPr>
      </w:pPr>
      <w:r>
        <w:rPr>
          <w:rFonts w:asciiTheme="minorBidi" w:hAnsiTheme="minorBidi" w:cstheme="minorBidi"/>
          <w:b/>
          <w:bCs/>
          <w:i/>
          <w:iCs/>
          <w:u w:val="single"/>
          <w:lang w:val="ru"/>
        </w:rPr>
        <w:t xml:space="preserve">Показатель по задаче 14.2.1: </w:t>
      </w:r>
      <w:r>
        <w:rPr>
          <w:rFonts w:asciiTheme="minorBidi" w:hAnsiTheme="minorBidi" w:cstheme="minorBidi"/>
          <w:color w:val="000000"/>
          <w:u w:val="single"/>
          <w:lang w:val="ru"/>
        </w:rPr>
        <w:t xml:space="preserve">Количество стран, использующих экосистемные подходы </w:t>
      </w:r>
      <w:r>
        <w:rPr>
          <w:rFonts w:asciiTheme="minorBidi" w:hAnsiTheme="minorBidi" w:cstheme="minorBidi"/>
          <w:color w:val="000000"/>
          <w:lang w:val="ru"/>
        </w:rPr>
        <w:br/>
      </w:r>
      <w:r>
        <w:rPr>
          <w:rFonts w:asciiTheme="minorBidi" w:hAnsiTheme="minorBidi" w:cstheme="minorBidi"/>
          <w:color w:val="000000"/>
          <w:u w:val="single"/>
          <w:lang w:val="ru"/>
        </w:rPr>
        <w:t>к управлению морскими территориями</w:t>
      </w:r>
    </w:p>
    <w:p w14:paraId="03E44930" w14:textId="7532E146"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ru"/>
        </w:rPr>
        <w:t>Ежегодные уточнения показателей включаются в систему показателей по мере их возникновения. В соответствии с мандатом группы, МЭГ-ЦУР в рамках Всестороннего обзора 2020 года предложила внести в систему 36 основных изменений в виде замен, пересмотров, дополнений и исключений, которые были утверждены Статистической комиссией на ее 51-й сессии, состоявшейся в марте 2020 года.</w:t>
      </w:r>
    </w:p>
    <w:p w14:paraId="67D8669D" w14:textId="6D45D144"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ru"/>
        </w:rPr>
        <w:t xml:space="preserve">Что касается показателя 14.2.1, то он был изменен следующим образом: «Количество стран, использующих экосистемные подходы к управлению морскими территориями». </w:t>
      </w:r>
    </w:p>
    <w:p w14:paraId="73E58D5E" w14:textId="77777777"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ru"/>
        </w:rPr>
        <w:t>ЮНЕП является курирующим учреждением по этому показателю и работает в тесном сотрудничестве со своими конвенциями по региональным морям и МОК-ЮНЕСКО, которая является органом технической поддержки по этому показателю.</w:t>
      </w:r>
    </w:p>
    <w:p w14:paraId="486D4469" w14:textId="2A7A0269"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ru"/>
        </w:rPr>
        <w:t>Разработка методологии для показателя 14.2.1 ЦУР началась с обзора существующих показателей и методологий, используемых в настоящее время Программами региональных морей и другими ключевыми межправительственными, международными и региональными органами, которые предусматривают ряд существующих показателей для стратегий комплексного управления и планирования для социально-экологических систем. В качестве основного индикатора был выбран координируемый показатель региональных морей 22 «Интегрированное управление прибрежными зонами» (ИУПЗ). Методология также включает показатели, основанные на статусе внедрения морского пространственного планирования (МПП) или другого комплексного планирования и управления на территориальной основе. В настоящее время этот показатель находится в статусе уровня II.</w:t>
      </w:r>
    </w:p>
    <w:p w14:paraId="2C0AB185" w14:textId="18F08229" w:rsidR="00F57977"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ru"/>
        </w:rPr>
        <w:t>Способствуя достижению этой цели, ЮНЕСКО-МОК и Европейская комиссия запустили в 2017 году «Совместную дорожную карту для ускорения процессов морского пространственного планирования (МПП) во всем мире» (</w:t>
      </w:r>
      <w:proofErr w:type="spellStart"/>
      <w:r>
        <w:rPr>
          <w:rFonts w:asciiTheme="minorBidi" w:hAnsiTheme="minorBidi" w:cstheme="minorBidi"/>
          <w:lang w:val="ru"/>
        </w:rPr>
        <w:fldChar w:fldCharType="begin"/>
      </w:r>
      <w:r>
        <w:rPr>
          <w:rFonts w:asciiTheme="minorBidi" w:hAnsiTheme="minorBidi" w:cstheme="minorBidi"/>
          <w:lang w:val="ru"/>
        </w:rPr>
        <w:instrText xml:space="preserve"> HYPERLINK "https://www.mspglobal2030.org/msp-roadmap/" </w:instrText>
      </w:r>
      <w:r>
        <w:rPr>
          <w:rFonts w:asciiTheme="minorBidi" w:hAnsiTheme="minorBidi" w:cstheme="minorBidi"/>
          <w:lang w:val="ru"/>
        </w:rPr>
      </w:r>
      <w:r>
        <w:rPr>
          <w:rFonts w:asciiTheme="minorBidi" w:hAnsiTheme="minorBidi" w:cstheme="minorBidi"/>
          <w:lang w:val="ru"/>
        </w:rPr>
        <w:fldChar w:fldCharType="separate"/>
      </w:r>
      <w:r>
        <w:rPr>
          <w:rStyle w:val="Hyperlink"/>
          <w:rFonts w:asciiTheme="minorBidi" w:hAnsiTheme="minorBidi" w:cstheme="minorBidi"/>
          <w:lang w:val="ru"/>
        </w:rPr>
        <w:t>MSProadmap</w:t>
      </w:r>
      <w:proofErr w:type="spellEnd"/>
      <w:r>
        <w:rPr>
          <w:rFonts w:asciiTheme="minorBidi" w:hAnsiTheme="minorBidi" w:cstheme="minorBidi"/>
          <w:lang w:val="ru"/>
        </w:rPr>
        <w:fldChar w:fldCharType="end"/>
      </w:r>
      <w:r>
        <w:rPr>
          <w:rFonts w:asciiTheme="minorBidi" w:hAnsiTheme="minorBidi" w:cstheme="minorBidi"/>
          <w:lang w:val="ru"/>
        </w:rPr>
        <w:t>). Эта инициатива способствует целостной, всеобъемлющей и последовательной разработке концепции и роли экосистемного МПП в реализации Повестки дня в области устойчивого развития на период до 2030 года и, в частности, специальной задачи 14.2, как в рамках Европейского Союза, так и за его пределами на международном уровне с целью охватить к 2030 году по меньшей мере 1/3 глобальных морских районов под национальной юрисдикцией, пользующихся морскими пространственными планами. В 2022 году обе организации запустили обновленную дорожную карту MSProadmap (2022–2027), чтобы продолжить развитие МПП в мировом масштабе.</w:t>
      </w:r>
    </w:p>
    <w:p w14:paraId="22E65453" w14:textId="607A50AE"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ru"/>
        </w:rPr>
        <w:t xml:space="preserve">В 2020 и 2022 годах МОК провела исследования в своих государствах-членах для документирования прогресса во внедрении МПП на национальных уровнях. Результаты исследования 2020 года были обновлены в ходе кабинетных исследований и представлены в </w:t>
      </w:r>
      <w:hyperlink r:id="rId31" w:history="1">
        <w:r>
          <w:rPr>
            <w:rStyle w:val="Hyperlink"/>
            <w:rFonts w:asciiTheme="minorBidi" w:hAnsiTheme="minorBidi" w:cstheme="minorBidi"/>
            <w:i/>
            <w:iCs/>
            <w:lang w:val="ru"/>
          </w:rPr>
          <w:t>Докладе МОК о состоянии Мирового океана 2022 года</w:t>
        </w:r>
        <w:r>
          <w:rPr>
            <w:rStyle w:val="Hyperlink"/>
            <w:rFonts w:asciiTheme="minorBidi" w:hAnsiTheme="minorBidi" w:cstheme="minorBidi"/>
            <w:lang w:val="ru"/>
          </w:rPr>
          <w:t xml:space="preserve"> (пилотное издание)</w:t>
        </w:r>
      </w:hyperlink>
      <w:r>
        <w:rPr>
          <w:rFonts w:asciiTheme="minorBidi" w:hAnsiTheme="minorBidi" w:cstheme="minorBidi"/>
          <w:lang w:val="ru"/>
        </w:rPr>
        <w:t>. В том же году МОК представила материалы по задаче 14.2.1 для Интерактивного диалога 2 Конференции ООН 2022 года (</w:t>
      </w:r>
      <w:hyperlink r:id="rId32" w:history="1">
        <w:r>
          <w:rPr>
            <w:rStyle w:val="Hyperlink"/>
            <w:rFonts w:asciiTheme="minorBidi" w:hAnsiTheme="minorBidi" w:cstheme="minorBidi"/>
            <w:lang w:val="ru"/>
          </w:rPr>
          <w:t>Концептуальный документ по управлению, защите, сохранению и восстановлению морских и прибрежных экосистем</w:t>
        </w:r>
      </w:hyperlink>
      <w:r>
        <w:rPr>
          <w:rFonts w:asciiTheme="minorBidi" w:hAnsiTheme="minorBidi" w:cstheme="minorBidi"/>
          <w:lang w:val="ru"/>
        </w:rPr>
        <w:t xml:space="preserve">). Ответы продолжают поступать по мере того, как страны совершенствуют свои процессы МПП, поэтому результаты постоянно обновляются и доступны на сайте </w:t>
      </w:r>
      <w:hyperlink r:id="rId33" w:history="1">
        <w:r>
          <w:rPr>
            <w:rStyle w:val="Hyperlink"/>
            <w:rFonts w:asciiTheme="minorBidi" w:hAnsiTheme="minorBidi" w:cstheme="minorBidi"/>
            <w:lang w:val="ru"/>
          </w:rPr>
          <w:t>http://www.mspglobal2030.org/msp-roadmap/msp-around-the-world/</w:t>
        </w:r>
      </w:hyperlink>
      <w:r>
        <w:rPr>
          <w:rFonts w:asciiTheme="minorBidi" w:hAnsiTheme="minorBidi" w:cstheme="minorBidi"/>
          <w:lang w:val="ru"/>
        </w:rPr>
        <w:t>.</w:t>
      </w:r>
    </w:p>
    <w:p w14:paraId="19B96F88" w14:textId="774881BD" w:rsidR="00941B02" w:rsidRPr="005E14AC" w:rsidRDefault="00941B02"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ru"/>
        </w:rPr>
        <w:t xml:space="preserve">Также в рамках пилотного издания ДСМО была создана новая типология МПП, основанная на 10 критериях (масштаб, охват, цель, политическая приверженность, структура реализации, основные цели, распределение территории, вовлеченные заинтересованные стороны, процесс участия и финансирование), чтобы оценить наличие общих черт, различий и/или тенденций в отношении утвержденных морских пространственных планов.   </w:t>
      </w:r>
    </w:p>
    <w:p w14:paraId="15612843" w14:textId="3047A653" w:rsidR="00A425C1" w:rsidRPr="005E14AC" w:rsidRDefault="00A425C1"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ru"/>
        </w:rPr>
        <w:t xml:space="preserve">В рамках нового этапа проекта MSPglobal, софинансируемого Европейской комиссией, МОК разработает веб-инструмент для мониторинга MSProadmap (т.е. для отслеживания доли морских районов под национальной юрисдикцией, охваченных утвержденными морскими пространственными планами) и для представления результатов типологического анализа, который впервые будет широко осуществлен в 2023 году. Такая инициатива позволит МОК продолжать оказывать техническую поддержку ЮНЕП для мониторинга задачи 14.2.1.  </w:t>
      </w:r>
    </w:p>
    <w:p w14:paraId="523CC4A5" w14:textId="77777777" w:rsidR="002A35B3" w:rsidRPr="005E14AC" w:rsidRDefault="009F38BC" w:rsidP="005E14AC">
      <w:pPr>
        <w:pStyle w:val="Heading3"/>
        <w:rPr>
          <w:rFonts w:asciiTheme="minorBidi" w:hAnsiTheme="minorBidi" w:cstheme="minorBidi"/>
        </w:rPr>
      </w:pPr>
      <w:r>
        <w:rPr>
          <w:rFonts w:asciiTheme="minorBidi" w:hAnsiTheme="minorBidi" w:cstheme="minorBidi"/>
          <w:bCs/>
          <w:lang w:val="ru"/>
        </w:rPr>
        <w:t>Финансовые и административные последствия</w:t>
      </w:r>
    </w:p>
    <w:p w14:paraId="0050C995" w14:textId="61971CB8"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ru"/>
        </w:rPr>
        <w:t>Секретариату МОК, хотя он с благодарностью отмечает постоянную финансовую поддержку со стороны Германии и Республики Корея, потребуются дополнительные средства для дальнейшего развития, совершенствования и обслуживания портала данных по задаче 14.3.1 и сбора данных по задаче 14.a.1, создания потенциала государств-членов для успешного применения методологии для задачи 14.3.1 и показателя 14.a.1 и обеспечения лидерства МОК в области исследований и наблюдений за закислением океана, а также обмена знаниями. Ожидаемое усовершенствование портала по задаче 14.3.1 и повышение потенциала экспертов и государств-членов позволят Секретариату МОК просить отнести показатель по задаче 14.3.1 к уровню I (концептуально четко оформленный показатель, характеризующийся наличием согласованной на международном уровне методологии и регулярным сбором данных по не менее чем 50% стран).</w:t>
      </w:r>
    </w:p>
    <w:p w14:paraId="3652123A" w14:textId="77777777" w:rsidR="002A35B3" w:rsidRPr="005E14AC" w:rsidRDefault="002A35B3" w:rsidP="005E14AC">
      <w:pPr>
        <w:pBdr>
          <w:top w:val="nil"/>
          <w:left w:val="nil"/>
          <w:bottom w:val="nil"/>
          <w:right w:val="nil"/>
          <w:between w:val="nil"/>
        </w:pBdr>
        <w:tabs>
          <w:tab w:val="left" w:pos="709"/>
        </w:tabs>
        <w:spacing w:after="240"/>
        <w:jc w:val="both"/>
        <w:rPr>
          <w:rFonts w:asciiTheme="minorBidi" w:hAnsiTheme="minorBidi" w:cstheme="minorBidi"/>
        </w:rPr>
      </w:pPr>
    </w:p>
    <w:p w14:paraId="11010422" w14:textId="77777777" w:rsidR="002A35B3" w:rsidRPr="005E14AC" w:rsidRDefault="002A35B3" w:rsidP="001A56A5">
      <w:pPr>
        <w:keepNext/>
        <w:keepLines/>
        <w:spacing w:after="240"/>
        <w:outlineLvl w:val="2"/>
        <w:rPr>
          <w:rFonts w:asciiTheme="minorBidi" w:hAnsiTheme="minorBidi" w:cstheme="minorBidi"/>
          <w:color w:val="000000"/>
        </w:rPr>
      </w:pPr>
    </w:p>
    <w:sectPr w:rsidR="002A35B3" w:rsidRPr="005E14AC">
      <w:headerReference w:type="even" r:id="rId34"/>
      <w:headerReference w:type="default" r:id="rId35"/>
      <w:headerReference w:type="first" r:id="rId36"/>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F4FB" w14:textId="77777777" w:rsidR="006353B0" w:rsidRDefault="006353B0">
      <w:r>
        <w:separator/>
      </w:r>
    </w:p>
  </w:endnote>
  <w:endnote w:type="continuationSeparator" w:id="0">
    <w:p w14:paraId="51CACB31" w14:textId="77777777" w:rsidR="006353B0" w:rsidRDefault="0063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FC8F" w14:textId="77777777" w:rsidR="006353B0" w:rsidRDefault="006353B0">
      <w:r>
        <w:separator/>
      </w:r>
    </w:p>
  </w:footnote>
  <w:footnote w:type="continuationSeparator" w:id="0">
    <w:p w14:paraId="0A167892" w14:textId="77777777" w:rsidR="006353B0" w:rsidRDefault="00635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E1C4" w14:textId="77777777" w:rsidR="002A35B3" w:rsidRDefault="009F38BC">
    <w:pPr>
      <w:pBdr>
        <w:top w:val="nil"/>
        <w:left w:val="nil"/>
        <w:bottom w:val="nil"/>
        <w:right w:val="nil"/>
        <w:between w:val="nil"/>
      </w:pBdr>
      <w:tabs>
        <w:tab w:val="center" w:pos="4153"/>
        <w:tab w:val="right" w:pos="8306"/>
      </w:tabs>
      <w:rPr>
        <w:color w:val="000000"/>
      </w:rPr>
    </w:pPr>
    <w:r>
      <w:rPr>
        <w:color w:val="000000"/>
        <w:lang w:val="ru"/>
      </w:rPr>
      <w:t xml:space="preserve">ICG/CARIBE-EWS II/WD </w:t>
    </w:r>
    <w:r>
      <w:rPr>
        <w:color w:val="000000"/>
        <w:highlight w:val="cyan"/>
        <w:lang w:val="ru"/>
      </w:rPr>
      <w:t>__</w:t>
    </w:r>
  </w:p>
  <w:p w14:paraId="0205F705" w14:textId="77777777" w:rsidR="002A35B3" w:rsidRDefault="009F38BC">
    <w:pPr>
      <w:pBdr>
        <w:top w:val="nil"/>
        <w:left w:val="nil"/>
        <w:bottom w:val="nil"/>
        <w:right w:val="nil"/>
        <w:between w:val="nil"/>
      </w:pBdr>
      <w:tabs>
        <w:tab w:val="center" w:pos="4153"/>
        <w:tab w:val="right" w:pos="8306"/>
      </w:tabs>
      <w:rPr>
        <w:color w:val="000000"/>
      </w:rPr>
    </w:pPr>
    <w:r>
      <w:rPr>
        <w:color w:val="000000"/>
        <w:lang w:val="ru"/>
      </w:rPr>
      <w:t>Страница </w:t>
    </w:r>
    <w:r>
      <w:rPr>
        <w:color w:val="000000"/>
        <w:lang w:val="ru"/>
      </w:rPr>
      <w:fldChar w:fldCharType="begin"/>
    </w:r>
    <w:r>
      <w:rPr>
        <w:color w:val="000000"/>
        <w:lang w:val="ru"/>
      </w:rPr>
      <w:instrText>PAGE</w:instrText>
    </w:r>
    <w:r>
      <w:rPr>
        <w:color w:val="000000"/>
        <w:lang w:val="ru"/>
      </w:rPr>
      <w:fldChar w:fldCharType="separate"/>
    </w:r>
    <w:r>
      <w:rPr>
        <w:noProof/>
        <w:color w:val="000000"/>
        <w:lang w:val="ru"/>
      </w:rPr>
      <w:t>2</w:t>
    </w:r>
    <w:r>
      <w:rPr>
        <w:color w:val="000000"/>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3B18" w14:textId="77777777" w:rsidR="002A35B3" w:rsidRDefault="009F38BC">
    <w:pPr>
      <w:pBdr>
        <w:top w:val="nil"/>
        <w:left w:val="nil"/>
        <w:bottom w:val="nil"/>
        <w:right w:val="nil"/>
        <w:between w:val="nil"/>
      </w:pBdr>
      <w:tabs>
        <w:tab w:val="center" w:pos="4153"/>
        <w:tab w:val="right" w:pos="8306"/>
      </w:tabs>
      <w:rPr>
        <w:color w:val="000000"/>
      </w:rPr>
    </w:pPr>
    <w:r>
      <w:rPr>
        <w:color w:val="000000"/>
        <w:lang w:val="ru"/>
      </w:rPr>
      <w:t xml:space="preserve">IOC-XXIV/2 Annex </w:t>
    </w:r>
    <w:r>
      <w:rPr>
        <w:color w:val="000000"/>
        <w:highlight w:val="yellow"/>
        <w:lang w:val="ru"/>
      </w:rPr>
      <w:t>__</w:t>
    </w:r>
  </w:p>
  <w:p w14:paraId="0274CB75" w14:textId="77777777" w:rsidR="002A35B3" w:rsidRDefault="009F38BC">
    <w:pPr>
      <w:pBdr>
        <w:top w:val="nil"/>
        <w:left w:val="nil"/>
        <w:bottom w:val="nil"/>
        <w:right w:val="nil"/>
        <w:between w:val="nil"/>
      </w:pBdr>
      <w:tabs>
        <w:tab w:val="center" w:pos="4153"/>
        <w:tab w:val="right" w:pos="8306"/>
      </w:tabs>
      <w:rPr>
        <w:color w:val="000000"/>
      </w:rPr>
    </w:pPr>
    <w:r>
      <w:rPr>
        <w:color w:val="000000"/>
        <w:lang w:val="ru"/>
      </w:rPr>
      <w:t xml:space="preserve">Страница </w:t>
    </w:r>
    <w:r>
      <w:rPr>
        <w:color w:val="000000"/>
        <w:lang w:val="ru"/>
      </w:rPr>
      <w:fldChar w:fldCharType="begin"/>
    </w:r>
    <w:r>
      <w:rPr>
        <w:color w:val="000000"/>
        <w:lang w:val="ru"/>
      </w:rPr>
      <w:instrText>PAGE</w:instrText>
    </w:r>
    <w:r>
      <w:rPr>
        <w:color w:val="000000"/>
        <w:lang w:val="ru"/>
      </w:rPr>
      <w:fldChar w:fldCharType="end"/>
    </w:r>
  </w:p>
  <w:p w14:paraId="55AE02C5" w14:textId="77777777" w:rsidR="002A35B3" w:rsidRDefault="002A35B3">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0696" w14:textId="272F36E1" w:rsidR="002A35B3" w:rsidRDefault="009F38BC" w:rsidP="001A56A5">
    <w:pPr>
      <w:pBdr>
        <w:top w:val="nil"/>
        <w:left w:val="nil"/>
        <w:bottom w:val="nil"/>
        <w:right w:val="nil"/>
        <w:between w:val="nil"/>
      </w:pBdr>
      <w:tabs>
        <w:tab w:val="left" w:pos="5954"/>
        <w:tab w:val="left" w:pos="7560"/>
      </w:tabs>
      <w:jc w:val="both"/>
      <w:rPr>
        <w:b/>
        <w:color w:val="000000"/>
      </w:rPr>
    </w:pPr>
    <w:r>
      <w:rPr>
        <w:color w:val="000000"/>
        <w:lang w:val="ru"/>
      </w:rPr>
      <w:t>Рассылается по списку</w:t>
    </w:r>
    <w:r>
      <w:rPr>
        <w:color w:val="000000"/>
        <w:lang w:val="ru"/>
      </w:rPr>
      <w:tab/>
    </w:r>
    <w:r>
      <w:rPr>
        <w:b/>
        <w:bCs/>
        <w:color w:val="000000"/>
        <w:sz w:val="36"/>
        <w:szCs w:val="36"/>
        <w:lang w:val="ru"/>
      </w:rPr>
      <w:t>IOC/A-32/</w:t>
    </w:r>
    <w:r>
      <w:rPr>
        <w:b/>
        <w:bCs/>
        <w:sz w:val="36"/>
        <w:szCs w:val="36"/>
        <w:lang w:val="ru"/>
      </w:rPr>
      <w:t>4.11.Doc(1)</w:t>
    </w:r>
  </w:p>
  <w:p w14:paraId="69FB47E3" w14:textId="2583488E" w:rsidR="002A35B3" w:rsidRDefault="009F38BC" w:rsidP="001A56A5">
    <w:pPr>
      <w:tabs>
        <w:tab w:val="left" w:pos="5954"/>
        <w:tab w:val="left" w:pos="7560"/>
      </w:tabs>
      <w:jc w:val="both"/>
    </w:pPr>
    <w:r>
      <w:rPr>
        <w:lang w:val="ru"/>
      </w:rPr>
      <w:tab/>
      <w:t>Париж, 29 мая 2023 года</w:t>
    </w:r>
    <w:r>
      <w:rPr>
        <w:noProof/>
        <w:lang w:val="ru"/>
      </w:rPr>
      <w:drawing>
        <wp:anchor distT="0" distB="0" distL="114300" distR="114300" simplePos="0" relativeHeight="251658240" behindDoc="0" locked="0" layoutInCell="1" hidden="0" allowOverlap="1" wp14:anchorId="2E464445" wp14:editId="58B5D492">
          <wp:simplePos x="0" y="0"/>
          <wp:positionH relativeFrom="column">
            <wp:posOffset>-19684</wp:posOffset>
          </wp:positionH>
          <wp:positionV relativeFrom="paragraph">
            <wp:posOffset>101600</wp:posOffset>
          </wp:positionV>
          <wp:extent cx="1578610" cy="1047115"/>
          <wp:effectExtent l="0" t="0" r="0" b="0"/>
          <wp:wrapSquare wrapText="bothSides" distT="0" distB="0" distL="114300" distR="114300"/>
          <wp:docPr id="1" name="image1.jpg" descr="Логотип, название компании Описание генерируется автоматически"/>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p>
  <w:p w14:paraId="6801AD6D" w14:textId="77777777" w:rsidR="002A35B3" w:rsidRDefault="009F38BC" w:rsidP="001A56A5">
    <w:pPr>
      <w:tabs>
        <w:tab w:val="left" w:pos="5954"/>
        <w:tab w:val="left" w:pos="7560"/>
      </w:tabs>
      <w:jc w:val="both"/>
    </w:pPr>
    <w:r>
      <w:rPr>
        <w:lang w:val="ru"/>
      </w:rPr>
      <w:tab/>
      <w:t>Язык оригинала: английский</w:t>
    </w:r>
  </w:p>
  <w:p w14:paraId="236716E6" w14:textId="77777777" w:rsidR="002A35B3" w:rsidRDefault="002A35B3">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44E64966"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519AB1B5"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36A05CEC"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4119A05A"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0F2975A3"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4492B8FE" w14:textId="77777777" w:rsidR="002A35B3" w:rsidRDefault="009F38BC">
    <w:pPr>
      <w:tabs>
        <w:tab w:val="left" w:pos="-1440"/>
        <w:tab w:val="left" w:pos="-720"/>
        <w:tab w:val="left" w:pos="720"/>
        <w:tab w:val="left" w:pos="2160"/>
        <w:tab w:val="left" w:pos="3600"/>
        <w:tab w:val="left" w:pos="4320"/>
        <w:tab w:val="left" w:pos="5040"/>
        <w:tab w:val="left" w:pos="5523"/>
        <w:tab w:val="left" w:pos="6480"/>
      </w:tabs>
      <w:jc w:val="center"/>
      <w:rPr>
        <w:b/>
      </w:rPr>
    </w:pPr>
    <w:r>
      <w:rPr>
        <w:b/>
        <w:bCs/>
        <w:lang w:val="ru"/>
      </w:rPr>
      <w:t>МЕЖПРАВИТЕЛЬСТВЕННАЯ ОКЕАНОГРАФИЧЕСКАЯ КОМИССИЯ</w:t>
    </w:r>
  </w:p>
  <w:p w14:paraId="4BCFCCC0" w14:textId="77777777" w:rsidR="002A35B3" w:rsidRDefault="009F38BC">
    <w:pPr>
      <w:tabs>
        <w:tab w:val="left" w:pos="-1440"/>
        <w:tab w:val="left" w:pos="-720"/>
        <w:tab w:val="left" w:pos="720"/>
        <w:tab w:val="left" w:pos="2160"/>
        <w:tab w:val="left" w:pos="3600"/>
        <w:tab w:val="left" w:pos="4320"/>
        <w:tab w:val="left" w:pos="5040"/>
        <w:tab w:val="left" w:pos="5523"/>
        <w:tab w:val="left" w:pos="6480"/>
      </w:tabs>
      <w:jc w:val="center"/>
    </w:pPr>
    <w:r>
      <w:rPr>
        <w:lang w:val="ru"/>
      </w:rPr>
      <w:t>(ЮНЕСКО)</w:t>
    </w:r>
  </w:p>
  <w:p w14:paraId="7DEED1D7" w14:textId="77777777" w:rsidR="002A35B3" w:rsidRDefault="002A35B3">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4DF51B1E" w14:textId="77777777" w:rsidR="002A35B3" w:rsidRDefault="009F38B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bCs/>
        <w:lang w:val="ru"/>
      </w:rPr>
      <w:t>Тридцать вторая сессия Ассамблеи</w:t>
    </w:r>
  </w:p>
  <w:p w14:paraId="4F1E2B09" w14:textId="77777777" w:rsidR="002A35B3" w:rsidRDefault="009F38B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rPr>
        <w:lang w:val="ru"/>
      </w:rPr>
      <w:t>ЮНЕСКО, 21-30 июня 2023 года</w:t>
    </w:r>
  </w:p>
  <w:p w14:paraId="5365C9A4" w14:textId="77777777" w:rsidR="002A35B3" w:rsidRDefault="002A35B3">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02F57C76" w14:textId="77777777" w:rsidR="002A35B3" w:rsidRDefault="002A35B3">
    <w:pPr>
      <w:jc w:val="center"/>
    </w:pPr>
  </w:p>
  <w:p w14:paraId="1EB47337" w14:textId="77777777" w:rsidR="002A35B3" w:rsidRDefault="002A35B3">
    <w:pPr>
      <w:jc w:val="center"/>
    </w:pPr>
  </w:p>
  <w:p w14:paraId="0BB4CF3E" w14:textId="77777777" w:rsidR="002A35B3" w:rsidRDefault="002A35B3">
    <w:pPr>
      <w:jc w:val="center"/>
    </w:pPr>
  </w:p>
  <w:p w14:paraId="327F21DD" w14:textId="77777777" w:rsidR="002A35B3" w:rsidRDefault="002A35B3">
    <w:pPr>
      <w:jc w:val="center"/>
    </w:pPr>
  </w:p>
  <w:p w14:paraId="5242F8CB" w14:textId="77777777" w:rsidR="002A35B3" w:rsidRDefault="002A35B3">
    <w:pPr>
      <w:jc w:val="center"/>
    </w:pPr>
  </w:p>
  <w:p w14:paraId="6E4F77F5" w14:textId="77777777" w:rsidR="002A35B3" w:rsidRPr="005E14AC" w:rsidRDefault="009F38BC">
    <w:pPr>
      <w:keepNext/>
      <w:pBdr>
        <w:top w:val="nil"/>
        <w:left w:val="nil"/>
        <w:bottom w:val="nil"/>
        <w:right w:val="nil"/>
        <w:between w:val="nil"/>
      </w:pBdr>
      <w:tabs>
        <w:tab w:val="right" w:pos="9540"/>
      </w:tabs>
      <w:rPr>
        <w:bCs/>
        <w:color w:val="000000"/>
        <w:u w:val="single"/>
      </w:rPr>
    </w:pPr>
    <w:r>
      <w:rPr>
        <w:color w:val="000000"/>
        <w:sz w:val="24"/>
        <w:szCs w:val="24"/>
        <w:u w:val="single"/>
        <w:lang w:val="ru"/>
      </w:rPr>
      <w:t xml:space="preserve">Пункт </w:t>
    </w:r>
    <w:r>
      <w:rPr>
        <w:b/>
        <w:bCs/>
        <w:sz w:val="24"/>
        <w:szCs w:val="24"/>
        <w:u w:val="single"/>
        <w:lang w:val="ru"/>
      </w:rPr>
      <w:t>4.11</w:t>
    </w:r>
    <w:r>
      <w:rPr>
        <w:color w:val="000000"/>
        <w:sz w:val="24"/>
        <w:szCs w:val="24"/>
        <w:u w:val="single"/>
        <w:lang w:val="ru"/>
      </w:rPr>
      <w:t xml:space="preserve"> предварительной повестки дня</w:t>
    </w:r>
  </w:p>
  <w:p w14:paraId="79B9E7A3" w14:textId="77777777" w:rsidR="002A35B3" w:rsidRDefault="002A35B3"/>
  <w:p w14:paraId="6BF85F4F" w14:textId="77777777" w:rsidR="002A35B3" w:rsidRDefault="002A35B3" w:rsidP="00BF75A9">
    <w:pPr>
      <w:jc w:val="center"/>
    </w:pPr>
  </w:p>
  <w:p w14:paraId="326D46B9" w14:textId="73E1C4F4" w:rsidR="002A35B3" w:rsidRDefault="00C25041" w:rsidP="005E14AC">
    <w:pPr>
      <w:pBdr>
        <w:top w:val="nil"/>
        <w:left w:val="nil"/>
        <w:bottom w:val="nil"/>
        <w:right w:val="nil"/>
        <w:between w:val="nil"/>
      </w:pBdr>
      <w:tabs>
        <w:tab w:val="center" w:pos="4153"/>
        <w:tab w:val="right" w:pos="8306"/>
      </w:tabs>
      <w:jc w:val="center"/>
      <w:rPr>
        <w:color w:val="000000"/>
      </w:rPr>
    </w:pPr>
    <w:r>
      <w:rPr>
        <w:b/>
        <w:bCs/>
        <w:color w:val="000000"/>
        <w:sz w:val="24"/>
        <w:szCs w:val="24"/>
        <w:lang w:val="ru"/>
      </w:rPr>
      <w:t>ОБНОВЛЕННАЯ ИНФОРМАЦИЯ О КУРИРУЮЩЕЙ РОЛИ МОК В ОТНОШЕНИИ</w:t>
    </w:r>
    <w:r>
      <w:rPr>
        <w:color w:val="000000"/>
        <w:sz w:val="24"/>
        <w:szCs w:val="24"/>
        <w:lang w:val="ru"/>
      </w:rPr>
      <w:br/>
    </w:r>
    <w:r>
      <w:rPr>
        <w:b/>
        <w:bCs/>
        <w:color w:val="000000"/>
        <w:sz w:val="24"/>
        <w:szCs w:val="24"/>
        <w:lang w:val="ru"/>
      </w:rPr>
      <w:t xml:space="preserve"> ПОКАЗАТЕЛЕЙ ЦУР 14, 2023 г.</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AB18" w14:textId="1FA235BA" w:rsidR="002A35B3" w:rsidRPr="005E14AC" w:rsidRDefault="009F38BC" w:rsidP="005E14AC">
    <w:pPr>
      <w:pBdr>
        <w:top w:val="nil"/>
        <w:left w:val="nil"/>
        <w:bottom w:val="nil"/>
        <w:right w:val="nil"/>
        <w:between w:val="nil"/>
      </w:pBdr>
      <w:tabs>
        <w:tab w:val="center" w:pos="4153"/>
        <w:tab w:val="right" w:pos="8306"/>
      </w:tabs>
      <w:rPr>
        <w:color w:val="000000"/>
      </w:rPr>
    </w:pPr>
    <w:r>
      <w:rPr>
        <w:color w:val="000000"/>
        <w:lang w:val="ru"/>
      </w:rPr>
      <w:t>IOC/A-32/4.11.Doc(1) – страница </w:t>
    </w:r>
    <w:r>
      <w:rPr>
        <w:color w:val="000000"/>
        <w:lang w:val="ru"/>
      </w:rPr>
      <w:fldChar w:fldCharType="begin"/>
    </w:r>
    <w:r>
      <w:rPr>
        <w:color w:val="000000"/>
        <w:lang w:val="ru"/>
      </w:rPr>
      <w:instrText>PAGE</w:instrText>
    </w:r>
    <w:r>
      <w:rPr>
        <w:color w:val="000000"/>
        <w:lang w:val="ru"/>
      </w:rPr>
      <w:fldChar w:fldCharType="separate"/>
    </w:r>
    <w:r>
      <w:rPr>
        <w:noProof/>
        <w:color w:val="000000"/>
        <w:lang w:val="ru"/>
      </w:rPr>
      <w:t>2</w:t>
    </w:r>
    <w:r>
      <w:rPr>
        <w:color w:val="000000"/>
        <w:lang w:val="r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050F" w14:textId="16794845" w:rsidR="002A35B3" w:rsidRPr="005E14AC" w:rsidRDefault="009F38BC" w:rsidP="001A56A5">
    <w:pPr>
      <w:pBdr>
        <w:top w:val="nil"/>
        <w:left w:val="nil"/>
        <w:bottom w:val="nil"/>
        <w:right w:val="nil"/>
        <w:between w:val="nil"/>
      </w:pBdr>
      <w:tabs>
        <w:tab w:val="center" w:pos="4153"/>
        <w:tab w:val="right" w:pos="8306"/>
      </w:tabs>
      <w:ind w:left="6379"/>
      <w:rPr>
        <w:color w:val="000000"/>
      </w:rPr>
    </w:pPr>
    <w:r>
      <w:rPr>
        <w:color w:val="000000"/>
        <w:lang w:val="ru"/>
      </w:rPr>
      <w:t>IOC/A-32/4.11.Doc(1) – страница </w:t>
    </w:r>
    <w:r>
      <w:rPr>
        <w:color w:val="000000"/>
        <w:lang w:val="ru"/>
      </w:rPr>
      <w:fldChar w:fldCharType="begin"/>
    </w:r>
    <w:r>
      <w:rPr>
        <w:color w:val="000000"/>
        <w:lang w:val="ru"/>
      </w:rPr>
      <w:instrText>PAGE</w:instrText>
    </w:r>
    <w:r>
      <w:rPr>
        <w:color w:val="000000"/>
        <w:lang w:val="ru"/>
      </w:rPr>
      <w:fldChar w:fldCharType="separate"/>
    </w:r>
    <w:r>
      <w:rPr>
        <w:noProof/>
        <w:color w:val="000000"/>
        <w:lang w:val="ru"/>
      </w:rPr>
      <w:t>3</w:t>
    </w:r>
    <w:r>
      <w:rPr>
        <w:color w:val="000000"/>
        <w:lang w:val="ru"/>
      </w:rPr>
      <w:fldChar w:fldCharType="end"/>
    </w:r>
  </w:p>
  <w:p w14:paraId="1CDAFA66" w14:textId="77777777" w:rsidR="002A35B3" w:rsidRPr="005E14AC" w:rsidRDefault="002A35B3" w:rsidP="005E14AC">
    <w:pPr>
      <w:pBdr>
        <w:top w:val="nil"/>
        <w:left w:val="nil"/>
        <w:bottom w:val="nil"/>
        <w:right w:val="nil"/>
        <w:between w:val="nil"/>
      </w:pBdr>
      <w:tabs>
        <w:tab w:val="center" w:pos="4153"/>
        <w:tab w:val="right" w:pos="8306"/>
      </w:tabs>
      <w:ind w:left="6663"/>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1177" w14:textId="2C52C580" w:rsidR="002A35B3" w:rsidRPr="005E14AC" w:rsidRDefault="009F38BC">
    <w:pPr>
      <w:pBdr>
        <w:top w:val="nil"/>
        <w:left w:val="nil"/>
        <w:bottom w:val="nil"/>
        <w:right w:val="nil"/>
        <w:between w:val="nil"/>
      </w:pBdr>
      <w:tabs>
        <w:tab w:val="center" w:pos="4153"/>
        <w:tab w:val="right" w:pos="8306"/>
      </w:tabs>
      <w:jc w:val="right"/>
      <w:rPr>
        <w:color w:val="000000"/>
      </w:rPr>
    </w:pPr>
    <w:r>
      <w:rPr>
        <w:color w:val="000000"/>
        <w:lang w:val="ru"/>
      </w:rPr>
      <w:t>IOC/A-32/</w:t>
    </w:r>
    <w:r>
      <w:rPr>
        <w:lang w:val="ru"/>
      </w:rPr>
      <w:t>4.11</w:t>
    </w:r>
    <w:r>
      <w:rPr>
        <w:color w:val="000000"/>
        <w:lang w:val="ru"/>
      </w:rPr>
      <w:t>.Doc(1)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6B2"/>
    <w:multiLevelType w:val="multilevel"/>
    <w:tmpl w:val="C0308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F9C4D96"/>
    <w:multiLevelType w:val="multilevel"/>
    <w:tmpl w:val="732A88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5581CD7"/>
    <w:multiLevelType w:val="multilevel"/>
    <w:tmpl w:val="2ADA56F2"/>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1D4E6E"/>
    <w:multiLevelType w:val="multilevel"/>
    <w:tmpl w:val="19F426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48960902">
    <w:abstractNumId w:val="1"/>
  </w:num>
  <w:num w:numId="2" w16cid:durableId="390228919">
    <w:abstractNumId w:val="0"/>
  </w:num>
  <w:num w:numId="3" w16cid:durableId="254634682">
    <w:abstractNumId w:val="3"/>
  </w:num>
  <w:num w:numId="4" w16cid:durableId="1955599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B3"/>
    <w:rsid w:val="00143487"/>
    <w:rsid w:val="001A56A5"/>
    <w:rsid w:val="002A35B3"/>
    <w:rsid w:val="002C06C4"/>
    <w:rsid w:val="002E2AC3"/>
    <w:rsid w:val="00397AC5"/>
    <w:rsid w:val="003D287C"/>
    <w:rsid w:val="0051092D"/>
    <w:rsid w:val="005438B9"/>
    <w:rsid w:val="005466E8"/>
    <w:rsid w:val="005B250D"/>
    <w:rsid w:val="005E14AC"/>
    <w:rsid w:val="006353B0"/>
    <w:rsid w:val="007343AF"/>
    <w:rsid w:val="00787A8A"/>
    <w:rsid w:val="00883F12"/>
    <w:rsid w:val="008D04EE"/>
    <w:rsid w:val="00900E24"/>
    <w:rsid w:val="00913ACC"/>
    <w:rsid w:val="00941B02"/>
    <w:rsid w:val="009F38BC"/>
    <w:rsid w:val="00A425C1"/>
    <w:rsid w:val="00A843DD"/>
    <w:rsid w:val="00B15E0F"/>
    <w:rsid w:val="00BC623A"/>
    <w:rsid w:val="00BF75A9"/>
    <w:rsid w:val="00C25041"/>
    <w:rsid w:val="00C73FDF"/>
    <w:rsid w:val="00E52565"/>
    <w:rsid w:val="00F30D9F"/>
    <w:rsid w:val="00F57977"/>
    <w:rsid w:val="00FA295E"/>
    <w:rsid w:val="00FE336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C662DE"/>
  <w15:docId w15:val="{A49C5B39-371C-5741-BF90-A25ECEAA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50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5041"/>
    <w:rPr>
      <w:rFonts w:ascii="Times New Roman" w:hAnsi="Times New Roman" w:cs="Times New Roman"/>
      <w:sz w:val="18"/>
      <w:szCs w:val="18"/>
    </w:rPr>
  </w:style>
  <w:style w:type="paragraph" w:styleId="Footer">
    <w:name w:val="footer"/>
    <w:basedOn w:val="Normal"/>
    <w:link w:val="FooterChar"/>
    <w:uiPriority w:val="99"/>
    <w:unhideWhenUsed/>
    <w:rsid w:val="00C25041"/>
    <w:pPr>
      <w:tabs>
        <w:tab w:val="clear" w:pos="567"/>
        <w:tab w:val="center" w:pos="4703"/>
        <w:tab w:val="right" w:pos="9406"/>
      </w:tabs>
    </w:pPr>
  </w:style>
  <w:style w:type="character" w:customStyle="1" w:styleId="FooterChar">
    <w:name w:val="Footer Char"/>
    <w:basedOn w:val="DefaultParagraphFont"/>
    <w:link w:val="Footer"/>
    <w:uiPriority w:val="99"/>
    <w:rsid w:val="00C25041"/>
  </w:style>
  <w:style w:type="paragraph" w:styleId="ListParagraph">
    <w:name w:val="List Paragraph"/>
    <w:basedOn w:val="Normal"/>
    <w:uiPriority w:val="34"/>
    <w:qFormat/>
    <w:rsid w:val="003D287C"/>
    <w:pPr>
      <w:ind w:left="720"/>
      <w:contextualSpacing/>
    </w:pPr>
  </w:style>
  <w:style w:type="paragraph" w:styleId="Revision">
    <w:name w:val="Revision"/>
    <w:hidden/>
    <w:uiPriority w:val="99"/>
    <w:semiHidden/>
    <w:rsid w:val="00FE3366"/>
    <w:pPr>
      <w:tabs>
        <w:tab w:val="clear" w:pos="567"/>
      </w:tabs>
    </w:pPr>
  </w:style>
  <w:style w:type="paragraph" w:styleId="CommentSubject">
    <w:name w:val="annotation subject"/>
    <w:basedOn w:val="CommentText"/>
    <w:next w:val="CommentText"/>
    <w:link w:val="CommentSubjectChar"/>
    <w:uiPriority w:val="99"/>
    <w:semiHidden/>
    <w:unhideWhenUsed/>
    <w:rsid w:val="00F57977"/>
    <w:rPr>
      <w:b/>
      <w:bCs/>
    </w:rPr>
  </w:style>
  <w:style w:type="character" w:customStyle="1" w:styleId="CommentSubjectChar">
    <w:name w:val="Comment Subject Char"/>
    <w:basedOn w:val="CommentTextChar"/>
    <w:link w:val="CommentSubject"/>
    <w:uiPriority w:val="99"/>
    <w:semiHidden/>
    <w:rsid w:val="00F57977"/>
    <w:rPr>
      <w:b/>
      <w:bCs/>
      <w:sz w:val="20"/>
      <w:szCs w:val="20"/>
    </w:rPr>
  </w:style>
  <w:style w:type="character" w:styleId="Hyperlink">
    <w:name w:val="Hyperlink"/>
    <w:basedOn w:val="DefaultParagraphFont"/>
    <w:uiPriority w:val="99"/>
    <w:unhideWhenUsed/>
    <w:rsid w:val="00F57977"/>
    <w:rPr>
      <w:color w:val="0000FF" w:themeColor="hyperlink"/>
      <w:u w:val="single"/>
    </w:rPr>
  </w:style>
  <w:style w:type="character" w:styleId="UnresolvedMention">
    <w:name w:val="Unresolved Mention"/>
    <w:basedOn w:val="DefaultParagraphFont"/>
    <w:uiPriority w:val="99"/>
    <w:semiHidden/>
    <w:unhideWhenUsed/>
    <w:rsid w:val="00F57977"/>
    <w:rPr>
      <w:color w:val="605E5C"/>
      <w:shd w:val="clear" w:color="auto" w:fill="E1DFDD"/>
    </w:rPr>
  </w:style>
  <w:style w:type="character" w:styleId="FollowedHyperlink">
    <w:name w:val="FollowedHyperlink"/>
    <w:basedOn w:val="DefaultParagraphFont"/>
    <w:uiPriority w:val="99"/>
    <w:semiHidden/>
    <w:unhideWhenUsed/>
    <w:rsid w:val="00941B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2521.page=89" TargetMode="External"/><Relationship Id="rId13" Type="http://schemas.openxmlformats.org/officeDocument/2006/relationships/header" Target="header1.xml"/><Relationship Id="rId18" Type="http://schemas.openxmlformats.org/officeDocument/2006/relationships/hyperlink" Target="https://sustainabledevelopment.un.org/sdg14" TargetMode="External"/><Relationship Id="rId26" Type="http://schemas.openxmlformats.org/officeDocument/2006/relationships/hyperlink" Target="https://oa.iode.org/" TargetMode="External"/><Relationship Id="rId3" Type="http://schemas.openxmlformats.org/officeDocument/2006/relationships/settings" Target="settings.xml"/><Relationship Id="rId21" Type="http://schemas.openxmlformats.org/officeDocument/2006/relationships/hyperlink" Target="https://unstats.un.org/sdgs/iaeg-sdgs/tier-classification/" TargetMode="External"/><Relationship Id="rId34" Type="http://schemas.openxmlformats.org/officeDocument/2006/relationships/header" Target="header4.xml"/><Relationship Id="rId7" Type="http://schemas.openxmlformats.org/officeDocument/2006/relationships/hyperlink" Target="https://unesdoc.unesco.org/ark:/48223/pf0000372521.page=89" TargetMode="External"/><Relationship Id="rId12" Type="http://schemas.openxmlformats.org/officeDocument/2006/relationships/hyperlink" Target="http://www.unesco.org/ulis/cgi-bin/ulis.pl?catno=265127&amp;set=005B72999C_2_273&amp;gp=1&amp;lin=1&amp;ll=1" TargetMode="External"/><Relationship Id="rId17" Type="http://schemas.openxmlformats.org/officeDocument/2006/relationships/hyperlink" Target="http://www.ioc-unesco.org/index.php?option=com_oe&amp;task=viewDocumentRecord&amp;docID=17443" TargetMode="External"/><Relationship Id="rId25" Type="http://schemas.openxmlformats.org/officeDocument/2006/relationships/hyperlink" Target="http://legacy.ioc-unesco.org/index.php?option=com_oe&amp;task=viewDocumentRecord&amp;docID=21938" TargetMode="External"/><Relationship Id="rId33" Type="http://schemas.openxmlformats.org/officeDocument/2006/relationships/hyperlink" Target="http://www.mspglobal2030.org/msp-roadmap/msp-around-the-world/"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oc-unesco.org/index.php?option=com_oe&amp;task=viewDocumentRecord&amp;docID=17443" TargetMode="External"/><Relationship Id="rId20" Type="http://schemas.openxmlformats.org/officeDocument/2006/relationships/hyperlink" Target="https://unstats.un.org/sdgs/iaeg-sdgs/tier-classification/" TargetMode="External"/><Relationship Id="rId29" Type="http://schemas.openxmlformats.org/officeDocument/2006/relationships/hyperlink" Target="https://youtu.be/qW2nV2bsy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esco.org/ulis/cgi-bin/ulis.pl?catno=265127&amp;set=005B72999C_2_273&amp;gp=1&amp;lin=1&amp;ll=1" TargetMode="External"/><Relationship Id="rId24" Type="http://schemas.openxmlformats.org/officeDocument/2006/relationships/hyperlink" Target="https://unstats.un.org/sdgs/iaeg-sdgs/" TargetMode="External"/><Relationship Id="rId32" Type="http://schemas.openxmlformats.org/officeDocument/2006/relationships/hyperlink" Target="https://sdgs.un.org/sites/default/files/2022-05/ID_2_Marine_and_coastal_ecosystems.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legacy.ioc-unesco.org/index.php?option=com_oe&amp;task=viewDocumentRecord&amp;docID=21938" TargetMode="External"/><Relationship Id="rId28" Type="http://schemas.openxmlformats.org/officeDocument/2006/relationships/hyperlink" Target="https://oceanexpert.org/document/31473" TargetMode="External"/><Relationship Id="rId36" Type="http://schemas.openxmlformats.org/officeDocument/2006/relationships/header" Target="header6.xml"/><Relationship Id="rId10" Type="http://schemas.openxmlformats.org/officeDocument/2006/relationships/hyperlink" Target="https://unesdoc.unesco.org/ark:/48223/pf0000372521.page=89" TargetMode="External"/><Relationship Id="rId19" Type="http://schemas.openxmlformats.org/officeDocument/2006/relationships/hyperlink" Target="https://sustainabledevelopment.un.org/sdg14" TargetMode="External"/><Relationship Id="rId31" Type="http://schemas.openxmlformats.org/officeDocument/2006/relationships/hyperlink" Target="https://unesdoc.unesco.org/ark:/48223/pf0000381921" TargetMode="External"/><Relationship Id="rId4" Type="http://schemas.openxmlformats.org/officeDocument/2006/relationships/webSettings" Target="webSettings.xml"/><Relationship Id="rId9" Type="http://schemas.openxmlformats.org/officeDocument/2006/relationships/hyperlink" Target="https://unesdoc.unesco.org/ark:/48223/pf0000372521.page=89" TargetMode="External"/><Relationship Id="rId14" Type="http://schemas.openxmlformats.org/officeDocument/2006/relationships/header" Target="header2.xml"/><Relationship Id="rId22" Type="http://schemas.openxmlformats.org/officeDocument/2006/relationships/hyperlink" Target="http://legacy.ioc-unesco.org/index.php?option=com_oe&amp;task=viewDocumentRecord&amp;docID=21938" TargetMode="External"/><Relationship Id="rId27" Type="http://schemas.openxmlformats.org/officeDocument/2006/relationships/hyperlink" Target="https://oa.iode.org/" TargetMode="External"/><Relationship Id="rId30" Type="http://schemas.openxmlformats.org/officeDocument/2006/relationships/hyperlink" Target="https://youtu.be/qW2nV2bsyCs" TargetMode="External"/><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3247</Words>
  <Characters>18511</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2</cp:revision>
  <dcterms:created xsi:type="dcterms:W3CDTF">2023-06-17T10:25:00Z</dcterms:created>
  <dcterms:modified xsi:type="dcterms:W3CDTF">2023-06-17T10:25:00Z</dcterms:modified>
</cp:coreProperties>
</file>