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83CB" w14:textId="4B2A07F8" w:rsidR="00FA68D9" w:rsidRPr="00BC03E1" w:rsidRDefault="00FA68D9">
      <w:pPr>
        <w:rPr>
          <w:rFonts w:asciiTheme="minorBidi" w:hAnsiTheme="minorBidi" w:cstheme="minorBidi"/>
          <w:sz w:val="22"/>
          <w:szCs w:val="22"/>
        </w:rPr>
      </w:pPr>
    </w:p>
    <w:tbl>
      <w:tblPr>
        <w:tblStyle w:val="TableGrid"/>
        <w:tblW w:w="6804" w:type="dxa"/>
        <w:jc w:val="center"/>
        <w:tblLook w:val="04A0" w:firstRow="1" w:lastRow="0" w:firstColumn="1" w:lastColumn="0" w:noHBand="0" w:noVBand="1"/>
      </w:tblPr>
      <w:tblGrid>
        <w:gridCol w:w="6804"/>
      </w:tblGrid>
      <w:tr w:rsidR="00FA68D9" w:rsidRPr="00BC03E1" w14:paraId="1709CCC6" w14:textId="77777777" w:rsidTr="006D43E7">
        <w:trPr>
          <w:trHeight w:val="2507"/>
          <w:jc w:val="center"/>
        </w:trPr>
        <w:tc>
          <w:tcPr>
            <w:tcW w:w="6804" w:type="dxa"/>
          </w:tcPr>
          <w:p w14:paraId="33D8523D" w14:textId="2EFF265F" w:rsidR="001B5075" w:rsidRPr="00BC03E1" w:rsidRDefault="001B5075" w:rsidP="00D73E3C">
            <w:pPr>
              <w:tabs>
                <w:tab w:val="clear" w:pos="567"/>
              </w:tabs>
              <w:snapToGrid/>
              <w:spacing w:after="240"/>
              <w:jc w:val="center"/>
              <w:rPr>
                <w:rFonts w:asciiTheme="minorBidi" w:hAnsiTheme="minorBidi" w:cstheme="minorBidi"/>
                <w:bCs/>
                <w:sz w:val="22"/>
                <w:szCs w:val="22"/>
                <w:u w:val="single"/>
              </w:rPr>
            </w:pPr>
            <w:r w:rsidRPr="00BC03E1">
              <w:rPr>
                <w:rFonts w:asciiTheme="minorBidi" w:hAnsiTheme="minorBidi" w:cstheme="minorBidi"/>
                <w:bCs/>
                <w:sz w:val="22"/>
                <w:szCs w:val="22"/>
                <w:u w:val="single"/>
              </w:rPr>
              <w:t>Summary</w:t>
            </w:r>
          </w:p>
          <w:p w14:paraId="26255667" w14:textId="3DA8AA7A" w:rsidR="006B18B7" w:rsidRPr="00BC03E1" w:rsidRDefault="006B18B7" w:rsidP="006B18B7">
            <w:pPr>
              <w:widowControl w:val="0"/>
              <w:shd w:val="clear" w:color="auto" w:fill="FFFFFF"/>
              <w:adjustRightInd w:val="0"/>
              <w:spacing w:after="240"/>
              <w:ind w:right="284"/>
              <w:jc w:val="both"/>
              <w:textAlignment w:val="baseline"/>
              <w:rPr>
                <w:rFonts w:asciiTheme="minorBidi" w:eastAsia="Times New Roman" w:hAnsiTheme="minorBidi" w:cstheme="minorBidi"/>
                <w:sz w:val="22"/>
                <w:szCs w:val="22"/>
                <w:lang w:eastAsia="en-US"/>
              </w:rPr>
            </w:pPr>
            <w:r w:rsidRPr="00BC03E1">
              <w:rPr>
                <w:rFonts w:asciiTheme="minorBidi" w:eastAsia="Times New Roman" w:hAnsiTheme="minorBidi" w:cstheme="minorBidi"/>
                <w:sz w:val="22"/>
                <w:szCs w:val="22"/>
                <w:lang w:eastAsia="en-US"/>
              </w:rPr>
              <w:t>This document provides a brief report of the Chair of the Intersessional Financial Advisory Group (IFAG) on the work accomplished in the intersessional period December 202</w:t>
            </w:r>
            <w:r w:rsidR="00FB025F">
              <w:rPr>
                <w:rFonts w:asciiTheme="minorBidi" w:eastAsia="Times New Roman" w:hAnsiTheme="minorBidi" w:cstheme="minorBidi"/>
                <w:sz w:val="22"/>
                <w:szCs w:val="22"/>
                <w:lang w:eastAsia="en-US"/>
              </w:rPr>
              <w:t>2</w:t>
            </w:r>
            <w:r w:rsidRPr="00BC03E1">
              <w:rPr>
                <w:rFonts w:asciiTheme="minorBidi" w:eastAsia="Times New Roman" w:hAnsiTheme="minorBidi" w:cstheme="minorBidi"/>
                <w:sz w:val="22"/>
                <w:szCs w:val="22"/>
                <w:lang w:eastAsia="en-US"/>
              </w:rPr>
              <w:t>–</w:t>
            </w:r>
            <w:r w:rsidR="00DC3924">
              <w:rPr>
                <w:rFonts w:asciiTheme="minorBidi" w:eastAsia="Times New Roman" w:hAnsiTheme="minorBidi" w:cstheme="minorBidi"/>
                <w:sz w:val="22"/>
                <w:szCs w:val="22"/>
                <w:lang w:eastAsia="en-US"/>
              </w:rPr>
              <w:t>J</w:t>
            </w:r>
            <w:r w:rsidRPr="00BC03E1">
              <w:rPr>
                <w:rFonts w:asciiTheme="minorBidi" w:eastAsia="Times New Roman" w:hAnsiTheme="minorBidi" w:cstheme="minorBidi"/>
                <w:sz w:val="22"/>
                <w:szCs w:val="22"/>
                <w:lang w:eastAsia="en-US"/>
              </w:rPr>
              <w:t>une 202</w:t>
            </w:r>
            <w:r w:rsidR="00FB025F">
              <w:rPr>
                <w:rFonts w:asciiTheme="minorBidi" w:eastAsia="Times New Roman" w:hAnsiTheme="minorBidi" w:cstheme="minorBidi"/>
                <w:sz w:val="22"/>
                <w:szCs w:val="22"/>
                <w:lang w:eastAsia="en-US"/>
              </w:rPr>
              <w:t>3</w:t>
            </w:r>
            <w:r w:rsidR="005F0170">
              <w:rPr>
                <w:rFonts w:asciiTheme="minorBidi" w:eastAsia="Times New Roman" w:hAnsiTheme="minorBidi" w:cstheme="minorBidi"/>
                <w:sz w:val="22"/>
                <w:szCs w:val="22"/>
                <w:lang w:eastAsia="en-US"/>
              </w:rPr>
              <w:t>.</w:t>
            </w:r>
          </w:p>
          <w:p w14:paraId="6C050125" w14:textId="3E8A9BFE" w:rsidR="00FA68D9" w:rsidRPr="00BC03E1" w:rsidRDefault="006B18B7" w:rsidP="006B18B7">
            <w:pPr>
              <w:tabs>
                <w:tab w:val="clear" w:pos="567"/>
              </w:tabs>
              <w:snapToGrid/>
              <w:spacing w:after="240"/>
              <w:jc w:val="both"/>
              <w:rPr>
                <w:rFonts w:asciiTheme="minorBidi" w:hAnsiTheme="minorBidi" w:cstheme="minorBidi"/>
                <w:b/>
                <w:bCs/>
                <w:sz w:val="22"/>
                <w:szCs w:val="22"/>
              </w:rPr>
            </w:pPr>
            <w:r w:rsidRPr="00BC03E1">
              <w:rPr>
                <w:rFonts w:asciiTheme="minorBidi" w:eastAsia="Times New Roman" w:hAnsiTheme="minorBidi" w:cstheme="minorBidi"/>
                <w:sz w:val="22"/>
                <w:szCs w:val="22"/>
                <w:u w:val="single"/>
                <w:lang w:eastAsia="en-US"/>
              </w:rPr>
              <w:t>Decision proposed</w:t>
            </w:r>
            <w:r w:rsidRPr="00BC03E1">
              <w:rPr>
                <w:rFonts w:asciiTheme="minorBidi" w:eastAsia="Times New Roman" w:hAnsiTheme="minorBidi" w:cstheme="minorBidi"/>
                <w:sz w:val="22"/>
                <w:szCs w:val="22"/>
                <w:lang w:eastAsia="en-US"/>
              </w:rPr>
              <w:t xml:space="preserve"> is referenced </w:t>
            </w:r>
            <w:r w:rsidRPr="00BC03E1">
              <w:rPr>
                <w:rFonts w:asciiTheme="minorBidi" w:hAnsiTheme="minorBidi" w:cstheme="minorBidi"/>
                <w:sz w:val="22"/>
                <w:szCs w:val="22"/>
              </w:rPr>
              <w:t xml:space="preserve">Dec. </w:t>
            </w:r>
            <w:r w:rsidR="00930242">
              <w:rPr>
                <w:rFonts w:asciiTheme="minorBidi" w:hAnsiTheme="minorBidi" w:cstheme="minorBidi"/>
                <w:sz w:val="22"/>
                <w:szCs w:val="22"/>
              </w:rPr>
              <w:t>IOC</w:t>
            </w:r>
            <w:r w:rsidRPr="00BC03E1">
              <w:rPr>
                <w:rFonts w:asciiTheme="minorBidi" w:hAnsiTheme="minorBidi" w:cstheme="minorBidi"/>
                <w:sz w:val="22"/>
                <w:szCs w:val="22"/>
              </w:rPr>
              <w:t>-</w:t>
            </w:r>
            <w:r w:rsidR="00930242">
              <w:rPr>
                <w:rFonts w:asciiTheme="minorBidi" w:hAnsiTheme="minorBidi" w:cstheme="minorBidi"/>
                <w:sz w:val="22"/>
                <w:szCs w:val="22"/>
              </w:rPr>
              <w:t>32</w:t>
            </w:r>
            <w:r w:rsidRPr="00BC03E1">
              <w:rPr>
                <w:rFonts w:asciiTheme="minorBidi" w:hAnsiTheme="minorBidi" w:cstheme="minorBidi"/>
                <w:sz w:val="22"/>
                <w:szCs w:val="22"/>
              </w:rPr>
              <w:t>/</w:t>
            </w:r>
            <w:r w:rsidR="00930242">
              <w:rPr>
                <w:rFonts w:asciiTheme="minorBidi" w:hAnsiTheme="minorBidi" w:cstheme="minorBidi"/>
                <w:sz w:val="22"/>
                <w:szCs w:val="22"/>
              </w:rPr>
              <w:t>6</w:t>
            </w:r>
            <w:r w:rsidRPr="00BC03E1">
              <w:rPr>
                <w:rFonts w:asciiTheme="minorBidi" w:hAnsiTheme="minorBidi" w:cstheme="minorBidi"/>
                <w:sz w:val="22"/>
                <w:szCs w:val="22"/>
              </w:rPr>
              <w:t>.</w:t>
            </w:r>
            <w:r w:rsidR="00930242">
              <w:rPr>
                <w:rFonts w:asciiTheme="minorBidi" w:hAnsiTheme="minorBidi" w:cstheme="minorBidi"/>
                <w:sz w:val="22"/>
                <w:szCs w:val="22"/>
              </w:rPr>
              <w:t>2</w:t>
            </w:r>
            <w:r w:rsidRPr="00BC03E1">
              <w:rPr>
                <w:rFonts w:asciiTheme="minorBidi" w:hAnsiTheme="minorBidi" w:cstheme="minorBidi"/>
                <w:sz w:val="22"/>
                <w:szCs w:val="22"/>
              </w:rPr>
              <w:t xml:space="preserve"> in the Provisional Action Paper IO</w:t>
            </w:r>
            <w:r w:rsidR="00DC3924">
              <w:rPr>
                <w:rFonts w:asciiTheme="minorBidi" w:hAnsiTheme="minorBidi" w:cstheme="minorBidi"/>
                <w:sz w:val="22"/>
                <w:szCs w:val="22"/>
              </w:rPr>
              <w:t>C</w:t>
            </w:r>
            <w:r w:rsidR="00D9357E">
              <w:rPr>
                <w:rFonts w:asciiTheme="minorBidi" w:hAnsiTheme="minorBidi" w:cstheme="minorBidi"/>
                <w:sz w:val="22"/>
                <w:szCs w:val="22"/>
              </w:rPr>
              <w:t>/A</w:t>
            </w:r>
            <w:r w:rsidRPr="00BC03E1">
              <w:rPr>
                <w:rFonts w:asciiTheme="minorBidi" w:hAnsiTheme="minorBidi" w:cstheme="minorBidi"/>
                <w:sz w:val="22"/>
                <w:szCs w:val="22"/>
              </w:rPr>
              <w:t>-</w:t>
            </w:r>
            <w:r w:rsidR="007625F9">
              <w:rPr>
                <w:rFonts w:asciiTheme="minorBidi" w:hAnsiTheme="minorBidi" w:cstheme="minorBidi"/>
                <w:sz w:val="22"/>
                <w:szCs w:val="22"/>
              </w:rPr>
              <w:t>32</w:t>
            </w:r>
            <w:r w:rsidRPr="00BC03E1">
              <w:rPr>
                <w:rFonts w:asciiTheme="minorBidi" w:hAnsiTheme="minorBidi" w:cstheme="minorBidi"/>
                <w:sz w:val="22"/>
                <w:szCs w:val="22"/>
              </w:rPr>
              <w:t>/AP</w:t>
            </w:r>
            <w:r w:rsidR="00B57D44">
              <w:rPr>
                <w:rFonts w:asciiTheme="minorBidi" w:hAnsiTheme="minorBidi" w:cstheme="minorBidi"/>
                <w:sz w:val="22"/>
                <w:szCs w:val="22"/>
              </w:rPr>
              <w:t xml:space="preserve"> </w:t>
            </w:r>
            <w:proofErr w:type="spellStart"/>
            <w:r w:rsidR="00B57D44">
              <w:rPr>
                <w:rFonts w:asciiTheme="minorBidi" w:hAnsiTheme="minorBidi" w:cstheme="minorBidi"/>
                <w:sz w:val="22"/>
                <w:szCs w:val="22"/>
              </w:rPr>
              <w:t>Prov.Rev</w:t>
            </w:r>
            <w:proofErr w:type="spellEnd"/>
            <w:r w:rsidRPr="00BC03E1">
              <w:rPr>
                <w:rFonts w:asciiTheme="minorBidi" w:hAnsiTheme="minorBidi" w:cstheme="minorBidi"/>
                <w:sz w:val="22"/>
                <w:szCs w:val="22"/>
              </w:rPr>
              <w:t>.</w:t>
            </w:r>
          </w:p>
        </w:tc>
      </w:tr>
    </w:tbl>
    <w:p w14:paraId="6AFA3D07" w14:textId="5771BF82" w:rsidR="00181812" w:rsidRPr="004A1753" w:rsidRDefault="00FA68D9" w:rsidP="008B1450">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181812">
        <w:rPr>
          <w:rFonts w:asciiTheme="minorBidi" w:hAnsiTheme="minorBidi" w:cstheme="minorBidi"/>
          <w:b/>
          <w:bCs/>
          <w:sz w:val="22"/>
          <w:szCs w:val="22"/>
        </w:rPr>
        <w:br w:type="page"/>
      </w:r>
      <w:r w:rsidR="006B18B7" w:rsidRPr="004A1753">
        <w:rPr>
          <w:rFonts w:asciiTheme="minorBidi" w:hAnsiTheme="minorBidi" w:cstheme="minorBidi"/>
          <w:sz w:val="22"/>
          <w:szCs w:val="22"/>
        </w:rPr>
        <w:lastRenderedPageBreak/>
        <w:t>In accordance wit</w:t>
      </w:r>
      <w:r w:rsidR="00FB025F" w:rsidRPr="004A1753">
        <w:rPr>
          <w:rFonts w:asciiTheme="minorBidi" w:hAnsiTheme="minorBidi" w:cstheme="minorBidi"/>
          <w:sz w:val="22"/>
          <w:szCs w:val="22"/>
        </w:rPr>
        <w:t xml:space="preserve">h </w:t>
      </w:r>
      <w:hyperlink r:id="rId8" w:history="1">
        <w:r w:rsidR="00FB025F" w:rsidRPr="004A1753">
          <w:rPr>
            <w:rStyle w:val="Hyperlink"/>
            <w:rFonts w:asciiTheme="minorBidi" w:hAnsiTheme="minorBidi" w:cstheme="minorBidi"/>
            <w:sz w:val="22"/>
            <w:szCs w:val="22"/>
          </w:rPr>
          <w:t>Resolution EC-55/2</w:t>
        </w:r>
      </w:hyperlink>
      <w:r w:rsidR="006B18B7" w:rsidRPr="004A1753">
        <w:rPr>
          <w:rFonts w:asciiTheme="minorBidi" w:hAnsiTheme="minorBidi" w:cstheme="minorBidi"/>
          <w:sz w:val="22"/>
          <w:szCs w:val="22"/>
        </w:rPr>
        <w:t>, the open-ended Intersessional Financial Advisory Group</w:t>
      </w:r>
      <w:r w:rsidR="00C73498" w:rsidRPr="004A1753">
        <w:rPr>
          <w:rFonts w:asciiTheme="minorBidi" w:hAnsiTheme="minorBidi" w:cstheme="minorBidi"/>
          <w:sz w:val="22"/>
          <w:szCs w:val="22"/>
        </w:rPr>
        <w:t xml:space="preserve"> (IFAG)</w:t>
      </w:r>
      <w:r w:rsidR="006B18B7" w:rsidRPr="004A1753">
        <w:rPr>
          <w:rFonts w:asciiTheme="minorBidi" w:hAnsiTheme="minorBidi" w:cstheme="minorBidi"/>
          <w:sz w:val="22"/>
          <w:szCs w:val="22"/>
        </w:rPr>
        <w:t xml:space="preserve"> was reconstituted through a call for nominations addressed to Member States in the IOC Circular Letter </w:t>
      </w:r>
      <w:hyperlink r:id="rId9" w:history="1">
        <w:r w:rsidR="006B18B7" w:rsidRPr="004A1753">
          <w:rPr>
            <w:rStyle w:val="Hyperlink"/>
            <w:rFonts w:asciiTheme="minorBidi" w:hAnsiTheme="minorBidi" w:cstheme="minorBidi"/>
            <w:sz w:val="22"/>
            <w:szCs w:val="22"/>
          </w:rPr>
          <w:t>2</w:t>
        </w:r>
        <w:r w:rsidR="00FB025F" w:rsidRPr="004A1753">
          <w:rPr>
            <w:rStyle w:val="Hyperlink"/>
            <w:rFonts w:asciiTheme="minorBidi" w:hAnsiTheme="minorBidi" w:cstheme="minorBidi"/>
            <w:sz w:val="22"/>
            <w:szCs w:val="22"/>
          </w:rPr>
          <w:t>915</w:t>
        </w:r>
      </w:hyperlink>
      <w:r w:rsidR="006B18B7" w:rsidRPr="004A1753">
        <w:rPr>
          <w:rFonts w:asciiTheme="minorBidi" w:hAnsiTheme="minorBidi" w:cstheme="minorBidi"/>
          <w:sz w:val="22"/>
          <w:szCs w:val="22"/>
        </w:rPr>
        <w:t xml:space="preserve"> of 2</w:t>
      </w:r>
      <w:r w:rsidR="00572B98" w:rsidRPr="004A1753">
        <w:rPr>
          <w:rFonts w:asciiTheme="minorBidi" w:hAnsiTheme="minorBidi" w:cstheme="minorBidi"/>
          <w:sz w:val="22"/>
          <w:szCs w:val="22"/>
        </w:rPr>
        <w:t>5</w:t>
      </w:r>
      <w:r w:rsidR="006B18B7" w:rsidRPr="004A1753">
        <w:rPr>
          <w:rFonts w:asciiTheme="minorBidi" w:hAnsiTheme="minorBidi" w:cstheme="minorBidi"/>
          <w:sz w:val="22"/>
          <w:szCs w:val="22"/>
        </w:rPr>
        <w:t xml:space="preserve"> October 202</w:t>
      </w:r>
      <w:r w:rsidR="00572B98" w:rsidRPr="004A1753">
        <w:rPr>
          <w:rFonts w:asciiTheme="minorBidi" w:hAnsiTheme="minorBidi" w:cstheme="minorBidi"/>
          <w:sz w:val="22"/>
          <w:szCs w:val="22"/>
        </w:rPr>
        <w:t>2</w:t>
      </w:r>
      <w:r w:rsidR="006B18B7" w:rsidRPr="004A1753">
        <w:rPr>
          <w:rFonts w:asciiTheme="minorBidi" w:hAnsiTheme="minorBidi" w:cstheme="minorBidi"/>
          <w:sz w:val="22"/>
          <w:szCs w:val="22"/>
        </w:rPr>
        <w:t xml:space="preserve">. </w:t>
      </w:r>
    </w:p>
    <w:p w14:paraId="57C49D37" w14:textId="48B012E8" w:rsidR="00C73498" w:rsidRPr="004A1753" w:rsidRDefault="006B18B7" w:rsidP="008B1450">
      <w:pPr>
        <w:pStyle w:val="ListParagraph"/>
        <w:numPr>
          <w:ilvl w:val="0"/>
          <w:numId w:val="36"/>
        </w:numPr>
        <w:tabs>
          <w:tab w:val="clear" w:pos="567"/>
          <w:tab w:val="left" w:pos="714"/>
        </w:tabs>
        <w:spacing w:after="240"/>
        <w:ind w:left="0" w:firstLine="0"/>
        <w:contextualSpacing w:val="0"/>
        <w:jc w:val="both"/>
        <w:rPr>
          <w:rFonts w:ascii="Arial" w:hAnsi="Arial" w:cs="Arial"/>
          <w:sz w:val="22"/>
          <w:szCs w:val="22"/>
        </w:rPr>
      </w:pPr>
      <w:r w:rsidRPr="004A1753">
        <w:rPr>
          <w:rFonts w:asciiTheme="minorBidi" w:hAnsiTheme="minorBidi" w:cstheme="minorBidi"/>
          <w:sz w:val="22"/>
          <w:szCs w:val="22"/>
        </w:rPr>
        <w:t>As customary, the Group started working by correspondence and finalized its conclusions at the face-to-face meeting on 1</w:t>
      </w:r>
      <w:r w:rsidR="00572B98" w:rsidRPr="004A1753">
        <w:rPr>
          <w:rFonts w:asciiTheme="minorBidi" w:hAnsiTheme="minorBidi" w:cstheme="minorBidi"/>
          <w:sz w:val="22"/>
          <w:szCs w:val="22"/>
        </w:rPr>
        <w:t>9</w:t>
      </w:r>
      <w:r w:rsidRPr="004A1753">
        <w:rPr>
          <w:rFonts w:asciiTheme="minorBidi" w:hAnsiTheme="minorBidi" w:cstheme="minorBidi"/>
          <w:sz w:val="22"/>
          <w:szCs w:val="22"/>
        </w:rPr>
        <w:t xml:space="preserve"> June 202</w:t>
      </w:r>
      <w:r w:rsidR="00572B98" w:rsidRPr="004A1753">
        <w:rPr>
          <w:rFonts w:asciiTheme="minorBidi" w:hAnsiTheme="minorBidi" w:cstheme="minorBidi"/>
          <w:sz w:val="22"/>
          <w:szCs w:val="22"/>
        </w:rPr>
        <w:t>3</w:t>
      </w:r>
      <w:r w:rsidRPr="004A1753">
        <w:rPr>
          <w:rFonts w:asciiTheme="minorBidi" w:hAnsiTheme="minorBidi" w:cstheme="minorBidi"/>
          <w:sz w:val="22"/>
          <w:szCs w:val="22"/>
        </w:rPr>
        <w:t>.</w:t>
      </w:r>
      <w:r w:rsidR="00C73498" w:rsidRPr="004A1753">
        <w:rPr>
          <w:rFonts w:asciiTheme="minorBidi" w:hAnsiTheme="minorBidi" w:cstheme="minorBidi"/>
          <w:sz w:val="22"/>
          <w:szCs w:val="22"/>
        </w:rPr>
        <w:t xml:space="preserve"> Overall</w:t>
      </w:r>
      <w:r w:rsidR="00C73498" w:rsidRPr="004A1753">
        <w:rPr>
          <w:rFonts w:ascii="Arial" w:hAnsi="Arial" w:cs="Arial"/>
          <w:sz w:val="22"/>
          <w:szCs w:val="22"/>
        </w:rPr>
        <w:t>,</w:t>
      </w:r>
      <w:r w:rsidR="001A3660" w:rsidRPr="004A1753">
        <w:rPr>
          <w:rFonts w:ascii="Arial" w:hAnsi="Arial" w:cs="Arial"/>
          <w:sz w:val="22"/>
          <w:szCs w:val="22"/>
        </w:rPr>
        <w:t xml:space="preserve"> twenty-one</w:t>
      </w:r>
      <w:r w:rsidR="00C73498" w:rsidRPr="004A1753">
        <w:rPr>
          <w:rFonts w:ascii="Arial" w:hAnsi="Arial" w:cs="Arial"/>
          <w:sz w:val="22"/>
          <w:szCs w:val="22"/>
        </w:rPr>
        <w:t xml:space="preserve"> (</w:t>
      </w:r>
      <w:r w:rsidR="001A3660" w:rsidRPr="004A1753">
        <w:rPr>
          <w:rFonts w:ascii="Arial" w:hAnsi="Arial" w:cs="Arial"/>
          <w:sz w:val="22"/>
          <w:szCs w:val="22"/>
        </w:rPr>
        <w:t>21</w:t>
      </w:r>
      <w:r w:rsidR="00C73498" w:rsidRPr="004A1753">
        <w:rPr>
          <w:rFonts w:ascii="Arial" w:hAnsi="Arial" w:cs="Arial"/>
          <w:sz w:val="22"/>
          <w:szCs w:val="22"/>
        </w:rPr>
        <w:t xml:space="preserve">) Member States – </w:t>
      </w:r>
      <w:r w:rsidR="00386FC5" w:rsidRPr="004A1753">
        <w:rPr>
          <w:rStyle w:val="Hyperlink"/>
          <w:rFonts w:ascii="Arial" w:hAnsi="Arial" w:cs="Arial"/>
          <w:color w:val="auto"/>
          <w:sz w:val="22"/>
          <w:szCs w:val="22"/>
          <w:u w:val="none"/>
          <w:lang w:val="en-US"/>
        </w:rPr>
        <w:t xml:space="preserve">Argentina, Australia, Belgium, </w:t>
      </w:r>
      <w:r w:rsidR="00BD5F6A" w:rsidRPr="004A1753">
        <w:rPr>
          <w:rStyle w:val="Hyperlink"/>
          <w:rFonts w:ascii="Arial" w:hAnsi="Arial" w:cs="Arial"/>
          <w:color w:val="auto"/>
          <w:sz w:val="22"/>
          <w:szCs w:val="22"/>
          <w:u w:val="none"/>
          <w:lang w:val="en-US"/>
        </w:rPr>
        <w:t>Brazil,</w:t>
      </w:r>
      <w:r w:rsidR="0097769D" w:rsidRPr="004A1753">
        <w:rPr>
          <w:rStyle w:val="Hyperlink"/>
          <w:rFonts w:ascii="Arial" w:hAnsi="Arial" w:cs="Arial"/>
          <w:color w:val="auto"/>
          <w:sz w:val="22"/>
          <w:szCs w:val="22"/>
          <w:u w:val="none"/>
          <w:lang w:val="en-US"/>
        </w:rPr>
        <w:t xml:space="preserve"> Canada,</w:t>
      </w:r>
      <w:r w:rsidR="00BD5F6A" w:rsidRPr="004A1753">
        <w:rPr>
          <w:rStyle w:val="Hyperlink"/>
          <w:rFonts w:ascii="Arial" w:hAnsi="Arial" w:cs="Arial"/>
          <w:color w:val="auto"/>
          <w:sz w:val="22"/>
          <w:szCs w:val="22"/>
          <w:u w:val="none"/>
          <w:lang w:val="en-US"/>
        </w:rPr>
        <w:t xml:space="preserve"> </w:t>
      </w:r>
      <w:r w:rsidR="00AD5631" w:rsidRPr="004A1753">
        <w:rPr>
          <w:rStyle w:val="Hyperlink"/>
          <w:rFonts w:ascii="Arial" w:hAnsi="Arial" w:cs="Arial"/>
          <w:color w:val="auto"/>
          <w:sz w:val="22"/>
          <w:szCs w:val="22"/>
          <w:u w:val="none"/>
          <w:lang w:val="en-US"/>
        </w:rPr>
        <w:t xml:space="preserve">Democratic Republic of </w:t>
      </w:r>
      <w:r w:rsidR="00D9357E" w:rsidRPr="004A1753">
        <w:rPr>
          <w:rStyle w:val="Hyperlink"/>
          <w:rFonts w:ascii="Arial" w:hAnsi="Arial" w:cs="Arial"/>
          <w:color w:val="auto"/>
          <w:sz w:val="22"/>
          <w:szCs w:val="22"/>
          <w:u w:val="none"/>
          <w:lang w:val="en-US"/>
        </w:rPr>
        <w:t xml:space="preserve">the </w:t>
      </w:r>
      <w:r w:rsidR="00386FC5" w:rsidRPr="004A1753">
        <w:rPr>
          <w:rStyle w:val="Hyperlink"/>
          <w:rFonts w:ascii="Arial" w:hAnsi="Arial" w:cs="Arial"/>
          <w:color w:val="auto"/>
          <w:sz w:val="22"/>
          <w:szCs w:val="22"/>
          <w:u w:val="none"/>
          <w:lang w:val="en-US"/>
        </w:rPr>
        <w:t>Congo,</w:t>
      </w:r>
      <w:r w:rsidR="004C530B" w:rsidRPr="004A1753">
        <w:rPr>
          <w:rStyle w:val="Hyperlink"/>
          <w:rFonts w:ascii="Arial" w:hAnsi="Arial" w:cs="Arial"/>
          <w:color w:val="auto"/>
          <w:sz w:val="22"/>
          <w:szCs w:val="22"/>
          <w:u w:val="none"/>
          <w:lang w:val="en-US"/>
        </w:rPr>
        <w:t xml:space="preserve"> </w:t>
      </w:r>
      <w:r w:rsidR="00386FC5" w:rsidRPr="004A1753">
        <w:rPr>
          <w:rStyle w:val="Hyperlink"/>
          <w:rFonts w:ascii="Arial" w:hAnsi="Arial" w:cs="Arial"/>
          <w:color w:val="auto"/>
          <w:sz w:val="22"/>
          <w:szCs w:val="22"/>
          <w:u w:val="none"/>
          <w:lang w:val="en-US"/>
        </w:rPr>
        <w:t xml:space="preserve">Egypt, </w:t>
      </w:r>
      <w:r w:rsidR="004C530B" w:rsidRPr="004A1753">
        <w:rPr>
          <w:rStyle w:val="Hyperlink"/>
          <w:rFonts w:ascii="Arial" w:hAnsi="Arial" w:cs="Arial"/>
          <w:color w:val="auto"/>
          <w:sz w:val="22"/>
          <w:szCs w:val="22"/>
          <w:u w:val="none"/>
          <w:lang w:val="en-US"/>
        </w:rPr>
        <w:t xml:space="preserve">France, </w:t>
      </w:r>
      <w:r w:rsidR="00386FC5" w:rsidRPr="004A1753">
        <w:rPr>
          <w:rStyle w:val="Hyperlink"/>
          <w:rFonts w:ascii="Arial" w:hAnsi="Arial" w:cs="Arial"/>
          <w:color w:val="auto"/>
          <w:sz w:val="22"/>
          <w:szCs w:val="22"/>
          <w:u w:val="none"/>
          <w:lang w:val="en-US"/>
        </w:rPr>
        <w:t xml:space="preserve">Germany, Japan, </w:t>
      </w:r>
      <w:r w:rsidR="004C530B" w:rsidRPr="004A1753">
        <w:rPr>
          <w:rStyle w:val="Hyperlink"/>
          <w:rFonts w:ascii="Arial" w:hAnsi="Arial" w:cs="Arial"/>
          <w:color w:val="auto"/>
          <w:sz w:val="22"/>
          <w:szCs w:val="22"/>
          <w:u w:val="none"/>
          <w:lang w:val="en-US"/>
        </w:rPr>
        <w:t xml:space="preserve">Kenya, </w:t>
      </w:r>
      <w:r w:rsidR="00386FC5" w:rsidRPr="004A1753">
        <w:rPr>
          <w:rStyle w:val="Hyperlink"/>
          <w:rFonts w:ascii="Arial" w:hAnsi="Arial" w:cs="Arial"/>
          <w:color w:val="auto"/>
          <w:sz w:val="22"/>
          <w:szCs w:val="22"/>
          <w:u w:val="none"/>
          <w:lang w:val="en-US"/>
        </w:rPr>
        <w:t xml:space="preserve">Kuwait, Madagascar, </w:t>
      </w:r>
      <w:r w:rsidR="000119B6" w:rsidRPr="004A1753">
        <w:rPr>
          <w:rStyle w:val="Hyperlink"/>
          <w:rFonts w:ascii="Arial" w:hAnsi="Arial" w:cs="Arial"/>
          <w:color w:val="auto"/>
          <w:sz w:val="22"/>
          <w:szCs w:val="22"/>
          <w:u w:val="none"/>
          <w:lang w:val="en-US"/>
        </w:rPr>
        <w:t xml:space="preserve">Morocco, Nigeria, </w:t>
      </w:r>
      <w:r w:rsidR="00386FC5" w:rsidRPr="004A1753">
        <w:rPr>
          <w:rStyle w:val="Hyperlink"/>
          <w:rFonts w:ascii="Arial" w:hAnsi="Arial" w:cs="Arial"/>
          <w:color w:val="auto"/>
          <w:sz w:val="22"/>
          <w:szCs w:val="22"/>
          <w:u w:val="none"/>
          <w:lang w:val="en-US"/>
        </w:rPr>
        <w:t xml:space="preserve">Norway, Portugal, Russian Federation, Türkiye, </w:t>
      </w:r>
      <w:r w:rsidR="00181812" w:rsidRPr="004A1753">
        <w:rPr>
          <w:rStyle w:val="Hyperlink"/>
          <w:rFonts w:ascii="Arial" w:hAnsi="Arial" w:cs="Arial"/>
          <w:color w:val="auto"/>
          <w:sz w:val="22"/>
          <w:szCs w:val="22"/>
          <w:u w:val="none"/>
          <w:lang w:val="en-US"/>
        </w:rPr>
        <w:t>UK, and</w:t>
      </w:r>
      <w:r w:rsidR="00386FC5" w:rsidRPr="004A1753">
        <w:rPr>
          <w:rStyle w:val="Hyperlink"/>
          <w:rFonts w:ascii="Arial" w:hAnsi="Arial" w:cs="Arial"/>
          <w:color w:val="auto"/>
          <w:sz w:val="22"/>
          <w:szCs w:val="22"/>
          <w:u w:val="none"/>
          <w:lang w:val="en-US"/>
        </w:rPr>
        <w:t xml:space="preserve"> USA</w:t>
      </w:r>
      <w:r w:rsidR="00C73498" w:rsidRPr="004A1753">
        <w:rPr>
          <w:rFonts w:ascii="Arial" w:hAnsi="Arial" w:cs="Arial"/>
          <w:sz w:val="22"/>
          <w:szCs w:val="22"/>
        </w:rPr>
        <w:t xml:space="preserve"> </w:t>
      </w:r>
      <w:r w:rsidR="008242A0" w:rsidRPr="004A1753">
        <w:rPr>
          <w:rFonts w:ascii="Arial" w:hAnsi="Arial" w:cs="Arial"/>
          <w:sz w:val="22"/>
          <w:szCs w:val="22"/>
        </w:rPr>
        <w:t>–</w:t>
      </w:r>
      <w:r w:rsidR="00C74FCE" w:rsidRPr="004A1753">
        <w:rPr>
          <w:rFonts w:ascii="Arial" w:hAnsi="Arial" w:cs="Arial"/>
          <w:sz w:val="22"/>
          <w:szCs w:val="22"/>
        </w:rPr>
        <w:t xml:space="preserve"> </w:t>
      </w:r>
      <w:r w:rsidR="00C73498" w:rsidRPr="004A1753">
        <w:rPr>
          <w:rFonts w:ascii="Arial" w:hAnsi="Arial" w:cs="Arial"/>
          <w:sz w:val="22"/>
          <w:szCs w:val="22"/>
        </w:rPr>
        <w:t>participated in the work of the Group, chaired by IOC Vice-Chair Karim Hilmi.</w:t>
      </w:r>
    </w:p>
    <w:p w14:paraId="795781CD" w14:textId="4AF98790"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BC03E1">
        <w:rPr>
          <w:rFonts w:asciiTheme="minorBidi" w:hAnsiTheme="minorBidi" w:cstheme="minorBidi"/>
          <w:sz w:val="22"/>
          <w:szCs w:val="22"/>
        </w:rPr>
        <w:t xml:space="preserve">Focussing, as mandated by the IOC </w:t>
      </w:r>
      <w:r w:rsidR="00F70FE8">
        <w:rPr>
          <w:rFonts w:asciiTheme="minorBidi" w:hAnsiTheme="minorBidi" w:cstheme="minorBidi"/>
          <w:sz w:val="22"/>
          <w:szCs w:val="22"/>
        </w:rPr>
        <w:t>Executive Council</w:t>
      </w:r>
      <w:r w:rsidRPr="00BC03E1">
        <w:rPr>
          <w:rFonts w:asciiTheme="minorBidi" w:hAnsiTheme="minorBidi" w:cstheme="minorBidi"/>
          <w:sz w:val="22"/>
          <w:szCs w:val="22"/>
        </w:rPr>
        <w:t xml:space="preserve"> at its </w:t>
      </w:r>
      <w:r w:rsidR="00F70FE8">
        <w:rPr>
          <w:rFonts w:asciiTheme="minorBidi" w:hAnsiTheme="minorBidi" w:cstheme="minorBidi"/>
          <w:sz w:val="22"/>
          <w:szCs w:val="22"/>
        </w:rPr>
        <w:t>55</w:t>
      </w:r>
      <w:r w:rsidR="00F70FE8" w:rsidRPr="00F70FE8">
        <w:rPr>
          <w:rFonts w:asciiTheme="minorBidi" w:hAnsiTheme="minorBidi" w:cstheme="minorBidi"/>
          <w:sz w:val="22"/>
          <w:szCs w:val="22"/>
          <w:vertAlign w:val="superscript"/>
        </w:rPr>
        <w:t>th</w:t>
      </w:r>
      <w:r w:rsidR="00F70FE8">
        <w:rPr>
          <w:rFonts w:asciiTheme="minorBidi" w:hAnsiTheme="minorBidi" w:cstheme="minorBidi"/>
          <w:sz w:val="22"/>
          <w:szCs w:val="22"/>
        </w:rPr>
        <w:t xml:space="preserve"> </w:t>
      </w:r>
      <w:r w:rsidRPr="00BC03E1">
        <w:rPr>
          <w:rFonts w:asciiTheme="minorBidi" w:hAnsiTheme="minorBidi" w:cstheme="minorBidi"/>
          <w:sz w:val="22"/>
          <w:szCs w:val="22"/>
        </w:rPr>
        <w:t>session, on the matters covered by</w:t>
      </w:r>
      <w:r w:rsidR="00F70FE8">
        <w:rPr>
          <w:rFonts w:asciiTheme="minorBidi" w:hAnsiTheme="minorBidi" w:cstheme="minorBidi"/>
          <w:sz w:val="22"/>
          <w:szCs w:val="22"/>
        </w:rPr>
        <w:t xml:space="preserve"> Resolution EC-55/2,</w:t>
      </w:r>
      <w:r w:rsidRPr="00BC03E1">
        <w:rPr>
          <w:rFonts w:asciiTheme="minorBidi" w:hAnsiTheme="minorBidi" w:cstheme="minorBidi"/>
          <w:sz w:val="22"/>
          <w:szCs w:val="22"/>
        </w:rPr>
        <w:t xml:space="preserve"> and in compliance with the IFAG Terms of Reference (Annex 2 of IOC Resolution XXVIII-3), the Group structured its discussions in </w:t>
      </w:r>
      <w:r w:rsidR="007028B9">
        <w:rPr>
          <w:rFonts w:asciiTheme="minorBidi" w:hAnsiTheme="minorBidi" w:cstheme="minorBidi"/>
          <w:sz w:val="22"/>
          <w:szCs w:val="22"/>
        </w:rPr>
        <w:t>four</w:t>
      </w:r>
      <w:r w:rsidRPr="00BC03E1">
        <w:rPr>
          <w:rFonts w:asciiTheme="minorBidi" w:hAnsiTheme="minorBidi" w:cstheme="minorBidi"/>
          <w:sz w:val="22"/>
          <w:szCs w:val="22"/>
        </w:rPr>
        <w:t xml:space="preserve"> main parts as follows:</w:t>
      </w:r>
    </w:p>
    <w:p w14:paraId="096B2530" w14:textId="290796CA" w:rsidR="006B18B7" w:rsidRPr="00D9357E" w:rsidRDefault="006B18B7" w:rsidP="00D9357E">
      <w:pPr>
        <w:pStyle w:val="ListParagraph"/>
        <w:numPr>
          <w:ilvl w:val="0"/>
          <w:numId w:val="30"/>
        </w:numPr>
        <w:tabs>
          <w:tab w:val="clear" w:pos="567"/>
          <w:tab w:val="left" w:pos="709"/>
        </w:tabs>
        <w:spacing w:after="240"/>
        <w:ind w:left="567" w:hanging="567"/>
        <w:contextualSpacing w:val="0"/>
        <w:rPr>
          <w:rFonts w:asciiTheme="minorBidi" w:hAnsiTheme="minorBidi" w:cstheme="minorBidi"/>
          <w:color w:val="231F20"/>
          <w:sz w:val="22"/>
          <w:szCs w:val="22"/>
        </w:rPr>
      </w:pPr>
      <w:r w:rsidRPr="00D9357E">
        <w:rPr>
          <w:rFonts w:asciiTheme="minorBidi" w:hAnsiTheme="minorBidi" w:cstheme="minorBidi"/>
          <w:b/>
          <w:sz w:val="22"/>
          <w:szCs w:val="22"/>
        </w:rPr>
        <w:t>202</w:t>
      </w:r>
      <w:r w:rsidR="00F70FE8" w:rsidRPr="00D9357E">
        <w:rPr>
          <w:rFonts w:asciiTheme="minorBidi" w:hAnsiTheme="minorBidi" w:cstheme="minorBidi"/>
          <w:b/>
          <w:sz w:val="22"/>
          <w:szCs w:val="22"/>
        </w:rPr>
        <w:t>2</w:t>
      </w:r>
      <w:r w:rsidR="00D9357E" w:rsidRPr="00D9357E">
        <w:rPr>
          <w:rFonts w:asciiTheme="minorBidi" w:hAnsiTheme="minorBidi" w:cstheme="minorBidi"/>
          <w:b/>
          <w:sz w:val="22"/>
          <w:szCs w:val="22"/>
        </w:rPr>
        <w:t>–</w:t>
      </w:r>
      <w:r w:rsidRPr="00D9357E">
        <w:rPr>
          <w:rFonts w:asciiTheme="minorBidi" w:hAnsiTheme="minorBidi" w:cstheme="minorBidi"/>
          <w:b/>
          <w:sz w:val="22"/>
          <w:szCs w:val="22"/>
        </w:rPr>
        <w:t>202</w:t>
      </w:r>
      <w:r w:rsidR="00F70FE8" w:rsidRPr="00D9357E">
        <w:rPr>
          <w:rFonts w:asciiTheme="minorBidi" w:hAnsiTheme="minorBidi" w:cstheme="minorBidi"/>
          <w:b/>
          <w:sz w:val="22"/>
          <w:szCs w:val="22"/>
        </w:rPr>
        <w:t>3</w:t>
      </w:r>
      <w:r w:rsidRPr="00D9357E">
        <w:rPr>
          <w:rFonts w:asciiTheme="minorBidi" w:hAnsiTheme="minorBidi" w:cstheme="minorBidi"/>
          <w:b/>
          <w:sz w:val="22"/>
          <w:szCs w:val="22"/>
        </w:rPr>
        <w:t xml:space="preserve"> Budget Implementation as </w:t>
      </w:r>
      <w:proofErr w:type="gramStart"/>
      <w:r w:rsidRPr="00D9357E">
        <w:rPr>
          <w:rFonts w:asciiTheme="minorBidi" w:hAnsiTheme="minorBidi" w:cstheme="minorBidi"/>
          <w:b/>
          <w:sz w:val="22"/>
          <w:szCs w:val="22"/>
        </w:rPr>
        <w:t>at</w:t>
      </w:r>
      <w:proofErr w:type="gramEnd"/>
      <w:r w:rsidRPr="00D9357E">
        <w:rPr>
          <w:rFonts w:asciiTheme="minorBidi" w:hAnsiTheme="minorBidi" w:cstheme="minorBidi"/>
          <w:b/>
          <w:sz w:val="22"/>
          <w:szCs w:val="22"/>
        </w:rPr>
        <w:t xml:space="preserve"> 31 December 202</w:t>
      </w:r>
      <w:r w:rsidR="00F70FE8" w:rsidRPr="00D9357E">
        <w:rPr>
          <w:rFonts w:asciiTheme="minorBidi" w:hAnsiTheme="minorBidi" w:cstheme="minorBidi"/>
          <w:b/>
          <w:sz w:val="22"/>
          <w:szCs w:val="22"/>
        </w:rPr>
        <w:t>2</w:t>
      </w:r>
      <w:r w:rsidRPr="00D9357E">
        <w:rPr>
          <w:rFonts w:asciiTheme="minorBidi" w:hAnsiTheme="minorBidi" w:cstheme="minorBidi"/>
          <w:b/>
          <w:sz w:val="22"/>
          <w:szCs w:val="22"/>
        </w:rPr>
        <w:t xml:space="preserve"> and Financial Situation </w:t>
      </w:r>
      <w:r w:rsidR="00D9357E" w:rsidRPr="00D9357E">
        <w:rPr>
          <w:rFonts w:asciiTheme="minorBidi" w:hAnsiTheme="minorBidi" w:cstheme="minorBidi"/>
          <w:b/>
          <w:sz w:val="22"/>
          <w:szCs w:val="22"/>
        </w:rPr>
        <w:br/>
      </w:r>
      <w:r w:rsidRPr="00D9357E">
        <w:rPr>
          <w:rFonts w:asciiTheme="minorBidi" w:hAnsiTheme="minorBidi" w:cstheme="minorBidi"/>
          <w:b/>
          <w:sz w:val="22"/>
          <w:szCs w:val="22"/>
        </w:rPr>
        <w:t>of the IOC Special Account as at year end 202</w:t>
      </w:r>
      <w:r w:rsidR="00F70FE8" w:rsidRPr="00D9357E">
        <w:rPr>
          <w:rFonts w:asciiTheme="minorBidi" w:hAnsiTheme="minorBidi" w:cstheme="minorBidi"/>
          <w:b/>
          <w:sz w:val="22"/>
          <w:szCs w:val="22"/>
        </w:rPr>
        <w:t>2</w:t>
      </w:r>
      <w:r w:rsidRPr="00D9357E">
        <w:rPr>
          <w:rFonts w:asciiTheme="minorBidi" w:hAnsiTheme="minorBidi" w:cstheme="minorBidi"/>
          <w:b/>
          <w:sz w:val="22"/>
          <w:szCs w:val="22"/>
        </w:rPr>
        <w:t xml:space="preserve"> and Forecast for 2023</w:t>
      </w:r>
    </w:p>
    <w:p w14:paraId="719BB30C" w14:textId="743ABD00" w:rsidR="00A334F0" w:rsidRPr="004A1753" w:rsidRDefault="006B18B7" w:rsidP="00D9357E">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lang w:val="en-US"/>
        </w:rPr>
      </w:pPr>
      <w:r w:rsidRPr="004A1753">
        <w:rPr>
          <w:rFonts w:asciiTheme="minorBidi" w:hAnsiTheme="minorBidi" w:cstheme="minorBidi"/>
          <w:color w:val="231F20"/>
          <w:sz w:val="22"/>
          <w:szCs w:val="22"/>
          <w:lang w:val="en-US"/>
        </w:rPr>
        <w:t xml:space="preserve">In this context the Group considered documents </w:t>
      </w:r>
      <w:hyperlink r:id="rId10" w:history="1">
        <w:r w:rsidR="00AD5631" w:rsidRPr="004A1753">
          <w:rPr>
            <w:rStyle w:val="Hyperlink"/>
            <w:rFonts w:asciiTheme="minorBidi" w:hAnsiTheme="minorBidi" w:cstheme="minorBidi"/>
            <w:sz w:val="22"/>
            <w:szCs w:val="22"/>
            <w:lang w:val="en-US"/>
          </w:rPr>
          <w:t>IOC/A-32/3.2.Doc(2)</w:t>
        </w:r>
      </w:hyperlink>
      <w:r w:rsidR="00AD5631" w:rsidRPr="004A1753">
        <w:rPr>
          <w:rFonts w:asciiTheme="minorBidi" w:hAnsiTheme="minorBidi" w:cstheme="minorBidi"/>
          <w:color w:val="231F20"/>
          <w:sz w:val="22"/>
          <w:szCs w:val="22"/>
          <w:lang w:val="en-US"/>
        </w:rPr>
        <w:t xml:space="preserve"> and </w:t>
      </w:r>
      <w:hyperlink r:id="rId11" w:history="1">
        <w:r w:rsidR="00AD5631" w:rsidRPr="004A1753">
          <w:rPr>
            <w:rStyle w:val="Hyperlink"/>
            <w:rFonts w:asciiTheme="minorBidi" w:hAnsiTheme="minorBidi" w:cstheme="minorBidi"/>
            <w:sz w:val="22"/>
            <w:szCs w:val="22"/>
            <w:lang w:val="en-US"/>
          </w:rPr>
          <w:t>IOC/A-32/3.2.Doc(3)</w:t>
        </w:r>
      </w:hyperlink>
      <w:r w:rsidR="00AD5631" w:rsidRPr="004A1753">
        <w:rPr>
          <w:rFonts w:asciiTheme="minorBidi" w:hAnsiTheme="minorBidi" w:cstheme="minorBidi"/>
          <w:color w:val="231F20"/>
          <w:sz w:val="22"/>
          <w:szCs w:val="22"/>
          <w:lang w:val="en-US"/>
        </w:rPr>
        <w:t>. It w</w:t>
      </w:r>
      <w:r w:rsidRPr="004A1753">
        <w:rPr>
          <w:rFonts w:asciiTheme="minorBidi" w:hAnsiTheme="minorBidi" w:cstheme="minorBidi"/>
          <w:color w:val="231F20"/>
          <w:sz w:val="22"/>
          <w:szCs w:val="22"/>
          <w:lang w:val="en-US"/>
        </w:rPr>
        <w:t xml:space="preserve">as satisfied with the overall implementation </w:t>
      </w:r>
      <w:r w:rsidR="00111983" w:rsidRPr="004A1753">
        <w:rPr>
          <w:rFonts w:asciiTheme="minorBidi" w:hAnsiTheme="minorBidi" w:cstheme="minorBidi"/>
          <w:color w:val="231F20"/>
          <w:sz w:val="22"/>
          <w:szCs w:val="22"/>
          <w:lang w:val="en-US"/>
        </w:rPr>
        <w:t xml:space="preserve">as compliant with the </w:t>
      </w:r>
      <w:r w:rsidR="008A25DD" w:rsidRPr="004A1753">
        <w:rPr>
          <w:rFonts w:asciiTheme="minorBidi" w:hAnsiTheme="minorBidi" w:cstheme="minorBidi"/>
          <w:color w:val="231F20"/>
          <w:sz w:val="22"/>
          <w:szCs w:val="22"/>
          <w:lang w:val="en-US"/>
        </w:rPr>
        <w:t xml:space="preserve">approved </w:t>
      </w:r>
      <w:proofErr w:type="spellStart"/>
      <w:r w:rsidR="008A25DD" w:rsidRPr="004A1753">
        <w:rPr>
          <w:rFonts w:asciiTheme="minorBidi" w:hAnsiTheme="minorBidi" w:cstheme="minorBidi"/>
          <w:color w:val="231F20"/>
          <w:sz w:val="22"/>
          <w:szCs w:val="22"/>
          <w:lang w:val="en-US"/>
        </w:rPr>
        <w:t>programme</w:t>
      </w:r>
      <w:proofErr w:type="spellEnd"/>
      <w:r w:rsidR="008A25DD" w:rsidRPr="004A1753">
        <w:rPr>
          <w:rFonts w:asciiTheme="minorBidi" w:hAnsiTheme="minorBidi" w:cstheme="minorBidi"/>
          <w:color w:val="231F20"/>
          <w:sz w:val="22"/>
          <w:szCs w:val="22"/>
          <w:lang w:val="en-US"/>
        </w:rPr>
        <w:t xml:space="preserve"> and budget for the bienniu</w:t>
      </w:r>
      <w:r w:rsidR="00362EEA" w:rsidRPr="004A1753">
        <w:rPr>
          <w:rFonts w:asciiTheme="minorBidi" w:hAnsiTheme="minorBidi" w:cstheme="minorBidi"/>
          <w:color w:val="231F20"/>
          <w:sz w:val="22"/>
          <w:szCs w:val="22"/>
          <w:lang w:val="en-US"/>
        </w:rPr>
        <w:t>m</w:t>
      </w:r>
      <w:r w:rsidR="008A25DD" w:rsidRPr="004A1753">
        <w:rPr>
          <w:rFonts w:asciiTheme="minorBidi" w:hAnsiTheme="minorBidi" w:cstheme="minorBidi"/>
          <w:color w:val="231F20"/>
          <w:sz w:val="22"/>
          <w:szCs w:val="22"/>
          <w:lang w:val="en-US"/>
        </w:rPr>
        <w:t xml:space="preserve">. </w:t>
      </w:r>
      <w:r w:rsidR="00362EEA" w:rsidRPr="004A1753">
        <w:rPr>
          <w:rFonts w:asciiTheme="minorBidi" w:hAnsiTheme="minorBidi" w:cstheme="minorBidi"/>
          <w:color w:val="231F20"/>
          <w:sz w:val="22"/>
          <w:szCs w:val="22"/>
          <w:lang w:val="en-US"/>
        </w:rPr>
        <w:t xml:space="preserve">In reviewing </w:t>
      </w:r>
      <w:r w:rsidR="00A334F0" w:rsidRPr="004A1753">
        <w:rPr>
          <w:rFonts w:ascii="Arial" w:eastAsia="Calibri" w:hAnsi="Arial" w:cs="Arial"/>
          <w:sz w:val="22"/>
          <w:lang w:val="en-US"/>
        </w:rPr>
        <w:t xml:space="preserve">the information on the financial situation of the IOC Special </w:t>
      </w:r>
      <w:r w:rsidR="00A334F0" w:rsidRPr="004A1753">
        <w:rPr>
          <w:rFonts w:asciiTheme="minorBidi" w:hAnsiTheme="minorBidi" w:cstheme="minorBidi"/>
          <w:sz w:val="22"/>
          <w:szCs w:val="22"/>
        </w:rPr>
        <w:t>Account</w:t>
      </w:r>
      <w:r w:rsidR="00A334F0" w:rsidRPr="004A1753">
        <w:rPr>
          <w:rFonts w:ascii="Arial" w:eastAsia="Calibri" w:hAnsi="Arial" w:cs="Arial"/>
          <w:sz w:val="22"/>
          <w:lang w:val="en-US"/>
        </w:rPr>
        <w:t xml:space="preserve"> as at year end 2022 and forecast for 2023 provided in IOC/A-32/3.</w:t>
      </w:r>
      <w:proofErr w:type="gramStart"/>
      <w:r w:rsidR="00A334F0" w:rsidRPr="004A1753">
        <w:rPr>
          <w:rFonts w:ascii="Arial" w:eastAsia="Calibri" w:hAnsi="Arial" w:cs="Arial"/>
          <w:sz w:val="22"/>
          <w:lang w:val="en-US"/>
        </w:rPr>
        <w:t>2.Doc</w:t>
      </w:r>
      <w:proofErr w:type="gramEnd"/>
      <w:r w:rsidR="00A334F0" w:rsidRPr="004A1753">
        <w:rPr>
          <w:rFonts w:ascii="Arial" w:eastAsia="Calibri" w:hAnsi="Arial" w:cs="Arial"/>
          <w:sz w:val="22"/>
          <w:lang w:val="en-US"/>
        </w:rPr>
        <w:t>(3)</w:t>
      </w:r>
      <w:r w:rsidR="00362EEA" w:rsidRPr="004A1753">
        <w:rPr>
          <w:rFonts w:ascii="Arial" w:eastAsia="Calibri" w:hAnsi="Arial" w:cs="Arial"/>
          <w:sz w:val="22"/>
          <w:lang w:val="en-US"/>
        </w:rPr>
        <w:t xml:space="preserve">, IFAG took note of </w:t>
      </w:r>
      <w:r w:rsidR="00A334F0" w:rsidRPr="004A1753">
        <w:rPr>
          <w:rFonts w:ascii="Arial" w:eastAsia="Calibri" w:hAnsi="Arial" w:cs="Arial"/>
          <w:sz w:val="22"/>
          <w:lang w:val="en-US"/>
        </w:rPr>
        <w:t xml:space="preserve">the revised budgetary allocations for 2022–2023 as proposed in Table 1 </w:t>
      </w:r>
      <w:r w:rsidR="00362EEA" w:rsidRPr="004A1753">
        <w:rPr>
          <w:rFonts w:ascii="Arial" w:eastAsia="Calibri" w:hAnsi="Arial" w:cs="Arial"/>
          <w:sz w:val="22"/>
          <w:lang w:val="en-US"/>
        </w:rPr>
        <w:t>for Assembly’s consideration.</w:t>
      </w:r>
    </w:p>
    <w:p w14:paraId="0F51966B" w14:textId="3C734655" w:rsidR="00CB7908" w:rsidRPr="00D9357E" w:rsidRDefault="00CB7908" w:rsidP="00D9357E">
      <w:pPr>
        <w:pStyle w:val="ListParagraph"/>
        <w:numPr>
          <w:ilvl w:val="0"/>
          <w:numId w:val="30"/>
        </w:numPr>
        <w:tabs>
          <w:tab w:val="clear" w:pos="567"/>
          <w:tab w:val="left" w:pos="709"/>
        </w:tabs>
        <w:spacing w:after="240"/>
        <w:ind w:left="567" w:hanging="567"/>
        <w:contextualSpacing w:val="0"/>
        <w:rPr>
          <w:rFonts w:asciiTheme="minorBidi" w:hAnsiTheme="minorBidi" w:cstheme="minorBidi"/>
          <w:b/>
          <w:sz w:val="22"/>
          <w:szCs w:val="22"/>
        </w:rPr>
      </w:pPr>
      <w:r w:rsidRPr="00D9357E">
        <w:rPr>
          <w:rFonts w:asciiTheme="minorBidi" w:hAnsiTheme="minorBidi" w:cstheme="minorBidi"/>
          <w:b/>
          <w:sz w:val="22"/>
          <w:szCs w:val="22"/>
        </w:rPr>
        <w:t>Draft Programme and Budget for 2024</w:t>
      </w:r>
      <w:r w:rsidR="00D9357E" w:rsidRPr="00D9357E">
        <w:rPr>
          <w:rFonts w:asciiTheme="minorBidi" w:hAnsiTheme="minorBidi" w:cstheme="minorBidi"/>
          <w:b/>
          <w:sz w:val="22"/>
          <w:szCs w:val="22"/>
        </w:rPr>
        <w:t>–</w:t>
      </w:r>
      <w:r w:rsidRPr="00D9357E">
        <w:rPr>
          <w:rFonts w:asciiTheme="minorBidi" w:hAnsiTheme="minorBidi" w:cstheme="minorBidi"/>
          <w:b/>
          <w:sz w:val="22"/>
          <w:szCs w:val="22"/>
        </w:rPr>
        <w:t>2025 (42 C/5)</w:t>
      </w:r>
    </w:p>
    <w:p w14:paraId="045C7E9E" w14:textId="2F47E9BA" w:rsidR="00F243C3" w:rsidRPr="00F243C3" w:rsidRDefault="009836E9" w:rsidP="00D9357E">
      <w:pPr>
        <w:pStyle w:val="ListParagraph"/>
        <w:numPr>
          <w:ilvl w:val="0"/>
          <w:numId w:val="36"/>
        </w:numPr>
        <w:tabs>
          <w:tab w:val="clear" w:pos="567"/>
          <w:tab w:val="left" w:pos="714"/>
        </w:tabs>
        <w:spacing w:after="240"/>
        <w:ind w:left="0" w:firstLine="0"/>
        <w:contextualSpacing w:val="0"/>
        <w:jc w:val="both"/>
        <w:rPr>
          <w:rFonts w:asciiTheme="minorBidi" w:eastAsia="Calibri" w:hAnsiTheme="minorBidi" w:cstheme="minorBidi"/>
          <w:sz w:val="22"/>
          <w:szCs w:val="22"/>
          <w:lang w:val="en-US"/>
        </w:rPr>
      </w:pPr>
      <w:r>
        <w:rPr>
          <w:rFonts w:asciiTheme="minorBidi" w:eastAsia="Calibri" w:hAnsiTheme="minorBidi" w:cstheme="minorBidi"/>
          <w:sz w:val="22"/>
          <w:szCs w:val="22"/>
          <w:lang w:val="en-US"/>
        </w:rPr>
        <w:t xml:space="preserve">IFAG examined </w:t>
      </w:r>
      <w:r w:rsidR="00F243C3" w:rsidRPr="00F243C3">
        <w:rPr>
          <w:rFonts w:asciiTheme="minorBidi" w:eastAsia="Calibri" w:hAnsiTheme="minorBidi" w:cstheme="minorBidi"/>
          <w:sz w:val="22"/>
          <w:szCs w:val="22"/>
          <w:lang w:val="en-US"/>
        </w:rPr>
        <w:t xml:space="preserve">the Secretariat’s proposal contained </w:t>
      </w:r>
      <w:hyperlink r:id="rId12" w:history="1">
        <w:r w:rsidR="00F243C3" w:rsidRPr="001C41F8">
          <w:rPr>
            <w:rStyle w:val="Hyperlink"/>
            <w:rFonts w:asciiTheme="minorBidi" w:eastAsia="Calibri" w:hAnsiTheme="minorBidi" w:cstheme="minorBidi"/>
            <w:sz w:val="22"/>
            <w:szCs w:val="22"/>
            <w:lang w:val="en-US"/>
          </w:rPr>
          <w:t>in IOC/A-32/6.1.Doc(1)</w:t>
        </w:r>
      </w:hyperlink>
      <w:r w:rsidR="00F243C3" w:rsidRPr="00F243C3">
        <w:rPr>
          <w:rFonts w:asciiTheme="minorBidi" w:eastAsia="Calibri" w:hAnsiTheme="minorBidi" w:cstheme="minorBidi"/>
          <w:sz w:val="22"/>
          <w:szCs w:val="22"/>
          <w:lang w:val="en-US"/>
        </w:rPr>
        <w:t xml:space="preserve"> and prepared as a</w:t>
      </w:r>
      <w:r w:rsidR="00F243C3" w:rsidRPr="00F243C3">
        <w:rPr>
          <w:rFonts w:asciiTheme="minorBidi" w:hAnsiTheme="minorBidi" w:cstheme="minorBidi"/>
          <w:sz w:val="22"/>
          <w:szCs w:val="22"/>
          <w:lang w:val="en-US"/>
        </w:rPr>
        <w:t>n integral part of the UNESCO Draft Programme and Budget for 2024–2025 (42 C/5), submitted by the Director-General of UNESCO to the UNESCO Executive Board at its 216</w:t>
      </w:r>
      <w:r w:rsidR="00F243C3" w:rsidRPr="00F243C3">
        <w:rPr>
          <w:rFonts w:asciiTheme="minorBidi" w:hAnsiTheme="minorBidi" w:cstheme="minorBidi"/>
          <w:sz w:val="22"/>
          <w:szCs w:val="22"/>
          <w:vertAlign w:val="superscript"/>
          <w:lang w:val="en-US"/>
        </w:rPr>
        <w:t>th</w:t>
      </w:r>
      <w:r w:rsidR="00F243C3" w:rsidRPr="00F243C3">
        <w:rPr>
          <w:rFonts w:asciiTheme="minorBidi" w:hAnsiTheme="minorBidi" w:cstheme="minorBidi"/>
          <w:sz w:val="22"/>
          <w:szCs w:val="22"/>
          <w:lang w:val="en-US"/>
        </w:rPr>
        <w:t xml:space="preserve"> session</w:t>
      </w:r>
      <w:r w:rsidR="009D7765">
        <w:rPr>
          <w:rFonts w:asciiTheme="minorBidi" w:eastAsia="Calibri" w:hAnsiTheme="minorBidi" w:cstheme="minorBidi"/>
          <w:sz w:val="22"/>
          <w:szCs w:val="22"/>
          <w:lang w:val="en-US"/>
        </w:rPr>
        <w:t>.</w:t>
      </w:r>
    </w:p>
    <w:p w14:paraId="176E1CA8" w14:textId="76E8F74D" w:rsidR="00F243C3" w:rsidRPr="004A1753" w:rsidRDefault="009836E9" w:rsidP="00D9357E">
      <w:pPr>
        <w:pStyle w:val="ListParagraph"/>
        <w:numPr>
          <w:ilvl w:val="0"/>
          <w:numId w:val="36"/>
        </w:numPr>
        <w:tabs>
          <w:tab w:val="clear" w:pos="567"/>
          <w:tab w:val="left" w:pos="714"/>
        </w:tabs>
        <w:spacing w:after="240"/>
        <w:ind w:left="0" w:firstLine="0"/>
        <w:contextualSpacing w:val="0"/>
        <w:jc w:val="both"/>
        <w:rPr>
          <w:rFonts w:asciiTheme="minorBidi" w:eastAsia="Calibri" w:hAnsiTheme="minorBidi" w:cstheme="minorBidi"/>
          <w:bCs/>
          <w:sz w:val="22"/>
          <w:szCs w:val="22"/>
          <w:lang w:val="en-US"/>
        </w:rPr>
      </w:pPr>
      <w:r w:rsidRPr="004A1753">
        <w:rPr>
          <w:rFonts w:asciiTheme="minorBidi" w:eastAsia="Calibri" w:hAnsiTheme="minorBidi" w:cstheme="minorBidi"/>
          <w:sz w:val="22"/>
          <w:szCs w:val="22"/>
          <w:lang w:val="en-US"/>
        </w:rPr>
        <w:t xml:space="preserve">It </w:t>
      </w:r>
      <w:r w:rsidRPr="004A1753">
        <w:rPr>
          <w:rFonts w:asciiTheme="minorBidi" w:hAnsiTheme="minorBidi" w:cstheme="minorBidi"/>
          <w:sz w:val="22"/>
          <w:szCs w:val="22"/>
        </w:rPr>
        <w:t>noted</w:t>
      </w:r>
      <w:r w:rsidRPr="004A1753">
        <w:rPr>
          <w:rFonts w:asciiTheme="minorBidi" w:eastAsia="Calibri" w:hAnsiTheme="minorBidi" w:cstheme="minorBidi"/>
          <w:sz w:val="22"/>
          <w:szCs w:val="22"/>
          <w:lang w:val="en-US"/>
        </w:rPr>
        <w:t xml:space="preserve"> with appreciation </w:t>
      </w:r>
      <w:r w:rsidR="00F243C3" w:rsidRPr="004A1753">
        <w:rPr>
          <w:rFonts w:asciiTheme="minorBidi" w:eastAsia="Calibri" w:hAnsiTheme="minorBidi" w:cstheme="minorBidi"/>
          <w:sz w:val="22"/>
          <w:szCs w:val="22"/>
          <w:lang w:val="en-US"/>
        </w:rPr>
        <w:t>th</w:t>
      </w:r>
      <w:r w:rsidR="00D9357E" w:rsidRPr="004A1753">
        <w:rPr>
          <w:rFonts w:asciiTheme="minorBidi" w:eastAsia="Calibri" w:hAnsiTheme="minorBidi" w:cstheme="minorBidi"/>
          <w:sz w:val="22"/>
          <w:szCs w:val="22"/>
          <w:lang w:val="en-US"/>
        </w:rPr>
        <w:t>at</w:t>
      </w:r>
      <w:r w:rsidR="00F243C3" w:rsidRPr="004A1753">
        <w:rPr>
          <w:rFonts w:asciiTheme="minorBidi" w:eastAsia="Calibri" w:hAnsiTheme="minorBidi" w:cstheme="minorBidi"/>
          <w:sz w:val="22"/>
          <w:szCs w:val="22"/>
          <w:lang w:val="en-US"/>
        </w:rPr>
        <w:t xml:space="preserve"> </w:t>
      </w:r>
      <w:r w:rsidR="00920606" w:rsidRPr="004A1753">
        <w:rPr>
          <w:rFonts w:asciiTheme="minorBidi" w:eastAsia="Calibri" w:hAnsiTheme="minorBidi" w:cstheme="minorBidi"/>
          <w:sz w:val="22"/>
          <w:szCs w:val="22"/>
          <w:lang w:val="en-US"/>
        </w:rPr>
        <w:t>while a</w:t>
      </w:r>
      <w:r w:rsidR="009B6F4C">
        <w:rPr>
          <w:rFonts w:asciiTheme="minorBidi" w:eastAsia="Calibri" w:hAnsiTheme="minorBidi" w:cstheme="minorBidi"/>
          <w:sz w:val="22"/>
          <w:szCs w:val="22"/>
          <w:lang w:val="en-US"/>
        </w:rPr>
        <w:t xml:space="preserve"> considerable</w:t>
      </w:r>
      <w:r w:rsidR="00AB711B" w:rsidRPr="004A1753">
        <w:rPr>
          <w:rFonts w:asciiTheme="minorBidi" w:eastAsia="Calibri" w:hAnsiTheme="minorBidi" w:cstheme="minorBidi"/>
          <w:sz w:val="22"/>
          <w:szCs w:val="22"/>
          <w:lang w:val="en-US"/>
        </w:rPr>
        <w:t xml:space="preserve"> </w:t>
      </w:r>
      <w:r w:rsidR="00F243C3" w:rsidRPr="004A1753">
        <w:rPr>
          <w:rFonts w:asciiTheme="minorBidi" w:eastAsia="Calibri" w:hAnsiTheme="minorBidi" w:cstheme="minorBidi"/>
          <w:sz w:val="22"/>
          <w:szCs w:val="22"/>
          <w:lang w:val="en-US"/>
        </w:rPr>
        <w:t xml:space="preserve">increase in regular budget allocation to the IOC </w:t>
      </w:r>
      <w:r w:rsidR="00920606" w:rsidRPr="004A1753">
        <w:rPr>
          <w:rFonts w:asciiTheme="minorBidi" w:eastAsia="Calibri" w:hAnsiTheme="minorBidi" w:cstheme="minorBidi"/>
          <w:sz w:val="22"/>
          <w:szCs w:val="22"/>
          <w:lang w:val="en-US"/>
        </w:rPr>
        <w:t xml:space="preserve">was </w:t>
      </w:r>
      <w:r w:rsidR="009B6F4C">
        <w:rPr>
          <w:rFonts w:asciiTheme="minorBidi" w:eastAsia="Calibri" w:hAnsiTheme="minorBidi" w:cstheme="minorBidi"/>
          <w:sz w:val="22"/>
          <w:szCs w:val="22"/>
          <w:lang w:val="en-US"/>
        </w:rPr>
        <w:t xml:space="preserve">already </w:t>
      </w:r>
      <w:r w:rsidR="00F243C3" w:rsidRPr="004A1753">
        <w:rPr>
          <w:rFonts w:asciiTheme="minorBidi" w:eastAsia="Calibri" w:hAnsiTheme="minorBidi" w:cstheme="minorBidi"/>
          <w:sz w:val="22"/>
          <w:szCs w:val="22"/>
          <w:lang w:val="en-US"/>
        </w:rPr>
        <w:t>proposed by the Director-General of UNESCO</w:t>
      </w:r>
      <w:r w:rsidR="00AB711B" w:rsidRPr="004A1753">
        <w:rPr>
          <w:rFonts w:asciiTheme="minorBidi" w:eastAsia="Calibri" w:hAnsiTheme="minorBidi" w:cstheme="minorBidi"/>
          <w:sz w:val="22"/>
          <w:szCs w:val="22"/>
          <w:lang w:val="en-US"/>
        </w:rPr>
        <w:t xml:space="preserve">, the Board also considered a supplementary item proposed by a group of Member States on the ‘Urgent requirement </w:t>
      </w:r>
      <w:r w:rsidR="009E4B48" w:rsidRPr="004A1753">
        <w:rPr>
          <w:rFonts w:asciiTheme="minorBidi" w:eastAsia="Calibri" w:hAnsiTheme="minorBidi" w:cstheme="minorBidi"/>
          <w:sz w:val="22"/>
          <w:szCs w:val="22"/>
          <w:lang w:val="en-US"/>
        </w:rPr>
        <w:t xml:space="preserve">for increased and more stable resources to the …IOC’. This resulted in the </w:t>
      </w:r>
      <w:r w:rsidR="002E6FEB" w:rsidRPr="004A1753">
        <w:rPr>
          <w:rFonts w:asciiTheme="minorBidi" w:eastAsia="Calibri" w:hAnsiTheme="minorBidi" w:cstheme="minorBidi"/>
          <w:sz w:val="22"/>
          <w:szCs w:val="22"/>
          <w:lang w:val="en-US"/>
        </w:rPr>
        <w:t xml:space="preserve">adoption of </w:t>
      </w:r>
      <w:hyperlink r:id="rId13" w:history="1">
        <w:r w:rsidR="002E6FEB" w:rsidRPr="004A1753">
          <w:rPr>
            <w:rStyle w:val="Hyperlink"/>
            <w:rFonts w:asciiTheme="minorBidi" w:eastAsia="Calibri" w:hAnsiTheme="minorBidi" w:cstheme="minorBidi"/>
            <w:sz w:val="22"/>
            <w:szCs w:val="22"/>
            <w:lang w:val="en-US"/>
          </w:rPr>
          <w:t>216 EX/Decision 44</w:t>
        </w:r>
      </w:hyperlink>
      <w:r w:rsidR="00F243C3" w:rsidRPr="004A1753">
        <w:rPr>
          <w:rFonts w:asciiTheme="minorBidi" w:eastAsia="Calibri" w:hAnsiTheme="minorBidi" w:cstheme="minorBidi"/>
          <w:sz w:val="22"/>
          <w:szCs w:val="22"/>
          <w:lang w:val="en-US"/>
        </w:rPr>
        <w:t xml:space="preserve"> </w:t>
      </w:r>
      <w:r w:rsidR="00F243C3" w:rsidRPr="004A1753">
        <w:rPr>
          <w:rFonts w:asciiTheme="minorBidi" w:hAnsiTheme="minorBidi" w:cstheme="minorBidi"/>
          <w:bCs/>
          <w:sz w:val="22"/>
          <w:szCs w:val="22"/>
          <w:lang w:val="en-US"/>
        </w:rPr>
        <w:t>to recommend that the UNESCO General Conference at its 42</w:t>
      </w:r>
      <w:r w:rsidR="00F243C3" w:rsidRPr="004A1753">
        <w:rPr>
          <w:rFonts w:asciiTheme="minorBidi" w:hAnsiTheme="minorBidi" w:cstheme="minorBidi"/>
          <w:bCs/>
          <w:sz w:val="22"/>
          <w:szCs w:val="22"/>
          <w:vertAlign w:val="superscript"/>
          <w:lang w:val="en-US"/>
        </w:rPr>
        <w:t>nd</w:t>
      </w:r>
      <w:r w:rsidR="00F243C3" w:rsidRPr="004A1753">
        <w:rPr>
          <w:rFonts w:asciiTheme="minorBidi" w:hAnsiTheme="minorBidi" w:cstheme="minorBidi"/>
          <w:bCs/>
          <w:sz w:val="22"/>
          <w:szCs w:val="22"/>
          <w:lang w:val="en-US"/>
        </w:rPr>
        <w:t xml:space="preserve"> session agree an increase in the IOC’s share of the UNESCO regular budget of [1%], not to be decreased by transfers of funds to other parts of the budget and </w:t>
      </w:r>
      <w:r w:rsidR="00F243C3" w:rsidRPr="004A1753">
        <w:rPr>
          <w:rFonts w:asciiTheme="minorBidi" w:hAnsiTheme="minorBidi" w:cstheme="minorBidi"/>
          <w:bCs/>
          <w:i/>
          <w:iCs/>
          <w:sz w:val="22"/>
          <w:szCs w:val="22"/>
          <w:lang w:val="en-US"/>
        </w:rPr>
        <w:t>‘that a baseline be identified and agreed for the IOC’s share of UNESCO’s regular budget under document 42 C/5 and future C/5 documents and that no reduction to this baseline be made in the future unless agreed by the General Conference’</w:t>
      </w:r>
      <w:r w:rsidR="00EA2336" w:rsidRPr="004A1753">
        <w:rPr>
          <w:rFonts w:asciiTheme="minorBidi" w:hAnsiTheme="minorBidi" w:cstheme="minorBidi"/>
          <w:bCs/>
          <w:sz w:val="22"/>
          <w:szCs w:val="22"/>
          <w:lang w:val="en-US"/>
        </w:rPr>
        <w:t xml:space="preserve">. IFAG was unanimous in thanking </w:t>
      </w:r>
      <w:r w:rsidR="002E6FEB" w:rsidRPr="004A1753">
        <w:rPr>
          <w:rFonts w:asciiTheme="minorBidi" w:hAnsiTheme="minorBidi" w:cstheme="minorBidi"/>
          <w:bCs/>
          <w:sz w:val="22"/>
          <w:szCs w:val="22"/>
          <w:lang w:val="en-US"/>
        </w:rPr>
        <w:t xml:space="preserve">the </w:t>
      </w:r>
      <w:r w:rsidR="00EA2336" w:rsidRPr="004A1753">
        <w:rPr>
          <w:rFonts w:asciiTheme="minorBidi" w:hAnsiTheme="minorBidi" w:cstheme="minorBidi"/>
          <w:bCs/>
          <w:sz w:val="22"/>
          <w:szCs w:val="22"/>
          <w:lang w:val="en-US"/>
        </w:rPr>
        <w:t xml:space="preserve">initiators of the proposal and all Member States that supported this </w:t>
      </w:r>
      <w:r w:rsidR="00693E67" w:rsidRPr="004A1753">
        <w:rPr>
          <w:rFonts w:asciiTheme="minorBidi" w:hAnsiTheme="minorBidi" w:cstheme="minorBidi"/>
          <w:bCs/>
          <w:sz w:val="22"/>
          <w:szCs w:val="22"/>
          <w:lang w:val="en-US"/>
        </w:rPr>
        <w:t xml:space="preserve">decision, which is </w:t>
      </w:r>
      <w:r w:rsidR="00DB4C5E" w:rsidRPr="004A1753">
        <w:rPr>
          <w:rFonts w:asciiTheme="minorBidi" w:hAnsiTheme="minorBidi" w:cstheme="minorBidi"/>
          <w:bCs/>
          <w:sz w:val="22"/>
          <w:szCs w:val="22"/>
          <w:lang w:val="en-US"/>
        </w:rPr>
        <w:t xml:space="preserve">fully in line with the conclusions of the IOS Evaluation of the </w:t>
      </w:r>
      <w:r w:rsidR="00FC171E" w:rsidRPr="004A1753">
        <w:rPr>
          <w:rFonts w:asciiTheme="minorBidi" w:hAnsiTheme="minorBidi" w:cstheme="minorBidi"/>
          <w:bCs/>
          <w:sz w:val="22"/>
          <w:szCs w:val="22"/>
          <w:lang w:val="en-US"/>
        </w:rPr>
        <w:t>IOC Strategic Positioni</w:t>
      </w:r>
      <w:r w:rsidR="00492FBD" w:rsidRPr="004A1753">
        <w:rPr>
          <w:rFonts w:asciiTheme="minorBidi" w:hAnsiTheme="minorBidi" w:cstheme="minorBidi"/>
          <w:bCs/>
          <w:sz w:val="22"/>
          <w:szCs w:val="22"/>
          <w:lang w:val="en-US"/>
        </w:rPr>
        <w:t xml:space="preserve">ng. </w:t>
      </w:r>
      <w:r w:rsidR="000471C9" w:rsidRPr="004A1753">
        <w:rPr>
          <w:rFonts w:asciiTheme="minorBidi" w:hAnsiTheme="minorBidi" w:cstheme="minorBidi"/>
          <w:bCs/>
          <w:sz w:val="22"/>
          <w:szCs w:val="22"/>
          <w:lang w:val="en-US"/>
        </w:rPr>
        <w:t>The Group took note of the</w:t>
      </w:r>
      <w:r w:rsidR="00777D6D" w:rsidRPr="004A1753">
        <w:rPr>
          <w:rFonts w:asciiTheme="minorBidi" w:hAnsiTheme="minorBidi" w:cstheme="minorBidi"/>
          <w:bCs/>
          <w:sz w:val="22"/>
          <w:szCs w:val="22"/>
          <w:lang w:val="en-US"/>
        </w:rPr>
        <w:t xml:space="preserve"> comments of the Director-General on item 44 (</w:t>
      </w:r>
      <w:hyperlink r:id="rId14" w:history="1">
        <w:r w:rsidR="00777D6D" w:rsidRPr="001C41F8">
          <w:rPr>
            <w:rStyle w:val="Hyperlink"/>
            <w:rFonts w:asciiTheme="minorBidi" w:hAnsiTheme="minorBidi" w:cstheme="minorBidi"/>
            <w:bCs/>
            <w:sz w:val="22"/>
            <w:szCs w:val="22"/>
            <w:lang w:val="en-US"/>
          </w:rPr>
          <w:t>216 EX/</w:t>
        </w:r>
        <w:proofErr w:type="spellStart"/>
        <w:r w:rsidR="000E7B1C" w:rsidRPr="001C41F8">
          <w:rPr>
            <w:rStyle w:val="Hyperlink"/>
            <w:rFonts w:asciiTheme="minorBidi" w:hAnsiTheme="minorBidi" w:cstheme="minorBidi"/>
            <w:bCs/>
            <w:sz w:val="22"/>
            <w:szCs w:val="22"/>
            <w:lang w:val="en-US"/>
          </w:rPr>
          <w:t>DG.INF.Rev</w:t>
        </w:r>
        <w:proofErr w:type="spellEnd"/>
      </w:hyperlink>
      <w:r w:rsidR="00DC3924">
        <w:rPr>
          <w:rFonts w:asciiTheme="minorBidi" w:hAnsiTheme="minorBidi" w:cstheme="minorBidi"/>
          <w:bCs/>
          <w:sz w:val="22"/>
          <w:szCs w:val="22"/>
          <w:lang w:val="en-US"/>
        </w:rPr>
        <w:t>.</w:t>
      </w:r>
      <w:r w:rsidR="000E7B1C" w:rsidRPr="004A1753">
        <w:rPr>
          <w:rFonts w:asciiTheme="minorBidi" w:hAnsiTheme="minorBidi" w:cstheme="minorBidi"/>
          <w:bCs/>
          <w:sz w:val="22"/>
          <w:szCs w:val="22"/>
          <w:lang w:val="en-US"/>
        </w:rPr>
        <w:t>)</w:t>
      </w:r>
      <w:r w:rsidR="00D56E87" w:rsidRPr="004A1753">
        <w:rPr>
          <w:rFonts w:asciiTheme="minorBidi" w:hAnsiTheme="minorBidi" w:cstheme="minorBidi"/>
          <w:bCs/>
          <w:sz w:val="22"/>
          <w:szCs w:val="22"/>
          <w:lang w:val="en-US"/>
        </w:rPr>
        <w:t xml:space="preserve"> indicating that </w:t>
      </w:r>
      <w:r w:rsidR="000434DE" w:rsidRPr="004A1753">
        <w:rPr>
          <w:rFonts w:asciiTheme="minorBidi" w:hAnsiTheme="minorBidi" w:cstheme="minorBidi"/>
          <w:bCs/>
          <w:i/>
          <w:iCs/>
          <w:sz w:val="22"/>
          <w:szCs w:val="22"/>
          <w:lang w:val="en-US"/>
        </w:rPr>
        <w:t>‘</w:t>
      </w:r>
      <w:r w:rsidR="00083380" w:rsidRPr="004A1753">
        <w:rPr>
          <w:rFonts w:asciiTheme="minorBidi" w:hAnsiTheme="minorBidi" w:cstheme="minorBidi"/>
          <w:bCs/>
          <w:i/>
          <w:iCs/>
          <w:sz w:val="22"/>
          <w:szCs w:val="22"/>
          <w:lang w:val="en-US"/>
        </w:rPr>
        <w:t>a 1% increase of IOC’s share of the UNESCO Regular Budget (i.e., from 2.1 to 3.1%), compared to the 41</w:t>
      </w:r>
      <w:r w:rsidR="00D9357E" w:rsidRPr="004A1753">
        <w:rPr>
          <w:rFonts w:asciiTheme="minorBidi" w:hAnsiTheme="minorBidi" w:cstheme="minorBidi"/>
          <w:bCs/>
          <w:i/>
          <w:iCs/>
          <w:sz w:val="22"/>
          <w:szCs w:val="22"/>
          <w:lang w:val="en-US"/>
        </w:rPr>
        <w:t> </w:t>
      </w:r>
      <w:r w:rsidR="00083380" w:rsidRPr="004A1753">
        <w:rPr>
          <w:rFonts w:asciiTheme="minorBidi" w:hAnsiTheme="minorBidi" w:cstheme="minorBidi"/>
          <w:bCs/>
          <w:i/>
          <w:iCs/>
          <w:sz w:val="22"/>
          <w:szCs w:val="22"/>
          <w:lang w:val="en-US"/>
        </w:rPr>
        <w:t>C/5 would require an additional $4 million to be allocated to the IOC under the Base Case scenario</w:t>
      </w:r>
      <w:r w:rsidR="00A16685" w:rsidRPr="004A1753">
        <w:rPr>
          <w:rFonts w:asciiTheme="minorBidi" w:hAnsiTheme="minorBidi" w:cstheme="minorBidi"/>
          <w:bCs/>
          <w:i/>
          <w:iCs/>
          <w:sz w:val="22"/>
          <w:szCs w:val="22"/>
          <w:lang w:val="en-US"/>
        </w:rPr>
        <w:t>’</w:t>
      </w:r>
      <w:r w:rsidR="00083380" w:rsidRPr="004A1753">
        <w:rPr>
          <w:rFonts w:asciiTheme="minorBidi" w:hAnsiTheme="minorBidi" w:cstheme="minorBidi"/>
          <w:bCs/>
          <w:sz w:val="22"/>
          <w:szCs w:val="22"/>
          <w:lang w:val="en-US"/>
        </w:rPr>
        <w:t>.</w:t>
      </w:r>
    </w:p>
    <w:p w14:paraId="764E1306" w14:textId="62643C08" w:rsidR="00F243C3" w:rsidRDefault="00D71094" w:rsidP="00D9357E">
      <w:pPr>
        <w:pStyle w:val="ListParagraph"/>
        <w:numPr>
          <w:ilvl w:val="0"/>
          <w:numId w:val="36"/>
        </w:numPr>
        <w:tabs>
          <w:tab w:val="clear" w:pos="567"/>
          <w:tab w:val="left" w:pos="714"/>
        </w:tabs>
        <w:spacing w:after="240"/>
        <w:ind w:left="0" w:firstLine="0"/>
        <w:contextualSpacing w:val="0"/>
        <w:jc w:val="both"/>
        <w:rPr>
          <w:rFonts w:ascii="Arial" w:eastAsia="Calibri" w:hAnsi="Arial" w:cs="Arial"/>
          <w:bCs/>
          <w:sz w:val="22"/>
          <w:szCs w:val="22"/>
          <w:lang w:val="en-US"/>
        </w:rPr>
      </w:pPr>
      <w:r w:rsidRPr="00D71094">
        <w:rPr>
          <w:rFonts w:ascii="Arial" w:hAnsi="Arial" w:cs="Arial"/>
          <w:bCs/>
          <w:sz w:val="22"/>
          <w:szCs w:val="22"/>
          <w:lang w:val="en-US"/>
        </w:rPr>
        <w:t xml:space="preserve">The Group also welcomed </w:t>
      </w:r>
      <w:r w:rsidR="00852D37">
        <w:rPr>
          <w:rFonts w:ascii="Arial" w:hAnsi="Arial" w:cs="Arial"/>
          <w:bCs/>
          <w:sz w:val="22"/>
          <w:szCs w:val="22"/>
          <w:lang w:val="en-US"/>
        </w:rPr>
        <w:t>another major development</w:t>
      </w:r>
      <w:r w:rsidR="006F5F58">
        <w:rPr>
          <w:rFonts w:ascii="Arial" w:hAnsi="Arial" w:cs="Arial"/>
          <w:bCs/>
          <w:sz w:val="22"/>
          <w:szCs w:val="22"/>
          <w:lang w:val="en-US"/>
        </w:rPr>
        <w:t>—</w:t>
      </w:r>
      <w:r w:rsidRPr="00D71094">
        <w:rPr>
          <w:rFonts w:ascii="Arial" w:hAnsi="Arial" w:cs="Arial"/>
          <w:bCs/>
          <w:sz w:val="22"/>
          <w:szCs w:val="22"/>
          <w:lang w:val="en-US"/>
        </w:rPr>
        <w:t xml:space="preserve">the </w:t>
      </w:r>
      <w:r w:rsidR="00F243C3" w:rsidRPr="00D71094">
        <w:rPr>
          <w:rFonts w:ascii="Arial" w:eastAsia="Calibri" w:hAnsi="Arial" w:cs="Arial"/>
          <w:bCs/>
          <w:sz w:val="22"/>
          <w:szCs w:val="22"/>
          <w:lang w:val="en-US"/>
        </w:rPr>
        <w:t xml:space="preserve">proposal </w:t>
      </w:r>
      <w:r w:rsidR="009B6F4C">
        <w:rPr>
          <w:rFonts w:ascii="Arial" w:eastAsia="Calibri" w:hAnsi="Arial" w:cs="Arial"/>
          <w:bCs/>
          <w:sz w:val="22"/>
          <w:szCs w:val="22"/>
          <w:lang w:val="en-US"/>
        </w:rPr>
        <w:t>by</w:t>
      </w:r>
      <w:r w:rsidR="00F243C3" w:rsidRPr="00D71094">
        <w:rPr>
          <w:rFonts w:ascii="Arial" w:eastAsia="Calibri" w:hAnsi="Arial" w:cs="Arial"/>
          <w:bCs/>
          <w:sz w:val="22"/>
          <w:szCs w:val="22"/>
          <w:lang w:val="en-US"/>
        </w:rPr>
        <w:t xml:space="preserve"> the United States of America of a plan for its return to UNESCO as a Member State, to be examined by the UNESCO General Conference at its extraordinary session on 29</w:t>
      </w:r>
      <w:r w:rsidR="006F5F58">
        <w:rPr>
          <w:rFonts w:ascii="Arial" w:eastAsia="Calibri" w:hAnsi="Arial" w:cs="Arial"/>
          <w:bCs/>
          <w:sz w:val="22"/>
          <w:szCs w:val="22"/>
          <w:lang w:val="en-US"/>
        </w:rPr>
        <w:t>–</w:t>
      </w:r>
      <w:r w:rsidR="00F243C3" w:rsidRPr="00D71094">
        <w:rPr>
          <w:rFonts w:ascii="Arial" w:eastAsia="Calibri" w:hAnsi="Arial" w:cs="Arial"/>
          <w:bCs/>
          <w:sz w:val="22"/>
          <w:szCs w:val="22"/>
          <w:lang w:val="en-US"/>
        </w:rPr>
        <w:t>30 June 2023</w:t>
      </w:r>
      <w:r>
        <w:rPr>
          <w:rFonts w:ascii="Arial" w:eastAsia="Calibri" w:hAnsi="Arial" w:cs="Arial"/>
          <w:bCs/>
          <w:sz w:val="22"/>
          <w:szCs w:val="22"/>
          <w:lang w:val="en-US"/>
        </w:rPr>
        <w:t xml:space="preserve">. </w:t>
      </w:r>
    </w:p>
    <w:p w14:paraId="3B389CFD" w14:textId="3A5FF0DF" w:rsidR="00852D37" w:rsidRDefault="006168AD" w:rsidP="00D9357E">
      <w:pPr>
        <w:pStyle w:val="ListParagraph"/>
        <w:numPr>
          <w:ilvl w:val="0"/>
          <w:numId w:val="36"/>
        </w:numPr>
        <w:tabs>
          <w:tab w:val="clear" w:pos="567"/>
          <w:tab w:val="left" w:pos="714"/>
        </w:tabs>
        <w:spacing w:after="240"/>
        <w:ind w:left="0" w:firstLine="0"/>
        <w:contextualSpacing w:val="0"/>
        <w:jc w:val="both"/>
        <w:rPr>
          <w:rFonts w:ascii="Arial" w:eastAsia="Calibri" w:hAnsi="Arial" w:cs="Arial"/>
          <w:bCs/>
          <w:sz w:val="22"/>
          <w:szCs w:val="22"/>
          <w:lang w:val="en-US"/>
        </w:rPr>
      </w:pPr>
      <w:r>
        <w:rPr>
          <w:rFonts w:ascii="Arial" w:eastAsia="Calibri" w:hAnsi="Arial" w:cs="Arial"/>
          <w:bCs/>
          <w:sz w:val="22"/>
          <w:szCs w:val="22"/>
          <w:lang w:val="en-US"/>
        </w:rPr>
        <w:t xml:space="preserve">While it is customary for the IOC Assembly to </w:t>
      </w:r>
      <w:r w:rsidR="00893282">
        <w:rPr>
          <w:rFonts w:ascii="Arial" w:eastAsia="Calibri" w:hAnsi="Arial" w:cs="Arial"/>
          <w:bCs/>
          <w:sz w:val="22"/>
          <w:szCs w:val="22"/>
          <w:lang w:val="en-US"/>
        </w:rPr>
        <w:t xml:space="preserve">guide the Secretariat </w:t>
      </w:r>
      <w:proofErr w:type="gramStart"/>
      <w:r w:rsidR="00893282">
        <w:rPr>
          <w:rFonts w:ascii="Arial" w:eastAsia="Calibri" w:hAnsi="Arial" w:cs="Arial"/>
          <w:bCs/>
          <w:sz w:val="22"/>
          <w:szCs w:val="22"/>
          <w:lang w:val="en-US"/>
        </w:rPr>
        <w:t>on  priorities</w:t>
      </w:r>
      <w:proofErr w:type="gramEnd"/>
      <w:r w:rsidR="00893282">
        <w:rPr>
          <w:rFonts w:ascii="Arial" w:eastAsia="Calibri" w:hAnsi="Arial" w:cs="Arial"/>
          <w:bCs/>
          <w:sz w:val="22"/>
          <w:szCs w:val="22"/>
          <w:lang w:val="en-US"/>
        </w:rPr>
        <w:t xml:space="preserve"> and </w:t>
      </w:r>
      <w:r w:rsidR="00893282" w:rsidRPr="00D9357E">
        <w:rPr>
          <w:rFonts w:asciiTheme="minorBidi" w:eastAsia="Calibri" w:hAnsiTheme="minorBidi" w:cstheme="minorBidi"/>
          <w:sz w:val="22"/>
          <w:szCs w:val="22"/>
          <w:lang w:val="en-US"/>
        </w:rPr>
        <w:t>budgeting</w:t>
      </w:r>
      <w:r w:rsidR="00893282">
        <w:rPr>
          <w:rFonts w:ascii="Arial" w:eastAsia="Calibri" w:hAnsi="Arial" w:cs="Arial"/>
          <w:bCs/>
          <w:sz w:val="22"/>
          <w:szCs w:val="22"/>
          <w:lang w:val="en-US"/>
        </w:rPr>
        <w:t xml:space="preserve"> principles to respect when </w:t>
      </w:r>
      <w:r w:rsidR="003158D5">
        <w:rPr>
          <w:rFonts w:ascii="Arial" w:eastAsia="Calibri" w:hAnsi="Arial" w:cs="Arial"/>
          <w:bCs/>
          <w:sz w:val="22"/>
          <w:szCs w:val="22"/>
          <w:lang w:val="en-US"/>
        </w:rPr>
        <w:t xml:space="preserve">submitting adjusted proposals in the context of UNESCO Programme and Budget adoption process, </w:t>
      </w:r>
      <w:r w:rsidR="008335A1">
        <w:rPr>
          <w:rFonts w:ascii="Arial" w:eastAsia="Calibri" w:hAnsi="Arial" w:cs="Arial"/>
          <w:bCs/>
          <w:sz w:val="22"/>
          <w:szCs w:val="22"/>
          <w:lang w:val="en-US"/>
        </w:rPr>
        <w:t>Member States</w:t>
      </w:r>
      <w:r w:rsidR="00875D31">
        <w:rPr>
          <w:rFonts w:ascii="Arial" w:eastAsia="Calibri" w:hAnsi="Arial" w:cs="Arial"/>
          <w:bCs/>
          <w:sz w:val="22"/>
          <w:szCs w:val="22"/>
          <w:lang w:val="en-US"/>
        </w:rPr>
        <w:t xml:space="preserve"> </w:t>
      </w:r>
      <w:r w:rsidR="008335A1">
        <w:rPr>
          <w:rFonts w:ascii="Arial" w:eastAsia="Calibri" w:hAnsi="Arial" w:cs="Arial"/>
          <w:bCs/>
          <w:sz w:val="22"/>
          <w:szCs w:val="22"/>
          <w:lang w:val="en-US"/>
        </w:rPr>
        <w:t xml:space="preserve">expressed their satisfaction that this time the potential adjustment is </w:t>
      </w:r>
      <w:r w:rsidR="00512AE6">
        <w:rPr>
          <w:rFonts w:ascii="Arial" w:eastAsia="Calibri" w:hAnsi="Arial" w:cs="Arial"/>
          <w:bCs/>
          <w:sz w:val="22"/>
          <w:szCs w:val="22"/>
          <w:lang w:val="en-US"/>
        </w:rPr>
        <w:t xml:space="preserve">likely to be positive and of a considerable scale. </w:t>
      </w:r>
    </w:p>
    <w:p w14:paraId="285186B2" w14:textId="2CB609B4" w:rsidR="00512AE6" w:rsidRPr="00B71232" w:rsidRDefault="00512AE6" w:rsidP="00D9357E">
      <w:pPr>
        <w:pStyle w:val="ListParagraph"/>
        <w:numPr>
          <w:ilvl w:val="0"/>
          <w:numId w:val="36"/>
        </w:numPr>
        <w:tabs>
          <w:tab w:val="clear" w:pos="567"/>
          <w:tab w:val="left" w:pos="714"/>
        </w:tabs>
        <w:spacing w:after="240"/>
        <w:ind w:left="0" w:firstLine="0"/>
        <w:contextualSpacing w:val="0"/>
        <w:jc w:val="both"/>
        <w:rPr>
          <w:rFonts w:ascii="Arial" w:eastAsia="Calibri" w:hAnsi="Arial" w:cs="Arial"/>
          <w:bCs/>
          <w:sz w:val="22"/>
          <w:szCs w:val="22"/>
          <w:lang w:val="en-US"/>
        </w:rPr>
      </w:pPr>
      <w:r w:rsidRPr="008113A9">
        <w:rPr>
          <w:rFonts w:ascii="Arial" w:eastAsia="Calibri" w:hAnsi="Arial" w:cs="Arial"/>
          <w:bCs/>
          <w:sz w:val="22"/>
          <w:szCs w:val="22"/>
          <w:lang w:val="en-US"/>
        </w:rPr>
        <w:lastRenderedPageBreak/>
        <w:t xml:space="preserve">With </w:t>
      </w:r>
      <w:r w:rsidR="009B6F4C" w:rsidRPr="008113A9">
        <w:rPr>
          <w:rFonts w:ascii="Arial" w:eastAsia="Calibri" w:hAnsi="Arial" w:cs="Arial"/>
          <w:bCs/>
          <w:sz w:val="22"/>
          <w:szCs w:val="22"/>
          <w:lang w:val="en-US"/>
        </w:rPr>
        <w:t>several</w:t>
      </w:r>
      <w:r w:rsidRPr="008113A9">
        <w:rPr>
          <w:rFonts w:ascii="Arial" w:eastAsia="Calibri" w:hAnsi="Arial" w:cs="Arial"/>
          <w:bCs/>
          <w:sz w:val="22"/>
          <w:szCs w:val="22"/>
          <w:lang w:val="en-US"/>
        </w:rPr>
        <w:t xml:space="preserve"> very useful recommendations already </w:t>
      </w:r>
      <w:r w:rsidR="00B32291" w:rsidRPr="008113A9">
        <w:rPr>
          <w:rFonts w:ascii="Arial" w:eastAsia="Calibri" w:hAnsi="Arial" w:cs="Arial"/>
          <w:bCs/>
          <w:sz w:val="22"/>
          <w:szCs w:val="22"/>
          <w:lang w:val="en-US"/>
        </w:rPr>
        <w:t xml:space="preserve">contained in the 216 EX/Decision 44, IFAG </w:t>
      </w:r>
      <w:proofErr w:type="gramStart"/>
      <w:r w:rsidR="00B32291" w:rsidRPr="008113A9">
        <w:rPr>
          <w:rFonts w:ascii="Arial" w:eastAsia="Calibri" w:hAnsi="Arial" w:cs="Arial"/>
          <w:bCs/>
          <w:sz w:val="22"/>
          <w:szCs w:val="22"/>
          <w:lang w:val="en-US"/>
        </w:rPr>
        <w:t>was of the opinion that</w:t>
      </w:r>
      <w:proofErr w:type="gramEnd"/>
      <w:r w:rsidR="00B32291" w:rsidRPr="008113A9">
        <w:rPr>
          <w:rFonts w:ascii="Arial" w:eastAsia="Calibri" w:hAnsi="Arial" w:cs="Arial"/>
          <w:bCs/>
          <w:sz w:val="22"/>
          <w:szCs w:val="22"/>
          <w:lang w:val="en-US"/>
        </w:rPr>
        <w:t xml:space="preserve"> </w:t>
      </w:r>
      <w:r w:rsidR="00317128" w:rsidRPr="008113A9">
        <w:rPr>
          <w:rFonts w:ascii="Arial" w:hAnsi="Arial" w:cs="Arial"/>
          <w:sz w:val="22"/>
          <w:szCs w:val="22"/>
        </w:rPr>
        <w:t>th</w:t>
      </w:r>
      <w:r w:rsidR="008C3220" w:rsidRPr="008113A9">
        <w:rPr>
          <w:rFonts w:ascii="Arial" w:hAnsi="Arial" w:cs="Arial"/>
          <w:sz w:val="22"/>
          <w:szCs w:val="22"/>
        </w:rPr>
        <w:t xml:space="preserve">e Secretariat should </w:t>
      </w:r>
      <w:r w:rsidR="00497D44" w:rsidRPr="008113A9">
        <w:rPr>
          <w:rFonts w:ascii="Arial" w:hAnsi="Arial" w:cs="Arial"/>
          <w:sz w:val="22"/>
          <w:szCs w:val="22"/>
        </w:rPr>
        <w:t xml:space="preserve">see </w:t>
      </w:r>
      <w:r w:rsidR="008C3220" w:rsidRPr="008113A9">
        <w:rPr>
          <w:rFonts w:ascii="Arial" w:hAnsi="Arial" w:cs="Arial"/>
          <w:sz w:val="22"/>
          <w:szCs w:val="22"/>
        </w:rPr>
        <w:t>this a</w:t>
      </w:r>
      <w:r w:rsidR="00317128" w:rsidRPr="008113A9">
        <w:rPr>
          <w:rFonts w:ascii="Arial" w:hAnsi="Arial" w:cs="Arial"/>
          <w:sz w:val="22"/>
          <w:szCs w:val="22"/>
        </w:rPr>
        <w:t xml:space="preserve">n opportunity to </w:t>
      </w:r>
      <w:proofErr w:type="spellStart"/>
      <w:r w:rsidR="00317128" w:rsidRPr="008113A9">
        <w:rPr>
          <w:rFonts w:ascii="Arial" w:hAnsi="Arial" w:cs="Arial"/>
          <w:sz w:val="22"/>
          <w:szCs w:val="22"/>
        </w:rPr>
        <w:t>trengthen</w:t>
      </w:r>
      <w:proofErr w:type="spellEnd"/>
      <w:r w:rsidR="00317128" w:rsidRPr="008113A9">
        <w:rPr>
          <w:rFonts w:ascii="Arial" w:hAnsi="Arial" w:cs="Arial"/>
          <w:sz w:val="22"/>
          <w:szCs w:val="22"/>
        </w:rPr>
        <w:t xml:space="preserve"> </w:t>
      </w:r>
      <w:r w:rsidR="009B6F4C">
        <w:rPr>
          <w:rFonts w:ascii="Arial" w:hAnsi="Arial" w:cs="Arial"/>
          <w:sz w:val="22"/>
          <w:szCs w:val="22"/>
        </w:rPr>
        <w:t>IOC’s</w:t>
      </w:r>
      <w:r w:rsidR="00497D44" w:rsidRPr="008113A9">
        <w:rPr>
          <w:rFonts w:ascii="Arial" w:hAnsi="Arial" w:cs="Arial"/>
          <w:sz w:val="22"/>
          <w:szCs w:val="22"/>
        </w:rPr>
        <w:t xml:space="preserve"> core programmes </w:t>
      </w:r>
      <w:r w:rsidR="00992AAF" w:rsidRPr="008113A9">
        <w:rPr>
          <w:rFonts w:ascii="Arial" w:hAnsi="Arial" w:cs="Arial"/>
          <w:sz w:val="22"/>
          <w:szCs w:val="22"/>
        </w:rPr>
        <w:t xml:space="preserve">like </w:t>
      </w:r>
      <w:r w:rsidR="00497D44" w:rsidRPr="008113A9">
        <w:rPr>
          <w:rFonts w:ascii="Arial" w:hAnsi="Arial" w:cs="Arial"/>
          <w:sz w:val="22"/>
          <w:szCs w:val="22"/>
        </w:rPr>
        <w:t>IODE, OBIS, GOOS</w:t>
      </w:r>
      <w:r w:rsidR="00992AAF" w:rsidRPr="008113A9">
        <w:rPr>
          <w:rFonts w:ascii="Arial" w:hAnsi="Arial" w:cs="Arial"/>
          <w:sz w:val="22"/>
          <w:szCs w:val="22"/>
        </w:rPr>
        <w:t xml:space="preserve"> and others, currently underfunded </w:t>
      </w:r>
      <w:r w:rsidR="005D02CE" w:rsidRPr="008113A9">
        <w:rPr>
          <w:rFonts w:ascii="Arial" w:hAnsi="Arial" w:cs="Arial"/>
          <w:sz w:val="22"/>
          <w:szCs w:val="22"/>
        </w:rPr>
        <w:t xml:space="preserve">and/or excessively depending on voluntary contributions. </w:t>
      </w:r>
      <w:r w:rsidR="000B04F4" w:rsidRPr="008113A9">
        <w:rPr>
          <w:rFonts w:ascii="Arial" w:hAnsi="Arial" w:cs="Arial"/>
          <w:sz w:val="22"/>
          <w:szCs w:val="22"/>
        </w:rPr>
        <w:t xml:space="preserve">Investment in consolidation should not be seen as precluding ambition. On the contrary, the </w:t>
      </w:r>
      <w:r w:rsidR="00DC51E9" w:rsidRPr="008113A9">
        <w:rPr>
          <w:rFonts w:ascii="Arial" w:hAnsi="Arial" w:cs="Arial"/>
          <w:sz w:val="22"/>
          <w:szCs w:val="22"/>
        </w:rPr>
        <w:t xml:space="preserve">effort to consolidate core functions will provide a sound platform for </w:t>
      </w:r>
      <w:r w:rsidR="002B5F72" w:rsidRPr="008113A9">
        <w:rPr>
          <w:rFonts w:ascii="Arial" w:hAnsi="Arial" w:cs="Arial"/>
          <w:sz w:val="22"/>
          <w:szCs w:val="22"/>
        </w:rPr>
        <w:t>further ambition, including in the context of the Ocean Decade</w:t>
      </w:r>
      <w:r w:rsidR="00A16685">
        <w:rPr>
          <w:rFonts w:ascii="Arial" w:hAnsi="Arial" w:cs="Arial"/>
          <w:sz w:val="22"/>
          <w:szCs w:val="22"/>
        </w:rPr>
        <w:t xml:space="preserve"> and </w:t>
      </w:r>
      <w:r w:rsidR="009B6F4C">
        <w:rPr>
          <w:rFonts w:ascii="Arial" w:hAnsi="Arial" w:cs="Arial"/>
          <w:sz w:val="22"/>
          <w:szCs w:val="22"/>
        </w:rPr>
        <w:t xml:space="preserve">in </w:t>
      </w:r>
      <w:r w:rsidR="002B5F72" w:rsidRPr="008113A9">
        <w:rPr>
          <w:rFonts w:ascii="Arial" w:hAnsi="Arial" w:cs="Arial"/>
          <w:sz w:val="22"/>
          <w:szCs w:val="22"/>
        </w:rPr>
        <w:t xml:space="preserve">engaging with other parts of the UN in </w:t>
      </w:r>
      <w:r w:rsidR="00CD79A5" w:rsidRPr="008113A9">
        <w:rPr>
          <w:rFonts w:ascii="Arial" w:hAnsi="Arial" w:cs="Arial"/>
          <w:sz w:val="22"/>
          <w:szCs w:val="22"/>
        </w:rPr>
        <w:t xml:space="preserve">support of </w:t>
      </w:r>
      <w:r w:rsidR="002B5F72" w:rsidRPr="008113A9">
        <w:rPr>
          <w:rFonts w:ascii="Arial" w:hAnsi="Arial" w:cs="Arial"/>
          <w:sz w:val="22"/>
          <w:szCs w:val="22"/>
        </w:rPr>
        <w:t xml:space="preserve">other </w:t>
      </w:r>
      <w:r w:rsidR="006F5F58" w:rsidRPr="008113A9">
        <w:rPr>
          <w:rFonts w:ascii="Arial" w:hAnsi="Arial" w:cs="Arial"/>
          <w:sz w:val="22"/>
          <w:szCs w:val="22"/>
        </w:rPr>
        <w:t>high-level</w:t>
      </w:r>
      <w:r w:rsidR="00CD79A5" w:rsidRPr="008113A9">
        <w:rPr>
          <w:rFonts w:ascii="Arial" w:hAnsi="Arial" w:cs="Arial"/>
          <w:sz w:val="22"/>
          <w:szCs w:val="22"/>
        </w:rPr>
        <w:t xml:space="preserve"> initiatives (</w:t>
      </w:r>
      <w:proofErr w:type="gramStart"/>
      <w:r w:rsidR="00CD79A5" w:rsidRPr="008113A9">
        <w:rPr>
          <w:rFonts w:ascii="Arial" w:hAnsi="Arial" w:cs="Arial"/>
          <w:sz w:val="22"/>
          <w:szCs w:val="22"/>
        </w:rPr>
        <w:t>e.g.</w:t>
      </w:r>
      <w:proofErr w:type="gramEnd"/>
      <w:r w:rsidR="00CD79A5" w:rsidRPr="008113A9">
        <w:rPr>
          <w:rFonts w:ascii="Arial" w:hAnsi="Arial" w:cs="Arial"/>
          <w:sz w:val="22"/>
          <w:szCs w:val="22"/>
        </w:rPr>
        <w:t xml:space="preserve"> the high seas treaty)</w:t>
      </w:r>
      <w:r w:rsidR="000B04F4" w:rsidRPr="008113A9">
        <w:rPr>
          <w:rFonts w:ascii="Arial" w:hAnsi="Arial" w:cs="Arial"/>
          <w:sz w:val="22"/>
          <w:szCs w:val="22"/>
        </w:rPr>
        <w:t xml:space="preserve">. </w:t>
      </w:r>
      <w:r w:rsidR="000B04F4" w:rsidRPr="00B71232">
        <w:rPr>
          <w:rFonts w:ascii="Arial" w:hAnsi="Arial" w:cs="Arial"/>
          <w:sz w:val="22"/>
          <w:szCs w:val="22"/>
        </w:rPr>
        <w:t xml:space="preserve">Regional Subsidiary Bodies </w:t>
      </w:r>
      <w:r w:rsidR="00391378" w:rsidRPr="00B71232">
        <w:rPr>
          <w:rFonts w:ascii="Arial" w:hAnsi="Arial" w:cs="Arial"/>
          <w:sz w:val="22"/>
          <w:szCs w:val="22"/>
        </w:rPr>
        <w:t xml:space="preserve">will need to be strengthened to </w:t>
      </w:r>
      <w:r w:rsidR="00D8043E" w:rsidRPr="00B71232">
        <w:rPr>
          <w:rFonts w:ascii="Arial" w:hAnsi="Arial" w:cs="Arial"/>
          <w:sz w:val="22"/>
          <w:szCs w:val="22"/>
        </w:rPr>
        <w:t xml:space="preserve">step </w:t>
      </w:r>
      <w:r w:rsidR="009B6F4C">
        <w:rPr>
          <w:rFonts w:ascii="Arial" w:hAnsi="Arial" w:cs="Arial"/>
          <w:sz w:val="22"/>
          <w:szCs w:val="22"/>
        </w:rPr>
        <w:t xml:space="preserve">up </w:t>
      </w:r>
      <w:r w:rsidR="00B71232" w:rsidRPr="00B71232">
        <w:rPr>
          <w:rFonts w:ascii="Arial" w:hAnsi="Arial" w:cs="Arial"/>
          <w:sz w:val="22"/>
          <w:szCs w:val="22"/>
        </w:rPr>
        <w:t xml:space="preserve">the </w:t>
      </w:r>
      <w:r w:rsidR="00D8043E" w:rsidRPr="00B71232">
        <w:rPr>
          <w:rFonts w:ascii="Arial" w:hAnsi="Arial" w:cs="Arial"/>
          <w:sz w:val="22"/>
          <w:szCs w:val="22"/>
        </w:rPr>
        <w:t>delivery of services at the level of Member States.</w:t>
      </w:r>
    </w:p>
    <w:p w14:paraId="75F6AC11" w14:textId="0864229C" w:rsidR="006B18B7" w:rsidRPr="00D9357E" w:rsidRDefault="00CB7908" w:rsidP="006F5F58">
      <w:pPr>
        <w:pStyle w:val="ListParagraph"/>
        <w:numPr>
          <w:ilvl w:val="0"/>
          <w:numId w:val="30"/>
        </w:numPr>
        <w:tabs>
          <w:tab w:val="clear" w:pos="567"/>
          <w:tab w:val="left" w:pos="709"/>
        </w:tabs>
        <w:spacing w:after="120"/>
        <w:ind w:left="567" w:hanging="567"/>
        <w:contextualSpacing w:val="0"/>
        <w:rPr>
          <w:rFonts w:asciiTheme="minorBidi" w:hAnsiTheme="minorBidi" w:cstheme="minorBidi"/>
          <w:b/>
          <w:sz w:val="22"/>
          <w:szCs w:val="22"/>
        </w:rPr>
      </w:pPr>
      <w:r w:rsidRPr="00D9357E">
        <w:rPr>
          <w:rFonts w:asciiTheme="minorBidi" w:hAnsiTheme="minorBidi" w:cstheme="minorBidi"/>
          <w:b/>
          <w:sz w:val="22"/>
          <w:szCs w:val="22"/>
        </w:rPr>
        <w:t>Follow-up to Resolution A-31/2 and EC-55/2</w:t>
      </w:r>
    </w:p>
    <w:p w14:paraId="0C9B9E75" w14:textId="12E4B954" w:rsidR="00CB7908" w:rsidRDefault="00077CAC" w:rsidP="006F5F58">
      <w:pPr>
        <w:pStyle w:val="ListParagraph"/>
        <w:numPr>
          <w:ilvl w:val="0"/>
          <w:numId w:val="37"/>
        </w:numPr>
        <w:tabs>
          <w:tab w:val="clear" w:pos="567"/>
          <w:tab w:val="left" w:pos="709"/>
        </w:tabs>
        <w:ind w:left="1134" w:hanging="425"/>
        <w:rPr>
          <w:rFonts w:asciiTheme="minorBidi" w:hAnsiTheme="minorBidi" w:cstheme="minorBidi"/>
          <w:b/>
          <w:color w:val="231F20"/>
          <w:sz w:val="22"/>
          <w:szCs w:val="22"/>
        </w:rPr>
      </w:pPr>
      <w:r>
        <w:rPr>
          <w:rFonts w:asciiTheme="minorBidi" w:hAnsiTheme="minorBidi" w:cstheme="minorBidi"/>
          <w:b/>
          <w:color w:val="231F20"/>
          <w:sz w:val="22"/>
          <w:szCs w:val="22"/>
        </w:rPr>
        <w:t>Review of the IOC Rules of Procedure</w:t>
      </w:r>
    </w:p>
    <w:p w14:paraId="2CB5B26B" w14:textId="77777777" w:rsidR="00DB0DAE" w:rsidRPr="00DB0DAE" w:rsidRDefault="00DB0DAE" w:rsidP="00DB0DAE">
      <w:pPr>
        <w:tabs>
          <w:tab w:val="clear" w:pos="567"/>
          <w:tab w:val="left" w:pos="709"/>
        </w:tabs>
        <w:rPr>
          <w:rFonts w:asciiTheme="minorBidi" w:hAnsiTheme="minorBidi" w:cstheme="minorBidi"/>
          <w:b/>
          <w:color w:val="231F20"/>
          <w:sz w:val="22"/>
          <w:szCs w:val="22"/>
        </w:rPr>
      </w:pPr>
    </w:p>
    <w:p w14:paraId="7C9A73A2" w14:textId="5993A3FC" w:rsidR="00DB0DAE" w:rsidRPr="0028331B" w:rsidRDefault="009B1304" w:rsidP="00D9357E">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iCs/>
          <w:sz w:val="22"/>
          <w:szCs w:val="22"/>
          <w:lang w:val="en-US"/>
        </w:rPr>
      </w:pPr>
      <w:r>
        <w:rPr>
          <w:rFonts w:asciiTheme="minorBidi" w:eastAsia="휴먼명조" w:hAnsiTheme="minorBidi" w:cstheme="minorBidi"/>
          <w:bCs/>
          <w:iCs/>
          <w:sz w:val="22"/>
          <w:szCs w:val="22"/>
        </w:rPr>
        <w:t>I</w:t>
      </w:r>
      <w:r w:rsidR="00E1736D">
        <w:rPr>
          <w:rFonts w:asciiTheme="minorBidi" w:eastAsia="휴먼명조" w:hAnsiTheme="minorBidi" w:cstheme="minorBidi"/>
          <w:bCs/>
          <w:iCs/>
          <w:sz w:val="22"/>
          <w:szCs w:val="22"/>
        </w:rPr>
        <w:t>FAG discussed this item in the light of the fact that the</w:t>
      </w:r>
      <w:r w:rsidR="0028331B">
        <w:rPr>
          <w:rFonts w:asciiTheme="minorBidi" w:eastAsia="휴먼명조" w:hAnsiTheme="minorBidi" w:cstheme="minorBidi"/>
          <w:bCs/>
          <w:iCs/>
          <w:sz w:val="22"/>
          <w:szCs w:val="22"/>
        </w:rPr>
        <w:t xml:space="preserve"> Secretariat’s proposal in document </w:t>
      </w:r>
      <w:hyperlink r:id="rId15" w:history="1">
        <w:r w:rsidR="0028331B" w:rsidRPr="004A1753">
          <w:rPr>
            <w:rStyle w:val="Hyperlink"/>
            <w:rFonts w:asciiTheme="minorBidi" w:eastAsia="휴먼명조" w:hAnsiTheme="minorBidi" w:cstheme="minorBidi"/>
            <w:bCs/>
            <w:iCs/>
            <w:sz w:val="22"/>
            <w:szCs w:val="22"/>
          </w:rPr>
          <w:t>IOC/A-32/6.2.Doc(1)</w:t>
        </w:r>
      </w:hyperlink>
      <w:r w:rsidR="0028331B">
        <w:rPr>
          <w:rFonts w:asciiTheme="minorBidi" w:eastAsia="휴먼명조" w:hAnsiTheme="minorBidi" w:cstheme="minorBidi"/>
          <w:bCs/>
          <w:iCs/>
          <w:sz w:val="22"/>
          <w:szCs w:val="22"/>
        </w:rPr>
        <w:t xml:space="preserve"> is already a second revision of the Rules and that t</w:t>
      </w:r>
      <w:r>
        <w:rPr>
          <w:rFonts w:asciiTheme="minorBidi" w:eastAsia="휴먼명조" w:hAnsiTheme="minorBidi" w:cstheme="minorBidi"/>
          <w:bCs/>
          <w:iCs/>
          <w:sz w:val="22"/>
          <w:szCs w:val="22"/>
        </w:rPr>
        <w:t>he IOC Executive Council at its 55</w:t>
      </w:r>
      <w:r w:rsidRPr="009B1304">
        <w:rPr>
          <w:rFonts w:asciiTheme="minorBidi" w:eastAsia="휴먼명조" w:hAnsiTheme="minorBidi" w:cstheme="minorBidi"/>
          <w:bCs/>
          <w:iCs/>
          <w:sz w:val="22"/>
          <w:szCs w:val="22"/>
          <w:vertAlign w:val="superscript"/>
        </w:rPr>
        <w:t>th</w:t>
      </w:r>
      <w:r>
        <w:rPr>
          <w:rFonts w:asciiTheme="minorBidi" w:eastAsia="휴먼명조" w:hAnsiTheme="minorBidi" w:cstheme="minorBidi"/>
          <w:bCs/>
          <w:iCs/>
          <w:sz w:val="22"/>
          <w:szCs w:val="22"/>
        </w:rPr>
        <w:t xml:space="preserve"> session </w:t>
      </w:r>
      <w:r w:rsidR="00DB0DAE" w:rsidRPr="00DB0DAE">
        <w:rPr>
          <w:rFonts w:asciiTheme="minorBidi" w:eastAsia="휴먼명조" w:hAnsiTheme="minorBidi" w:cstheme="minorBidi"/>
          <w:bCs/>
          <w:iCs/>
          <w:sz w:val="22"/>
          <w:szCs w:val="22"/>
          <w:lang w:val="en-US"/>
        </w:rPr>
        <w:t>welcomed</w:t>
      </w:r>
      <w:r w:rsidR="00DB0DAE" w:rsidRPr="00DB0DAE">
        <w:rPr>
          <w:rFonts w:asciiTheme="minorBidi" w:eastAsia="휴먼명조" w:hAnsiTheme="minorBidi" w:cstheme="minorBidi"/>
          <w:iCs/>
          <w:sz w:val="22"/>
          <w:szCs w:val="22"/>
          <w:lang w:val="en-US"/>
        </w:rPr>
        <w:t xml:space="preserve"> the </w:t>
      </w:r>
      <w:r w:rsidR="0028331B">
        <w:rPr>
          <w:rFonts w:asciiTheme="minorBidi" w:eastAsia="휴먼명조" w:hAnsiTheme="minorBidi" w:cstheme="minorBidi"/>
          <w:iCs/>
          <w:sz w:val="22"/>
          <w:szCs w:val="22"/>
          <w:lang w:val="en-US"/>
        </w:rPr>
        <w:t xml:space="preserve">first </w:t>
      </w:r>
      <w:r w:rsidR="00DB0DAE" w:rsidRPr="00DB0DAE">
        <w:rPr>
          <w:rFonts w:asciiTheme="minorBidi" w:eastAsia="휴먼명조" w:hAnsiTheme="minorBidi" w:cstheme="minorBidi"/>
          <w:iCs/>
          <w:sz w:val="22"/>
          <w:szCs w:val="22"/>
          <w:lang w:val="en-US"/>
        </w:rPr>
        <w:t xml:space="preserve">proposal </w:t>
      </w:r>
      <w:r w:rsidR="0028331B">
        <w:rPr>
          <w:rFonts w:asciiTheme="minorBidi" w:eastAsia="휴먼명조" w:hAnsiTheme="minorBidi" w:cstheme="minorBidi"/>
          <w:iCs/>
          <w:sz w:val="22"/>
          <w:szCs w:val="22"/>
          <w:lang w:val="en-US"/>
        </w:rPr>
        <w:t>(</w:t>
      </w:r>
      <w:r w:rsidR="00DB0DAE" w:rsidRPr="00DB0DAE">
        <w:rPr>
          <w:rFonts w:asciiTheme="minorBidi" w:eastAsia="휴먼명조" w:hAnsiTheme="minorBidi" w:cstheme="minorBidi"/>
          <w:iCs/>
          <w:sz w:val="22"/>
          <w:szCs w:val="22"/>
          <w:lang w:val="en-US"/>
        </w:rPr>
        <w:t>IOC/EC-55/5.1.Doc(1)</w:t>
      </w:r>
      <w:r w:rsidR="0028331B">
        <w:rPr>
          <w:rFonts w:asciiTheme="minorBidi" w:eastAsia="휴먼명조" w:hAnsiTheme="minorBidi" w:cstheme="minorBidi"/>
          <w:iCs/>
          <w:sz w:val="22"/>
          <w:szCs w:val="22"/>
          <w:lang w:val="en-US"/>
        </w:rPr>
        <w:t>)</w:t>
      </w:r>
      <w:r w:rsidR="00DB0DAE" w:rsidRPr="00DB0DAE">
        <w:rPr>
          <w:rFonts w:asciiTheme="minorBidi" w:eastAsia="휴먼명조" w:hAnsiTheme="minorBidi" w:cstheme="minorBidi"/>
          <w:iCs/>
          <w:sz w:val="22"/>
          <w:szCs w:val="22"/>
          <w:lang w:val="en-US"/>
        </w:rPr>
        <w:t xml:space="preserve"> as </w:t>
      </w:r>
      <w:r w:rsidR="00DB0DAE" w:rsidRPr="00BC03E1">
        <w:rPr>
          <w:rFonts w:asciiTheme="minorBidi" w:hAnsiTheme="minorBidi" w:cstheme="minorBidi"/>
          <w:color w:val="000000" w:themeColor="text1"/>
          <w:sz w:val="22"/>
          <w:szCs w:val="22"/>
          <w:lang w:val="en-US"/>
        </w:rPr>
        <w:t>respectful of Member States’ wish</w:t>
      </w:r>
      <w:r w:rsidR="0028331B">
        <w:rPr>
          <w:rFonts w:asciiTheme="minorBidi" w:hAnsiTheme="minorBidi" w:cstheme="minorBidi"/>
          <w:color w:val="000000" w:themeColor="text1"/>
          <w:sz w:val="22"/>
          <w:szCs w:val="22"/>
          <w:lang w:val="en-US"/>
        </w:rPr>
        <w:t xml:space="preserve">es and discussions. </w:t>
      </w:r>
      <w:r w:rsidR="00DB0DAE" w:rsidRPr="00BC03E1">
        <w:rPr>
          <w:rFonts w:asciiTheme="minorBidi" w:hAnsiTheme="minorBidi" w:cstheme="minorBidi"/>
          <w:color w:val="000000" w:themeColor="text1"/>
          <w:sz w:val="22"/>
          <w:szCs w:val="22"/>
          <w:lang w:val="en-US"/>
        </w:rPr>
        <w:t xml:space="preserve"> </w:t>
      </w:r>
    </w:p>
    <w:p w14:paraId="4C52FE2B" w14:textId="03D9A5A4" w:rsidR="00DB0DAE" w:rsidRPr="00226C9A" w:rsidRDefault="0028331B" w:rsidP="006F5F58">
      <w:pPr>
        <w:pStyle w:val="ListParagraph"/>
        <w:numPr>
          <w:ilvl w:val="0"/>
          <w:numId w:val="36"/>
        </w:numPr>
        <w:tabs>
          <w:tab w:val="clear" w:pos="567"/>
          <w:tab w:val="left" w:pos="714"/>
        </w:tabs>
        <w:spacing w:after="120"/>
        <w:ind w:left="0" w:firstLine="0"/>
        <w:contextualSpacing w:val="0"/>
        <w:jc w:val="both"/>
        <w:rPr>
          <w:rFonts w:asciiTheme="minorBidi" w:hAnsiTheme="minorBidi" w:cstheme="minorBidi"/>
          <w:iCs/>
          <w:sz w:val="22"/>
          <w:szCs w:val="22"/>
          <w:lang w:val="en-US"/>
        </w:rPr>
      </w:pPr>
      <w:r w:rsidRPr="00226C9A">
        <w:rPr>
          <w:rFonts w:asciiTheme="minorBidi" w:eastAsia="휴먼명조" w:hAnsiTheme="minorBidi" w:cstheme="minorBidi"/>
          <w:bCs/>
          <w:iCs/>
          <w:sz w:val="22"/>
          <w:szCs w:val="22"/>
        </w:rPr>
        <w:t>The Group</w:t>
      </w:r>
      <w:r w:rsidR="000B55E6">
        <w:rPr>
          <w:rFonts w:asciiTheme="minorBidi" w:eastAsia="휴먼명조" w:hAnsiTheme="minorBidi" w:cstheme="minorBidi"/>
          <w:bCs/>
          <w:iCs/>
          <w:sz w:val="22"/>
          <w:szCs w:val="22"/>
        </w:rPr>
        <w:t xml:space="preserve"> </w:t>
      </w:r>
      <w:r w:rsidR="0069570E">
        <w:rPr>
          <w:rFonts w:asciiTheme="minorBidi" w:eastAsia="휴먼명조" w:hAnsiTheme="minorBidi" w:cstheme="minorBidi"/>
          <w:bCs/>
          <w:iCs/>
          <w:sz w:val="22"/>
          <w:szCs w:val="22"/>
        </w:rPr>
        <w:t>assessed the second revision as</w:t>
      </w:r>
      <w:r w:rsidR="00481B15" w:rsidRPr="00226C9A">
        <w:rPr>
          <w:rFonts w:asciiTheme="minorBidi" w:eastAsia="휴먼명조" w:hAnsiTheme="minorBidi" w:cstheme="minorBidi"/>
          <w:bCs/>
          <w:iCs/>
          <w:sz w:val="22"/>
          <w:szCs w:val="22"/>
        </w:rPr>
        <w:t xml:space="preserve"> consistent with the Executive Council’s recommendation through Resolution EC-55/2 that</w:t>
      </w:r>
      <w:r w:rsidR="00226C9A" w:rsidRPr="00226C9A">
        <w:rPr>
          <w:rFonts w:asciiTheme="minorBidi" w:eastAsia="휴먼명조" w:hAnsiTheme="minorBidi" w:cstheme="minorBidi"/>
          <w:bCs/>
          <w:iCs/>
          <w:sz w:val="22"/>
          <w:szCs w:val="22"/>
        </w:rPr>
        <w:t xml:space="preserve"> the</w:t>
      </w:r>
      <w:r w:rsidR="00226C9A">
        <w:rPr>
          <w:rFonts w:asciiTheme="minorBidi" w:eastAsia="휴먼명조" w:hAnsiTheme="minorBidi" w:cstheme="minorBidi"/>
          <w:bCs/>
          <w:iCs/>
          <w:sz w:val="22"/>
          <w:szCs w:val="22"/>
        </w:rPr>
        <w:t xml:space="preserve"> IOC</w:t>
      </w:r>
      <w:r w:rsidR="00DB0DAE" w:rsidRPr="00226C9A">
        <w:rPr>
          <w:rFonts w:asciiTheme="minorBidi" w:eastAsia="휴먼명조" w:hAnsiTheme="minorBidi" w:cstheme="minorBidi"/>
          <w:iCs/>
          <w:sz w:val="22"/>
          <w:szCs w:val="22"/>
          <w:lang w:val="en-US"/>
        </w:rPr>
        <w:t xml:space="preserve"> Assembly at its 32</w:t>
      </w:r>
      <w:r w:rsidR="00DB0DAE" w:rsidRPr="00226C9A">
        <w:rPr>
          <w:rFonts w:asciiTheme="minorBidi" w:eastAsia="휴먼명조" w:hAnsiTheme="minorBidi" w:cstheme="minorBidi"/>
          <w:iCs/>
          <w:sz w:val="22"/>
          <w:szCs w:val="22"/>
          <w:vertAlign w:val="superscript"/>
          <w:lang w:val="en-US"/>
        </w:rPr>
        <w:t>nd</w:t>
      </w:r>
      <w:r w:rsidR="00DB0DAE" w:rsidRPr="00226C9A">
        <w:rPr>
          <w:rFonts w:asciiTheme="minorBidi" w:eastAsia="휴먼명조" w:hAnsiTheme="minorBidi" w:cstheme="minorBidi"/>
          <w:iCs/>
          <w:sz w:val="22"/>
          <w:szCs w:val="22"/>
          <w:lang w:val="en-US"/>
        </w:rPr>
        <w:t xml:space="preserve"> session adopt the overall approach as presented in IOC/EC-55/5.1.Doc(1) and </w:t>
      </w:r>
      <w:r w:rsidR="00DB0DAE" w:rsidRPr="00226C9A">
        <w:rPr>
          <w:rFonts w:asciiTheme="minorBidi" w:hAnsiTheme="minorBidi" w:cstheme="minorBidi"/>
          <w:iCs/>
          <w:sz w:val="22"/>
          <w:szCs w:val="22"/>
          <w:lang w:val="en-US"/>
        </w:rPr>
        <w:t>based on the proposal to:</w:t>
      </w:r>
    </w:p>
    <w:p w14:paraId="26ED9C40" w14:textId="77777777" w:rsidR="00DB0DAE" w:rsidRPr="00BC03E1" w:rsidRDefault="00DB0DAE" w:rsidP="006F5F58">
      <w:pPr>
        <w:numPr>
          <w:ilvl w:val="0"/>
          <w:numId w:val="32"/>
        </w:numPr>
        <w:shd w:val="clear" w:color="auto" w:fill="FFFFFF"/>
        <w:tabs>
          <w:tab w:val="clear" w:pos="567"/>
        </w:tabs>
        <w:snapToGrid/>
        <w:spacing w:after="120"/>
        <w:ind w:left="1134" w:hanging="425"/>
        <w:jc w:val="both"/>
        <w:rPr>
          <w:rFonts w:asciiTheme="minorBidi" w:hAnsiTheme="minorBidi" w:cstheme="minorBidi"/>
          <w:iCs/>
          <w:sz w:val="22"/>
          <w:szCs w:val="22"/>
        </w:rPr>
      </w:pPr>
      <w:r w:rsidRPr="00BC03E1">
        <w:rPr>
          <w:rFonts w:asciiTheme="minorBidi" w:hAnsiTheme="minorBidi" w:cstheme="minorBidi"/>
          <w:iCs/>
          <w:sz w:val="22"/>
          <w:szCs w:val="22"/>
        </w:rPr>
        <w:t>refrain from engaging in a procedure o</w:t>
      </w:r>
      <w:r>
        <w:rPr>
          <w:rFonts w:asciiTheme="minorBidi" w:hAnsiTheme="minorBidi" w:cstheme="minorBidi"/>
          <w:iCs/>
          <w:sz w:val="22"/>
          <w:szCs w:val="22"/>
        </w:rPr>
        <w:t>f amendment of the IOC Statutes,</w:t>
      </w:r>
    </w:p>
    <w:p w14:paraId="04901AEC" w14:textId="77777777" w:rsidR="00DB0DAE" w:rsidRPr="00BC03E1" w:rsidRDefault="00DB0DAE" w:rsidP="006F5F58">
      <w:pPr>
        <w:numPr>
          <w:ilvl w:val="0"/>
          <w:numId w:val="32"/>
        </w:numPr>
        <w:shd w:val="clear" w:color="auto" w:fill="FFFFFF"/>
        <w:tabs>
          <w:tab w:val="clear" w:pos="567"/>
        </w:tabs>
        <w:snapToGrid/>
        <w:spacing w:after="120"/>
        <w:ind w:left="1134" w:hanging="425"/>
        <w:jc w:val="both"/>
        <w:rPr>
          <w:rFonts w:asciiTheme="minorBidi" w:hAnsiTheme="minorBidi" w:cstheme="minorBidi"/>
          <w:iCs/>
          <w:sz w:val="22"/>
          <w:szCs w:val="22"/>
        </w:rPr>
      </w:pPr>
      <w:r w:rsidRPr="00BC03E1">
        <w:rPr>
          <w:rFonts w:asciiTheme="minorBidi" w:hAnsiTheme="minorBidi" w:cstheme="minorBidi"/>
          <w:iCs/>
          <w:sz w:val="22"/>
          <w:szCs w:val="22"/>
        </w:rPr>
        <w:t>in conformity with Article 6.B.3 of the Statutes, maintain a single set of the Commission’s Rules of Procedure, to be form</w:t>
      </w:r>
      <w:r>
        <w:rPr>
          <w:rFonts w:asciiTheme="minorBidi" w:hAnsiTheme="minorBidi" w:cstheme="minorBidi"/>
          <w:iCs/>
          <w:sz w:val="22"/>
          <w:szCs w:val="22"/>
        </w:rPr>
        <w:t>ally determined by the Assembly,</w:t>
      </w:r>
    </w:p>
    <w:p w14:paraId="276570C8" w14:textId="77777777" w:rsidR="00DB0DAE" w:rsidRPr="00BC03E1" w:rsidRDefault="00DB0DAE" w:rsidP="006F5F58">
      <w:pPr>
        <w:numPr>
          <w:ilvl w:val="0"/>
          <w:numId w:val="32"/>
        </w:numPr>
        <w:shd w:val="clear" w:color="auto" w:fill="FFFFFF"/>
        <w:tabs>
          <w:tab w:val="clear" w:pos="567"/>
        </w:tabs>
        <w:snapToGrid/>
        <w:spacing w:after="120"/>
        <w:ind w:left="1134" w:hanging="425"/>
        <w:jc w:val="both"/>
        <w:rPr>
          <w:rFonts w:asciiTheme="minorBidi" w:hAnsiTheme="minorBidi" w:cstheme="minorBidi"/>
          <w:iCs/>
          <w:sz w:val="22"/>
          <w:szCs w:val="22"/>
        </w:rPr>
      </w:pPr>
      <w:r w:rsidRPr="00BC03E1">
        <w:rPr>
          <w:rFonts w:asciiTheme="minorBidi" w:hAnsiTheme="minorBidi" w:cstheme="minorBidi"/>
          <w:iCs/>
          <w:sz w:val="22"/>
          <w:szCs w:val="22"/>
        </w:rPr>
        <w:t xml:space="preserve">revise the current Rules of Procedure </w:t>
      </w:r>
      <w:proofErr w:type="gramStart"/>
      <w:r w:rsidRPr="00BC03E1">
        <w:rPr>
          <w:rFonts w:asciiTheme="minorBidi" w:hAnsiTheme="minorBidi" w:cstheme="minorBidi"/>
          <w:iCs/>
          <w:sz w:val="22"/>
          <w:szCs w:val="22"/>
        </w:rPr>
        <w:t>on the basis of</w:t>
      </w:r>
      <w:proofErr w:type="gramEnd"/>
      <w:r w:rsidRPr="00BC03E1">
        <w:rPr>
          <w:rFonts w:asciiTheme="minorBidi" w:hAnsiTheme="minorBidi" w:cstheme="minorBidi"/>
          <w:iCs/>
          <w:sz w:val="22"/>
          <w:szCs w:val="22"/>
        </w:rPr>
        <w:t xml:space="preserve"> a distinction among general rules, rules applicable to the Assembly and the Executive Council, and rules applicab</w:t>
      </w:r>
      <w:r>
        <w:rPr>
          <w:rFonts w:asciiTheme="minorBidi" w:hAnsiTheme="minorBidi" w:cstheme="minorBidi"/>
          <w:iCs/>
          <w:sz w:val="22"/>
          <w:szCs w:val="22"/>
        </w:rPr>
        <w:t>le only to one of these bodies,</w:t>
      </w:r>
    </w:p>
    <w:p w14:paraId="02D3729B" w14:textId="77777777" w:rsidR="005F3428" w:rsidRDefault="00DB0DAE" w:rsidP="006F5F58">
      <w:pPr>
        <w:numPr>
          <w:ilvl w:val="0"/>
          <w:numId w:val="32"/>
        </w:numPr>
        <w:shd w:val="clear" w:color="auto" w:fill="FFFFFF"/>
        <w:tabs>
          <w:tab w:val="clear" w:pos="567"/>
        </w:tabs>
        <w:snapToGrid/>
        <w:spacing w:after="120"/>
        <w:ind w:left="1134" w:hanging="425"/>
        <w:jc w:val="both"/>
        <w:rPr>
          <w:rFonts w:asciiTheme="minorBidi" w:hAnsiTheme="minorBidi" w:cstheme="minorBidi"/>
          <w:iCs/>
          <w:sz w:val="22"/>
          <w:szCs w:val="22"/>
        </w:rPr>
      </w:pPr>
      <w:r w:rsidRPr="00BC03E1">
        <w:rPr>
          <w:rFonts w:asciiTheme="minorBidi" w:hAnsiTheme="minorBidi" w:cstheme="minorBidi"/>
          <w:iCs/>
          <w:sz w:val="22"/>
          <w:szCs w:val="22"/>
        </w:rPr>
        <w:t xml:space="preserve">amend Rules 55 and 56 </w:t>
      </w:r>
      <w:proofErr w:type="gramStart"/>
      <w:r w:rsidRPr="00BC03E1">
        <w:rPr>
          <w:rFonts w:asciiTheme="minorBidi" w:hAnsiTheme="minorBidi" w:cstheme="minorBidi"/>
          <w:iCs/>
          <w:sz w:val="22"/>
          <w:szCs w:val="22"/>
        </w:rPr>
        <w:t>in order to</w:t>
      </w:r>
      <w:proofErr w:type="gramEnd"/>
      <w:r w:rsidRPr="00BC03E1">
        <w:rPr>
          <w:rFonts w:asciiTheme="minorBidi" w:hAnsiTheme="minorBidi" w:cstheme="minorBidi"/>
          <w:iCs/>
          <w:sz w:val="22"/>
          <w:szCs w:val="22"/>
        </w:rPr>
        <w:t xml:space="preserve"> acknowledge and specify the competence of the Executive Council to amend or suspend rules relating to its organization and </w:t>
      </w:r>
      <w:r>
        <w:rPr>
          <w:rFonts w:asciiTheme="minorBidi" w:hAnsiTheme="minorBidi" w:cstheme="minorBidi"/>
          <w:iCs/>
          <w:sz w:val="22"/>
          <w:szCs w:val="22"/>
        </w:rPr>
        <w:t>functioning</w:t>
      </w:r>
      <w:r w:rsidR="005F3428">
        <w:rPr>
          <w:rFonts w:asciiTheme="minorBidi" w:hAnsiTheme="minorBidi" w:cstheme="minorBidi"/>
          <w:iCs/>
          <w:sz w:val="22"/>
          <w:szCs w:val="22"/>
        </w:rPr>
        <w:t>,</w:t>
      </w:r>
    </w:p>
    <w:p w14:paraId="79A4601A" w14:textId="48FCBAF1" w:rsidR="00DB0DAE" w:rsidRDefault="00236C27" w:rsidP="006F5F58">
      <w:pPr>
        <w:numPr>
          <w:ilvl w:val="0"/>
          <w:numId w:val="32"/>
        </w:numPr>
        <w:shd w:val="clear" w:color="auto" w:fill="FFFFFF"/>
        <w:tabs>
          <w:tab w:val="clear" w:pos="567"/>
        </w:tabs>
        <w:snapToGrid/>
        <w:spacing w:after="120"/>
        <w:ind w:left="1134" w:hanging="425"/>
        <w:jc w:val="both"/>
        <w:rPr>
          <w:rFonts w:asciiTheme="minorBidi" w:hAnsiTheme="minorBidi" w:cstheme="minorBidi"/>
          <w:iCs/>
          <w:sz w:val="22"/>
          <w:szCs w:val="22"/>
        </w:rPr>
      </w:pPr>
      <w:r>
        <w:rPr>
          <w:rFonts w:asciiTheme="minorBidi" w:hAnsiTheme="minorBidi" w:cstheme="minorBidi"/>
          <w:iCs/>
          <w:sz w:val="22"/>
          <w:szCs w:val="22"/>
        </w:rPr>
        <w:t>include in the Rules the provision for online meetings as an exceptional measure only,</w:t>
      </w:r>
    </w:p>
    <w:p w14:paraId="6897C6C9" w14:textId="5EF77E40" w:rsidR="00236C27" w:rsidRDefault="00285394" w:rsidP="006F5F58">
      <w:pPr>
        <w:numPr>
          <w:ilvl w:val="0"/>
          <w:numId w:val="32"/>
        </w:numPr>
        <w:shd w:val="clear" w:color="auto" w:fill="FFFFFF"/>
        <w:tabs>
          <w:tab w:val="clear" w:pos="567"/>
        </w:tabs>
        <w:snapToGrid/>
        <w:spacing w:after="120"/>
        <w:ind w:left="1134" w:hanging="425"/>
        <w:jc w:val="both"/>
        <w:rPr>
          <w:rFonts w:asciiTheme="minorBidi" w:hAnsiTheme="minorBidi" w:cstheme="minorBidi"/>
          <w:iCs/>
          <w:sz w:val="22"/>
          <w:szCs w:val="22"/>
        </w:rPr>
      </w:pPr>
      <w:r>
        <w:rPr>
          <w:rFonts w:asciiTheme="minorBidi" w:hAnsiTheme="minorBidi" w:cstheme="minorBidi"/>
          <w:iCs/>
          <w:sz w:val="22"/>
          <w:szCs w:val="22"/>
        </w:rPr>
        <w:t>ensure that the provision for consultation by correspondence covers both the Assembly and the Executive Council</w:t>
      </w:r>
      <w:r w:rsidR="00D536B4">
        <w:rPr>
          <w:rFonts w:asciiTheme="minorBidi" w:hAnsiTheme="minorBidi" w:cstheme="minorBidi"/>
          <w:iCs/>
          <w:sz w:val="22"/>
          <w:szCs w:val="22"/>
        </w:rPr>
        <w:t>,</w:t>
      </w:r>
    </w:p>
    <w:p w14:paraId="125DB322" w14:textId="7BBB71BF" w:rsidR="00D536B4" w:rsidRDefault="00961693" w:rsidP="00226C9A">
      <w:pPr>
        <w:numPr>
          <w:ilvl w:val="0"/>
          <w:numId w:val="32"/>
        </w:numPr>
        <w:shd w:val="clear" w:color="auto" w:fill="FFFFFF"/>
        <w:tabs>
          <w:tab w:val="clear" w:pos="567"/>
        </w:tabs>
        <w:snapToGrid/>
        <w:spacing w:after="240"/>
        <w:ind w:left="1134" w:hanging="425"/>
        <w:jc w:val="both"/>
        <w:rPr>
          <w:rFonts w:asciiTheme="minorBidi" w:hAnsiTheme="minorBidi" w:cstheme="minorBidi"/>
          <w:iCs/>
          <w:sz w:val="22"/>
          <w:szCs w:val="22"/>
        </w:rPr>
      </w:pPr>
      <w:r>
        <w:rPr>
          <w:rFonts w:asciiTheme="minorBidi" w:hAnsiTheme="minorBidi" w:cstheme="minorBidi"/>
          <w:iCs/>
          <w:sz w:val="22"/>
          <w:szCs w:val="22"/>
        </w:rPr>
        <w:t xml:space="preserve">complement the Rules by the Guidelines for online sessions </w:t>
      </w:r>
      <w:r w:rsidR="00E179D1">
        <w:rPr>
          <w:rFonts w:asciiTheme="minorBidi" w:hAnsiTheme="minorBidi" w:cstheme="minorBidi"/>
          <w:iCs/>
          <w:sz w:val="22"/>
          <w:szCs w:val="22"/>
        </w:rPr>
        <w:t>and a comprehensive list of online appendices.</w:t>
      </w:r>
    </w:p>
    <w:p w14:paraId="65AF482C" w14:textId="114F273D" w:rsidR="006B18B7" w:rsidRPr="00357277" w:rsidRDefault="006B18B7" w:rsidP="006F5F58">
      <w:pPr>
        <w:pStyle w:val="ListParagraph"/>
        <w:numPr>
          <w:ilvl w:val="0"/>
          <w:numId w:val="37"/>
        </w:numPr>
        <w:tabs>
          <w:tab w:val="clear" w:pos="567"/>
        </w:tabs>
        <w:snapToGrid/>
        <w:ind w:left="1134" w:hanging="434"/>
        <w:rPr>
          <w:rFonts w:asciiTheme="minorBidi" w:hAnsiTheme="minorBidi" w:cstheme="minorBidi"/>
          <w:b/>
          <w:color w:val="231F20"/>
          <w:sz w:val="22"/>
          <w:szCs w:val="22"/>
        </w:rPr>
      </w:pPr>
      <w:r w:rsidRPr="00357277">
        <w:rPr>
          <w:rFonts w:asciiTheme="minorBidi" w:hAnsiTheme="minorBidi" w:cstheme="minorBidi"/>
          <w:b/>
          <w:color w:val="231F20"/>
          <w:sz w:val="22"/>
          <w:szCs w:val="22"/>
        </w:rPr>
        <w:t>Reporting on in-kind contributions</w:t>
      </w:r>
    </w:p>
    <w:p w14:paraId="1070BAF2" w14:textId="77777777" w:rsidR="006B18B7" w:rsidRPr="00BC03E1" w:rsidRDefault="006B18B7" w:rsidP="006B18B7">
      <w:pPr>
        <w:tabs>
          <w:tab w:val="clear" w:pos="567"/>
        </w:tabs>
        <w:snapToGrid/>
        <w:jc w:val="center"/>
        <w:rPr>
          <w:rFonts w:asciiTheme="minorBidi" w:hAnsiTheme="minorBidi" w:cstheme="minorBidi"/>
          <w:b/>
          <w:color w:val="231F20"/>
          <w:sz w:val="22"/>
          <w:szCs w:val="22"/>
        </w:rPr>
      </w:pPr>
    </w:p>
    <w:p w14:paraId="3F701941" w14:textId="2C3C92C8" w:rsidR="005224D8" w:rsidRPr="005224D8" w:rsidRDefault="005224D8" w:rsidP="00D9357E">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lang w:val="en-US"/>
        </w:rPr>
      </w:pPr>
      <w:r w:rsidRPr="005224D8">
        <w:rPr>
          <w:rFonts w:ascii="Arial" w:eastAsia="Calibri" w:hAnsi="Arial" w:cs="Arial"/>
          <w:sz w:val="22"/>
          <w:lang w:val="en-US"/>
        </w:rPr>
        <w:t xml:space="preserve">IOC </w:t>
      </w:r>
      <w:r w:rsidRPr="005224D8">
        <w:rPr>
          <w:rFonts w:asciiTheme="minorBidi" w:hAnsiTheme="minorBidi" w:cstheme="minorBidi"/>
          <w:color w:val="231F20"/>
          <w:sz w:val="22"/>
          <w:szCs w:val="22"/>
          <w:lang w:val="en-US"/>
        </w:rPr>
        <w:t xml:space="preserve">Resolution A-31/2 invited IFAG </w:t>
      </w:r>
      <w:r w:rsidRPr="006F5F58">
        <w:rPr>
          <w:rFonts w:asciiTheme="minorBidi" w:hAnsiTheme="minorBidi" w:cstheme="minorBidi"/>
          <w:i/>
          <w:iCs/>
          <w:color w:val="231F20"/>
          <w:sz w:val="22"/>
          <w:szCs w:val="22"/>
          <w:lang w:val="en-US"/>
        </w:rPr>
        <w:t xml:space="preserve">‘to develop a proposal for a systematic approach and </w:t>
      </w:r>
      <w:r w:rsidRPr="006F5F58">
        <w:rPr>
          <w:rFonts w:asciiTheme="minorBidi" w:eastAsia="Calibri" w:hAnsiTheme="minorBidi" w:cstheme="minorBidi"/>
          <w:i/>
          <w:iCs/>
          <w:sz w:val="22"/>
          <w:szCs w:val="22"/>
          <w:lang w:val="en-US"/>
        </w:rPr>
        <w:t>methodology</w:t>
      </w:r>
      <w:r w:rsidRPr="006F5F58">
        <w:rPr>
          <w:rFonts w:asciiTheme="minorBidi" w:hAnsiTheme="minorBidi" w:cstheme="minorBidi"/>
          <w:i/>
          <w:iCs/>
          <w:color w:val="231F20"/>
          <w:sz w:val="22"/>
          <w:szCs w:val="22"/>
          <w:lang w:val="en-US"/>
        </w:rPr>
        <w:t xml:space="preserve"> for reporting in-kind contributions, consistent with the updated Guiding Principles for Programming and Budgeting (Annex I to Resolution EC-53/2) and Article 10 of the IOC Statutes, to be considered by the IOC Assembly at its 32</w:t>
      </w:r>
      <w:r w:rsidRPr="006F5F58">
        <w:rPr>
          <w:rFonts w:asciiTheme="minorBidi" w:hAnsiTheme="minorBidi" w:cstheme="minorBidi"/>
          <w:i/>
          <w:iCs/>
          <w:color w:val="231F20"/>
          <w:sz w:val="22"/>
          <w:szCs w:val="22"/>
          <w:vertAlign w:val="superscript"/>
          <w:lang w:val="en-US"/>
        </w:rPr>
        <w:t>nd</w:t>
      </w:r>
      <w:r w:rsidRPr="006F5F58">
        <w:rPr>
          <w:rFonts w:asciiTheme="minorBidi" w:hAnsiTheme="minorBidi" w:cstheme="minorBidi"/>
          <w:i/>
          <w:iCs/>
          <w:color w:val="231F20"/>
          <w:sz w:val="22"/>
          <w:szCs w:val="22"/>
          <w:lang w:val="en-US"/>
        </w:rPr>
        <w:t xml:space="preserve"> session’</w:t>
      </w:r>
      <w:r w:rsidR="00B43E44">
        <w:rPr>
          <w:rFonts w:asciiTheme="minorBidi" w:hAnsiTheme="minorBidi" w:cstheme="minorBidi"/>
          <w:color w:val="231F20"/>
          <w:sz w:val="22"/>
          <w:szCs w:val="22"/>
          <w:lang w:val="en-US"/>
        </w:rPr>
        <w:t>.</w:t>
      </w:r>
    </w:p>
    <w:p w14:paraId="4A85AE40" w14:textId="0F6B8990" w:rsidR="005224D8" w:rsidRPr="005224D8" w:rsidRDefault="00B43E44" w:rsidP="006F5F58">
      <w:pPr>
        <w:pStyle w:val="ListParagraph"/>
        <w:numPr>
          <w:ilvl w:val="0"/>
          <w:numId w:val="36"/>
        </w:numPr>
        <w:tabs>
          <w:tab w:val="clear" w:pos="567"/>
          <w:tab w:val="left" w:pos="714"/>
        </w:tabs>
        <w:spacing w:after="120"/>
        <w:ind w:left="0" w:firstLine="0"/>
        <w:contextualSpacing w:val="0"/>
        <w:jc w:val="both"/>
        <w:rPr>
          <w:rFonts w:ascii="Arial" w:eastAsia="Calibri" w:hAnsi="Arial" w:cs="Arial"/>
          <w:sz w:val="22"/>
          <w:lang w:val="en-US"/>
        </w:rPr>
      </w:pPr>
      <w:r w:rsidRPr="00B43E44">
        <w:rPr>
          <w:rFonts w:asciiTheme="minorBidi" w:hAnsiTheme="minorBidi" w:cstheme="minorBidi"/>
          <w:bCs/>
          <w:color w:val="231F20"/>
          <w:sz w:val="22"/>
          <w:szCs w:val="22"/>
          <w:lang w:val="en-US"/>
        </w:rPr>
        <w:t xml:space="preserve">The </w:t>
      </w:r>
      <w:r w:rsidR="005224D8" w:rsidRPr="00B43E44">
        <w:rPr>
          <w:rFonts w:asciiTheme="minorBidi" w:hAnsiTheme="minorBidi" w:cstheme="minorBidi"/>
          <w:bCs/>
          <w:color w:val="231F20"/>
          <w:sz w:val="22"/>
          <w:szCs w:val="22"/>
          <w:lang w:val="en-US"/>
        </w:rPr>
        <w:t>IOC</w:t>
      </w:r>
      <w:r w:rsidR="005224D8" w:rsidRPr="005224D8">
        <w:rPr>
          <w:rFonts w:asciiTheme="minorBidi" w:hAnsiTheme="minorBidi" w:cstheme="minorBidi"/>
          <w:color w:val="231F20"/>
          <w:sz w:val="22"/>
          <w:szCs w:val="22"/>
          <w:lang w:val="en-US"/>
        </w:rPr>
        <w:t xml:space="preserve"> </w:t>
      </w:r>
      <w:r w:rsidR="005224D8" w:rsidRPr="00D9357E">
        <w:rPr>
          <w:rFonts w:asciiTheme="minorBidi" w:eastAsia="Calibri" w:hAnsiTheme="minorBidi" w:cstheme="minorBidi"/>
          <w:sz w:val="22"/>
          <w:szCs w:val="22"/>
          <w:lang w:val="en-US"/>
        </w:rPr>
        <w:t>Executive</w:t>
      </w:r>
      <w:r w:rsidR="005224D8" w:rsidRPr="005224D8">
        <w:rPr>
          <w:rFonts w:asciiTheme="minorBidi" w:hAnsiTheme="minorBidi" w:cstheme="minorBidi"/>
          <w:color w:val="231F20"/>
          <w:sz w:val="22"/>
          <w:szCs w:val="22"/>
          <w:lang w:val="en-US"/>
        </w:rPr>
        <w:t xml:space="preserve"> Council at its 55</w:t>
      </w:r>
      <w:r w:rsidR="005224D8" w:rsidRPr="005224D8">
        <w:rPr>
          <w:rFonts w:asciiTheme="minorBidi" w:hAnsiTheme="minorBidi" w:cstheme="minorBidi"/>
          <w:color w:val="231F20"/>
          <w:sz w:val="22"/>
          <w:szCs w:val="22"/>
          <w:vertAlign w:val="superscript"/>
          <w:lang w:val="en-US"/>
        </w:rPr>
        <w:t>th</w:t>
      </w:r>
      <w:r w:rsidR="005224D8" w:rsidRPr="005224D8">
        <w:rPr>
          <w:rFonts w:asciiTheme="minorBidi" w:hAnsiTheme="minorBidi" w:cstheme="minorBidi"/>
          <w:color w:val="231F20"/>
          <w:sz w:val="22"/>
          <w:szCs w:val="22"/>
          <w:lang w:val="en-US"/>
        </w:rPr>
        <w:t xml:space="preserve"> session:</w:t>
      </w:r>
    </w:p>
    <w:p w14:paraId="057AACB6" w14:textId="77777777" w:rsidR="005224D8" w:rsidRPr="005224D8" w:rsidRDefault="005224D8" w:rsidP="006F5F58">
      <w:pPr>
        <w:pStyle w:val="b"/>
        <w:numPr>
          <w:ilvl w:val="0"/>
          <w:numId w:val="40"/>
        </w:numPr>
        <w:tabs>
          <w:tab w:val="clear" w:pos="1134"/>
        </w:tabs>
        <w:spacing w:after="120"/>
        <w:ind w:left="1418" w:hanging="709"/>
        <w:rPr>
          <w:rFonts w:ascii="Arial" w:eastAsia="Calibri" w:hAnsi="Arial" w:cs="Arial"/>
          <w:sz w:val="22"/>
          <w:lang w:val="en-US"/>
        </w:rPr>
      </w:pPr>
      <w:r w:rsidRPr="005224D8">
        <w:rPr>
          <w:rFonts w:asciiTheme="minorBidi" w:hAnsiTheme="minorBidi" w:cstheme="minorBidi"/>
          <w:color w:val="231F20"/>
          <w:sz w:val="22"/>
          <w:szCs w:val="22"/>
          <w:lang w:val="en-US"/>
        </w:rPr>
        <w:t xml:space="preserve">welcomed the more </w:t>
      </w:r>
      <w:r w:rsidRPr="005224D8">
        <w:rPr>
          <w:rFonts w:asciiTheme="minorBidi" w:hAnsiTheme="minorBidi" w:cstheme="minorBidi"/>
          <w:iCs/>
          <w:sz w:val="22"/>
          <w:szCs w:val="22"/>
          <w:lang w:val="en-US"/>
        </w:rPr>
        <w:t>systematic and inclusive approach to reporting on IKC proposed by IFAG and presented in IOC/EC-55/5.</w:t>
      </w:r>
      <w:proofErr w:type="gramStart"/>
      <w:r w:rsidRPr="005224D8">
        <w:rPr>
          <w:rFonts w:asciiTheme="minorBidi" w:hAnsiTheme="minorBidi" w:cstheme="minorBidi"/>
          <w:iCs/>
          <w:sz w:val="22"/>
          <w:szCs w:val="22"/>
          <w:lang w:val="en-US"/>
        </w:rPr>
        <w:t>1.Doc</w:t>
      </w:r>
      <w:proofErr w:type="gramEnd"/>
      <w:r w:rsidRPr="005224D8">
        <w:rPr>
          <w:rFonts w:asciiTheme="minorBidi" w:hAnsiTheme="minorBidi" w:cstheme="minorBidi"/>
          <w:iCs/>
          <w:sz w:val="22"/>
          <w:szCs w:val="22"/>
          <w:lang w:val="en-US"/>
        </w:rPr>
        <w:t>(2) as more inclusive and equitable,</w:t>
      </w:r>
    </w:p>
    <w:p w14:paraId="4E408554" w14:textId="77777777" w:rsidR="005224D8" w:rsidRPr="005224D8" w:rsidRDefault="005224D8" w:rsidP="006F5F58">
      <w:pPr>
        <w:pStyle w:val="b"/>
        <w:numPr>
          <w:ilvl w:val="0"/>
          <w:numId w:val="40"/>
        </w:numPr>
        <w:tabs>
          <w:tab w:val="clear" w:pos="1134"/>
        </w:tabs>
        <w:ind w:left="1418" w:hanging="709"/>
        <w:rPr>
          <w:rFonts w:ascii="Arial" w:eastAsia="Calibri" w:hAnsi="Arial" w:cs="Arial"/>
          <w:sz w:val="22"/>
          <w:lang w:val="en-US"/>
        </w:rPr>
      </w:pPr>
      <w:r w:rsidRPr="005224D8">
        <w:rPr>
          <w:rFonts w:asciiTheme="minorBidi" w:hAnsiTheme="minorBidi" w:cstheme="minorBidi"/>
          <w:color w:val="231F20"/>
          <w:sz w:val="22"/>
          <w:szCs w:val="22"/>
          <w:lang w:val="en-US"/>
        </w:rPr>
        <w:t>invited</w:t>
      </w:r>
      <w:r w:rsidRPr="005224D8">
        <w:rPr>
          <w:rFonts w:asciiTheme="minorBidi" w:hAnsiTheme="minorBidi" w:cstheme="minorBidi"/>
          <w:iCs/>
          <w:sz w:val="22"/>
          <w:szCs w:val="22"/>
          <w:lang w:val="en-US"/>
        </w:rPr>
        <w:t xml:space="preserve"> the IOC Executive Secretary to </w:t>
      </w:r>
      <w:r w:rsidRPr="005224D8">
        <w:rPr>
          <w:rFonts w:asciiTheme="minorBidi" w:hAnsiTheme="minorBidi" w:cstheme="minorBidi"/>
          <w:color w:val="231F20"/>
          <w:sz w:val="22"/>
          <w:szCs w:val="22"/>
          <w:lang w:val="en-US"/>
        </w:rPr>
        <w:t xml:space="preserve">launch </w:t>
      </w:r>
      <w:r w:rsidRPr="005224D8">
        <w:rPr>
          <w:rFonts w:asciiTheme="minorBidi" w:hAnsiTheme="minorBidi" w:cstheme="minorBidi"/>
          <w:bCs/>
          <w:color w:val="000000"/>
          <w:sz w:val="22"/>
          <w:szCs w:val="22"/>
          <w:lang w:val="en-US"/>
        </w:rPr>
        <w:t>the pilot reporting exercise for calendar year 2022 and to submit the resulting report to the IOC Assembly at its 32</w:t>
      </w:r>
      <w:r w:rsidRPr="005224D8">
        <w:rPr>
          <w:rFonts w:asciiTheme="minorBidi" w:hAnsiTheme="minorBidi" w:cstheme="minorBidi"/>
          <w:bCs/>
          <w:color w:val="000000"/>
          <w:sz w:val="22"/>
          <w:szCs w:val="22"/>
          <w:vertAlign w:val="superscript"/>
          <w:lang w:val="en-US"/>
        </w:rPr>
        <w:t>nd</w:t>
      </w:r>
      <w:r w:rsidRPr="005224D8">
        <w:rPr>
          <w:rFonts w:asciiTheme="minorBidi" w:hAnsiTheme="minorBidi" w:cstheme="minorBidi"/>
          <w:bCs/>
          <w:color w:val="000000"/>
          <w:sz w:val="22"/>
          <w:szCs w:val="22"/>
          <w:lang w:val="en-US"/>
        </w:rPr>
        <w:t xml:space="preserve"> session for review and decision on future </w:t>
      </w:r>
      <w:proofErr w:type="gramStart"/>
      <w:r w:rsidRPr="005224D8">
        <w:rPr>
          <w:rFonts w:asciiTheme="minorBidi" w:hAnsiTheme="minorBidi" w:cstheme="minorBidi"/>
          <w:bCs/>
          <w:color w:val="000000"/>
          <w:sz w:val="22"/>
          <w:szCs w:val="22"/>
          <w:lang w:val="en-US"/>
        </w:rPr>
        <w:t>reporting;</w:t>
      </w:r>
      <w:proofErr w:type="gramEnd"/>
    </w:p>
    <w:p w14:paraId="1AD6FA6A" w14:textId="61F4CC97" w:rsidR="00373209" w:rsidRDefault="00373209" w:rsidP="006F5F58">
      <w:pPr>
        <w:pStyle w:val="ListParagraph"/>
        <w:numPr>
          <w:ilvl w:val="0"/>
          <w:numId w:val="36"/>
        </w:numPr>
        <w:tabs>
          <w:tab w:val="clear" w:pos="567"/>
          <w:tab w:val="left" w:pos="714"/>
        </w:tabs>
        <w:spacing w:after="120"/>
        <w:ind w:left="0" w:firstLine="0"/>
        <w:contextualSpacing w:val="0"/>
        <w:jc w:val="both"/>
        <w:rPr>
          <w:rFonts w:asciiTheme="minorBidi" w:hAnsiTheme="minorBidi" w:cstheme="minorBidi"/>
          <w:bCs/>
          <w:sz w:val="22"/>
          <w:szCs w:val="22"/>
        </w:rPr>
      </w:pPr>
      <w:r w:rsidRPr="00D312C1">
        <w:rPr>
          <w:rFonts w:asciiTheme="minorBidi" w:hAnsiTheme="minorBidi" w:cstheme="minorBidi"/>
          <w:bCs/>
          <w:sz w:val="22"/>
          <w:szCs w:val="22"/>
        </w:rPr>
        <w:t xml:space="preserve">The </w:t>
      </w:r>
      <w:r w:rsidRPr="00D9357E">
        <w:rPr>
          <w:rFonts w:asciiTheme="minorBidi" w:eastAsia="Calibri" w:hAnsiTheme="minorBidi" w:cstheme="minorBidi"/>
          <w:sz w:val="22"/>
          <w:szCs w:val="22"/>
          <w:lang w:val="en-US"/>
        </w:rPr>
        <w:t>pilot</w:t>
      </w:r>
      <w:r w:rsidRPr="00D312C1">
        <w:rPr>
          <w:rFonts w:asciiTheme="minorBidi" w:hAnsiTheme="minorBidi" w:cstheme="minorBidi"/>
          <w:bCs/>
          <w:sz w:val="22"/>
          <w:szCs w:val="22"/>
        </w:rPr>
        <w:t xml:space="preserve"> reporting exercise was conducted by the Secretariat through IOC Circular Letter 2915</w:t>
      </w:r>
      <w:r w:rsidR="00956CCF" w:rsidRPr="00D312C1">
        <w:rPr>
          <w:rFonts w:asciiTheme="minorBidi" w:hAnsiTheme="minorBidi" w:cstheme="minorBidi"/>
          <w:bCs/>
          <w:sz w:val="22"/>
          <w:szCs w:val="22"/>
        </w:rPr>
        <w:t xml:space="preserve">, followed by a </w:t>
      </w:r>
      <w:proofErr w:type="gramStart"/>
      <w:r w:rsidR="00956CCF" w:rsidRPr="00D312C1">
        <w:rPr>
          <w:rFonts w:asciiTheme="minorBidi" w:hAnsiTheme="minorBidi" w:cstheme="minorBidi"/>
          <w:bCs/>
          <w:sz w:val="22"/>
          <w:szCs w:val="22"/>
        </w:rPr>
        <w:t>reminder</w:t>
      </w:r>
      <w:proofErr w:type="gramEnd"/>
      <w:r w:rsidR="00421D47" w:rsidRPr="00D312C1">
        <w:rPr>
          <w:rFonts w:asciiTheme="minorBidi" w:hAnsiTheme="minorBidi" w:cstheme="minorBidi"/>
          <w:bCs/>
          <w:sz w:val="22"/>
          <w:szCs w:val="22"/>
        </w:rPr>
        <w:t xml:space="preserve"> and providing the </w:t>
      </w:r>
      <w:r w:rsidR="00D312C1" w:rsidRPr="00D312C1">
        <w:rPr>
          <w:rFonts w:asciiTheme="minorBidi" w:hAnsiTheme="minorBidi" w:cstheme="minorBidi"/>
          <w:bCs/>
          <w:sz w:val="22"/>
          <w:szCs w:val="22"/>
        </w:rPr>
        <w:t>guiding methodology approved by the Executive Council</w:t>
      </w:r>
      <w:r w:rsidR="00357277">
        <w:rPr>
          <w:rFonts w:asciiTheme="minorBidi" w:hAnsiTheme="minorBidi" w:cstheme="minorBidi"/>
          <w:bCs/>
          <w:sz w:val="22"/>
          <w:szCs w:val="22"/>
        </w:rPr>
        <w:t>, recalled below for ease of reference</w:t>
      </w:r>
      <w:r w:rsidR="00D312C1" w:rsidRPr="00D312C1">
        <w:rPr>
          <w:rFonts w:asciiTheme="minorBidi" w:hAnsiTheme="minorBidi" w:cstheme="minorBidi"/>
          <w:bCs/>
          <w:sz w:val="22"/>
          <w:szCs w:val="22"/>
        </w:rPr>
        <w:t>:</w:t>
      </w:r>
    </w:p>
    <w:p w14:paraId="1BB3C19B" w14:textId="77777777" w:rsidR="00E239F0" w:rsidRPr="006F5F58" w:rsidRDefault="00E239F0" w:rsidP="006F5F58">
      <w:pPr>
        <w:numPr>
          <w:ilvl w:val="0"/>
          <w:numId w:val="32"/>
        </w:numPr>
        <w:shd w:val="clear" w:color="auto" w:fill="FFFFFF"/>
        <w:tabs>
          <w:tab w:val="clear" w:pos="567"/>
        </w:tabs>
        <w:snapToGrid/>
        <w:spacing w:after="120"/>
        <w:ind w:left="1134" w:hanging="425"/>
        <w:jc w:val="both"/>
        <w:rPr>
          <w:rFonts w:asciiTheme="minorBidi" w:hAnsiTheme="minorBidi" w:cstheme="minorBidi"/>
          <w:iCs/>
          <w:sz w:val="22"/>
          <w:szCs w:val="22"/>
        </w:rPr>
      </w:pPr>
      <w:r w:rsidRPr="006F5F58">
        <w:rPr>
          <w:rFonts w:asciiTheme="minorBidi" w:hAnsiTheme="minorBidi" w:cstheme="minorBidi"/>
          <w:iCs/>
          <w:sz w:val="22"/>
          <w:szCs w:val="22"/>
        </w:rPr>
        <w:lastRenderedPageBreak/>
        <w:t>Reported IKC must be necessary for the achievement of the objectives of the IOC and would have been paid for by IOC from its own budget were they not provided.</w:t>
      </w:r>
    </w:p>
    <w:p w14:paraId="5A17295B" w14:textId="77777777" w:rsidR="00E239F0" w:rsidRPr="006F5F58" w:rsidRDefault="00E239F0" w:rsidP="006F5F58">
      <w:pPr>
        <w:numPr>
          <w:ilvl w:val="0"/>
          <w:numId w:val="32"/>
        </w:numPr>
        <w:shd w:val="clear" w:color="auto" w:fill="FFFFFF"/>
        <w:tabs>
          <w:tab w:val="clear" w:pos="567"/>
        </w:tabs>
        <w:snapToGrid/>
        <w:spacing w:after="120"/>
        <w:ind w:left="1134" w:hanging="425"/>
        <w:jc w:val="both"/>
        <w:rPr>
          <w:rFonts w:asciiTheme="minorBidi" w:hAnsiTheme="minorBidi" w:cstheme="minorBidi"/>
          <w:iCs/>
          <w:sz w:val="22"/>
          <w:szCs w:val="22"/>
        </w:rPr>
      </w:pPr>
      <w:r w:rsidRPr="006F5F58">
        <w:rPr>
          <w:rFonts w:asciiTheme="minorBidi" w:hAnsiTheme="minorBidi" w:cstheme="minorBidi"/>
          <w:iCs/>
          <w:sz w:val="22"/>
          <w:szCs w:val="22"/>
        </w:rPr>
        <w:t>All types of expenses done at national level in participation to programmes, activities etc., where the beneficiaries of the value from that expense are also national, in principle do not fall in this category of IKC.</w:t>
      </w:r>
    </w:p>
    <w:p w14:paraId="459A5DED" w14:textId="77777777" w:rsidR="00E239F0" w:rsidRPr="006F5F58" w:rsidRDefault="00E239F0" w:rsidP="006F5F58">
      <w:pPr>
        <w:numPr>
          <w:ilvl w:val="0"/>
          <w:numId w:val="32"/>
        </w:numPr>
        <w:shd w:val="clear" w:color="auto" w:fill="FFFFFF"/>
        <w:tabs>
          <w:tab w:val="clear" w:pos="567"/>
        </w:tabs>
        <w:snapToGrid/>
        <w:spacing w:after="120"/>
        <w:ind w:left="1134" w:hanging="425"/>
        <w:jc w:val="both"/>
        <w:rPr>
          <w:rFonts w:asciiTheme="minorBidi" w:hAnsiTheme="minorBidi" w:cstheme="minorBidi"/>
          <w:iCs/>
          <w:sz w:val="22"/>
          <w:szCs w:val="22"/>
        </w:rPr>
      </w:pPr>
      <w:r w:rsidRPr="006F5F58">
        <w:rPr>
          <w:rFonts w:asciiTheme="minorBidi" w:hAnsiTheme="minorBidi" w:cstheme="minorBidi"/>
          <w:iCs/>
          <w:sz w:val="22"/>
          <w:szCs w:val="22"/>
        </w:rPr>
        <w:t>Voluntary (extrabudgetary) contributions in cash to the IOC budgetary workflow that the IOC itself can use are clearly distinct from IKCs where the IOC benefits from the value of that contribution, as opposed to deriving the direct benefit from own cash expenditure.</w:t>
      </w:r>
    </w:p>
    <w:p w14:paraId="4E122D15" w14:textId="224D629D" w:rsidR="00E239F0" w:rsidRPr="006F5F58" w:rsidRDefault="00E239F0" w:rsidP="006F5F58">
      <w:pPr>
        <w:numPr>
          <w:ilvl w:val="0"/>
          <w:numId w:val="32"/>
        </w:numPr>
        <w:shd w:val="clear" w:color="auto" w:fill="FFFFFF"/>
        <w:tabs>
          <w:tab w:val="clear" w:pos="567"/>
        </w:tabs>
        <w:snapToGrid/>
        <w:spacing w:after="120"/>
        <w:ind w:left="1134" w:hanging="425"/>
        <w:jc w:val="both"/>
        <w:rPr>
          <w:rFonts w:asciiTheme="minorBidi" w:hAnsiTheme="minorBidi" w:cstheme="minorBidi"/>
          <w:iCs/>
          <w:sz w:val="22"/>
          <w:szCs w:val="22"/>
        </w:rPr>
      </w:pPr>
      <w:r w:rsidRPr="006F5F58">
        <w:rPr>
          <w:rFonts w:asciiTheme="minorBidi" w:hAnsiTheme="minorBidi" w:cstheme="minorBidi"/>
          <w:iCs/>
          <w:sz w:val="22"/>
          <w:szCs w:val="22"/>
        </w:rPr>
        <w:t xml:space="preserve">IKC value needs to be straightforwardly expressed as the market price, </w:t>
      </w:r>
      <w:proofErr w:type="gramStart"/>
      <w:r w:rsidRPr="006F5F58">
        <w:rPr>
          <w:rFonts w:asciiTheme="minorBidi" w:hAnsiTheme="minorBidi" w:cstheme="minorBidi"/>
          <w:iCs/>
          <w:sz w:val="22"/>
          <w:szCs w:val="22"/>
        </w:rPr>
        <w:t>i.e.</w:t>
      </w:r>
      <w:proofErr w:type="gramEnd"/>
      <w:r w:rsidRPr="006F5F58">
        <w:rPr>
          <w:rFonts w:asciiTheme="minorBidi" w:hAnsiTheme="minorBidi" w:cstheme="minorBidi"/>
          <w:iCs/>
          <w:sz w:val="22"/>
          <w:szCs w:val="22"/>
        </w:rPr>
        <w:t xml:space="preserve"> the expenditure by the party making the contribution</w:t>
      </w:r>
      <w:r w:rsidR="006F5F58">
        <w:rPr>
          <w:rFonts w:asciiTheme="minorBidi" w:hAnsiTheme="minorBidi" w:cstheme="minorBidi"/>
          <w:iCs/>
          <w:sz w:val="22"/>
          <w:szCs w:val="22"/>
        </w:rPr>
        <w:t>—</w:t>
      </w:r>
      <w:r w:rsidRPr="006F5F58">
        <w:rPr>
          <w:rFonts w:asciiTheme="minorBidi" w:hAnsiTheme="minorBidi" w:cstheme="minorBidi"/>
          <w:iCs/>
          <w:sz w:val="22"/>
          <w:szCs w:val="22"/>
        </w:rPr>
        <w:t>this is the case where the contribution is 100% dedicated to the objectives of the receiving organization (IOC).</w:t>
      </w:r>
    </w:p>
    <w:p w14:paraId="2A584C42" w14:textId="0DCCD3B1" w:rsidR="00E239F0" w:rsidRPr="006F5F58" w:rsidRDefault="00E239F0" w:rsidP="006F5F58">
      <w:pPr>
        <w:numPr>
          <w:ilvl w:val="0"/>
          <w:numId w:val="32"/>
        </w:numPr>
        <w:shd w:val="clear" w:color="auto" w:fill="FFFFFF"/>
        <w:tabs>
          <w:tab w:val="clear" w:pos="567"/>
        </w:tabs>
        <w:snapToGrid/>
        <w:spacing w:after="240"/>
        <w:ind w:left="1134" w:hanging="425"/>
        <w:jc w:val="both"/>
        <w:rPr>
          <w:rFonts w:asciiTheme="minorBidi" w:hAnsiTheme="minorBidi" w:cstheme="minorBidi"/>
          <w:iCs/>
          <w:sz w:val="22"/>
          <w:szCs w:val="22"/>
        </w:rPr>
      </w:pPr>
      <w:r w:rsidRPr="006F5F58">
        <w:rPr>
          <w:rFonts w:asciiTheme="minorBidi" w:hAnsiTheme="minorBidi" w:cstheme="minorBidi"/>
          <w:iCs/>
          <w:sz w:val="22"/>
          <w:szCs w:val="22"/>
        </w:rPr>
        <w:t>The information should come either as a letter or an email addressed to the IOC Executive Secretary (</w:t>
      </w:r>
      <w:hyperlink r:id="rId16" w:history="1">
        <w:r w:rsidRPr="006F5F58">
          <w:rPr>
            <w:rFonts w:asciiTheme="minorBidi" w:hAnsiTheme="minorBidi" w:cstheme="minorBidi"/>
            <w:iCs/>
            <w:sz w:val="22"/>
            <w:szCs w:val="22"/>
          </w:rPr>
          <w:t>v.ryabinin@unesco.org</w:t>
        </w:r>
      </w:hyperlink>
      <w:r w:rsidRPr="006F5F58">
        <w:rPr>
          <w:rFonts w:asciiTheme="minorBidi" w:hAnsiTheme="minorBidi" w:cstheme="minorBidi"/>
          <w:iCs/>
          <w:sz w:val="22"/>
          <w:szCs w:val="22"/>
        </w:rPr>
        <w:t>), cc to IFAG technical secretary (</w:t>
      </w:r>
      <w:hyperlink r:id="rId17" w:history="1">
        <w:r w:rsidRPr="006F5F58">
          <w:rPr>
            <w:rFonts w:asciiTheme="minorBidi" w:hAnsiTheme="minorBidi" w:cstheme="minorBidi"/>
            <w:iCs/>
            <w:sz w:val="22"/>
            <w:szCs w:val="22"/>
          </w:rPr>
          <w:t>k.yvinec@unesco.org</w:t>
        </w:r>
      </w:hyperlink>
      <w:r w:rsidRPr="006F5F58">
        <w:rPr>
          <w:rFonts w:asciiTheme="minorBidi" w:hAnsiTheme="minorBidi" w:cstheme="minorBidi"/>
          <w:iCs/>
          <w:sz w:val="22"/>
          <w:szCs w:val="22"/>
        </w:rPr>
        <w:t xml:space="preserve">) and contain, as a minimum, the following information. The amount should correspond to the in-kind contribution in a calendar year 01 January 2022 to 31 December 2022. Amounts can be declared in local currencies or in USD. Amounts declared in local currencies will be converted by the Secretariat at the United Nations Operational Rate of Exchange applicable to financial reports for the period. </w:t>
      </w:r>
    </w:p>
    <w:p w14:paraId="0F7CCE21" w14:textId="4F4B8A39" w:rsidR="005224D8" w:rsidRPr="00856245" w:rsidRDefault="00D16B24" w:rsidP="00D9357E">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bCs/>
          <w:sz w:val="22"/>
          <w:szCs w:val="22"/>
        </w:rPr>
      </w:pPr>
      <w:r w:rsidRPr="00856245">
        <w:rPr>
          <w:rFonts w:asciiTheme="minorBidi" w:hAnsiTheme="minorBidi" w:cstheme="minorBidi"/>
          <w:bCs/>
          <w:sz w:val="22"/>
          <w:szCs w:val="22"/>
        </w:rPr>
        <w:t xml:space="preserve">It is in this context that IFAG considered the result of the </w:t>
      </w:r>
      <w:r w:rsidR="00660B90" w:rsidRPr="00856245">
        <w:rPr>
          <w:rFonts w:asciiTheme="minorBidi" w:hAnsiTheme="minorBidi" w:cstheme="minorBidi"/>
          <w:bCs/>
          <w:sz w:val="22"/>
          <w:szCs w:val="22"/>
        </w:rPr>
        <w:t xml:space="preserve">pilot reporting exercise as presented in Table 6 of document IOC/A-32/3.2.Doc(2). </w:t>
      </w:r>
      <w:r w:rsidR="00130BAC" w:rsidRPr="00856245">
        <w:rPr>
          <w:rFonts w:asciiTheme="minorBidi" w:hAnsiTheme="minorBidi" w:cstheme="minorBidi"/>
          <w:bCs/>
          <w:sz w:val="22"/>
          <w:szCs w:val="22"/>
        </w:rPr>
        <w:t xml:space="preserve">The Group </w:t>
      </w:r>
      <w:r w:rsidR="00875297" w:rsidRPr="00856245">
        <w:rPr>
          <w:rFonts w:asciiTheme="minorBidi" w:hAnsiTheme="minorBidi" w:cstheme="minorBidi"/>
          <w:bCs/>
          <w:sz w:val="22"/>
          <w:szCs w:val="22"/>
        </w:rPr>
        <w:t>agreed</w:t>
      </w:r>
      <w:r w:rsidR="00130BAC" w:rsidRPr="00856245">
        <w:rPr>
          <w:rFonts w:asciiTheme="minorBidi" w:hAnsiTheme="minorBidi" w:cstheme="minorBidi"/>
          <w:bCs/>
          <w:sz w:val="22"/>
          <w:szCs w:val="22"/>
        </w:rPr>
        <w:t xml:space="preserve"> that this was a</w:t>
      </w:r>
      <w:r w:rsidR="00B03A4D" w:rsidRPr="00856245">
        <w:rPr>
          <w:rFonts w:asciiTheme="minorBidi" w:hAnsiTheme="minorBidi" w:cstheme="minorBidi"/>
          <w:bCs/>
          <w:sz w:val="22"/>
          <w:szCs w:val="22"/>
        </w:rPr>
        <w:t xml:space="preserve">n interesting and overall successful first report, ensuring a more systematic, </w:t>
      </w:r>
      <w:r w:rsidR="00D15314" w:rsidRPr="00856245">
        <w:rPr>
          <w:rFonts w:asciiTheme="minorBidi" w:hAnsiTheme="minorBidi" w:cstheme="minorBidi"/>
          <w:bCs/>
          <w:sz w:val="22"/>
          <w:szCs w:val="22"/>
        </w:rPr>
        <w:t>inclusive,</w:t>
      </w:r>
      <w:r w:rsidR="00B03A4D" w:rsidRPr="00856245">
        <w:rPr>
          <w:rFonts w:asciiTheme="minorBidi" w:hAnsiTheme="minorBidi" w:cstheme="minorBidi"/>
          <w:bCs/>
          <w:sz w:val="22"/>
          <w:szCs w:val="22"/>
        </w:rPr>
        <w:t xml:space="preserve"> and Member States</w:t>
      </w:r>
      <w:r w:rsidR="001032F1" w:rsidRPr="00856245">
        <w:rPr>
          <w:rFonts w:asciiTheme="minorBidi" w:hAnsiTheme="minorBidi" w:cstheme="minorBidi"/>
          <w:bCs/>
          <w:sz w:val="22"/>
          <w:szCs w:val="22"/>
        </w:rPr>
        <w:t xml:space="preserve">-owned process. </w:t>
      </w:r>
      <w:r w:rsidR="002F0B0B" w:rsidRPr="00856245">
        <w:rPr>
          <w:rFonts w:asciiTheme="minorBidi" w:hAnsiTheme="minorBidi" w:cstheme="minorBidi"/>
          <w:bCs/>
          <w:sz w:val="22"/>
          <w:szCs w:val="22"/>
        </w:rPr>
        <w:t xml:space="preserve">As such, the applied methodology provides a good basis for future reporting cycles. </w:t>
      </w:r>
      <w:r w:rsidR="00922110" w:rsidRPr="00856245">
        <w:rPr>
          <w:rFonts w:asciiTheme="minorBidi" w:hAnsiTheme="minorBidi" w:cstheme="minorBidi"/>
          <w:bCs/>
          <w:sz w:val="22"/>
          <w:szCs w:val="22"/>
        </w:rPr>
        <w:t xml:space="preserve">The </w:t>
      </w:r>
      <w:r w:rsidR="00F24EEE" w:rsidRPr="00856245">
        <w:rPr>
          <w:rFonts w:asciiTheme="minorBidi" w:hAnsiTheme="minorBidi" w:cstheme="minorBidi"/>
          <w:bCs/>
          <w:sz w:val="22"/>
          <w:szCs w:val="22"/>
        </w:rPr>
        <w:t xml:space="preserve">sessional </w:t>
      </w:r>
      <w:r w:rsidR="00922110" w:rsidRPr="00856245">
        <w:rPr>
          <w:rFonts w:asciiTheme="minorBidi" w:hAnsiTheme="minorBidi" w:cstheme="minorBidi"/>
          <w:bCs/>
          <w:sz w:val="22"/>
          <w:szCs w:val="22"/>
        </w:rPr>
        <w:t xml:space="preserve">Financial Committee </w:t>
      </w:r>
      <w:r w:rsidR="00F24EEE" w:rsidRPr="00856245">
        <w:rPr>
          <w:rFonts w:asciiTheme="minorBidi" w:hAnsiTheme="minorBidi" w:cstheme="minorBidi"/>
          <w:bCs/>
          <w:sz w:val="22"/>
          <w:szCs w:val="22"/>
        </w:rPr>
        <w:t xml:space="preserve">may wish to review the report more in depth for compliance with </w:t>
      </w:r>
      <w:r w:rsidR="00406710" w:rsidRPr="00856245">
        <w:rPr>
          <w:rFonts w:asciiTheme="minorBidi" w:hAnsiTheme="minorBidi" w:cstheme="minorBidi"/>
          <w:bCs/>
          <w:sz w:val="22"/>
          <w:szCs w:val="22"/>
        </w:rPr>
        <w:t xml:space="preserve">methodology and </w:t>
      </w:r>
      <w:r w:rsidR="00922110" w:rsidRPr="00856245">
        <w:rPr>
          <w:rFonts w:asciiTheme="minorBidi" w:hAnsiTheme="minorBidi" w:cstheme="minorBidi"/>
          <w:bCs/>
          <w:sz w:val="22"/>
          <w:szCs w:val="22"/>
        </w:rPr>
        <w:t>consider whether additional guidance to the Secretariat and/or to Member States</w:t>
      </w:r>
      <w:r w:rsidR="002F0B0B" w:rsidRPr="00856245">
        <w:rPr>
          <w:rFonts w:asciiTheme="minorBidi" w:hAnsiTheme="minorBidi" w:cstheme="minorBidi"/>
          <w:bCs/>
          <w:sz w:val="22"/>
          <w:szCs w:val="22"/>
        </w:rPr>
        <w:t xml:space="preserve"> </w:t>
      </w:r>
      <w:r w:rsidR="00406710" w:rsidRPr="00856245">
        <w:rPr>
          <w:rFonts w:asciiTheme="minorBidi" w:hAnsiTheme="minorBidi" w:cstheme="minorBidi"/>
          <w:bCs/>
          <w:sz w:val="22"/>
          <w:szCs w:val="22"/>
        </w:rPr>
        <w:t>could further improve</w:t>
      </w:r>
      <w:r w:rsidR="00875297" w:rsidRPr="00856245">
        <w:rPr>
          <w:rFonts w:asciiTheme="minorBidi" w:hAnsiTheme="minorBidi" w:cstheme="minorBidi"/>
          <w:bCs/>
          <w:sz w:val="22"/>
          <w:szCs w:val="22"/>
        </w:rPr>
        <w:t xml:space="preserve"> the quality of reporting going forward. </w:t>
      </w:r>
    </w:p>
    <w:p w14:paraId="1A0EFBF3" w14:textId="17B8BDA2" w:rsidR="00440E5D" w:rsidRPr="00D9357E" w:rsidRDefault="00440E5D" w:rsidP="00D9357E">
      <w:pPr>
        <w:pStyle w:val="ListParagraph"/>
        <w:numPr>
          <w:ilvl w:val="0"/>
          <w:numId w:val="30"/>
        </w:numPr>
        <w:tabs>
          <w:tab w:val="clear" w:pos="567"/>
          <w:tab w:val="left" w:pos="709"/>
        </w:tabs>
        <w:spacing w:after="240"/>
        <w:ind w:left="567" w:hanging="567"/>
        <w:contextualSpacing w:val="0"/>
        <w:rPr>
          <w:rFonts w:asciiTheme="minorBidi" w:hAnsiTheme="minorBidi" w:cstheme="minorBidi"/>
          <w:b/>
          <w:sz w:val="22"/>
          <w:szCs w:val="22"/>
        </w:rPr>
      </w:pPr>
      <w:r w:rsidRPr="00D9357E">
        <w:rPr>
          <w:rFonts w:asciiTheme="minorBidi" w:hAnsiTheme="minorBidi" w:cstheme="minorBidi"/>
          <w:b/>
          <w:sz w:val="22"/>
          <w:szCs w:val="22"/>
        </w:rPr>
        <w:t>Draft Action Plan in response to the IOS Evaluation of the IOC Strategic Positioning</w:t>
      </w:r>
    </w:p>
    <w:p w14:paraId="625873E3" w14:textId="3FFDCF6E" w:rsidR="006D3CA7" w:rsidRPr="00F9283E" w:rsidRDefault="008C72D6" w:rsidP="00D9357E">
      <w:pPr>
        <w:pStyle w:val="ListParagraph"/>
        <w:numPr>
          <w:ilvl w:val="0"/>
          <w:numId w:val="36"/>
        </w:numPr>
        <w:tabs>
          <w:tab w:val="clear" w:pos="567"/>
          <w:tab w:val="left" w:pos="714"/>
        </w:tabs>
        <w:spacing w:after="240"/>
        <w:ind w:left="0" w:firstLine="0"/>
        <w:contextualSpacing w:val="0"/>
        <w:jc w:val="both"/>
        <w:rPr>
          <w:rFonts w:ascii="Arial" w:hAnsi="Arial" w:cs="Arial"/>
          <w:sz w:val="22"/>
          <w:szCs w:val="22"/>
        </w:rPr>
      </w:pPr>
      <w:r w:rsidRPr="00F9283E">
        <w:rPr>
          <w:rFonts w:ascii="Arial" w:hAnsi="Arial" w:cs="Arial"/>
          <w:sz w:val="22"/>
          <w:szCs w:val="22"/>
        </w:rPr>
        <w:t xml:space="preserve">At </w:t>
      </w:r>
      <w:r w:rsidR="006D3CA7" w:rsidRPr="00F9283E">
        <w:rPr>
          <w:rFonts w:ascii="Arial" w:hAnsi="Arial" w:cs="Arial"/>
          <w:sz w:val="22"/>
          <w:szCs w:val="22"/>
        </w:rPr>
        <w:t>their annual meeting in January 2023</w:t>
      </w:r>
      <w:r w:rsidRPr="00F9283E">
        <w:rPr>
          <w:rFonts w:ascii="Arial" w:hAnsi="Arial" w:cs="Arial"/>
          <w:sz w:val="22"/>
          <w:szCs w:val="22"/>
        </w:rPr>
        <w:t>, the IOC Officers</w:t>
      </w:r>
      <w:r w:rsidR="006D3CA7" w:rsidRPr="00F9283E">
        <w:rPr>
          <w:rFonts w:ascii="Arial" w:hAnsi="Arial" w:cs="Arial"/>
          <w:sz w:val="22"/>
          <w:szCs w:val="22"/>
        </w:rPr>
        <w:t xml:space="preserve"> agreed with the Executive Secretary’s proposal that a longer-term strategic discussion started with the document</w:t>
      </w:r>
      <w:r w:rsidRPr="00F9283E">
        <w:rPr>
          <w:rFonts w:ascii="Arial" w:hAnsi="Arial" w:cs="Arial"/>
          <w:sz w:val="22"/>
          <w:szCs w:val="22"/>
        </w:rPr>
        <w:t xml:space="preserve"> ‘Sustainable Delivery and Expansion of IOC Activitie</w:t>
      </w:r>
      <w:r w:rsidR="00D66EDD" w:rsidRPr="00F9283E">
        <w:rPr>
          <w:rFonts w:ascii="Arial" w:hAnsi="Arial" w:cs="Arial"/>
          <w:sz w:val="22"/>
          <w:szCs w:val="22"/>
        </w:rPr>
        <w:t xml:space="preserve">s: Estimate of required budget, including human resources needs’ </w:t>
      </w:r>
      <w:r w:rsidR="006D3CA7" w:rsidRPr="00F9283E">
        <w:rPr>
          <w:rFonts w:ascii="Arial" w:hAnsi="Arial" w:cs="Arial"/>
          <w:sz w:val="22"/>
          <w:szCs w:val="22"/>
        </w:rPr>
        <w:t xml:space="preserve"> </w:t>
      </w:r>
      <w:r w:rsidR="00D66EDD" w:rsidRPr="00F9283E">
        <w:rPr>
          <w:rFonts w:ascii="Arial" w:hAnsi="Arial" w:cs="Arial"/>
          <w:sz w:val="22"/>
          <w:szCs w:val="22"/>
        </w:rPr>
        <w:t xml:space="preserve">prepared in response to IOC Resolution </w:t>
      </w:r>
      <w:r w:rsidR="00F9283E" w:rsidRPr="00F9283E">
        <w:rPr>
          <w:rFonts w:ascii="Arial" w:hAnsi="Arial" w:cs="Arial"/>
          <w:sz w:val="22"/>
          <w:szCs w:val="22"/>
        </w:rPr>
        <w:t>A-31/2 and Decision EC-55/3.2</w:t>
      </w:r>
      <w:r w:rsidR="006D3CA7" w:rsidRPr="00F9283E">
        <w:rPr>
          <w:rFonts w:ascii="Arial" w:hAnsi="Arial" w:cs="Arial"/>
          <w:sz w:val="22"/>
          <w:szCs w:val="22"/>
        </w:rPr>
        <w:t xml:space="preserve"> and </w:t>
      </w:r>
      <w:r w:rsidR="00F9283E" w:rsidRPr="00F9283E">
        <w:rPr>
          <w:rFonts w:ascii="Arial" w:hAnsi="Arial" w:cs="Arial"/>
          <w:sz w:val="22"/>
          <w:szCs w:val="22"/>
        </w:rPr>
        <w:t>s</w:t>
      </w:r>
      <w:r w:rsidR="006D3CA7" w:rsidRPr="00F9283E">
        <w:rPr>
          <w:rFonts w:ascii="Arial" w:hAnsi="Arial" w:cs="Arial"/>
          <w:sz w:val="22"/>
          <w:szCs w:val="22"/>
        </w:rPr>
        <w:t>har</w:t>
      </w:r>
      <w:r w:rsidR="00F9283E" w:rsidRPr="00F9283E">
        <w:rPr>
          <w:rFonts w:ascii="Arial" w:hAnsi="Arial" w:cs="Arial"/>
          <w:sz w:val="22"/>
          <w:szCs w:val="22"/>
        </w:rPr>
        <w:t xml:space="preserve">ed </w:t>
      </w:r>
      <w:r w:rsidR="006D3CA7" w:rsidRPr="00F9283E">
        <w:rPr>
          <w:rFonts w:ascii="Arial" w:hAnsi="Arial" w:cs="Arial"/>
          <w:sz w:val="22"/>
          <w:szCs w:val="22"/>
        </w:rPr>
        <w:t xml:space="preserve">through IOC </w:t>
      </w:r>
      <w:r w:rsidR="004A1753" w:rsidRPr="00F9283E">
        <w:rPr>
          <w:rFonts w:ascii="Arial" w:hAnsi="Arial" w:cs="Arial"/>
          <w:sz w:val="22"/>
          <w:szCs w:val="22"/>
        </w:rPr>
        <w:t xml:space="preserve">Circular Letter </w:t>
      </w:r>
      <w:hyperlink r:id="rId18" w:history="1">
        <w:r w:rsidR="006D3CA7" w:rsidRPr="004A1753">
          <w:rPr>
            <w:rStyle w:val="Hyperlink"/>
            <w:rFonts w:ascii="Arial" w:hAnsi="Arial" w:cs="Arial"/>
            <w:sz w:val="22"/>
            <w:szCs w:val="22"/>
          </w:rPr>
          <w:t>2912</w:t>
        </w:r>
      </w:hyperlink>
      <w:r w:rsidR="006D3CA7" w:rsidRPr="00F9283E">
        <w:rPr>
          <w:rFonts w:ascii="Arial" w:hAnsi="Arial" w:cs="Arial"/>
          <w:sz w:val="22"/>
          <w:szCs w:val="22"/>
        </w:rPr>
        <w:t xml:space="preserve">, requires further consultation with Member States and could be a reason to return to </w:t>
      </w:r>
      <w:r w:rsidR="00E1145C">
        <w:rPr>
          <w:rFonts w:ascii="Arial" w:hAnsi="Arial" w:cs="Arial"/>
          <w:sz w:val="22"/>
          <w:szCs w:val="22"/>
        </w:rPr>
        <w:t>the</w:t>
      </w:r>
      <w:r w:rsidR="006D3CA7" w:rsidRPr="00F9283E">
        <w:rPr>
          <w:rFonts w:ascii="Arial" w:hAnsi="Arial" w:cs="Arial"/>
          <w:sz w:val="22"/>
          <w:szCs w:val="22"/>
        </w:rPr>
        <w:t xml:space="preserve"> long-standing tradition of reflection and self-assessment ‘IOC and the Future of the Ocean’. </w:t>
      </w:r>
      <w:r w:rsidR="00E1145C">
        <w:rPr>
          <w:rFonts w:ascii="Arial" w:hAnsi="Arial" w:cs="Arial"/>
          <w:sz w:val="22"/>
          <w:szCs w:val="22"/>
        </w:rPr>
        <w:t>T</w:t>
      </w:r>
      <w:r w:rsidR="006D3CA7" w:rsidRPr="00F9283E">
        <w:rPr>
          <w:rFonts w:ascii="Arial" w:hAnsi="Arial" w:cs="Arial"/>
          <w:sz w:val="22"/>
          <w:szCs w:val="22"/>
        </w:rPr>
        <w:t>his approach is proposed for Member States</w:t>
      </w:r>
      <w:r w:rsidR="009B6F4C">
        <w:rPr>
          <w:rFonts w:ascii="Arial" w:hAnsi="Arial" w:cs="Arial"/>
          <w:sz w:val="22"/>
          <w:szCs w:val="22"/>
        </w:rPr>
        <w:t>’</w:t>
      </w:r>
      <w:r w:rsidR="006D3CA7" w:rsidRPr="00F9283E">
        <w:rPr>
          <w:rFonts w:ascii="Arial" w:hAnsi="Arial" w:cs="Arial"/>
          <w:sz w:val="22"/>
          <w:szCs w:val="22"/>
        </w:rPr>
        <w:t xml:space="preserve"> discussion under agenda item </w:t>
      </w:r>
      <w:r w:rsidR="000C7F40">
        <w:rPr>
          <w:rFonts w:ascii="Arial" w:hAnsi="Arial" w:cs="Arial"/>
          <w:sz w:val="22"/>
          <w:szCs w:val="22"/>
        </w:rPr>
        <w:t>5</w:t>
      </w:r>
      <w:r w:rsidR="006F5F58">
        <w:rPr>
          <w:rFonts w:ascii="Arial" w:hAnsi="Arial" w:cs="Arial"/>
          <w:sz w:val="22"/>
          <w:szCs w:val="22"/>
        </w:rPr>
        <w:t xml:space="preserve"> of the Assembly</w:t>
      </w:r>
      <w:r w:rsidR="000C7F40">
        <w:rPr>
          <w:rFonts w:ascii="Arial" w:hAnsi="Arial" w:cs="Arial"/>
          <w:sz w:val="22"/>
          <w:szCs w:val="22"/>
        </w:rPr>
        <w:t>.</w:t>
      </w:r>
    </w:p>
    <w:p w14:paraId="61FA2709" w14:textId="77777777" w:rsidR="000C7F40" w:rsidRDefault="006D3CA7" w:rsidP="00D9357E">
      <w:pPr>
        <w:pStyle w:val="ListParagraph"/>
        <w:numPr>
          <w:ilvl w:val="0"/>
          <w:numId w:val="36"/>
        </w:numPr>
        <w:tabs>
          <w:tab w:val="clear" w:pos="567"/>
          <w:tab w:val="left" w:pos="714"/>
        </w:tabs>
        <w:spacing w:after="240"/>
        <w:ind w:left="0" w:firstLine="0"/>
        <w:contextualSpacing w:val="0"/>
        <w:jc w:val="both"/>
        <w:rPr>
          <w:rFonts w:ascii="Arial" w:hAnsi="Arial" w:cs="Arial"/>
          <w:sz w:val="22"/>
          <w:szCs w:val="22"/>
        </w:rPr>
      </w:pPr>
      <w:r w:rsidRPr="00F9283E">
        <w:rPr>
          <w:rFonts w:ascii="Arial" w:hAnsi="Arial" w:cs="Arial"/>
          <w:sz w:val="22"/>
          <w:szCs w:val="22"/>
        </w:rPr>
        <w:t xml:space="preserve">The Officers </w:t>
      </w:r>
      <w:r w:rsidR="000C7F40">
        <w:rPr>
          <w:rFonts w:ascii="Arial" w:hAnsi="Arial" w:cs="Arial"/>
          <w:sz w:val="22"/>
          <w:szCs w:val="22"/>
        </w:rPr>
        <w:t xml:space="preserve">also </w:t>
      </w:r>
      <w:r w:rsidRPr="00F9283E">
        <w:rPr>
          <w:rFonts w:ascii="Arial" w:hAnsi="Arial" w:cs="Arial"/>
          <w:sz w:val="22"/>
          <w:szCs w:val="22"/>
        </w:rPr>
        <w:t xml:space="preserve">considered that it would be beneficial for the Financial Committee to include the more </w:t>
      </w:r>
      <w:r w:rsidRPr="00D9357E">
        <w:rPr>
          <w:rFonts w:asciiTheme="minorBidi" w:eastAsia="Calibri" w:hAnsiTheme="minorBidi" w:cstheme="minorBidi"/>
          <w:sz w:val="22"/>
          <w:szCs w:val="22"/>
          <w:lang w:val="en-US"/>
        </w:rPr>
        <w:t>immediate</w:t>
      </w:r>
      <w:r w:rsidRPr="00F9283E">
        <w:rPr>
          <w:rFonts w:ascii="Arial" w:hAnsi="Arial" w:cs="Arial"/>
          <w:sz w:val="22"/>
          <w:szCs w:val="22"/>
        </w:rPr>
        <w:t xml:space="preserve"> issue of the </w:t>
      </w:r>
      <w:r w:rsidR="000C7F40">
        <w:rPr>
          <w:rFonts w:ascii="Arial" w:hAnsi="Arial" w:cs="Arial"/>
          <w:sz w:val="22"/>
          <w:szCs w:val="22"/>
        </w:rPr>
        <w:t>Draft</w:t>
      </w:r>
      <w:r w:rsidRPr="00F9283E">
        <w:rPr>
          <w:rFonts w:ascii="Arial" w:hAnsi="Arial" w:cs="Arial"/>
          <w:sz w:val="22"/>
          <w:szCs w:val="22"/>
        </w:rPr>
        <w:t xml:space="preserve"> Action Plan in response to the IOS evaluation in its mandate. </w:t>
      </w:r>
    </w:p>
    <w:p w14:paraId="7662BEA0" w14:textId="297F7040" w:rsidR="006D3CA7" w:rsidRPr="00F9283E" w:rsidRDefault="004F48DD" w:rsidP="00D9357E">
      <w:pPr>
        <w:pStyle w:val="ListParagraph"/>
        <w:numPr>
          <w:ilvl w:val="0"/>
          <w:numId w:val="36"/>
        </w:numPr>
        <w:tabs>
          <w:tab w:val="clear" w:pos="567"/>
          <w:tab w:val="left" w:pos="714"/>
        </w:tabs>
        <w:spacing w:after="240"/>
        <w:ind w:left="0" w:firstLine="0"/>
        <w:contextualSpacing w:val="0"/>
        <w:jc w:val="both"/>
        <w:rPr>
          <w:rFonts w:ascii="Arial" w:hAnsi="Arial" w:cs="Arial"/>
          <w:sz w:val="22"/>
          <w:szCs w:val="22"/>
        </w:rPr>
      </w:pPr>
      <w:r>
        <w:rPr>
          <w:rFonts w:ascii="Arial" w:hAnsi="Arial" w:cs="Arial"/>
          <w:sz w:val="22"/>
          <w:szCs w:val="22"/>
        </w:rPr>
        <w:t xml:space="preserve">In </w:t>
      </w:r>
      <w:r w:rsidR="00654A4E">
        <w:rPr>
          <w:rFonts w:ascii="Arial" w:hAnsi="Arial" w:cs="Arial"/>
          <w:sz w:val="22"/>
          <w:szCs w:val="22"/>
        </w:rPr>
        <w:t>exchanging view</w:t>
      </w:r>
      <w:r w:rsidR="009B6F4C">
        <w:rPr>
          <w:rFonts w:ascii="Arial" w:hAnsi="Arial" w:cs="Arial"/>
          <w:sz w:val="22"/>
          <w:szCs w:val="22"/>
        </w:rPr>
        <w:t>s</w:t>
      </w:r>
      <w:r w:rsidR="00654A4E">
        <w:rPr>
          <w:rFonts w:ascii="Arial" w:hAnsi="Arial" w:cs="Arial"/>
          <w:sz w:val="22"/>
          <w:szCs w:val="22"/>
        </w:rPr>
        <w:t xml:space="preserve"> on</w:t>
      </w:r>
      <w:r>
        <w:rPr>
          <w:rFonts w:ascii="Arial" w:hAnsi="Arial" w:cs="Arial"/>
          <w:sz w:val="22"/>
          <w:szCs w:val="22"/>
        </w:rPr>
        <w:t xml:space="preserve"> this matter, IFAG was mindful of the fact that th</w:t>
      </w:r>
      <w:r w:rsidR="006D3CA7" w:rsidRPr="00F9283E">
        <w:rPr>
          <w:rFonts w:ascii="Arial" w:hAnsi="Arial" w:cs="Arial"/>
          <w:sz w:val="22"/>
          <w:szCs w:val="22"/>
        </w:rPr>
        <w:t xml:space="preserve">e first </w:t>
      </w:r>
      <w:r w:rsidR="00CC215B">
        <w:rPr>
          <w:rFonts w:ascii="Arial" w:hAnsi="Arial" w:cs="Arial"/>
          <w:sz w:val="22"/>
          <w:szCs w:val="22"/>
        </w:rPr>
        <w:t xml:space="preserve">draft </w:t>
      </w:r>
      <w:r w:rsidR="006D3CA7" w:rsidRPr="00F9283E">
        <w:rPr>
          <w:rFonts w:ascii="Arial" w:hAnsi="Arial" w:cs="Arial"/>
          <w:sz w:val="22"/>
          <w:szCs w:val="22"/>
        </w:rPr>
        <w:t xml:space="preserve">was already reviewed by </w:t>
      </w:r>
      <w:r w:rsidR="006D3CA7" w:rsidRPr="00D9357E">
        <w:rPr>
          <w:rFonts w:asciiTheme="minorBidi" w:eastAsia="Calibri" w:hAnsiTheme="minorBidi" w:cstheme="minorBidi"/>
          <w:sz w:val="22"/>
          <w:szCs w:val="22"/>
          <w:lang w:val="en-US"/>
        </w:rPr>
        <w:t>the</w:t>
      </w:r>
      <w:r w:rsidR="006D3CA7" w:rsidRPr="00F9283E">
        <w:rPr>
          <w:rFonts w:ascii="Arial" w:hAnsi="Arial" w:cs="Arial"/>
          <w:sz w:val="22"/>
          <w:szCs w:val="22"/>
        </w:rPr>
        <w:t xml:space="preserve"> IOC Executive Council</w:t>
      </w:r>
      <w:r w:rsidR="00CC215B">
        <w:rPr>
          <w:rFonts w:ascii="Arial" w:hAnsi="Arial" w:cs="Arial"/>
          <w:sz w:val="22"/>
          <w:szCs w:val="22"/>
        </w:rPr>
        <w:t xml:space="preserve"> at its 55</w:t>
      </w:r>
      <w:r w:rsidR="00CC215B" w:rsidRPr="00CC215B">
        <w:rPr>
          <w:rFonts w:ascii="Arial" w:hAnsi="Arial" w:cs="Arial"/>
          <w:sz w:val="22"/>
          <w:szCs w:val="22"/>
          <w:vertAlign w:val="superscript"/>
        </w:rPr>
        <w:t>th</w:t>
      </w:r>
      <w:r w:rsidR="00CC215B">
        <w:rPr>
          <w:rFonts w:ascii="Arial" w:hAnsi="Arial" w:cs="Arial"/>
          <w:sz w:val="22"/>
          <w:szCs w:val="22"/>
        </w:rPr>
        <w:t xml:space="preserve"> session </w:t>
      </w:r>
      <w:r w:rsidR="006D3CA7" w:rsidRPr="00F9283E">
        <w:rPr>
          <w:rFonts w:ascii="Arial" w:hAnsi="Arial" w:cs="Arial"/>
          <w:sz w:val="22"/>
          <w:szCs w:val="22"/>
        </w:rPr>
        <w:t xml:space="preserve">and additional feedback from Member States was sought through </w:t>
      </w:r>
      <w:r w:rsidR="004A1753" w:rsidRPr="00F9283E">
        <w:rPr>
          <w:rFonts w:ascii="Arial" w:hAnsi="Arial" w:cs="Arial"/>
          <w:sz w:val="22"/>
          <w:szCs w:val="22"/>
        </w:rPr>
        <w:t xml:space="preserve">Circular Letter </w:t>
      </w:r>
      <w:r w:rsidR="006D3CA7" w:rsidRPr="00F9283E">
        <w:rPr>
          <w:rFonts w:ascii="Arial" w:hAnsi="Arial" w:cs="Arial"/>
          <w:sz w:val="22"/>
          <w:szCs w:val="22"/>
        </w:rPr>
        <w:t xml:space="preserve">2912. </w:t>
      </w:r>
    </w:p>
    <w:p w14:paraId="4538074C" w14:textId="7C77BDB9" w:rsidR="006D3CA7" w:rsidRPr="00F9283E" w:rsidRDefault="006D3CA7" w:rsidP="00D9357E">
      <w:pPr>
        <w:pStyle w:val="ListParagraph"/>
        <w:numPr>
          <w:ilvl w:val="0"/>
          <w:numId w:val="36"/>
        </w:numPr>
        <w:tabs>
          <w:tab w:val="clear" w:pos="567"/>
          <w:tab w:val="left" w:pos="714"/>
        </w:tabs>
        <w:spacing w:after="240"/>
        <w:ind w:left="0" w:firstLine="0"/>
        <w:contextualSpacing w:val="0"/>
        <w:jc w:val="both"/>
        <w:rPr>
          <w:rFonts w:ascii="Arial" w:hAnsi="Arial" w:cs="Arial"/>
          <w:sz w:val="22"/>
          <w:szCs w:val="22"/>
        </w:rPr>
      </w:pPr>
      <w:r w:rsidRPr="00F9283E">
        <w:rPr>
          <w:rFonts w:ascii="Arial" w:hAnsi="Arial" w:cs="Arial"/>
          <w:sz w:val="22"/>
          <w:szCs w:val="22"/>
        </w:rPr>
        <w:t xml:space="preserve">This session would need to turn this draft into an Assembly-endorsed Action Plan that will allow the Secretariat to the work and to report both to </w:t>
      </w:r>
      <w:r w:rsidR="00281BA6">
        <w:rPr>
          <w:rFonts w:ascii="Arial" w:hAnsi="Arial" w:cs="Arial"/>
          <w:sz w:val="22"/>
          <w:szCs w:val="22"/>
        </w:rPr>
        <w:t>IOC</w:t>
      </w:r>
      <w:r w:rsidRPr="00F9283E">
        <w:rPr>
          <w:rFonts w:ascii="Arial" w:hAnsi="Arial" w:cs="Arial"/>
          <w:sz w:val="22"/>
          <w:szCs w:val="22"/>
        </w:rPr>
        <w:t xml:space="preserve"> and to UNESCO Governing Bodies on progress.</w:t>
      </w:r>
    </w:p>
    <w:p w14:paraId="3446A219" w14:textId="3F681805" w:rsidR="00357277" w:rsidRPr="00856245" w:rsidRDefault="00357277" w:rsidP="00281BA6">
      <w:pPr>
        <w:pStyle w:val="ListParagraph"/>
        <w:tabs>
          <w:tab w:val="clear" w:pos="567"/>
        </w:tabs>
        <w:snapToGrid/>
        <w:jc w:val="both"/>
        <w:rPr>
          <w:rFonts w:asciiTheme="minorBidi" w:hAnsiTheme="minorBidi" w:cstheme="minorBidi"/>
          <w:b/>
          <w:sz w:val="22"/>
          <w:szCs w:val="22"/>
        </w:rPr>
      </w:pPr>
    </w:p>
    <w:sectPr w:rsidR="00357277" w:rsidRPr="00856245" w:rsidSect="004B7754">
      <w:headerReference w:type="even" r:id="rId19"/>
      <w:headerReference w:type="default" r:id="rId20"/>
      <w:headerReference w:type="first" r:id="rId21"/>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EFCF" w14:textId="77777777" w:rsidR="0046074D" w:rsidRDefault="0046074D">
      <w:r>
        <w:separator/>
      </w:r>
    </w:p>
  </w:endnote>
  <w:endnote w:type="continuationSeparator" w:id="0">
    <w:p w14:paraId="700C08C0" w14:textId="77777777" w:rsidR="0046074D" w:rsidRDefault="0046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albaum Display Light">
    <w:altName w:val="Walbaum Display Light"/>
    <w:charset w:val="00"/>
    <w:family w:val="roman"/>
    <w:pitch w:val="variable"/>
    <w:sig w:usb0="8000002F" w:usb1="0000000A"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휴먼명조">
    <w:altName w:val="Malgun Gothic"/>
    <w:charset w:val="81"/>
    <w:family w:val="auto"/>
    <w:pitch w:val="variable"/>
    <w:sig w:usb0="00000000" w:usb1="1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B8B4" w14:textId="77777777" w:rsidR="0046074D" w:rsidRDefault="0046074D">
      <w:r>
        <w:separator/>
      </w:r>
    </w:p>
  </w:footnote>
  <w:footnote w:type="continuationSeparator" w:id="0">
    <w:p w14:paraId="4A3A4585" w14:textId="77777777" w:rsidR="0046074D" w:rsidRDefault="00460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2109CDC6" w:rsidR="00AE2085" w:rsidRPr="00FF54F5" w:rsidRDefault="00AE2085" w:rsidP="00FF54F5">
    <w:pPr>
      <w:pStyle w:val="Header"/>
      <w:rPr>
        <w:rFonts w:ascii="Arial" w:hAnsi="Arial" w:cs="Arial"/>
        <w:bCs/>
        <w:sz w:val="22"/>
        <w:szCs w:val="22"/>
        <w:lang w:val="fr-FR"/>
      </w:rPr>
    </w:pPr>
    <w:r w:rsidRPr="00352423">
      <w:rPr>
        <w:rFonts w:ascii="Arial" w:hAnsi="Arial" w:cs="Arial"/>
        <w:bCs/>
        <w:sz w:val="22"/>
        <w:szCs w:val="22"/>
        <w:lang w:val="fr-FR"/>
      </w:rPr>
      <w:t>IOC/</w:t>
    </w:r>
    <w:r w:rsidR="00000789">
      <w:rPr>
        <w:rFonts w:ascii="Arial" w:hAnsi="Arial" w:cs="Arial"/>
        <w:bCs/>
        <w:sz w:val="22"/>
        <w:szCs w:val="22"/>
        <w:lang w:val="fr-FR"/>
      </w:rPr>
      <w:t>A-32</w:t>
    </w:r>
    <w:r w:rsidR="006B18B7">
      <w:rPr>
        <w:rFonts w:ascii="Arial" w:hAnsi="Arial" w:cs="Arial"/>
        <w:bCs/>
        <w:sz w:val="22"/>
        <w:szCs w:val="22"/>
        <w:lang w:val="fr-FR"/>
      </w:rPr>
      <w:t>/</w:t>
    </w:r>
    <w:r w:rsidR="00000789">
      <w:rPr>
        <w:rFonts w:ascii="Arial" w:hAnsi="Arial" w:cs="Arial"/>
        <w:bCs/>
        <w:sz w:val="22"/>
        <w:szCs w:val="22"/>
        <w:lang w:val="fr-FR"/>
      </w:rPr>
      <w:t>6.</w:t>
    </w:r>
    <w:proofErr w:type="gramStart"/>
    <w:r w:rsidR="00000789">
      <w:rPr>
        <w:rFonts w:ascii="Arial" w:hAnsi="Arial" w:cs="Arial"/>
        <w:bCs/>
        <w:sz w:val="22"/>
        <w:szCs w:val="22"/>
        <w:lang w:val="fr-FR"/>
      </w:rPr>
      <w:t>2</w:t>
    </w:r>
    <w:r>
      <w:rPr>
        <w:rFonts w:ascii="Arial" w:hAnsi="Arial" w:cs="Arial"/>
        <w:bCs/>
        <w:sz w:val="22"/>
        <w:szCs w:val="22"/>
        <w:lang w:val="fr-FR"/>
      </w:rPr>
      <w:t>.</w:t>
    </w:r>
    <w:r w:rsidRPr="00352423">
      <w:rPr>
        <w:rFonts w:ascii="Arial" w:hAnsi="Arial" w:cs="Arial"/>
        <w:bCs/>
        <w:sz w:val="22"/>
        <w:szCs w:val="22"/>
        <w:lang w:val="fr-FR"/>
      </w:rPr>
      <w:t>Doc</w:t>
    </w:r>
    <w:proofErr w:type="gramEnd"/>
    <w:sdt>
      <w:sdtPr>
        <w:rPr>
          <w:rFonts w:ascii="Arial" w:hAnsi="Arial" w:cs="Arial"/>
          <w:bCs/>
          <w:sz w:val="22"/>
          <w:szCs w:val="22"/>
        </w:rPr>
        <w:id w:val="554519101"/>
        <w:docPartObj>
          <w:docPartGallery w:val="Page Numbers (Top of Page)"/>
          <w:docPartUnique/>
        </w:docPartObj>
      </w:sdtPr>
      <w:sdtEndPr/>
      <w:sdtContent>
        <w:r>
          <w:rPr>
            <w:rFonts w:ascii="Arial" w:hAnsi="Arial" w:cs="Arial"/>
            <w:bCs/>
            <w:sz w:val="22"/>
            <w:szCs w:val="22"/>
          </w:rPr>
          <w:t>(2)</w:t>
        </w:r>
        <w:r w:rsidR="000E759E">
          <w:rPr>
            <w:rFonts w:ascii="Arial" w:hAnsi="Arial" w:cs="Arial"/>
            <w:bCs/>
            <w:sz w:val="22"/>
            <w:szCs w:val="22"/>
          </w:rPr>
          <w:t xml:space="preserve"> – page </w:t>
        </w:r>
        <w:r w:rsidR="000E759E" w:rsidRPr="000E759E">
          <w:rPr>
            <w:rFonts w:ascii="Arial" w:hAnsi="Arial" w:cs="Arial"/>
            <w:bCs/>
            <w:sz w:val="22"/>
            <w:szCs w:val="22"/>
          </w:rPr>
          <w:fldChar w:fldCharType="begin"/>
        </w:r>
        <w:r w:rsidR="000E759E" w:rsidRPr="000E759E">
          <w:rPr>
            <w:rFonts w:ascii="Arial" w:hAnsi="Arial" w:cs="Arial"/>
            <w:bCs/>
            <w:sz w:val="22"/>
            <w:szCs w:val="22"/>
          </w:rPr>
          <w:instrText xml:space="preserve"> PAGE   \* MERGEFORMAT </w:instrText>
        </w:r>
        <w:r w:rsidR="000E759E" w:rsidRPr="000E759E">
          <w:rPr>
            <w:rFonts w:ascii="Arial" w:hAnsi="Arial" w:cs="Arial"/>
            <w:bCs/>
            <w:sz w:val="22"/>
            <w:szCs w:val="22"/>
          </w:rPr>
          <w:fldChar w:fldCharType="separate"/>
        </w:r>
        <w:r w:rsidR="00926D0C">
          <w:rPr>
            <w:rFonts w:ascii="Arial" w:hAnsi="Arial" w:cs="Arial"/>
            <w:bCs/>
            <w:noProof/>
            <w:sz w:val="22"/>
            <w:szCs w:val="22"/>
          </w:rPr>
          <w:t>2</w:t>
        </w:r>
        <w:r w:rsidR="000E759E" w:rsidRPr="000E759E">
          <w:rPr>
            <w:rFonts w:ascii="Arial" w:hAnsi="Arial" w:cs="Arial"/>
            <w:bCs/>
            <w:noProof/>
            <w:sz w:val="22"/>
            <w:szCs w:val="22"/>
          </w:rPr>
          <w:fldChar w:fldCharType="end"/>
        </w:r>
      </w:sdtContent>
    </w:sdt>
  </w:p>
  <w:p w14:paraId="7669745D" w14:textId="77777777" w:rsidR="00AE2085" w:rsidRPr="00D7566D" w:rsidRDefault="00AE208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635CFCC6" w:rsidR="00AE2085" w:rsidRPr="00DD55DA" w:rsidRDefault="00AE2085"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sidR="00000789">
      <w:rPr>
        <w:rFonts w:ascii="Arial" w:hAnsi="Arial" w:cs="Arial"/>
        <w:bCs/>
        <w:sz w:val="22"/>
        <w:szCs w:val="22"/>
        <w:lang w:val="fr-FR"/>
      </w:rPr>
      <w:t>A</w:t>
    </w:r>
    <w:r w:rsidRPr="00352423">
      <w:rPr>
        <w:rFonts w:ascii="Arial" w:hAnsi="Arial" w:cs="Arial"/>
        <w:bCs/>
        <w:sz w:val="22"/>
        <w:szCs w:val="22"/>
        <w:lang w:val="fr-FR"/>
      </w:rPr>
      <w:t>-</w:t>
    </w:r>
    <w:r w:rsidR="00000789">
      <w:rPr>
        <w:rFonts w:ascii="Arial" w:hAnsi="Arial" w:cs="Arial"/>
        <w:bCs/>
        <w:sz w:val="22"/>
        <w:szCs w:val="22"/>
        <w:lang w:val="fr-FR"/>
      </w:rPr>
      <w:t>32</w:t>
    </w:r>
    <w:r w:rsidRPr="00352423">
      <w:rPr>
        <w:rFonts w:ascii="Arial" w:hAnsi="Arial" w:cs="Arial"/>
        <w:bCs/>
        <w:sz w:val="22"/>
        <w:szCs w:val="22"/>
        <w:lang w:val="fr-FR"/>
      </w:rPr>
      <w:t>/</w:t>
    </w:r>
    <w:r w:rsidR="00000789">
      <w:rPr>
        <w:rFonts w:ascii="Arial" w:hAnsi="Arial" w:cs="Arial"/>
        <w:bCs/>
        <w:sz w:val="22"/>
        <w:szCs w:val="22"/>
        <w:lang w:val="fr-FR"/>
      </w:rPr>
      <w:t>6.</w:t>
    </w:r>
    <w:proofErr w:type="gramStart"/>
    <w:r w:rsidR="00000789">
      <w:rPr>
        <w:rFonts w:ascii="Arial" w:hAnsi="Arial" w:cs="Arial"/>
        <w:bCs/>
        <w:sz w:val="22"/>
        <w:szCs w:val="22"/>
        <w:lang w:val="fr-FR"/>
      </w:rPr>
      <w:t>2</w:t>
    </w:r>
    <w:r>
      <w:rPr>
        <w:rFonts w:ascii="Arial" w:hAnsi="Arial" w:cs="Arial"/>
        <w:bCs/>
        <w:sz w:val="22"/>
        <w:szCs w:val="22"/>
        <w:lang w:val="fr-FR"/>
      </w:rPr>
      <w:t>.</w:t>
    </w:r>
    <w:r w:rsidRPr="00352423">
      <w:rPr>
        <w:rFonts w:ascii="Arial" w:hAnsi="Arial" w:cs="Arial"/>
        <w:bCs/>
        <w:sz w:val="22"/>
        <w:szCs w:val="22"/>
        <w:lang w:val="fr-FR"/>
      </w:rPr>
      <w:t>Doc</w:t>
    </w:r>
    <w:proofErr w:type="gramEnd"/>
    <w:r>
      <w:rPr>
        <w:rFonts w:ascii="Arial" w:hAnsi="Arial" w:cs="Arial"/>
        <w:bCs/>
        <w:sz w:val="22"/>
        <w:szCs w:val="22"/>
        <w:lang w:val="fr-FR"/>
      </w:rPr>
      <w:t>(2)</w:t>
    </w:r>
    <w:r w:rsidR="000E759E">
      <w:rPr>
        <w:rFonts w:ascii="Arial" w:hAnsi="Arial" w:cs="Arial"/>
        <w:bCs/>
        <w:sz w:val="22"/>
        <w:szCs w:val="22"/>
        <w:lang w:val="fr-FR"/>
      </w:rPr>
      <w:t xml:space="preserve"> – page </w:t>
    </w:r>
    <w:r w:rsidR="000E759E" w:rsidRPr="000E759E">
      <w:rPr>
        <w:rFonts w:ascii="Arial" w:hAnsi="Arial" w:cs="Arial"/>
        <w:bCs/>
        <w:sz w:val="22"/>
        <w:szCs w:val="22"/>
        <w:lang w:val="fr-FR"/>
      </w:rPr>
      <w:fldChar w:fldCharType="begin"/>
    </w:r>
    <w:r w:rsidR="000E759E" w:rsidRPr="000E759E">
      <w:rPr>
        <w:rFonts w:ascii="Arial" w:hAnsi="Arial" w:cs="Arial"/>
        <w:bCs/>
        <w:sz w:val="22"/>
        <w:szCs w:val="22"/>
        <w:lang w:val="fr-FR"/>
      </w:rPr>
      <w:instrText xml:space="preserve"> PAGE   \* MERGEFORMAT </w:instrText>
    </w:r>
    <w:r w:rsidR="000E759E" w:rsidRPr="000E759E">
      <w:rPr>
        <w:rFonts w:ascii="Arial" w:hAnsi="Arial" w:cs="Arial"/>
        <w:bCs/>
        <w:sz w:val="22"/>
        <w:szCs w:val="22"/>
        <w:lang w:val="fr-FR"/>
      </w:rPr>
      <w:fldChar w:fldCharType="separate"/>
    </w:r>
    <w:r w:rsidR="00926D0C">
      <w:rPr>
        <w:rFonts w:ascii="Arial" w:hAnsi="Arial" w:cs="Arial"/>
        <w:bCs/>
        <w:noProof/>
        <w:sz w:val="22"/>
        <w:szCs w:val="22"/>
        <w:lang w:val="fr-FR"/>
      </w:rPr>
      <w:t>3</w:t>
    </w:r>
    <w:r w:rsidR="000E759E" w:rsidRPr="000E759E">
      <w:rPr>
        <w:rFonts w:ascii="Arial" w:hAnsi="Arial" w:cs="Arial"/>
        <w:bCs/>
        <w:noProof/>
        <w:sz w:val="22"/>
        <w:szCs w:val="22"/>
        <w:lang w:val="fr-FR"/>
      </w:rPr>
      <w:fldChar w:fldCharType="end"/>
    </w:r>
  </w:p>
  <w:p w14:paraId="115C0040" w14:textId="77777777" w:rsidR="00AE2085" w:rsidRPr="00DD55DA" w:rsidRDefault="00AE208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6007CB27" w:rsidR="00AE2085" w:rsidRPr="0042612F" w:rsidRDefault="00AE2085" w:rsidP="00D9357E">
    <w:pPr>
      <w:pStyle w:val="Marge"/>
      <w:tabs>
        <w:tab w:val="left" w:pos="6237"/>
        <w:tab w:val="left" w:pos="7088"/>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bookmarkStart w:id="0" w:name="_Hlk54263549"/>
    <w:r w:rsidRPr="0042612F">
      <w:rPr>
        <w:rFonts w:ascii="Arial" w:hAnsi="Arial" w:cs="Arial"/>
        <w:b/>
        <w:sz w:val="36"/>
        <w:szCs w:val="36"/>
      </w:rPr>
      <w:t>IOC</w:t>
    </w:r>
    <w:r w:rsidR="00ED0B96">
      <w:rPr>
        <w:rFonts w:ascii="Arial" w:hAnsi="Arial" w:cs="Arial"/>
        <w:b/>
        <w:sz w:val="36"/>
        <w:szCs w:val="36"/>
      </w:rPr>
      <w:t>/A</w:t>
    </w:r>
    <w:r w:rsidRPr="0042612F">
      <w:rPr>
        <w:rFonts w:ascii="Arial" w:hAnsi="Arial" w:cs="Arial"/>
        <w:b/>
        <w:sz w:val="36"/>
        <w:szCs w:val="36"/>
      </w:rPr>
      <w:t>-</w:t>
    </w:r>
    <w:r w:rsidR="00783171">
      <w:rPr>
        <w:rFonts w:ascii="Arial" w:hAnsi="Arial" w:cs="Arial"/>
        <w:b/>
        <w:sz w:val="36"/>
        <w:szCs w:val="36"/>
      </w:rPr>
      <w:t>32</w:t>
    </w:r>
    <w:r w:rsidRPr="0042612F">
      <w:rPr>
        <w:rFonts w:ascii="Arial" w:hAnsi="Arial" w:cs="Arial"/>
        <w:b/>
        <w:sz w:val="36"/>
        <w:szCs w:val="36"/>
      </w:rPr>
      <w:t>/</w:t>
    </w:r>
    <w:r w:rsidR="00783171">
      <w:rPr>
        <w:rFonts w:ascii="Arial" w:hAnsi="Arial" w:cs="Arial"/>
        <w:b/>
        <w:sz w:val="36"/>
        <w:szCs w:val="36"/>
      </w:rPr>
      <w:t>6</w:t>
    </w:r>
    <w:r>
      <w:rPr>
        <w:rFonts w:ascii="Arial" w:hAnsi="Arial" w:cs="Arial"/>
        <w:b/>
        <w:sz w:val="36"/>
        <w:szCs w:val="36"/>
      </w:rPr>
      <w:t>.</w:t>
    </w:r>
    <w:bookmarkEnd w:id="0"/>
    <w:r w:rsidR="00FE70CD">
      <w:rPr>
        <w:rFonts w:ascii="Arial" w:hAnsi="Arial" w:cs="Arial"/>
        <w:b/>
        <w:sz w:val="36"/>
        <w:szCs w:val="36"/>
      </w:rPr>
      <w:t>2</w:t>
    </w:r>
    <w:r>
      <w:rPr>
        <w:rFonts w:ascii="Arial" w:hAnsi="Arial" w:cs="Arial"/>
        <w:b/>
        <w:sz w:val="36"/>
        <w:szCs w:val="36"/>
      </w:rPr>
      <w:t>.Doc(</w:t>
    </w:r>
    <w:r w:rsidR="00FE70CD">
      <w:rPr>
        <w:rFonts w:ascii="Arial" w:hAnsi="Arial" w:cs="Arial"/>
        <w:b/>
        <w:sz w:val="36"/>
        <w:szCs w:val="36"/>
      </w:rPr>
      <w:t>2</w:t>
    </w:r>
    <w:r>
      <w:rPr>
        <w:rFonts w:ascii="Arial" w:hAnsi="Arial" w:cs="Arial"/>
        <w:b/>
        <w:sz w:val="36"/>
        <w:szCs w:val="36"/>
      </w:rPr>
      <w:t>)</w:t>
    </w:r>
  </w:p>
  <w:p w14:paraId="4FD70AD5" w14:textId="32CF4C0A" w:rsidR="00AE2085" w:rsidRDefault="00AE2085" w:rsidP="00D9357E">
    <w:pPr>
      <w:pStyle w:val="Marge"/>
      <w:tabs>
        <w:tab w:val="left" w:pos="6237"/>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sidR="006B18B7">
      <w:rPr>
        <w:rFonts w:ascii="Arial" w:hAnsi="Arial" w:cs="Arial"/>
        <w:sz w:val="22"/>
        <w:szCs w:val="22"/>
      </w:rPr>
      <w:t>1</w:t>
    </w:r>
    <w:r w:rsidR="00783171">
      <w:rPr>
        <w:rFonts w:ascii="Arial" w:hAnsi="Arial" w:cs="Arial"/>
        <w:sz w:val="22"/>
        <w:szCs w:val="22"/>
      </w:rPr>
      <w:t>9</w:t>
    </w:r>
    <w:r>
      <w:rPr>
        <w:rFonts w:ascii="Arial" w:hAnsi="Arial" w:cs="Arial"/>
        <w:sz w:val="22"/>
        <w:szCs w:val="22"/>
      </w:rPr>
      <w:t xml:space="preserve"> </w:t>
    </w:r>
    <w:r w:rsidR="006B18B7">
      <w:rPr>
        <w:rFonts w:ascii="Arial" w:hAnsi="Arial" w:cs="Arial"/>
        <w:sz w:val="22"/>
        <w:szCs w:val="22"/>
      </w:rPr>
      <w:t>June</w:t>
    </w:r>
    <w:r>
      <w:rPr>
        <w:rFonts w:ascii="Arial" w:hAnsi="Arial" w:cs="Arial"/>
        <w:sz w:val="22"/>
        <w:szCs w:val="22"/>
      </w:rPr>
      <w:t xml:space="preserve"> 202</w:t>
    </w:r>
    <w:r w:rsidR="00783171">
      <w:rPr>
        <w:rFonts w:ascii="Arial" w:hAnsi="Arial" w:cs="Arial"/>
        <w:sz w:val="22"/>
        <w:szCs w:val="22"/>
      </w:rPr>
      <w:t>3</w:t>
    </w:r>
  </w:p>
  <w:p w14:paraId="07C76426" w14:textId="18A2F05C" w:rsidR="00AE2085" w:rsidRPr="00BF254D" w:rsidRDefault="00AE2085" w:rsidP="00D9357E">
    <w:pPr>
      <w:pStyle w:val="Marge"/>
      <w:tabs>
        <w:tab w:val="left" w:pos="6237"/>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6ACD3015" w:rsidR="00AE2085"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AE2085"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AE2085"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AE2085"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458004E"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6B4C32BE"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6A89EB7A"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1A52761" w14:textId="65438674" w:rsidR="00AE2085" w:rsidRPr="001C5703" w:rsidRDefault="00AE208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1C5703">
      <w:rPr>
        <w:rFonts w:ascii="Arial" w:hAnsi="Arial" w:cs="Arial"/>
        <w:b/>
        <w:sz w:val="22"/>
        <w:szCs w:val="22"/>
      </w:rPr>
      <w:t>INTERGOVERNMENTAL OCEANOGRAPHIC COMMISSION</w:t>
    </w:r>
  </w:p>
  <w:p w14:paraId="67E49D49" w14:textId="77777777" w:rsidR="00AE2085" w:rsidRPr="001C5703" w:rsidRDefault="00AE2085"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1C5703">
      <w:rPr>
        <w:rFonts w:ascii="Arial" w:hAnsi="Arial" w:cs="Arial"/>
        <w:bCs/>
        <w:sz w:val="22"/>
        <w:szCs w:val="22"/>
      </w:rPr>
      <w:t>(</w:t>
    </w:r>
    <w:proofErr w:type="gramStart"/>
    <w:r w:rsidRPr="001C5703">
      <w:rPr>
        <w:rFonts w:ascii="Arial" w:hAnsi="Arial" w:cs="Arial"/>
        <w:bCs/>
        <w:sz w:val="22"/>
        <w:szCs w:val="22"/>
      </w:rPr>
      <w:t>of</w:t>
    </w:r>
    <w:proofErr w:type="gramEnd"/>
    <w:r w:rsidRPr="001C5703">
      <w:rPr>
        <w:rFonts w:ascii="Arial" w:hAnsi="Arial" w:cs="Arial"/>
        <w:bCs/>
        <w:sz w:val="22"/>
        <w:szCs w:val="22"/>
      </w:rPr>
      <w:t xml:space="preserve"> UNESCO)</w:t>
    </w:r>
  </w:p>
  <w:p w14:paraId="4872ECD5" w14:textId="77777777" w:rsidR="00AE2085" w:rsidRPr="001C5703" w:rsidRDefault="00AE208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BF4961F" w14:textId="7C4E197D" w:rsidR="00AE2085" w:rsidRPr="001C5703" w:rsidRDefault="006728A3"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rPr>
    </w:pPr>
    <w:r>
      <w:rPr>
        <w:rFonts w:ascii="Arial" w:hAnsi="Arial" w:cs="Arial"/>
        <w:b/>
        <w:sz w:val="22"/>
        <w:szCs w:val="22"/>
      </w:rPr>
      <w:t>Thirty-second</w:t>
    </w:r>
    <w:r w:rsidR="00AE2085" w:rsidRPr="001C5703">
      <w:rPr>
        <w:rFonts w:ascii="Arial" w:hAnsi="Arial" w:cs="Arial"/>
        <w:b/>
        <w:sz w:val="22"/>
        <w:szCs w:val="22"/>
      </w:rPr>
      <w:t xml:space="preserve"> Session of the </w:t>
    </w:r>
    <w:r>
      <w:rPr>
        <w:rFonts w:ascii="Arial" w:hAnsi="Arial" w:cs="Arial"/>
        <w:b/>
        <w:sz w:val="22"/>
        <w:szCs w:val="22"/>
      </w:rPr>
      <w:t>Assembly</w:t>
    </w:r>
  </w:p>
  <w:p w14:paraId="71300EEE" w14:textId="1DC2F4C4" w:rsidR="00AE2085" w:rsidRPr="001C5703" w:rsidRDefault="00AE2085"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n-US"/>
      </w:rPr>
    </w:pPr>
    <w:r w:rsidRPr="001C5703">
      <w:rPr>
        <w:rFonts w:ascii="Arial" w:hAnsi="Arial" w:cs="Arial"/>
        <w:bCs/>
        <w:sz w:val="22"/>
        <w:szCs w:val="22"/>
        <w:lang w:val="en-US"/>
      </w:rPr>
      <w:t xml:space="preserve">UNESCO, Paris, </w:t>
    </w:r>
    <w:r w:rsidR="006728A3">
      <w:rPr>
        <w:rFonts w:ascii="Arial" w:hAnsi="Arial" w:cs="Arial"/>
        <w:bCs/>
        <w:sz w:val="22"/>
        <w:szCs w:val="22"/>
        <w:lang w:val="en-US"/>
      </w:rPr>
      <w:t>21</w:t>
    </w:r>
    <w:r w:rsidR="00D9357E">
      <w:rPr>
        <w:rFonts w:ascii="Arial" w:hAnsi="Arial" w:cs="Arial"/>
        <w:bCs/>
        <w:sz w:val="22"/>
        <w:szCs w:val="22"/>
        <w:lang w:val="en-US"/>
      </w:rPr>
      <w:t>–</w:t>
    </w:r>
    <w:r w:rsidR="006728A3">
      <w:rPr>
        <w:rFonts w:ascii="Arial" w:hAnsi="Arial" w:cs="Arial"/>
        <w:bCs/>
        <w:sz w:val="22"/>
        <w:szCs w:val="22"/>
        <w:lang w:val="en-US"/>
      </w:rPr>
      <w:t>30</w:t>
    </w:r>
    <w:r w:rsidRPr="001C5703">
      <w:rPr>
        <w:rFonts w:ascii="Arial" w:hAnsi="Arial" w:cs="Arial"/>
        <w:bCs/>
        <w:sz w:val="22"/>
        <w:szCs w:val="22"/>
        <w:lang w:val="en-US"/>
      </w:rPr>
      <w:t xml:space="preserve"> June 202</w:t>
    </w:r>
    <w:r w:rsidR="006728A3">
      <w:rPr>
        <w:rFonts w:ascii="Arial" w:hAnsi="Arial" w:cs="Arial"/>
        <w:bCs/>
        <w:sz w:val="22"/>
        <w:szCs w:val="22"/>
        <w:lang w:val="en-US"/>
      </w:rPr>
      <w:t>3</w:t>
    </w:r>
  </w:p>
  <w:p w14:paraId="5BB9C169" w14:textId="411967EA" w:rsidR="00AE2085" w:rsidRPr="001C5703" w:rsidRDefault="00F76F93" w:rsidP="00F76F93">
    <w:pPr>
      <w:tabs>
        <w:tab w:val="left" w:pos="-1440"/>
        <w:tab w:val="left" w:pos="-720"/>
        <w:tab w:val="left" w:pos="7380"/>
      </w:tabs>
      <w:rPr>
        <w:rFonts w:cs="Arial"/>
        <w:bCs/>
        <w:sz w:val="22"/>
        <w:szCs w:val="22"/>
        <w:lang w:val="en-US"/>
      </w:rPr>
    </w:pPr>
    <w:r>
      <w:rPr>
        <w:rFonts w:cs="Arial"/>
        <w:bCs/>
        <w:sz w:val="22"/>
        <w:szCs w:val="22"/>
        <w:lang w:val="en-US"/>
      </w:rPr>
      <w:tab/>
    </w:r>
    <w:r>
      <w:rPr>
        <w:rFonts w:cs="Arial"/>
        <w:bCs/>
        <w:sz w:val="22"/>
        <w:szCs w:val="22"/>
        <w:lang w:val="en-US"/>
      </w:rPr>
      <w:tab/>
    </w:r>
  </w:p>
  <w:p w14:paraId="003DCA37" w14:textId="77777777" w:rsidR="00AE2085" w:rsidRPr="001C5703" w:rsidRDefault="00AE2085" w:rsidP="00B17054">
    <w:pPr>
      <w:jc w:val="center"/>
      <w:rPr>
        <w:rFonts w:cs="Arial"/>
        <w:sz w:val="22"/>
        <w:szCs w:val="22"/>
        <w:lang w:val="en-US"/>
      </w:rPr>
    </w:pPr>
  </w:p>
  <w:p w14:paraId="4AE80372" w14:textId="0CF09431" w:rsidR="00AE2085" w:rsidRPr="001C5703" w:rsidRDefault="00AE2085" w:rsidP="00FA68D9">
    <w:pPr>
      <w:keepNext/>
      <w:widowControl w:val="0"/>
      <w:tabs>
        <w:tab w:val="right" w:pos="9540"/>
      </w:tabs>
      <w:adjustRightInd w:val="0"/>
      <w:jc w:val="both"/>
      <w:textAlignment w:val="baseline"/>
      <w:outlineLvl w:val="6"/>
      <w:rPr>
        <w:rFonts w:ascii="Arial" w:eastAsia="Times New Roman" w:hAnsi="Arial" w:cs="Arial"/>
        <w:sz w:val="22"/>
        <w:szCs w:val="22"/>
        <w:lang w:eastAsia="en-US"/>
      </w:rPr>
    </w:pPr>
    <w:bookmarkStart w:id="1" w:name="_Hlk137223663"/>
    <w:r w:rsidRPr="001C5703">
      <w:rPr>
        <w:rFonts w:ascii="Arial" w:eastAsia="Times New Roman" w:hAnsi="Arial" w:cs="Arial"/>
        <w:sz w:val="22"/>
        <w:szCs w:val="22"/>
        <w:u w:val="single"/>
        <w:lang w:eastAsia="en-US"/>
      </w:rPr>
      <w:t>Item</w:t>
    </w:r>
    <w:r w:rsidR="00D73E3C">
      <w:rPr>
        <w:rFonts w:ascii="Arial" w:eastAsia="Times New Roman" w:hAnsi="Arial" w:cs="Arial"/>
        <w:sz w:val="22"/>
        <w:szCs w:val="22"/>
        <w:u w:val="single"/>
        <w:lang w:eastAsia="en-US"/>
      </w:rPr>
      <w:t>s</w:t>
    </w:r>
    <w:r w:rsidRPr="001C5703">
      <w:rPr>
        <w:rFonts w:ascii="Arial" w:eastAsia="Times New Roman" w:hAnsi="Arial" w:cs="Arial"/>
        <w:sz w:val="22"/>
        <w:szCs w:val="22"/>
        <w:u w:val="single"/>
        <w:lang w:eastAsia="en-US"/>
      </w:rPr>
      <w:t xml:space="preserve"> </w:t>
    </w:r>
    <w:r w:rsidR="00F76F93" w:rsidRPr="00F76F93">
      <w:rPr>
        <w:rFonts w:ascii="Arial" w:eastAsia="Times New Roman" w:hAnsi="Arial" w:cs="Arial"/>
        <w:b/>
        <w:bCs/>
        <w:sz w:val="22"/>
        <w:szCs w:val="22"/>
        <w:u w:val="single"/>
        <w:lang w:eastAsia="en-US"/>
      </w:rPr>
      <w:t>6.1</w:t>
    </w:r>
    <w:r w:rsidR="00F76F93" w:rsidRPr="00F76F93">
      <w:rPr>
        <w:rFonts w:ascii="Arial" w:eastAsia="Times New Roman" w:hAnsi="Arial" w:cs="Arial"/>
        <w:sz w:val="22"/>
        <w:szCs w:val="22"/>
        <w:u w:val="single"/>
        <w:lang w:eastAsia="en-US"/>
      </w:rPr>
      <w:t xml:space="preserve">, </w:t>
    </w:r>
    <w:r w:rsidR="006728A3" w:rsidRPr="00F76F93">
      <w:rPr>
        <w:rFonts w:ascii="Arial" w:eastAsia="Times New Roman" w:hAnsi="Arial" w:cs="Arial"/>
        <w:b/>
        <w:bCs/>
        <w:sz w:val="22"/>
        <w:szCs w:val="22"/>
        <w:u w:val="single"/>
        <w:lang w:eastAsia="en-US"/>
      </w:rPr>
      <w:t>6</w:t>
    </w:r>
    <w:r w:rsidR="006728A3">
      <w:rPr>
        <w:rFonts w:ascii="Arial" w:eastAsia="Times New Roman" w:hAnsi="Arial" w:cs="Arial"/>
        <w:b/>
        <w:sz w:val="22"/>
        <w:szCs w:val="22"/>
        <w:u w:val="single"/>
        <w:lang w:eastAsia="en-US"/>
      </w:rPr>
      <w:t>.</w:t>
    </w:r>
    <w:r w:rsidR="00FE70CD">
      <w:rPr>
        <w:rFonts w:ascii="Arial" w:eastAsia="Times New Roman" w:hAnsi="Arial" w:cs="Arial"/>
        <w:b/>
        <w:sz w:val="22"/>
        <w:szCs w:val="22"/>
        <w:u w:val="single"/>
        <w:lang w:eastAsia="en-US"/>
      </w:rPr>
      <w:t>2</w:t>
    </w:r>
    <w:r w:rsidR="00F76F93">
      <w:rPr>
        <w:rFonts w:ascii="Arial" w:eastAsia="Times New Roman" w:hAnsi="Arial" w:cs="Arial"/>
        <w:b/>
        <w:sz w:val="22"/>
        <w:szCs w:val="22"/>
        <w:u w:val="single"/>
        <w:lang w:eastAsia="en-US"/>
      </w:rPr>
      <w:t xml:space="preserve"> </w:t>
    </w:r>
    <w:r w:rsidR="00F76F93" w:rsidRPr="00F76F93">
      <w:rPr>
        <w:rFonts w:ascii="Arial" w:eastAsia="Times New Roman" w:hAnsi="Arial" w:cs="Arial"/>
        <w:bCs/>
        <w:sz w:val="22"/>
        <w:szCs w:val="22"/>
        <w:u w:val="single"/>
        <w:lang w:eastAsia="en-US"/>
      </w:rPr>
      <w:t>and</w:t>
    </w:r>
    <w:r w:rsidR="00F76F93">
      <w:rPr>
        <w:rFonts w:ascii="Arial" w:eastAsia="Times New Roman" w:hAnsi="Arial" w:cs="Arial"/>
        <w:b/>
        <w:sz w:val="22"/>
        <w:szCs w:val="22"/>
        <w:u w:val="single"/>
        <w:lang w:eastAsia="en-US"/>
      </w:rPr>
      <w:t xml:space="preserve"> 6.3</w:t>
    </w:r>
    <w:r w:rsidRPr="001C5703">
      <w:rPr>
        <w:rFonts w:ascii="Arial" w:eastAsia="Times New Roman" w:hAnsi="Arial" w:cs="Arial"/>
        <w:sz w:val="22"/>
        <w:szCs w:val="22"/>
        <w:u w:val="single"/>
        <w:lang w:eastAsia="en-US"/>
      </w:rPr>
      <w:t xml:space="preserve"> of the Provisional Agenda</w:t>
    </w:r>
  </w:p>
  <w:bookmarkEnd w:id="1"/>
  <w:p w14:paraId="5283A965" w14:textId="13B85A04" w:rsidR="00AE2085" w:rsidRPr="001C570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n-US"/>
      </w:rPr>
    </w:pPr>
  </w:p>
  <w:p w14:paraId="022DE9AE" w14:textId="77777777" w:rsidR="001C570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p>
  <w:p w14:paraId="618DB2D5" w14:textId="77777777" w:rsidR="001C570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p>
  <w:p w14:paraId="0E0F1B9B" w14:textId="47488BB5" w:rsidR="006B18B7" w:rsidRPr="00FA3507" w:rsidRDefault="006B18B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FA3507">
      <w:rPr>
        <w:rFonts w:ascii="Arial" w:hAnsi="Arial" w:cs="Arial"/>
        <w:b/>
        <w:bCs/>
        <w:caps/>
        <w:lang w:val="en-US"/>
      </w:rPr>
      <w:t>REPORT OF THE CHAIR</w:t>
    </w:r>
    <w:r w:rsidR="003A6D01">
      <w:rPr>
        <w:rFonts w:ascii="Arial" w:hAnsi="Arial" w:cs="Arial"/>
        <w:b/>
        <w:bCs/>
        <w:caps/>
        <w:lang w:val="en-US"/>
      </w:rPr>
      <w:t>person</w:t>
    </w:r>
    <w:r w:rsidRPr="00FA3507">
      <w:rPr>
        <w:rFonts w:ascii="Arial" w:hAnsi="Arial" w:cs="Arial"/>
        <w:b/>
        <w:bCs/>
        <w:caps/>
        <w:lang w:val="en-US"/>
      </w:rPr>
      <w:t xml:space="preserve"> </w:t>
    </w:r>
  </w:p>
  <w:p w14:paraId="74A2B30A" w14:textId="77777777" w:rsidR="006B18B7" w:rsidRPr="00FA3507" w:rsidRDefault="006B18B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FA3507">
      <w:rPr>
        <w:rFonts w:ascii="Arial" w:hAnsi="Arial" w:cs="Arial"/>
        <w:b/>
        <w:bCs/>
        <w:caps/>
        <w:lang w:val="en-US"/>
      </w:rPr>
      <w:t>OF THE INTERSESSIONAL FINANCIAL ADVISORY GROUP</w:t>
    </w:r>
  </w:p>
  <w:p w14:paraId="20BB8D82" w14:textId="17E76751" w:rsidR="006B18B7" w:rsidRPr="00FA3507" w:rsidRDefault="006D43E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Pr>
        <w:rFonts w:ascii="Arial" w:hAnsi="Arial" w:cs="Arial"/>
        <w:b/>
      </w:rPr>
      <w:br/>
    </w:r>
    <w:r w:rsidR="006B18B7" w:rsidRPr="00FA3507">
      <w:rPr>
        <w:rFonts w:ascii="Arial" w:hAnsi="Arial" w:cs="Arial"/>
        <w:b/>
      </w:rPr>
      <w:t>(</w:t>
    </w:r>
    <w:r>
      <w:rPr>
        <w:rFonts w:ascii="Arial" w:hAnsi="Arial" w:cs="Arial"/>
        <w:b/>
      </w:rPr>
      <w:t>I</w:t>
    </w:r>
    <w:r w:rsidR="006B18B7" w:rsidRPr="00FA3507">
      <w:rPr>
        <w:rFonts w:ascii="Arial" w:hAnsi="Arial" w:cs="Arial"/>
        <w:b/>
      </w:rPr>
      <w:t>ntersessional period December 202</w:t>
    </w:r>
    <w:r w:rsidR="009B6F4C">
      <w:rPr>
        <w:rFonts w:ascii="Arial" w:hAnsi="Arial" w:cs="Arial"/>
        <w:b/>
      </w:rPr>
      <w:t>2</w:t>
    </w:r>
    <w:r w:rsidR="006B18B7" w:rsidRPr="00FA3507">
      <w:rPr>
        <w:rFonts w:ascii="Arial" w:hAnsi="Arial" w:cs="Arial"/>
        <w:b/>
      </w:rPr>
      <w:t>–June 202</w:t>
    </w:r>
    <w:r w:rsidR="009B6F4C">
      <w:rPr>
        <w:rFonts w:ascii="Arial" w:hAnsi="Arial" w:cs="Arial"/>
        <w:b/>
      </w:rPr>
      <w:t>3</w:t>
    </w:r>
    <w:r w:rsidR="006B18B7" w:rsidRPr="00FA3507">
      <w:rPr>
        <w:rFonts w:ascii="Arial" w:hAnsi="Arial" w:cs="Arial"/>
        <w:b/>
      </w:rPr>
      <w:t>)</w:t>
    </w:r>
  </w:p>
  <w:p w14:paraId="12B25AD8" w14:textId="77777777" w:rsidR="00AE2085" w:rsidRPr="001C570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 w:val="22"/>
        <w:szCs w:val="22"/>
        <w:lang w:val="en-US"/>
      </w:rPr>
    </w:pPr>
  </w:p>
  <w:p w14:paraId="4F290050" w14:textId="77777777" w:rsidR="00D004F4" w:rsidRDefault="00D004F4" w:rsidP="00B17054">
    <w:pPr>
      <w:pStyle w:val="Header"/>
      <w:jc w:val="center"/>
      <w:rPr>
        <w:lang w:val="en-US"/>
      </w:rPr>
    </w:pPr>
  </w:p>
  <w:p w14:paraId="10C25B3B" w14:textId="77777777" w:rsidR="00D004F4" w:rsidRPr="00FA68D9" w:rsidRDefault="00D004F4"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772B2"/>
    <w:multiLevelType w:val="hybridMultilevel"/>
    <w:tmpl w:val="FF8887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1D735A"/>
    <w:multiLevelType w:val="hybridMultilevel"/>
    <w:tmpl w:val="1B0260EE"/>
    <w:lvl w:ilvl="0" w:tplc="E1307D24">
      <w:start w:val="1"/>
      <w:numFmt w:val="upperRoman"/>
      <w:lvlText w:val="%1."/>
      <w:lvlJc w:val="left"/>
      <w:pPr>
        <w:ind w:left="1080" w:hanging="72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C33398"/>
    <w:multiLevelType w:val="hybridMultilevel"/>
    <w:tmpl w:val="C3D8AE16"/>
    <w:lvl w:ilvl="0" w:tplc="2D4ABBBE">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370D9E"/>
    <w:multiLevelType w:val="hybridMultilevel"/>
    <w:tmpl w:val="8EEA09DA"/>
    <w:lvl w:ilvl="0" w:tplc="47CAA6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15:restartNumberingAfterBreak="0">
    <w:nsid w:val="1F13445D"/>
    <w:multiLevelType w:val="hybridMultilevel"/>
    <w:tmpl w:val="85BA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34464"/>
    <w:multiLevelType w:val="hybridMultilevel"/>
    <w:tmpl w:val="C28C0C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0825B9"/>
    <w:multiLevelType w:val="hybridMultilevel"/>
    <w:tmpl w:val="6E2C0D1E"/>
    <w:lvl w:ilvl="0" w:tplc="9320CC5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8"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2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52A37BF"/>
    <w:multiLevelType w:val="hybridMultilevel"/>
    <w:tmpl w:val="E15656C6"/>
    <w:lvl w:ilvl="0" w:tplc="F31C1A3C">
      <w:start w:val="1"/>
      <w:numFmt w:val="upperRoman"/>
      <w:lvlText w:val="%1."/>
      <w:lvlJc w:val="left"/>
      <w:pPr>
        <w:ind w:left="2223" w:hanging="936"/>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2"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55455D9"/>
    <w:multiLevelType w:val="hybridMultilevel"/>
    <w:tmpl w:val="BD4A63B8"/>
    <w:lvl w:ilvl="0" w:tplc="091CDE1E">
      <w:start w:val="1"/>
      <w:numFmt w:val="decimal"/>
      <w:lvlText w:val="%1."/>
      <w:lvlJc w:val="left"/>
      <w:pPr>
        <w:ind w:left="4770" w:hanging="360"/>
      </w:pPr>
      <w:rPr>
        <w:b w:val="0"/>
        <w:color w:val="auto"/>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30"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1" w15:restartNumberingAfterBreak="0">
    <w:nsid w:val="7A8C16CF"/>
    <w:multiLevelType w:val="hybridMultilevel"/>
    <w:tmpl w:val="77EE77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1261282">
    <w:abstractNumId w:val="19"/>
  </w:num>
  <w:num w:numId="2" w16cid:durableId="872577372">
    <w:abstractNumId w:val="19"/>
  </w:num>
  <w:num w:numId="3" w16cid:durableId="1269852542">
    <w:abstractNumId w:val="19"/>
  </w:num>
  <w:num w:numId="4" w16cid:durableId="205332645">
    <w:abstractNumId w:val="19"/>
  </w:num>
  <w:num w:numId="5" w16cid:durableId="502623745">
    <w:abstractNumId w:val="19"/>
  </w:num>
  <w:num w:numId="6" w16cid:durableId="1121873648">
    <w:abstractNumId w:val="19"/>
  </w:num>
  <w:num w:numId="7" w16cid:durableId="249853916">
    <w:abstractNumId w:val="19"/>
  </w:num>
  <w:num w:numId="8" w16cid:durableId="469134624">
    <w:abstractNumId w:val="19"/>
  </w:num>
  <w:num w:numId="9" w16cid:durableId="1078407429">
    <w:abstractNumId w:val="19"/>
  </w:num>
  <w:num w:numId="10" w16cid:durableId="519660950">
    <w:abstractNumId w:val="19"/>
  </w:num>
  <w:num w:numId="11" w16cid:durableId="353387512">
    <w:abstractNumId w:val="30"/>
  </w:num>
  <w:num w:numId="12" w16cid:durableId="1296059567">
    <w:abstractNumId w:val="19"/>
  </w:num>
  <w:num w:numId="13" w16cid:durableId="173304380">
    <w:abstractNumId w:val="16"/>
  </w:num>
  <w:num w:numId="14" w16cid:durableId="1696232924">
    <w:abstractNumId w:val="20"/>
  </w:num>
  <w:num w:numId="15" w16cid:durableId="27688225">
    <w:abstractNumId w:val="7"/>
  </w:num>
  <w:num w:numId="16" w16cid:durableId="1978753115">
    <w:abstractNumId w:val="23"/>
  </w:num>
  <w:num w:numId="17" w16cid:durableId="1757818551">
    <w:abstractNumId w:val="18"/>
  </w:num>
  <w:num w:numId="18" w16cid:durableId="1220635308">
    <w:abstractNumId w:val="6"/>
  </w:num>
  <w:num w:numId="19" w16cid:durableId="1062025175">
    <w:abstractNumId w:val="25"/>
  </w:num>
  <w:num w:numId="20" w16cid:durableId="1910649758">
    <w:abstractNumId w:val="27"/>
  </w:num>
  <w:num w:numId="21" w16cid:durableId="441919641">
    <w:abstractNumId w:val="3"/>
  </w:num>
  <w:num w:numId="22" w16cid:durableId="1541477852">
    <w:abstractNumId w:val="1"/>
  </w:num>
  <w:num w:numId="23" w16cid:durableId="962887632">
    <w:abstractNumId w:val="0"/>
  </w:num>
  <w:num w:numId="24" w16cid:durableId="1487355415">
    <w:abstractNumId w:val="4"/>
  </w:num>
  <w:num w:numId="25" w16cid:durableId="2059157871">
    <w:abstractNumId w:val="5"/>
  </w:num>
  <w:num w:numId="26" w16cid:durableId="366880978">
    <w:abstractNumId w:val="2"/>
  </w:num>
  <w:num w:numId="27" w16cid:durableId="101610248">
    <w:abstractNumId w:val="28"/>
  </w:num>
  <w:num w:numId="28" w16cid:durableId="2098531">
    <w:abstractNumId w:val="29"/>
  </w:num>
  <w:num w:numId="29" w16cid:durableId="92212590">
    <w:abstractNumId w:val="15"/>
  </w:num>
  <w:num w:numId="30" w16cid:durableId="2043893870">
    <w:abstractNumId w:val="9"/>
  </w:num>
  <w:num w:numId="31" w16cid:durableId="280264137">
    <w:abstractNumId w:val="17"/>
  </w:num>
  <w:num w:numId="32" w16cid:durableId="1187909773">
    <w:abstractNumId w:val="12"/>
  </w:num>
  <w:num w:numId="33" w16cid:durableId="225652770">
    <w:abstractNumId w:val="31"/>
  </w:num>
  <w:num w:numId="34" w16cid:durableId="107816658">
    <w:abstractNumId w:val="14"/>
  </w:num>
  <w:num w:numId="35" w16cid:durableId="1988121620">
    <w:abstractNumId w:val="8"/>
  </w:num>
  <w:num w:numId="36" w16cid:durableId="1469517778">
    <w:abstractNumId w:val="24"/>
  </w:num>
  <w:num w:numId="37" w16cid:durableId="1416047432">
    <w:abstractNumId w:val="11"/>
  </w:num>
  <w:num w:numId="38" w16cid:durableId="235163345">
    <w:abstractNumId w:val="10"/>
  </w:num>
  <w:num w:numId="39" w16cid:durableId="104274499">
    <w:abstractNumId w:val="22"/>
  </w:num>
  <w:num w:numId="40" w16cid:durableId="327909323">
    <w:abstractNumId w:val="26"/>
  </w:num>
  <w:num w:numId="41" w16cid:durableId="1618608188">
    <w:abstractNumId w:val="13"/>
  </w:num>
  <w:num w:numId="42" w16cid:durableId="5149968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0789"/>
    <w:rsid w:val="00001799"/>
    <w:rsid w:val="000031EF"/>
    <w:rsid w:val="00004725"/>
    <w:rsid w:val="000055C3"/>
    <w:rsid w:val="00006C25"/>
    <w:rsid w:val="00010B89"/>
    <w:rsid w:val="000118CD"/>
    <w:rsid w:val="000119B6"/>
    <w:rsid w:val="00013390"/>
    <w:rsid w:val="00017E4B"/>
    <w:rsid w:val="00025A88"/>
    <w:rsid w:val="00026782"/>
    <w:rsid w:val="00027122"/>
    <w:rsid w:val="000319A1"/>
    <w:rsid w:val="00032C8E"/>
    <w:rsid w:val="00033544"/>
    <w:rsid w:val="00034C53"/>
    <w:rsid w:val="00034C70"/>
    <w:rsid w:val="000431C5"/>
    <w:rsid w:val="000434DE"/>
    <w:rsid w:val="000445B8"/>
    <w:rsid w:val="0004582F"/>
    <w:rsid w:val="000471C9"/>
    <w:rsid w:val="00060399"/>
    <w:rsid w:val="00060718"/>
    <w:rsid w:val="000658F2"/>
    <w:rsid w:val="00065DEB"/>
    <w:rsid w:val="0006619A"/>
    <w:rsid w:val="0006675E"/>
    <w:rsid w:val="00067004"/>
    <w:rsid w:val="00067E0B"/>
    <w:rsid w:val="000719A5"/>
    <w:rsid w:val="00073CC7"/>
    <w:rsid w:val="000748A0"/>
    <w:rsid w:val="00075DC0"/>
    <w:rsid w:val="00077CAC"/>
    <w:rsid w:val="00080B76"/>
    <w:rsid w:val="00080CDD"/>
    <w:rsid w:val="00081592"/>
    <w:rsid w:val="000816BD"/>
    <w:rsid w:val="00082162"/>
    <w:rsid w:val="0008285A"/>
    <w:rsid w:val="00083369"/>
    <w:rsid w:val="00083380"/>
    <w:rsid w:val="0008382D"/>
    <w:rsid w:val="00085FE9"/>
    <w:rsid w:val="00086071"/>
    <w:rsid w:val="0008620B"/>
    <w:rsid w:val="00090675"/>
    <w:rsid w:val="0009246D"/>
    <w:rsid w:val="0009256F"/>
    <w:rsid w:val="00097CDF"/>
    <w:rsid w:val="000A6D08"/>
    <w:rsid w:val="000B04F4"/>
    <w:rsid w:val="000B1B44"/>
    <w:rsid w:val="000B40F3"/>
    <w:rsid w:val="000B55E6"/>
    <w:rsid w:val="000C3738"/>
    <w:rsid w:val="000C3BB5"/>
    <w:rsid w:val="000C7F40"/>
    <w:rsid w:val="000D6EB3"/>
    <w:rsid w:val="000D719C"/>
    <w:rsid w:val="000E0533"/>
    <w:rsid w:val="000E188E"/>
    <w:rsid w:val="000E55FB"/>
    <w:rsid w:val="000E759E"/>
    <w:rsid w:val="000E7B1C"/>
    <w:rsid w:val="000E7E22"/>
    <w:rsid w:val="000F1BB0"/>
    <w:rsid w:val="000F4768"/>
    <w:rsid w:val="000F4DDB"/>
    <w:rsid w:val="000F6BEF"/>
    <w:rsid w:val="000F7203"/>
    <w:rsid w:val="000F78B3"/>
    <w:rsid w:val="001002FF"/>
    <w:rsid w:val="001026BE"/>
    <w:rsid w:val="001032F1"/>
    <w:rsid w:val="00104894"/>
    <w:rsid w:val="00104EE2"/>
    <w:rsid w:val="001056F8"/>
    <w:rsid w:val="00105E15"/>
    <w:rsid w:val="00105EA4"/>
    <w:rsid w:val="00110568"/>
    <w:rsid w:val="00110D3A"/>
    <w:rsid w:val="00111983"/>
    <w:rsid w:val="00113F97"/>
    <w:rsid w:val="001214CA"/>
    <w:rsid w:val="0012374E"/>
    <w:rsid w:val="00123F7E"/>
    <w:rsid w:val="00127B21"/>
    <w:rsid w:val="00130BAC"/>
    <w:rsid w:val="00131529"/>
    <w:rsid w:val="0013238B"/>
    <w:rsid w:val="00134711"/>
    <w:rsid w:val="00135717"/>
    <w:rsid w:val="0013649D"/>
    <w:rsid w:val="00143B1A"/>
    <w:rsid w:val="0014529C"/>
    <w:rsid w:val="0015046B"/>
    <w:rsid w:val="001524A3"/>
    <w:rsid w:val="0015561D"/>
    <w:rsid w:val="001579AB"/>
    <w:rsid w:val="00160284"/>
    <w:rsid w:val="001646D8"/>
    <w:rsid w:val="0016592F"/>
    <w:rsid w:val="001659AA"/>
    <w:rsid w:val="00165CBD"/>
    <w:rsid w:val="0017022A"/>
    <w:rsid w:val="0017169B"/>
    <w:rsid w:val="001766F9"/>
    <w:rsid w:val="00177DFE"/>
    <w:rsid w:val="00181812"/>
    <w:rsid w:val="00181F98"/>
    <w:rsid w:val="00182096"/>
    <w:rsid w:val="0018253D"/>
    <w:rsid w:val="00183FEA"/>
    <w:rsid w:val="00185B54"/>
    <w:rsid w:val="00185D28"/>
    <w:rsid w:val="0019010A"/>
    <w:rsid w:val="00191EE4"/>
    <w:rsid w:val="00192400"/>
    <w:rsid w:val="001A033E"/>
    <w:rsid w:val="001A071C"/>
    <w:rsid w:val="001A2943"/>
    <w:rsid w:val="001A3660"/>
    <w:rsid w:val="001A6261"/>
    <w:rsid w:val="001A6DDA"/>
    <w:rsid w:val="001A73F8"/>
    <w:rsid w:val="001B2807"/>
    <w:rsid w:val="001B5075"/>
    <w:rsid w:val="001B64AC"/>
    <w:rsid w:val="001C18CF"/>
    <w:rsid w:val="001C20FE"/>
    <w:rsid w:val="001C41F8"/>
    <w:rsid w:val="001C4F30"/>
    <w:rsid w:val="001C5703"/>
    <w:rsid w:val="001C6221"/>
    <w:rsid w:val="001C6842"/>
    <w:rsid w:val="001C6D83"/>
    <w:rsid w:val="001D11E8"/>
    <w:rsid w:val="001D3A9B"/>
    <w:rsid w:val="001D69B3"/>
    <w:rsid w:val="001E441E"/>
    <w:rsid w:val="001E5FF2"/>
    <w:rsid w:val="001F65B3"/>
    <w:rsid w:val="001F65D5"/>
    <w:rsid w:val="001F6CF5"/>
    <w:rsid w:val="001F7EF6"/>
    <w:rsid w:val="00200519"/>
    <w:rsid w:val="0020169B"/>
    <w:rsid w:val="00203E48"/>
    <w:rsid w:val="0020573A"/>
    <w:rsid w:val="00207581"/>
    <w:rsid w:val="00215B28"/>
    <w:rsid w:val="00216228"/>
    <w:rsid w:val="00225B52"/>
    <w:rsid w:val="00226C9A"/>
    <w:rsid w:val="00231994"/>
    <w:rsid w:val="00232596"/>
    <w:rsid w:val="00232FAE"/>
    <w:rsid w:val="0023308D"/>
    <w:rsid w:val="00236C27"/>
    <w:rsid w:val="00237FCC"/>
    <w:rsid w:val="00243536"/>
    <w:rsid w:val="00255764"/>
    <w:rsid w:val="002571D5"/>
    <w:rsid w:val="00257562"/>
    <w:rsid w:val="00257884"/>
    <w:rsid w:val="0026233A"/>
    <w:rsid w:val="00264CE4"/>
    <w:rsid w:val="00265C91"/>
    <w:rsid w:val="00265E4E"/>
    <w:rsid w:val="0027043E"/>
    <w:rsid w:val="00272866"/>
    <w:rsid w:val="00273C68"/>
    <w:rsid w:val="00274D0A"/>
    <w:rsid w:val="0028078A"/>
    <w:rsid w:val="00281BA6"/>
    <w:rsid w:val="00282456"/>
    <w:rsid w:val="00282FBC"/>
    <w:rsid w:val="0028331B"/>
    <w:rsid w:val="00283B06"/>
    <w:rsid w:val="00285394"/>
    <w:rsid w:val="00286B3B"/>
    <w:rsid w:val="002A05D9"/>
    <w:rsid w:val="002A3541"/>
    <w:rsid w:val="002A3623"/>
    <w:rsid w:val="002A364B"/>
    <w:rsid w:val="002A3D8C"/>
    <w:rsid w:val="002B0438"/>
    <w:rsid w:val="002B0B65"/>
    <w:rsid w:val="002B2FB7"/>
    <w:rsid w:val="002B58F5"/>
    <w:rsid w:val="002B5F72"/>
    <w:rsid w:val="002B70D5"/>
    <w:rsid w:val="002C21C0"/>
    <w:rsid w:val="002C44BD"/>
    <w:rsid w:val="002C6A49"/>
    <w:rsid w:val="002D2062"/>
    <w:rsid w:val="002D41F6"/>
    <w:rsid w:val="002D4B35"/>
    <w:rsid w:val="002E0A07"/>
    <w:rsid w:val="002E3B10"/>
    <w:rsid w:val="002E524A"/>
    <w:rsid w:val="002E558B"/>
    <w:rsid w:val="002E6FCC"/>
    <w:rsid w:val="002E6FEB"/>
    <w:rsid w:val="002F0B0B"/>
    <w:rsid w:val="002F0EB7"/>
    <w:rsid w:val="002F11B4"/>
    <w:rsid w:val="002F2253"/>
    <w:rsid w:val="002F2691"/>
    <w:rsid w:val="002F27AC"/>
    <w:rsid w:val="002F335A"/>
    <w:rsid w:val="002F37FA"/>
    <w:rsid w:val="002F53C8"/>
    <w:rsid w:val="002F577C"/>
    <w:rsid w:val="002F58A0"/>
    <w:rsid w:val="002F6710"/>
    <w:rsid w:val="00304613"/>
    <w:rsid w:val="00306797"/>
    <w:rsid w:val="003118C0"/>
    <w:rsid w:val="00313AB1"/>
    <w:rsid w:val="00315268"/>
    <w:rsid w:val="003158D5"/>
    <w:rsid w:val="00317128"/>
    <w:rsid w:val="00317A57"/>
    <w:rsid w:val="00320986"/>
    <w:rsid w:val="00321055"/>
    <w:rsid w:val="00322E7B"/>
    <w:rsid w:val="00323A23"/>
    <w:rsid w:val="00323C8D"/>
    <w:rsid w:val="00327059"/>
    <w:rsid w:val="00332421"/>
    <w:rsid w:val="00332534"/>
    <w:rsid w:val="00332785"/>
    <w:rsid w:val="0033582A"/>
    <w:rsid w:val="0033741E"/>
    <w:rsid w:val="00341FD0"/>
    <w:rsid w:val="0034392B"/>
    <w:rsid w:val="003448F2"/>
    <w:rsid w:val="00344E00"/>
    <w:rsid w:val="003459E3"/>
    <w:rsid w:val="00352423"/>
    <w:rsid w:val="00354A10"/>
    <w:rsid w:val="00355A56"/>
    <w:rsid w:val="003563D2"/>
    <w:rsid w:val="00357277"/>
    <w:rsid w:val="00362EEA"/>
    <w:rsid w:val="00363AC7"/>
    <w:rsid w:val="00366C04"/>
    <w:rsid w:val="003727A0"/>
    <w:rsid w:val="00373209"/>
    <w:rsid w:val="003774D6"/>
    <w:rsid w:val="00382463"/>
    <w:rsid w:val="00385DCE"/>
    <w:rsid w:val="00386FC5"/>
    <w:rsid w:val="00391378"/>
    <w:rsid w:val="00393704"/>
    <w:rsid w:val="0039512E"/>
    <w:rsid w:val="00395A11"/>
    <w:rsid w:val="003A6D01"/>
    <w:rsid w:val="003B2CC9"/>
    <w:rsid w:val="003B3349"/>
    <w:rsid w:val="003B390E"/>
    <w:rsid w:val="003B64CB"/>
    <w:rsid w:val="003B6DA1"/>
    <w:rsid w:val="003B6ECA"/>
    <w:rsid w:val="003B6FC5"/>
    <w:rsid w:val="003C15F6"/>
    <w:rsid w:val="003C240D"/>
    <w:rsid w:val="003C27B7"/>
    <w:rsid w:val="003C309A"/>
    <w:rsid w:val="003C4191"/>
    <w:rsid w:val="003C4A99"/>
    <w:rsid w:val="003C608A"/>
    <w:rsid w:val="003D31F1"/>
    <w:rsid w:val="003D3E08"/>
    <w:rsid w:val="003D4548"/>
    <w:rsid w:val="003D4FDB"/>
    <w:rsid w:val="003D75A4"/>
    <w:rsid w:val="003E26AB"/>
    <w:rsid w:val="003E331B"/>
    <w:rsid w:val="003E5A89"/>
    <w:rsid w:val="003E7B79"/>
    <w:rsid w:val="003F03C3"/>
    <w:rsid w:val="003F5299"/>
    <w:rsid w:val="003F74E5"/>
    <w:rsid w:val="004003E9"/>
    <w:rsid w:val="004032DB"/>
    <w:rsid w:val="00403EB2"/>
    <w:rsid w:val="004047AA"/>
    <w:rsid w:val="00404945"/>
    <w:rsid w:val="00405201"/>
    <w:rsid w:val="00406710"/>
    <w:rsid w:val="004118ED"/>
    <w:rsid w:val="004119A8"/>
    <w:rsid w:val="004137C7"/>
    <w:rsid w:val="00417106"/>
    <w:rsid w:val="00420CB5"/>
    <w:rsid w:val="00421D47"/>
    <w:rsid w:val="00425E51"/>
    <w:rsid w:val="0042612F"/>
    <w:rsid w:val="00431123"/>
    <w:rsid w:val="00431696"/>
    <w:rsid w:val="00437DB1"/>
    <w:rsid w:val="00440E5D"/>
    <w:rsid w:val="00441F29"/>
    <w:rsid w:val="00441FE3"/>
    <w:rsid w:val="00450AA6"/>
    <w:rsid w:val="00452512"/>
    <w:rsid w:val="00452CFD"/>
    <w:rsid w:val="00453CE0"/>
    <w:rsid w:val="0046074D"/>
    <w:rsid w:val="00463AB2"/>
    <w:rsid w:val="00470230"/>
    <w:rsid w:val="004750C1"/>
    <w:rsid w:val="004768E8"/>
    <w:rsid w:val="00476A0C"/>
    <w:rsid w:val="00477409"/>
    <w:rsid w:val="0048119B"/>
    <w:rsid w:val="00481B15"/>
    <w:rsid w:val="00481C77"/>
    <w:rsid w:val="00485772"/>
    <w:rsid w:val="00485AA9"/>
    <w:rsid w:val="00486080"/>
    <w:rsid w:val="00492FBD"/>
    <w:rsid w:val="0049319A"/>
    <w:rsid w:val="00494DB3"/>
    <w:rsid w:val="00495A69"/>
    <w:rsid w:val="004966AD"/>
    <w:rsid w:val="00497D44"/>
    <w:rsid w:val="004A0A6B"/>
    <w:rsid w:val="004A0F6A"/>
    <w:rsid w:val="004A1753"/>
    <w:rsid w:val="004A6EDD"/>
    <w:rsid w:val="004A7B3B"/>
    <w:rsid w:val="004B389C"/>
    <w:rsid w:val="004B3D01"/>
    <w:rsid w:val="004B5787"/>
    <w:rsid w:val="004B7754"/>
    <w:rsid w:val="004C4469"/>
    <w:rsid w:val="004C530B"/>
    <w:rsid w:val="004C586B"/>
    <w:rsid w:val="004C6065"/>
    <w:rsid w:val="004C6FFD"/>
    <w:rsid w:val="004C78C5"/>
    <w:rsid w:val="004D4484"/>
    <w:rsid w:val="004D4CCC"/>
    <w:rsid w:val="004D5102"/>
    <w:rsid w:val="004E084D"/>
    <w:rsid w:val="004E2D89"/>
    <w:rsid w:val="004E3446"/>
    <w:rsid w:val="004E4A23"/>
    <w:rsid w:val="004E6B90"/>
    <w:rsid w:val="004F0BEC"/>
    <w:rsid w:val="004F48DD"/>
    <w:rsid w:val="004F4AC5"/>
    <w:rsid w:val="004F5686"/>
    <w:rsid w:val="005066B5"/>
    <w:rsid w:val="00512AE6"/>
    <w:rsid w:val="00514AC0"/>
    <w:rsid w:val="00515020"/>
    <w:rsid w:val="005224D8"/>
    <w:rsid w:val="00523B29"/>
    <w:rsid w:val="00523DF2"/>
    <w:rsid w:val="00524D94"/>
    <w:rsid w:val="00525768"/>
    <w:rsid w:val="00530113"/>
    <w:rsid w:val="00534733"/>
    <w:rsid w:val="0053720B"/>
    <w:rsid w:val="005462A1"/>
    <w:rsid w:val="00554688"/>
    <w:rsid w:val="00555D7F"/>
    <w:rsid w:val="00556410"/>
    <w:rsid w:val="00556709"/>
    <w:rsid w:val="005616DE"/>
    <w:rsid w:val="00561F97"/>
    <w:rsid w:val="00562F4C"/>
    <w:rsid w:val="0056655B"/>
    <w:rsid w:val="00570881"/>
    <w:rsid w:val="00572116"/>
    <w:rsid w:val="00572B98"/>
    <w:rsid w:val="00574F2F"/>
    <w:rsid w:val="00575B63"/>
    <w:rsid w:val="00576EF7"/>
    <w:rsid w:val="005829FE"/>
    <w:rsid w:val="0058628A"/>
    <w:rsid w:val="00587822"/>
    <w:rsid w:val="005878F6"/>
    <w:rsid w:val="00593EC9"/>
    <w:rsid w:val="00596959"/>
    <w:rsid w:val="005A1B75"/>
    <w:rsid w:val="005A5334"/>
    <w:rsid w:val="005A7E87"/>
    <w:rsid w:val="005B0510"/>
    <w:rsid w:val="005B09E3"/>
    <w:rsid w:val="005B0F21"/>
    <w:rsid w:val="005B2606"/>
    <w:rsid w:val="005B6674"/>
    <w:rsid w:val="005B670F"/>
    <w:rsid w:val="005B6C1C"/>
    <w:rsid w:val="005C565B"/>
    <w:rsid w:val="005C5B67"/>
    <w:rsid w:val="005C6245"/>
    <w:rsid w:val="005C76B4"/>
    <w:rsid w:val="005C7E68"/>
    <w:rsid w:val="005D02CE"/>
    <w:rsid w:val="005D05AB"/>
    <w:rsid w:val="005D0CC4"/>
    <w:rsid w:val="005D36CA"/>
    <w:rsid w:val="005D5313"/>
    <w:rsid w:val="005E21F0"/>
    <w:rsid w:val="005E2BCD"/>
    <w:rsid w:val="005E325F"/>
    <w:rsid w:val="005E4600"/>
    <w:rsid w:val="005E4C90"/>
    <w:rsid w:val="005E661A"/>
    <w:rsid w:val="005F0170"/>
    <w:rsid w:val="005F05C2"/>
    <w:rsid w:val="005F0A67"/>
    <w:rsid w:val="005F3428"/>
    <w:rsid w:val="005F39DB"/>
    <w:rsid w:val="005F55BE"/>
    <w:rsid w:val="005F7150"/>
    <w:rsid w:val="00600999"/>
    <w:rsid w:val="00602C02"/>
    <w:rsid w:val="0060360F"/>
    <w:rsid w:val="006122F2"/>
    <w:rsid w:val="00612A3E"/>
    <w:rsid w:val="00613F3F"/>
    <w:rsid w:val="006140DB"/>
    <w:rsid w:val="006168AD"/>
    <w:rsid w:val="00625EE0"/>
    <w:rsid w:val="00625FE6"/>
    <w:rsid w:val="006327B2"/>
    <w:rsid w:val="006331C8"/>
    <w:rsid w:val="00637621"/>
    <w:rsid w:val="00641D3D"/>
    <w:rsid w:val="00645699"/>
    <w:rsid w:val="00646F26"/>
    <w:rsid w:val="006502B2"/>
    <w:rsid w:val="00650A87"/>
    <w:rsid w:val="00654A4E"/>
    <w:rsid w:val="00654AA1"/>
    <w:rsid w:val="00657AC1"/>
    <w:rsid w:val="00657EB5"/>
    <w:rsid w:val="00660B90"/>
    <w:rsid w:val="006644A7"/>
    <w:rsid w:val="00666085"/>
    <w:rsid w:val="0067098E"/>
    <w:rsid w:val="00671A70"/>
    <w:rsid w:val="006728A3"/>
    <w:rsid w:val="00672A6F"/>
    <w:rsid w:val="0067544A"/>
    <w:rsid w:val="0067704F"/>
    <w:rsid w:val="00681D60"/>
    <w:rsid w:val="00682998"/>
    <w:rsid w:val="00693E67"/>
    <w:rsid w:val="00694BEE"/>
    <w:rsid w:val="0069570E"/>
    <w:rsid w:val="006A1ED7"/>
    <w:rsid w:val="006A2412"/>
    <w:rsid w:val="006A2C9D"/>
    <w:rsid w:val="006A3196"/>
    <w:rsid w:val="006A749D"/>
    <w:rsid w:val="006B18B7"/>
    <w:rsid w:val="006B2331"/>
    <w:rsid w:val="006B2C23"/>
    <w:rsid w:val="006B7AA9"/>
    <w:rsid w:val="006C2500"/>
    <w:rsid w:val="006C48C7"/>
    <w:rsid w:val="006C5FE9"/>
    <w:rsid w:val="006C6875"/>
    <w:rsid w:val="006C6EB1"/>
    <w:rsid w:val="006C7AE8"/>
    <w:rsid w:val="006D3C9B"/>
    <w:rsid w:val="006D3CA7"/>
    <w:rsid w:val="006D43E7"/>
    <w:rsid w:val="006E0BCF"/>
    <w:rsid w:val="006E33FC"/>
    <w:rsid w:val="006E3403"/>
    <w:rsid w:val="006E3CA0"/>
    <w:rsid w:val="006E5A90"/>
    <w:rsid w:val="006F53F4"/>
    <w:rsid w:val="006F5F58"/>
    <w:rsid w:val="006F6B09"/>
    <w:rsid w:val="0070039C"/>
    <w:rsid w:val="00701C7E"/>
    <w:rsid w:val="007026E3"/>
    <w:rsid w:val="007028B9"/>
    <w:rsid w:val="00702EB4"/>
    <w:rsid w:val="007033D9"/>
    <w:rsid w:val="00704AD8"/>
    <w:rsid w:val="00705DFD"/>
    <w:rsid w:val="007069A8"/>
    <w:rsid w:val="00713AE4"/>
    <w:rsid w:val="007156EF"/>
    <w:rsid w:val="007169AF"/>
    <w:rsid w:val="007206CD"/>
    <w:rsid w:val="00727C74"/>
    <w:rsid w:val="00727EEF"/>
    <w:rsid w:val="00731536"/>
    <w:rsid w:val="00732AF2"/>
    <w:rsid w:val="007331F8"/>
    <w:rsid w:val="00735534"/>
    <w:rsid w:val="00735E52"/>
    <w:rsid w:val="007443CA"/>
    <w:rsid w:val="00744650"/>
    <w:rsid w:val="007464AB"/>
    <w:rsid w:val="00747591"/>
    <w:rsid w:val="00750F05"/>
    <w:rsid w:val="00753668"/>
    <w:rsid w:val="00755DEA"/>
    <w:rsid w:val="00756E80"/>
    <w:rsid w:val="007577B2"/>
    <w:rsid w:val="00760C16"/>
    <w:rsid w:val="007625F9"/>
    <w:rsid w:val="007628BE"/>
    <w:rsid w:val="00762B2E"/>
    <w:rsid w:val="00766688"/>
    <w:rsid w:val="00770033"/>
    <w:rsid w:val="00770EC7"/>
    <w:rsid w:val="00771A2C"/>
    <w:rsid w:val="00774083"/>
    <w:rsid w:val="007746A7"/>
    <w:rsid w:val="00774FDF"/>
    <w:rsid w:val="007756DF"/>
    <w:rsid w:val="00777BF8"/>
    <w:rsid w:val="00777D6D"/>
    <w:rsid w:val="00782F36"/>
    <w:rsid w:val="00783171"/>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4C1D"/>
    <w:rsid w:val="007C58F2"/>
    <w:rsid w:val="007C60C1"/>
    <w:rsid w:val="007C6427"/>
    <w:rsid w:val="007D02E1"/>
    <w:rsid w:val="007D14B6"/>
    <w:rsid w:val="007D3990"/>
    <w:rsid w:val="007D4781"/>
    <w:rsid w:val="007D5C6F"/>
    <w:rsid w:val="007E27D0"/>
    <w:rsid w:val="007E331D"/>
    <w:rsid w:val="007E3BE2"/>
    <w:rsid w:val="007E6267"/>
    <w:rsid w:val="007E6585"/>
    <w:rsid w:val="007F0B67"/>
    <w:rsid w:val="007F0FB9"/>
    <w:rsid w:val="007F1A39"/>
    <w:rsid w:val="007F77F4"/>
    <w:rsid w:val="00800665"/>
    <w:rsid w:val="00806CD3"/>
    <w:rsid w:val="008074BE"/>
    <w:rsid w:val="008113A9"/>
    <w:rsid w:val="00811963"/>
    <w:rsid w:val="0081272A"/>
    <w:rsid w:val="008148FD"/>
    <w:rsid w:val="008203BF"/>
    <w:rsid w:val="00821ABA"/>
    <w:rsid w:val="0082240E"/>
    <w:rsid w:val="00823535"/>
    <w:rsid w:val="008242A0"/>
    <w:rsid w:val="00825797"/>
    <w:rsid w:val="0083349A"/>
    <w:rsid w:val="008334C8"/>
    <w:rsid w:val="008335A1"/>
    <w:rsid w:val="00835997"/>
    <w:rsid w:val="00835F4D"/>
    <w:rsid w:val="008426CA"/>
    <w:rsid w:val="00843E81"/>
    <w:rsid w:val="00845462"/>
    <w:rsid w:val="00850082"/>
    <w:rsid w:val="00851937"/>
    <w:rsid w:val="00852D37"/>
    <w:rsid w:val="00856245"/>
    <w:rsid w:val="00856ABB"/>
    <w:rsid w:val="008608E0"/>
    <w:rsid w:val="008613A7"/>
    <w:rsid w:val="00864ABF"/>
    <w:rsid w:val="00866274"/>
    <w:rsid w:val="00866366"/>
    <w:rsid w:val="008676B5"/>
    <w:rsid w:val="00867B04"/>
    <w:rsid w:val="00870B69"/>
    <w:rsid w:val="0087160D"/>
    <w:rsid w:val="00873AFD"/>
    <w:rsid w:val="00873C36"/>
    <w:rsid w:val="0087409D"/>
    <w:rsid w:val="00875297"/>
    <w:rsid w:val="00875D31"/>
    <w:rsid w:val="00876067"/>
    <w:rsid w:val="00880D04"/>
    <w:rsid w:val="00884332"/>
    <w:rsid w:val="00886AA5"/>
    <w:rsid w:val="008901AA"/>
    <w:rsid w:val="00890255"/>
    <w:rsid w:val="0089179C"/>
    <w:rsid w:val="00893282"/>
    <w:rsid w:val="00895E0F"/>
    <w:rsid w:val="00896575"/>
    <w:rsid w:val="008967F5"/>
    <w:rsid w:val="008A05D0"/>
    <w:rsid w:val="008A0C1C"/>
    <w:rsid w:val="008A25DD"/>
    <w:rsid w:val="008A4124"/>
    <w:rsid w:val="008A6D88"/>
    <w:rsid w:val="008A7D5D"/>
    <w:rsid w:val="008B19BD"/>
    <w:rsid w:val="008B4407"/>
    <w:rsid w:val="008B544A"/>
    <w:rsid w:val="008B77EB"/>
    <w:rsid w:val="008C15AF"/>
    <w:rsid w:val="008C3220"/>
    <w:rsid w:val="008C72D6"/>
    <w:rsid w:val="008C74FA"/>
    <w:rsid w:val="008D5C30"/>
    <w:rsid w:val="008E0DC5"/>
    <w:rsid w:val="008E280C"/>
    <w:rsid w:val="008E5F82"/>
    <w:rsid w:val="008E75D2"/>
    <w:rsid w:val="008F0135"/>
    <w:rsid w:val="008F4611"/>
    <w:rsid w:val="008F67D5"/>
    <w:rsid w:val="00900C89"/>
    <w:rsid w:val="00900FD7"/>
    <w:rsid w:val="009028D9"/>
    <w:rsid w:val="00903B13"/>
    <w:rsid w:val="00904ACB"/>
    <w:rsid w:val="00906E3C"/>
    <w:rsid w:val="00910C59"/>
    <w:rsid w:val="00911051"/>
    <w:rsid w:val="00911834"/>
    <w:rsid w:val="00912C72"/>
    <w:rsid w:val="0091479B"/>
    <w:rsid w:val="00920270"/>
    <w:rsid w:val="00920606"/>
    <w:rsid w:val="00922110"/>
    <w:rsid w:val="00922194"/>
    <w:rsid w:val="00923FC3"/>
    <w:rsid w:val="009258F7"/>
    <w:rsid w:val="009263CA"/>
    <w:rsid w:val="00926737"/>
    <w:rsid w:val="00926D0C"/>
    <w:rsid w:val="009278CB"/>
    <w:rsid w:val="00930242"/>
    <w:rsid w:val="0093392C"/>
    <w:rsid w:val="009346F3"/>
    <w:rsid w:val="00935F8E"/>
    <w:rsid w:val="00940BCB"/>
    <w:rsid w:val="00941FC7"/>
    <w:rsid w:val="00942E2B"/>
    <w:rsid w:val="0094308D"/>
    <w:rsid w:val="009453E9"/>
    <w:rsid w:val="00945D12"/>
    <w:rsid w:val="00952B4D"/>
    <w:rsid w:val="009531A0"/>
    <w:rsid w:val="009533B4"/>
    <w:rsid w:val="00953F37"/>
    <w:rsid w:val="00956CCF"/>
    <w:rsid w:val="00957CB2"/>
    <w:rsid w:val="0096155D"/>
    <w:rsid w:val="00961693"/>
    <w:rsid w:val="0096678C"/>
    <w:rsid w:val="00967E0F"/>
    <w:rsid w:val="00970D2E"/>
    <w:rsid w:val="0097327C"/>
    <w:rsid w:val="009736C0"/>
    <w:rsid w:val="0097668F"/>
    <w:rsid w:val="0097769D"/>
    <w:rsid w:val="0098096C"/>
    <w:rsid w:val="00980AA0"/>
    <w:rsid w:val="009819A8"/>
    <w:rsid w:val="00981A92"/>
    <w:rsid w:val="009827C6"/>
    <w:rsid w:val="009832EB"/>
    <w:rsid w:val="009836E9"/>
    <w:rsid w:val="0098465E"/>
    <w:rsid w:val="00985E78"/>
    <w:rsid w:val="0098794B"/>
    <w:rsid w:val="009905D6"/>
    <w:rsid w:val="00992AAF"/>
    <w:rsid w:val="0099674A"/>
    <w:rsid w:val="009A03DB"/>
    <w:rsid w:val="009A0B03"/>
    <w:rsid w:val="009A1DDC"/>
    <w:rsid w:val="009A329C"/>
    <w:rsid w:val="009A6B84"/>
    <w:rsid w:val="009A7F76"/>
    <w:rsid w:val="009B1304"/>
    <w:rsid w:val="009B2FB5"/>
    <w:rsid w:val="009B33B9"/>
    <w:rsid w:val="009B4B8B"/>
    <w:rsid w:val="009B6F4C"/>
    <w:rsid w:val="009B7ED9"/>
    <w:rsid w:val="009C32D0"/>
    <w:rsid w:val="009C50BC"/>
    <w:rsid w:val="009C5BA0"/>
    <w:rsid w:val="009D460D"/>
    <w:rsid w:val="009D7765"/>
    <w:rsid w:val="009E05CD"/>
    <w:rsid w:val="009E4B48"/>
    <w:rsid w:val="009E4F85"/>
    <w:rsid w:val="009E511B"/>
    <w:rsid w:val="009E51C9"/>
    <w:rsid w:val="009E5605"/>
    <w:rsid w:val="009F1EFE"/>
    <w:rsid w:val="009F2CE4"/>
    <w:rsid w:val="009F42E1"/>
    <w:rsid w:val="009F49EA"/>
    <w:rsid w:val="009F5659"/>
    <w:rsid w:val="009F66B1"/>
    <w:rsid w:val="00A02887"/>
    <w:rsid w:val="00A02E57"/>
    <w:rsid w:val="00A057C4"/>
    <w:rsid w:val="00A05A4D"/>
    <w:rsid w:val="00A05AB4"/>
    <w:rsid w:val="00A070D7"/>
    <w:rsid w:val="00A12E09"/>
    <w:rsid w:val="00A136A4"/>
    <w:rsid w:val="00A16685"/>
    <w:rsid w:val="00A17DAD"/>
    <w:rsid w:val="00A25EB2"/>
    <w:rsid w:val="00A265E3"/>
    <w:rsid w:val="00A30AC2"/>
    <w:rsid w:val="00A334F0"/>
    <w:rsid w:val="00A403AD"/>
    <w:rsid w:val="00A40E60"/>
    <w:rsid w:val="00A45588"/>
    <w:rsid w:val="00A4607A"/>
    <w:rsid w:val="00A529FA"/>
    <w:rsid w:val="00A52B09"/>
    <w:rsid w:val="00A54730"/>
    <w:rsid w:val="00A54BD1"/>
    <w:rsid w:val="00A56096"/>
    <w:rsid w:val="00A56440"/>
    <w:rsid w:val="00A62E0B"/>
    <w:rsid w:val="00A63491"/>
    <w:rsid w:val="00A6553E"/>
    <w:rsid w:val="00A66622"/>
    <w:rsid w:val="00A7029E"/>
    <w:rsid w:val="00A71BAA"/>
    <w:rsid w:val="00A72488"/>
    <w:rsid w:val="00A7294C"/>
    <w:rsid w:val="00A74B98"/>
    <w:rsid w:val="00A75239"/>
    <w:rsid w:val="00A7623D"/>
    <w:rsid w:val="00A820F1"/>
    <w:rsid w:val="00AA3077"/>
    <w:rsid w:val="00AA36BB"/>
    <w:rsid w:val="00AA6564"/>
    <w:rsid w:val="00AA6FCA"/>
    <w:rsid w:val="00AB2387"/>
    <w:rsid w:val="00AB346C"/>
    <w:rsid w:val="00AB37B5"/>
    <w:rsid w:val="00AB3A12"/>
    <w:rsid w:val="00AB5A78"/>
    <w:rsid w:val="00AB711B"/>
    <w:rsid w:val="00AC333C"/>
    <w:rsid w:val="00AC65C5"/>
    <w:rsid w:val="00AC6F12"/>
    <w:rsid w:val="00AC7D27"/>
    <w:rsid w:val="00AD035C"/>
    <w:rsid w:val="00AD1EB6"/>
    <w:rsid w:val="00AD2EC9"/>
    <w:rsid w:val="00AD5631"/>
    <w:rsid w:val="00AD64A4"/>
    <w:rsid w:val="00AD6B3B"/>
    <w:rsid w:val="00AE018F"/>
    <w:rsid w:val="00AE0B67"/>
    <w:rsid w:val="00AE187B"/>
    <w:rsid w:val="00AE2085"/>
    <w:rsid w:val="00AE26F5"/>
    <w:rsid w:val="00AE3537"/>
    <w:rsid w:val="00AE3F49"/>
    <w:rsid w:val="00AF38A7"/>
    <w:rsid w:val="00AF7398"/>
    <w:rsid w:val="00B00B27"/>
    <w:rsid w:val="00B012D9"/>
    <w:rsid w:val="00B0184D"/>
    <w:rsid w:val="00B02B0A"/>
    <w:rsid w:val="00B03A4D"/>
    <w:rsid w:val="00B046E5"/>
    <w:rsid w:val="00B046EA"/>
    <w:rsid w:val="00B04D6D"/>
    <w:rsid w:val="00B14DDB"/>
    <w:rsid w:val="00B14E7A"/>
    <w:rsid w:val="00B154B8"/>
    <w:rsid w:val="00B17054"/>
    <w:rsid w:val="00B201CC"/>
    <w:rsid w:val="00B2296C"/>
    <w:rsid w:val="00B26B8D"/>
    <w:rsid w:val="00B302AD"/>
    <w:rsid w:val="00B308C0"/>
    <w:rsid w:val="00B32291"/>
    <w:rsid w:val="00B344A6"/>
    <w:rsid w:val="00B35F7A"/>
    <w:rsid w:val="00B36DD4"/>
    <w:rsid w:val="00B37B81"/>
    <w:rsid w:val="00B43E44"/>
    <w:rsid w:val="00B44A64"/>
    <w:rsid w:val="00B4523C"/>
    <w:rsid w:val="00B45A77"/>
    <w:rsid w:val="00B461D5"/>
    <w:rsid w:val="00B53C2C"/>
    <w:rsid w:val="00B5440A"/>
    <w:rsid w:val="00B57D44"/>
    <w:rsid w:val="00B6146B"/>
    <w:rsid w:val="00B64733"/>
    <w:rsid w:val="00B64CA2"/>
    <w:rsid w:val="00B64DE3"/>
    <w:rsid w:val="00B70FDF"/>
    <w:rsid w:val="00B71232"/>
    <w:rsid w:val="00B75F3E"/>
    <w:rsid w:val="00B777B1"/>
    <w:rsid w:val="00B820A7"/>
    <w:rsid w:val="00B84320"/>
    <w:rsid w:val="00B84521"/>
    <w:rsid w:val="00B848E4"/>
    <w:rsid w:val="00B87A2E"/>
    <w:rsid w:val="00B91EC7"/>
    <w:rsid w:val="00B961F7"/>
    <w:rsid w:val="00BA0180"/>
    <w:rsid w:val="00BA1457"/>
    <w:rsid w:val="00BA3009"/>
    <w:rsid w:val="00BA6559"/>
    <w:rsid w:val="00BB080A"/>
    <w:rsid w:val="00BB15F8"/>
    <w:rsid w:val="00BB37B9"/>
    <w:rsid w:val="00BB3C67"/>
    <w:rsid w:val="00BB3D08"/>
    <w:rsid w:val="00BB7EC3"/>
    <w:rsid w:val="00BC03E1"/>
    <w:rsid w:val="00BC07E0"/>
    <w:rsid w:val="00BC5A68"/>
    <w:rsid w:val="00BC7AE6"/>
    <w:rsid w:val="00BD422F"/>
    <w:rsid w:val="00BD5F6A"/>
    <w:rsid w:val="00BE1951"/>
    <w:rsid w:val="00BE2960"/>
    <w:rsid w:val="00BE4A26"/>
    <w:rsid w:val="00BE76AB"/>
    <w:rsid w:val="00BF0F73"/>
    <w:rsid w:val="00C01CF5"/>
    <w:rsid w:val="00C021AC"/>
    <w:rsid w:val="00C0288A"/>
    <w:rsid w:val="00C04285"/>
    <w:rsid w:val="00C0560F"/>
    <w:rsid w:val="00C073F3"/>
    <w:rsid w:val="00C161F8"/>
    <w:rsid w:val="00C16A4A"/>
    <w:rsid w:val="00C200DD"/>
    <w:rsid w:val="00C23624"/>
    <w:rsid w:val="00C26F58"/>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3498"/>
    <w:rsid w:val="00C74028"/>
    <w:rsid w:val="00C742E6"/>
    <w:rsid w:val="00C74FCE"/>
    <w:rsid w:val="00C75E37"/>
    <w:rsid w:val="00C7650A"/>
    <w:rsid w:val="00C818D1"/>
    <w:rsid w:val="00C81A70"/>
    <w:rsid w:val="00C82F7C"/>
    <w:rsid w:val="00C849C1"/>
    <w:rsid w:val="00C90C4E"/>
    <w:rsid w:val="00C96485"/>
    <w:rsid w:val="00C96BBC"/>
    <w:rsid w:val="00CA03C6"/>
    <w:rsid w:val="00CA2306"/>
    <w:rsid w:val="00CA2BE4"/>
    <w:rsid w:val="00CA3640"/>
    <w:rsid w:val="00CA4E66"/>
    <w:rsid w:val="00CA5EBC"/>
    <w:rsid w:val="00CA69F1"/>
    <w:rsid w:val="00CA7799"/>
    <w:rsid w:val="00CB02C0"/>
    <w:rsid w:val="00CB0FC2"/>
    <w:rsid w:val="00CB1845"/>
    <w:rsid w:val="00CB2350"/>
    <w:rsid w:val="00CB30FB"/>
    <w:rsid w:val="00CB5F9B"/>
    <w:rsid w:val="00CB6E5F"/>
    <w:rsid w:val="00CB74DA"/>
    <w:rsid w:val="00CB7908"/>
    <w:rsid w:val="00CC215B"/>
    <w:rsid w:val="00CC43C5"/>
    <w:rsid w:val="00CC7C0D"/>
    <w:rsid w:val="00CD31B6"/>
    <w:rsid w:val="00CD50AB"/>
    <w:rsid w:val="00CD7729"/>
    <w:rsid w:val="00CD79A5"/>
    <w:rsid w:val="00CE11E4"/>
    <w:rsid w:val="00CE43C1"/>
    <w:rsid w:val="00CE4E66"/>
    <w:rsid w:val="00CE7502"/>
    <w:rsid w:val="00CF2D0C"/>
    <w:rsid w:val="00D004F4"/>
    <w:rsid w:val="00D02605"/>
    <w:rsid w:val="00D12711"/>
    <w:rsid w:val="00D15314"/>
    <w:rsid w:val="00D1662F"/>
    <w:rsid w:val="00D16B24"/>
    <w:rsid w:val="00D204B7"/>
    <w:rsid w:val="00D2050E"/>
    <w:rsid w:val="00D312C1"/>
    <w:rsid w:val="00D36C3E"/>
    <w:rsid w:val="00D45B02"/>
    <w:rsid w:val="00D473EA"/>
    <w:rsid w:val="00D47B50"/>
    <w:rsid w:val="00D50B1A"/>
    <w:rsid w:val="00D512DE"/>
    <w:rsid w:val="00D536B4"/>
    <w:rsid w:val="00D56566"/>
    <w:rsid w:val="00D56E87"/>
    <w:rsid w:val="00D57367"/>
    <w:rsid w:val="00D61A37"/>
    <w:rsid w:val="00D6411D"/>
    <w:rsid w:val="00D64782"/>
    <w:rsid w:val="00D66EDD"/>
    <w:rsid w:val="00D67278"/>
    <w:rsid w:val="00D67B8D"/>
    <w:rsid w:val="00D71094"/>
    <w:rsid w:val="00D73E3C"/>
    <w:rsid w:val="00D74196"/>
    <w:rsid w:val="00D7566D"/>
    <w:rsid w:val="00D76E20"/>
    <w:rsid w:val="00D802DE"/>
    <w:rsid w:val="00D8043E"/>
    <w:rsid w:val="00D8125F"/>
    <w:rsid w:val="00D82754"/>
    <w:rsid w:val="00D86D5E"/>
    <w:rsid w:val="00D90453"/>
    <w:rsid w:val="00D91117"/>
    <w:rsid w:val="00D922B1"/>
    <w:rsid w:val="00D923CC"/>
    <w:rsid w:val="00D9357E"/>
    <w:rsid w:val="00DA5F08"/>
    <w:rsid w:val="00DB0DAE"/>
    <w:rsid w:val="00DB22A5"/>
    <w:rsid w:val="00DB4C5E"/>
    <w:rsid w:val="00DB7370"/>
    <w:rsid w:val="00DC139D"/>
    <w:rsid w:val="00DC2C8A"/>
    <w:rsid w:val="00DC2EAE"/>
    <w:rsid w:val="00DC3924"/>
    <w:rsid w:val="00DC45D2"/>
    <w:rsid w:val="00DC4666"/>
    <w:rsid w:val="00DC4D2A"/>
    <w:rsid w:val="00DC51E9"/>
    <w:rsid w:val="00DC571F"/>
    <w:rsid w:val="00DC71F3"/>
    <w:rsid w:val="00DD3F5E"/>
    <w:rsid w:val="00DD55DA"/>
    <w:rsid w:val="00DD5ADB"/>
    <w:rsid w:val="00DE0399"/>
    <w:rsid w:val="00DE271E"/>
    <w:rsid w:val="00DE569D"/>
    <w:rsid w:val="00DE6571"/>
    <w:rsid w:val="00DE7662"/>
    <w:rsid w:val="00DE7784"/>
    <w:rsid w:val="00DF0410"/>
    <w:rsid w:val="00DF39D8"/>
    <w:rsid w:val="00DF419A"/>
    <w:rsid w:val="00DF7F7A"/>
    <w:rsid w:val="00E01FDA"/>
    <w:rsid w:val="00E03C5A"/>
    <w:rsid w:val="00E04B7F"/>
    <w:rsid w:val="00E0531A"/>
    <w:rsid w:val="00E10342"/>
    <w:rsid w:val="00E1145C"/>
    <w:rsid w:val="00E117F3"/>
    <w:rsid w:val="00E154A0"/>
    <w:rsid w:val="00E15729"/>
    <w:rsid w:val="00E163B6"/>
    <w:rsid w:val="00E1736D"/>
    <w:rsid w:val="00E179CF"/>
    <w:rsid w:val="00E179D1"/>
    <w:rsid w:val="00E202A8"/>
    <w:rsid w:val="00E229C2"/>
    <w:rsid w:val="00E232D1"/>
    <w:rsid w:val="00E239F0"/>
    <w:rsid w:val="00E2459C"/>
    <w:rsid w:val="00E24C1A"/>
    <w:rsid w:val="00E255B3"/>
    <w:rsid w:val="00E27421"/>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67552"/>
    <w:rsid w:val="00E75460"/>
    <w:rsid w:val="00E765E2"/>
    <w:rsid w:val="00E777DA"/>
    <w:rsid w:val="00E7794D"/>
    <w:rsid w:val="00E77BC6"/>
    <w:rsid w:val="00E77DE7"/>
    <w:rsid w:val="00E81DB4"/>
    <w:rsid w:val="00E83E68"/>
    <w:rsid w:val="00E84A3B"/>
    <w:rsid w:val="00E903F8"/>
    <w:rsid w:val="00E913BA"/>
    <w:rsid w:val="00E94F30"/>
    <w:rsid w:val="00E95B86"/>
    <w:rsid w:val="00E95F76"/>
    <w:rsid w:val="00EA2336"/>
    <w:rsid w:val="00EA4749"/>
    <w:rsid w:val="00EA7FE0"/>
    <w:rsid w:val="00EB362B"/>
    <w:rsid w:val="00EB56CD"/>
    <w:rsid w:val="00EB7F8F"/>
    <w:rsid w:val="00EC22AC"/>
    <w:rsid w:val="00EC2B26"/>
    <w:rsid w:val="00EC5BB8"/>
    <w:rsid w:val="00EC5F29"/>
    <w:rsid w:val="00ED0B96"/>
    <w:rsid w:val="00ED1508"/>
    <w:rsid w:val="00ED324B"/>
    <w:rsid w:val="00EE171A"/>
    <w:rsid w:val="00EE2F00"/>
    <w:rsid w:val="00EE7052"/>
    <w:rsid w:val="00EF0BFF"/>
    <w:rsid w:val="00EF225C"/>
    <w:rsid w:val="00EF2790"/>
    <w:rsid w:val="00EF5E12"/>
    <w:rsid w:val="00EF6431"/>
    <w:rsid w:val="00EF661D"/>
    <w:rsid w:val="00EF748B"/>
    <w:rsid w:val="00EF7625"/>
    <w:rsid w:val="00F01066"/>
    <w:rsid w:val="00F051B9"/>
    <w:rsid w:val="00F13454"/>
    <w:rsid w:val="00F15E89"/>
    <w:rsid w:val="00F17FBE"/>
    <w:rsid w:val="00F2236C"/>
    <w:rsid w:val="00F243C3"/>
    <w:rsid w:val="00F24EEE"/>
    <w:rsid w:val="00F2704F"/>
    <w:rsid w:val="00F2742F"/>
    <w:rsid w:val="00F32E45"/>
    <w:rsid w:val="00F34A3F"/>
    <w:rsid w:val="00F3686B"/>
    <w:rsid w:val="00F36D40"/>
    <w:rsid w:val="00F37E9A"/>
    <w:rsid w:val="00F40E3D"/>
    <w:rsid w:val="00F4275D"/>
    <w:rsid w:val="00F42E03"/>
    <w:rsid w:val="00F450E2"/>
    <w:rsid w:val="00F459B3"/>
    <w:rsid w:val="00F469C0"/>
    <w:rsid w:val="00F51365"/>
    <w:rsid w:val="00F54707"/>
    <w:rsid w:val="00F57317"/>
    <w:rsid w:val="00F615EE"/>
    <w:rsid w:val="00F625D4"/>
    <w:rsid w:val="00F62C19"/>
    <w:rsid w:val="00F6596B"/>
    <w:rsid w:val="00F65E15"/>
    <w:rsid w:val="00F70FE8"/>
    <w:rsid w:val="00F7261E"/>
    <w:rsid w:val="00F74E91"/>
    <w:rsid w:val="00F76CC9"/>
    <w:rsid w:val="00F76F93"/>
    <w:rsid w:val="00F77F91"/>
    <w:rsid w:val="00F80390"/>
    <w:rsid w:val="00F8262B"/>
    <w:rsid w:val="00F83DB4"/>
    <w:rsid w:val="00F90174"/>
    <w:rsid w:val="00F9283E"/>
    <w:rsid w:val="00F92D39"/>
    <w:rsid w:val="00F92EBD"/>
    <w:rsid w:val="00F94A51"/>
    <w:rsid w:val="00F95414"/>
    <w:rsid w:val="00F95F72"/>
    <w:rsid w:val="00FA1BE4"/>
    <w:rsid w:val="00FA1C18"/>
    <w:rsid w:val="00FA4B55"/>
    <w:rsid w:val="00FA5456"/>
    <w:rsid w:val="00FA5B2A"/>
    <w:rsid w:val="00FA68D9"/>
    <w:rsid w:val="00FA6FB3"/>
    <w:rsid w:val="00FB025F"/>
    <w:rsid w:val="00FB4EDC"/>
    <w:rsid w:val="00FC171E"/>
    <w:rsid w:val="00FC2702"/>
    <w:rsid w:val="00FC2BEC"/>
    <w:rsid w:val="00FC58B3"/>
    <w:rsid w:val="00FC65BB"/>
    <w:rsid w:val="00FC68A7"/>
    <w:rsid w:val="00FD08CC"/>
    <w:rsid w:val="00FD12DC"/>
    <w:rsid w:val="00FD65AE"/>
    <w:rsid w:val="00FD75D4"/>
    <w:rsid w:val="00FE0520"/>
    <w:rsid w:val="00FE33E1"/>
    <w:rsid w:val="00FE6ADA"/>
    <w:rsid w:val="00FE70CD"/>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link w:val="Heading1Char"/>
    <w:uiPriority w:val="9"/>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pPr>
      <w:keepNext/>
      <w:keepLines/>
      <w:spacing w:after="240"/>
      <w:outlineLvl w:val="3"/>
    </w:pPr>
    <w:rPr>
      <w:rFonts w:eastAsia="Times New Roman"/>
      <w:b/>
      <w:bCs/>
      <w:lang w:eastAsia="en-U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DC2EAE"/>
    <w:pPr>
      <w:spacing w:before="240" w:after="60"/>
      <w:outlineLvl w:val="8"/>
    </w:pPr>
    <w:rPr>
      <w:rFonts w:ascii="Arial" w:hAnsi="Arial" w:cs="Arial"/>
      <w:b/>
      <w:bCs/>
      <w:i/>
      <w:i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link w:val="ParChar"/>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link w:val="MargeChar"/>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5997"/>
    <w:rPr>
      <w:rFonts w:ascii="Tahoma" w:hAnsi="Tahoma" w:cs="Tahoma"/>
      <w:sz w:val="16"/>
      <w:szCs w:val="16"/>
    </w:rPr>
  </w:style>
  <w:style w:type="character" w:customStyle="1" w:styleId="BalloonTextChar">
    <w:name w:val="Balloon Text Char"/>
    <w:basedOn w:val="DefaultParagraphFont"/>
    <w:link w:val="BalloonText"/>
    <w:rsid w:val="00835997"/>
    <w:rPr>
      <w:rFonts w:ascii="Tahoma" w:hAnsi="Tahoma" w:cs="Tahoma"/>
      <w:snapToGrid w:val="0"/>
      <w:sz w:val="16"/>
      <w:szCs w:val="16"/>
      <w:lang w:val="en-GB"/>
    </w:rPr>
  </w:style>
  <w:style w:type="character" w:styleId="Hyperlink">
    <w:name w:val="Hyperlink"/>
    <w:basedOn w:val="DefaultParagraphFont"/>
    <w:uiPriority w:val="99"/>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Heading9Char">
    <w:name w:val="Heading 9 Char"/>
    <w:basedOn w:val="DefaultParagraphFont"/>
    <w:link w:val="Heading9"/>
    <w:semiHidden/>
    <w:rsid w:val="00DC2EAE"/>
    <w:rPr>
      <w:rFonts w:ascii="Arial" w:hAnsi="Arial" w:cs="Arial"/>
      <w:b/>
      <w:bCs/>
      <w:i/>
      <w:iCs/>
      <w:snapToGrid w:val="0"/>
      <w:sz w:val="18"/>
      <w:szCs w:val="18"/>
      <w:u w:val="single"/>
      <w:lang w:val="en-GB"/>
    </w:rPr>
  </w:style>
  <w:style w:type="character" w:styleId="PageNumber">
    <w:name w:val="page number"/>
    <w:basedOn w:val="DefaultParagraphFont"/>
    <w:rsid w:val="00DC2EAE"/>
  </w:style>
  <w:style w:type="paragraph" w:customStyle="1" w:styleId="Serre">
    <w:name w:val="Serre"/>
    <w:basedOn w:val="Normal"/>
    <w:rsid w:val="00DC2EAE"/>
    <w:pPr>
      <w:tabs>
        <w:tab w:val="clear" w:pos="567"/>
      </w:tabs>
      <w:suppressAutoHyphens/>
      <w:snapToGrid/>
      <w:jc w:val="both"/>
      <w:outlineLvl w:val="2"/>
    </w:pPr>
    <w:rPr>
      <w:rFonts w:ascii="Arial" w:eastAsia="PMingLiU" w:hAnsi="Arial"/>
      <w:snapToGrid/>
      <w:sz w:val="22"/>
      <w:szCs w:val="20"/>
      <w:lang w:eastAsia="fr-FR"/>
    </w:rPr>
  </w:style>
  <w:style w:type="paragraph" w:customStyle="1" w:styleId="COI">
    <w:name w:val="COI"/>
    <w:basedOn w:val="Marge"/>
    <w:link w:val="COIChar"/>
    <w:autoRedefine/>
    <w:rsid w:val="00DC2EAE"/>
    <w:pPr>
      <w:autoSpaceDE w:val="0"/>
      <w:autoSpaceDN w:val="0"/>
      <w:adjustRightInd w:val="0"/>
    </w:pPr>
    <w:rPr>
      <w:rFonts w:ascii="Arial" w:eastAsia="Arial Unicode MS" w:hAnsi="Arial" w:cs="Arial"/>
      <w:color w:val="000000"/>
      <w:sz w:val="22"/>
      <w:szCs w:val="22"/>
    </w:rPr>
  </w:style>
  <w:style w:type="paragraph" w:styleId="BlockText">
    <w:name w:val="Block Text"/>
    <w:basedOn w:val="Normal"/>
    <w:rsid w:val="00DC2EAE"/>
    <w:pPr>
      <w:tabs>
        <w:tab w:val="clear" w:pos="567"/>
      </w:tabs>
      <w:snapToGrid/>
      <w:ind w:left="360" w:right="540"/>
      <w:jc w:val="both"/>
    </w:pPr>
    <w:rPr>
      <w:rFonts w:ascii="Arial" w:eastAsia="PMingLiU" w:hAnsi="Arial"/>
      <w:i/>
      <w:iCs/>
      <w:snapToGrid/>
      <w:sz w:val="22"/>
      <w:lang w:val="en-US" w:eastAsia="en-US"/>
    </w:rPr>
  </w:style>
  <w:style w:type="paragraph" w:styleId="BodyText2">
    <w:name w:val="Body Text 2"/>
    <w:basedOn w:val="Normal"/>
    <w:link w:val="BodyText2Char"/>
    <w:rsid w:val="00DC2EAE"/>
    <w:pPr>
      <w:tabs>
        <w:tab w:val="clear" w:pos="567"/>
      </w:tabs>
      <w:snapToGrid/>
      <w:spacing w:before="100" w:beforeAutospacing="1" w:after="100" w:afterAutospacing="1" w:line="360" w:lineRule="auto"/>
    </w:pPr>
    <w:rPr>
      <w:rFonts w:ascii="Arial" w:eastAsia="MS Mincho" w:hAnsi="Arial" w:cs="Arial"/>
      <w:snapToGrid/>
      <w:color w:val="FF0000"/>
      <w:sz w:val="22"/>
      <w:lang w:val="en-US" w:eastAsia="ja-JP"/>
    </w:rPr>
  </w:style>
  <w:style w:type="character" w:customStyle="1" w:styleId="BodyText2Char">
    <w:name w:val="Body Text 2 Char"/>
    <w:basedOn w:val="DefaultParagraphFont"/>
    <w:link w:val="BodyText2"/>
    <w:rsid w:val="00DC2EAE"/>
    <w:rPr>
      <w:rFonts w:ascii="Arial" w:eastAsia="MS Mincho" w:hAnsi="Arial" w:cs="Arial"/>
      <w:color w:val="FF0000"/>
      <w:sz w:val="22"/>
      <w:szCs w:val="24"/>
      <w:lang w:val="en-US" w:eastAsia="ja-JP"/>
    </w:rPr>
  </w:style>
  <w:style w:type="paragraph" w:styleId="BodyTextIndent">
    <w:name w:val="Body Text Indent"/>
    <w:aliases w:val="Quotation"/>
    <w:basedOn w:val="Normal"/>
    <w:link w:val="BodyTextIndentChar"/>
    <w:rsid w:val="00DC2EAE"/>
    <w:pPr>
      <w:tabs>
        <w:tab w:val="clear" w:pos="567"/>
      </w:tabs>
      <w:snapToGrid/>
      <w:spacing w:before="120" w:after="100" w:afterAutospacing="1"/>
      <w:ind w:left="1134" w:right="1134"/>
      <w:jc w:val="both"/>
    </w:pPr>
    <w:rPr>
      <w:rFonts w:ascii="Arial" w:eastAsia="PMingLiU" w:hAnsi="Arial"/>
      <w:i/>
      <w:snapToGrid/>
      <w:sz w:val="22"/>
      <w:lang w:eastAsia="en-US"/>
    </w:rPr>
  </w:style>
  <w:style w:type="character" w:customStyle="1" w:styleId="BodyTextIndentChar">
    <w:name w:val="Body Text Indent Char"/>
    <w:aliases w:val="Quotation Char"/>
    <w:basedOn w:val="DefaultParagraphFont"/>
    <w:link w:val="BodyTextIndent"/>
    <w:rsid w:val="00DC2EAE"/>
    <w:rPr>
      <w:rFonts w:ascii="Arial" w:eastAsia="PMingLiU" w:hAnsi="Arial"/>
      <w:i/>
      <w:sz w:val="22"/>
      <w:szCs w:val="24"/>
      <w:lang w:val="en-GB" w:eastAsia="en-US"/>
    </w:rPr>
  </w:style>
  <w:style w:type="paragraph" w:customStyle="1" w:styleId="Docheading">
    <w:name w:val="Doc. heading"/>
    <w:basedOn w:val="Header"/>
    <w:rsid w:val="00DC2EAE"/>
    <w:pPr>
      <w:spacing w:after="480"/>
      <w:jc w:val="center"/>
    </w:pPr>
    <w:rPr>
      <w:rFonts w:ascii="Arial" w:eastAsia="PMingLiU" w:hAnsi="Arial" w:cs="Arial"/>
      <w:b/>
      <w:bCs/>
      <w:caps/>
    </w:rPr>
  </w:style>
  <w:style w:type="paragraph" w:styleId="BodyTextFirstIndent2">
    <w:name w:val="Body Text First Indent 2"/>
    <w:basedOn w:val="BodyTextIndent"/>
    <w:link w:val="BodyTextFirstIndent2Char"/>
    <w:rsid w:val="00DC2EAE"/>
    <w:pPr>
      <w:tabs>
        <w:tab w:val="left" w:pos="567"/>
      </w:tabs>
      <w:snapToGrid w:val="0"/>
      <w:spacing w:after="120"/>
      <w:ind w:left="283" w:firstLine="210"/>
      <w:jc w:val="left"/>
    </w:pPr>
    <w:rPr>
      <w:snapToGrid w:val="0"/>
    </w:rPr>
  </w:style>
  <w:style w:type="character" w:customStyle="1" w:styleId="BodyTextFirstIndent2Char">
    <w:name w:val="Body Text First Indent 2 Char"/>
    <w:basedOn w:val="BodyTextIndentChar"/>
    <w:link w:val="BodyTextFirstIndent2"/>
    <w:rsid w:val="00DC2EAE"/>
    <w:rPr>
      <w:rFonts w:ascii="Arial" w:eastAsia="PMingLiU" w:hAnsi="Arial"/>
      <w:i/>
      <w:snapToGrid w:val="0"/>
      <w:sz w:val="22"/>
      <w:szCs w:val="24"/>
      <w:lang w:val="en-GB" w:eastAsia="en-US"/>
    </w:rPr>
  </w:style>
  <w:style w:type="paragraph" w:customStyle="1" w:styleId="Listnumbered">
    <w:name w:val="List numbered"/>
    <w:basedOn w:val="ListBullet2"/>
    <w:autoRedefine/>
    <w:rsid w:val="00DC2EAE"/>
    <w:pPr>
      <w:numPr>
        <w:numId w:val="23"/>
      </w:numPr>
      <w:jc w:val="both"/>
    </w:pPr>
  </w:style>
  <w:style w:type="paragraph" w:customStyle="1" w:styleId="Style1">
    <w:name w:val="Style1"/>
    <w:basedOn w:val="Listnumbered"/>
    <w:autoRedefine/>
    <w:rsid w:val="00DC2EAE"/>
  </w:style>
  <w:style w:type="character" w:customStyle="1" w:styleId="ParChar">
    <w:name w:val="Par Char"/>
    <w:link w:val="Par"/>
    <w:rsid w:val="00DC2EAE"/>
    <w:rPr>
      <w:rFonts w:eastAsia="Times New Roman"/>
      <w:snapToGrid w:val="0"/>
      <w:sz w:val="24"/>
      <w:szCs w:val="24"/>
      <w:lang w:val="en-GB" w:eastAsia="en-US"/>
    </w:rPr>
  </w:style>
  <w:style w:type="paragraph" w:styleId="ListBullet2">
    <w:name w:val="List Bullet 2"/>
    <w:basedOn w:val="Normal"/>
    <w:rsid w:val="00DC2EAE"/>
    <w:pPr>
      <w:numPr>
        <w:numId w:val="24"/>
      </w:numPr>
      <w:spacing w:after="240"/>
    </w:pPr>
    <w:rPr>
      <w:rFonts w:ascii="Arial" w:eastAsia="PMingLiU" w:hAnsi="Arial"/>
      <w:sz w:val="22"/>
      <w:lang w:eastAsia="en-US"/>
    </w:rPr>
  </w:style>
  <w:style w:type="character" w:customStyle="1" w:styleId="MargeChar">
    <w:name w:val="Marge Char"/>
    <w:link w:val="Marge"/>
    <w:rsid w:val="00DC2EAE"/>
    <w:rPr>
      <w:rFonts w:eastAsia="Times New Roman"/>
      <w:snapToGrid w:val="0"/>
      <w:sz w:val="24"/>
      <w:szCs w:val="24"/>
      <w:lang w:val="en-GB" w:eastAsia="en-US"/>
    </w:rPr>
  </w:style>
  <w:style w:type="character" w:customStyle="1" w:styleId="COIChar">
    <w:name w:val="COI Char"/>
    <w:link w:val="COI"/>
    <w:rsid w:val="00DC2EAE"/>
    <w:rPr>
      <w:rFonts w:ascii="Arial" w:eastAsia="Arial Unicode MS" w:hAnsi="Arial" w:cs="Arial"/>
      <w:snapToGrid w:val="0"/>
      <w:color w:val="000000"/>
      <w:sz w:val="22"/>
      <w:szCs w:val="22"/>
      <w:lang w:val="en-GB" w:eastAsia="en-US"/>
    </w:rPr>
  </w:style>
  <w:style w:type="character" w:customStyle="1" w:styleId="Titre9Car1">
    <w:name w:val="Titre 9 Car1"/>
    <w:semiHidden/>
    <w:rsid w:val="00DC2EAE"/>
    <w:rPr>
      <w:rFonts w:ascii="Cambria" w:eastAsia="Times New Roman" w:hAnsi="Cambria" w:cs="Times New Roman"/>
      <w:snapToGrid w:val="0"/>
      <w:sz w:val="22"/>
      <w:szCs w:val="22"/>
      <w:lang w:val="en-GB" w:eastAsia="en-US"/>
    </w:rPr>
  </w:style>
  <w:style w:type="paragraph" w:customStyle="1" w:styleId="Paragrafoelenco1">
    <w:name w:val="Paragrafo elenco1"/>
    <w:basedOn w:val="Normal"/>
    <w:uiPriority w:val="99"/>
    <w:rsid w:val="00DC2EAE"/>
    <w:pPr>
      <w:tabs>
        <w:tab w:val="clear" w:pos="567"/>
      </w:tabs>
      <w:suppressAutoHyphens/>
      <w:snapToGrid/>
      <w:ind w:left="720"/>
      <w:contextualSpacing/>
    </w:pPr>
    <w:rPr>
      <w:rFonts w:eastAsia="Simsun (Founder Extended)"/>
      <w:snapToGrid/>
      <w:lang w:eastAsia="ar-SA"/>
    </w:rPr>
  </w:style>
  <w:style w:type="character" w:styleId="FollowedHyperlink">
    <w:name w:val="FollowedHyperlink"/>
    <w:rsid w:val="00DC2EAE"/>
    <w:rPr>
      <w:color w:val="800080"/>
      <w:u w:val="single"/>
    </w:rPr>
  </w:style>
  <w:style w:type="paragraph" w:styleId="EndnoteText">
    <w:name w:val="endnote text"/>
    <w:basedOn w:val="Normal"/>
    <w:link w:val="EndnoteTextChar"/>
    <w:rsid w:val="00DC2EAE"/>
    <w:rPr>
      <w:rFonts w:ascii="Arial" w:eastAsia="PMingLiU" w:hAnsi="Arial"/>
      <w:sz w:val="20"/>
      <w:szCs w:val="20"/>
      <w:lang w:eastAsia="en-US"/>
    </w:rPr>
  </w:style>
  <w:style w:type="character" w:customStyle="1" w:styleId="EndnoteTextChar">
    <w:name w:val="Endnote Text Char"/>
    <w:basedOn w:val="DefaultParagraphFont"/>
    <w:link w:val="EndnoteText"/>
    <w:rsid w:val="00DC2EAE"/>
    <w:rPr>
      <w:rFonts w:ascii="Arial" w:eastAsia="PMingLiU" w:hAnsi="Arial"/>
      <w:snapToGrid w:val="0"/>
      <w:lang w:val="en-GB" w:eastAsia="en-US"/>
    </w:rPr>
  </w:style>
  <w:style w:type="character" w:styleId="EndnoteReference">
    <w:name w:val="endnote reference"/>
    <w:rsid w:val="00DC2EAE"/>
    <w:rPr>
      <w:vertAlign w:val="superscript"/>
    </w:rPr>
  </w:style>
  <w:style w:type="character" w:customStyle="1" w:styleId="Heading3Char">
    <w:name w:val="Heading 3 Char"/>
    <w:link w:val="Heading3"/>
    <w:rsid w:val="00DC2EAE"/>
    <w:rPr>
      <w:rFonts w:eastAsia="Times New Roman"/>
      <w:b/>
      <w:bCs/>
      <w:snapToGrid w:val="0"/>
      <w:sz w:val="24"/>
      <w:szCs w:val="24"/>
      <w:lang w:val="en-GB" w:eastAsia="en-US"/>
    </w:rPr>
  </w:style>
  <w:style w:type="character" w:customStyle="1" w:styleId="FootnoteTextChar">
    <w:name w:val="Footnote Text Char"/>
    <w:link w:val="FootnoteText"/>
    <w:rsid w:val="00DC2EAE"/>
    <w:rPr>
      <w:rFonts w:eastAsia="Times New Roman"/>
      <w:snapToGrid w:val="0"/>
      <w:lang w:val="en-GB" w:eastAsia="en-US"/>
    </w:rPr>
  </w:style>
  <w:style w:type="character" w:customStyle="1" w:styleId="Heading1Char">
    <w:name w:val="Heading 1 Char"/>
    <w:link w:val="Heading1"/>
    <w:uiPriority w:val="9"/>
    <w:rsid w:val="00DC2EAE"/>
    <w:rPr>
      <w:rFonts w:eastAsia="Times New Roman"/>
      <w:b/>
      <w:bCs/>
      <w:snapToGrid w:val="0"/>
      <w:kern w:val="28"/>
      <w:sz w:val="24"/>
      <w:szCs w:val="24"/>
      <w:lang w:eastAsia="en-US"/>
    </w:rPr>
  </w:style>
  <w:style w:type="paragraph" w:customStyle="1" w:styleId="ParaCOI">
    <w:name w:val="Para COI"/>
    <w:basedOn w:val="COI"/>
    <w:link w:val="ParaCOICar"/>
    <w:qFormat/>
    <w:rsid w:val="00DC2EAE"/>
    <w:pPr>
      <w:numPr>
        <w:numId w:val="26"/>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DC2EAE"/>
    <w:rPr>
      <w:rFonts w:ascii="Arial" w:eastAsia="Times New Roman" w:hAnsi="Arial"/>
      <w:snapToGrid w:val="0"/>
      <w:sz w:val="22"/>
      <w:szCs w:val="22"/>
      <w:lang w:val="en-GB"/>
    </w:rPr>
  </w:style>
  <w:style w:type="character" w:customStyle="1" w:styleId="Heading2Char">
    <w:name w:val="Heading 2 Char"/>
    <w:link w:val="Heading2"/>
    <w:rsid w:val="00DC2EAE"/>
    <w:rPr>
      <w:rFonts w:eastAsia="Times New Roman"/>
      <w:b/>
      <w:bCs/>
      <w:caps/>
      <w:snapToGrid w:val="0"/>
      <w:sz w:val="24"/>
      <w:szCs w:val="24"/>
      <w:lang w:val="en-GB" w:eastAsia="en-US"/>
    </w:rPr>
  </w:style>
  <w:style w:type="character" w:customStyle="1" w:styleId="Heading4Char">
    <w:name w:val="Heading 4 Char"/>
    <w:link w:val="Heading4"/>
    <w:rsid w:val="00DC2EAE"/>
    <w:rPr>
      <w:rFonts w:eastAsia="Times New Roman"/>
      <w:b/>
      <w:bCs/>
      <w:snapToGrid w:val="0"/>
      <w:sz w:val="24"/>
      <w:szCs w:val="24"/>
      <w:lang w:val="en-GB" w:eastAsia="en-US"/>
    </w:rPr>
  </w:style>
  <w:style w:type="character" w:customStyle="1" w:styleId="Heading5Char">
    <w:name w:val="Heading 5 Char"/>
    <w:link w:val="Heading5"/>
    <w:rsid w:val="00DC2EAE"/>
    <w:rPr>
      <w:rFonts w:eastAsia="Times New Roman"/>
      <w:b/>
      <w:bCs/>
      <w:snapToGrid w:val="0"/>
      <w:sz w:val="24"/>
      <w:szCs w:val="24"/>
      <w:lang w:val="en-GB" w:eastAsia="en-US"/>
    </w:rPr>
  </w:style>
  <w:style w:type="character" w:customStyle="1" w:styleId="Heading6Char">
    <w:name w:val="Heading 6 Char"/>
    <w:link w:val="Heading6"/>
    <w:rsid w:val="00DC2EAE"/>
    <w:rPr>
      <w:rFonts w:eastAsia="Times New Roman"/>
      <w:b/>
      <w:iCs/>
      <w:snapToGrid w:val="0"/>
      <w:sz w:val="24"/>
      <w:szCs w:val="22"/>
      <w:lang w:val="en-GB" w:eastAsia="en-US"/>
    </w:rPr>
  </w:style>
  <w:style w:type="character" w:customStyle="1" w:styleId="FooterChar">
    <w:name w:val="Footer Char"/>
    <w:link w:val="Footer"/>
    <w:rsid w:val="00DC2EAE"/>
    <w:rPr>
      <w:rFonts w:eastAsia="Times New Roman"/>
      <w:snapToGrid w:val="0"/>
      <w:sz w:val="24"/>
      <w:szCs w:val="24"/>
      <w:lang w:eastAsia="en-US"/>
    </w:rPr>
  </w:style>
  <w:style w:type="paragraph" w:customStyle="1" w:styleId="decis">
    <w:name w:val="decis"/>
    <w:basedOn w:val="BodyText"/>
    <w:rsid w:val="00DC2EAE"/>
    <w:pPr>
      <w:numPr>
        <w:numId w:val="27"/>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DC2EAE"/>
    <w:pPr>
      <w:spacing w:after="120"/>
    </w:pPr>
    <w:rPr>
      <w:rFonts w:ascii="Arial" w:eastAsia="PMingLiU" w:hAnsi="Arial"/>
      <w:sz w:val="22"/>
      <w:lang w:eastAsia="en-US"/>
    </w:rPr>
  </w:style>
  <w:style w:type="character" w:customStyle="1" w:styleId="BodyTextChar">
    <w:name w:val="Body Text Char"/>
    <w:basedOn w:val="DefaultParagraphFont"/>
    <w:link w:val="BodyText"/>
    <w:rsid w:val="00DC2EAE"/>
    <w:rPr>
      <w:rFonts w:ascii="Arial" w:eastAsia="PMingLiU" w:hAnsi="Arial"/>
      <w:snapToGrid w:val="0"/>
      <w:sz w:val="22"/>
      <w:szCs w:val="24"/>
      <w:lang w:val="en-GB" w:eastAsia="en-US"/>
    </w:rPr>
  </w:style>
  <w:style w:type="paragraph" w:styleId="Revision">
    <w:name w:val="Revision"/>
    <w:hidden/>
    <w:uiPriority w:val="99"/>
    <w:semiHidden/>
    <w:rsid w:val="00DC2EAE"/>
    <w:rPr>
      <w:rFonts w:ascii="Arial" w:eastAsia="PMingLiU" w:hAnsi="Arial"/>
      <w:snapToGrid w:val="0"/>
      <w:sz w:val="22"/>
      <w:szCs w:val="24"/>
      <w:lang w:val="en-GB" w:eastAsia="en-US"/>
    </w:rPr>
  </w:style>
  <w:style w:type="character" w:customStyle="1" w:styleId="UnresolvedMention2">
    <w:name w:val="Unresolved Mention2"/>
    <w:basedOn w:val="DefaultParagraphFont"/>
    <w:uiPriority w:val="99"/>
    <w:semiHidden/>
    <w:unhideWhenUsed/>
    <w:rsid w:val="00B84320"/>
    <w:rPr>
      <w:color w:val="605E5C"/>
      <w:shd w:val="clear" w:color="auto" w:fill="E1DFDD"/>
    </w:rPr>
  </w:style>
  <w:style w:type="paragraph" w:customStyle="1" w:styleId="Style2">
    <w:name w:val="Style2"/>
    <w:basedOn w:val="Normal"/>
    <w:link w:val="Style2Car"/>
    <w:qFormat/>
    <w:rsid w:val="006B18B7"/>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6B18B7"/>
    <w:rPr>
      <w:rFonts w:ascii="Arial" w:eastAsia="Times New Roman" w:hAnsi="Arial"/>
      <w:iCs/>
      <w:snapToGrid w:val="0"/>
      <w:sz w:val="22"/>
      <w:szCs w:val="22"/>
      <w:shd w:val="clear" w:color="auto" w:fill="FFFFFF"/>
      <w:lang w:val="en-GB" w:eastAsia="en-US"/>
    </w:rPr>
  </w:style>
  <w:style w:type="character" w:customStyle="1" w:styleId="UnresolvedMention3">
    <w:name w:val="Unresolved Mention3"/>
    <w:basedOn w:val="DefaultParagraphFont"/>
    <w:uiPriority w:val="99"/>
    <w:semiHidden/>
    <w:unhideWhenUsed/>
    <w:rsid w:val="00BC03E1"/>
    <w:rPr>
      <w:color w:val="605E5C"/>
      <w:shd w:val="clear" w:color="auto" w:fill="E1DFDD"/>
    </w:rPr>
  </w:style>
  <w:style w:type="paragraph" w:styleId="NormalWeb">
    <w:name w:val="Normal (Web)"/>
    <w:basedOn w:val="Normal"/>
    <w:uiPriority w:val="99"/>
    <w:unhideWhenUsed/>
    <w:rsid w:val="00E239F0"/>
    <w:pPr>
      <w:tabs>
        <w:tab w:val="clear" w:pos="567"/>
      </w:tabs>
      <w:snapToGrid/>
    </w:pPr>
    <w:rPr>
      <w:rFonts w:eastAsiaTheme="minorHAnsi"/>
      <w:snapToGrid/>
      <w:lang w:val="fr-FR" w:eastAsia="fr-FR"/>
    </w:rPr>
  </w:style>
  <w:style w:type="character" w:styleId="UnresolvedMention">
    <w:name w:val="Unresolved Mention"/>
    <w:basedOn w:val="DefaultParagraphFont"/>
    <w:uiPriority w:val="99"/>
    <w:semiHidden/>
    <w:unhideWhenUsed/>
    <w:rsid w:val="004A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77819489">
      <w:bodyDiv w:val="1"/>
      <w:marLeft w:val="0"/>
      <w:marRight w:val="0"/>
      <w:marTop w:val="0"/>
      <w:marBottom w:val="0"/>
      <w:divBdr>
        <w:top w:val="none" w:sz="0" w:space="0" w:color="auto"/>
        <w:left w:val="none" w:sz="0" w:space="0" w:color="auto"/>
        <w:bottom w:val="none" w:sz="0" w:space="0" w:color="auto"/>
        <w:right w:val="none" w:sz="0" w:space="0" w:color="auto"/>
      </w:divBdr>
    </w:div>
    <w:div w:id="245071447">
      <w:bodyDiv w:val="1"/>
      <w:marLeft w:val="0"/>
      <w:marRight w:val="0"/>
      <w:marTop w:val="0"/>
      <w:marBottom w:val="0"/>
      <w:divBdr>
        <w:top w:val="none" w:sz="0" w:space="0" w:color="auto"/>
        <w:left w:val="none" w:sz="0" w:space="0" w:color="auto"/>
        <w:bottom w:val="none" w:sz="0" w:space="0" w:color="auto"/>
        <w:right w:val="none" w:sz="0" w:space="0" w:color="auto"/>
      </w:divBdr>
    </w:div>
    <w:div w:id="393427644">
      <w:bodyDiv w:val="1"/>
      <w:marLeft w:val="0"/>
      <w:marRight w:val="0"/>
      <w:marTop w:val="0"/>
      <w:marBottom w:val="0"/>
      <w:divBdr>
        <w:top w:val="none" w:sz="0" w:space="0" w:color="auto"/>
        <w:left w:val="none" w:sz="0" w:space="0" w:color="auto"/>
        <w:bottom w:val="none" w:sz="0" w:space="0" w:color="auto"/>
        <w:right w:val="none" w:sz="0" w:space="0" w:color="auto"/>
      </w:divBdr>
    </w:div>
    <w:div w:id="399210852">
      <w:bodyDiv w:val="1"/>
      <w:marLeft w:val="0"/>
      <w:marRight w:val="0"/>
      <w:marTop w:val="0"/>
      <w:marBottom w:val="0"/>
      <w:divBdr>
        <w:top w:val="none" w:sz="0" w:space="0" w:color="auto"/>
        <w:left w:val="none" w:sz="0" w:space="0" w:color="auto"/>
        <w:bottom w:val="none" w:sz="0" w:space="0" w:color="auto"/>
        <w:right w:val="none" w:sz="0" w:space="0" w:color="auto"/>
      </w:divBdr>
    </w:div>
    <w:div w:id="490021289">
      <w:bodyDiv w:val="1"/>
      <w:marLeft w:val="0"/>
      <w:marRight w:val="0"/>
      <w:marTop w:val="0"/>
      <w:marBottom w:val="0"/>
      <w:divBdr>
        <w:top w:val="none" w:sz="0" w:space="0" w:color="auto"/>
        <w:left w:val="none" w:sz="0" w:space="0" w:color="auto"/>
        <w:bottom w:val="none" w:sz="0" w:space="0" w:color="auto"/>
        <w:right w:val="none" w:sz="0" w:space="0" w:color="auto"/>
      </w:divBdr>
    </w:div>
    <w:div w:id="551623716">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32330723">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187793996">
      <w:bodyDiv w:val="1"/>
      <w:marLeft w:val="0"/>
      <w:marRight w:val="0"/>
      <w:marTop w:val="0"/>
      <w:marBottom w:val="0"/>
      <w:divBdr>
        <w:top w:val="none" w:sz="0" w:space="0" w:color="auto"/>
        <w:left w:val="none" w:sz="0" w:space="0" w:color="auto"/>
        <w:bottom w:val="none" w:sz="0" w:space="0" w:color="auto"/>
        <w:right w:val="none" w:sz="0" w:space="0" w:color="auto"/>
      </w:divBdr>
    </w:div>
    <w:div w:id="1380085541">
      <w:bodyDiv w:val="1"/>
      <w:marLeft w:val="0"/>
      <w:marRight w:val="0"/>
      <w:marTop w:val="0"/>
      <w:marBottom w:val="0"/>
      <w:divBdr>
        <w:top w:val="none" w:sz="0" w:space="0" w:color="auto"/>
        <w:left w:val="none" w:sz="0" w:space="0" w:color="auto"/>
        <w:bottom w:val="none" w:sz="0" w:space="0" w:color="auto"/>
        <w:right w:val="none" w:sz="0" w:space="0" w:color="auto"/>
      </w:divBdr>
    </w:div>
    <w:div w:id="1398743887">
      <w:bodyDiv w:val="1"/>
      <w:marLeft w:val="0"/>
      <w:marRight w:val="0"/>
      <w:marTop w:val="0"/>
      <w:marBottom w:val="0"/>
      <w:divBdr>
        <w:top w:val="none" w:sz="0" w:space="0" w:color="auto"/>
        <w:left w:val="none" w:sz="0" w:space="0" w:color="auto"/>
        <w:bottom w:val="none" w:sz="0" w:space="0" w:color="auto"/>
        <w:right w:val="none" w:sz="0" w:space="0" w:color="auto"/>
      </w:divBdr>
    </w:div>
    <w:div w:id="1572349574">
      <w:bodyDiv w:val="1"/>
      <w:marLeft w:val="0"/>
      <w:marRight w:val="0"/>
      <w:marTop w:val="0"/>
      <w:marBottom w:val="0"/>
      <w:divBdr>
        <w:top w:val="none" w:sz="0" w:space="0" w:color="auto"/>
        <w:left w:val="none" w:sz="0" w:space="0" w:color="auto"/>
        <w:bottom w:val="none" w:sz="0" w:space="0" w:color="auto"/>
        <w:right w:val="none" w:sz="0" w:space="0" w:color="auto"/>
      </w:divBdr>
    </w:div>
    <w:div w:id="1576934209">
      <w:bodyDiv w:val="1"/>
      <w:marLeft w:val="0"/>
      <w:marRight w:val="0"/>
      <w:marTop w:val="0"/>
      <w:marBottom w:val="0"/>
      <w:divBdr>
        <w:top w:val="none" w:sz="0" w:space="0" w:color="auto"/>
        <w:left w:val="none" w:sz="0" w:space="0" w:color="auto"/>
        <w:bottom w:val="none" w:sz="0" w:space="0" w:color="auto"/>
        <w:right w:val="none" w:sz="0" w:space="0" w:color="auto"/>
      </w:divBdr>
    </w:div>
    <w:div w:id="1737319481">
      <w:bodyDiv w:val="1"/>
      <w:marLeft w:val="0"/>
      <w:marRight w:val="0"/>
      <w:marTop w:val="0"/>
      <w:marBottom w:val="0"/>
      <w:divBdr>
        <w:top w:val="none" w:sz="0" w:space="0" w:color="auto"/>
        <w:left w:val="none" w:sz="0" w:space="0" w:color="auto"/>
        <w:bottom w:val="none" w:sz="0" w:space="0" w:color="auto"/>
        <w:right w:val="none" w:sz="0" w:space="0" w:color="auto"/>
      </w:divBdr>
    </w:div>
    <w:div w:id="1776905825">
      <w:bodyDiv w:val="1"/>
      <w:marLeft w:val="0"/>
      <w:marRight w:val="0"/>
      <w:marTop w:val="0"/>
      <w:marBottom w:val="0"/>
      <w:divBdr>
        <w:top w:val="none" w:sz="0" w:space="0" w:color="auto"/>
        <w:left w:val="none" w:sz="0" w:space="0" w:color="auto"/>
        <w:bottom w:val="none" w:sz="0" w:space="0" w:color="auto"/>
        <w:right w:val="none" w:sz="0" w:space="0" w:color="auto"/>
      </w:divBdr>
    </w:div>
    <w:div w:id="1791361344">
      <w:bodyDiv w:val="1"/>
      <w:marLeft w:val="0"/>
      <w:marRight w:val="0"/>
      <w:marTop w:val="0"/>
      <w:marBottom w:val="0"/>
      <w:divBdr>
        <w:top w:val="none" w:sz="0" w:space="0" w:color="auto"/>
        <w:left w:val="none" w:sz="0" w:space="0" w:color="auto"/>
        <w:bottom w:val="none" w:sz="0" w:space="0" w:color="auto"/>
        <w:right w:val="none" w:sz="0" w:space="0" w:color="auto"/>
      </w:divBdr>
    </w:div>
    <w:div w:id="1818258248">
      <w:bodyDiv w:val="1"/>
      <w:marLeft w:val="0"/>
      <w:marRight w:val="0"/>
      <w:marTop w:val="0"/>
      <w:marBottom w:val="0"/>
      <w:divBdr>
        <w:top w:val="none" w:sz="0" w:space="0" w:color="auto"/>
        <w:left w:val="none" w:sz="0" w:space="0" w:color="auto"/>
        <w:bottom w:val="none" w:sz="0" w:space="0" w:color="auto"/>
        <w:right w:val="none" w:sz="0" w:space="0" w:color="auto"/>
      </w:divBdr>
    </w:div>
    <w:div w:id="19459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83596.locale=fr" TargetMode="External"/><Relationship Id="rId13" Type="http://schemas.openxmlformats.org/officeDocument/2006/relationships/hyperlink" Target="https://oceanexpert.org/document/32633" TargetMode="External"/><Relationship Id="rId18" Type="http://schemas.openxmlformats.org/officeDocument/2006/relationships/hyperlink" Target="https://oceanexpert.org/document/31196"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ceanexpert.org/document/32542" TargetMode="External"/><Relationship Id="rId17" Type="http://schemas.openxmlformats.org/officeDocument/2006/relationships/hyperlink" Target="mailto:k.yvinec@unesco.org" TargetMode="External"/><Relationship Id="rId2" Type="http://schemas.openxmlformats.org/officeDocument/2006/relationships/numbering" Target="numbering.xml"/><Relationship Id="rId16" Type="http://schemas.openxmlformats.org/officeDocument/2006/relationships/hyperlink" Target="mailto:v.ryabinin@unesc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2568" TargetMode="External"/><Relationship Id="rId5" Type="http://schemas.openxmlformats.org/officeDocument/2006/relationships/webSettings" Target="webSettings.xml"/><Relationship Id="rId15" Type="http://schemas.openxmlformats.org/officeDocument/2006/relationships/hyperlink" Target="https://oceanexpert.org/document/32209" TargetMode="External"/><Relationship Id="rId23" Type="http://schemas.openxmlformats.org/officeDocument/2006/relationships/theme" Target="theme/theme1.xml"/><Relationship Id="rId10" Type="http://schemas.openxmlformats.org/officeDocument/2006/relationships/hyperlink" Target="https://oceanexpert.org/document/3265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anexpert.org/document/31035" TargetMode="External"/><Relationship Id="rId14" Type="http://schemas.openxmlformats.org/officeDocument/2006/relationships/hyperlink" Target="https://unesdoc.unesco.org/ark:/48223/pf0000385186_eng.locale=fr"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C259-D7DA-4721-B8E2-AB4E418B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1771</Words>
  <Characters>9903</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2022-05-23T16:06:00Z</cp:lastPrinted>
  <dcterms:created xsi:type="dcterms:W3CDTF">2023-06-20T10:27:00Z</dcterms:created>
  <dcterms:modified xsi:type="dcterms:W3CDTF">2023-06-20T10:28:00Z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