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4C11B1" w:rsidRDefault="00EB3895" w:rsidP="00EB3895">
      <w:pPr>
        <w:pStyle w:val="Heading1"/>
        <w:spacing w:before="480"/>
        <w:jc w:val="left"/>
      </w:pPr>
    </w:p>
    <w:p w14:paraId="748272EF" w14:textId="435004E9" w:rsidR="00EB3895" w:rsidRPr="004C11B1" w:rsidRDefault="00EB3895" w:rsidP="00EB3895">
      <w:pPr>
        <w:pStyle w:val="Heading1"/>
        <w:spacing w:before="1800" w:after="0"/>
      </w:pPr>
      <w:r w:rsidRPr="004C11B1">
        <w:t xml:space="preserve">COMMISSION OCÉANOGRAPHIQUE </w:t>
      </w:r>
      <w:r w:rsidR="00DA71B9" w:rsidRPr="004C11B1">
        <w:t>I</w:t>
      </w:r>
      <w:r w:rsidRPr="004C11B1">
        <w:t>NTERGOUVERNEMENTALE</w:t>
      </w:r>
    </w:p>
    <w:p w14:paraId="0F1DC779" w14:textId="4A41EBC0" w:rsidR="00EB3895" w:rsidRPr="004C11B1" w:rsidRDefault="00EB3895" w:rsidP="00EB3895">
      <w:pPr>
        <w:jc w:val="center"/>
        <w:rPr>
          <w:bCs/>
        </w:rPr>
      </w:pPr>
      <w:r w:rsidRPr="004C11B1">
        <w:rPr>
          <w:bCs/>
        </w:rPr>
        <w:t>(</w:t>
      </w:r>
      <w:proofErr w:type="gramStart"/>
      <w:r w:rsidRPr="004C11B1">
        <w:rPr>
          <w:bCs/>
        </w:rPr>
        <w:t>de</w:t>
      </w:r>
      <w:proofErr w:type="gramEnd"/>
      <w:r w:rsidRPr="004C11B1">
        <w:rPr>
          <w:bCs/>
        </w:rPr>
        <w:t xml:space="preserve"> l</w:t>
      </w:r>
      <w:r w:rsidR="001D7C9B">
        <w:rPr>
          <w:bCs/>
        </w:rPr>
        <w:t>’</w:t>
      </w:r>
      <w:r w:rsidRPr="004C11B1">
        <w:rPr>
          <w:bCs/>
        </w:rPr>
        <w:t>UNESCO)</w:t>
      </w:r>
    </w:p>
    <w:p w14:paraId="5B0D4193" w14:textId="748153FF" w:rsidR="00EB3895" w:rsidRPr="004C11B1" w:rsidRDefault="000723F0" w:rsidP="00EB3895">
      <w:pPr>
        <w:spacing w:before="240"/>
        <w:jc w:val="center"/>
        <w:rPr>
          <w:b/>
        </w:rPr>
      </w:pPr>
      <w:r w:rsidRPr="004C11B1">
        <w:rPr>
          <w:b/>
        </w:rPr>
        <w:t>Trente-deuxi</w:t>
      </w:r>
      <w:r w:rsidR="00EB3895" w:rsidRPr="004C11B1">
        <w:rPr>
          <w:b/>
        </w:rPr>
        <w:t xml:space="preserve">ème session </w:t>
      </w:r>
      <w:r w:rsidRPr="004C11B1">
        <w:rPr>
          <w:b/>
        </w:rPr>
        <w:t>de l</w:t>
      </w:r>
      <w:r w:rsidR="001D7C9B">
        <w:rPr>
          <w:b/>
        </w:rPr>
        <w:t>’</w:t>
      </w:r>
      <w:r w:rsidRPr="004C11B1">
        <w:rPr>
          <w:b/>
        </w:rPr>
        <w:t>Assemblée</w:t>
      </w:r>
      <w:r w:rsidR="00EB3895" w:rsidRPr="004C11B1">
        <w:rPr>
          <w:b/>
        </w:rPr>
        <w:br/>
      </w:r>
      <w:r w:rsidR="00EB3895" w:rsidRPr="004C11B1">
        <w:rPr>
          <w:bCs/>
        </w:rPr>
        <w:t xml:space="preserve">UNESCO, Paris, </w:t>
      </w:r>
      <w:r w:rsidRPr="004C11B1">
        <w:rPr>
          <w:bCs/>
        </w:rPr>
        <w:t>21-30</w:t>
      </w:r>
      <w:r w:rsidR="00421E71" w:rsidRPr="004C11B1">
        <w:rPr>
          <w:bCs/>
        </w:rPr>
        <w:t> </w:t>
      </w:r>
      <w:r w:rsidR="00EB3895" w:rsidRPr="004C11B1">
        <w:rPr>
          <w:bCs/>
        </w:rPr>
        <w:t>juin 202</w:t>
      </w:r>
      <w:r w:rsidRPr="004C11B1">
        <w:rPr>
          <w:bCs/>
        </w:rPr>
        <w:t>3</w:t>
      </w:r>
    </w:p>
    <w:p w14:paraId="607D1C93" w14:textId="78ED23A5" w:rsidR="00EB3895" w:rsidRPr="004C11B1" w:rsidRDefault="005C7D01" w:rsidP="00C67716">
      <w:pPr>
        <w:pStyle w:val="Heading1"/>
        <w:spacing w:before="480" w:after="600"/>
        <w:jc w:val="left"/>
        <w:rPr>
          <w:rFonts w:cs="Arial"/>
          <w:b w:val="0"/>
          <w:bCs w:val="0"/>
          <w:u w:val="single"/>
        </w:rPr>
      </w:pPr>
      <w:r w:rsidRPr="004C11B1">
        <w:rPr>
          <w:rFonts w:cs="Arial"/>
          <w:b w:val="0"/>
          <w:bCs w:val="0"/>
          <w:u w:val="single"/>
        </w:rPr>
        <w:t>Points</w:t>
      </w:r>
      <w:r w:rsidR="00421E71" w:rsidRPr="004C11B1">
        <w:rPr>
          <w:rFonts w:cs="Arial"/>
          <w:b w:val="0"/>
          <w:bCs w:val="0"/>
          <w:u w:val="single"/>
        </w:rPr>
        <w:t> </w:t>
      </w:r>
      <w:r w:rsidR="00FE2FC1">
        <w:rPr>
          <w:rFonts w:cs="Arial"/>
          <w:u w:val="single"/>
        </w:rPr>
        <w:t>6.1, 6.2</w:t>
      </w:r>
      <w:r w:rsidR="00FE2FC1" w:rsidRPr="00250A51">
        <w:rPr>
          <w:rFonts w:cs="Arial"/>
          <w:b w:val="0"/>
          <w:bCs w:val="0"/>
          <w:u w:val="single"/>
        </w:rPr>
        <w:t xml:space="preserve"> et </w:t>
      </w:r>
      <w:r w:rsidR="00FE2FC1" w:rsidRPr="00250A51">
        <w:rPr>
          <w:rFonts w:cs="Arial"/>
          <w:u w:val="single"/>
        </w:rPr>
        <w:t>6</w:t>
      </w:r>
      <w:r w:rsidR="00FE2FC1">
        <w:rPr>
          <w:rFonts w:cs="Arial"/>
          <w:u w:val="single"/>
        </w:rPr>
        <w:t>.3</w:t>
      </w:r>
      <w:r w:rsidRPr="004C11B1">
        <w:rPr>
          <w:rFonts w:cs="Arial"/>
          <w:b w:val="0"/>
          <w:bCs w:val="0"/>
          <w:u w:val="single"/>
        </w:rPr>
        <w:t xml:space="preserve"> de l</w:t>
      </w:r>
      <w:r w:rsidR="001D7C9B">
        <w:rPr>
          <w:rFonts w:cs="Arial"/>
          <w:b w:val="0"/>
          <w:bCs w:val="0"/>
          <w:u w:val="single"/>
        </w:rPr>
        <w:t>’</w:t>
      </w:r>
      <w:r w:rsidRPr="004C11B1">
        <w:rPr>
          <w:rFonts w:cs="Arial"/>
          <w:b w:val="0"/>
          <w:bCs w:val="0"/>
          <w:u w:val="single"/>
        </w:rPr>
        <w:t>ordre du jour provisoire</w:t>
      </w:r>
    </w:p>
    <w:p w14:paraId="6B7E0A55" w14:textId="1431CA70" w:rsidR="001D7C9B" w:rsidRDefault="001D7C9B" w:rsidP="001D7C9B">
      <w:pPr>
        <w:pStyle w:val="Heading1"/>
      </w:pPr>
      <w:r w:rsidRPr="001D7C9B">
        <w:t xml:space="preserve">RAPPORT DU PRÉSIDENT </w:t>
      </w:r>
      <w:r>
        <w:br/>
      </w:r>
      <w:r w:rsidRPr="001D7C9B">
        <w:rPr>
          <w:rFonts w:eastAsia="SimSun"/>
        </w:rPr>
        <w:t>DU GROUPE CONSULTATIF FINANCIER INTERSESSIONS</w:t>
      </w:r>
      <w:r>
        <w:t xml:space="preserve"> </w:t>
      </w:r>
    </w:p>
    <w:p w14:paraId="4725E251" w14:textId="77777777" w:rsidR="001D7C9B" w:rsidRPr="001D7C9B" w:rsidRDefault="001D7C9B" w:rsidP="001D7C9B">
      <w:pPr>
        <w:pStyle w:val="Heading1"/>
        <w:spacing w:after="480"/>
      </w:pPr>
      <w:r w:rsidRPr="001D7C9B">
        <w:t>(</w:t>
      </w:r>
      <w:proofErr w:type="gramStart"/>
      <w:r w:rsidRPr="001D7C9B">
        <w:t>période</w:t>
      </w:r>
      <w:proofErr w:type="gramEnd"/>
      <w:r w:rsidRPr="001D7C9B">
        <w:t xml:space="preserve"> intersessions de décembre 2022 à juin 2023)</w:t>
      </w:r>
    </w:p>
    <w:tbl>
      <w:tblPr>
        <w:tblStyle w:val="TableGrid"/>
        <w:tblW w:w="0" w:type="auto"/>
        <w:jc w:val="center"/>
        <w:tblLook w:val="04A0" w:firstRow="1" w:lastRow="0" w:firstColumn="1" w:lastColumn="0" w:noHBand="0" w:noVBand="1"/>
      </w:tblPr>
      <w:tblGrid>
        <w:gridCol w:w="6658"/>
      </w:tblGrid>
      <w:tr w:rsidR="005C7D01" w:rsidRPr="004C11B1" w14:paraId="1A94C8A9" w14:textId="77777777" w:rsidTr="009E3159">
        <w:trPr>
          <w:jc w:val="center"/>
        </w:trPr>
        <w:tc>
          <w:tcPr>
            <w:tcW w:w="6658" w:type="dxa"/>
          </w:tcPr>
          <w:p w14:paraId="1FD6FF16" w14:textId="77777777" w:rsidR="005C7D01" w:rsidRPr="001D7C9B" w:rsidRDefault="005C7D01" w:rsidP="00BC0383">
            <w:pPr>
              <w:spacing w:before="120" w:after="240"/>
              <w:jc w:val="center"/>
              <w:rPr>
                <w:rFonts w:eastAsia="Times New Roman" w:cs="Arial"/>
                <w:szCs w:val="22"/>
                <w:u w:val="single"/>
                <w:lang w:eastAsia="en-US"/>
              </w:rPr>
            </w:pPr>
            <w:r w:rsidRPr="001D7C9B">
              <w:rPr>
                <w:rFonts w:eastAsia="Times New Roman" w:cs="Arial"/>
                <w:szCs w:val="22"/>
                <w:u w:val="single"/>
                <w:lang w:eastAsia="en-US"/>
              </w:rPr>
              <w:t>Résumé</w:t>
            </w:r>
          </w:p>
          <w:p w14:paraId="352F43F4" w14:textId="4B76DB52" w:rsidR="00263FAE" w:rsidRPr="004C11B1" w:rsidRDefault="001D7C9B" w:rsidP="009E3159">
            <w:pPr>
              <w:spacing w:after="240"/>
              <w:ind w:left="171" w:right="180"/>
              <w:jc w:val="both"/>
              <w:rPr>
                <w:rFonts w:cs="Arial"/>
                <w:color w:val="000000"/>
                <w:sz w:val="20"/>
                <w:szCs w:val="20"/>
              </w:rPr>
            </w:pPr>
            <w:r w:rsidRPr="001D7C9B">
              <w:t>Le présent document contient un bref rapport du Président du Groupe consultatif financier intersessions (IFAG) sur le travail accompli durant la période intersessions de décembre 2022 à juin</w:t>
            </w:r>
            <w:r w:rsidR="009E3159">
              <w:t> </w:t>
            </w:r>
            <w:r w:rsidRPr="001D7C9B">
              <w:t>2023</w:t>
            </w:r>
            <w:r w:rsidR="00263FAE" w:rsidRPr="004C11B1">
              <w:t xml:space="preserve">. </w:t>
            </w:r>
          </w:p>
          <w:p w14:paraId="60C2571C" w14:textId="1CEF7622" w:rsidR="005C7D01" w:rsidRPr="004C11B1" w:rsidRDefault="00263FAE" w:rsidP="009E3159">
            <w:pPr>
              <w:spacing w:after="240"/>
              <w:ind w:left="171" w:right="180"/>
              <w:jc w:val="both"/>
              <w:rPr>
                <w:rFonts w:eastAsia="Times New Roman" w:cs="Arial"/>
                <w:szCs w:val="22"/>
                <w:lang w:eastAsia="en-US"/>
              </w:rPr>
            </w:pPr>
            <w:r w:rsidRPr="004C11B1">
              <w:rPr>
                <w:u w:val="single"/>
              </w:rPr>
              <w:t>Décision proposée</w:t>
            </w:r>
            <w:r w:rsidR="000A746F" w:rsidRPr="004C11B1">
              <w:t> </w:t>
            </w:r>
            <w:r w:rsidRPr="004C11B1">
              <w:t xml:space="preserve">: </w:t>
            </w:r>
            <w:r w:rsidR="001D7C9B" w:rsidRPr="001D7C9B">
              <w:t>présentée sous la cote Déc.</w:t>
            </w:r>
            <w:r w:rsidR="009E3159">
              <w:t> A</w:t>
            </w:r>
            <w:r w:rsidR="009E3159">
              <w:noBreakHyphen/>
            </w:r>
            <w:r w:rsidR="001D7C9B" w:rsidRPr="001D7C9B">
              <w:t>32/6.2 dans</w:t>
            </w:r>
            <w:r w:rsidR="00094578">
              <w:t> </w:t>
            </w:r>
            <w:r w:rsidR="001D7C9B" w:rsidRPr="001D7C9B">
              <w:t>le Document provisoire relatif aux décision</w:t>
            </w:r>
            <w:r w:rsidR="009E3159">
              <w:t>s</w:t>
            </w:r>
            <w:r w:rsidR="001D7C9B" w:rsidRPr="001D7C9B">
              <w:t xml:space="preserve"> à adopter (document</w:t>
            </w:r>
            <w:r w:rsidR="00094578">
              <w:t xml:space="preserve"> </w:t>
            </w:r>
            <w:r w:rsidR="001D7C9B" w:rsidRPr="00E57F87">
              <w:t>IOC/A</w:t>
            </w:r>
            <w:r w:rsidR="009E3159" w:rsidRPr="00E57F87">
              <w:noBreakHyphen/>
            </w:r>
            <w:r w:rsidR="001D7C9B" w:rsidRPr="00E57F87">
              <w:t>32/AP Prov.</w:t>
            </w:r>
            <w:r w:rsidR="009E3159" w:rsidRPr="00E57F87">
              <w:t> </w:t>
            </w:r>
            <w:r w:rsidR="001D7C9B" w:rsidRPr="001D7C9B">
              <w:rPr>
                <w:lang w:val="en-GB"/>
              </w:rPr>
              <w:t>Rev.).</w:t>
            </w:r>
          </w:p>
        </w:tc>
      </w:tr>
    </w:tbl>
    <w:p w14:paraId="28A7702B" w14:textId="77777777" w:rsidR="005C7D01" w:rsidRPr="004C11B1" w:rsidRDefault="005C7D01" w:rsidP="00B2519D">
      <w:pPr>
        <w:spacing w:after="240"/>
        <w:rPr>
          <w:rFonts w:eastAsia="Times New Roman" w:cs="Arial"/>
          <w:b/>
          <w:bCs/>
          <w:szCs w:val="22"/>
          <w:lang w:eastAsia="en-US"/>
        </w:rPr>
        <w:sectPr w:rsidR="005C7D01" w:rsidRPr="004C11B1"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5EE47EB1" w14:textId="24C6B13F" w:rsidR="001D7C9B" w:rsidRPr="001D7C9B" w:rsidRDefault="001D7C9B" w:rsidP="001D7C9B">
      <w:pPr>
        <w:pStyle w:val="Marge"/>
      </w:pPr>
      <w:r w:rsidRPr="001D7C9B">
        <w:lastRenderedPageBreak/>
        <w:t>1.</w:t>
      </w:r>
      <w:r>
        <w:tab/>
      </w:r>
      <w:r w:rsidRPr="001D7C9B">
        <w:t xml:space="preserve">En application de la </w:t>
      </w:r>
      <w:hyperlink r:id="rId11" w:history="1">
        <w:r w:rsidRPr="001D7C9B">
          <w:rPr>
            <w:color w:val="0000FF"/>
            <w:u w:val="single"/>
          </w:rPr>
          <w:t>résolution EC-55/2</w:t>
        </w:r>
      </w:hyperlink>
      <w:r w:rsidRPr="001D7C9B">
        <w:t>, le Groupe consultatif financier intersessions à composition non limitée (IFAG) a été reconstitué à l</w:t>
      </w:r>
      <w:r>
        <w:t>’</w:t>
      </w:r>
      <w:r w:rsidRPr="001D7C9B">
        <w:t>issue d</w:t>
      </w:r>
      <w:r>
        <w:t>’</w:t>
      </w:r>
      <w:r w:rsidRPr="001D7C9B">
        <w:t xml:space="preserve">un appel à candidatures adressé aux États membres dans la Lettre circulaire </w:t>
      </w:r>
      <w:hyperlink r:id="rId12" w:history="1">
        <w:r w:rsidRPr="001D7C9B">
          <w:rPr>
            <w:color w:val="0000FF"/>
            <w:u w:val="single"/>
          </w:rPr>
          <w:t>2915</w:t>
        </w:r>
      </w:hyperlink>
      <w:r w:rsidRPr="001D7C9B">
        <w:t xml:space="preserve"> du 25</w:t>
      </w:r>
      <w:r w:rsidR="002C2F6B">
        <w:t> </w:t>
      </w:r>
      <w:r w:rsidRPr="001D7C9B">
        <w:t xml:space="preserve">octobre 2022. </w:t>
      </w:r>
    </w:p>
    <w:p w14:paraId="7EDD3AAB" w14:textId="1195A2D8" w:rsidR="001D7C9B" w:rsidRPr="001D7C9B" w:rsidRDefault="001D7C9B" w:rsidP="001D7C9B">
      <w:pPr>
        <w:pStyle w:val="Marge"/>
      </w:pPr>
      <w:r>
        <w:t>2.</w:t>
      </w:r>
      <w:r>
        <w:tab/>
      </w:r>
      <w:r w:rsidRPr="001D7C9B">
        <w:t>Comme il est d</w:t>
      </w:r>
      <w:r>
        <w:t>’</w:t>
      </w:r>
      <w:r w:rsidRPr="001D7C9B">
        <w:t>usage, le Groupe a commencé à travailler par correspondance et a finalisé ses conclusions lors de la réunion en présentiel qui s</w:t>
      </w:r>
      <w:r>
        <w:t>’</w:t>
      </w:r>
      <w:r w:rsidRPr="001D7C9B">
        <w:t>est tenue le 19</w:t>
      </w:r>
      <w:r w:rsidR="002C2F6B">
        <w:t> </w:t>
      </w:r>
      <w:r w:rsidRPr="001D7C9B">
        <w:t>juin 2023. Au total, vingt-et-un (21) États membres –</w:t>
      </w:r>
      <w:r w:rsidR="002C2F6B">
        <w:t> </w:t>
      </w:r>
      <w:r w:rsidRPr="001D7C9B">
        <w:t>Allemagne, Argentine, Australie, Belgique, Brésil, Canada, Égypte, États</w:t>
      </w:r>
      <w:r w:rsidR="009E3159">
        <w:noBreakHyphen/>
      </w:r>
      <w:r w:rsidRPr="001D7C9B">
        <w:t>Unis, Fédération de Russie, France, Japon, Kenya, Koweït, Madagascar, Maroc, Nigéria, Norvège, Portugal, République démocratique du Congo, Royaume-Uni et Türkiye</w:t>
      </w:r>
      <w:r w:rsidR="002C2F6B">
        <w:t> </w:t>
      </w:r>
      <w:r w:rsidRPr="001D7C9B">
        <w:t>–</w:t>
      </w:r>
      <w:r w:rsidRPr="00E57F87">
        <w:rPr>
          <w:rFonts w:ascii="Times New Roman" w:hAnsi="Times New Roman"/>
          <w:sz w:val="24"/>
        </w:rPr>
        <w:t xml:space="preserve"> </w:t>
      </w:r>
      <w:r w:rsidRPr="001D7C9B">
        <w:t xml:space="preserve">ont participé aux travaux du Groupe, </w:t>
      </w:r>
      <w:r w:rsidRPr="00111B8C">
        <w:t>présidés</w:t>
      </w:r>
      <w:r w:rsidRPr="001D7C9B">
        <w:t xml:space="preserve"> par le Vice-Président de la COI, M. Karim Hilmi.</w:t>
      </w:r>
    </w:p>
    <w:p w14:paraId="0820A152" w14:textId="36069DD6" w:rsidR="001D7C9B" w:rsidRPr="001D7C9B" w:rsidRDefault="001D7C9B" w:rsidP="001D7C9B">
      <w:pPr>
        <w:pStyle w:val="Marge"/>
      </w:pPr>
      <w:r>
        <w:t>3.</w:t>
      </w:r>
      <w:r>
        <w:tab/>
      </w:r>
      <w:r w:rsidRPr="001D7C9B">
        <w:t>En mettant l</w:t>
      </w:r>
      <w:r>
        <w:t>’</w:t>
      </w:r>
      <w:r w:rsidRPr="001D7C9B">
        <w:t>accent, comme le lui avait demandé le Conseil exécutif de la COI à sa 55</w:t>
      </w:r>
      <w:r w:rsidRPr="001D7C9B">
        <w:rPr>
          <w:vertAlign w:val="superscript"/>
        </w:rPr>
        <w:t>e</w:t>
      </w:r>
      <w:r w:rsidR="002C2F6B">
        <w:t> </w:t>
      </w:r>
      <w:r w:rsidRPr="001D7C9B">
        <w:t>session, sur les questions couvertes par la résolution EC-55/2, et conformément à son mandat (annexe 2 de la résolution XXVIII-3), le Groupe consultatif financier intersessions a organisé ses débats selon les quatre grandes parties suivantes :</w:t>
      </w:r>
    </w:p>
    <w:p w14:paraId="66D9692E" w14:textId="1F3A4B27" w:rsidR="001D7C9B" w:rsidRPr="001D7C9B" w:rsidRDefault="001D7C9B" w:rsidP="001D7C9B">
      <w:pPr>
        <w:pStyle w:val="Heading3"/>
        <w:rPr>
          <w:color w:val="231F20"/>
        </w:rPr>
      </w:pPr>
      <w:r>
        <w:t>I.</w:t>
      </w:r>
      <w:r>
        <w:tab/>
      </w:r>
      <w:r w:rsidRPr="001D7C9B">
        <w:t>Exécution du budget 2022-2023 au 31</w:t>
      </w:r>
      <w:r w:rsidR="002C2F6B">
        <w:t> </w:t>
      </w:r>
      <w:r w:rsidRPr="001D7C9B">
        <w:t>décembre 2022, situation financière du Compte spécial de la COI à la fin de l</w:t>
      </w:r>
      <w:r>
        <w:t>’</w:t>
      </w:r>
      <w:r w:rsidRPr="001D7C9B">
        <w:t>exercice</w:t>
      </w:r>
      <w:r w:rsidR="002C2F6B">
        <w:t> </w:t>
      </w:r>
      <w:r w:rsidRPr="001D7C9B">
        <w:t>2022 et prévisions pour</w:t>
      </w:r>
      <w:r w:rsidR="002C2F6B">
        <w:t> </w:t>
      </w:r>
      <w:r w:rsidRPr="001D7C9B">
        <w:t xml:space="preserve">2023 </w:t>
      </w:r>
    </w:p>
    <w:p w14:paraId="7BDF7131" w14:textId="3CADE45E" w:rsidR="001D7C9B" w:rsidRPr="002C2F6B" w:rsidRDefault="001D7C9B" w:rsidP="001D7C9B">
      <w:pPr>
        <w:pStyle w:val="Marge"/>
        <w:rPr>
          <w:spacing w:val="-2"/>
        </w:rPr>
      </w:pPr>
      <w:r>
        <w:t>4.</w:t>
      </w:r>
      <w:r>
        <w:tab/>
      </w:r>
      <w:r w:rsidRPr="002C2F6B">
        <w:rPr>
          <w:spacing w:val="-4"/>
        </w:rPr>
        <w:t xml:space="preserve">Dans ce contexte, le Groupe a étudié les </w:t>
      </w:r>
      <w:r w:rsidRPr="00E57F87">
        <w:rPr>
          <w:spacing w:val="-4"/>
        </w:rPr>
        <w:t xml:space="preserve">documents </w:t>
      </w:r>
      <w:hyperlink r:id="rId13" w:history="1">
        <w:r w:rsidRPr="00E57F87">
          <w:rPr>
            <w:color w:val="0000FF"/>
            <w:spacing w:val="-4"/>
            <w:u w:val="single"/>
          </w:rPr>
          <w:t>IOC/A-32/3.</w:t>
        </w:r>
        <w:proofErr w:type="gramStart"/>
        <w:r w:rsidRPr="00E57F87">
          <w:rPr>
            <w:color w:val="0000FF"/>
            <w:spacing w:val="-4"/>
            <w:u w:val="single"/>
          </w:rPr>
          <w:t>2.Doc</w:t>
        </w:r>
        <w:proofErr w:type="gramEnd"/>
        <w:r w:rsidRPr="00E57F87">
          <w:rPr>
            <w:color w:val="0000FF"/>
            <w:spacing w:val="-4"/>
            <w:u w:val="single"/>
          </w:rPr>
          <w:t>(2)</w:t>
        </w:r>
      </w:hyperlink>
      <w:r w:rsidRPr="00E57F87">
        <w:rPr>
          <w:spacing w:val="-4"/>
        </w:rPr>
        <w:t xml:space="preserve"> et </w:t>
      </w:r>
      <w:hyperlink r:id="rId14" w:history="1">
        <w:r w:rsidRPr="00E57F87">
          <w:rPr>
            <w:color w:val="0000FF"/>
            <w:spacing w:val="-4"/>
            <w:u w:val="single"/>
          </w:rPr>
          <w:t>IOC/A</w:t>
        </w:r>
        <w:r w:rsidRPr="00E57F87">
          <w:rPr>
            <w:color w:val="0000FF"/>
            <w:spacing w:val="-4"/>
            <w:u w:val="single"/>
          </w:rPr>
          <w:noBreakHyphen/>
          <w:t>32/3.2.Doc(3)</w:t>
        </w:r>
      </w:hyperlink>
      <w:r w:rsidRPr="00E57F87">
        <w:rPr>
          <w:spacing w:val="-4"/>
        </w:rPr>
        <w:t>.</w:t>
      </w:r>
      <w:r w:rsidRPr="002C2F6B">
        <w:rPr>
          <w:spacing w:val="-3"/>
        </w:rPr>
        <w:t xml:space="preserve"> </w:t>
      </w:r>
      <w:r w:rsidRPr="002C2F6B">
        <w:rPr>
          <w:spacing w:val="-2"/>
        </w:rPr>
        <w:t>Il s’est déclaré satisfait de l’exécution globale, qui était conforme au Programme et budget approuv</w:t>
      </w:r>
      <w:r w:rsidRPr="00111B8C">
        <w:rPr>
          <w:spacing w:val="-2"/>
        </w:rPr>
        <w:t>és</w:t>
      </w:r>
      <w:r w:rsidRPr="002C2F6B">
        <w:rPr>
          <w:spacing w:val="-2"/>
        </w:rPr>
        <w:t xml:space="preserve"> pour l’exercice biennal. En examinant les informations sur la situation financière du Compte spécial de</w:t>
      </w:r>
      <w:r w:rsidR="002C2F6B">
        <w:rPr>
          <w:spacing w:val="-2"/>
        </w:rPr>
        <w:t> </w:t>
      </w:r>
      <w:r w:rsidRPr="002C2F6B">
        <w:rPr>
          <w:spacing w:val="-2"/>
        </w:rPr>
        <w:t>la COI à la fin de l’exercice</w:t>
      </w:r>
      <w:r w:rsidR="002C2F6B">
        <w:rPr>
          <w:spacing w:val="-2"/>
        </w:rPr>
        <w:t> </w:t>
      </w:r>
      <w:r w:rsidRPr="002C2F6B">
        <w:rPr>
          <w:spacing w:val="-2"/>
        </w:rPr>
        <w:t>2022 et les prévisions pour</w:t>
      </w:r>
      <w:r w:rsidR="002C2F6B">
        <w:rPr>
          <w:spacing w:val="-2"/>
        </w:rPr>
        <w:t> </w:t>
      </w:r>
      <w:r w:rsidRPr="002C2F6B">
        <w:rPr>
          <w:spacing w:val="-2"/>
        </w:rPr>
        <w:t xml:space="preserve">2023 fournies dans le document </w:t>
      </w:r>
      <w:r w:rsidRPr="002C2F6B">
        <w:rPr>
          <w:rFonts w:eastAsia="Calibri"/>
          <w:spacing w:val="-2"/>
        </w:rPr>
        <w:t>IOC/A</w:t>
      </w:r>
      <w:r w:rsidR="002C2F6B">
        <w:rPr>
          <w:rFonts w:eastAsia="Calibri"/>
          <w:spacing w:val="-2"/>
        </w:rPr>
        <w:noBreakHyphen/>
      </w:r>
      <w:r w:rsidRPr="002C2F6B">
        <w:rPr>
          <w:rFonts w:eastAsia="Calibri"/>
          <w:spacing w:val="-2"/>
        </w:rPr>
        <w:t>32/3.</w:t>
      </w:r>
      <w:proofErr w:type="gramStart"/>
      <w:r w:rsidRPr="002C2F6B">
        <w:rPr>
          <w:rFonts w:eastAsia="Calibri"/>
          <w:spacing w:val="-2"/>
        </w:rPr>
        <w:t>2.Doc</w:t>
      </w:r>
      <w:proofErr w:type="gramEnd"/>
      <w:r w:rsidRPr="002C2F6B">
        <w:rPr>
          <w:rFonts w:eastAsia="Calibri"/>
          <w:spacing w:val="-2"/>
        </w:rPr>
        <w:t>(3), l’IFAG a pris note des crédits budgétaires révisés pour</w:t>
      </w:r>
      <w:r w:rsidR="002C2F6B">
        <w:rPr>
          <w:rFonts w:eastAsia="Calibri"/>
          <w:spacing w:val="-2"/>
        </w:rPr>
        <w:t> </w:t>
      </w:r>
      <w:r w:rsidRPr="002C2F6B">
        <w:rPr>
          <w:rFonts w:eastAsia="Calibri"/>
          <w:spacing w:val="-2"/>
        </w:rPr>
        <w:t>2022-2023, tels que proposés dans le tableau 1 soumis à l’Assemblée pour examen.</w:t>
      </w:r>
    </w:p>
    <w:p w14:paraId="460650B3" w14:textId="3F7E0078" w:rsidR="001D7C9B" w:rsidRPr="001D7C9B" w:rsidRDefault="001D7C9B" w:rsidP="001D7C9B">
      <w:pPr>
        <w:pStyle w:val="Heading3"/>
      </w:pPr>
      <w:r>
        <w:t>II.</w:t>
      </w:r>
      <w:r>
        <w:tab/>
      </w:r>
      <w:r w:rsidRPr="001D7C9B">
        <w:t>Projet de programme et de budget pour 2024-2025 (42 C/5)</w:t>
      </w:r>
    </w:p>
    <w:p w14:paraId="2DA07F4A" w14:textId="659D9ECF" w:rsidR="001D7C9B" w:rsidRPr="001D7C9B" w:rsidRDefault="001D7C9B" w:rsidP="001D7C9B">
      <w:pPr>
        <w:pStyle w:val="Marge"/>
      </w:pPr>
      <w:r>
        <w:t>5.</w:t>
      </w:r>
      <w:r>
        <w:tab/>
      </w:r>
      <w:r w:rsidRPr="001D7C9B">
        <w:rPr>
          <w:spacing w:val="-3"/>
        </w:rPr>
        <w:t xml:space="preserve">L’IFAG a examiné la proposition du Secrétariat contenue dans le document </w:t>
      </w:r>
      <w:hyperlink r:id="rId15" w:history="1">
        <w:r w:rsidRPr="001D7C9B">
          <w:rPr>
            <w:color w:val="0000FF"/>
            <w:spacing w:val="-3"/>
            <w:u w:val="single"/>
          </w:rPr>
          <w:t>IOC/A</w:t>
        </w:r>
        <w:r w:rsidRPr="001D7C9B">
          <w:rPr>
            <w:color w:val="0000FF"/>
            <w:spacing w:val="-3"/>
            <w:u w:val="single"/>
          </w:rPr>
          <w:noBreakHyphen/>
          <w:t>32/6.</w:t>
        </w:r>
        <w:proofErr w:type="gramStart"/>
        <w:r w:rsidRPr="001D7C9B">
          <w:rPr>
            <w:color w:val="0000FF"/>
            <w:spacing w:val="-3"/>
            <w:u w:val="single"/>
          </w:rPr>
          <w:t>1.Doc</w:t>
        </w:r>
        <w:proofErr w:type="gramEnd"/>
        <w:r w:rsidRPr="001D7C9B">
          <w:rPr>
            <w:color w:val="0000FF"/>
            <w:spacing w:val="-3"/>
            <w:u w:val="single"/>
          </w:rPr>
          <w:t>(1)</w:t>
        </w:r>
      </w:hyperlink>
      <w:r w:rsidRPr="001D7C9B">
        <w:rPr>
          <w:spacing w:val="-3"/>
        </w:rPr>
        <w:t xml:space="preserve"> et élaborée en tant que partie intégrante du Projet de programme et de budget de l’UNESCO pour</w:t>
      </w:r>
      <w:r>
        <w:rPr>
          <w:spacing w:val="-3"/>
        </w:rPr>
        <w:t> </w:t>
      </w:r>
      <w:r w:rsidRPr="001D7C9B">
        <w:rPr>
          <w:spacing w:val="-3"/>
        </w:rPr>
        <w:t>2024</w:t>
      </w:r>
      <w:r>
        <w:rPr>
          <w:spacing w:val="-3"/>
        </w:rPr>
        <w:noBreakHyphen/>
      </w:r>
      <w:r w:rsidRPr="001D7C9B">
        <w:rPr>
          <w:spacing w:val="-3"/>
        </w:rPr>
        <w:t>2025 (42 C/5), soumis par la Directrice générale de l’UNESCO au Conseil exécutif de l’Organisation à sa 216</w:t>
      </w:r>
      <w:r w:rsidRPr="001D7C9B">
        <w:rPr>
          <w:spacing w:val="-3"/>
          <w:vertAlign w:val="superscript"/>
        </w:rPr>
        <w:t>e</w:t>
      </w:r>
      <w:r>
        <w:rPr>
          <w:spacing w:val="-3"/>
        </w:rPr>
        <w:t> </w:t>
      </w:r>
      <w:r w:rsidRPr="001D7C9B">
        <w:rPr>
          <w:spacing w:val="-3"/>
        </w:rPr>
        <w:t>session.</w:t>
      </w:r>
    </w:p>
    <w:p w14:paraId="014015D3" w14:textId="6BB3A938" w:rsidR="001D7C9B" w:rsidRPr="001D7C9B" w:rsidRDefault="001D7C9B" w:rsidP="001D7C9B">
      <w:pPr>
        <w:pStyle w:val="Marge"/>
      </w:pPr>
      <w:r>
        <w:t>6.</w:t>
      </w:r>
      <w:r>
        <w:tab/>
      </w:r>
      <w:r w:rsidRPr="001D7C9B">
        <w:t>Il a noté avec satisfaction que, bien que la Directrice générale de l</w:t>
      </w:r>
      <w:r>
        <w:t>’</w:t>
      </w:r>
      <w:r w:rsidRPr="001D7C9B">
        <w:t>UNESCO ait déjà proposé une augmentation considérable des crédits alloués à la COI au titre du budget ordinaire, le Conseil avait également examiné un point supplémentaire proposé par un groupe d</w:t>
      </w:r>
      <w:r>
        <w:t>’</w:t>
      </w:r>
      <w:r w:rsidRPr="001D7C9B">
        <w:t>États membres concernant le « besoin urgent de ressources accrues et plus stables pour la COI ». Il en avait résulté l</w:t>
      </w:r>
      <w:r>
        <w:t>’</w:t>
      </w:r>
      <w:r w:rsidRPr="001D7C9B">
        <w:t xml:space="preserve">adoption de la décision </w:t>
      </w:r>
      <w:hyperlink r:id="rId16" w:history="1">
        <w:r w:rsidRPr="001D7C9B">
          <w:rPr>
            <w:color w:val="0000FF"/>
            <w:u w:val="single"/>
          </w:rPr>
          <w:t>216 EX/44</w:t>
        </w:r>
      </w:hyperlink>
      <w:r w:rsidRPr="001D7C9B">
        <w:t xml:space="preserve"> dans laquelle le Conseil recommande à la Conférence générale à sa 42</w:t>
      </w:r>
      <w:r w:rsidRPr="001D7C9B">
        <w:rPr>
          <w:vertAlign w:val="superscript"/>
        </w:rPr>
        <w:t>e</w:t>
      </w:r>
      <w:r>
        <w:t> </w:t>
      </w:r>
      <w:r w:rsidRPr="001D7C9B">
        <w:t>session de convenir d</w:t>
      </w:r>
      <w:r>
        <w:t>’</w:t>
      </w:r>
      <w:r w:rsidRPr="001D7C9B">
        <w:t xml:space="preserve">une augmentation de </w:t>
      </w:r>
      <w:r w:rsidRPr="001D7C9B">
        <w:rPr>
          <w14:ligatures w14:val="standardContextual"/>
        </w:rPr>
        <w:t>[1 %] de la part du budget ordinaire de l</w:t>
      </w:r>
      <w:r>
        <w:rPr>
          <w14:ligatures w14:val="standardContextual"/>
        </w:rPr>
        <w:t>’</w:t>
      </w:r>
      <w:r w:rsidRPr="001D7C9B">
        <w:rPr>
          <w14:ligatures w14:val="standardContextual"/>
        </w:rPr>
        <w:t>UNESCO consacrée à la COI, laquelle ne doit faire l</w:t>
      </w:r>
      <w:r>
        <w:rPr>
          <w14:ligatures w14:val="standardContextual"/>
        </w:rPr>
        <w:t>’</w:t>
      </w:r>
      <w:r w:rsidRPr="001D7C9B">
        <w:rPr>
          <w14:ligatures w14:val="standardContextual"/>
        </w:rPr>
        <w:t>objet d</w:t>
      </w:r>
      <w:r>
        <w:rPr>
          <w14:ligatures w14:val="standardContextual"/>
        </w:rPr>
        <w:t>’</w:t>
      </w:r>
      <w:r w:rsidRPr="001D7C9B">
        <w:rPr>
          <w14:ligatures w14:val="standardContextual"/>
        </w:rPr>
        <w:t>aucune réduction par virement de crédits à d</w:t>
      </w:r>
      <w:r>
        <w:rPr>
          <w14:ligatures w14:val="standardContextual"/>
        </w:rPr>
        <w:t>’</w:t>
      </w:r>
      <w:r w:rsidRPr="001D7C9B">
        <w:rPr>
          <w14:ligatures w14:val="standardContextual"/>
        </w:rPr>
        <w:t>autres titres du budget, et « </w:t>
      </w:r>
      <w:r w:rsidRPr="001D7C9B">
        <w:rPr>
          <w:i/>
          <w:iCs/>
          <w14:ligatures w14:val="standardContextual"/>
        </w:rPr>
        <w:t>de décider qu</w:t>
      </w:r>
      <w:r>
        <w:rPr>
          <w:i/>
          <w:iCs/>
          <w14:ligatures w14:val="standardContextual"/>
        </w:rPr>
        <w:t>’</w:t>
      </w:r>
      <w:r w:rsidRPr="001D7C9B">
        <w:rPr>
          <w:i/>
          <w:iCs/>
          <w14:ligatures w14:val="standardContextual"/>
        </w:rPr>
        <w:t>un niveau de référence sera défini d</w:t>
      </w:r>
      <w:r>
        <w:rPr>
          <w:i/>
          <w:iCs/>
          <w14:ligatures w14:val="standardContextual"/>
        </w:rPr>
        <w:t>’</w:t>
      </w:r>
      <w:r w:rsidRPr="001D7C9B">
        <w:rPr>
          <w:i/>
          <w:iCs/>
          <w14:ligatures w14:val="standardContextual"/>
        </w:rPr>
        <w:t>un commun accord pour la part du budget ordinaire de l</w:t>
      </w:r>
      <w:r>
        <w:rPr>
          <w:i/>
          <w:iCs/>
          <w14:ligatures w14:val="standardContextual"/>
        </w:rPr>
        <w:t>’</w:t>
      </w:r>
      <w:r w:rsidRPr="001D7C9B">
        <w:rPr>
          <w:i/>
          <w:iCs/>
          <w14:ligatures w14:val="standardContextual"/>
        </w:rPr>
        <w:t>UNESCO allouée à la COI dans le cadre du document 42 C/5 et des futurs documents</w:t>
      </w:r>
      <w:r>
        <w:rPr>
          <w:i/>
          <w:iCs/>
          <w14:ligatures w14:val="standardContextual"/>
        </w:rPr>
        <w:t> </w:t>
      </w:r>
      <w:r w:rsidRPr="001D7C9B">
        <w:rPr>
          <w:i/>
          <w:iCs/>
          <w14:ligatures w14:val="standardContextual"/>
        </w:rPr>
        <w:t>C/5, et que ce niveau de référence ne fera l</w:t>
      </w:r>
      <w:r>
        <w:rPr>
          <w:i/>
          <w:iCs/>
          <w14:ligatures w14:val="standardContextual"/>
        </w:rPr>
        <w:t>’</w:t>
      </w:r>
      <w:r w:rsidRPr="001D7C9B">
        <w:rPr>
          <w:i/>
          <w:iCs/>
          <w14:ligatures w14:val="standardContextual"/>
        </w:rPr>
        <w:t>objet d</w:t>
      </w:r>
      <w:r>
        <w:rPr>
          <w:i/>
          <w:iCs/>
          <w14:ligatures w14:val="standardContextual"/>
        </w:rPr>
        <w:t>’</w:t>
      </w:r>
      <w:r w:rsidRPr="001D7C9B">
        <w:rPr>
          <w:i/>
          <w:iCs/>
          <w14:ligatures w14:val="standardContextual"/>
        </w:rPr>
        <w:t>aucune réduction à l</w:t>
      </w:r>
      <w:r>
        <w:rPr>
          <w:i/>
          <w:iCs/>
          <w14:ligatures w14:val="standardContextual"/>
        </w:rPr>
        <w:t>’</w:t>
      </w:r>
      <w:r w:rsidRPr="001D7C9B">
        <w:rPr>
          <w:i/>
          <w:iCs/>
          <w14:ligatures w14:val="standardContextual"/>
        </w:rPr>
        <w:t>avenir sans l</w:t>
      </w:r>
      <w:r>
        <w:rPr>
          <w:i/>
          <w:iCs/>
          <w14:ligatures w14:val="standardContextual"/>
        </w:rPr>
        <w:t>’</w:t>
      </w:r>
      <w:r w:rsidRPr="001D7C9B">
        <w:rPr>
          <w:i/>
          <w:iCs/>
          <w14:ligatures w14:val="standardContextual"/>
        </w:rPr>
        <w:t>accord de la Conférence générale</w:t>
      </w:r>
      <w:r w:rsidRPr="001D7C9B">
        <w:rPr>
          <w14:ligatures w14:val="standardContextual"/>
        </w:rPr>
        <w:t> ». L</w:t>
      </w:r>
      <w:r>
        <w:rPr>
          <w14:ligatures w14:val="standardContextual"/>
        </w:rPr>
        <w:t>’</w:t>
      </w:r>
      <w:r w:rsidRPr="001D7C9B">
        <w:rPr>
          <w14:ligatures w14:val="standardContextual"/>
        </w:rPr>
        <w:t>IFAG</w:t>
      </w:r>
      <w:r w:rsidRPr="00E57F87">
        <w:rPr>
          <w:rFonts w:ascii="Times New Roman" w:hAnsi="Times New Roman"/>
          <w:sz w:val="24"/>
        </w:rPr>
        <w:t xml:space="preserve"> </w:t>
      </w:r>
      <w:r w:rsidRPr="001D7C9B">
        <w:rPr>
          <w14:ligatures w14:val="standardContextual"/>
        </w:rPr>
        <w:t>a unanimement remercié les initiateurs de la proposition et tous les États membres ayant soutenu cette décision, qui est pleinement conforme aux conclusions de l</w:t>
      </w:r>
      <w:r>
        <w:rPr>
          <w14:ligatures w14:val="standardContextual"/>
        </w:rPr>
        <w:t>’</w:t>
      </w:r>
      <w:r w:rsidRPr="001D7C9B">
        <w:rPr>
          <w14:ligatures w14:val="standardContextual"/>
        </w:rPr>
        <w:t>évaluation par IOS du positionnement stratégique de la</w:t>
      </w:r>
      <w:r>
        <w:rPr>
          <w14:ligatures w14:val="standardContextual"/>
        </w:rPr>
        <w:t> </w:t>
      </w:r>
      <w:r w:rsidRPr="001D7C9B">
        <w:rPr>
          <w14:ligatures w14:val="standardContextual"/>
        </w:rPr>
        <w:t>COI. Le Groupe a pris note des observations de la Directrice générale sur le point</w:t>
      </w:r>
      <w:r>
        <w:rPr>
          <w14:ligatures w14:val="standardContextual"/>
        </w:rPr>
        <w:t> </w:t>
      </w:r>
      <w:r w:rsidRPr="001D7C9B">
        <w:rPr>
          <w14:ligatures w14:val="standardContextual"/>
        </w:rPr>
        <w:t xml:space="preserve">44 </w:t>
      </w:r>
      <w:r w:rsidRPr="001D7C9B">
        <w:rPr>
          <w:bCs/>
        </w:rPr>
        <w:t>(</w:t>
      </w:r>
      <w:hyperlink r:id="rId17" w:history="1">
        <w:r w:rsidRPr="001D7C9B">
          <w:rPr>
            <w:bCs/>
            <w:color w:val="0000FF"/>
            <w:u w:val="single"/>
          </w:rPr>
          <w:t>216</w:t>
        </w:r>
        <w:r>
          <w:rPr>
            <w:bCs/>
            <w:color w:val="0000FF"/>
            <w:u w:val="single"/>
          </w:rPr>
          <w:t> </w:t>
        </w:r>
        <w:r w:rsidRPr="001D7C9B">
          <w:rPr>
            <w:bCs/>
            <w:color w:val="0000FF"/>
            <w:u w:val="single"/>
          </w:rPr>
          <w:t>EX/</w:t>
        </w:r>
        <w:proofErr w:type="spellStart"/>
        <w:r w:rsidRPr="001D7C9B">
          <w:rPr>
            <w:bCs/>
            <w:color w:val="0000FF"/>
            <w:u w:val="single"/>
          </w:rPr>
          <w:t>DG.INF.Rev</w:t>
        </w:r>
        <w:proofErr w:type="spellEnd"/>
      </w:hyperlink>
      <w:r w:rsidRPr="001D7C9B">
        <w:rPr>
          <w:bCs/>
        </w:rPr>
        <w:t>.), indiquant « </w:t>
      </w:r>
      <w:r w:rsidRPr="001D7C9B">
        <w:rPr>
          <w:bCs/>
          <w:i/>
          <w:iCs/>
        </w:rPr>
        <w:t>qu</w:t>
      </w:r>
      <w:r>
        <w:rPr>
          <w:bCs/>
          <w:i/>
          <w:iCs/>
        </w:rPr>
        <w:t>’</w:t>
      </w:r>
      <w:r w:rsidRPr="001D7C9B">
        <w:rPr>
          <w:bCs/>
          <w:i/>
          <w:iCs/>
        </w:rPr>
        <w:t>une augmentation de 1 % de la part du budget ordinaire de l</w:t>
      </w:r>
      <w:r>
        <w:rPr>
          <w:bCs/>
          <w:i/>
          <w:iCs/>
        </w:rPr>
        <w:t>’</w:t>
      </w:r>
      <w:r w:rsidRPr="001D7C9B">
        <w:rPr>
          <w:bCs/>
          <w:i/>
          <w:iCs/>
        </w:rPr>
        <w:t>UNESCO consacrée à la COI (c</w:t>
      </w:r>
      <w:r>
        <w:rPr>
          <w:bCs/>
          <w:i/>
          <w:iCs/>
        </w:rPr>
        <w:t>’</w:t>
      </w:r>
      <w:r w:rsidRPr="001D7C9B">
        <w:rPr>
          <w:bCs/>
          <w:i/>
          <w:iCs/>
        </w:rPr>
        <w:t>est-à-dire, de 2,1 à 3,1 %) par rapport au 41 C/5, nécessiterait d</w:t>
      </w:r>
      <w:r>
        <w:rPr>
          <w:bCs/>
          <w:i/>
          <w:iCs/>
        </w:rPr>
        <w:t>’</w:t>
      </w:r>
      <w:r w:rsidRPr="001D7C9B">
        <w:rPr>
          <w:bCs/>
          <w:i/>
          <w:iCs/>
        </w:rPr>
        <w:t>allouer 4</w:t>
      </w:r>
      <w:r>
        <w:rPr>
          <w:bCs/>
          <w:i/>
          <w:iCs/>
        </w:rPr>
        <w:t> </w:t>
      </w:r>
      <w:r w:rsidRPr="001D7C9B">
        <w:rPr>
          <w:bCs/>
          <w:i/>
          <w:iCs/>
        </w:rPr>
        <w:t>millions de dollars supplémentaires à la COI au titre du scénario de base</w:t>
      </w:r>
      <w:r w:rsidRPr="001D7C9B">
        <w:rPr>
          <w:bCs/>
        </w:rPr>
        <w:t> ».</w:t>
      </w:r>
    </w:p>
    <w:p w14:paraId="1291EE43" w14:textId="1D67B22C" w:rsidR="001D7C9B" w:rsidRPr="001D7C9B" w:rsidRDefault="001D7C9B" w:rsidP="001D7C9B">
      <w:pPr>
        <w:pStyle w:val="Marge"/>
      </w:pPr>
      <w:r>
        <w:t>7.</w:t>
      </w:r>
      <w:r>
        <w:tab/>
      </w:r>
      <w:r w:rsidRPr="001D7C9B">
        <w:t>Le Groupe a également salué un autre événement majeur – la proposition par les États-Unis d</w:t>
      </w:r>
      <w:r>
        <w:t>’</w:t>
      </w:r>
      <w:r w:rsidRPr="001D7C9B">
        <w:t>Amérique d</w:t>
      </w:r>
      <w:r>
        <w:t>’</w:t>
      </w:r>
      <w:r w:rsidRPr="001D7C9B">
        <w:t>un plan pour leur retour à l</w:t>
      </w:r>
      <w:r>
        <w:t>’</w:t>
      </w:r>
      <w:r w:rsidRPr="001D7C9B">
        <w:t>UNESCO en tant qu</w:t>
      </w:r>
      <w:r>
        <w:t>’</w:t>
      </w:r>
      <w:r w:rsidRPr="001D7C9B">
        <w:t>État membre, lequel sera examiné par la Conférence générale de l</w:t>
      </w:r>
      <w:r>
        <w:t>’</w:t>
      </w:r>
      <w:r w:rsidRPr="001D7C9B">
        <w:t>UNESCO à sa session extraordinaire les 29 et 30</w:t>
      </w:r>
      <w:r>
        <w:t> </w:t>
      </w:r>
      <w:r w:rsidRPr="001D7C9B">
        <w:t>juin 2023.</w:t>
      </w:r>
    </w:p>
    <w:p w14:paraId="036E3312" w14:textId="0B6BBD14" w:rsidR="001D7C9B" w:rsidRPr="001D7C9B" w:rsidRDefault="001D7C9B" w:rsidP="001D7C9B">
      <w:pPr>
        <w:pStyle w:val="Marge"/>
      </w:pPr>
      <w:r>
        <w:lastRenderedPageBreak/>
        <w:t>8.</w:t>
      </w:r>
      <w:r>
        <w:tab/>
      </w:r>
      <w:r w:rsidRPr="00094578">
        <w:rPr>
          <w:spacing w:val="-3"/>
        </w:rPr>
        <w:t xml:space="preserve">Bien qu’il soit d’usage que l’Assemblée de la COI guide le Secrétariat sur les priorités et les principes de budgétisation à respecter lorsqu’il soumet des propositions ajustées dans le cadre du processus d’adoption du Programme et budget de l’UNESCO, les États membres se sont félicités du fait que, cette fois-ci, l’ajustement potentiel serait probablement positif et d’une ampleur considérable. </w:t>
      </w:r>
    </w:p>
    <w:p w14:paraId="35A9F765" w14:textId="77E7E917" w:rsidR="001D7C9B" w:rsidRPr="001D7C9B" w:rsidRDefault="001D7C9B" w:rsidP="001D7C9B">
      <w:pPr>
        <w:pStyle w:val="Marge"/>
      </w:pPr>
      <w:r>
        <w:t>9.</w:t>
      </w:r>
      <w:r>
        <w:tab/>
      </w:r>
      <w:r w:rsidRPr="001D7C9B">
        <w:t>La décision 216 EX/44 contenant déjà des recommandations très utiles, l</w:t>
      </w:r>
      <w:r>
        <w:t>’</w:t>
      </w:r>
      <w:r w:rsidRPr="001D7C9B">
        <w:t>IFAG estimait que le Secrétariat devait considérer qu</w:t>
      </w:r>
      <w:r>
        <w:t>’</w:t>
      </w:r>
      <w:r w:rsidRPr="001D7C9B">
        <w:t>il s</w:t>
      </w:r>
      <w:r>
        <w:t>’</w:t>
      </w:r>
      <w:r w:rsidRPr="001D7C9B">
        <w:t>agissait d</w:t>
      </w:r>
      <w:r>
        <w:t>’</w:t>
      </w:r>
      <w:r w:rsidRPr="001D7C9B">
        <w:t>une occasion de renforcer les programmes fondamentaux de la COI</w:t>
      </w:r>
      <w:r w:rsidR="00111B8C">
        <w:t>,</w:t>
      </w:r>
      <w:r w:rsidRPr="001D7C9B">
        <w:t xml:space="preserve"> tels que l</w:t>
      </w:r>
      <w:r>
        <w:t>’</w:t>
      </w:r>
      <w:r w:rsidRPr="001D7C9B">
        <w:t>IODE, l</w:t>
      </w:r>
      <w:r>
        <w:t>’</w:t>
      </w:r>
      <w:r w:rsidRPr="001D7C9B">
        <w:t>OBIS et le GOOS, entre autres, qui étaient actuellement sous</w:t>
      </w:r>
      <w:r w:rsidR="00111B8C">
        <w:noBreakHyphen/>
      </w:r>
      <w:r w:rsidRPr="001D7C9B">
        <w:t>fin</w:t>
      </w:r>
      <w:r w:rsidRPr="00111B8C">
        <w:t>ancés et/ou dépendaient excessivement des contributions volontaires. Il ne fallait pas voir dans le fait d’investir en faveur de la consolidation un obstacle à l’ambition. Au contraire, les efforts visant à consolider les fonctions essentielles constitueront une base solide pour les futures ambitions, notamment dans le contexte de la Décennie de l’Océan, et pour la coopération avec d’autres composantes du système des Nations Unies à l’appui d’autres initiatives de haut niveau (par exemple, le traité sur la haut</w:t>
      </w:r>
      <w:r w:rsidRPr="001D7C9B">
        <w:t>e mer). Les organes subsidiaires régionaux devront être renforcés pour intensifier la fourniture de services au niveau des États membres.</w:t>
      </w:r>
    </w:p>
    <w:p w14:paraId="5484A236" w14:textId="42FEEA15" w:rsidR="001D7C9B" w:rsidRPr="001D7C9B" w:rsidRDefault="001D7C9B" w:rsidP="001D7C9B">
      <w:pPr>
        <w:pStyle w:val="Heading3"/>
      </w:pPr>
      <w:r>
        <w:t>III.</w:t>
      </w:r>
      <w:r>
        <w:tab/>
      </w:r>
      <w:r w:rsidRPr="001D7C9B">
        <w:t>Suivi des résolutions A-31/2 et EC-55/2</w:t>
      </w:r>
    </w:p>
    <w:p w14:paraId="7F4FE2E8" w14:textId="64C850A1" w:rsidR="001D7C9B" w:rsidRPr="001D7C9B" w:rsidRDefault="001D7C9B" w:rsidP="001D7C9B">
      <w:pPr>
        <w:pStyle w:val="Heading3"/>
        <w:tabs>
          <w:tab w:val="clear" w:pos="567"/>
        </w:tabs>
        <w:ind w:left="1134"/>
      </w:pPr>
      <w:r w:rsidRPr="001D7C9B">
        <w:t>A.</w:t>
      </w:r>
      <w:r>
        <w:tab/>
      </w:r>
      <w:r w:rsidRPr="001D7C9B">
        <w:t>Révision du Règlement intérieur de la COI</w:t>
      </w:r>
    </w:p>
    <w:p w14:paraId="1E132498" w14:textId="4522C64F" w:rsidR="001D7C9B" w:rsidRPr="001D7C9B" w:rsidRDefault="001D7C9B" w:rsidP="00111B8C">
      <w:pPr>
        <w:pStyle w:val="Marge"/>
      </w:pPr>
      <w:r>
        <w:rPr>
          <w:rFonts w:eastAsia="DengXian"/>
          <w:snapToGrid/>
        </w:rPr>
        <w:t>10.</w:t>
      </w:r>
      <w:r>
        <w:rPr>
          <w:rFonts w:eastAsia="DengXian"/>
          <w:snapToGrid/>
        </w:rPr>
        <w:tab/>
      </w:r>
      <w:r w:rsidRPr="00094578">
        <w:rPr>
          <w:rFonts w:eastAsia="DengXian"/>
          <w:snapToGrid/>
          <w:spacing w:val="-3"/>
        </w:rPr>
        <w:t>L’IFAG a examiné ce point en tenant compte du fait que la proposition du Secrétariat figurant dans le document </w:t>
      </w:r>
      <w:hyperlink r:id="rId18" w:history="1">
        <w:r w:rsidRPr="00094578">
          <w:rPr>
            <w:rFonts w:eastAsia="DengXian"/>
            <w:snapToGrid/>
            <w:color w:val="0000FF"/>
            <w:spacing w:val="-3"/>
            <w:u w:val="single"/>
          </w:rPr>
          <w:t>IOC/A-32/6.</w:t>
        </w:r>
        <w:proofErr w:type="gramStart"/>
        <w:r w:rsidRPr="00094578">
          <w:rPr>
            <w:rFonts w:eastAsia="DengXian"/>
            <w:snapToGrid/>
            <w:color w:val="0000FF"/>
            <w:spacing w:val="-3"/>
            <w:u w:val="single"/>
          </w:rPr>
          <w:t>2.Doc</w:t>
        </w:r>
        <w:proofErr w:type="gramEnd"/>
        <w:r w:rsidRPr="00094578">
          <w:rPr>
            <w:rFonts w:eastAsia="DengXian"/>
            <w:snapToGrid/>
            <w:color w:val="0000FF"/>
            <w:spacing w:val="-3"/>
            <w:u w:val="single"/>
          </w:rPr>
          <w:t>(1)</w:t>
        </w:r>
      </w:hyperlink>
      <w:r w:rsidRPr="00094578">
        <w:rPr>
          <w:rFonts w:eastAsia="DengXian"/>
          <w:snapToGrid/>
          <w:spacing w:val="-3"/>
        </w:rPr>
        <w:t xml:space="preserve"> était déjà une deuxième révision du Règlement et que le Conseil exécutif de la COI, à sa 55</w:t>
      </w:r>
      <w:r w:rsidRPr="00094578">
        <w:rPr>
          <w:rFonts w:eastAsia="DengXian"/>
          <w:snapToGrid/>
          <w:spacing w:val="-3"/>
          <w:vertAlign w:val="superscript"/>
        </w:rPr>
        <w:t>e</w:t>
      </w:r>
      <w:r w:rsidRPr="00094578">
        <w:rPr>
          <w:rFonts w:eastAsia="DengXian"/>
          <w:snapToGrid/>
          <w:spacing w:val="-3"/>
        </w:rPr>
        <w:t> session, avait accueilli favorablement la première proposition (IOC/EC-55/5.1.Doc(1)),</w:t>
      </w:r>
      <w:r w:rsidR="00111B8C" w:rsidRPr="00094578">
        <w:rPr>
          <w:rFonts w:eastAsia="DengXian"/>
          <w:snapToGrid/>
          <w:spacing w:val="-3"/>
        </w:rPr>
        <w:t xml:space="preserve"> </w:t>
      </w:r>
      <w:r w:rsidRPr="00094578">
        <w:rPr>
          <w:rFonts w:eastAsia="DengXian"/>
          <w:snapToGrid/>
          <w:spacing w:val="-3"/>
        </w:rPr>
        <w:t>estimant qu’elle respectait les souhaits et les discussions des États membres.</w:t>
      </w:r>
    </w:p>
    <w:p w14:paraId="5F6F8C38" w14:textId="63A463B3" w:rsidR="001D7C9B" w:rsidRPr="001D7C9B" w:rsidRDefault="001D7C9B" w:rsidP="001D7C9B">
      <w:pPr>
        <w:pStyle w:val="Marge"/>
      </w:pPr>
      <w:r>
        <w:rPr>
          <w:rFonts w:eastAsia="DengXian"/>
          <w:snapToGrid/>
        </w:rPr>
        <w:t>11.</w:t>
      </w:r>
      <w:r>
        <w:rPr>
          <w:rFonts w:eastAsia="DengXian"/>
          <w:snapToGrid/>
        </w:rPr>
        <w:tab/>
      </w:r>
      <w:r w:rsidRPr="001D7C9B">
        <w:rPr>
          <w:rFonts w:eastAsia="DengXian"/>
          <w:snapToGrid/>
        </w:rPr>
        <w:t>Le Groupe a estimé que la deuxième révision était conforme à la recommandation du Conseil exécutif, formulée dans la résolution EC-55/2, selon laquelle l</w:t>
      </w:r>
      <w:r>
        <w:rPr>
          <w:rFonts w:eastAsia="DengXian"/>
          <w:snapToGrid/>
        </w:rPr>
        <w:t>’</w:t>
      </w:r>
      <w:r w:rsidRPr="001D7C9B">
        <w:rPr>
          <w:rFonts w:eastAsia="DengXian"/>
          <w:snapToGrid/>
        </w:rPr>
        <w:t>Assemblée de la COI devrait, à sa</w:t>
      </w:r>
      <w:r w:rsidR="00111B8C">
        <w:rPr>
          <w:rFonts w:eastAsia="DengXian"/>
          <w:snapToGrid/>
        </w:rPr>
        <w:t> </w:t>
      </w:r>
      <w:r w:rsidRPr="001D7C9B">
        <w:rPr>
          <w:rFonts w:eastAsia="DengXian"/>
          <w:snapToGrid/>
        </w:rPr>
        <w:t>32</w:t>
      </w:r>
      <w:r w:rsidRPr="001D7C9B">
        <w:rPr>
          <w:rFonts w:eastAsia="DengXian"/>
          <w:snapToGrid/>
          <w:vertAlign w:val="superscript"/>
        </w:rPr>
        <w:t>e</w:t>
      </w:r>
      <w:r>
        <w:rPr>
          <w:rFonts w:eastAsia="DengXian"/>
          <w:snapToGrid/>
        </w:rPr>
        <w:t> </w:t>
      </w:r>
      <w:r w:rsidRPr="001D7C9B">
        <w:rPr>
          <w:rFonts w:eastAsia="DengXian"/>
          <w:snapToGrid/>
        </w:rPr>
        <w:t>session, adopter l</w:t>
      </w:r>
      <w:r>
        <w:rPr>
          <w:rFonts w:eastAsia="DengXian"/>
          <w:snapToGrid/>
        </w:rPr>
        <w:t>’</w:t>
      </w:r>
      <w:r w:rsidRPr="001D7C9B">
        <w:rPr>
          <w:rFonts w:eastAsia="DengXian"/>
          <w:snapToGrid/>
        </w:rPr>
        <w:t>approche globale présentée dans le document IOC/EC-55/5.</w:t>
      </w:r>
      <w:proofErr w:type="gramStart"/>
      <w:r w:rsidRPr="001D7C9B">
        <w:rPr>
          <w:rFonts w:eastAsia="DengXian"/>
          <w:snapToGrid/>
        </w:rPr>
        <w:t>1.Doc</w:t>
      </w:r>
      <w:proofErr w:type="gramEnd"/>
      <w:r w:rsidRPr="001D7C9B">
        <w:rPr>
          <w:rFonts w:eastAsia="DengXian"/>
          <w:snapToGrid/>
        </w:rPr>
        <w:t>(1) et fondée sur la proposition suivante :</w:t>
      </w:r>
    </w:p>
    <w:p w14:paraId="5563389A" w14:textId="1DB00AA9" w:rsidR="001D7C9B" w:rsidRPr="001D7C9B" w:rsidRDefault="001D7C9B" w:rsidP="001D7C9B">
      <w:pPr>
        <w:pStyle w:val="TIRETbul1cm"/>
        <w:tabs>
          <w:tab w:val="clear" w:pos="360"/>
        </w:tabs>
        <w:ind w:left="851"/>
        <w:rPr>
          <w:lang w:eastAsia="en-US"/>
        </w:rPr>
      </w:pPr>
      <w:proofErr w:type="gramStart"/>
      <w:r w:rsidRPr="001D7C9B">
        <w:rPr>
          <w:lang w:eastAsia="en-US"/>
        </w:rPr>
        <w:t>s</w:t>
      </w:r>
      <w:r>
        <w:rPr>
          <w:lang w:eastAsia="en-US"/>
        </w:rPr>
        <w:t>’</w:t>
      </w:r>
      <w:r w:rsidRPr="001D7C9B">
        <w:rPr>
          <w:lang w:eastAsia="en-US"/>
        </w:rPr>
        <w:t>abstenir</w:t>
      </w:r>
      <w:proofErr w:type="gramEnd"/>
      <w:r w:rsidRPr="001D7C9B">
        <w:rPr>
          <w:lang w:eastAsia="en-US"/>
        </w:rPr>
        <w:t xml:space="preserve"> de s</w:t>
      </w:r>
      <w:r>
        <w:rPr>
          <w:lang w:eastAsia="en-US"/>
        </w:rPr>
        <w:t>’</w:t>
      </w:r>
      <w:r w:rsidRPr="001D7C9B">
        <w:rPr>
          <w:lang w:eastAsia="en-US"/>
        </w:rPr>
        <w:t>engager dans une procédure de modification des Statuts de la COI ;</w:t>
      </w:r>
    </w:p>
    <w:p w14:paraId="5A7F5A3D" w14:textId="5A599AB9" w:rsidR="001D7C9B" w:rsidRPr="001D7C9B" w:rsidRDefault="001D7C9B" w:rsidP="001D7C9B">
      <w:pPr>
        <w:pStyle w:val="TIRETbul1cm"/>
        <w:tabs>
          <w:tab w:val="clear" w:pos="360"/>
        </w:tabs>
        <w:ind w:left="851"/>
        <w:rPr>
          <w:lang w:eastAsia="en-US"/>
        </w:rPr>
      </w:pPr>
      <w:proofErr w:type="gramStart"/>
      <w:r w:rsidRPr="001D7C9B">
        <w:rPr>
          <w:lang w:eastAsia="en-US"/>
        </w:rPr>
        <w:t>conformément</w:t>
      </w:r>
      <w:proofErr w:type="gramEnd"/>
      <w:r w:rsidRPr="001D7C9B">
        <w:rPr>
          <w:lang w:eastAsia="en-US"/>
        </w:rPr>
        <w:t xml:space="preserve"> à l</w:t>
      </w:r>
      <w:r>
        <w:rPr>
          <w:lang w:eastAsia="en-US"/>
        </w:rPr>
        <w:t>’</w:t>
      </w:r>
      <w:r w:rsidRPr="001D7C9B">
        <w:rPr>
          <w:lang w:eastAsia="en-US"/>
        </w:rPr>
        <w:t>article</w:t>
      </w:r>
      <w:r>
        <w:rPr>
          <w:lang w:eastAsia="en-US"/>
        </w:rPr>
        <w:t> </w:t>
      </w:r>
      <w:r w:rsidRPr="001D7C9B">
        <w:rPr>
          <w:lang w:eastAsia="en-US"/>
        </w:rPr>
        <w:t>6.B.3 des Statuts, maintenir un document unique pour le Règlement intérieur de la Commission, qui sera officiellement fixé par l</w:t>
      </w:r>
      <w:r>
        <w:rPr>
          <w:lang w:eastAsia="en-US"/>
        </w:rPr>
        <w:t>’</w:t>
      </w:r>
      <w:r w:rsidRPr="001D7C9B">
        <w:rPr>
          <w:lang w:eastAsia="en-US"/>
        </w:rPr>
        <w:t>Assemblée ;</w:t>
      </w:r>
    </w:p>
    <w:p w14:paraId="62B5BE62" w14:textId="40C9F619" w:rsidR="001D7C9B" w:rsidRPr="001D7C9B" w:rsidRDefault="001D7C9B" w:rsidP="001D7C9B">
      <w:pPr>
        <w:pStyle w:val="TIRETbul1cm"/>
        <w:tabs>
          <w:tab w:val="clear" w:pos="360"/>
        </w:tabs>
        <w:ind w:left="851"/>
        <w:rPr>
          <w:lang w:eastAsia="en-US"/>
        </w:rPr>
      </w:pPr>
      <w:proofErr w:type="gramStart"/>
      <w:r w:rsidRPr="001D7C9B">
        <w:rPr>
          <w:snapToGrid/>
          <w:lang w:eastAsia="en-GB"/>
        </w:rPr>
        <w:t>réviser</w:t>
      </w:r>
      <w:proofErr w:type="gramEnd"/>
      <w:r w:rsidRPr="001D7C9B">
        <w:rPr>
          <w:snapToGrid/>
          <w:lang w:eastAsia="en-GB"/>
        </w:rPr>
        <w:t xml:space="preserve"> le Règlement actuel en établissant une distinction entre les articles d</w:t>
      </w:r>
      <w:r>
        <w:rPr>
          <w:snapToGrid/>
          <w:lang w:eastAsia="en-GB"/>
        </w:rPr>
        <w:t>’</w:t>
      </w:r>
      <w:r w:rsidRPr="001D7C9B">
        <w:rPr>
          <w:snapToGrid/>
          <w:lang w:eastAsia="en-GB"/>
        </w:rPr>
        <w:t>ordre général, les articles applicables à l</w:t>
      </w:r>
      <w:r>
        <w:rPr>
          <w:snapToGrid/>
          <w:lang w:eastAsia="en-GB"/>
        </w:rPr>
        <w:t>’</w:t>
      </w:r>
      <w:r w:rsidRPr="001D7C9B">
        <w:rPr>
          <w:snapToGrid/>
          <w:lang w:eastAsia="en-GB"/>
        </w:rPr>
        <w:t>Assemblée et au Conseil exécutif, et les articles applicables uniquement à l</w:t>
      </w:r>
      <w:r>
        <w:rPr>
          <w:snapToGrid/>
          <w:lang w:eastAsia="en-GB"/>
        </w:rPr>
        <w:t>’</w:t>
      </w:r>
      <w:r w:rsidRPr="001D7C9B">
        <w:rPr>
          <w:snapToGrid/>
          <w:lang w:eastAsia="en-GB"/>
        </w:rPr>
        <w:t>un de ces deux organes ;</w:t>
      </w:r>
    </w:p>
    <w:p w14:paraId="7155A8D7" w14:textId="71F739FC" w:rsidR="001D7C9B" w:rsidRPr="001D7C9B" w:rsidRDefault="001D7C9B" w:rsidP="001D7C9B">
      <w:pPr>
        <w:pStyle w:val="TIRETbul1cm"/>
        <w:tabs>
          <w:tab w:val="clear" w:pos="360"/>
        </w:tabs>
        <w:ind w:left="851"/>
        <w:rPr>
          <w:lang w:eastAsia="en-US"/>
        </w:rPr>
      </w:pPr>
      <w:proofErr w:type="gramStart"/>
      <w:r w:rsidRPr="001D7C9B">
        <w:rPr>
          <w:snapToGrid/>
          <w:lang w:eastAsia="en-GB"/>
        </w:rPr>
        <w:t>modifier</w:t>
      </w:r>
      <w:proofErr w:type="gramEnd"/>
      <w:r w:rsidRPr="001D7C9B">
        <w:rPr>
          <w:snapToGrid/>
          <w:lang w:eastAsia="en-GB"/>
        </w:rPr>
        <w:t xml:space="preserve"> les articles</w:t>
      </w:r>
      <w:r>
        <w:rPr>
          <w:snapToGrid/>
          <w:lang w:eastAsia="en-GB"/>
        </w:rPr>
        <w:t> </w:t>
      </w:r>
      <w:r w:rsidRPr="001D7C9B">
        <w:rPr>
          <w:snapToGrid/>
          <w:lang w:eastAsia="en-GB"/>
        </w:rPr>
        <w:t>55 et</w:t>
      </w:r>
      <w:r>
        <w:rPr>
          <w:snapToGrid/>
          <w:lang w:eastAsia="en-GB"/>
        </w:rPr>
        <w:t> </w:t>
      </w:r>
      <w:r w:rsidRPr="001D7C9B">
        <w:rPr>
          <w:snapToGrid/>
          <w:lang w:eastAsia="en-GB"/>
        </w:rPr>
        <w:t>56 afin de reconnaître et de préciser la compétence du Conseil exécutif pour modifier ou suspendre les articles concernant son organisation et son fonctionnement </w:t>
      </w:r>
      <w:r w:rsidRPr="001D7C9B">
        <w:rPr>
          <w:lang w:eastAsia="en-US"/>
        </w:rPr>
        <w:t>;</w:t>
      </w:r>
    </w:p>
    <w:p w14:paraId="7E3B27E1" w14:textId="77777777" w:rsidR="001D7C9B" w:rsidRPr="001D7C9B" w:rsidRDefault="001D7C9B" w:rsidP="001D7C9B">
      <w:pPr>
        <w:pStyle w:val="TIRETbul1cm"/>
        <w:tabs>
          <w:tab w:val="clear" w:pos="360"/>
        </w:tabs>
        <w:ind w:left="851"/>
        <w:rPr>
          <w:lang w:eastAsia="en-US"/>
        </w:rPr>
      </w:pPr>
      <w:proofErr w:type="gramStart"/>
      <w:r w:rsidRPr="001D7C9B">
        <w:rPr>
          <w:lang w:eastAsia="en-US"/>
        </w:rPr>
        <w:t>inclure</w:t>
      </w:r>
      <w:proofErr w:type="gramEnd"/>
      <w:r w:rsidRPr="001D7C9B">
        <w:rPr>
          <w:lang w:eastAsia="en-US"/>
        </w:rPr>
        <w:t xml:space="preserve"> dans le Règlement une disposition concernant les réunions en ligne, qui doivent être une mesure exceptionnelle ;</w:t>
      </w:r>
    </w:p>
    <w:p w14:paraId="3E75D29B" w14:textId="67682AE4" w:rsidR="001D7C9B" w:rsidRPr="001D7C9B" w:rsidRDefault="001D7C9B" w:rsidP="001D7C9B">
      <w:pPr>
        <w:pStyle w:val="TIRETbul1cm"/>
        <w:tabs>
          <w:tab w:val="clear" w:pos="360"/>
        </w:tabs>
        <w:ind w:left="851"/>
        <w:rPr>
          <w:lang w:eastAsia="en-US"/>
        </w:rPr>
      </w:pPr>
      <w:proofErr w:type="gramStart"/>
      <w:r w:rsidRPr="001D7C9B">
        <w:rPr>
          <w:lang w:eastAsia="en-US"/>
        </w:rPr>
        <w:t>veiller</w:t>
      </w:r>
      <w:proofErr w:type="gramEnd"/>
      <w:r w:rsidRPr="001D7C9B">
        <w:rPr>
          <w:lang w:eastAsia="en-US"/>
        </w:rPr>
        <w:t xml:space="preserve"> à ce que la disposition relative à la consultation par correspondance couvre à la fois l</w:t>
      </w:r>
      <w:r>
        <w:rPr>
          <w:lang w:eastAsia="en-US"/>
        </w:rPr>
        <w:t>’</w:t>
      </w:r>
      <w:r w:rsidRPr="001D7C9B">
        <w:rPr>
          <w:lang w:eastAsia="en-US"/>
        </w:rPr>
        <w:t>Assemblée et le Conseil exécutif ;</w:t>
      </w:r>
    </w:p>
    <w:p w14:paraId="491D657E" w14:textId="6660FFFA" w:rsidR="001D7C9B" w:rsidRPr="001D7C9B" w:rsidRDefault="001D7C9B" w:rsidP="001D7C9B">
      <w:pPr>
        <w:pStyle w:val="TIRETbul1cm"/>
        <w:tabs>
          <w:tab w:val="clear" w:pos="360"/>
        </w:tabs>
        <w:ind w:left="851"/>
        <w:rPr>
          <w:lang w:eastAsia="en-US"/>
        </w:rPr>
      </w:pPr>
      <w:proofErr w:type="gramStart"/>
      <w:r w:rsidRPr="001D7C9B">
        <w:rPr>
          <w:lang w:eastAsia="en-US"/>
        </w:rPr>
        <w:t>compléter</w:t>
      </w:r>
      <w:proofErr w:type="gramEnd"/>
      <w:r w:rsidRPr="001D7C9B">
        <w:rPr>
          <w:lang w:eastAsia="en-US"/>
        </w:rPr>
        <w:t xml:space="preserve"> le Règlement par des Lignes directrices pour les sessions en ligne et une liste complète d</w:t>
      </w:r>
      <w:r>
        <w:rPr>
          <w:lang w:eastAsia="en-US"/>
        </w:rPr>
        <w:t>’</w:t>
      </w:r>
      <w:r w:rsidRPr="001D7C9B">
        <w:rPr>
          <w:lang w:eastAsia="en-US"/>
        </w:rPr>
        <w:t>annexes en ligne.</w:t>
      </w:r>
    </w:p>
    <w:p w14:paraId="07CB5CCE" w14:textId="2BEDB04C" w:rsidR="001D7C9B" w:rsidRPr="001D7C9B" w:rsidRDefault="001D7C9B" w:rsidP="00094578">
      <w:pPr>
        <w:pStyle w:val="Heading3"/>
        <w:keepNext w:val="0"/>
        <w:keepLines w:val="0"/>
        <w:tabs>
          <w:tab w:val="clear" w:pos="567"/>
        </w:tabs>
        <w:ind w:left="1134"/>
      </w:pPr>
      <w:r>
        <w:t>B.</w:t>
      </w:r>
      <w:r>
        <w:tab/>
      </w:r>
      <w:r w:rsidRPr="001D7C9B">
        <w:t>Rapport sur les contributions en nature</w:t>
      </w:r>
    </w:p>
    <w:p w14:paraId="59D67636" w14:textId="60475884" w:rsidR="001D7C9B" w:rsidRPr="00E57F87" w:rsidRDefault="001D7C9B" w:rsidP="00094578">
      <w:pPr>
        <w:pStyle w:val="Marge"/>
        <w:rPr>
          <w:b/>
          <w:color w:val="231F20"/>
        </w:rPr>
      </w:pPr>
      <w:r>
        <w:rPr>
          <w:rFonts w:eastAsia="Calibri"/>
          <w:snapToGrid/>
        </w:rPr>
        <w:t>12.</w:t>
      </w:r>
      <w:r>
        <w:rPr>
          <w:rFonts w:eastAsia="Calibri"/>
          <w:snapToGrid/>
        </w:rPr>
        <w:tab/>
      </w:r>
      <w:r w:rsidRPr="001D7C9B">
        <w:rPr>
          <w:rFonts w:eastAsia="Calibri"/>
          <w:snapToGrid/>
        </w:rPr>
        <w:t>Par sa résolution</w:t>
      </w:r>
      <w:r>
        <w:rPr>
          <w:rFonts w:eastAsia="Calibri"/>
          <w:snapToGrid/>
        </w:rPr>
        <w:t> </w:t>
      </w:r>
      <w:r w:rsidRPr="001D7C9B">
        <w:rPr>
          <w:rFonts w:eastAsia="Calibri"/>
          <w:snapToGrid/>
        </w:rPr>
        <w:t>A-31/2, l</w:t>
      </w:r>
      <w:r>
        <w:rPr>
          <w:rFonts w:eastAsia="Calibri"/>
          <w:snapToGrid/>
        </w:rPr>
        <w:t>’</w:t>
      </w:r>
      <w:r w:rsidRPr="001D7C9B">
        <w:rPr>
          <w:rFonts w:eastAsia="Calibri"/>
          <w:snapToGrid/>
        </w:rPr>
        <w:t>Assemblée de la COI a invité l</w:t>
      </w:r>
      <w:r>
        <w:rPr>
          <w:rFonts w:eastAsia="Calibri"/>
          <w:snapToGrid/>
        </w:rPr>
        <w:t>’</w:t>
      </w:r>
      <w:r w:rsidRPr="001D7C9B">
        <w:rPr>
          <w:rFonts w:eastAsia="Calibri"/>
          <w:snapToGrid/>
        </w:rPr>
        <w:t>IFAG « </w:t>
      </w:r>
      <w:r w:rsidRPr="001D7C9B">
        <w:rPr>
          <w:rFonts w:eastAsia="Calibri"/>
          <w:i/>
          <w:iCs/>
          <w:snapToGrid/>
        </w:rPr>
        <w:t>à élaborer une proposition d</w:t>
      </w:r>
      <w:r>
        <w:rPr>
          <w:rFonts w:eastAsia="Calibri"/>
          <w:i/>
          <w:iCs/>
          <w:snapToGrid/>
        </w:rPr>
        <w:t>’</w:t>
      </w:r>
      <w:r w:rsidRPr="001D7C9B">
        <w:rPr>
          <w:rFonts w:eastAsia="Calibri"/>
          <w:i/>
          <w:iCs/>
          <w:snapToGrid/>
        </w:rPr>
        <w:t xml:space="preserve">approche et de méthode systématiques pour la notification des contributions en nature, qui soit </w:t>
      </w:r>
      <w:r w:rsidRPr="001D7C9B">
        <w:rPr>
          <w:rFonts w:eastAsia="Calibri"/>
          <w:i/>
          <w:iCs/>
          <w:snapToGrid/>
        </w:rPr>
        <w:lastRenderedPageBreak/>
        <w:t>conforme aux principes directeurs actualisés pour la programmation et la budgétisation (annexe I de la résolution EC-53/2) ainsi qu</w:t>
      </w:r>
      <w:r>
        <w:rPr>
          <w:rFonts w:eastAsia="Calibri"/>
          <w:i/>
          <w:iCs/>
          <w:snapToGrid/>
        </w:rPr>
        <w:t>’</w:t>
      </w:r>
      <w:r w:rsidRPr="001D7C9B">
        <w:rPr>
          <w:rFonts w:eastAsia="Calibri"/>
          <w:i/>
          <w:iCs/>
          <w:snapToGrid/>
        </w:rPr>
        <w:t>à l</w:t>
      </w:r>
      <w:r>
        <w:rPr>
          <w:rFonts w:eastAsia="Calibri"/>
          <w:i/>
          <w:iCs/>
          <w:snapToGrid/>
        </w:rPr>
        <w:t>’</w:t>
      </w:r>
      <w:r w:rsidRPr="001D7C9B">
        <w:rPr>
          <w:rFonts w:eastAsia="Calibri"/>
          <w:i/>
          <w:iCs/>
          <w:snapToGrid/>
        </w:rPr>
        <w:t>article 10 des Statuts de la COI, en vue de son examen par l</w:t>
      </w:r>
      <w:r>
        <w:rPr>
          <w:rFonts w:eastAsia="Calibri"/>
          <w:i/>
          <w:iCs/>
          <w:snapToGrid/>
        </w:rPr>
        <w:t>’</w:t>
      </w:r>
      <w:r w:rsidRPr="001D7C9B">
        <w:rPr>
          <w:rFonts w:eastAsia="Calibri"/>
          <w:i/>
          <w:iCs/>
          <w:snapToGrid/>
        </w:rPr>
        <w:t>Assemblée de la Commission à sa 32</w:t>
      </w:r>
      <w:r w:rsidRPr="001D7C9B">
        <w:rPr>
          <w:rFonts w:eastAsia="Calibri"/>
          <w:i/>
          <w:iCs/>
          <w:snapToGrid/>
          <w:vertAlign w:val="superscript"/>
        </w:rPr>
        <w:t>e</w:t>
      </w:r>
      <w:r w:rsidRPr="001D7C9B">
        <w:rPr>
          <w:rFonts w:eastAsia="Calibri"/>
          <w:i/>
          <w:iCs/>
          <w:snapToGrid/>
        </w:rPr>
        <w:t> session </w:t>
      </w:r>
      <w:r w:rsidRPr="001D7C9B">
        <w:rPr>
          <w:rFonts w:eastAsia="Calibri"/>
          <w:snapToGrid/>
        </w:rPr>
        <w:t>»</w:t>
      </w:r>
      <w:r w:rsidRPr="001D7C9B">
        <w:rPr>
          <w:color w:val="231F20"/>
        </w:rPr>
        <w:t>.</w:t>
      </w:r>
    </w:p>
    <w:p w14:paraId="1381E7E3" w14:textId="1703CB17" w:rsidR="001D7C9B" w:rsidRPr="00E57F87" w:rsidRDefault="001D7C9B" w:rsidP="001D7C9B">
      <w:pPr>
        <w:pStyle w:val="Marge"/>
        <w:rPr>
          <w:color w:val="231F20"/>
        </w:rPr>
      </w:pPr>
      <w:r>
        <w:rPr>
          <w:rFonts w:eastAsia="Calibri"/>
          <w:snapToGrid/>
        </w:rPr>
        <w:t>13.</w:t>
      </w:r>
      <w:r>
        <w:rPr>
          <w:rFonts w:eastAsia="Calibri"/>
          <w:snapToGrid/>
        </w:rPr>
        <w:tab/>
      </w:r>
      <w:r w:rsidRPr="001D7C9B">
        <w:rPr>
          <w:rFonts w:eastAsia="Calibri"/>
          <w:snapToGrid/>
        </w:rPr>
        <w:t>Le Conseil exécutif de la COI à sa 55</w:t>
      </w:r>
      <w:r w:rsidRPr="001D7C9B">
        <w:rPr>
          <w:rFonts w:eastAsia="Calibri"/>
          <w:snapToGrid/>
          <w:vertAlign w:val="superscript"/>
        </w:rPr>
        <w:t>e</w:t>
      </w:r>
      <w:r w:rsidRPr="001D7C9B">
        <w:rPr>
          <w:rFonts w:eastAsia="Calibri"/>
          <w:snapToGrid/>
        </w:rPr>
        <w:t xml:space="preserve"> session :</w:t>
      </w:r>
    </w:p>
    <w:p w14:paraId="79A9A303" w14:textId="03542030" w:rsidR="001D7C9B" w:rsidRPr="001D7C9B" w:rsidRDefault="001D7C9B" w:rsidP="001D7C9B">
      <w:pPr>
        <w:pStyle w:val="b"/>
      </w:pPr>
      <w:r>
        <w:t>(i)</w:t>
      </w:r>
      <w:r>
        <w:tab/>
      </w:r>
      <w:r w:rsidRPr="001D7C9B">
        <w:t>s</w:t>
      </w:r>
      <w:r>
        <w:t>’</w:t>
      </w:r>
      <w:r w:rsidRPr="001D7C9B">
        <w:t>est félicité de l</w:t>
      </w:r>
      <w:r>
        <w:t>’</w:t>
      </w:r>
      <w:r w:rsidRPr="001D7C9B">
        <w:t>approche plus systématique et inclusive pour rendre compte des contributions en nature proposée par l</w:t>
      </w:r>
      <w:r>
        <w:t>’</w:t>
      </w:r>
      <w:r w:rsidRPr="001D7C9B">
        <w:t>IFAG et présentée dans le document IOC/EC</w:t>
      </w:r>
      <w:r w:rsidR="00AF2348">
        <w:noBreakHyphen/>
      </w:r>
      <w:r w:rsidRPr="001D7C9B">
        <w:t>55/5.</w:t>
      </w:r>
      <w:proofErr w:type="gramStart"/>
      <w:r w:rsidRPr="001D7C9B">
        <w:t>1.Doc</w:t>
      </w:r>
      <w:proofErr w:type="gramEnd"/>
      <w:r w:rsidRPr="001D7C9B">
        <w:t>(2), qu</w:t>
      </w:r>
      <w:r>
        <w:t>’</w:t>
      </w:r>
      <w:r w:rsidRPr="001D7C9B">
        <w:t xml:space="preserve">il considère plus inclusive et équitable ; </w:t>
      </w:r>
    </w:p>
    <w:p w14:paraId="7BDFA917" w14:textId="7FDD406F" w:rsidR="001D7C9B" w:rsidRPr="001D7C9B" w:rsidRDefault="001D7C9B" w:rsidP="001D7C9B">
      <w:pPr>
        <w:pStyle w:val="b"/>
      </w:pPr>
      <w:r>
        <w:t>(ii)</w:t>
      </w:r>
      <w:r>
        <w:tab/>
      </w:r>
      <w:r w:rsidRPr="001D7C9B">
        <w:t>a invité le Secrétaire exécutif de la COI à lancer l</w:t>
      </w:r>
      <w:r>
        <w:t>’</w:t>
      </w:r>
      <w:r w:rsidRPr="001D7C9B">
        <w:t>exercice pilote d</w:t>
      </w:r>
      <w:r>
        <w:t>’</w:t>
      </w:r>
      <w:r w:rsidRPr="001D7C9B">
        <w:t>établissement de rapports pour l</w:t>
      </w:r>
      <w:r>
        <w:t>’</w:t>
      </w:r>
      <w:r w:rsidRPr="001D7C9B">
        <w:t>année civile 2022 et à présenter le rapport qui en résultera à l</w:t>
      </w:r>
      <w:r>
        <w:t>’</w:t>
      </w:r>
      <w:r w:rsidRPr="001D7C9B">
        <w:t>Assemblée de la COI</w:t>
      </w:r>
      <w:r w:rsidR="00AF2348">
        <w:t>,</w:t>
      </w:r>
      <w:r w:rsidRPr="001D7C9B">
        <w:t xml:space="preserve"> à sa 32</w:t>
      </w:r>
      <w:r w:rsidRPr="001D7C9B">
        <w:rPr>
          <w:vertAlign w:val="superscript"/>
        </w:rPr>
        <w:t>e</w:t>
      </w:r>
      <w:r w:rsidRPr="001D7C9B">
        <w:t xml:space="preserve"> session</w:t>
      </w:r>
      <w:r w:rsidR="00AF2348">
        <w:t>,</w:t>
      </w:r>
      <w:r w:rsidRPr="001D7C9B">
        <w:t xml:space="preserve"> pour examen et décision sur les futurs rapports.</w:t>
      </w:r>
    </w:p>
    <w:p w14:paraId="417B7BFA" w14:textId="2D6EBDF7" w:rsidR="00415089" w:rsidRPr="00E57F87" w:rsidRDefault="00415089" w:rsidP="00415089">
      <w:pPr>
        <w:pStyle w:val="Marge"/>
        <w:rPr>
          <w:bCs/>
        </w:rPr>
      </w:pPr>
      <w:r w:rsidRPr="00E57F87">
        <w:rPr>
          <w:color w:val="231F20"/>
        </w:rPr>
        <w:t>14.</w:t>
      </w:r>
      <w:r w:rsidRPr="00E57F87">
        <w:rPr>
          <w:b/>
          <w:color w:val="231F20"/>
        </w:rPr>
        <w:tab/>
      </w:r>
      <w:r w:rsidRPr="00415089">
        <w:t>L</w:t>
      </w:r>
      <w:r w:rsidR="001D7C9B">
        <w:t>’</w:t>
      </w:r>
      <w:r w:rsidRPr="00415089">
        <w:t>exercice pilote d</w:t>
      </w:r>
      <w:r w:rsidR="001D7C9B">
        <w:t>’</w:t>
      </w:r>
      <w:r w:rsidRPr="00415089">
        <w:t>établissement de rapports a été conduit par le Secrétariat par le biais de la Lettre circulaire de la COI n° 2915, suivie d</w:t>
      </w:r>
      <w:r w:rsidR="001D7C9B">
        <w:t>’</w:t>
      </w:r>
      <w:r w:rsidRPr="00415089">
        <w:t>un rappel et indiquant la méthode à suivre approuvée par le Conseil exécutif, rappelée ci-après pour référence :</w:t>
      </w:r>
    </w:p>
    <w:p w14:paraId="394FF58B" w14:textId="12E13D6A" w:rsidR="00415089" w:rsidRPr="00E57F87" w:rsidRDefault="00415089" w:rsidP="00415089">
      <w:pPr>
        <w:pStyle w:val="TIRETbul1cm"/>
        <w:tabs>
          <w:tab w:val="clear" w:pos="360"/>
        </w:tabs>
        <w:ind w:left="851"/>
        <w:rPr>
          <w:iCs/>
        </w:rPr>
      </w:pPr>
      <w:r w:rsidRPr="00415089">
        <w:t>Les contributions en nature déclarées doivent être nécessaires à la réalisation des objectifs de la COI et auraient fait l</w:t>
      </w:r>
      <w:r w:rsidR="001D7C9B">
        <w:t>’</w:t>
      </w:r>
      <w:r w:rsidRPr="00415089">
        <w:t>objet de dépenses de la COI sur son propre budget si elles n</w:t>
      </w:r>
      <w:r w:rsidR="001D7C9B">
        <w:t>’</w:t>
      </w:r>
      <w:r w:rsidRPr="00415089">
        <w:t>avaient pas été fournies.</w:t>
      </w:r>
    </w:p>
    <w:p w14:paraId="4B8BB986" w14:textId="522D1FE0" w:rsidR="00415089" w:rsidRPr="00E57F87" w:rsidRDefault="00415089" w:rsidP="00415089">
      <w:pPr>
        <w:pStyle w:val="TIRETbul1cm"/>
        <w:tabs>
          <w:tab w:val="clear" w:pos="360"/>
        </w:tabs>
        <w:ind w:left="851"/>
        <w:rPr>
          <w:iCs/>
          <w:spacing w:val="-2"/>
        </w:rPr>
      </w:pPr>
      <w:r w:rsidRPr="002E488C">
        <w:rPr>
          <w:spacing w:val="-2"/>
        </w:rPr>
        <w:t>Tous les types de dépenses effectuées au niveau national pour la participation à des programmes, des activités, etc., dont les bénéficiaires de la valeur de ces dépenses sont également nationaux, n</w:t>
      </w:r>
      <w:r w:rsidR="001D7C9B" w:rsidRPr="002E488C">
        <w:rPr>
          <w:spacing w:val="-2"/>
        </w:rPr>
        <w:t>’</w:t>
      </w:r>
      <w:r w:rsidRPr="002E488C">
        <w:rPr>
          <w:spacing w:val="-2"/>
        </w:rPr>
        <w:t>entrent pas</w:t>
      </w:r>
      <w:r w:rsidR="00993744" w:rsidRPr="002E488C">
        <w:rPr>
          <w:spacing w:val="-2"/>
        </w:rPr>
        <w:t>,</w:t>
      </w:r>
      <w:r w:rsidRPr="002E488C">
        <w:rPr>
          <w:spacing w:val="-2"/>
        </w:rPr>
        <w:t xml:space="preserve"> en principe</w:t>
      </w:r>
      <w:r w:rsidR="00993744" w:rsidRPr="002E488C">
        <w:rPr>
          <w:spacing w:val="-2"/>
        </w:rPr>
        <w:t>,</w:t>
      </w:r>
      <w:r w:rsidRPr="002E488C">
        <w:rPr>
          <w:spacing w:val="-2"/>
        </w:rPr>
        <w:t xml:space="preserve"> dans la catégorie des contributions en nature.</w:t>
      </w:r>
    </w:p>
    <w:p w14:paraId="4A593653" w14:textId="77777777" w:rsidR="00415089" w:rsidRPr="00E57F87" w:rsidRDefault="00415089" w:rsidP="00415089">
      <w:pPr>
        <w:pStyle w:val="TIRETbul1cm"/>
        <w:tabs>
          <w:tab w:val="clear" w:pos="360"/>
        </w:tabs>
        <w:ind w:left="851"/>
        <w:rPr>
          <w:iCs/>
        </w:rPr>
      </w:pPr>
      <w:r w:rsidRPr="00415089">
        <w:t>Les contributions volontaires (extrabudgétaires) pécuniaires au budget de la COI, que la Commission elle-même peut utiliser, sont clairement distinctes des contributions en nature, pour lesquelles la COI bénéficie de la valeur de cette contribution, par opposition au fait de tirer un avantage direct de ses propres dépenses en espèces.</w:t>
      </w:r>
    </w:p>
    <w:p w14:paraId="5B85F687" w14:textId="517C4AD8" w:rsidR="00415089" w:rsidRPr="00E57F87" w:rsidRDefault="00415089" w:rsidP="00415089">
      <w:pPr>
        <w:pStyle w:val="TIRETbul1cm"/>
        <w:tabs>
          <w:tab w:val="clear" w:pos="360"/>
        </w:tabs>
        <w:ind w:left="851"/>
        <w:rPr>
          <w:iCs/>
        </w:rPr>
      </w:pPr>
      <w:r w:rsidRPr="00415089">
        <w:t>La valeur des contributions en nature doit être directement exprimée au prix du marché, c</w:t>
      </w:r>
      <w:r w:rsidR="001D7C9B">
        <w:t>’</w:t>
      </w:r>
      <w:r w:rsidRPr="00415089">
        <w:t>est</w:t>
      </w:r>
      <w:r>
        <w:noBreakHyphen/>
      </w:r>
      <w:r w:rsidRPr="00415089">
        <w:t>à</w:t>
      </w:r>
      <w:r>
        <w:noBreakHyphen/>
      </w:r>
      <w:r w:rsidRPr="00415089">
        <w:t>dire correspondre à la dépense engagée par la partie qui apporte la contribution –</w:t>
      </w:r>
      <w:r>
        <w:t> </w:t>
      </w:r>
      <w:r w:rsidRPr="00415089">
        <w:t>c</w:t>
      </w:r>
      <w:r w:rsidR="001D7C9B">
        <w:t>’</w:t>
      </w:r>
      <w:r w:rsidRPr="00415089">
        <w:t>est le cas lorsque la contribution est consacrée à 100</w:t>
      </w:r>
      <w:r>
        <w:t> </w:t>
      </w:r>
      <w:r w:rsidRPr="00415089">
        <w:t>% aux objectifs de l</w:t>
      </w:r>
      <w:r w:rsidR="001D7C9B">
        <w:t>’</w:t>
      </w:r>
      <w:r w:rsidRPr="00415089">
        <w:t>organisme bénéficiaire (COI).</w:t>
      </w:r>
    </w:p>
    <w:p w14:paraId="3D4F73DB" w14:textId="4D01F46F" w:rsidR="00415089" w:rsidRPr="00E57F87" w:rsidRDefault="00415089" w:rsidP="00415089">
      <w:pPr>
        <w:pStyle w:val="TIRETbul1cm"/>
        <w:tabs>
          <w:tab w:val="clear" w:pos="360"/>
        </w:tabs>
        <w:ind w:left="851"/>
        <w:rPr>
          <w:iCs/>
        </w:rPr>
      </w:pPr>
      <w:r w:rsidRPr="00415089">
        <w:t>Les informations doivent être transmises sous la forme d</w:t>
      </w:r>
      <w:r w:rsidR="001D7C9B">
        <w:t>’</w:t>
      </w:r>
      <w:r w:rsidRPr="00415089">
        <w:t>une lettre ou d</w:t>
      </w:r>
      <w:r w:rsidR="001D7C9B">
        <w:t>’</w:t>
      </w:r>
      <w:r w:rsidRPr="00415089">
        <w:t>un courriel adressé au Secrétaire exécutif de la COI (v.ryabinin@unesco.org), avec copie au Secrétaire technique du Groupe consultatif financier intersessions (k.yvinec@unesco.org), et contenir au minimum les informations suivantes. Le montant doit correspondre à la contribution en nature effectuée au cours d</w:t>
      </w:r>
      <w:r w:rsidR="001D7C9B">
        <w:t>’</w:t>
      </w:r>
      <w:r w:rsidRPr="00415089">
        <w:t>une année civile, du 1</w:t>
      </w:r>
      <w:r w:rsidRPr="00415089">
        <w:rPr>
          <w:vertAlign w:val="superscript"/>
        </w:rPr>
        <w:t>er</w:t>
      </w:r>
      <w:r>
        <w:t> </w:t>
      </w:r>
      <w:r w:rsidRPr="00415089">
        <w:t>janvier 2022 au 31</w:t>
      </w:r>
      <w:r>
        <w:t> </w:t>
      </w:r>
      <w:r w:rsidRPr="00415089">
        <w:t>décembre 2022. Les montants peuvent être déclarés en monnaie locale ou en dollars des États-Unis. Les montants déclarés en monnaie locale seront convertis par le Secrétariat au taux de change opérationnel de l</w:t>
      </w:r>
      <w:r w:rsidR="001D7C9B">
        <w:t>’</w:t>
      </w:r>
      <w:r w:rsidRPr="00415089">
        <w:t xml:space="preserve">Organisation des Nations Unies applicable aux rapports financiers pour la période considérée. </w:t>
      </w:r>
    </w:p>
    <w:p w14:paraId="2C1C7818" w14:textId="7EE690D0" w:rsidR="00415089" w:rsidRPr="00E57F87" w:rsidRDefault="00415089" w:rsidP="00415089">
      <w:pPr>
        <w:pStyle w:val="Marge"/>
        <w:rPr>
          <w:bCs/>
        </w:rPr>
      </w:pPr>
      <w:r w:rsidRPr="00415089">
        <w:t>15.</w:t>
      </w:r>
      <w:r w:rsidRPr="00415089">
        <w:tab/>
        <w:t>C</w:t>
      </w:r>
      <w:r w:rsidR="001D7C9B">
        <w:t>’</w:t>
      </w:r>
      <w:r w:rsidRPr="00415089">
        <w:t>est dans ce contexte que le Groupe intersessions a examiné le résultat de l</w:t>
      </w:r>
      <w:r w:rsidR="001D7C9B">
        <w:t>’</w:t>
      </w:r>
      <w:r w:rsidRPr="00415089">
        <w:t>exercice pilote d</w:t>
      </w:r>
      <w:r w:rsidR="001D7C9B">
        <w:t>’</w:t>
      </w:r>
      <w:r w:rsidRPr="00415089">
        <w:t>établissement de rapports présenté dans le tableau</w:t>
      </w:r>
      <w:r w:rsidR="00733AD7">
        <w:t> </w:t>
      </w:r>
      <w:r w:rsidRPr="00415089">
        <w:t>6 du document IOC/A-32/3.</w:t>
      </w:r>
      <w:proofErr w:type="gramStart"/>
      <w:r w:rsidRPr="00415089">
        <w:t>2.Doc</w:t>
      </w:r>
      <w:proofErr w:type="gramEnd"/>
      <w:r w:rsidRPr="00415089">
        <w:t>(2). Le</w:t>
      </w:r>
      <w:r w:rsidR="00733AD7">
        <w:t> </w:t>
      </w:r>
      <w:r w:rsidRPr="00415089">
        <w:t>Groupe a estimé qu</w:t>
      </w:r>
      <w:r w:rsidR="001D7C9B">
        <w:t>’</w:t>
      </w:r>
      <w:r w:rsidRPr="00415089">
        <w:t>il s</w:t>
      </w:r>
      <w:r w:rsidR="001D7C9B">
        <w:t>’</w:t>
      </w:r>
      <w:r w:rsidRPr="00415089">
        <w:t>agissait d</w:t>
      </w:r>
      <w:r w:rsidR="001D7C9B">
        <w:t>’</w:t>
      </w:r>
      <w:r w:rsidRPr="00415089">
        <w:t>un premier rapport intéressant et réussi dans l</w:t>
      </w:r>
      <w:r w:rsidR="001D7C9B">
        <w:t>’</w:t>
      </w:r>
      <w:r w:rsidRPr="00415089">
        <w:t>ensemble, qui garantissait un processus plus systématique, plus inclusif et que les États membres maîtrisaient davantage. La méthode appliquée offre donc une bonne base pour les prochains cycles d</w:t>
      </w:r>
      <w:r w:rsidR="001D7C9B">
        <w:t>’</w:t>
      </w:r>
      <w:r w:rsidRPr="00415089">
        <w:t>établissement des rapports. Le Comité financier établi pour la durée de la session souhaitera peut</w:t>
      </w:r>
      <w:r w:rsidR="00733AD7">
        <w:noBreakHyphen/>
      </w:r>
      <w:r w:rsidRPr="00415089">
        <w:t>être examiner le rapport de manière plus approfondie afin d</w:t>
      </w:r>
      <w:r w:rsidR="001D7C9B">
        <w:t>’</w:t>
      </w:r>
      <w:r w:rsidRPr="00415089">
        <w:t>évaluer sa conformité avec la méthode à suivre et de déterminer si la formulation d</w:t>
      </w:r>
      <w:r w:rsidR="001D7C9B">
        <w:t>’</w:t>
      </w:r>
      <w:r w:rsidRPr="00415089">
        <w:t>orientations supplémentaires à l</w:t>
      </w:r>
      <w:r w:rsidR="001D7C9B">
        <w:t>’</w:t>
      </w:r>
      <w:r w:rsidRPr="00415089">
        <w:t>intention du Secrétariat et/ou des États membres pourrait améliorer la qualité des rapports à l</w:t>
      </w:r>
      <w:r w:rsidR="001D7C9B">
        <w:t>’</w:t>
      </w:r>
      <w:r w:rsidRPr="00415089">
        <w:t xml:space="preserve">avenir. </w:t>
      </w:r>
    </w:p>
    <w:p w14:paraId="5B37FAE5" w14:textId="44CC9214" w:rsidR="00415089" w:rsidRPr="00E57F87" w:rsidRDefault="00415089" w:rsidP="00415089">
      <w:pPr>
        <w:pStyle w:val="Heading3"/>
      </w:pPr>
      <w:r w:rsidRPr="00415089">
        <w:lastRenderedPageBreak/>
        <w:t>IV.</w:t>
      </w:r>
      <w:r w:rsidRPr="00415089">
        <w:tab/>
        <w:t>Projet de plan d</w:t>
      </w:r>
      <w:r w:rsidR="001D7C9B">
        <w:t>’</w:t>
      </w:r>
      <w:r w:rsidRPr="00415089">
        <w:t>action en réponse à l</w:t>
      </w:r>
      <w:r w:rsidR="001D7C9B">
        <w:t>’</w:t>
      </w:r>
      <w:r w:rsidRPr="00415089">
        <w:t xml:space="preserve">évaluation par IOS du positionnement </w:t>
      </w:r>
      <w:r>
        <w:br/>
      </w:r>
      <w:r w:rsidRPr="00415089">
        <w:t>stratégique de la COI</w:t>
      </w:r>
    </w:p>
    <w:p w14:paraId="0DA11CA7" w14:textId="42187C95" w:rsidR="00415089" w:rsidRPr="00E57F87" w:rsidRDefault="00415089" w:rsidP="00415089">
      <w:pPr>
        <w:pStyle w:val="Marge"/>
      </w:pPr>
      <w:r w:rsidRPr="00415089">
        <w:t>16.</w:t>
      </w:r>
      <w:r w:rsidRPr="00415089">
        <w:tab/>
        <w:t>Lors de leur réunion annuelle de janvier 2023, les membres du Bureau de la COI ont approuvé la proposition du Secrétaire exécutif, selon laquelle une discussion stratégique à plus long terme –</w:t>
      </w:r>
      <w:r w:rsidR="00733AD7">
        <w:t> </w:t>
      </w:r>
      <w:r w:rsidRPr="00415089">
        <w:t>engagée avec le document « Exécution durable et développement des activités de la COI : estimation du budget nécessaire, y compris des besoins en ressources humaines », élaboré pour donner suite à la résolution</w:t>
      </w:r>
      <w:r w:rsidR="00733AD7">
        <w:t> </w:t>
      </w:r>
      <w:r w:rsidRPr="00415089">
        <w:t>A-31/2 et à la décision</w:t>
      </w:r>
      <w:r w:rsidR="00733AD7">
        <w:t> </w:t>
      </w:r>
      <w:r w:rsidRPr="00415089">
        <w:t>EC-55/3.2 de la COI et diffusé par le biais de la Lettre circulaire de la COI n° </w:t>
      </w:r>
      <w:hyperlink r:id="rId19" w:history="1">
        <w:r w:rsidRPr="00E7609F">
          <w:rPr>
            <w:rStyle w:val="Hyperlink"/>
          </w:rPr>
          <w:t>2912</w:t>
        </w:r>
      </w:hyperlink>
      <w:r w:rsidR="00733AD7">
        <w:t> </w:t>
      </w:r>
      <w:r w:rsidRPr="00415089">
        <w:t>–</w:t>
      </w:r>
      <w:r w:rsidR="00733AD7">
        <w:t> </w:t>
      </w:r>
      <w:r w:rsidRPr="00415089">
        <w:t>devait faire l</w:t>
      </w:r>
      <w:r w:rsidR="001D7C9B">
        <w:t>’</w:t>
      </w:r>
      <w:r w:rsidRPr="00415089">
        <w:t>objet d</w:t>
      </w:r>
      <w:r w:rsidR="001D7C9B">
        <w:t>’</w:t>
      </w:r>
      <w:r w:rsidRPr="00415089">
        <w:t>une consultation plus approfondie avec les États membres et pouvait justifier de revenir à la longue tradition de réflexion et d</w:t>
      </w:r>
      <w:r w:rsidR="001D7C9B">
        <w:t>’</w:t>
      </w:r>
      <w:r w:rsidRPr="00415089">
        <w:t>auto</w:t>
      </w:r>
      <w:r w:rsidR="00E7609F">
        <w:noBreakHyphen/>
      </w:r>
      <w:r w:rsidRPr="00415089">
        <w:t>évaluation sur « La COI et l</w:t>
      </w:r>
      <w:r w:rsidR="001D7C9B">
        <w:t>’</w:t>
      </w:r>
      <w:r w:rsidRPr="00415089">
        <w:t>avenir de l</w:t>
      </w:r>
      <w:r w:rsidR="001D7C9B">
        <w:t>’</w:t>
      </w:r>
      <w:r w:rsidRPr="00415089">
        <w:t>Océan ». Cette approche est proposée à l</w:t>
      </w:r>
      <w:r w:rsidR="001D7C9B">
        <w:t>’</w:t>
      </w:r>
      <w:r w:rsidRPr="00415089">
        <w:t>examen des États membres au titre du point</w:t>
      </w:r>
      <w:r w:rsidR="00733AD7">
        <w:t> </w:t>
      </w:r>
      <w:r w:rsidRPr="00415089">
        <w:t>5 de l</w:t>
      </w:r>
      <w:r w:rsidR="001D7C9B">
        <w:t>’</w:t>
      </w:r>
      <w:r w:rsidRPr="00415089">
        <w:t>ordre du jour de l</w:t>
      </w:r>
      <w:r w:rsidR="001D7C9B">
        <w:t>’</w:t>
      </w:r>
      <w:r w:rsidRPr="00415089">
        <w:t>Assemblée.</w:t>
      </w:r>
    </w:p>
    <w:p w14:paraId="78D4F700" w14:textId="7E7E38C7" w:rsidR="00415089" w:rsidRPr="00E57F87" w:rsidRDefault="00415089" w:rsidP="00415089">
      <w:pPr>
        <w:pStyle w:val="Marge"/>
      </w:pPr>
      <w:r w:rsidRPr="00415089">
        <w:t>17.</w:t>
      </w:r>
      <w:r w:rsidRPr="00415089">
        <w:tab/>
        <w:t>Le Bureau a également estimé qu</w:t>
      </w:r>
      <w:r w:rsidR="001D7C9B">
        <w:t>’</w:t>
      </w:r>
      <w:r w:rsidRPr="00415089">
        <w:t>il serait utile que le Comité financier fasse figurer dans son mandat la question plus immédiate du projet de plan d</w:t>
      </w:r>
      <w:r w:rsidR="001D7C9B">
        <w:t>’</w:t>
      </w:r>
      <w:r w:rsidRPr="00415089">
        <w:t>action en réponse à l</w:t>
      </w:r>
      <w:r w:rsidR="001D7C9B">
        <w:t>’</w:t>
      </w:r>
      <w:r w:rsidRPr="00415089">
        <w:t>évaluation d</w:t>
      </w:r>
      <w:r w:rsidR="001D7C9B">
        <w:t>’</w:t>
      </w:r>
      <w:r w:rsidRPr="00415089">
        <w:t xml:space="preserve">IOS. </w:t>
      </w:r>
    </w:p>
    <w:p w14:paraId="1D14AE04" w14:textId="1E856DB7" w:rsidR="00415089" w:rsidRPr="00E57F87" w:rsidRDefault="00415089" w:rsidP="00415089">
      <w:pPr>
        <w:pStyle w:val="Marge"/>
      </w:pPr>
      <w:r w:rsidRPr="00415089">
        <w:t>18.</w:t>
      </w:r>
      <w:r w:rsidRPr="00415089">
        <w:tab/>
        <w:t>En débattant de cette question, le Groupe consultatif financier intersessions a tenu compte du fait qu</w:t>
      </w:r>
      <w:r w:rsidR="001D7C9B">
        <w:t>’</w:t>
      </w:r>
      <w:r w:rsidRPr="00415089">
        <w:t>un premier projet avait déjà été examiné par le Conseil exécutif de la COI à sa 55</w:t>
      </w:r>
      <w:r w:rsidRPr="00415089">
        <w:rPr>
          <w:vertAlign w:val="superscript"/>
        </w:rPr>
        <w:t>e</w:t>
      </w:r>
      <w:r w:rsidRPr="00415089">
        <w:t> session et que les États membres avaient été invités à faire part de leurs commentaires supplémentaires par le biais de la Lettre circulaire n°</w:t>
      </w:r>
      <w:r w:rsidR="00733AD7">
        <w:t> </w:t>
      </w:r>
      <w:r w:rsidRPr="00415089">
        <w:t xml:space="preserve">2912. </w:t>
      </w:r>
    </w:p>
    <w:p w14:paraId="3D64A266" w14:textId="5F82CBA5" w:rsidR="00415089" w:rsidRPr="00E57F87" w:rsidRDefault="00415089" w:rsidP="00415089">
      <w:pPr>
        <w:pStyle w:val="Marge"/>
      </w:pPr>
      <w:r w:rsidRPr="00415089">
        <w:t>19.</w:t>
      </w:r>
      <w:r w:rsidRPr="00415089">
        <w:tab/>
        <w:t>La présente session a pour objectif de faire de ce projet un Plan d</w:t>
      </w:r>
      <w:r w:rsidR="001D7C9B">
        <w:t>’</w:t>
      </w:r>
      <w:r w:rsidRPr="00415089">
        <w:t>action approuvé par l</w:t>
      </w:r>
      <w:r w:rsidR="001D7C9B">
        <w:t>’</w:t>
      </w:r>
      <w:r w:rsidRPr="00415089">
        <w:t>Assemblée, qui permettra au Secrétariat de travailler et de rendre compte des progrès accomplis à la COI et aux organes directeurs de l</w:t>
      </w:r>
      <w:r w:rsidR="001D7C9B">
        <w:t>’</w:t>
      </w:r>
      <w:r w:rsidRPr="00415089">
        <w:t>UNESCO.</w:t>
      </w:r>
    </w:p>
    <w:p w14:paraId="58B6FFD1" w14:textId="77777777" w:rsidR="00415089" w:rsidRPr="00E57F87" w:rsidRDefault="00415089" w:rsidP="00415089">
      <w:pPr>
        <w:pStyle w:val="Marge"/>
      </w:pPr>
    </w:p>
    <w:p w14:paraId="5539C854" w14:textId="06BBB8B0" w:rsidR="00FE2FC1" w:rsidRPr="001247FC" w:rsidRDefault="00FE2FC1" w:rsidP="001247FC">
      <w:pPr>
        <w:tabs>
          <w:tab w:val="clear" w:pos="567"/>
        </w:tabs>
        <w:snapToGrid/>
        <w:rPr>
          <w:rFonts w:eastAsia="Times New Roman"/>
          <w:lang w:eastAsia="en-US"/>
        </w:rPr>
      </w:pPr>
    </w:p>
    <w:sectPr w:rsidR="00FE2FC1" w:rsidRPr="001247FC" w:rsidSect="003F7186">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79D9" w14:textId="77777777" w:rsidR="000E1C29" w:rsidRDefault="000E1C29">
      <w:r>
        <w:separator/>
      </w:r>
    </w:p>
  </w:endnote>
  <w:endnote w:type="continuationSeparator" w:id="0">
    <w:p w14:paraId="3EFE7894" w14:textId="77777777" w:rsidR="000E1C29" w:rsidRDefault="000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Light">
    <w:charset w:val="00"/>
    <w:family w:val="swiss"/>
    <w:pitch w:val="variable"/>
    <w:sig w:usb0="600002FF"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B7DE" w14:textId="77777777" w:rsidR="000E1C29" w:rsidRDefault="000E1C29">
      <w:r>
        <w:separator/>
      </w:r>
    </w:p>
  </w:footnote>
  <w:footnote w:type="continuationSeparator" w:id="0">
    <w:p w14:paraId="426BE2BF" w14:textId="77777777" w:rsidR="000E1C29" w:rsidRDefault="000E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w:t>
    </w:r>
    <w:proofErr w:type="gramStart"/>
    <w:r w:rsidR="000723F0">
      <w:rPr>
        <w:rFonts w:cs="Arial"/>
        <w:bCs/>
        <w:szCs w:val="22"/>
      </w:rPr>
      <w:t>1.Doc</w:t>
    </w:r>
    <w:proofErr w:type="gramEnd"/>
    <w:r w:rsidR="000723F0">
      <w:rPr>
        <w:rFonts w:cs="Arial"/>
        <w:bCs/>
        <w:szCs w:val="22"/>
      </w:rPr>
      <w:t xml:space="preserve">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3893BEF" w:rsidR="00755CED" w:rsidRDefault="000723F0" w:rsidP="000723F0">
    <w:pPr>
      <w:pStyle w:val="Header"/>
      <w:jc w:val="right"/>
    </w:pPr>
    <w:r w:rsidRPr="00352423">
      <w:rPr>
        <w:rFonts w:cs="Arial"/>
        <w:bCs/>
        <w:szCs w:val="22"/>
      </w:rPr>
      <w:t>IOC/</w:t>
    </w:r>
    <w:r>
      <w:rPr>
        <w:rFonts w:cs="Arial"/>
        <w:bCs/>
        <w:szCs w:val="22"/>
      </w:rPr>
      <w:t>A-32/2.</w:t>
    </w:r>
    <w:proofErr w:type="gramStart"/>
    <w:r>
      <w:rPr>
        <w:rFonts w:cs="Arial"/>
        <w:bCs/>
        <w:szCs w:val="22"/>
      </w:rPr>
      <w:t>1.Doc</w:t>
    </w:r>
    <w:proofErr w:type="gramEnd"/>
    <w:r>
      <w:rPr>
        <w:rFonts w:cs="Arial"/>
        <w:bCs/>
        <w:szCs w:val="22"/>
      </w:rPr>
      <w:t xml:space="preserve"> Prov. – page</w:t>
    </w:r>
    <w:r w:rsidR="00421E71">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32684F3C"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094578">
                            <w:rPr>
                              <w:rFonts w:cs="Arial"/>
                              <w:b/>
                              <w:sz w:val="36"/>
                              <w:szCs w:val="36"/>
                            </w:rPr>
                            <w:t>6</w:t>
                          </w:r>
                          <w:r w:rsidR="00F97E19">
                            <w:rPr>
                              <w:rFonts w:cs="Arial"/>
                              <w:b/>
                              <w:sz w:val="36"/>
                              <w:szCs w:val="36"/>
                            </w:rPr>
                            <w:t>.</w:t>
                          </w:r>
                          <w:proofErr w:type="gramStart"/>
                          <w:r w:rsidR="00094578">
                            <w:rPr>
                              <w:rFonts w:cs="Arial"/>
                              <w:b/>
                              <w:sz w:val="36"/>
                              <w:szCs w:val="36"/>
                            </w:rPr>
                            <w:t>2</w:t>
                          </w:r>
                          <w:r w:rsidR="00F97E19">
                            <w:rPr>
                              <w:rFonts w:cs="Arial"/>
                              <w:b/>
                              <w:sz w:val="36"/>
                              <w:szCs w:val="36"/>
                            </w:rPr>
                            <w:t>.Doc</w:t>
                          </w:r>
                          <w:proofErr w:type="gramEnd"/>
                          <w:r w:rsidR="00F97E19">
                            <w:rPr>
                              <w:rFonts w:cs="Arial"/>
                              <w:b/>
                              <w:sz w:val="36"/>
                              <w:szCs w:val="36"/>
                            </w:rPr>
                            <w:t>(</w:t>
                          </w:r>
                          <w:r w:rsidR="00094578">
                            <w:rPr>
                              <w:rFonts w:cs="Arial"/>
                              <w:b/>
                              <w:sz w:val="36"/>
                              <w:szCs w:val="36"/>
                            </w:rPr>
                            <w:t>2</w:t>
                          </w:r>
                          <w:r w:rsidR="00F97E19">
                            <w:rPr>
                              <w:rFonts w:cs="Arial"/>
                              <w:b/>
                              <w:sz w:val="36"/>
                              <w:szCs w:val="36"/>
                            </w:rPr>
                            <w:t>)</w:t>
                          </w:r>
                        </w:p>
                        <w:p w14:paraId="10A5E3DC" w14:textId="61983192"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FE2FC1">
                            <w:rPr>
                              <w:rFonts w:cs="Arial"/>
                              <w:szCs w:val="22"/>
                            </w:rPr>
                            <w:t>1</w:t>
                          </w:r>
                          <w:r w:rsidR="00C3317D">
                            <w:rPr>
                              <w:rFonts w:cs="Arial"/>
                              <w:szCs w:val="22"/>
                            </w:rPr>
                            <w:t>9</w:t>
                          </w:r>
                          <w:r w:rsidR="000723F0">
                            <w:rPr>
                              <w:rFonts w:cs="Arial"/>
                              <w:szCs w:val="22"/>
                            </w:rPr>
                            <w:t xml:space="preserve"> </w:t>
                          </w:r>
                          <w:r w:rsidR="00FE2FC1">
                            <w:rPr>
                              <w:rFonts w:cs="Arial"/>
                              <w:szCs w:val="22"/>
                            </w:rPr>
                            <w:t>juin</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32684F3C"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094578">
                      <w:rPr>
                        <w:rFonts w:cs="Arial"/>
                        <w:b/>
                        <w:sz w:val="36"/>
                        <w:szCs w:val="36"/>
                      </w:rPr>
                      <w:t>6</w:t>
                    </w:r>
                    <w:r w:rsidR="00F97E19">
                      <w:rPr>
                        <w:rFonts w:cs="Arial"/>
                        <w:b/>
                        <w:sz w:val="36"/>
                        <w:szCs w:val="36"/>
                      </w:rPr>
                      <w:t>.</w:t>
                    </w:r>
                    <w:r w:rsidR="00094578">
                      <w:rPr>
                        <w:rFonts w:cs="Arial"/>
                        <w:b/>
                        <w:sz w:val="36"/>
                        <w:szCs w:val="36"/>
                      </w:rPr>
                      <w:t>2</w:t>
                    </w:r>
                    <w:r w:rsidR="00F97E19">
                      <w:rPr>
                        <w:rFonts w:cs="Arial"/>
                        <w:b/>
                        <w:sz w:val="36"/>
                        <w:szCs w:val="36"/>
                      </w:rPr>
                      <w:t>.Doc(</w:t>
                    </w:r>
                    <w:r w:rsidR="00094578">
                      <w:rPr>
                        <w:rFonts w:cs="Arial"/>
                        <w:b/>
                        <w:sz w:val="36"/>
                        <w:szCs w:val="36"/>
                      </w:rPr>
                      <w:t>2</w:t>
                    </w:r>
                    <w:r w:rsidR="00F97E19">
                      <w:rPr>
                        <w:rFonts w:cs="Arial"/>
                        <w:b/>
                        <w:sz w:val="36"/>
                        <w:szCs w:val="36"/>
                      </w:rPr>
                      <w:t>)</w:t>
                    </w:r>
                  </w:p>
                  <w:p w14:paraId="10A5E3DC" w14:textId="61983192"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FE2FC1">
                      <w:rPr>
                        <w:rFonts w:cs="Arial"/>
                        <w:szCs w:val="22"/>
                      </w:rPr>
                      <w:t>1</w:t>
                    </w:r>
                    <w:r w:rsidR="00C3317D">
                      <w:rPr>
                        <w:rFonts w:cs="Arial"/>
                        <w:szCs w:val="22"/>
                      </w:rPr>
                      <w:t>9</w:t>
                    </w:r>
                    <w:r w:rsidR="000723F0">
                      <w:rPr>
                        <w:rFonts w:cs="Arial"/>
                        <w:szCs w:val="22"/>
                      </w:rPr>
                      <w:t xml:space="preserve"> </w:t>
                    </w:r>
                    <w:r w:rsidR="00FE2FC1">
                      <w:rPr>
                        <w:rFonts w:cs="Arial"/>
                        <w:szCs w:val="22"/>
                      </w:rPr>
                      <w:t>juin</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EE9A" w14:textId="6F271B03" w:rsidR="00020AA1" w:rsidRPr="00B8392A" w:rsidRDefault="004C0DA5" w:rsidP="00746B89">
    <w:pPr>
      <w:pStyle w:val="Header"/>
      <w:tabs>
        <w:tab w:val="clear" w:pos="8306"/>
      </w:tabs>
      <w:rPr>
        <w:rFonts w:cs="Arial"/>
        <w:sz w:val="20"/>
        <w:szCs w:val="20"/>
        <w:lang w:val="pt-PT"/>
      </w:rPr>
    </w:pPr>
    <w:r w:rsidRPr="005E0955">
      <w:rPr>
        <w:szCs w:val="22"/>
      </w:rPr>
      <w:t>IOC/A-32/</w:t>
    </w:r>
    <w:r w:rsidR="00FE2FC1">
      <w:rPr>
        <w:szCs w:val="22"/>
      </w:rPr>
      <w:t>6</w:t>
    </w:r>
    <w:r w:rsidRPr="005E0955">
      <w:rPr>
        <w:szCs w:val="22"/>
      </w:rPr>
      <w:t>.</w:t>
    </w:r>
    <w:proofErr w:type="gramStart"/>
    <w:r w:rsidR="00FE2FC1">
      <w:rPr>
        <w:szCs w:val="22"/>
      </w:rPr>
      <w:t>2</w:t>
    </w:r>
    <w:r w:rsidRPr="005E0955">
      <w:rPr>
        <w:szCs w:val="22"/>
      </w:rPr>
      <w:t>.Doc</w:t>
    </w:r>
    <w:proofErr w:type="gramEnd"/>
    <w:r w:rsidRPr="005E0955">
      <w:rPr>
        <w:szCs w:val="22"/>
      </w:rPr>
      <w:t>(</w:t>
    </w:r>
    <w:r w:rsidR="00FE2FC1">
      <w:rPr>
        <w:szCs w:val="22"/>
      </w:rPr>
      <w:t>2</w:t>
    </w:r>
    <w:r w:rsidRPr="005E0955">
      <w:rPr>
        <w:szCs w:val="22"/>
      </w:rPr>
      <w:t xml:space="preserve">)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D4F5" w14:textId="6667CC3F" w:rsidR="00020AA1" w:rsidRPr="00003B31" w:rsidRDefault="004C0DA5" w:rsidP="00060604">
    <w:pPr>
      <w:pStyle w:val="Header"/>
      <w:ind w:left="6663"/>
      <w:rPr>
        <w:rFonts w:cs="Arial"/>
        <w:szCs w:val="22"/>
      </w:rPr>
    </w:pPr>
    <w:r w:rsidRPr="005E0955">
      <w:rPr>
        <w:szCs w:val="22"/>
      </w:rPr>
      <w:t>IOC/A-32/</w:t>
    </w:r>
    <w:r w:rsidR="00FE2FC1">
      <w:rPr>
        <w:szCs w:val="22"/>
      </w:rPr>
      <w:t>6</w:t>
    </w:r>
    <w:r w:rsidRPr="005E0955">
      <w:rPr>
        <w:szCs w:val="22"/>
      </w:rPr>
      <w:t>.</w:t>
    </w:r>
    <w:proofErr w:type="gramStart"/>
    <w:r w:rsidR="00FE2FC1">
      <w:rPr>
        <w:szCs w:val="22"/>
      </w:rPr>
      <w:t>2</w:t>
    </w:r>
    <w:r w:rsidRPr="005E0955">
      <w:rPr>
        <w:szCs w:val="22"/>
      </w:rPr>
      <w:t>.Doc</w:t>
    </w:r>
    <w:proofErr w:type="gramEnd"/>
    <w:r w:rsidRPr="005E0955">
      <w:rPr>
        <w:szCs w:val="22"/>
      </w:rPr>
      <w:t>(</w:t>
    </w:r>
    <w:r w:rsidR="00FE2FC1">
      <w:rPr>
        <w:szCs w:val="22"/>
      </w:rPr>
      <w:t>2</w:t>
    </w:r>
    <w:r w:rsidRPr="005E0955">
      <w:rPr>
        <w:szCs w:val="22"/>
      </w:rPr>
      <w:t xml:space="preserve">)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8F8F" w14:textId="5F47234B" w:rsidR="00020AA1" w:rsidRPr="00B8392A" w:rsidRDefault="004C0DA5" w:rsidP="00FE2FC1">
    <w:pPr>
      <w:pStyle w:val="Header"/>
      <w:jc w:val="right"/>
      <w:rPr>
        <w:rFonts w:cs="Arial"/>
        <w:sz w:val="20"/>
        <w:szCs w:val="20"/>
        <w:lang w:val="pt-PT"/>
      </w:rPr>
    </w:pPr>
    <w:r w:rsidRPr="005E0955">
      <w:rPr>
        <w:szCs w:val="22"/>
      </w:rPr>
      <w:t>IOC/A-32/</w:t>
    </w:r>
    <w:r w:rsidR="00FE2FC1">
      <w:rPr>
        <w:szCs w:val="22"/>
      </w:rPr>
      <w:t>6</w:t>
    </w:r>
    <w:r w:rsidRPr="005E0955">
      <w:rPr>
        <w:szCs w:val="22"/>
      </w:rPr>
      <w:t>.</w:t>
    </w:r>
    <w:proofErr w:type="gramStart"/>
    <w:r w:rsidR="00FE2FC1">
      <w:rPr>
        <w:szCs w:val="22"/>
      </w:rPr>
      <w:t>2</w:t>
    </w:r>
    <w:r w:rsidRPr="005E0955">
      <w:rPr>
        <w:szCs w:val="22"/>
      </w:rPr>
      <w:t>.Doc</w:t>
    </w:r>
    <w:proofErr w:type="gramEnd"/>
    <w:r w:rsidRPr="005E0955">
      <w:rPr>
        <w:szCs w:val="22"/>
      </w:rPr>
      <w:t>(</w:t>
    </w:r>
    <w:r w:rsidR="00FE2FC1">
      <w:rPr>
        <w:szCs w:val="22"/>
      </w:rPr>
      <w:t>2</w:t>
    </w:r>
    <w:r w:rsidRPr="005E0955">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84"/>
    <w:multiLevelType w:val="hybridMultilevel"/>
    <w:tmpl w:val="F7DAEDF4"/>
    <w:lvl w:ilvl="0" w:tplc="DDCC5CD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08944619"/>
    <w:multiLevelType w:val="hybridMultilevel"/>
    <w:tmpl w:val="324E4228"/>
    <w:lvl w:ilvl="0" w:tplc="032863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25AECC18"/>
    <w:lvl w:ilvl="0" w:tplc="B4163634">
      <w:start w:val="1"/>
      <w:numFmt w:val="bullet"/>
      <w:pStyle w:val="TIRETbul1cm"/>
      <w:lvlText w:val="-"/>
      <w:lvlJc w:val="left"/>
      <w:pPr>
        <w:tabs>
          <w:tab w:val="num" w:pos="360"/>
        </w:tabs>
        <w:ind w:left="284" w:hanging="284"/>
      </w:pPr>
      <w:rPr>
        <w:rFonts w:ascii="Walbaum Display Light" w:hAnsi="Walbaum Display Light" w:hint="default"/>
        <w:i/>
        <w:sz w:val="22"/>
        <w:szCs w:val="22"/>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3E8575E"/>
    <w:multiLevelType w:val="hybridMultilevel"/>
    <w:tmpl w:val="BFA6F3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D735A"/>
    <w:multiLevelType w:val="hybridMultilevel"/>
    <w:tmpl w:val="8FE4C96A"/>
    <w:lvl w:ilvl="0" w:tplc="BFBE583C">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7"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87908"/>
    <w:multiLevelType w:val="hybridMultilevel"/>
    <w:tmpl w:val="5EB0ED52"/>
    <w:lvl w:ilvl="0" w:tplc="DDC685E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41848"/>
    <w:multiLevelType w:val="hybridMultilevel"/>
    <w:tmpl w:val="2B6C5CB6"/>
    <w:lvl w:ilvl="0" w:tplc="0D3C224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9475FD"/>
    <w:multiLevelType w:val="hybridMultilevel"/>
    <w:tmpl w:val="00D2B716"/>
    <w:lvl w:ilvl="0" w:tplc="37F40466">
      <w:start w:val="1"/>
      <w:numFmt w:val="lowerRoman"/>
      <w:lvlText w:val="(%1)"/>
      <w:lvlJc w:val="left"/>
      <w:pPr>
        <w:ind w:left="1080" w:hanging="720"/>
      </w:pPr>
      <w:rPr>
        <w:rFonts w:ascii="Arial" w:eastAsia="Times New Roman" w:hAnsi="Arial" w:cs="Arial" w:hint="default"/>
        <w:b w:val="0"/>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B14D83"/>
    <w:multiLevelType w:val="singleLevel"/>
    <w:tmpl w:val="CD9EBCE6"/>
    <w:lvl w:ilvl="0">
      <w:start w:val="1"/>
      <w:numFmt w:val="bullet"/>
      <w:lvlText w:val=""/>
      <w:lvlJc w:val="left"/>
      <w:pPr>
        <w:tabs>
          <w:tab w:val="num" w:pos="644"/>
        </w:tabs>
        <w:ind w:left="284" w:firstLine="0"/>
      </w:pPr>
      <w:rPr>
        <w:rFonts w:ascii="Symbol" w:hAnsi="Symbol" w:hint="default"/>
      </w:rPr>
    </w:lvl>
  </w:abstractNum>
  <w:abstractNum w:abstractNumId="15"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7" w15:restartNumberingAfterBreak="0">
    <w:nsid w:val="368B1ED5"/>
    <w:multiLevelType w:val="hybridMultilevel"/>
    <w:tmpl w:val="B4767FD8"/>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94254"/>
    <w:multiLevelType w:val="hybridMultilevel"/>
    <w:tmpl w:val="00726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250201"/>
    <w:multiLevelType w:val="hybridMultilevel"/>
    <w:tmpl w:val="9BDE430C"/>
    <w:lvl w:ilvl="0" w:tplc="74EE732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0"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21"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E3098D"/>
    <w:multiLevelType w:val="hybridMultilevel"/>
    <w:tmpl w:val="30E669A2"/>
    <w:lvl w:ilvl="0" w:tplc="DAC42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507CE2"/>
    <w:multiLevelType w:val="hybridMultilevel"/>
    <w:tmpl w:val="5402558E"/>
    <w:lvl w:ilvl="0" w:tplc="2CCE201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6D7C69"/>
    <w:multiLevelType w:val="hybridMultilevel"/>
    <w:tmpl w:val="5802DFBC"/>
    <w:lvl w:ilvl="0" w:tplc="95E27420">
      <w:start w:val="1"/>
      <w:numFmt w:val="lowerRoman"/>
      <w:lvlText w:val="(%1)"/>
      <w:lvlJc w:val="left"/>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846369">
    <w:abstractNumId w:val="2"/>
  </w:num>
  <w:num w:numId="2" w16cid:durableId="1115710408">
    <w:abstractNumId w:val="15"/>
  </w:num>
  <w:num w:numId="3" w16cid:durableId="1955213118">
    <w:abstractNumId w:val="16"/>
  </w:num>
  <w:num w:numId="4" w16cid:durableId="701898349">
    <w:abstractNumId w:val="11"/>
  </w:num>
  <w:num w:numId="5" w16cid:durableId="1730569580">
    <w:abstractNumId w:val="21"/>
  </w:num>
  <w:num w:numId="6" w16cid:durableId="1350908652">
    <w:abstractNumId w:val="27"/>
  </w:num>
  <w:num w:numId="7" w16cid:durableId="749692511">
    <w:abstractNumId w:val="19"/>
  </w:num>
  <w:num w:numId="8" w16cid:durableId="1809012436">
    <w:abstractNumId w:val="12"/>
  </w:num>
  <w:num w:numId="9" w16cid:durableId="1660382262">
    <w:abstractNumId w:val="23"/>
  </w:num>
  <w:num w:numId="10" w16cid:durableId="1352996092">
    <w:abstractNumId w:val="20"/>
  </w:num>
  <w:num w:numId="11" w16cid:durableId="751583942">
    <w:abstractNumId w:val="10"/>
  </w:num>
  <w:num w:numId="12" w16cid:durableId="480122754">
    <w:abstractNumId w:val="7"/>
  </w:num>
  <w:num w:numId="13" w16cid:durableId="719862489">
    <w:abstractNumId w:val="6"/>
  </w:num>
  <w:num w:numId="14" w16cid:durableId="626669283">
    <w:abstractNumId w:val="8"/>
  </w:num>
  <w:num w:numId="15" w16cid:durableId="1787894968">
    <w:abstractNumId w:val="9"/>
  </w:num>
  <w:num w:numId="16" w16cid:durableId="2122072168">
    <w:abstractNumId w:val="24"/>
  </w:num>
  <w:num w:numId="17" w16cid:durableId="386802596">
    <w:abstractNumId w:val="28"/>
  </w:num>
  <w:num w:numId="18" w16cid:durableId="2075810136">
    <w:abstractNumId w:val="0"/>
  </w:num>
  <w:num w:numId="19" w16cid:durableId="1187258928">
    <w:abstractNumId w:val="4"/>
  </w:num>
  <w:num w:numId="20" w16cid:durableId="1198355949">
    <w:abstractNumId w:val="25"/>
  </w:num>
  <w:num w:numId="21" w16cid:durableId="1278367499">
    <w:abstractNumId w:val="17"/>
  </w:num>
  <w:num w:numId="22" w16cid:durableId="1970626673">
    <w:abstractNumId w:val="14"/>
  </w:num>
  <w:num w:numId="23" w16cid:durableId="1229682516">
    <w:abstractNumId w:val="26"/>
  </w:num>
  <w:num w:numId="24" w16cid:durableId="867179096">
    <w:abstractNumId w:val="5"/>
  </w:num>
  <w:num w:numId="25" w16cid:durableId="1422215570">
    <w:abstractNumId w:val="22"/>
  </w:num>
  <w:num w:numId="26" w16cid:durableId="998846766">
    <w:abstractNumId w:val="1"/>
  </w:num>
  <w:num w:numId="27" w16cid:durableId="2082560489">
    <w:abstractNumId w:val="13"/>
  </w:num>
  <w:num w:numId="28" w16cid:durableId="1615407002">
    <w:abstractNumId w:val="18"/>
  </w:num>
  <w:num w:numId="29" w16cid:durableId="204767727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40484"/>
    <w:rsid w:val="000723F0"/>
    <w:rsid w:val="000763CE"/>
    <w:rsid w:val="00087E40"/>
    <w:rsid w:val="00093B4C"/>
    <w:rsid w:val="00094578"/>
    <w:rsid w:val="000A746F"/>
    <w:rsid w:val="000B0E4E"/>
    <w:rsid w:val="000C0EDD"/>
    <w:rsid w:val="000D2E63"/>
    <w:rsid w:val="000D39FC"/>
    <w:rsid w:val="000D4E4C"/>
    <w:rsid w:val="000E1C29"/>
    <w:rsid w:val="000E7AEA"/>
    <w:rsid w:val="000F189F"/>
    <w:rsid w:val="000F1DBA"/>
    <w:rsid w:val="000F258B"/>
    <w:rsid w:val="00100A35"/>
    <w:rsid w:val="00104265"/>
    <w:rsid w:val="0011081B"/>
    <w:rsid w:val="0011114C"/>
    <w:rsid w:val="00111B8C"/>
    <w:rsid w:val="001247FC"/>
    <w:rsid w:val="00151B65"/>
    <w:rsid w:val="00161FD3"/>
    <w:rsid w:val="00166018"/>
    <w:rsid w:val="00177B08"/>
    <w:rsid w:val="001912E2"/>
    <w:rsid w:val="00191E6D"/>
    <w:rsid w:val="0019249C"/>
    <w:rsid w:val="001A6E27"/>
    <w:rsid w:val="001B1BB0"/>
    <w:rsid w:val="001B4417"/>
    <w:rsid w:val="001B623F"/>
    <w:rsid w:val="001B6892"/>
    <w:rsid w:val="001C0D14"/>
    <w:rsid w:val="001C6211"/>
    <w:rsid w:val="001D6AB2"/>
    <w:rsid w:val="001D7C9B"/>
    <w:rsid w:val="001E413E"/>
    <w:rsid w:val="001F1F04"/>
    <w:rsid w:val="001F5D62"/>
    <w:rsid w:val="00201171"/>
    <w:rsid w:val="00213953"/>
    <w:rsid w:val="00214642"/>
    <w:rsid w:val="0023225E"/>
    <w:rsid w:val="00234C33"/>
    <w:rsid w:val="002435EF"/>
    <w:rsid w:val="0024382E"/>
    <w:rsid w:val="00243DFC"/>
    <w:rsid w:val="00250A51"/>
    <w:rsid w:val="00251A54"/>
    <w:rsid w:val="00257273"/>
    <w:rsid w:val="00261E65"/>
    <w:rsid w:val="00263FAE"/>
    <w:rsid w:val="002750C1"/>
    <w:rsid w:val="0028206F"/>
    <w:rsid w:val="0029117F"/>
    <w:rsid w:val="0029119E"/>
    <w:rsid w:val="002924C9"/>
    <w:rsid w:val="0029264C"/>
    <w:rsid w:val="00292A0F"/>
    <w:rsid w:val="00297D4A"/>
    <w:rsid w:val="002B4B18"/>
    <w:rsid w:val="002B5DD7"/>
    <w:rsid w:val="002C2048"/>
    <w:rsid w:val="002C2F6B"/>
    <w:rsid w:val="002D2C1D"/>
    <w:rsid w:val="002E488C"/>
    <w:rsid w:val="002E70A1"/>
    <w:rsid w:val="002F3A57"/>
    <w:rsid w:val="00300149"/>
    <w:rsid w:val="00302497"/>
    <w:rsid w:val="00310E5D"/>
    <w:rsid w:val="00311ECE"/>
    <w:rsid w:val="003210F7"/>
    <w:rsid w:val="0032163E"/>
    <w:rsid w:val="00325A64"/>
    <w:rsid w:val="00331445"/>
    <w:rsid w:val="003341B0"/>
    <w:rsid w:val="00340F34"/>
    <w:rsid w:val="00341C6C"/>
    <w:rsid w:val="0034355C"/>
    <w:rsid w:val="003445DF"/>
    <w:rsid w:val="00346C46"/>
    <w:rsid w:val="003514D2"/>
    <w:rsid w:val="003557A8"/>
    <w:rsid w:val="00360992"/>
    <w:rsid w:val="00363D04"/>
    <w:rsid w:val="00367A77"/>
    <w:rsid w:val="00367DB0"/>
    <w:rsid w:val="003745D0"/>
    <w:rsid w:val="003829C6"/>
    <w:rsid w:val="003927A3"/>
    <w:rsid w:val="00397DEC"/>
    <w:rsid w:val="003B2A8F"/>
    <w:rsid w:val="003B53FF"/>
    <w:rsid w:val="003B58D6"/>
    <w:rsid w:val="003B69D0"/>
    <w:rsid w:val="003B71EB"/>
    <w:rsid w:val="003C2B7A"/>
    <w:rsid w:val="003C5CD1"/>
    <w:rsid w:val="003D3C1F"/>
    <w:rsid w:val="003D46DA"/>
    <w:rsid w:val="003D4875"/>
    <w:rsid w:val="003E2147"/>
    <w:rsid w:val="003E27AC"/>
    <w:rsid w:val="003E714B"/>
    <w:rsid w:val="003F3C42"/>
    <w:rsid w:val="003F589A"/>
    <w:rsid w:val="003F7C04"/>
    <w:rsid w:val="00401C01"/>
    <w:rsid w:val="0040541C"/>
    <w:rsid w:val="0041299F"/>
    <w:rsid w:val="00415089"/>
    <w:rsid w:val="00421E71"/>
    <w:rsid w:val="00424C85"/>
    <w:rsid w:val="0042640D"/>
    <w:rsid w:val="004573F3"/>
    <w:rsid w:val="004618DE"/>
    <w:rsid w:val="00463EA2"/>
    <w:rsid w:val="004655C4"/>
    <w:rsid w:val="00465EE6"/>
    <w:rsid w:val="00472E41"/>
    <w:rsid w:val="00482B2E"/>
    <w:rsid w:val="00484032"/>
    <w:rsid w:val="00491E44"/>
    <w:rsid w:val="00494C58"/>
    <w:rsid w:val="00495CD3"/>
    <w:rsid w:val="004A327F"/>
    <w:rsid w:val="004A3DAD"/>
    <w:rsid w:val="004A43DC"/>
    <w:rsid w:val="004B08C6"/>
    <w:rsid w:val="004C0DA5"/>
    <w:rsid w:val="004C11B1"/>
    <w:rsid w:val="004C1526"/>
    <w:rsid w:val="004C1D3F"/>
    <w:rsid w:val="004C3E47"/>
    <w:rsid w:val="004D05D2"/>
    <w:rsid w:val="004D0F08"/>
    <w:rsid w:val="004E41CA"/>
    <w:rsid w:val="004E4665"/>
    <w:rsid w:val="004E56D5"/>
    <w:rsid w:val="004E6746"/>
    <w:rsid w:val="004F3D3D"/>
    <w:rsid w:val="004F6F06"/>
    <w:rsid w:val="00513180"/>
    <w:rsid w:val="005169D0"/>
    <w:rsid w:val="00516B7B"/>
    <w:rsid w:val="00533732"/>
    <w:rsid w:val="00534709"/>
    <w:rsid w:val="005561D9"/>
    <w:rsid w:val="00587870"/>
    <w:rsid w:val="00593E88"/>
    <w:rsid w:val="00596B7E"/>
    <w:rsid w:val="005B5EF5"/>
    <w:rsid w:val="005B69EF"/>
    <w:rsid w:val="005C112C"/>
    <w:rsid w:val="005C118A"/>
    <w:rsid w:val="005C7D01"/>
    <w:rsid w:val="005D54DD"/>
    <w:rsid w:val="005D6192"/>
    <w:rsid w:val="005D6352"/>
    <w:rsid w:val="005E57C9"/>
    <w:rsid w:val="006046D3"/>
    <w:rsid w:val="00611BDC"/>
    <w:rsid w:val="00615F9D"/>
    <w:rsid w:val="00623957"/>
    <w:rsid w:val="00632A9F"/>
    <w:rsid w:val="00642C0C"/>
    <w:rsid w:val="00654E67"/>
    <w:rsid w:val="00655725"/>
    <w:rsid w:val="006565BE"/>
    <w:rsid w:val="00673F0C"/>
    <w:rsid w:val="006835E4"/>
    <w:rsid w:val="0068583F"/>
    <w:rsid w:val="00695BA3"/>
    <w:rsid w:val="0069684F"/>
    <w:rsid w:val="006A3031"/>
    <w:rsid w:val="006A7102"/>
    <w:rsid w:val="006B0247"/>
    <w:rsid w:val="006B216F"/>
    <w:rsid w:val="006C2C65"/>
    <w:rsid w:val="006C5D80"/>
    <w:rsid w:val="006D052A"/>
    <w:rsid w:val="006D36DB"/>
    <w:rsid w:val="006D6768"/>
    <w:rsid w:val="006E2A83"/>
    <w:rsid w:val="0072647C"/>
    <w:rsid w:val="007308FC"/>
    <w:rsid w:val="00732CF3"/>
    <w:rsid w:val="00733AD7"/>
    <w:rsid w:val="007449EA"/>
    <w:rsid w:val="00753AFA"/>
    <w:rsid w:val="00755A0C"/>
    <w:rsid w:val="00755CED"/>
    <w:rsid w:val="0076217F"/>
    <w:rsid w:val="00764251"/>
    <w:rsid w:val="00767B01"/>
    <w:rsid w:val="007701CE"/>
    <w:rsid w:val="007718F4"/>
    <w:rsid w:val="00773D5C"/>
    <w:rsid w:val="00783CE9"/>
    <w:rsid w:val="0078472E"/>
    <w:rsid w:val="007967A2"/>
    <w:rsid w:val="007A3E25"/>
    <w:rsid w:val="007A42DA"/>
    <w:rsid w:val="007A45CC"/>
    <w:rsid w:val="007A49EB"/>
    <w:rsid w:val="007A7EC6"/>
    <w:rsid w:val="007B38A7"/>
    <w:rsid w:val="007B3B0A"/>
    <w:rsid w:val="007C403E"/>
    <w:rsid w:val="007D593C"/>
    <w:rsid w:val="007E49BC"/>
    <w:rsid w:val="007E49D1"/>
    <w:rsid w:val="007E6082"/>
    <w:rsid w:val="007F2BA5"/>
    <w:rsid w:val="007F340E"/>
    <w:rsid w:val="00803653"/>
    <w:rsid w:val="00814042"/>
    <w:rsid w:val="00814BE9"/>
    <w:rsid w:val="00823597"/>
    <w:rsid w:val="00833F92"/>
    <w:rsid w:val="00835BC3"/>
    <w:rsid w:val="008507E1"/>
    <w:rsid w:val="0085153D"/>
    <w:rsid w:val="00853A2A"/>
    <w:rsid w:val="008561DD"/>
    <w:rsid w:val="008608E4"/>
    <w:rsid w:val="00864B92"/>
    <w:rsid w:val="00871764"/>
    <w:rsid w:val="008735A8"/>
    <w:rsid w:val="00873BED"/>
    <w:rsid w:val="00881041"/>
    <w:rsid w:val="00881EB4"/>
    <w:rsid w:val="008852E4"/>
    <w:rsid w:val="008A6802"/>
    <w:rsid w:val="008B1290"/>
    <w:rsid w:val="008C238E"/>
    <w:rsid w:val="008C24D0"/>
    <w:rsid w:val="008C59A5"/>
    <w:rsid w:val="008D21CE"/>
    <w:rsid w:val="008D6721"/>
    <w:rsid w:val="00900028"/>
    <w:rsid w:val="00902342"/>
    <w:rsid w:val="009045C4"/>
    <w:rsid w:val="00904C98"/>
    <w:rsid w:val="009053BE"/>
    <w:rsid w:val="009063B7"/>
    <w:rsid w:val="00907D3B"/>
    <w:rsid w:val="009173FE"/>
    <w:rsid w:val="00920B40"/>
    <w:rsid w:val="00932970"/>
    <w:rsid w:val="009339FB"/>
    <w:rsid w:val="00936EC5"/>
    <w:rsid w:val="00945651"/>
    <w:rsid w:val="00954002"/>
    <w:rsid w:val="00972BBF"/>
    <w:rsid w:val="00976F6B"/>
    <w:rsid w:val="0098415A"/>
    <w:rsid w:val="00993744"/>
    <w:rsid w:val="0099559C"/>
    <w:rsid w:val="009B69C2"/>
    <w:rsid w:val="009C605F"/>
    <w:rsid w:val="009D667F"/>
    <w:rsid w:val="009E3159"/>
    <w:rsid w:val="009E53F6"/>
    <w:rsid w:val="009E6CEB"/>
    <w:rsid w:val="009F5607"/>
    <w:rsid w:val="009F6758"/>
    <w:rsid w:val="00A00B63"/>
    <w:rsid w:val="00A01F17"/>
    <w:rsid w:val="00A0637E"/>
    <w:rsid w:val="00A129A1"/>
    <w:rsid w:val="00A13BF0"/>
    <w:rsid w:val="00A22A0A"/>
    <w:rsid w:val="00A22A86"/>
    <w:rsid w:val="00A23875"/>
    <w:rsid w:val="00A33021"/>
    <w:rsid w:val="00A36041"/>
    <w:rsid w:val="00A44962"/>
    <w:rsid w:val="00A56AFA"/>
    <w:rsid w:val="00A645B3"/>
    <w:rsid w:val="00A70F48"/>
    <w:rsid w:val="00A718D1"/>
    <w:rsid w:val="00A83610"/>
    <w:rsid w:val="00AB7EFE"/>
    <w:rsid w:val="00AC372B"/>
    <w:rsid w:val="00AE406B"/>
    <w:rsid w:val="00AF2348"/>
    <w:rsid w:val="00AF401F"/>
    <w:rsid w:val="00AF5FB6"/>
    <w:rsid w:val="00AF719F"/>
    <w:rsid w:val="00B10702"/>
    <w:rsid w:val="00B143FE"/>
    <w:rsid w:val="00B243F2"/>
    <w:rsid w:val="00B2519D"/>
    <w:rsid w:val="00B32BC4"/>
    <w:rsid w:val="00B33A92"/>
    <w:rsid w:val="00B35712"/>
    <w:rsid w:val="00B43F8C"/>
    <w:rsid w:val="00B54018"/>
    <w:rsid w:val="00B54421"/>
    <w:rsid w:val="00B557FF"/>
    <w:rsid w:val="00B60FF6"/>
    <w:rsid w:val="00B63A05"/>
    <w:rsid w:val="00B7042B"/>
    <w:rsid w:val="00B80382"/>
    <w:rsid w:val="00B872CA"/>
    <w:rsid w:val="00BB352A"/>
    <w:rsid w:val="00BC0383"/>
    <w:rsid w:val="00BC1245"/>
    <w:rsid w:val="00BD5A86"/>
    <w:rsid w:val="00BD661E"/>
    <w:rsid w:val="00BD7DC8"/>
    <w:rsid w:val="00BE109C"/>
    <w:rsid w:val="00BE1269"/>
    <w:rsid w:val="00BE3F20"/>
    <w:rsid w:val="00BF0D41"/>
    <w:rsid w:val="00C01DBD"/>
    <w:rsid w:val="00C04D19"/>
    <w:rsid w:val="00C0567E"/>
    <w:rsid w:val="00C05FC8"/>
    <w:rsid w:val="00C108A8"/>
    <w:rsid w:val="00C138E0"/>
    <w:rsid w:val="00C23847"/>
    <w:rsid w:val="00C2691F"/>
    <w:rsid w:val="00C3317D"/>
    <w:rsid w:val="00C3501E"/>
    <w:rsid w:val="00C37D17"/>
    <w:rsid w:val="00C41845"/>
    <w:rsid w:val="00C42C78"/>
    <w:rsid w:val="00C461E5"/>
    <w:rsid w:val="00C47877"/>
    <w:rsid w:val="00C5482F"/>
    <w:rsid w:val="00C67716"/>
    <w:rsid w:val="00C70815"/>
    <w:rsid w:val="00C741FC"/>
    <w:rsid w:val="00C84B6A"/>
    <w:rsid w:val="00C85548"/>
    <w:rsid w:val="00C90FAD"/>
    <w:rsid w:val="00C91036"/>
    <w:rsid w:val="00C97B94"/>
    <w:rsid w:val="00CA1880"/>
    <w:rsid w:val="00CA38AC"/>
    <w:rsid w:val="00CA48CF"/>
    <w:rsid w:val="00CC085D"/>
    <w:rsid w:val="00CC3A67"/>
    <w:rsid w:val="00CC4DBC"/>
    <w:rsid w:val="00CC501A"/>
    <w:rsid w:val="00CD0E13"/>
    <w:rsid w:val="00CD2F4F"/>
    <w:rsid w:val="00CD43CE"/>
    <w:rsid w:val="00CD630D"/>
    <w:rsid w:val="00CE5093"/>
    <w:rsid w:val="00CE7C2F"/>
    <w:rsid w:val="00CF5D97"/>
    <w:rsid w:val="00D00424"/>
    <w:rsid w:val="00D06516"/>
    <w:rsid w:val="00D23B0B"/>
    <w:rsid w:val="00D23EDD"/>
    <w:rsid w:val="00D302AD"/>
    <w:rsid w:val="00D43F7D"/>
    <w:rsid w:val="00D4515E"/>
    <w:rsid w:val="00D67001"/>
    <w:rsid w:val="00D70881"/>
    <w:rsid w:val="00D779BB"/>
    <w:rsid w:val="00D85497"/>
    <w:rsid w:val="00D86646"/>
    <w:rsid w:val="00D87003"/>
    <w:rsid w:val="00D93FC1"/>
    <w:rsid w:val="00DA5A4C"/>
    <w:rsid w:val="00DA6724"/>
    <w:rsid w:val="00DA71B9"/>
    <w:rsid w:val="00DB1210"/>
    <w:rsid w:val="00DC0D15"/>
    <w:rsid w:val="00DC1F0C"/>
    <w:rsid w:val="00DC7F96"/>
    <w:rsid w:val="00DD53BA"/>
    <w:rsid w:val="00DD6E32"/>
    <w:rsid w:val="00DE4018"/>
    <w:rsid w:val="00DE4C91"/>
    <w:rsid w:val="00DF1829"/>
    <w:rsid w:val="00E01757"/>
    <w:rsid w:val="00E06DA9"/>
    <w:rsid w:val="00E171A1"/>
    <w:rsid w:val="00E174A3"/>
    <w:rsid w:val="00E230C3"/>
    <w:rsid w:val="00E2462D"/>
    <w:rsid w:val="00E3352D"/>
    <w:rsid w:val="00E4106F"/>
    <w:rsid w:val="00E45728"/>
    <w:rsid w:val="00E55EEC"/>
    <w:rsid w:val="00E5717B"/>
    <w:rsid w:val="00E57F87"/>
    <w:rsid w:val="00E621C7"/>
    <w:rsid w:val="00E62C51"/>
    <w:rsid w:val="00E65D5E"/>
    <w:rsid w:val="00E7085A"/>
    <w:rsid w:val="00E71F05"/>
    <w:rsid w:val="00E7609F"/>
    <w:rsid w:val="00E80CF6"/>
    <w:rsid w:val="00E912CA"/>
    <w:rsid w:val="00E96438"/>
    <w:rsid w:val="00EB3895"/>
    <w:rsid w:val="00EB51F4"/>
    <w:rsid w:val="00EC4D1B"/>
    <w:rsid w:val="00ED39E0"/>
    <w:rsid w:val="00EF374E"/>
    <w:rsid w:val="00EF5EE0"/>
    <w:rsid w:val="00F017CE"/>
    <w:rsid w:val="00F02EA8"/>
    <w:rsid w:val="00F04FBD"/>
    <w:rsid w:val="00F077E7"/>
    <w:rsid w:val="00F07CCD"/>
    <w:rsid w:val="00F12358"/>
    <w:rsid w:val="00F31EDD"/>
    <w:rsid w:val="00F639A6"/>
    <w:rsid w:val="00F74AA3"/>
    <w:rsid w:val="00F8500B"/>
    <w:rsid w:val="00F85B2D"/>
    <w:rsid w:val="00F90CD8"/>
    <w:rsid w:val="00F92310"/>
    <w:rsid w:val="00F94805"/>
    <w:rsid w:val="00F97E19"/>
    <w:rsid w:val="00FA1519"/>
    <w:rsid w:val="00FB3EC4"/>
    <w:rsid w:val="00FB4A98"/>
    <w:rsid w:val="00FC7B23"/>
    <w:rsid w:val="00FD010D"/>
    <w:rsid w:val="00FD098D"/>
    <w:rsid w:val="00FD630B"/>
    <w:rsid w:val="00FE2876"/>
    <w:rsid w:val="00FE2FC1"/>
    <w:rsid w:val="00FE4B3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qFormat/>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36041"/>
    <w:rPr>
      <w:rFonts w:ascii="Tahoma" w:hAnsi="Tahoma" w:cs="Tahoma"/>
      <w:sz w:val="16"/>
      <w:szCs w:val="16"/>
    </w:rPr>
  </w:style>
  <w:style w:type="character" w:customStyle="1" w:styleId="BalloonTextChar">
    <w:name w:val="Balloon Text Char"/>
    <w:link w:val="BalloonText"/>
    <w:uiPriority w:val="99"/>
    <w:rsid w:val="00A36041"/>
    <w:rPr>
      <w:rFonts w:ascii="Tahoma" w:hAnsi="Tahoma" w:cs="Tahoma"/>
      <w:snapToGrid w:val="0"/>
      <w:sz w:val="16"/>
      <w:szCs w:val="16"/>
      <w:lang w:eastAsia="zh-CN"/>
    </w:rPr>
  </w:style>
  <w:style w:type="paragraph" w:styleId="BodyText">
    <w:name w:val="Body Text"/>
    <w:basedOn w:val="Normal"/>
    <w:link w:val="BodyTextChar"/>
    <w:uiPriority w:val="1"/>
    <w:qFormat/>
    <w:rsid w:val="005169D0"/>
    <w:pPr>
      <w:spacing w:after="120"/>
    </w:pPr>
  </w:style>
  <w:style w:type="character" w:customStyle="1" w:styleId="BodyTextChar">
    <w:name w:val="Body Text Char"/>
    <w:link w:val="BodyText"/>
    <w:uiPriority w:val="1"/>
    <w:rsid w:val="005169D0"/>
    <w:rPr>
      <w:rFonts w:ascii="Arial" w:hAnsi="Arial"/>
      <w:snapToGrid w:val="0"/>
      <w:sz w:val="22"/>
      <w:szCs w:val="24"/>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uiPriority w:val="22"/>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uiPriority w:val="1"/>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uiPriority w:val="1"/>
    <w:rsid w:val="007A7EC6"/>
    <w:rPr>
      <w:rFonts w:eastAsia="Times New Roman"/>
      <w:sz w:val="24"/>
      <w:szCs w:val="24"/>
      <w:lang w:eastAsia="fr-FR"/>
    </w:rPr>
  </w:style>
  <w:style w:type="character" w:styleId="FollowedHyperlink">
    <w:name w:val="FollowedHyperlink"/>
    <w:uiPriority w:val="99"/>
    <w:rsid w:val="007A7EC6"/>
    <w:rPr>
      <w:color w:val="800080"/>
      <w:u w:val="single"/>
    </w:rPr>
  </w:style>
  <w:style w:type="character" w:customStyle="1" w:styleId="fn">
    <w:name w:val="fn"/>
    <w:basedOn w:val="DefaultParagraphFont"/>
    <w:rsid w:val="007A7EC6"/>
  </w:style>
  <w:style w:type="character" w:styleId="CommentReference">
    <w:name w:val="annotation reference"/>
    <w:uiPriority w:val="99"/>
    <w:rsid w:val="007A7EC6"/>
    <w:rPr>
      <w:sz w:val="16"/>
      <w:szCs w:val="16"/>
    </w:rPr>
  </w:style>
  <w:style w:type="paragraph" w:styleId="CommentText">
    <w:name w:val="annotation text"/>
    <w:basedOn w:val="Normal"/>
    <w:link w:val="CommentTextChar"/>
    <w:uiPriority w:val="99"/>
    <w:qFormat/>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uiPriority w:val="99"/>
    <w:qFormat/>
    <w:rsid w:val="007A7EC6"/>
    <w:rPr>
      <w:rFonts w:eastAsia="Times New Roman"/>
      <w:lang w:val="en-US" w:eastAsia="en-US"/>
    </w:rPr>
  </w:style>
  <w:style w:type="paragraph" w:styleId="CommentSubject">
    <w:name w:val="annotation subject"/>
    <w:basedOn w:val="CommentText"/>
    <w:next w:val="CommentText"/>
    <w:link w:val="CommentSubjectChar"/>
    <w:uiPriority w:val="99"/>
    <w:rsid w:val="007A7EC6"/>
    <w:rPr>
      <w:b/>
      <w:bCs/>
      <w:lang w:val="x-none" w:eastAsia="x-none"/>
    </w:rPr>
  </w:style>
  <w:style w:type="character" w:customStyle="1" w:styleId="CommentSubjectChar">
    <w:name w:val="Comment Subject Char"/>
    <w:basedOn w:val="CommentTextChar"/>
    <w:link w:val="CommentSubject"/>
    <w:uiPriority w:val="99"/>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uiPriority w:val="99"/>
    <w:rsid w:val="007A7EC6"/>
    <w:rPr>
      <w:rFonts w:eastAsia="Times New Roman"/>
      <w:lang w:val="en-US" w:eastAsia="en-US"/>
    </w:rPr>
  </w:style>
  <w:style w:type="character" w:styleId="EndnoteReference">
    <w:name w:val="endnote reference"/>
    <w:uiPriority w:val="99"/>
    <w:rsid w:val="007A7EC6"/>
    <w:rPr>
      <w:vertAlign w:val="superscript"/>
    </w:rPr>
  </w:style>
  <w:style w:type="character" w:customStyle="1" w:styleId="HeaderChar">
    <w:name w:val="Header Char"/>
    <w:basedOn w:val="DefaultParagraphFont"/>
    <w:link w:val="Header"/>
    <w:locked/>
    <w:rsid w:val="003F3C42"/>
    <w:rPr>
      <w:rFonts w:ascii="Arial" w:eastAsia="Times New Roman" w:hAnsi="Arial"/>
      <w:snapToGrid w:val="0"/>
      <w:sz w:val="22"/>
      <w:szCs w:val="24"/>
      <w:lang w:eastAsia="en-US"/>
    </w:rPr>
  </w:style>
  <w:style w:type="character" w:customStyle="1" w:styleId="Heading1Char">
    <w:name w:val="Heading 1 Char"/>
    <w:basedOn w:val="DefaultParagraphFont"/>
    <w:link w:val="Heading1"/>
    <w:rsid w:val="00191E6D"/>
    <w:rPr>
      <w:rFonts w:ascii="Arial" w:eastAsia="Times New Roman" w:hAnsi="Arial"/>
      <w:b/>
      <w:bCs/>
      <w:snapToGrid w:val="0"/>
      <w:kern w:val="28"/>
      <w:sz w:val="22"/>
      <w:szCs w:val="24"/>
      <w:lang w:eastAsia="en-US"/>
    </w:rPr>
  </w:style>
  <w:style w:type="character" w:customStyle="1" w:styleId="MargeChar">
    <w:name w:val="Marge Char"/>
    <w:link w:val="Marge"/>
    <w:qFormat/>
    <w:rsid w:val="00191E6D"/>
    <w:rPr>
      <w:rFonts w:ascii="Arial" w:eastAsia="Times New Roman" w:hAnsi="Arial"/>
      <w:snapToGrid w:val="0"/>
      <w:sz w:val="22"/>
      <w:szCs w:val="24"/>
      <w:lang w:eastAsia="en-US"/>
    </w:rPr>
  </w:style>
  <w:style w:type="character" w:customStyle="1" w:styleId="Stylepersonneldecomposition">
    <w:name w:val="Style personnel de composition"/>
    <w:rsid w:val="00B43F8C"/>
    <w:rPr>
      <w:rFonts w:ascii="Arial" w:hAnsi="Arial" w:cs="Arial"/>
      <w:color w:val="auto"/>
      <w:sz w:val="20"/>
    </w:rPr>
  </w:style>
  <w:style w:type="character" w:customStyle="1" w:styleId="Stylepersonnelderponse">
    <w:name w:val="Style personnel de réponse"/>
    <w:rsid w:val="00B43F8C"/>
    <w:rPr>
      <w:rFonts w:ascii="Arial" w:hAnsi="Arial" w:cs="Arial"/>
      <w:color w:val="auto"/>
      <w:sz w:val="20"/>
    </w:rPr>
  </w:style>
  <w:style w:type="character" w:styleId="UnresolvedMention">
    <w:name w:val="Unresolved Mention"/>
    <w:basedOn w:val="DefaultParagraphFont"/>
    <w:uiPriority w:val="99"/>
    <w:semiHidden/>
    <w:unhideWhenUsed/>
    <w:rsid w:val="00B43F8C"/>
    <w:rPr>
      <w:color w:val="605E5C"/>
      <w:shd w:val="clear" w:color="auto" w:fill="E1DFDD"/>
    </w:rPr>
  </w:style>
  <w:style w:type="character" w:customStyle="1" w:styleId="Heading2Char">
    <w:name w:val="Heading 2 Char"/>
    <w:basedOn w:val="DefaultParagraphFont"/>
    <w:link w:val="Heading2"/>
    <w:uiPriority w:val="9"/>
    <w:rsid w:val="00B43F8C"/>
    <w:rPr>
      <w:rFonts w:ascii="Arial" w:eastAsia="Times New Roman" w:hAnsi="Arial"/>
      <w:b/>
      <w:bCs/>
      <w:caps/>
      <w:snapToGrid w:val="0"/>
      <w:sz w:val="22"/>
      <w:szCs w:val="24"/>
      <w:lang w:eastAsia="en-US"/>
    </w:rPr>
  </w:style>
  <w:style w:type="character" w:customStyle="1" w:styleId="Heading3Char">
    <w:name w:val="Heading 3 Char"/>
    <w:basedOn w:val="DefaultParagraphFont"/>
    <w:link w:val="Heading3"/>
    <w:uiPriority w:val="9"/>
    <w:rsid w:val="00B43F8C"/>
    <w:rPr>
      <w:rFonts w:ascii="Arial" w:eastAsia="Times New Roman" w:hAnsi="Arial"/>
      <w:b/>
      <w:bCs/>
      <w:snapToGrid w:val="0"/>
      <w:sz w:val="22"/>
      <w:szCs w:val="24"/>
      <w:lang w:eastAsia="en-US"/>
    </w:rPr>
  </w:style>
  <w:style w:type="table" w:customStyle="1" w:styleId="Grilledutableau1">
    <w:name w:val="Grille du tableau1"/>
    <w:basedOn w:val="TableNormal"/>
    <w:next w:val="TableGrid"/>
    <w:uiPriority w:val="39"/>
    <w:rsid w:val="00B43F8C"/>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uiPriority w:val="99"/>
    <w:semiHidden/>
    <w:unhideWhenUsed/>
    <w:rsid w:val="00B43F8C"/>
    <w:pPr>
      <w:widowControl w:val="0"/>
      <w:tabs>
        <w:tab w:val="clear" w:pos="567"/>
      </w:tabs>
      <w:snapToGrid/>
    </w:pPr>
    <w:rPr>
      <w:rFonts w:ascii="Segoe UI" w:eastAsia="Times New Roman" w:hAnsi="Segoe UI" w:cs="Segoe UI"/>
      <w:snapToGrid/>
      <w:sz w:val="18"/>
      <w:szCs w:val="18"/>
      <w:lang w:eastAsia="fr-FR"/>
    </w:rPr>
  </w:style>
  <w:style w:type="paragraph" w:customStyle="1" w:styleId="Sansinterligne1">
    <w:name w:val="Sans interligne1"/>
    <w:next w:val="NoSpacing"/>
    <w:uiPriority w:val="1"/>
    <w:qFormat/>
    <w:rsid w:val="00B43F8C"/>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B43F8C"/>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B43F8C"/>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B43F8C"/>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B43F8C"/>
    <w:rPr>
      <w:color w:val="0000FF"/>
      <w:u w:val="single"/>
    </w:rPr>
  </w:style>
  <w:style w:type="paragraph" w:customStyle="1" w:styleId="TM31">
    <w:name w:val="TM 31"/>
    <w:basedOn w:val="Heading3"/>
    <w:next w:val="Normal"/>
    <w:autoRedefine/>
    <w:uiPriority w:val="39"/>
    <w:unhideWhenUsed/>
    <w:rsid w:val="00B43F8C"/>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FooterChar">
    <w:name w:val="Footer Char"/>
    <w:basedOn w:val="DefaultParagraphFont"/>
    <w:link w:val="Footer"/>
    <w:uiPriority w:val="99"/>
    <w:rsid w:val="00B43F8C"/>
    <w:rPr>
      <w:rFonts w:ascii="Arial" w:eastAsia="Times New Roman"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B43F8C"/>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eastAsia="en-US"/>
    </w:rPr>
  </w:style>
  <w:style w:type="character" w:customStyle="1" w:styleId="ParagraphedelisteCar">
    <w:name w:val="Paragraphe de liste Car"/>
    <w:aliases w:val="ADB List Paragraph Car,Dot pt Car,List Paragraph Char Char Char Car,Indicator Text Car,Numbered Para 1 Car,List Paragraph12 Car,Bullet Points Car,MAIN CONTENT Car,Bullet 1 Car,Light Grid - Accent 31 Car,References Car,stil3 Car"/>
    <w:link w:val="Paragraphedeliste1"/>
    <w:uiPriority w:val="34"/>
    <w:qFormat/>
    <w:rsid w:val="00B43F8C"/>
    <w:rPr>
      <w:rFonts w:ascii="Fira Sans Light" w:eastAsia="Calibri" w:hAnsi="Fira Sans Light" w:cs="Arial"/>
      <w:szCs w:val="22"/>
      <w:lang w:val="en-US" w:eastAsia="en-US"/>
    </w:rPr>
  </w:style>
  <w:style w:type="paragraph" w:customStyle="1" w:styleId="paragraph">
    <w:name w:val="paragraph"/>
    <w:basedOn w:val="Normal"/>
    <w:rsid w:val="00B43F8C"/>
    <w:pPr>
      <w:tabs>
        <w:tab w:val="clear" w:pos="567"/>
      </w:tabs>
      <w:snapToGrid/>
      <w:spacing w:before="100" w:beforeAutospacing="1" w:after="100" w:afterAutospacing="1"/>
    </w:pPr>
    <w:rPr>
      <w:rFonts w:ascii="Times New Roman" w:eastAsia="Times New Roman" w:hAnsi="Times New Roman"/>
      <w:snapToGrid/>
      <w:sz w:val="24"/>
      <w:lang w:eastAsia="fr-FR"/>
    </w:rPr>
  </w:style>
  <w:style w:type="character" w:customStyle="1" w:styleId="eop">
    <w:name w:val="eop"/>
    <w:basedOn w:val="DefaultParagraphFont"/>
    <w:rsid w:val="00B43F8C"/>
  </w:style>
  <w:style w:type="character" w:customStyle="1" w:styleId="ffa">
    <w:name w:val="ffa"/>
    <w:basedOn w:val="DefaultParagraphFont"/>
    <w:rsid w:val="00B43F8C"/>
  </w:style>
  <w:style w:type="character" w:customStyle="1" w:styleId="ws2a">
    <w:name w:val="ws2a"/>
    <w:basedOn w:val="DefaultParagraphFont"/>
    <w:rsid w:val="00B43F8C"/>
  </w:style>
  <w:style w:type="paragraph" w:customStyle="1" w:styleId="Lgende1">
    <w:name w:val="Légende1"/>
    <w:basedOn w:val="Normal"/>
    <w:next w:val="Normal"/>
    <w:uiPriority w:val="35"/>
    <w:unhideWhenUsed/>
    <w:qFormat/>
    <w:rsid w:val="00B43F8C"/>
    <w:pPr>
      <w:tabs>
        <w:tab w:val="clear" w:pos="567"/>
      </w:tabs>
      <w:snapToGrid/>
      <w:spacing w:after="200"/>
    </w:pPr>
    <w:rPr>
      <w:rFonts w:eastAsia="Arial" w:cs="Arial"/>
      <w:i/>
      <w:iCs/>
      <w:snapToGrid/>
      <w:color w:val="4FA68C"/>
      <w:sz w:val="18"/>
      <w:szCs w:val="18"/>
      <w:lang w:val="en-US" w:eastAsia="en-GB"/>
    </w:rPr>
  </w:style>
  <w:style w:type="character" w:customStyle="1" w:styleId="normaltextrun">
    <w:name w:val="normaltextrun"/>
    <w:basedOn w:val="DefaultParagraphFont"/>
    <w:rsid w:val="00B43F8C"/>
  </w:style>
  <w:style w:type="paragraph" w:customStyle="1" w:styleId="Tabledesillustrations1">
    <w:name w:val="Table des illustrations1"/>
    <w:basedOn w:val="Normal"/>
    <w:next w:val="Normal"/>
    <w:uiPriority w:val="99"/>
    <w:unhideWhenUsed/>
    <w:rsid w:val="00B43F8C"/>
    <w:pPr>
      <w:widowControl w:val="0"/>
      <w:tabs>
        <w:tab w:val="clear" w:pos="567"/>
      </w:tabs>
      <w:snapToGrid/>
      <w:spacing w:line="276" w:lineRule="auto"/>
    </w:pPr>
    <w:rPr>
      <w:rFonts w:ascii="Fira Sans Light" w:eastAsia="Calibri" w:hAnsi="Fira Sans Light" w:cs="Arial"/>
      <w:snapToGrid/>
      <w:sz w:val="20"/>
      <w:szCs w:val="22"/>
      <w:lang w:val="en-US" w:eastAsia="en-US"/>
    </w:rPr>
  </w:style>
  <w:style w:type="paragraph" w:customStyle="1" w:styleId="Objetducommentaire1">
    <w:name w:val="Objet du commentaire1"/>
    <w:basedOn w:val="CommentText"/>
    <w:next w:val="CommentText"/>
    <w:uiPriority w:val="99"/>
    <w:semiHidden/>
    <w:unhideWhenUsed/>
    <w:rsid w:val="00B43F8C"/>
    <w:pPr>
      <w:widowControl w:val="0"/>
      <w:spacing w:after="200"/>
    </w:pPr>
    <w:rPr>
      <w:rFonts w:ascii="Fira Sans Light" w:eastAsia="Calibri" w:hAnsi="Fira Sans Light" w:cs="Arial"/>
      <w:b/>
      <w:bCs/>
    </w:rPr>
  </w:style>
  <w:style w:type="character" w:customStyle="1" w:styleId="Lienhypertextesuivivisit1">
    <w:name w:val="Lien hypertexte suivi visité1"/>
    <w:basedOn w:val="DefaultParagraphFont"/>
    <w:uiPriority w:val="99"/>
    <w:semiHidden/>
    <w:unhideWhenUsed/>
    <w:rsid w:val="00B43F8C"/>
    <w:rPr>
      <w:color w:val="800080"/>
      <w:u w:val="single"/>
    </w:rPr>
  </w:style>
  <w:style w:type="character" w:customStyle="1" w:styleId="UnresolvedMention1">
    <w:name w:val="Unresolved Mention1"/>
    <w:basedOn w:val="DefaultParagraphFont"/>
    <w:uiPriority w:val="99"/>
    <w:semiHidden/>
    <w:unhideWhenUsed/>
    <w:rsid w:val="00B43F8C"/>
    <w:rPr>
      <w:color w:val="605E5C"/>
      <w:shd w:val="clear" w:color="auto" w:fill="E1DFDD"/>
    </w:rPr>
  </w:style>
  <w:style w:type="character" w:customStyle="1" w:styleId="TextedebullesCar1">
    <w:name w:val="Texte de bulles Car1"/>
    <w:basedOn w:val="DefaultParagraphFont"/>
    <w:semiHidden/>
    <w:rsid w:val="00B43F8C"/>
    <w:rPr>
      <w:rFonts w:ascii="Segoe UI" w:hAnsi="Segoe UI" w:cs="Segoe UI"/>
      <w:snapToGrid w:val="0"/>
      <w:sz w:val="18"/>
      <w:szCs w:val="18"/>
      <w:lang w:eastAsia="en-US"/>
    </w:rPr>
  </w:style>
  <w:style w:type="character" w:customStyle="1" w:styleId="ObjetducommentaireCar1">
    <w:name w:val="Objet du commentaire Car1"/>
    <w:basedOn w:val="CommentTextChar"/>
    <w:semiHidden/>
    <w:rsid w:val="00B43F8C"/>
    <w:rPr>
      <w:rFonts w:ascii="Arial" w:eastAsia="Arial" w:hAnsi="Arial" w:cs="Arial"/>
      <w:b/>
      <w:bCs/>
      <w:lang w:val="en-US" w:eastAsia="en-GB"/>
    </w:rPr>
  </w:style>
  <w:style w:type="character" w:customStyle="1" w:styleId="Mentionnonrsolue1">
    <w:name w:val="Mention non résolue1"/>
    <w:basedOn w:val="DefaultParagraphFont"/>
    <w:uiPriority w:val="99"/>
    <w:semiHidden/>
    <w:unhideWhenUsed/>
    <w:rsid w:val="00B43F8C"/>
    <w:rPr>
      <w:color w:val="605E5C"/>
      <w:shd w:val="clear" w:color="auto" w:fill="E1DFDD"/>
    </w:rPr>
  </w:style>
  <w:style w:type="character" w:customStyle="1" w:styleId="Style2Car">
    <w:name w:val="Style2 Car"/>
    <w:basedOn w:val="DefaultParagraphFont"/>
    <w:rsid w:val="00B43F8C"/>
    <w:rPr>
      <w:rFonts w:ascii="Arial" w:hAnsi="Arial"/>
      <w:iCs/>
      <w:snapToGrid w:val="0"/>
      <w:sz w:val="22"/>
      <w:szCs w:val="22"/>
      <w:shd w:val="clear" w:color="auto" w:fill="FFFFFF"/>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B43F8C"/>
    <w:pPr>
      <w:tabs>
        <w:tab w:val="clear" w:pos="567"/>
      </w:tabs>
      <w:snapToGrid/>
      <w:spacing w:before="120" w:after="160" w:line="240" w:lineRule="exact"/>
    </w:pPr>
    <w:rPr>
      <w:rFonts w:ascii="Times New Roman" w:hAnsi="Times New Roman"/>
      <w:snapToGrid/>
      <w:sz w:val="20"/>
      <w:szCs w:val="20"/>
      <w:vertAlign w:val="superscript"/>
    </w:rPr>
  </w:style>
  <w:style w:type="character" w:customStyle="1" w:styleId="Heading7Char">
    <w:name w:val="Heading 7 Char"/>
    <w:basedOn w:val="DefaultParagraphFont"/>
    <w:link w:val="Heading7"/>
    <w:rsid w:val="00B43F8C"/>
    <w:rPr>
      <w:color w:val="000000"/>
      <w:sz w:val="24"/>
      <w:szCs w:val="24"/>
      <w:u w:val="single"/>
    </w:rPr>
  </w:style>
  <w:style w:type="paragraph" w:customStyle="1" w:styleId="JOBSTYLE">
    <w:name w:val="JOBSTYLE"/>
    <w:basedOn w:val="Normal"/>
    <w:rsid w:val="00B43F8C"/>
    <w:pPr>
      <w:tabs>
        <w:tab w:val="left" w:pos="1134"/>
        <w:tab w:val="left" w:pos="6237"/>
      </w:tabs>
      <w:overflowPunct w:val="0"/>
      <w:autoSpaceDE w:val="0"/>
      <w:autoSpaceDN w:val="0"/>
      <w:adjustRightInd w:val="0"/>
      <w:snapToGrid/>
      <w:spacing w:line="960" w:lineRule="auto"/>
      <w:jc w:val="both"/>
      <w:textAlignment w:val="baseline"/>
    </w:pPr>
    <w:rPr>
      <w:rFonts w:ascii="Times New Roman" w:eastAsia="Times New Roman" w:hAnsi="Times New Roman"/>
      <w:snapToGrid/>
      <w:sz w:val="24"/>
      <w:lang w:val="en-GB" w:eastAsia="en-US"/>
    </w:rPr>
  </w:style>
  <w:style w:type="character" w:customStyle="1" w:styleId="UnresolvedMention2">
    <w:name w:val="Unresolved Mention2"/>
    <w:basedOn w:val="DefaultParagraphFont"/>
    <w:uiPriority w:val="99"/>
    <w:semiHidden/>
    <w:unhideWhenUsed/>
    <w:rsid w:val="00B43F8C"/>
    <w:rPr>
      <w:color w:val="605E5C"/>
      <w:shd w:val="clear" w:color="auto" w:fill="E1DFDD"/>
    </w:rPr>
  </w:style>
  <w:style w:type="character" w:customStyle="1" w:styleId="UnresolvedMention3">
    <w:name w:val="Unresolved Mention3"/>
    <w:basedOn w:val="DefaultParagraphFont"/>
    <w:uiPriority w:val="99"/>
    <w:semiHidden/>
    <w:unhideWhenUsed/>
    <w:rsid w:val="00B43F8C"/>
    <w:rPr>
      <w:color w:val="605E5C"/>
      <w:shd w:val="clear" w:color="auto" w:fill="E1DFDD"/>
    </w:rPr>
  </w:style>
  <w:style w:type="character" w:customStyle="1" w:styleId="Heading4Char">
    <w:name w:val="Heading 4 Char"/>
    <w:basedOn w:val="DefaultParagraphFont"/>
    <w:link w:val="Heading4"/>
    <w:uiPriority w:val="9"/>
    <w:rsid w:val="00B43F8C"/>
    <w:rPr>
      <w:rFonts w:ascii="Arial" w:eastAsia="Times New Roman" w:hAnsi="Arial"/>
      <w:b/>
      <w:bCs/>
      <w:snapToGrid w:val="0"/>
      <w:sz w:val="22"/>
      <w:szCs w:val="24"/>
      <w:lang w:eastAsia="en-US"/>
    </w:rPr>
  </w:style>
  <w:style w:type="character" w:customStyle="1" w:styleId="UnresolvedMention4">
    <w:name w:val="Unresolved Mention4"/>
    <w:basedOn w:val="DefaultParagraphFont"/>
    <w:uiPriority w:val="99"/>
    <w:semiHidden/>
    <w:unhideWhenUsed/>
    <w:rsid w:val="00B43F8C"/>
    <w:rPr>
      <w:color w:val="605E5C"/>
      <w:shd w:val="clear" w:color="auto" w:fill="E1DFDD"/>
    </w:rPr>
  </w:style>
  <w:style w:type="paragraph" w:customStyle="1" w:styleId="COI">
    <w:name w:val="COI"/>
    <w:basedOn w:val="Normal"/>
    <w:link w:val="COIChar"/>
    <w:autoRedefine/>
    <w:rsid w:val="00FB4A98"/>
    <w:pPr>
      <w:spacing w:after="240"/>
      <w:jc w:val="both"/>
    </w:pPr>
    <w:rPr>
      <w:rFonts w:eastAsia="Arial Unicode MS"/>
      <w:sz w:val="20"/>
      <w:szCs w:val="20"/>
      <w:lang w:val="en-GB" w:eastAsia="en-US"/>
    </w:rPr>
  </w:style>
  <w:style w:type="character" w:customStyle="1" w:styleId="COIChar">
    <w:name w:val="COI Char"/>
    <w:link w:val="COI"/>
    <w:rsid w:val="00FB4A98"/>
    <w:rPr>
      <w:rFonts w:ascii="Arial" w:eastAsia="Arial Unicode MS" w:hAnsi="Arial"/>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81383">
      <w:bodyDiv w:val="1"/>
      <w:marLeft w:val="0"/>
      <w:marRight w:val="0"/>
      <w:marTop w:val="0"/>
      <w:marBottom w:val="0"/>
      <w:divBdr>
        <w:top w:val="none" w:sz="0" w:space="0" w:color="auto"/>
        <w:left w:val="none" w:sz="0" w:space="0" w:color="auto"/>
        <w:bottom w:val="none" w:sz="0" w:space="0" w:color="auto"/>
        <w:right w:val="none" w:sz="0" w:space="0" w:color="auto"/>
      </w:divBdr>
    </w:div>
    <w:div w:id="19452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32659" TargetMode="External"/><Relationship Id="rId18" Type="http://schemas.openxmlformats.org/officeDocument/2006/relationships/hyperlink" Target="https://oceanexpert.org/document/32209"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ceanexpert.org/document/29205" TargetMode="External"/><Relationship Id="rId17" Type="http://schemas.openxmlformats.org/officeDocument/2006/relationships/hyperlink" Target="https://unesdoc.unesco.org/ark:/48223/pf0000385186" TargetMode="External"/><Relationship Id="rId2" Type="http://schemas.openxmlformats.org/officeDocument/2006/relationships/numbering" Target="numbering.xml"/><Relationship Id="rId16" Type="http://schemas.openxmlformats.org/officeDocument/2006/relationships/hyperlink" Target="https://oceanexpert.org/document/3263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3596_f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ceanexpert.org/document/32542"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oceanexpert.org/document/311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32568"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2143</Words>
  <Characters>12034</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Rapport final du Groupe de travail intersessions à composition _x000d_
non limitée sur le statut du Comité régional de la COI _x000d_
pour l’océan Indien central (IOCINDIO), 2022-2023_x000d_
Proposition concernant la création d’une sous-commission de la COI _x000d_
pour l’océan </vt:lpstr>
    </vt:vector>
  </TitlesOfParts>
  <Company>Unesco</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du Groupe consultatif financier intersessions</dc:title>
  <dc:subject>IOC/A-32/6.2.Doc(2)</dc:subject>
  <dc:creator>as.machu@unesco.org</dc:creator>
  <cp:keywords>18.12F</cp:keywords>
  <dc:description/>
  <cp:lastModifiedBy>Boned, Patrice</cp:lastModifiedBy>
  <cp:revision>2</cp:revision>
  <cp:lastPrinted>2012-08-02T14:52:00Z</cp:lastPrinted>
  <dcterms:created xsi:type="dcterms:W3CDTF">2023-06-20T20:43:00Z</dcterms:created>
  <dcterms:modified xsi:type="dcterms:W3CDTF">2023-06-20T20:43:00Z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202301993</vt:lpwstr>
  </property>
</Properties>
</file>