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Layout w:type="fixed"/>
        <w:tblLook w:val="0000" w:firstRow="0" w:lastRow="0" w:firstColumn="0" w:lastColumn="0" w:noHBand="0" w:noVBand="0"/>
      </w:tblPr>
      <w:tblGrid>
        <w:gridCol w:w="5954"/>
        <w:gridCol w:w="3332"/>
      </w:tblGrid>
      <w:tr w:rsidR="00BC394C" w:rsidRPr="00120BF7" w14:paraId="6D82A7B2" w14:textId="77777777" w:rsidTr="00586242">
        <w:tc>
          <w:tcPr>
            <w:tcW w:w="5954" w:type="dxa"/>
          </w:tcPr>
          <w:p w14:paraId="0891A884" w14:textId="086CB395" w:rsidR="00BC394C" w:rsidRPr="00120BF7" w:rsidRDefault="00586242" w:rsidP="00586242">
            <w:pPr>
              <w:spacing w:after="240"/>
              <w:ind w:left="-105"/>
              <w:rPr>
                <w:rFonts w:ascii="Arial" w:hAnsi="Arial" w:cs="Arial"/>
                <w:lang w:val="es-ES_tradnl"/>
              </w:rPr>
            </w:pPr>
            <w:r w:rsidRPr="00120BF7">
              <w:rPr>
                <w:rFonts w:ascii="Arial" w:hAnsi="Arial" w:cs="Arial"/>
                <w:sz w:val="22"/>
                <w:szCs w:val="22"/>
                <w:lang w:val="es-ES_tradnl"/>
              </w:rPr>
              <w:t>Distribución limitada</w:t>
            </w:r>
          </w:p>
        </w:tc>
        <w:tc>
          <w:tcPr>
            <w:tcW w:w="3332" w:type="dxa"/>
          </w:tcPr>
          <w:p w14:paraId="56FA8779" w14:textId="04D6B74F" w:rsidR="00BC394C" w:rsidRPr="00120BF7" w:rsidRDefault="00BB7AF2" w:rsidP="0072719C">
            <w:pPr>
              <w:ind w:left="459"/>
              <w:rPr>
                <w:rFonts w:ascii="Arial" w:hAnsi="Arial" w:cs="Arial"/>
                <w:b/>
                <w:lang w:val="es-ES_tradnl"/>
              </w:rPr>
            </w:pPr>
            <w:r w:rsidRPr="00120BF7">
              <w:rPr>
                <w:rFonts w:ascii="Arial" w:hAnsi="Arial" w:cs="Arial"/>
                <w:b/>
                <w:sz w:val="22"/>
                <w:szCs w:val="22"/>
                <w:lang w:val="es-ES_tradnl"/>
              </w:rPr>
              <w:t>A</w:t>
            </w:r>
            <w:r w:rsidR="00135422" w:rsidRPr="00120BF7">
              <w:rPr>
                <w:rFonts w:ascii="Arial" w:hAnsi="Arial" w:cs="Arial"/>
                <w:b/>
                <w:sz w:val="22"/>
                <w:szCs w:val="22"/>
                <w:lang w:val="es-ES_tradnl"/>
              </w:rPr>
              <w:t>-</w:t>
            </w:r>
            <w:r w:rsidR="005002AE" w:rsidRPr="00120BF7">
              <w:rPr>
                <w:rFonts w:ascii="Arial" w:hAnsi="Arial" w:cs="Arial"/>
                <w:b/>
                <w:sz w:val="22"/>
                <w:szCs w:val="22"/>
                <w:lang w:val="es-ES_tradnl"/>
              </w:rPr>
              <w:t>32</w:t>
            </w:r>
            <w:r w:rsidR="001E3923" w:rsidRPr="00120BF7">
              <w:rPr>
                <w:rFonts w:ascii="Arial" w:hAnsi="Arial" w:cs="Arial"/>
                <w:b/>
                <w:sz w:val="22"/>
                <w:szCs w:val="22"/>
                <w:lang w:val="es-ES_tradnl"/>
              </w:rPr>
              <w:t>/DR.</w:t>
            </w:r>
            <w:r w:rsidR="0050224F" w:rsidRPr="00120BF7">
              <w:rPr>
                <w:rFonts w:ascii="Arial" w:hAnsi="Arial" w:cs="Arial"/>
                <w:b/>
                <w:sz w:val="22"/>
                <w:szCs w:val="22"/>
                <w:lang w:val="es-ES_tradnl"/>
              </w:rPr>
              <w:t>[</w:t>
            </w:r>
            <w:r w:rsidR="00EC7D2C" w:rsidRPr="00120BF7">
              <w:rPr>
                <w:rFonts w:ascii="Arial" w:hAnsi="Arial" w:cs="Arial"/>
                <w:b/>
                <w:sz w:val="22"/>
                <w:szCs w:val="22"/>
                <w:lang w:val="es-ES_tradnl"/>
              </w:rPr>
              <w:t>4.</w:t>
            </w:r>
            <w:r w:rsidR="00B36FD8" w:rsidRPr="00120BF7">
              <w:rPr>
                <w:rFonts w:ascii="Arial" w:hAnsi="Arial" w:cs="Arial"/>
                <w:b/>
                <w:sz w:val="22"/>
                <w:szCs w:val="22"/>
                <w:lang w:val="es-ES_tradnl"/>
              </w:rPr>
              <w:t>5</w:t>
            </w:r>
            <w:r w:rsidR="0050224F" w:rsidRPr="00120BF7">
              <w:rPr>
                <w:rFonts w:ascii="Arial" w:hAnsi="Arial" w:cs="Arial"/>
                <w:b/>
                <w:sz w:val="22"/>
                <w:szCs w:val="22"/>
                <w:lang w:val="es-ES_tradnl"/>
              </w:rPr>
              <w:t>]</w:t>
            </w:r>
          </w:p>
          <w:p w14:paraId="52560412" w14:textId="6DCAE064" w:rsidR="00586242" w:rsidRPr="00120BF7" w:rsidRDefault="00586242" w:rsidP="00586242">
            <w:pPr>
              <w:ind w:left="459"/>
              <w:rPr>
                <w:rFonts w:ascii="Arial" w:hAnsi="Arial" w:cs="Arial"/>
                <w:sz w:val="22"/>
                <w:szCs w:val="22"/>
                <w:lang w:val="es-ES_tradnl"/>
              </w:rPr>
            </w:pPr>
            <w:r w:rsidRPr="00120BF7">
              <w:rPr>
                <w:rFonts w:ascii="Arial" w:hAnsi="Arial" w:cs="Arial"/>
                <w:sz w:val="22"/>
                <w:szCs w:val="22"/>
                <w:lang w:val="es-ES_tradnl"/>
              </w:rPr>
              <w:t>París, 2</w:t>
            </w:r>
            <w:r w:rsidR="00B36FD8" w:rsidRPr="00120BF7">
              <w:rPr>
                <w:rFonts w:ascii="Arial" w:hAnsi="Arial" w:cs="Arial"/>
                <w:sz w:val="22"/>
                <w:szCs w:val="22"/>
                <w:lang w:val="es-ES_tradnl"/>
              </w:rPr>
              <w:t>6</w:t>
            </w:r>
            <w:r w:rsidRPr="00120BF7">
              <w:rPr>
                <w:rFonts w:ascii="Arial" w:hAnsi="Arial" w:cs="Arial"/>
                <w:sz w:val="22"/>
                <w:szCs w:val="22"/>
                <w:lang w:val="es-ES_tradnl"/>
              </w:rPr>
              <w:t xml:space="preserve"> de junio de 2023</w:t>
            </w:r>
          </w:p>
          <w:p w14:paraId="0B7A4A57" w14:textId="48E6FFB4" w:rsidR="00BC394C" w:rsidRPr="00120BF7" w:rsidRDefault="00586242" w:rsidP="00586242">
            <w:pPr>
              <w:spacing w:after="240"/>
              <w:ind w:left="459"/>
              <w:rPr>
                <w:rFonts w:ascii="Arial" w:hAnsi="Arial" w:cs="Arial"/>
                <w:lang w:val="es-ES_tradnl"/>
              </w:rPr>
            </w:pPr>
            <w:r w:rsidRPr="00120BF7">
              <w:rPr>
                <w:rFonts w:ascii="Arial" w:hAnsi="Arial" w:cs="Arial"/>
                <w:sz w:val="22"/>
                <w:szCs w:val="22"/>
                <w:lang w:val="es-ES_tradnl"/>
              </w:rPr>
              <w:t>Original: inglés</w:t>
            </w:r>
          </w:p>
        </w:tc>
      </w:tr>
    </w:tbl>
    <w:p w14:paraId="642286DD" w14:textId="34A8DE66" w:rsidR="002C28A8" w:rsidRPr="00120BF7" w:rsidRDefault="00586242" w:rsidP="00586242">
      <w:pPr>
        <w:spacing w:after="240"/>
        <w:rPr>
          <w:rFonts w:ascii="Arial" w:eastAsia="Calibri" w:hAnsi="Arial" w:cs="Arial"/>
          <w:b/>
          <w:sz w:val="22"/>
          <w:szCs w:val="22"/>
          <w:lang w:val="es-ES_tradnl"/>
        </w:rPr>
      </w:pPr>
      <w:r w:rsidRPr="00120BF7">
        <w:rPr>
          <w:rFonts w:ascii="Arial" w:eastAsia="Calibri" w:hAnsi="Arial" w:cs="Arial"/>
          <w:b/>
          <w:sz w:val="22"/>
          <w:szCs w:val="22"/>
          <w:lang w:val="es-ES_tradnl"/>
        </w:rPr>
        <w:t>PROYECTO DE RESOLUCIÓN A-32/DR.[4.</w:t>
      </w:r>
      <w:r w:rsidR="00B36FD8" w:rsidRPr="00120BF7">
        <w:rPr>
          <w:rFonts w:ascii="Arial" w:eastAsia="Calibri" w:hAnsi="Arial" w:cs="Arial"/>
          <w:b/>
          <w:sz w:val="22"/>
          <w:szCs w:val="22"/>
          <w:lang w:val="es-ES_tradnl"/>
        </w:rPr>
        <w:t>5</w:t>
      </w:r>
      <w:r w:rsidRPr="00120BF7">
        <w:rPr>
          <w:rFonts w:ascii="Arial" w:eastAsia="Calibri" w:hAnsi="Arial" w:cs="Arial"/>
          <w:b/>
          <w:sz w:val="22"/>
          <w:szCs w:val="22"/>
          <w:lang w:val="es-ES_tradnl"/>
        </w:rPr>
        <w:t>]</w:t>
      </w:r>
    </w:p>
    <w:p w14:paraId="1B9CA634" w14:textId="706D321D" w:rsidR="002C28A8" w:rsidRPr="00120BF7" w:rsidRDefault="00B36FD8" w:rsidP="00B36FD8">
      <w:pPr>
        <w:spacing w:after="240"/>
        <w:rPr>
          <w:rFonts w:ascii="Arial" w:eastAsia="Calibri" w:hAnsi="Arial" w:cs="Arial"/>
          <w:sz w:val="22"/>
          <w:szCs w:val="22"/>
          <w:lang w:val="es-ES_tradnl"/>
        </w:rPr>
      </w:pPr>
      <w:r w:rsidRPr="00120BF7">
        <w:rPr>
          <w:rFonts w:ascii="Arial" w:eastAsia="Calibri" w:hAnsi="Arial" w:cs="Arial"/>
          <w:i/>
          <w:iCs/>
          <w:sz w:val="22"/>
          <w:szCs w:val="22"/>
          <w:lang w:val="es-ES_tradnl"/>
        </w:rPr>
        <w:t>Presentado por Bangladesh, los Emiratos Árabes Unidos, Kenya, Kuwait, el Pakistán y la República Islámica del Irán</w:t>
      </w:r>
    </w:p>
    <w:p w14:paraId="63A0CB2A" w14:textId="3A420EA2" w:rsidR="004B1009" w:rsidRPr="00120BF7" w:rsidRDefault="00B36FD8" w:rsidP="00B36FD8">
      <w:pPr>
        <w:spacing w:after="240"/>
        <w:jc w:val="center"/>
        <w:rPr>
          <w:rStyle w:val="Heading2Char"/>
          <w:b w:val="0"/>
          <w:bCs w:val="0"/>
          <w:szCs w:val="22"/>
          <w:lang w:val="es-ES_tradnl"/>
        </w:rPr>
      </w:pPr>
      <w:r w:rsidRPr="00120BF7">
        <w:rPr>
          <w:rFonts w:ascii="Arial" w:hAnsi="Arial" w:cs="Arial"/>
          <w:b/>
          <w:bCs/>
          <w:color w:val="000000"/>
          <w:sz w:val="22"/>
          <w:szCs w:val="22"/>
          <w:lang w:val="es-ES_tradnl"/>
        </w:rPr>
        <w:t>CREACIÓN DE UNA SUBCOMISIÓN DE LA COI</w:t>
      </w:r>
      <w:r w:rsidR="00DF3D2E">
        <w:rPr>
          <w:rFonts w:ascii="Arial" w:hAnsi="Arial" w:cs="Arial"/>
          <w:b/>
          <w:bCs/>
          <w:color w:val="000000"/>
          <w:sz w:val="22"/>
          <w:szCs w:val="22"/>
          <w:lang w:val="es-ES_tradnl"/>
        </w:rPr>
        <w:br/>
      </w:r>
      <w:r w:rsidRPr="00120BF7">
        <w:rPr>
          <w:rFonts w:ascii="Arial" w:hAnsi="Arial" w:cs="Arial"/>
          <w:b/>
          <w:bCs/>
          <w:color w:val="000000"/>
          <w:sz w:val="22"/>
          <w:szCs w:val="22"/>
          <w:lang w:val="es-ES_tradnl"/>
        </w:rPr>
        <w:t>PARA EL OCÉANO ÍNDICO CENTRAL (IOCINDIO)</w:t>
      </w:r>
    </w:p>
    <w:p w14:paraId="2A9F05E4" w14:textId="44A0AFC6" w:rsidR="002C28A8" w:rsidRPr="00120BF7" w:rsidRDefault="00586242" w:rsidP="00586242">
      <w:pPr>
        <w:spacing w:after="240"/>
        <w:rPr>
          <w:rFonts w:ascii="Arial" w:hAnsi="Arial" w:cs="Arial"/>
          <w:iCs/>
          <w:sz w:val="22"/>
          <w:szCs w:val="22"/>
          <w:lang w:val="es-ES_tradnl"/>
        </w:rPr>
      </w:pPr>
      <w:r w:rsidRPr="00120BF7">
        <w:rPr>
          <w:rFonts w:ascii="Arial" w:hAnsi="Arial" w:cs="Arial"/>
          <w:iCs/>
          <w:snapToGrid/>
          <w:sz w:val="22"/>
          <w:lang w:val="es-ES_tradnl"/>
        </w:rPr>
        <w:t>La Comisión Oceanográfica Intergubernamental,</w:t>
      </w:r>
    </w:p>
    <w:p w14:paraId="5646F689" w14:textId="2453D9E5" w:rsidR="00586242" w:rsidRPr="00120BF7" w:rsidRDefault="00B36FD8" w:rsidP="00586242">
      <w:pPr>
        <w:numPr>
          <w:ilvl w:val="1"/>
          <w:numId w:val="19"/>
        </w:numPr>
        <w:tabs>
          <w:tab w:val="clear" w:pos="567"/>
        </w:tabs>
        <w:snapToGrid/>
        <w:spacing w:after="240"/>
        <w:ind w:left="567" w:hanging="586"/>
        <w:jc w:val="both"/>
        <w:rPr>
          <w:rFonts w:asciiTheme="minorBidi" w:hAnsiTheme="minorBidi" w:cstheme="minorBidi"/>
          <w:b/>
          <w:bCs/>
          <w:iCs/>
          <w:color w:val="000000"/>
          <w:sz w:val="22"/>
          <w:szCs w:val="22"/>
          <w:lang w:val="es-ES_tradnl"/>
        </w:rPr>
      </w:pPr>
      <w:r w:rsidRPr="00120BF7">
        <w:rPr>
          <w:rFonts w:ascii="Arial" w:eastAsia="Calibri" w:hAnsi="Arial" w:cs="Arial"/>
          <w:b/>
          <w:snapToGrid/>
          <w:sz w:val="22"/>
          <w:szCs w:val="22"/>
          <w:lang w:val="es-ES_tradnl"/>
        </w:rPr>
        <w:t>Recordando</w:t>
      </w:r>
      <w:r w:rsidRPr="00120BF7">
        <w:rPr>
          <w:rFonts w:ascii="Arial" w:eastAsia="Calibri" w:hAnsi="Arial" w:cs="Arial"/>
          <w:snapToGrid/>
          <w:sz w:val="22"/>
          <w:szCs w:val="22"/>
          <w:lang w:val="es-ES_tradnl"/>
        </w:rPr>
        <w:t xml:space="preserve"> su resolución XX-14 sobre el Grupo de Programa para el Océano Índico Central, y las decisiones A-31/3.5.6 y EC-55/3.5.2 sobre la situación del Comité Regional de la COI para el Océano Índico Central,</w:t>
      </w:r>
    </w:p>
    <w:p w14:paraId="7B6CBC3C" w14:textId="6478FF9E" w:rsidR="00586242" w:rsidRPr="00120BF7" w:rsidRDefault="00B36FD8" w:rsidP="00586242">
      <w:pPr>
        <w:numPr>
          <w:ilvl w:val="1"/>
          <w:numId w:val="19"/>
        </w:numPr>
        <w:tabs>
          <w:tab w:val="clear" w:pos="567"/>
        </w:tabs>
        <w:snapToGrid/>
        <w:spacing w:after="240"/>
        <w:ind w:left="567" w:hanging="586"/>
        <w:jc w:val="both"/>
        <w:rPr>
          <w:rFonts w:asciiTheme="minorBidi" w:hAnsiTheme="minorBidi" w:cstheme="minorBidi"/>
          <w:sz w:val="22"/>
          <w:szCs w:val="22"/>
          <w:lang w:val="es-ES_tradnl"/>
        </w:rPr>
      </w:pPr>
      <w:r w:rsidRPr="00120BF7">
        <w:rPr>
          <w:rFonts w:ascii="Arial" w:eastAsia="Calibri" w:hAnsi="Arial" w:cs="Arial"/>
          <w:b/>
          <w:snapToGrid/>
          <w:sz w:val="22"/>
          <w:szCs w:val="22"/>
          <w:lang w:val="es-ES_tradnl"/>
        </w:rPr>
        <w:t>Teniendo en cuenta</w:t>
      </w:r>
      <w:r w:rsidRPr="00120BF7">
        <w:rPr>
          <w:rFonts w:ascii="Arial" w:eastAsia="Calibri" w:hAnsi="Arial" w:cs="Arial"/>
          <w:snapToGrid/>
          <w:sz w:val="22"/>
          <w:szCs w:val="22"/>
          <w:lang w:val="es-ES_tradnl"/>
        </w:rPr>
        <w:t xml:space="preserve"> que:</w:t>
      </w:r>
    </w:p>
    <w:p w14:paraId="3FF28CC8" w14:textId="2483AE26"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sz w:val="22"/>
          <w:szCs w:val="22"/>
          <w:lang w:val="es-ES_tradnl"/>
        </w:rPr>
      </w:pPr>
      <w:r w:rsidRPr="00120BF7">
        <w:rPr>
          <w:rFonts w:asciiTheme="minorBidi" w:hAnsiTheme="minorBidi"/>
          <w:sz w:val="22"/>
          <w:szCs w:val="22"/>
          <w:lang w:val="es-ES_tradnl"/>
        </w:rPr>
        <w:t>el Océano Índico central desempeña un papel importante, entre otras cosas, en el clima regional y mundial, incluidos los monzones, el fenómeno de El Niño, las precipitaciones y la nieve en Eurasia, el tiempo y los fenómenos extremos,</w:t>
      </w:r>
    </w:p>
    <w:p w14:paraId="3CE7FAE9" w14:textId="610B25E9"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cstheme="minorBidi"/>
          <w:sz w:val="22"/>
          <w:szCs w:val="22"/>
          <w:lang w:val="es-ES_tradnl"/>
        </w:rPr>
      </w:pPr>
      <w:r w:rsidRPr="00120BF7">
        <w:rPr>
          <w:rFonts w:asciiTheme="minorBidi" w:hAnsiTheme="minorBidi"/>
          <w:sz w:val="22"/>
          <w:szCs w:val="22"/>
          <w:lang w:val="es-ES_tradnl"/>
        </w:rPr>
        <w:t>tras más de tres decenios de funcionamiento, IOCINDIO ha acumulado experiencias inestimables, extraído enseñanzas y elaborado mejores prácticas, que contribuyeron al debate del grupo de trabajo de composición abierta para el periodo entre reuniones acerca de la transformación de IOCINDIO en una subcomisión de la COI,</w:t>
      </w:r>
    </w:p>
    <w:p w14:paraId="157E3B2B" w14:textId="421E851B" w:rsidR="00586242" w:rsidRPr="00120BF7" w:rsidRDefault="00B36FD8" w:rsidP="00586242">
      <w:pPr>
        <w:numPr>
          <w:ilvl w:val="1"/>
          <w:numId w:val="19"/>
        </w:numPr>
        <w:tabs>
          <w:tab w:val="clear" w:pos="567"/>
        </w:tabs>
        <w:snapToGrid/>
        <w:spacing w:after="240"/>
        <w:ind w:left="567" w:hanging="586"/>
        <w:jc w:val="both"/>
        <w:rPr>
          <w:rFonts w:asciiTheme="minorBidi" w:hAnsiTheme="minorBidi" w:cstheme="minorBidi"/>
          <w:sz w:val="22"/>
          <w:szCs w:val="22"/>
          <w:lang w:val="es-ES_tradnl"/>
        </w:rPr>
      </w:pPr>
      <w:r w:rsidRPr="00120BF7">
        <w:rPr>
          <w:rFonts w:ascii="Arial" w:eastAsia="Calibri" w:hAnsi="Arial" w:cs="Arial"/>
          <w:b/>
          <w:snapToGrid/>
          <w:sz w:val="22"/>
          <w:szCs w:val="22"/>
          <w:lang w:val="es-ES_tradnl"/>
        </w:rPr>
        <w:t>Observando con reconocimiento</w:t>
      </w:r>
      <w:r w:rsidRPr="00120BF7">
        <w:rPr>
          <w:rFonts w:ascii="Arial" w:eastAsia="Calibri" w:hAnsi="Arial" w:cs="Arial"/>
          <w:snapToGrid/>
          <w:sz w:val="22"/>
          <w:szCs w:val="22"/>
          <w:lang w:val="es-ES_tradnl"/>
        </w:rPr>
        <w:t xml:space="preserve"> que muchos Estados Miembros de IOCINDIO tienen gran interés en colaborar con miras a crear la Subcomisión, fortalecer la ejecución de los programas de la COI en la región, alcanzar los objetivos del Decenio de las Naciones Unidas de las Ciencias Oceánicas para el Desarrollo Sostenible (2021-2030) y desarrollar la capacidad de los Estados Miembros de IOCINDIO en materia de ciencias oceánicas y gestión sostenible del océano,</w:t>
      </w:r>
    </w:p>
    <w:p w14:paraId="26B08D5B" w14:textId="05E39209" w:rsidR="00586242" w:rsidRPr="00120BF7" w:rsidRDefault="00B36FD8" w:rsidP="00586242">
      <w:pPr>
        <w:numPr>
          <w:ilvl w:val="1"/>
          <w:numId w:val="19"/>
        </w:numPr>
        <w:tabs>
          <w:tab w:val="clear" w:pos="567"/>
        </w:tabs>
        <w:snapToGrid/>
        <w:spacing w:after="240"/>
        <w:ind w:left="567" w:hanging="586"/>
        <w:jc w:val="both"/>
        <w:rPr>
          <w:rFonts w:asciiTheme="minorBidi" w:hAnsiTheme="minorBidi" w:cstheme="minorBidi"/>
          <w:sz w:val="22"/>
          <w:szCs w:val="22"/>
          <w:lang w:val="es-ES_tradnl"/>
        </w:rPr>
      </w:pPr>
      <w:r w:rsidRPr="00120BF7">
        <w:rPr>
          <w:rFonts w:ascii="Arial" w:eastAsia="Calibri" w:hAnsi="Arial" w:cs="Arial"/>
          <w:b/>
          <w:snapToGrid/>
          <w:sz w:val="22"/>
          <w:szCs w:val="22"/>
          <w:lang w:val="es-ES_tradnl"/>
        </w:rPr>
        <w:t>Observando también</w:t>
      </w:r>
      <w:r w:rsidRPr="00120BF7">
        <w:rPr>
          <w:rFonts w:ascii="Arial" w:eastAsia="Calibri" w:hAnsi="Arial" w:cs="Arial"/>
          <w:snapToGrid/>
          <w:sz w:val="22"/>
          <w:szCs w:val="22"/>
          <w:lang w:val="es-ES_tradnl"/>
        </w:rPr>
        <w:t xml:space="preserve"> que la COI tiene por costumbre invitar a todos los Estados Miembros a participar en los trabajos de la Comisión y de sus órganos subsidiarios regionales,</w:t>
      </w:r>
    </w:p>
    <w:p w14:paraId="34B1CE7F" w14:textId="74BF6D25" w:rsidR="00D6700C" w:rsidRPr="00120BF7" w:rsidRDefault="00B36FD8" w:rsidP="00586242">
      <w:pPr>
        <w:numPr>
          <w:ilvl w:val="1"/>
          <w:numId w:val="19"/>
        </w:numPr>
        <w:tabs>
          <w:tab w:val="clear" w:pos="567"/>
        </w:tabs>
        <w:snapToGrid/>
        <w:spacing w:after="240"/>
        <w:ind w:left="567" w:hanging="586"/>
        <w:jc w:val="both"/>
        <w:rPr>
          <w:rFonts w:ascii="Arial" w:hAnsi="Arial" w:cs="Arial"/>
          <w:sz w:val="22"/>
          <w:szCs w:val="22"/>
          <w:lang w:val="es-ES_tradnl"/>
        </w:rPr>
      </w:pPr>
      <w:r w:rsidRPr="00120BF7">
        <w:rPr>
          <w:rFonts w:ascii="Arial" w:eastAsia="Calibri" w:hAnsi="Arial" w:cs="Arial"/>
          <w:b/>
          <w:snapToGrid/>
          <w:sz w:val="22"/>
          <w:szCs w:val="22"/>
          <w:lang w:val="es-ES_tradnl"/>
        </w:rPr>
        <w:t>Reconoce</w:t>
      </w:r>
      <w:r w:rsidRPr="00120BF7">
        <w:rPr>
          <w:rFonts w:ascii="Arial" w:eastAsia="Calibri" w:hAnsi="Arial" w:cs="Arial"/>
          <w:snapToGrid/>
          <w:sz w:val="22"/>
          <w:szCs w:val="22"/>
          <w:lang w:val="es-ES_tradnl"/>
        </w:rPr>
        <w:t xml:space="preserve"> el liderazgo y </w:t>
      </w:r>
      <w:r w:rsidRPr="00120BF7">
        <w:rPr>
          <w:rFonts w:ascii="Arial" w:eastAsia="Calibri" w:hAnsi="Arial" w:cs="Arial"/>
          <w:b/>
          <w:snapToGrid/>
          <w:sz w:val="22"/>
          <w:szCs w:val="22"/>
          <w:lang w:val="es-ES_tradnl"/>
        </w:rPr>
        <w:t>aprecia</w:t>
      </w:r>
      <w:r w:rsidRPr="00120BF7">
        <w:rPr>
          <w:rFonts w:ascii="Arial" w:eastAsia="Calibri" w:hAnsi="Arial" w:cs="Arial"/>
          <w:snapToGrid/>
          <w:sz w:val="22"/>
          <w:szCs w:val="22"/>
          <w:lang w:val="es-ES_tradnl"/>
        </w:rPr>
        <w:t xml:space="preserve"> el compromiso tanto del Presidente de la COI como del Presidente de IOCINDIO, que actuaron como Copresidentes del grupo de trabajo de composición abierta para el periodo entre reuniones;</w:t>
      </w:r>
    </w:p>
    <w:p w14:paraId="244BB3C8" w14:textId="0F0F0022" w:rsidR="00D6700C" w:rsidRPr="00120BF7" w:rsidRDefault="00B36FD8" w:rsidP="00586242">
      <w:pPr>
        <w:numPr>
          <w:ilvl w:val="1"/>
          <w:numId w:val="19"/>
        </w:numPr>
        <w:tabs>
          <w:tab w:val="clear" w:pos="567"/>
        </w:tabs>
        <w:snapToGrid/>
        <w:spacing w:after="240"/>
        <w:ind w:left="567" w:hanging="586"/>
        <w:jc w:val="both"/>
        <w:rPr>
          <w:rFonts w:ascii="Arial" w:hAnsi="Arial" w:cs="Arial"/>
          <w:sz w:val="22"/>
          <w:szCs w:val="22"/>
          <w:lang w:val="es-ES_tradnl"/>
        </w:rPr>
      </w:pPr>
      <w:r w:rsidRPr="00120BF7">
        <w:rPr>
          <w:rFonts w:ascii="Arial" w:eastAsia="Calibri" w:hAnsi="Arial" w:cs="Arial"/>
          <w:b/>
          <w:snapToGrid/>
          <w:sz w:val="22"/>
          <w:szCs w:val="22"/>
          <w:lang w:val="es-ES_tradnl"/>
        </w:rPr>
        <w:t>Expresa su reconocimiento</w:t>
      </w:r>
      <w:r w:rsidRPr="00120BF7">
        <w:rPr>
          <w:rFonts w:ascii="Arial" w:eastAsia="Calibri" w:hAnsi="Arial" w:cs="Arial"/>
          <w:snapToGrid/>
          <w:sz w:val="22"/>
          <w:szCs w:val="22"/>
          <w:lang w:val="es-ES_tradnl"/>
        </w:rPr>
        <w:t xml:space="preserve"> a:</w:t>
      </w:r>
    </w:p>
    <w:p w14:paraId="5BBF1C0F" w14:textId="558DFBF2" w:rsidR="00586242"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eastAsia="MS Mincho" w:hAnsiTheme="minorBidi" w:cstheme="minorBidi"/>
          <w:sz w:val="22"/>
          <w:szCs w:val="22"/>
          <w:lang w:val="es-ES_tradnl" w:eastAsia="ja-JP"/>
        </w:rPr>
      </w:pPr>
      <w:r w:rsidRPr="00120BF7">
        <w:rPr>
          <w:rFonts w:asciiTheme="minorBidi" w:eastAsia="Calibri" w:hAnsiTheme="minorBidi" w:cstheme="minorBidi"/>
          <w:kern w:val="2"/>
          <w:sz w:val="22"/>
          <w:szCs w:val="22"/>
          <w:lang w:val="es-ES_tradnl"/>
          <w14:ligatures w14:val="standardContextual"/>
        </w:rPr>
        <w:t>los Estados Miembros que participaron e intervinieron en los debates del grupo de trabajo de composición abierta para el periodo entre reuniones;</w:t>
      </w:r>
    </w:p>
    <w:p w14:paraId="4DA458FE" w14:textId="3C2150DB" w:rsidR="00586242" w:rsidRPr="00120BF7" w:rsidRDefault="00B36FD8" w:rsidP="00033B2B">
      <w:pPr>
        <w:pStyle w:val="ListParagraph"/>
        <w:numPr>
          <w:ilvl w:val="2"/>
          <w:numId w:val="19"/>
        </w:numPr>
        <w:tabs>
          <w:tab w:val="clear" w:pos="567"/>
        </w:tabs>
        <w:spacing w:after="240"/>
        <w:ind w:left="1134" w:hanging="567"/>
        <w:contextualSpacing w:val="0"/>
        <w:jc w:val="both"/>
        <w:rPr>
          <w:rFonts w:asciiTheme="minorBidi" w:eastAsia="MS Mincho" w:hAnsiTheme="minorBidi" w:cstheme="minorBidi"/>
          <w:sz w:val="22"/>
          <w:szCs w:val="22"/>
          <w:lang w:val="es-ES_tradnl" w:eastAsia="ja-JP"/>
        </w:rPr>
      </w:pPr>
      <w:r w:rsidRPr="00120BF7">
        <w:rPr>
          <w:rFonts w:asciiTheme="minorBidi" w:eastAsia="Calibri" w:hAnsiTheme="minorBidi" w:cstheme="minorBidi"/>
          <w:kern w:val="2"/>
          <w:sz w:val="22"/>
          <w:szCs w:val="22"/>
          <w:lang w:val="es-ES_tradnl"/>
          <w14:ligatures w14:val="standardContextual"/>
        </w:rPr>
        <w:t>el Vicepresidente del Grupo Electoral IV de la COI y a los Presidentes de la Subcomisión de la COI para África y Estados Insulares Adyacentes (IOCAFRICA) y de la Subcomisión de la COI para el Pacífico Occidental (WESTPAC) por sus contribuciones a la labor del grupo de trabajo de composición abierta para el periodo entre reuniones, así como al Secretario Ejecutivo de la COI y al Secretario Técnico de IOCINDIO por el apoyo prestado;</w:t>
      </w:r>
    </w:p>
    <w:p w14:paraId="5A13368B" w14:textId="21B3419F" w:rsidR="00586242" w:rsidRPr="00120BF7" w:rsidRDefault="00B36FD8" w:rsidP="00B36FD8">
      <w:pPr>
        <w:keepNext/>
        <w:numPr>
          <w:ilvl w:val="1"/>
          <w:numId w:val="19"/>
        </w:numPr>
        <w:tabs>
          <w:tab w:val="clear" w:pos="567"/>
        </w:tabs>
        <w:snapToGrid/>
        <w:spacing w:after="240"/>
        <w:ind w:left="567" w:hanging="586"/>
        <w:jc w:val="both"/>
        <w:rPr>
          <w:rFonts w:asciiTheme="minorBidi" w:hAnsiTheme="minorBidi" w:cstheme="minorBidi"/>
          <w:sz w:val="22"/>
          <w:szCs w:val="22"/>
          <w:lang w:val="es-ES_tradnl"/>
        </w:rPr>
      </w:pPr>
      <w:r w:rsidRPr="00120BF7">
        <w:rPr>
          <w:rFonts w:ascii="Arial" w:eastAsia="Calibri" w:hAnsi="Arial" w:cs="Arial"/>
          <w:b/>
          <w:snapToGrid/>
          <w:sz w:val="22"/>
          <w:szCs w:val="22"/>
          <w:lang w:val="es-ES_tradnl"/>
        </w:rPr>
        <w:t>Decide</w:t>
      </w:r>
      <w:r w:rsidRPr="00120BF7">
        <w:rPr>
          <w:rFonts w:ascii="Arial" w:eastAsia="Calibri" w:hAnsi="Arial" w:cs="Arial"/>
          <w:snapToGrid/>
          <w:sz w:val="22"/>
          <w:szCs w:val="22"/>
          <w:lang w:val="es-ES_tradnl"/>
        </w:rPr>
        <w:t>:</w:t>
      </w:r>
    </w:p>
    <w:p w14:paraId="2E939FCB" w14:textId="20949754"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cstheme="minorBidi"/>
          <w:sz w:val="22"/>
          <w:szCs w:val="22"/>
          <w:lang w:val="es-ES_tradnl"/>
        </w:rPr>
      </w:pPr>
      <w:r w:rsidRPr="00120BF7">
        <w:rPr>
          <w:rFonts w:asciiTheme="minorBidi" w:hAnsiTheme="minorBidi" w:cstheme="minorBidi"/>
          <w:sz w:val="22"/>
          <w:szCs w:val="22"/>
          <w:lang w:val="es-ES_tradnl"/>
        </w:rPr>
        <w:t>que se establecerá la Subcomisión de la COI para el Océano Índico Central (IOCINDIO) con el mandato que se anexa a la presente resolución;</w:t>
      </w:r>
    </w:p>
    <w:p w14:paraId="7066049C" w14:textId="061F2CCF"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cstheme="minorBidi"/>
          <w:sz w:val="22"/>
          <w:szCs w:val="22"/>
          <w:lang w:val="es-ES_tradnl"/>
        </w:rPr>
      </w:pPr>
      <w:r w:rsidRPr="00120BF7">
        <w:rPr>
          <w:rFonts w:asciiTheme="minorBidi" w:hAnsiTheme="minorBidi" w:cstheme="minorBidi"/>
          <w:sz w:val="22"/>
          <w:szCs w:val="22"/>
          <w:lang w:val="es-ES_tradnl"/>
        </w:rPr>
        <w:lastRenderedPageBreak/>
        <w:t>que IOCINDIO como subcomisión de la COI entrará en vigor una vez que el Secretario Ejecutivo de la COI haya recibido nueve cartas de adhesión oficiales de los centros nacionales de coordinación competentes de los Estados Miembros de la COI;</w:t>
      </w:r>
    </w:p>
    <w:p w14:paraId="57099891" w14:textId="0BA6CE91"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cstheme="minorBidi"/>
          <w:sz w:val="22"/>
          <w:szCs w:val="22"/>
          <w:lang w:val="es-ES_tradnl"/>
        </w:rPr>
      </w:pPr>
      <w:r w:rsidRPr="00120BF7">
        <w:rPr>
          <w:rFonts w:asciiTheme="minorBidi" w:hAnsiTheme="minorBidi" w:cstheme="minorBidi"/>
          <w:sz w:val="22"/>
          <w:szCs w:val="22"/>
          <w:lang w:val="es-ES_tradnl"/>
        </w:rPr>
        <w:t>que IOCINDIO como comité regional de la COI se disolverá al inicio de la primera reunión de la Subcomisión de la COI;</w:t>
      </w:r>
    </w:p>
    <w:p w14:paraId="2E204B96" w14:textId="186E65D7" w:rsidR="00586242" w:rsidRPr="00120BF7" w:rsidRDefault="00B36FD8" w:rsidP="00586242">
      <w:pPr>
        <w:numPr>
          <w:ilvl w:val="1"/>
          <w:numId w:val="19"/>
        </w:numPr>
        <w:tabs>
          <w:tab w:val="clear" w:pos="567"/>
        </w:tabs>
        <w:snapToGrid/>
        <w:spacing w:after="240"/>
        <w:ind w:left="567" w:hanging="586"/>
        <w:jc w:val="both"/>
        <w:rPr>
          <w:rFonts w:asciiTheme="minorBidi" w:eastAsia="MS Mincho" w:hAnsiTheme="minorBidi" w:cstheme="minorBidi"/>
          <w:sz w:val="22"/>
          <w:szCs w:val="22"/>
          <w:lang w:val="es-ES_tradnl" w:eastAsia="ja-JP"/>
        </w:rPr>
      </w:pPr>
      <w:r w:rsidRPr="00120BF7">
        <w:rPr>
          <w:rFonts w:ascii="Arial" w:eastAsia="Calibri" w:hAnsi="Arial" w:cs="Arial"/>
          <w:b/>
          <w:snapToGrid/>
          <w:sz w:val="22"/>
          <w:szCs w:val="22"/>
          <w:lang w:val="es-ES_tradnl"/>
        </w:rPr>
        <w:t>Pide</w:t>
      </w:r>
      <w:r w:rsidRPr="00120BF7">
        <w:rPr>
          <w:rFonts w:ascii="Arial" w:eastAsia="Calibri" w:hAnsi="Arial" w:cs="Arial"/>
          <w:snapToGrid/>
          <w:sz w:val="22"/>
          <w:szCs w:val="22"/>
          <w:lang w:val="es-ES_tradnl"/>
        </w:rPr>
        <w:t xml:space="preserve"> al Secretario Ejecutivo que:</w:t>
      </w:r>
    </w:p>
    <w:p w14:paraId="22756E6D" w14:textId="69EDAFA6" w:rsidR="00B36FD8" w:rsidRPr="00120BF7" w:rsidRDefault="00B36FD8" w:rsidP="00B36FD8">
      <w:pPr>
        <w:pStyle w:val="ListParagraph"/>
        <w:numPr>
          <w:ilvl w:val="2"/>
          <w:numId w:val="19"/>
        </w:numPr>
        <w:tabs>
          <w:tab w:val="clear" w:pos="567"/>
        </w:tabs>
        <w:spacing w:after="120"/>
        <w:ind w:left="1134" w:hanging="567"/>
        <w:contextualSpacing w:val="0"/>
        <w:jc w:val="both"/>
        <w:rPr>
          <w:rFonts w:asciiTheme="minorBidi" w:hAnsiTheme="minorBidi" w:cstheme="minorBidi"/>
          <w:sz w:val="22"/>
          <w:szCs w:val="22"/>
          <w:lang w:val="es-ES_tradnl"/>
        </w:rPr>
      </w:pPr>
      <w:r w:rsidRPr="00120BF7">
        <w:rPr>
          <w:rFonts w:asciiTheme="minorBidi" w:hAnsiTheme="minorBidi" w:cstheme="minorBidi"/>
          <w:sz w:val="22"/>
          <w:szCs w:val="22"/>
          <w:lang w:val="es-ES_tradnl"/>
        </w:rPr>
        <w:t>envíe, en los cuatro meses siguientes a la aprobación de la presente resolución, una circular en la que se invite a los Estados Miembros a enviar una carta de adhesión a la Subcomisión de la COI para el Océano Índico Central (IOCINDIO);</w:t>
      </w:r>
    </w:p>
    <w:p w14:paraId="43603064" w14:textId="472F30C0" w:rsidR="00B36FD8" w:rsidRPr="00120BF7" w:rsidRDefault="00B36FD8" w:rsidP="00B36FD8">
      <w:pPr>
        <w:pStyle w:val="ListParagraph"/>
        <w:numPr>
          <w:ilvl w:val="2"/>
          <w:numId w:val="19"/>
        </w:numPr>
        <w:tabs>
          <w:tab w:val="clear" w:pos="567"/>
        </w:tabs>
        <w:spacing w:after="240"/>
        <w:ind w:left="1134" w:hanging="567"/>
        <w:contextualSpacing w:val="0"/>
        <w:jc w:val="both"/>
        <w:rPr>
          <w:rFonts w:asciiTheme="minorBidi" w:eastAsia="MS Mincho" w:hAnsiTheme="minorBidi" w:cstheme="minorBidi"/>
          <w:sz w:val="22"/>
          <w:szCs w:val="22"/>
          <w:lang w:val="es-ES_tradnl" w:eastAsia="ja-JP"/>
        </w:rPr>
      </w:pPr>
      <w:r w:rsidRPr="00120BF7">
        <w:rPr>
          <w:rFonts w:asciiTheme="minorBidi" w:hAnsiTheme="minorBidi" w:cstheme="minorBidi"/>
          <w:sz w:val="22"/>
          <w:szCs w:val="22"/>
          <w:lang w:val="es-ES_tradnl"/>
        </w:rPr>
        <w:t>tras la entrada en vigor de la presente resolución sobre el establecimiento de IOCINDIO como subcomisión de la COI, convoque la primera reunión de la Subcomisión en la que se elegirá su Mesa.</w:t>
      </w:r>
    </w:p>
    <w:p w14:paraId="3421C575" w14:textId="39BEA76D" w:rsidR="00B36FD8" w:rsidRPr="00120BF7" w:rsidRDefault="00B36FD8" w:rsidP="00B36FD8">
      <w:pPr>
        <w:keepNext/>
        <w:keepLines/>
        <w:tabs>
          <w:tab w:val="clear" w:pos="567"/>
        </w:tabs>
        <w:spacing w:after="240"/>
        <w:jc w:val="center"/>
        <w:rPr>
          <w:rFonts w:asciiTheme="minorBidi" w:eastAsia="MS Mincho" w:hAnsiTheme="minorBidi" w:cstheme="minorBidi"/>
          <w:sz w:val="22"/>
          <w:szCs w:val="22"/>
          <w:u w:val="single"/>
          <w:lang w:val="es-ES_tradnl" w:eastAsia="ja-JP"/>
        </w:rPr>
      </w:pPr>
      <w:r w:rsidRPr="00120BF7">
        <w:rPr>
          <w:rFonts w:ascii="Arial" w:hAnsi="Arial" w:cs="Arial"/>
          <w:sz w:val="22"/>
          <w:szCs w:val="22"/>
          <w:u w:val="single"/>
          <w:lang w:val="es-ES_tradnl"/>
        </w:rPr>
        <w:t>Anexo del proyecto de resolución A-32/[4.5]</w:t>
      </w:r>
    </w:p>
    <w:p w14:paraId="73BDD5B5" w14:textId="42B646C7" w:rsidR="00B36FD8" w:rsidRPr="00120BF7" w:rsidRDefault="00B36FD8" w:rsidP="00B36FD8">
      <w:pPr>
        <w:keepNext/>
        <w:keepLines/>
        <w:autoSpaceDE w:val="0"/>
        <w:autoSpaceDN w:val="0"/>
        <w:adjustRightInd w:val="0"/>
        <w:spacing w:after="240"/>
        <w:jc w:val="center"/>
        <w:rPr>
          <w:rFonts w:ascii="Arial" w:eastAsia="MS Mincho" w:hAnsi="Arial" w:cs="Arial"/>
          <w:b/>
          <w:bCs/>
          <w:sz w:val="22"/>
          <w:szCs w:val="22"/>
          <w:lang w:val="es-ES_tradnl" w:eastAsia="ja-JP"/>
        </w:rPr>
      </w:pPr>
      <w:r w:rsidRPr="00120BF7">
        <w:rPr>
          <w:rFonts w:ascii="Arial" w:hAnsi="Arial" w:cs="Arial"/>
          <w:b/>
          <w:bCs/>
          <w:sz w:val="22"/>
          <w:szCs w:val="22"/>
          <w:lang w:val="es-ES_tradnl"/>
        </w:rPr>
        <w:t>Mandato de la Subcomisión de la COI para el Océano Índico Central (IOCINDIO)</w:t>
      </w:r>
    </w:p>
    <w:p w14:paraId="00F3E4B9"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1.</w:t>
      </w:r>
      <w:r w:rsidRPr="00B36FD8">
        <w:rPr>
          <w:rFonts w:eastAsia="Calibri" w:cs="Arial"/>
          <w:b/>
          <w:lang w:val="es-ES_tradnl"/>
        </w:rPr>
        <w:tab/>
        <w:t>Título</w:t>
      </w:r>
    </w:p>
    <w:p w14:paraId="61D60096" w14:textId="77777777" w:rsidR="00B36FD8" w:rsidRPr="00B36FD8" w:rsidRDefault="00B36FD8" w:rsidP="00B36FD8">
      <w:pPr>
        <w:pStyle w:val="Marge"/>
        <w:keepNext/>
        <w:keepLines/>
        <w:spacing w:after="120"/>
        <w:rPr>
          <w:rFonts w:eastAsia="Calibri" w:cs="Arial"/>
          <w:lang w:val="es-ES_tradnl"/>
        </w:rPr>
      </w:pPr>
      <w:r w:rsidRPr="00B36FD8">
        <w:rPr>
          <w:rFonts w:cs="Arial"/>
          <w:snapToGrid w:val="0"/>
          <w:lang w:val="es-ES_tradnl" w:eastAsia="en-US"/>
        </w:rPr>
        <w:t>Subcomisión de la COI para el Océano Índico Central (IOCINDIO).</w:t>
      </w:r>
    </w:p>
    <w:p w14:paraId="047FC1AD"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2.</w:t>
      </w:r>
      <w:r w:rsidRPr="00B36FD8">
        <w:rPr>
          <w:rFonts w:eastAsia="Calibri" w:cs="Arial"/>
          <w:b/>
          <w:lang w:val="es-ES_tradnl"/>
        </w:rPr>
        <w:tab/>
        <w:t>Misión</w:t>
      </w:r>
    </w:p>
    <w:p w14:paraId="0DD21DA3" w14:textId="30E39F46" w:rsidR="00B36FD8" w:rsidRPr="00B36FD8" w:rsidRDefault="00B36FD8" w:rsidP="00B36FD8">
      <w:pPr>
        <w:pStyle w:val="Marge"/>
        <w:spacing w:after="120"/>
        <w:rPr>
          <w:rFonts w:eastAsia="Calibri" w:cs="Arial"/>
          <w:lang w:val="es-ES_tradnl"/>
        </w:rPr>
      </w:pPr>
      <w:r w:rsidRPr="00B36FD8">
        <w:rPr>
          <w:rFonts w:cs="Arial"/>
          <w:snapToGrid w:val="0"/>
          <w:lang w:val="es-ES_tradnl" w:eastAsia="en-US"/>
        </w:rPr>
        <w:t>La Subcomisión de la COI para el Océano Índico Central (IOCINDIO) es uno de los principales órganos subsidiarios regionales intergubernamentales de la Comisión Oceanográfica Intergubernamental de la UNESCO, cuya zona de interés es el Océano Índico central</w:t>
      </w:r>
      <w:r w:rsidR="00DF3D2E">
        <w:rPr>
          <w:rStyle w:val="FootnoteReference"/>
          <w:rFonts w:cs="Arial"/>
          <w:snapToGrid w:val="0"/>
          <w:lang w:val="es-ES_tradnl" w:eastAsia="en-US"/>
        </w:rPr>
        <w:footnoteReference w:id="1"/>
      </w:r>
      <w:r w:rsidRPr="00B36FD8">
        <w:rPr>
          <w:rFonts w:cs="Arial"/>
          <w:snapToGrid w:val="0"/>
          <w:lang w:val="es-ES_tradnl" w:eastAsia="en-US"/>
        </w:rPr>
        <w:t>. Su finalidad es promover la cooperación internacional y coordinar programas en materia de investigación, servicios y desarrollo de capacidades, a fin de conocer mejor la naturaleza y los recursos del océano y de aplicar este conocimiento a la mejora de la ordenación, el desarrollo sostenible, la protección del medio marino y los procesos de adopción de decisiones de sus Estados Miembros.</w:t>
      </w:r>
    </w:p>
    <w:p w14:paraId="16F3BAE8"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3.</w:t>
      </w:r>
      <w:r w:rsidRPr="00B36FD8">
        <w:rPr>
          <w:rFonts w:eastAsia="Calibri" w:cs="Arial"/>
          <w:b/>
          <w:lang w:val="es-ES_tradnl"/>
        </w:rPr>
        <w:tab/>
        <w:t>Objetivos</w:t>
      </w:r>
    </w:p>
    <w:p w14:paraId="444DD74D" w14:textId="77777777" w:rsidR="00B36FD8" w:rsidRPr="00B36FD8" w:rsidRDefault="00B36FD8" w:rsidP="00120BF7">
      <w:pPr>
        <w:pStyle w:val="Marge"/>
        <w:spacing w:after="120"/>
        <w:rPr>
          <w:rFonts w:eastAsia="Calibri" w:cs="Arial"/>
          <w:lang w:val="es-ES_tradnl"/>
        </w:rPr>
      </w:pPr>
      <w:r w:rsidRPr="00B36FD8">
        <w:rPr>
          <w:rFonts w:cs="Arial"/>
          <w:snapToGrid w:val="0"/>
          <w:lang w:val="es-ES_tradnl" w:eastAsia="en-US"/>
        </w:rPr>
        <w:t>La Subcomisión:</w:t>
      </w:r>
    </w:p>
    <w:p w14:paraId="14843860" w14:textId="0F3B6D3F" w:rsidR="00B36FD8" w:rsidRPr="00120BF7" w:rsidRDefault="00B36FD8" w:rsidP="00120BF7">
      <w:pPr>
        <w:pStyle w:val="b"/>
        <w:numPr>
          <w:ilvl w:val="0"/>
          <w:numId w:val="23"/>
        </w:numPr>
        <w:tabs>
          <w:tab w:val="clear" w:pos="1134"/>
        </w:tabs>
        <w:spacing w:after="120" w:line="240" w:lineRule="auto"/>
        <w:ind w:left="1134" w:hanging="567"/>
        <w:rPr>
          <w:rFonts w:eastAsia="Calibri" w:cs="Arial"/>
          <w:lang w:val="es-ES_tradnl"/>
        </w:rPr>
      </w:pPr>
      <w:r w:rsidRPr="00120BF7">
        <w:rPr>
          <w:rFonts w:eastAsia="Calibri" w:cs="Arial"/>
          <w:lang w:val="es-ES_tradnl"/>
        </w:rPr>
        <w:t>promoverá la cooperación internacional y coordinará las actividades acordadas por los órganos rectores de la Comisión Oceanográfica Intergubernamental de la UNESCO;</w:t>
      </w:r>
    </w:p>
    <w:p w14:paraId="7A2F466F" w14:textId="1842F3D4" w:rsidR="00B36FD8" w:rsidRPr="00120BF7" w:rsidRDefault="00B36FD8" w:rsidP="00120BF7">
      <w:pPr>
        <w:pStyle w:val="b"/>
        <w:numPr>
          <w:ilvl w:val="0"/>
          <w:numId w:val="23"/>
        </w:numPr>
        <w:tabs>
          <w:tab w:val="clear" w:pos="1134"/>
        </w:tabs>
        <w:spacing w:after="120" w:line="240" w:lineRule="auto"/>
        <w:ind w:left="1134" w:hanging="567"/>
        <w:rPr>
          <w:rFonts w:eastAsia="Calibri" w:cs="Arial"/>
          <w:lang w:val="es-ES_tradnl"/>
        </w:rPr>
      </w:pPr>
      <w:r w:rsidRPr="00120BF7">
        <w:rPr>
          <w:rFonts w:eastAsia="Calibri" w:cs="Arial"/>
          <w:lang w:val="es-ES_tradnl"/>
        </w:rPr>
        <w:t>formulará recomendaciones a la Comisión Oceanográfica Intergubernamental de la UNESCO sobre diversas cuestiones y esferas de su competencia;</w:t>
      </w:r>
    </w:p>
    <w:p w14:paraId="690DB030" w14:textId="1775EA9D" w:rsidR="00B36FD8" w:rsidRPr="00120BF7" w:rsidRDefault="00B36FD8" w:rsidP="00120BF7">
      <w:pPr>
        <w:pStyle w:val="b"/>
        <w:numPr>
          <w:ilvl w:val="0"/>
          <w:numId w:val="23"/>
        </w:numPr>
        <w:tabs>
          <w:tab w:val="clear" w:pos="1134"/>
        </w:tabs>
        <w:spacing w:after="120" w:line="240" w:lineRule="auto"/>
        <w:ind w:left="1134" w:hanging="567"/>
        <w:rPr>
          <w:rFonts w:eastAsia="Calibri" w:cs="Arial"/>
          <w:lang w:val="es-ES_tradnl"/>
        </w:rPr>
      </w:pPr>
      <w:r w:rsidRPr="00120BF7">
        <w:rPr>
          <w:rFonts w:eastAsia="Calibri" w:cs="Arial"/>
          <w:lang w:val="es-ES_tradnl"/>
        </w:rPr>
        <w:t>preparará un plan de ejecución de las actividades acordadas;</w:t>
      </w:r>
    </w:p>
    <w:p w14:paraId="535188B7" w14:textId="0D64C49F" w:rsidR="00B36FD8" w:rsidRPr="00120BF7" w:rsidRDefault="00B36FD8" w:rsidP="00120BF7">
      <w:pPr>
        <w:pStyle w:val="b"/>
        <w:numPr>
          <w:ilvl w:val="0"/>
          <w:numId w:val="23"/>
        </w:numPr>
        <w:tabs>
          <w:tab w:val="clear" w:pos="1134"/>
        </w:tabs>
        <w:spacing w:after="120" w:line="240" w:lineRule="auto"/>
        <w:ind w:left="1134" w:hanging="567"/>
        <w:rPr>
          <w:rFonts w:eastAsia="Calibri" w:cs="Arial"/>
          <w:lang w:val="es-ES_tradnl"/>
        </w:rPr>
      </w:pPr>
      <w:r w:rsidRPr="00120BF7">
        <w:rPr>
          <w:rFonts w:eastAsia="Calibri" w:cs="Arial"/>
          <w:lang w:val="es-ES_tradnl"/>
        </w:rPr>
        <w:t>ofrecerá una plataforma para detectar problemas regionales y encontrar soluciones basadas en la cooperación internacional;</w:t>
      </w:r>
    </w:p>
    <w:p w14:paraId="088D05D3" w14:textId="3C3F8A62" w:rsidR="00B36FD8" w:rsidRPr="00120BF7" w:rsidRDefault="00B36FD8" w:rsidP="00120BF7">
      <w:pPr>
        <w:pStyle w:val="b"/>
        <w:numPr>
          <w:ilvl w:val="0"/>
          <w:numId w:val="23"/>
        </w:numPr>
        <w:tabs>
          <w:tab w:val="clear" w:pos="1134"/>
        </w:tabs>
        <w:spacing w:after="120" w:line="240" w:lineRule="auto"/>
        <w:ind w:left="1134" w:hanging="567"/>
        <w:rPr>
          <w:rFonts w:eastAsia="Calibri" w:cs="Arial"/>
          <w:lang w:val="es-ES_tradnl"/>
        </w:rPr>
      </w:pPr>
      <w:r w:rsidRPr="00120BF7">
        <w:rPr>
          <w:rFonts w:eastAsia="Calibri" w:cs="Arial"/>
          <w:lang w:val="es-ES_tradnl"/>
        </w:rPr>
        <w:t>cooperará con las organizaciones, organismos e instituciones pertinentes;</w:t>
      </w:r>
    </w:p>
    <w:p w14:paraId="55630A83" w14:textId="169651CD" w:rsidR="00B36FD8" w:rsidRPr="00E707AA" w:rsidRDefault="00B36FD8" w:rsidP="00E707AA">
      <w:pPr>
        <w:pStyle w:val="b"/>
        <w:numPr>
          <w:ilvl w:val="0"/>
          <w:numId w:val="23"/>
        </w:numPr>
        <w:tabs>
          <w:tab w:val="clear" w:pos="1134"/>
        </w:tabs>
        <w:spacing w:after="200"/>
        <w:ind w:left="1134" w:hanging="567"/>
        <w:rPr>
          <w:rFonts w:eastAsia="Calibri" w:cs="Arial"/>
          <w:lang w:val="es-ES_tradnl"/>
        </w:rPr>
      </w:pPr>
      <w:r w:rsidRPr="00E707AA">
        <w:rPr>
          <w:rFonts w:eastAsia="Calibri" w:cs="Arial"/>
          <w:lang w:val="es-ES_tradnl"/>
        </w:rPr>
        <w:t>cooperará con otros órganos subsidiarios y programas de la Comisión Oceanográfica Intergubernamental de la UNESCO en asuntos de interés común, en particular con las subcomisiones adyacentes (IOCAFRICA y WESTPAC).</w:t>
      </w:r>
      <w:r w:rsidR="00E707AA" w:rsidRPr="00E707AA">
        <w:rPr>
          <w:rFonts w:eastAsia="Calibri" w:cs="Arial"/>
          <w:lang w:val="es-ES_tradnl"/>
        </w:rPr>
        <w:br w:type="page"/>
      </w:r>
    </w:p>
    <w:p w14:paraId="306F1480"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lastRenderedPageBreak/>
        <w:t>4.</w:t>
      </w:r>
      <w:r w:rsidRPr="00B36FD8">
        <w:rPr>
          <w:rFonts w:eastAsia="Calibri" w:cs="Arial"/>
          <w:b/>
          <w:lang w:val="es-ES_tradnl"/>
        </w:rPr>
        <w:tab/>
        <w:t>Estructura</w:t>
      </w:r>
    </w:p>
    <w:p w14:paraId="297A9337" w14:textId="77777777" w:rsidR="00B36FD8" w:rsidRPr="00B36FD8" w:rsidRDefault="00B36FD8" w:rsidP="00120BF7">
      <w:pPr>
        <w:pStyle w:val="Marge"/>
        <w:spacing w:after="120"/>
        <w:rPr>
          <w:rFonts w:eastAsia="Calibri" w:cs="Arial"/>
          <w:lang w:val="es-ES_tradnl"/>
        </w:rPr>
      </w:pPr>
      <w:r w:rsidRPr="00B36FD8">
        <w:rPr>
          <w:rFonts w:cs="Arial"/>
          <w:snapToGrid w:val="0"/>
          <w:lang w:val="es-ES_tradnl" w:eastAsia="en-US"/>
        </w:rPr>
        <w:t>La Subcomisión estará integrada por:</w:t>
      </w:r>
    </w:p>
    <w:p w14:paraId="4B5E0580" w14:textId="6C17253A" w:rsidR="00B36FD8" w:rsidRPr="00B36FD8" w:rsidRDefault="00B36FD8" w:rsidP="00120BF7">
      <w:pPr>
        <w:pStyle w:val="TIRETbul1cm"/>
        <w:spacing w:after="60"/>
        <w:ind w:left="840" w:hanging="273"/>
        <w:rPr>
          <w:rFonts w:eastAsia="Calibri" w:cs="Arial"/>
          <w:lang w:val="es-ES_tradnl"/>
        </w:rPr>
      </w:pPr>
      <w:r w:rsidRPr="00B36FD8">
        <w:rPr>
          <w:rFonts w:eastAsia="Calibri" w:cs="Arial"/>
          <w:lang w:val="es-ES_tradnl"/>
        </w:rPr>
        <w:t>-</w:t>
      </w:r>
      <w:r w:rsidR="00120BF7" w:rsidRPr="00120BF7">
        <w:rPr>
          <w:rFonts w:eastAsia="Calibri" w:cs="Arial"/>
          <w:lang w:val="es-ES_tradnl"/>
        </w:rPr>
        <w:tab/>
      </w:r>
      <w:r w:rsidRPr="00B36FD8">
        <w:rPr>
          <w:rFonts w:cs="Arial"/>
          <w:lang w:val="es-ES_tradnl"/>
        </w:rPr>
        <w:t>Estados</w:t>
      </w:r>
      <w:r w:rsidRPr="00B36FD8">
        <w:rPr>
          <w:rFonts w:eastAsia="Calibri" w:cs="Arial"/>
          <w:lang w:val="es-ES_tradnl"/>
        </w:rPr>
        <w:t xml:space="preserve"> Miembros;</w:t>
      </w:r>
    </w:p>
    <w:p w14:paraId="7105EB05" w14:textId="4EFC0D38" w:rsidR="00B36FD8" w:rsidRPr="00B36FD8" w:rsidRDefault="00B36FD8" w:rsidP="00120BF7">
      <w:pPr>
        <w:pStyle w:val="TIRETbul1cm"/>
        <w:spacing w:after="60"/>
        <w:ind w:left="840" w:hanging="273"/>
        <w:rPr>
          <w:rFonts w:eastAsia="Calibri" w:cs="Arial"/>
          <w:lang w:val="es-ES_tradnl"/>
        </w:rPr>
      </w:pPr>
      <w:r w:rsidRPr="00B36FD8">
        <w:rPr>
          <w:rFonts w:eastAsia="Calibri" w:cs="Arial"/>
          <w:lang w:val="es-ES_tradnl"/>
        </w:rPr>
        <w:t>-</w:t>
      </w:r>
      <w:r w:rsidR="00120BF7" w:rsidRPr="00120BF7">
        <w:rPr>
          <w:rFonts w:eastAsia="Calibri" w:cs="Arial"/>
          <w:lang w:val="es-ES_tradnl"/>
        </w:rPr>
        <w:tab/>
      </w:r>
      <w:r w:rsidRPr="00B36FD8">
        <w:rPr>
          <w:rFonts w:eastAsia="Calibri" w:cs="Arial"/>
          <w:lang w:val="es-ES_tradnl"/>
        </w:rPr>
        <w:t>una Mesa;</w:t>
      </w:r>
    </w:p>
    <w:p w14:paraId="0B1611C3" w14:textId="3693F8FB" w:rsidR="00B36FD8" w:rsidRPr="00B36FD8" w:rsidRDefault="00B36FD8" w:rsidP="00120BF7">
      <w:pPr>
        <w:pStyle w:val="TIRETbul1cm"/>
        <w:spacing w:after="60"/>
        <w:ind w:left="840" w:hanging="273"/>
        <w:rPr>
          <w:rFonts w:eastAsia="Calibri" w:cs="Arial"/>
          <w:lang w:val="es-ES_tradnl"/>
        </w:rPr>
      </w:pPr>
      <w:r w:rsidRPr="00B36FD8">
        <w:rPr>
          <w:rFonts w:eastAsia="Calibri" w:cs="Arial"/>
          <w:lang w:val="es-ES_tradnl"/>
        </w:rPr>
        <w:t>-</w:t>
      </w:r>
      <w:r w:rsidR="00120BF7" w:rsidRPr="00120BF7">
        <w:rPr>
          <w:rFonts w:eastAsia="Calibri" w:cs="Arial"/>
          <w:lang w:val="es-ES_tradnl"/>
        </w:rPr>
        <w:tab/>
      </w:r>
      <w:r w:rsidRPr="00B36FD8">
        <w:rPr>
          <w:rFonts w:eastAsia="Calibri" w:cs="Arial"/>
          <w:lang w:val="es-ES_tradnl"/>
        </w:rPr>
        <w:t>grupos de trabajo o equipos de tareas temáticos o subregionales, según sea necesario;</w:t>
      </w:r>
    </w:p>
    <w:p w14:paraId="68B40B87" w14:textId="1B2A4128" w:rsidR="00B36FD8" w:rsidRPr="00B36FD8" w:rsidRDefault="00B36FD8" w:rsidP="00120BF7">
      <w:pPr>
        <w:pStyle w:val="TIRETbul1cm"/>
        <w:spacing w:line="240" w:lineRule="auto"/>
        <w:ind w:left="839" w:hanging="272"/>
        <w:rPr>
          <w:rFonts w:eastAsia="Calibri" w:cs="Arial"/>
          <w:lang w:val="es-ES_tradnl"/>
        </w:rPr>
      </w:pPr>
      <w:r w:rsidRPr="00B36FD8">
        <w:rPr>
          <w:rFonts w:eastAsia="Calibri" w:cs="Arial"/>
          <w:lang w:val="es-ES_tradnl"/>
        </w:rPr>
        <w:t>-</w:t>
      </w:r>
      <w:r w:rsidR="00120BF7" w:rsidRPr="00120BF7">
        <w:rPr>
          <w:rFonts w:eastAsia="Calibri" w:cs="Arial"/>
          <w:lang w:val="es-ES_tradnl"/>
        </w:rPr>
        <w:tab/>
      </w:r>
      <w:r w:rsidRPr="00B36FD8">
        <w:rPr>
          <w:rFonts w:eastAsia="Calibri" w:cs="Arial"/>
          <w:lang w:val="es-ES_tradnl"/>
        </w:rPr>
        <w:t>una Secretaría.</w:t>
      </w:r>
    </w:p>
    <w:p w14:paraId="37C01E97"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5.</w:t>
      </w:r>
      <w:r w:rsidRPr="00B36FD8">
        <w:rPr>
          <w:rFonts w:eastAsia="Calibri" w:cs="Arial"/>
          <w:b/>
          <w:lang w:val="es-ES_tradnl"/>
        </w:rPr>
        <w:tab/>
        <w:t>Estados Miembros</w:t>
      </w:r>
    </w:p>
    <w:p w14:paraId="3891C4EF" w14:textId="77777777" w:rsidR="00B36FD8" w:rsidRPr="00B36FD8" w:rsidRDefault="00B36FD8" w:rsidP="00120BF7">
      <w:pPr>
        <w:pStyle w:val="Marge"/>
        <w:spacing w:after="120"/>
        <w:rPr>
          <w:rFonts w:eastAsia="Calibri" w:cs="Arial"/>
          <w:lang w:val="es-ES_tradnl"/>
        </w:rPr>
      </w:pPr>
      <w:r w:rsidRPr="00B36FD8">
        <w:rPr>
          <w:rFonts w:cs="Arial"/>
          <w:snapToGrid w:val="0"/>
          <w:lang w:val="es-ES_tradnl" w:eastAsia="en-US"/>
        </w:rPr>
        <w:t>Formarán parte de la Subcomisión los Estados Miembros de la COI que hayan informado debidamente al Secretario Ejecutivo de la COI sobre su adhesión. La pertenencia a IOCINDIO no se limitará a los Estados Miembros geográficamente vinculados al Océano Índico. Los centros nacionales de coordinación para los Estados Miembros de IOCINDIO serán los mismos que los de la COI.</w:t>
      </w:r>
    </w:p>
    <w:p w14:paraId="762634BC"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6.</w:t>
      </w:r>
      <w:r w:rsidRPr="00B36FD8">
        <w:rPr>
          <w:rFonts w:eastAsia="Calibri" w:cs="Arial"/>
          <w:b/>
          <w:lang w:val="es-ES_tradnl"/>
        </w:rPr>
        <w:tab/>
        <w:t>Mesa</w:t>
      </w:r>
    </w:p>
    <w:p w14:paraId="560EDD90" w14:textId="77777777" w:rsidR="00B36FD8" w:rsidRPr="00B36FD8" w:rsidRDefault="00B36FD8" w:rsidP="00120BF7">
      <w:pPr>
        <w:pStyle w:val="Marge"/>
        <w:spacing w:after="120"/>
        <w:rPr>
          <w:rFonts w:eastAsia="Calibri" w:cs="Arial"/>
          <w:lang w:val="es-ES_tradnl"/>
        </w:rPr>
      </w:pPr>
      <w:r w:rsidRPr="00B36FD8">
        <w:rPr>
          <w:rFonts w:cs="Arial"/>
          <w:snapToGrid w:val="0"/>
          <w:lang w:val="es-ES_tradnl" w:eastAsia="en-US"/>
        </w:rPr>
        <w:t>La Mesa de la Subcomisión estará compuesta por un presidente y dos vicepresidentes elegidos por los Estados Miembros de la Subcomisión. Los miembros de la Mesa actuarán de conformidad con las Directrices sobre la estructura y atribuciones de los órganos subsidiarios de la COI.</w:t>
      </w:r>
    </w:p>
    <w:p w14:paraId="5EDFFCAE"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7.</w:t>
      </w:r>
      <w:r w:rsidRPr="00B36FD8">
        <w:rPr>
          <w:rFonts w:eastAsia="Calibri" w:cs="Arial"/>
          <w:b/>
          <w:lang w:val="es-ES_tradnl"/>
        </w:rPr>
        <w:tab/>
        <w:t>Grupos de trabajo y equipos de tareas</w:t>
      </w:r>
    </w:p>
    <w:p w14:paraId="1F3B2E89" w14:textId="77777777" w:rsidR="00B36FD8" w:rsidRPr="00B36FD8" w:rsidRDefault="00B36FD8" w:rsidP="00120BF7">
      <w:pPr>
        <w:pStyle w:val="Marge"/>
        <w:spacing w:after="120"/>
        <w:rPr>
          <w:rFonts w:eastAsia="Calibri" w:cs="Arial"/>
          <w:lang w:val="es-ES_tradnl"/>
        </w:rPr>
      </w:pPr>
      <w:r w:rsidRPr="00B36FD8">
        <w:rPr>
          <w:rFonts w:cs="Arial"/>
          <w:snapToGrid w:val="0"/>
          <w:lang w:val="es-ES_tradnl" w:eastAsia="en-US"/>
        </w:rPr>
        <w:t>La Subcomisión establecerá sus órganos de trabajo subsidiarios según sea necesario y de conformidad con las Directrices sobre la estructura y atribuciones de los órganos subsidiarios de la COI. Podrán crearse órganos de trabajo subsidiarios conjuntos, especialmente con IOCAFRICA y WESTPAC.</w:t>
      </w:r>
    </w:p>
    <w:p w14:paraId="6D2411E2"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8.</w:t>
      </w:r>
      <w:r w:rsidRPr="00B36FD8">
        <w:rPr>
          <w:rFonts w:eastAsia="Calibri" w:cs="Arial"/>
          <w:b/>
          <w:lang w:val="es-ES_tradnl"/>
        </w:rPr>
        <w:tab/>
        <w:t>Secretaría</w:t>
      </w:r>
    </w:p>
    <w:p w14:paraId="707E8641" w14:textId="77777777" w:rsidR="00B36FD8" w:rsidRPr="00B36FD8" w:rsidRDefault="00B36FD8" w:rsidP="00120BF7">
      <w:pPr>
        <w:pStyle w:val="Marge"/>
        <w:spacing w:after="120"/>
        <w:rPr>
          <w:rFonts w:eastAsia="Calibri" w:cs="Arial"/>
          <w:lang w:val="es-ES_tradnl"/>
        </w:rPr>
      </w:pPr>
      <w:r w:rsidRPr="00B36FD8">
        <w:rPr>
          <w:rFonts w:cs="Arial"/>
          <w:lang w:val="es-ES_tradnl"/>
        </w:rPr>
        <w:t>La Secretaría de IOCINDIO funcionará como parte de la Secretaría de la COI bajo la autoridad del Secretario Ejecutivo de la COI</w:t>
      </w:r>
      <w:r w:rsidRPr="00B36FD8">
        <w:rPr>
          <w:rFonts w:eastAsia="Calibri" w:cs="Arial"/>
          <w:lang w:val="es-ES_tradnl"/>
        </w:rPr>
        <w:t>.</w:t>
      </w:r>
    </w:p>
    <w:p w14:paraId="05B1460F"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9.</w:t>
      </w:r>
      <w:r w:rsidRPr="00B36FD8">
        <w:rPr>
          <w:rFonts w:eastAsia="Calibri" w:cs="Arial"/>
          <w:b/>
          <w:lang w:val="es-ES_tradnl"/>
        </w:rPr>
        <w:tab/>
        <w:t>Reuniones</w:t>
      </w:r>
    </w:p>
    <w:p w14:paraId="388DEB1C" w14:textId="77777777" w:rsidR="00B36FD8" w:rsidRPr="00B36FD8" w:rsidRDefault="00B36FD8" w:rsidP="00120BF7">
      <w:pPr>
        <w:pStyle w:val="Marge"/>
        <w:spacing w:after="120"/>
        <w:rPr>
          <w:rFonts w:eastAsia="Calibri" w:cs="Arial"/>
          <w:lang w:val="es-ES_tradnl"/>
        </w:rPr>
      </w:pPr>
      <w:r w:rsidRPr="00B36FD8">
        <w:rPr>
          <w:rFonts w:cs="Arial"/>
          <w:lang w:val="es-ES_tradnl"/>
        </w:rPr>
        <w:t>Los Estados Miembros de IOCINDIO se reunirán para la reunión intergubernamental de la Subcomisión periódicamente, al menos una vez cada dos años, preferiblemente en la primera parte del año en que se celebre una reunión de la Asamblea de la COI y con bastante antelación a esta última para garantizar la calidad de los informes reglamentarios.</w:t>
      </w:r>
    </w:p>
    <w:p w14:paraId="794F76A4"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10.</w:t>
      </w:r>
      <w:r w:rsidRPr="00B36FD8">
        <w:rPr>
          <w:rFonts w:eastAsia="Calibri" w:cs="Arial"/>
          <w:b/>
          <w:lang w:val="es-ES_tradnl"/>
        </w:rPr>
        <w:tab/>
        <w:t>Presupuesto</w:t>
      </w:r>
    </w:p>
    <w:p w14:paraId="6532ED38" w14:textId="6CC49C46" w:rsidR="00B36FD8" w:rsidRPr="00B36FD8" w:rsidRDefault="00B36FD8" w:rsidP="00120BF7">
      <w:pPr>
        <w:pStyle w:val="Marge"/>
        <w:spacing w:after="120"/>
        <w:rPr>
          <w:rFonts w:eastAsia="Calibri" w:cs="Arial"/>
          <w:b/>
          <w:lang w:val="es-ES_tradnl"/>
        </w:rPr>
      </w:pPr>
      <w:r w:rsidRPr="00B36FD8">
        <w:rPr>
          <w:rFonts w:cs="Arial"/>
          <w:lang w:val="es-ES_tradnl"/>
        </w:rPr>
        <w:t>La Subcomisión de la COI para el Océano Índico Central se financiará con cargo al presupuesto ordinario de la COI y con contribuciones extrapresupuestarias. IOCINDIO estudiará activamente posibilidades de obtener recursos adicionales para ejecutar sus programas.</w:t>
      </w:r>
    </w:p>
    <w:p w14:paraId="6DC35C47" w14:textId="77777777" w:rsidR="00B36FD8" w:rsidRPr="00B36FD8" w:rsidRDefault="00B36FD8" w:rsidP="00B36FD8">
      <w:pPr>
        <w:pStyle w:val="Marge"/>
        <w:keepNext/>
        <w:keepLines/>
        <w:tabs>
          <w:tab w:val="left" w:pos="567"/>
        </w:tabs>
        <w:spacing w:after="120"/>
        <w:rPr>
          <w:rFonts w:eastAsia="Calibri" w:cs="Arial"/>
          <w:b/>
          <w:lang w:val="es-ES_tradnl"/>
        </w:rPr>
      </w:pPr>
      <w:r w:rsidRPr="00B36FD8">
        <w:rPr>
          <w:rFonts w:eastAsia="Calibri" w:cs="Arial"/>
          <w:b/>
          <w:lang w:val="es-ES_tradnl"/>
        </w:rPr>
        <w:t>11.</w:t>
      </w:r>
      <w:r w:rsidRPr="00B36FD8">
        <w:rPr>
          <w:rFonts w:eastAsia="Calibri" w:cs="Arial"/>
          <w:b/>
          <w:lang w:val="es-ES_tradnl"/>
        </w:rPr>
        <w:tab/>
        <w:t>Mecanismos de coordinación con las subcomisiones adyacentes</w:t>
      </w:r>
    </w:p>
    <w:p w14:paraId="5E51A0E7" w14:textId="7D56D47D" w:rsidR="00EC7D2C" w:rsidRPr="00120BF7" w:rsidRDefault="00B36FD8" w:rsidP="00120BF7">
      <w:pPr>
        <w:pStyle w:val="Marge"/>
        <w:spacing w:after="120"/>
        <w:rPr>
          <w:rFonts w:eastAsia="MS Mincho" w:cs="Arial"/>
          <w:b/>
          <w:bCs/>
          <w:lang w:val="es-ES_tradnl" w:eastAsia="ja-JP"/>
        </w:rPr>
      </w:pPr>
      <w:r w:rsidRPr="00120BF7">
        <w:rPr>
          <w:rFonts w:cs="Arial"/>
          <w:lang w:val="es-ES_tradnl"/>
        </w:rPr>
        <w:t xml:space="preserve">Se aplicará el principio de maximizar el valor del trabajo conjunto de las subcomisiones adyacentes de la COI sobre cuestiones de interés común, evitar la duplicación y garantizar que no haya interferencias en la gobernanza de los órganos subsidiarios de la COI, incluidos los órganos adyacentes. Se fomentará la cooperación sobre temas de interés común y el aprovechamiento de las oportunidades de desarrollo de capacidades de los órganos subsidiarios regionales adyacentes. Se recomendará encarecidamente una contribución coordinada de los órganos subsidiarios regionales a las actividades programáticas mundiales de la COI. Se establecerán consultas periódicas entre los presidentes, las mesas y las secretarías de las subcomisiones con miras a una concepción, elaboración y ejecución conjuntas. Las funciones normativas serán uniformes y mundiales a nivel de la COI. Las actividades regionales se ajustarán a las normas mundiales y contribuirán a la elaboración de </w:t>
      </w:r>
      <w:r w:rsidRPr="00120BF7">
        <w:rPr>
          <w:rFonts w:cs="Arial"/>
          <w:lang w:val="es-ES_tradnl"/>
        </w:rPr>
        <w:lastRenderedPageBreak/>
        <w:t>mejores prácticas comunes, teniendo en cuenta, cuando sea necesario, las diferencias y contextos regionales.</w:t>
      </w:r>
    </w:p>
    <w:sectPr w:rsidR="00EC7D2C" w:rsidRPr="00120BF7" w:rsidSect="009C4402">
      <w:headerReference w:type="even" r:id="rId8"/>
      <w:headerReference w:type="default" r:id="rId9"/>
      <w:pgSz w:w="11906" w:h="16838"/>
      <w:pgMar w:top="630" w:right="1417" w:bottom="108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4FB0" w14:textId="77777777" w:rsidR="00CD55B9" w:rsidRDefault="00CD55B9" w:rsidP="0073078E">
      <w:r>
        <w:separator/>
      </w:r>
    </w:p>
  </w:endnote>
  <w:endnote w:type="continuationSeparator" w:id="0">
    <w:p w14:paraId="00EC75DE" w14:textId="77777777" w:rsidR="00CD55B9" w:rsidRDefault="00CD55B9"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44C2" w14:textId="77777777" w:rsidR="00CD55B9" w:rsidRDefault="00CD55B9" w:rsidP="0073078E">
      <w:r>
        <w:separator/>
      </w:r>
    </w:p>
  </w:footnote>
  <w:footnote w:type="continuationSeparator" w:id="0">
    <w:p w14:paraId="2CCD1C8C" w14:textId="77777777" w:rsidR="00CD55B9" w:rsidRDefault="00CD55B9" w:rsidP="0073078E">
      <w:r>
        <w:continuationSeparator/>
      </w:r>
    </w:p>
  </w:footnote>
  <w:footnote w:id="1">
    <w:p w14:paraId="2762206A" w14:textId="4D23EACA" w:rsidR="00DF3D2E" w:rsidRPr="00992954" w:rsidRDefault="00DF3D2E" w:rsidP="00DF3D2E">
      <w:pPr>
        <w:pStyle w:val="FootnoteText"/>
        <w:jc w:val="both"/>
        <w:rPr>
          <w:rFonts w:asciiTheme="minorBidi" w:hAnsiTheme="minorBidi" w:cstheme="minorBidi"/>
          <w:sz w:val="18"/>
          <w:szCs w:val="18"/>
          <w:lang w:val="es-ES"/>
        </w:rPr>
      </w:pPr>
      <w:r w:rsidRPr="000449FB">
        <w:rPr>
          <w:rStyle w:val="FootnoteReference"/>
          <w:rFonts w:asciiTheme="minorBidi" w:hAnsiTheme="minorBidi" w:cstheme="minorBidi"/>
          <w:sz w:val="18"/>
          <w:szCs w:val="18"/>
        </w:rPr>
        <w:footnoteRef/>
      </w:r>
      <w:r w:rsidRPr="000449FB">
        <w:rPr>
          <w:rFonts w:asciiTheme="minorBidi" w:hAnsiTheme="minorBidi" w:cstheme="minorBidi"/>
          <w:sz w:val="18"/>
          <w:szCs w:val="18"/>
          <w:lang w:val="es-ES"/>
        </w:rPr>
        <w:tab/>
      </w:r>
      <w:r w:rsidR="00992954" w:rsidRPr="000449FB">
        <w:rPr>
          <w:rFonts w:asciiTheme="minorBidi" w:hAnsiTheme="minorBidi" w:cstheme="minorBidi"/>
          <w:sz w:val="18"/>
          <w:szCs w:val="18"/>
          <w:lang w:val="es-ES"/>
        </w:rPr>
        <w:t>El “Océano Índico central”, como zona de interés de IOCINDIO, es adyacente, al oeste, a la de IOCAFRICA, y al este, a la de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A2E6" w14:textId="0AEC43D9" w:rsidR="0073078E" w:rsidRPr="00586242" w:rsidRDefault="00B36FD8" w:rsidP="00586242">
    <w:pPr>
      <w:pStyle w:val="Header"/>
      <w:spacing w:after="240"/>
      <w:rPr>
        <w:sz w:val="22"/>
        <w:szCs w:val="22"/>
        <w:lang w:val="fr-FR"/>
      </w:rPr>
    </w:pPr>
    <w:r>
      <w:rPr>
        <w:rFonts w:asciiTheme="minorBidi" w:hAnsiTheme="minorBidi" w:cstheme="minorBidi"/>
        <w:sz w:val="22"/>
        <w:szCs w:val="22"/>
        <w:lang w:val="fr-FR"/>
      </w:rPr>
      <w:t>A</w:t>
    </w:r>
    <w:r w:rsidR="00EC7D2C" w:rsidRPr="00586242">
      <w:rPr>
        <w:rFonts w:asciiTheme="minorBidi" w:hAnsiTheme="minorBidi" w:cstheme="minorBidi"/>
        <w:sz w:val="22"/>
        <w:szCs w:val="22"/>
        <w:lang w:val="fr-FR"/>
      </w:rPr>
      <w:t>-32/DR.[4.</w:t>
    </w:r>
    <w:r>
      <w:rPr>
        <w:rFonts w:asciiTheme="minorBidi" w:hAnsiTheme="minorBidi" w:cstheme="minorBidi"/>
        <w:sz w:val="22"/>
        <w:szCs w:val="22"/>
        <w:lang w:val="fr-FR"/>
      </w:rPr>
      <w:t>5</w:t>
    </w:r>
    <w:r w:rsidR="00EC7D2C" w:rsidRPr="00586242">
      <w:rPr>
        <w:rFonts w:asciiTheme="minorBidi" w:hAnsiTheme="minorBidi" w:cstheme="minorBidi"/>
        <w:sz w:val="22"/>
        <w:szCs w:val="22"/>
        <w:lang w:val="fr-FR"/>
      </w:rPr>
      <w:t>]</w:t>
    </w:r>
    <w:r w:rsidR="00586242" w:rsidRPr="00586242">
      <w:rPr>
        <w:rFonts w:asciiTheme="minorBidi" w:hAnsiTheme="minorBidi" w:cstheme="minorBidi"/>
        <w:sz w:val="22"/>
        <w:szCs w:val="22"/>
        <w:lang w:val="fr-FR"/>
      </w:rPr>
      <w:t xml:space="preserve"> – </w:t>
    </w:r>
    <w:r w:rsidR="0073078E" w:rsidRPr="00586242">
      <w:rPr>
        <w:rFonts w:asciiTheme="minorBidi" w:hAnsiTheme="minorBidi" w:cstheme="minorBidi"/>
        <w:sz w:val="22"/>
        <w:szCs w:val="22"/>
        <w:lang w:val="fr-FR"/>
      </w:rPr>
      <w:t>p</w:t>
    </w:r>
    <w:r w:rsidR="00586242" w:rsidRPr="00586242">
      <w:rPr>
        <w:rFonts w:asciiTheme="minorBidi" w:hAnsiTheme="minorBidi" w:cstheme="minorBidi"/>
        <w:sz w:val="22"/>
        <w:szCs w:val="22"/>
        <w:lang w:val="fr-FR"/>
      </w:rPr>
      <w:t>ág.</w:t>
    </w:r>
    <w:r w:rsidR="0073078E" w:rsidRPr="00586242">
      <w:rPr>
        <w:rFonts w:asciiTheme="minorBidi" w:hAnsiTheme="minorBidi" w:cstheme="minorBidi"/>
        <w:sz w:val="22"/>
        <w:szCs w:val="22"/>
        <w:lang w:val="fr-FR"/>
      </w:rPr>
      <w:t xml:space="preserve"> </w:t>
    </w:r>
    <w:r w:rsidR="00DC168C" w:rsidRPr="00586242">
      <w:rPr>
        <w:rFonts w:asciiTheme="minorBidi" w:hAnsiTheme="minorBidi" w:cstheme="minorBidi"/>
        <w:sz w:val="22"/>
        <w:szCs w:val="22"/>
        <w:lang w:val="fr-FR"/>
      </w:rPr>
      <w:fldChar w:fldCharType="begin"/>
    </w:r>
    <w:r w:rsidR="00DC168C" w:rsidRPr="00586242">
      <w:rPr>
        <w:rFonts w:asciiTheme="minorBidi" w:hAnsiTheme="minorBidi" w:cstheme="minorBidi"/>
        <w:sz w:val="22"/>
        <w:szCs w:val="22"/>
        <w:lang w:val="fr-FR"/>
      </w:rPr>
      <w:instrText xml:space="preserve"> PAGE   \* MERGEFORMAT </w:instrText>
    </w:r>
    <w:r w:rsidR="00DC168C" w:rsidRPr="00586242">
      <w:rPr>
        <w:rFonts w:asciiTheme="minorBidi" w:hAnsiTheme="minorBidi" w:cstheme="minorBidi"/>
        <w:sz w:val="22"/>
        <w:szCs w:val="22"/>
        <w:lang w:val="fr-FR"/>
      </w:rPr>
      <w:fldChar w:fldCharType="separate"/>
    </w:r>
    <w:r w:rsidR="004B1009" w:rsidRPr="00586242">
      <w:rPr>
        <w:rFonts w:asciiTheme="minorBidi" w:hAnsiTheme="minorBidi" w:cstheme="minorBidi"/>
        <w:noProof/>
        <w:sz w:val="22"/>
        <w:szCs w:val="22"/>
        <w:lang w:val="fr-FR"/>
      </w:rPr>
      <w:t>2</w:t>
    </w:r>
    <w:r w:rsidR="00DC168C" w:rsidRPr="00586242">
      <w:rPr>
        <w:rFonts w:asciiTheme="minorBidi" w:hAnsiTheme="minorBidi" w:cstheme="minorBidi"/>
        <w:noProof/>
        <w:sz w:val="22"/>
        <w:szCs w:val="22"/>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86E7" w14:textId="089CAC28" w:rsidR="00DE18E8" w:rsidRPr="009C4402" w:rsidRDefault="00B36FD8" w:rsidP="00B36FD8">
    <w:pPr>
      <w:pStyle w:val="Header"/>
      <w:ind w:left="6804"/>
      <w:rPr>
        <w:lang w:val="fr-FR"/>
      </w:rPr>
    </w:pPr>
    <w:r>
      <w:rPr>
        <w:rFonts w:asciiTheme="minorBidi" w:hAnsiTheme="minorBidi" w:cstheme="minorBidi"/>
        <w:sz w:val="22"/>
        <w:szCs w:val="22"/>
        <w:lang w:val="fr-FR"/>
      </w:rPr>
      <w:t>A</w:t>
    </w:r>
    <w:r w:rsidRPr="00586242">
      <w:rPr>
        <w:rFonts w:asciiTheme="minorBidi" w:hAnsiTheme="minorBidi" w:cstheme="minorBidi"/>
        <w:sz w:val="22"/>
        <w:szCs w:val="22"/>
        <w:lang w:val="fr-FR"/>
      </w:rPr>
      <w:t>-32/DR.[4.</w:t>
    </w:r>
    <w:r>
      <w:rPr>
        <w:rFonts w:asciiTheme="minorBidi" w:hAnsiTheme="minorBidi" w:cstheme="minorBidi"/>
        <w:sz w:val="22"/>
        <w:szCs w:val="22"/>
        <w:lang w:val="fr-FR"/>
      </w:rPr>
      <w:t>5</w:t>
    </w:r>
    <w:r w:rsidRPr="00586242">
      <w:rPr>
        <w:rFonts w:asciiTheme="minorBidi" w:hAnsiTheme="minorBidi" w:cstheme="minorBidi"/>
        <w:sz w:val="22"/>
        <w:szCs w:val="22"/>
        <w:lang w:val="fr-FR"/>
      </w:rPr>
      <w:t xml:space="preserve">] – pág. </w:t>
    </w:r>
    <w:r w:rsidRPr="00586242">
      <w:rPr>
        <w:rFonts w:asciiTheme="minorBidi" w:hAnsiTheme="minorBidi" w:cstheme="minorBidi"/>
        <w:sz w:val="22"/>
        <w:szCs w:val="22"/>
        <w:lang w:val="fr-FR"/>
      </w:rPr>
      <w:fldChar w:fldCharType="begin"/>
    </w:r>
    <w:r w:rsidRPr="00586242">
      <w:rPr>
        <w:rFonts w:asciiTheme="minorBidi" w:hAnsiTheme="minorBidi" w:cstheme="minorBidi"/>
        <w:sz w:val="22"/>
        <w:szCs w:val="22"/>
        <w:lang w:val="fr-FR"/>
      </w:rPr>
      <w:instrText xml:space="preserve"> PAGE   \* MERGEFORMAT </w:instrText>
    </w:r>
    <w:r w:rsidRPr="00586242">
      <w:rPr>
        <w:rFonts w:asciiTheme="minorBidi" w:hAnsiTheme="minorBidi" w:cstheme="minorBidi"/>
        <w:sz w:val="22"/>
        <w:szCs w:val="22"/>
        <w:lang w:val="fr-FR"/>
      </w:rPr>
      <w:fldChar w:fldCharType="separate"/>
    </w:r>
    <w:r>
      <w:rPr>
        <w:rFonts w:asciiTheme="minorBidi" w:hAnsiTheme="minorBidi"/>
        <w:sz w:val="22"/>
        <w:szCs w:val="22"/>
      </w:rPr>
      <w:t>2</w:t>
    </w:r>
    <w:r w:rsidRPr="00586242">
      <w:rPr>
        <w:rFonts w:asciiTheme="minorBidi" w:hAnsiTheme="minorBidi" w:cstheme="minorBidi"/>
        <w:noProof/>
        <w:sz w:val="22"/>
        <w:szCs w:val="22"/>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8CF"/>
    <w:multiLevelType w:val="hybridMultilevel"/>
    <w:tmpl w:val="B3A43B34"/>
    <w:lvl w:ilvl="0" w:tplc="A168C02C">
      <w:start w:val="1"/>
      <w:numFmt w:val="decimal"/>
      <w:lvlText w:val="%1."/>
      <w:lvlJc w:val="left"/>
      <w:rPr>
        <w:rFonts w:ascii="Arial" w:hAnsi="Arial" w:cs="Arial" w:hint="default"/>
        <w:b w:val="0"/>
        <w:bCs w:val="0"/>
        <w:i/>
        <w:iCs w:val="0"/>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66605E"/>
    <w:multiLevelType w:val="hybridMultilevel"/>
    <w:tmpl w:val="65D07A4E"/>
    <w:lvl w:ilvl="0" w:tplc="D1728D3A">
      <w:start w:val="1"/>
      <w:numFmt w:val="decimal"/>
      <w:lvlText w:val="%1."/>
      <w:lvlJc w:val="left"/>
      <w:pPr>
        <w:ind w:left="153" w:hanging="360"/>
      </w:pPr>
      <w:rPr>
        <w:rFonts w:ascii="Arial" w:hAnsi="Arial" w:hint="default"/>
        <w:b w:val="0"/>
        <w:i/>
        <w:sz w:val="20"/>
        <w:szCs w:val="22"/>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D2787"/>
    <w:multiLevelType w:val="hybridMultilevel"/>
    <w:tmpl w:val="3CBA06A4"/>
    <w:lvl w:ilvl="0" w:tplc="BF4C443C">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444005"/>
    <w:multiLevelType w:val="hybridMultilevel"/>
    <w:tmpl w:val="1F1CF618"/>
    <w:lvl w:ilvl="0" w:tplc="C31EF574">
      <w:start w:val="1"/>
      <w:numFmt w:val="lowerRoman"/>
      <w:lvlText w:val="(%1)"/>
      <w:lvlJc w:val="left"/>
      <w:pPr>
        <w:ind w:left="1290" w:hanging="720"/>
      </w:pPr>
      <w:rPr>
        <w:rFonts w:cs="Times New Roman"/>
        <w:i w:val="0"/>
        <w:iCs/>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6"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E6BCE"/>
    <w:multiLevelType w:val="hybridMultilevel"/>
    <w:tmpl w:val="7862C52C"/>
    <w:lvl w:ilvl="0" w:tplc="BF4C443C">
      <w:start w:val="1"/>
      <w:numFmt w:val="lowerRoman"/>
      <w:lvlText w:val="%1)"/>
      <w:lvlJc w:val="left"/>
      <w:pPr>
        <w:ind w:left="720" w:hanging="360"/>
      </w:pPr>
      <w:rPr>
        <w:rFonts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D65BF"/>
    <w:multiLevelType w:val="hybridMultilevel"/>
    <w:tmpl w:val="23BE93EA"/>
    <w:lvl w:ilvl="0" w:tplc="BF4C443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12"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5BBE5D6B"/>
    <w:multiLevelType w:val="hybridMultilevel"/>
    <w:tmpl w:val="63FE5CBA"/>
    <w:lvl w:ilvl="0" w:tplc="17183498">
      <w:start w:val="1"/>
      <w:numFmt w:val="lowerRoman"/>
      <w:lvlText w:val="(%1)"/>
      <w:lvlJc w:val="left"/>
      <w:pPr>
        <w:ind w:left="360" w:hanging="360"/>
      </w:pPr>
      <w:rPr>
        <w:rFonts w:hint="default"/>
        <w:b w:val="0"/>
        <w:i w:val="0"/>
        <w:iCs/>
        <w:sz w:val="22"/>
        <w:szCs w:val="24"/>
      </w:rPr>
    </w:lvl>
    <w:lvl w:ilvl="1" w:tplc="654EC962">
      <w:start w:val="1"/>
      <w:numFmt w:val="decimal"/>
      <w:lvlText w:val="%2."/>
      <w:lvlJc w:val="left"/>
      <w:pPr>
        <w:ind w:left="1590" w:hanging="870"/>
      </w:pPr>
      <w:rPr>
        <w:rFonts w:hint="default"/>
        <w:b w:val="0"/>
        <w:bCs w:val="0"/>
        <w:i/>
        <w:iCs w:val="0"/>
        <w:sz w:val="22"/>
        <w:szCs w:val="22"/>
      </w:rPr>
    </w:lvl>
    <w:lvl w:ilvl="2" w:tplc="BF4C443C">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CDB0A09"/>
    <w:multiLevelType w:val="hybridMultilevel"/>
    <w:tmpl w:val="788C2026"/>
    <w:lvl w:ilvl="0" w:tplc="BF4C443C">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278AE"/>
    <w:multiLevelType w:val="hybridMultilevel"/>
    <w:tmpl w:val="2EEA2CAE"/>
    <w:lvl w:ilvl="0" w:tplc="7BFE536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6D7C69"/>
    <w:multiLevelType w:val="hybridMultilevel"/>
    <w:tmpl w:val="5802DFBC"/>
    <w:lvl w:ilvl="0" w:tplc="95E27420">
      <w:start w:val="1"/>
      <w:numFmt w:val="low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816489129">
    <w:abstractNumId w:val="13"/>
  </w:num>
  <w:num w:numId="2" w16cid:durableId="1031611400">
    <w:abstractNumId w:val="17"/>
  </w:num>
  <w:num w:numId="3" w16cid:durableId="963118518">
    <w:abstractNumId w:val="1"/>
  </w:num>
  <w:num w:numId="4" w16cid:durableId="909384281">
    <w:abstractNumId w:val="6"/>
  </w:num>
  <w:num w:numId="5" w16cid:durableId="3628739">
    <w:abstractNumId w:val="12"/>
  </w:num>
  <w:num w:numId="6" w16cid:durableId="638803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233189">
    <w:abstractNumId w:val="2"/>
  </w:num>
  <w:num w:numId="8" w16cid:durableId="1141311303">
    <w:abstractNumId w:val="22"/>
  </w:num>
  <w:num w:numId="9" w16cid:durableId="1704867493">
    <w:abstractNumId w:val="18"/>
  </w:num>
  <w:num w:numId="10" w16cid:durableId="1966227720">
    <w:abstractNumId w:val="11"/>
  </w:num>
  <w:num w:numId="11" w16cid:durableId="532884194">
    <w:abstractNumId w:val="5"/>
  </w:num>
  <w:num w:numId="12" w16cid:durableId="535315325">
    <w:abstractNumId w:val="8"/>
  </w:num>
  <w:num w:numId="13" w16cid:durableId="81293754">
    <w:abstractNumId w:val="21"/>
  </w:num>
  <w:num w:numId="14" w16cid:durableId="1196389061">
    <w:abstractNumId w:val="3"/>
  </w:num>
  <w:num w:numId="15" w16cid:durableId="363139019">
    <w:abstractNumId w:val="14"/>
  </w:num>
  <w:num w:numId="16" w16cid:durableId="1721902014">
    <w:abstractNumId w:val="0"/>
  </w:num>
  <w:num w:numId="17" w16cid:durableId="1081102024">
    <w:abstractNumId w:val="19"/>
  </w:num>
  <w:num w:numId="18" w16cid:durableId="1209754801">
    <w:abstractNumId w:val="7"/>
  </w:num>
  <w:num w:numId="19" w16cid:durableId="1770194663">
    <w:abstractNumId w:val="15"/>
  </w:num>
  <w:num w:numId="20" w16cid:durableId="73742148">
    <w:abstractNumId w:val="9"/>
  </w:num>
  <w:num w:numId="21" w16cid:durableId="270211679">
    <w:abstractNumId w:val="10"/>
  </w:num>
  <w:num w:numId="22" w16cid:durableId="249124076">
    <w:abstractNumId w:val="4"/>
  </w:num>
  <w:num w:numId="23" w16cid:durableId="731467081">
    <w:abstractNumId w:val="16"/>
  </w:num>
  <w:num w:numId="24" w16cid:durableId="4477021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2C"/>
    <w:rsid w:val="00033B2B"/>
    <w:rsid w:val="00033DD2"/>
    <w:rsid w:val="000449FB"/>
    <w:rsid w:val="00052B5A"/>
    <w:rsid w:val="00067B5F"/>
    <w:rsid w:val="000D0C6F"/>
    <w:rsid w:val="000D312B"/>
    <w:rsid w:val="000D4EDB"/>
    <w:rsid w:val="001105FE"/>
    <w:rsid w:val="0011242E"/>
    <w:rsid w:val="0011490A"/>
    <w:rsid w:val="00120BF7"/>
    <w:rsid w:val="00130FBD"/>
    <w:rsid w:val="00135422"/>
    <w:rsid w:val="00183205"/>
    <w:rsid w:val="001E3923"/>
    <w:rsid w:val="001F3D2C"/>
    <w:rsid w:val="00205DCB"/>
    <w:rsid w:val="002066D1"/>
    <w:rsid w:val="00252C0F"/>
    <w:rsid w:val="00276749"/>
    <w:rsid w:val="00297B99"/>
    <w:rsid w:val="002C28A8"/>
    <w:rsid w:val="002E41A7"/>
    <w:rsid w:val="003A770C"/>
    <w:rsid w:val="003B18E8"/>
    <w:rsid w:val="003E2870"/>
    <w:rsid w:val="003E7273"/>
    <w:rsid w:val="00413BC8"/>
    <w:rsid w:val="00460755"/>
    <w:rsid w:val="00494C9A"/>
    <w:rsid w:val="00495EF8"/>
    <w:rsid w:val="004A6A55"/>
    <w:rsid w:val="004B1009"/>
    <w:rsid w:val="005002AE"/>
    <w:rsid w:val="0050224F"/>
    <w:rsid w:val="005039BF"/>
    <w:rsid w:val="00582E0E"/>
    <w:rsid w:val="00586242"/>
    <w:rsid w:val="005B3C25"/>
    <w:rsid w:val="005E3B34"/>
    <w:rsid w:val="00621A35"/>
    <w:rsid w:val="00630B82"/>
    <w:rsid w:val="00696F63"/>
    <w:rsid w:val="006B2C31"/>
    <w:rsid w:val="006D4CD7"/>
    <w:rsid w:val="006E58FD"/>
    <w:rsid w:val="0072719C"/>
    <w:rsid w:val="0073078E"/>
    <w:rsid w:val="007D3460"/>
    <w:rsid w:val="007E2A6D"/>
    <w:rsid w:val="00856C2C"/>
    <w:rsid w:val="00891A95"/>
    <w:rsid w:val="008A3665"/>
    <w:rsid w:val="008B69B4"/>
    <w:rsid w:val="009371D8"/>
    <w:rsid w:val="00947577"/>
    <w:rsid w:val="00971C83"/>
    <w:rsid w:val="00992954"/>
    <w:rsid w:val="009C4402"/>
    <w:rsid w:val="009F7E71"/>
    <w:rsid w:val="00AF2865"/>
    <w:rsid w:val="00B11D93"/>
    <w:rsid w:val="00B15066"/>
    <w:rsid w:val="00B1636C"/>
    <w:rsid w:val="00B34EDA"/>
    <w:rsid w:val="00B36FD8"/>
    <w:rsid w:val="00BB175E"/>
    <w:rsid w:val="00BB7AF2"/>
    <w:rsid w:val="00BC394C"/>
    <w:rsid w:val="00BC46DF"/>
    <w:rsid w:val="00BC4EC3"/>
    <w:rsid w:val="00BE32B0"/>
    <w:rsid w:val="00C16EAA"/>
    <w:rsid w:val="00C81BBE"/>
    <w:rsid w:val="00C94407"/>
    <w:rsid w:val="00CC3161"/>
    <w:rsid w:val="00CD55B9"/>
    <w:rsid w:val="00D0146F"/>
    <w:rsid w:val="00D46D6A"/>
    <w:rsid w:val="00D6700C"/>
    <w:rsid w:val="00DC168C"/>
    <w:rsid w:val="00DD3E05"/>
    <w:rsid w:val="00DD7428"/>
    <w:rsid w:val="00DE18E8"/>
    <w:rsid w:val="00DF3D2E"/>
    <w:rsid w:val="00E060AB"/>
    <w:rsid w:val="00E43149"/>
    <w:rsid w:val="00E707AA"/>
    <w:rsid w:val="00E74967"/>
    <w:rsid w:val="00EC7D2C"/>
    <w:rsid w:val="00ED3F1C"/>
    <w:rsid w:val="00F2071E"/>
    <w:rsid w:val="00F8714C"/>
    <w:rsid w:val="00F901AC"/>
    <w:rsid w:val="00F97EE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D284A"/>
  <w15:docId w15:val="{4C217618-FA36-4C96-9C89-D7765893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2">
    <w:name w:val="heading 2"/>
    <w:basedOn w:val="Normal"/>
    <w:next w:val="Normal"/>
    <w:link w:val="Heading2Char"/>
    <w:autoRedefine/>
    <w:qFormat/>
    <w:rsid w:val="00947577"/>
    <w:pPr>
      <w:keepNext/>
      <w:widowControl w:val="0"/>
      <w:numPr>
        <w:ilvl w:val="2"/>
        <w:numId w:val="3"/>
      </w:numPr>
      <w:spacing w:before="240" w:after="60"/>
      <w:outlineLvl w:val="1"/>
    </w:pPr>
    <w:rPr>
      <w:rFonts w:ascii="Arial" w:eastAsiaTheme="majorEastAsia" w:hAnsi="Arial" w:cstheme="majorBidi"/>
      <w:b/>
      <w:bCs/>
      <w:iCs/>
      <w:cap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cap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caps/>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uiPriority w:val="99"/>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 w:type="paragraph" w:customStyle="1" w:styleId="non-decis">
    <w:name w:val="non-decis"/>
    <w:basedOn w:val="Normal"/>
    <w:rsid w:val="00E060AB"/>
    <w:pPr>
      <w:tabs>
        <w:tab w:val="clear" w:pos="567"/>
      </w:tabs>
      <w:snapToGrid/>
      <w:ind w:left="737" w:right="737"/>
      <w:jc w:val="both"/>
    </w:pPr>
    <w:rPr>
      <w:snapToGrid/>
      <w:sz w:val="20"/>
      <w:szCs w:val="20"/>
    </w:rPr>
  </w:style>
  <w:style w:type="character" w:styleId="Hyperlink">
    <w:name w:val="Hyperlink"/>
    <w:uiPriority w:val="99"/>
    <w:rsid w:val="00E060AB"/>
    <w:rPr>
      <w:color w:val="0000FF"/>
      <w:u w:val="single"/>
    </w:rPr>
  </w:style>
  <w:style w:type="paragraph" w:styleId="NormalWeb">
    <w:name w:val="Normal (Web)"/>
    <w:basedOn w:val="Normal"/>
    <w:uiPriority w:val="99"/>
    <w:rsid w:val="00E060AB"/>
    <w:pPr>
      <w:tabs>
        <w:tab w:val="clear" w:pos="567"/>
      </w:tabs>
      <w:snapToGrid/>
      <w:spacing w:before="100" w:beforeAutospacing="1" w:after="100" w:afterAutospacing="1"/>
    </w:pPr>
    <w:rPr>
      <w:rFonts w:eastAsia="MS Mincho"/>
      <w:snapToGrid/>
      <w:lang w:val="en-US" w:eastAsia="ja-JP"/>
    </w:rPr>
  </w:style>
  <w:style w:type="paragraph" w:styleId="Revision">
    <w:name w:val="Revision"/>
    <w:hidden/>
    <w:uiPriority w:val="99"/>
    <w:semiHidden/>
    <w:rsid w:val="00BE32B0"/>
    <w:pPr>
      <w:spacing w:after="0" w:line="240" w:lineRule="auto"/>
    </w:pPr>
    <w:rPr>
      <w:rFonts w:ascii="Times New Roman" w:eastAsia="Times New Roman" w:hAnsi="Times New Roman" w:cs="Times New Roman"/>
      <w:snapToGrid w:val="0"/>
      <w:sz w:val="24"/>
      <w:szCs w:val="24"/>
      <w:lang w:val="en-GB" w:eastAsia="en-US"/>
    </w:rPr>
  </w:style>
  <w:style w:type="paragraph" w:customStyle="1" w:styleId="Marge">
    <w:name w:val="Marge"/>
    <w:basedOn w:val="Normal"/>
    <w:link w:val="MargeChar"/>
    <w:qFormat/>
    <w:rsid w:val="00B36FD8"/>
    <w:pPr>
      <w:tabs>
        <w:tab w:val="clear" w:pos="567"/>
      </w:tabs>
      <w:snapToGrid/>
      <w:spacing w:after="240"/>
      <w:jc w:val="both"/>
    </w:pPr>
    <w:rPr>
      <w:rFonts w:ascii="Arial" w:eastAsiaTheme="minorEastAsia" w:hAnsi="Arial" w:cstheme="minorBidi"/>
      <w:snapToGrid/>
      <w:sz w:val="22"/>
      <w:szCs w:val="22"/>
      <w:lang w:eastAsia="zh-CN"/>
    </w:rPr>
  </w:style>
  <w:style w:type="character" w:customStyle="1" w:styleId="MargeChar">
    <w:name w:val="Marge Char"/>
    <w:basedOn w:val="DefaultParagraphFont"/>
    <w:link w:val="Marge"/>
    <w:qFormat/>
    <w:rsid w:val="00B36FD8"/>
    <w:rPr>
      <w:rFonts w:ascii="Arial" w:eastAsiaTheme="minorEastAsia" w:hAnsi="Arial"/>
      <w:lang w:val="en-GB" w:eastAsia="zh-CN"/>
    </w:rPr>
  </w:style>
  <w:style w:type="paragraph" w:customStyle="1" w:styleId="b">
    <w:name w:val="(b)"/>
    <w:basedOn w:val="Normal"/>
    <w:rsid w:val="00120BF7"/>
    <w:pPr>
      <w:tabs>
        <w:tab w:val="clear" w:pos="567"/>
        <w:tab w:val="left" w:pos="1134"/>
      </w:tabs>
      <w:snapToGrid/>
      <w:spacing w:after="240" w:line="276" w:lineRule="auto"/>
      <w:ind w:left="1134" w:hanging="567"/>
      <w:jc w:val="both"/>
    </w:pPr>
    <w:rPr>
      <w:rFonts w:ascii="Arial" w:eastAsiaTheme="minorEastAsia" w:hAnsi="Arial" w:cstheme="minorBidi"/>
      <w:snapToGrid/>
      <w:sz w:val="22"/>
      <w:szCs w:val="22"/>
      <w:lang w:eastAsia="zh-CN"/>
    </w:rPr>
  </w:style>
  <w:style w:type="paragraph" w:customStyle="1" w:styleId="TIRETbul1cm">
    <w:name w:val="TIRET bul 1cm"/>
    <w:basedOn w:val="Normal"/>
    <w:rsid w:val="00120BF7"/>
    <w:pPr>
      <w:tabs>
        <w:tab w:val="clear" w:pos="567"/>
        <w:tab w:val="left" w:pos="840"/>
      </w:tabs>
      <w:adjustRightInd w:val="0"/>
      <w:snapToGrid/>
      <w:spacing w:after="240" w:line="276" w:lineRule="auto"/>
      <w:jc w:val="both"/>
    </w:pPr>
    <w:rPr>
      <w:rFonts w:ascii="Arial" w:eastAsiaTheme="minorEastAsia" w:hAnsi="Arial" w:cstheme="minorBidi"/>
      <w:snapToGrid/>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INetCache\Content.Outlook\S9V2CJZB\DR%20templates%20(0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26BD-17DB-764B-9B80-DEE470F5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 templates (002)</Template>
  <TotalTime>1</TotalTime>
  <Pages>4</Pages>
  <Words>1246</Words>
  <Characters>7108</Characters>
  <Application>Microsoft Office Word</Application>
  <DocSecurity>4</DocSecurity>
  <Lines>59</Lines>
  <Paragraphs>16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Ejecución del decenio de las Naciones Unidas de las Ciencias Oceánicas para el desarrollo sostenible (2021-2030)</vt:lpstr>
      <vt:lpstr/>
      <vt:lpstr/>
    </vt:vector>
  </TitlesOfParts>
  <Company>Hewlett-Packard Company</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Creación de una Subcomisión de la COI para el Océano Índico Central (IOCINDIO)</dc:title>
  <dc:subject>DRAFT RESOLUTION A-32/DR.[4.5]</dc:subject>
  <dc:creator>Boned, Patrice</dc:creator>
  <dc:description/>
  <cp:lastModifiedBy>Boned, Patrice</cp:lastModifiedBy>
  <cp:revision>2</cp:revision>
  <cp:lastPrinted>2023-06-23T08:21:00Z</cp:lastPrinted>
  <dcterms:created xsi:type="dcterms:W3CDTF">2023-06-26T10:59:00Z</dcterms:created>
  <dcterms:modified xsi:type="dcterms:W3CDTF">2023-06-26T10:59:00Z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202302045</vt:lpwstr>
  </property>
  <property fmtid="{D5CDD505-2E9C-101B-9397-08002B2CF9AE}" pid="3" name="Language">
    <vt:lpwstr>S</vt:lpwstr>
  </property>
</Properties>
</file>