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0"/>
      </w:tblGrid>
      <w:tr w:rsidR="00B83068" w:rsidRPr="00777226" w14:paraId="26F6BFF5" w14:textId="77777777" w:rsidTr="0035780A">
        <w:trPr>
          <w:jc w:val="center"/>
        </w:trPr>
        <w:tc>
          <w:tcPr>
            <w:tcW w:w="8500" w:type="dxa"/>
            <w:tcMar>
              <w:top w:w="170" w:type="dxa"/>
              <w:left w:w="170" w:type="dxa"/>
              <w:bottom w:w="170" w:type="dxa"/>
              <w:right w:w="170" w:type="dxa"/>
            </w:tcMar>
          </w:tcPr>
          <w:p w14:paraId="4FC7421D" w14:textId="77777777" w:rsidR="00467E3F" w:rsidRPr="00777226" w:rsidRDefault="00B83068" w:rsidP="00853565">
            <w:pPr>
              <w:pStyle w:val="Marge"/>
              <w:jc w:val="center"/>
              <w:rPr>
                <w:rFonts w:cs="Arial"/>
                <w:szCs w:val="22"/>
              </w:rPr>
            </w:pPr>
            <w:r>
              <w:rPr>
                <w:szCs w:val="22"/>
                <w:u w:val="single"/>
              </w:rPr>
              <w:t>Резюме</w:t>
            </w:r>
          </w:p>
          <w:p w14:paraId="106FB7AB" w14:textId="77777777" w:rsidR="006A6774" w:rsidRDefault="00DB31DB" w:rsidP="0035780A">
            <w:pPr>
              <w:pStyle w:val="Marge"/>
              <w:spacing w:after="120"/>
              <w:ind w:right="111"/>
              <w:rPr>
                <w:rFonts w:cs="Arial"/>
                <w:szCs w:val="22"/>
              </w:rPr>
            </w:pPr>
            <w:r>
              <w:t>На своей 31-й сессии Ассамблея МОК приняла решение A-31/3.5.3, в котором постановила продлить период реализации Стратегии МОК в области развития потенциала на 2015-2021 гг. (</w:t>
            </w:r>
            <w:hyperlink r:id="rId8" w:history="1">
              <w:r>
                <w:rPr>
                  <w:rStyle w:val="Hyperlink"/>
                </w:rPr>
                <w:t>IOC/INF-1332</w:t>
              </w:r>
            </w:hyperlink>
            <w:r>
              <w:t>) до июля 2023 г. и сформировать группу экспертов с задачей представить на 32-й сессии Ассамблеи проект стратегии МОК в области развития потенциала на 2023-2030 гг. вместе с проектом плана информационно-пропагандистского обеспечения ее реализации.</w:t>
            </w:r>
          </w:p>
          <w:p w14:paraId="794403F1" w14:textId="0514F7B6" w:rsidR="00704E60" w:rsidRPr="00777226" w:rsidRDefault="00A96413" w:rsidP="008A7150">
            <w:pPr>
              <w:pStyle w:val="Marge"/>
              <w:spacing w:after="120"/>
              <w:rPr>
                <w:rFonts w:cs="Arial"/>
                <w:szCs w:val="22"/>
              </w:rPr>
            </w:pPr>
            <w:r>
              <w:t>Ниже представлен основной документ стратегии МОК в области развития потенциала на 2023-2030 гг. Подробная информация, касающаяся анализа эффективности и пересмотра действующей стратегии, содержится в добавлении к документу IOC-32/4.3.Doc(1).</w:t>
            </w:r>
          </w:p>
          <w:p w14:paraId="415838A6" w14:textId="521B0F44" w:rsidR="00413F17" w:rsidRPr="00777226" w:rsidRDefault="00705935" w:rsidP="00705935">
            <w:pPr>
              <w:pStyle w:val="h"/>
              <w:rPr>
                <w:u w:val="none"/>
              </w:rPr>
            </w:pPr>
            <w:r>
              <w:rPr>
                <w:u w:val="none"/>
              </w:rPr>
              <w:t>Стратегия МОК в области развития потенциала на 2023-2030 гг. задумана как дополнение к Среднесрочной стратегии МОК на 2022-2029 гг. В действующей Среднесрочной стратеги</w:t>
            </w:r>
            <w:r w:rsidR="008967A7">
              <w:rPr>
                <w:u w:val="none"/>
              </w:rPr>
              <w:t>и</w:t>
            </w:r>
            <w:r>
              <w:rPr>
                <w:u w:val="none"/>
              </w:rPr>
              <w:t xml:space="preserve"> ЮНЕСКО развитие потенциала рассматривается как важнейший стимулирующий фактор. Таким образом, МОК сможет содействовать реализации пяти целей верхнего уровня (стратегических целей) указанной стратегии.</w:t>
            </w:r>
          </w:p>
          <w:p w14:paraId="148C85BD" w14:textId="77777777" w:rsidR="006A6774" w:rsidRDefault="00467E3F" w:rsidP="00903E72">
            <w:pPr>
              <w:pStyle w:val="Marge"/>
              <w:spacing w:after="120"/>
              <w:rPr>
                <w:rFonts w:cs="Arial"/>
                <w:iCs/>
                <w:szCs w:val="22"/>
              </w:rPr>
            </w:pPr>
            <w:r>
              <w:rPr>
                <w:szCs w:val="22"/>
                <w:u w:val="single"/>
              </w:rPr>
              <w:t>Финансовые и административные последствия</w:t>
            </w:r>
            <w:r>
              <w:rPr>
                <w:szCs w:val="22"/>
              </w:rPr>
              <w:t>:</w:t>
            </w:r>
            <w:r>
              <w:rPr>
                <w:i/>
                <w:szCs w:val="22"/>
              </w:rPr>
              <w:t xml:space="preserve"> </w:t>
            </w:r>
            <w:r>
              <w:t>предлагаемое решение не имеет прямых финансовых последствий, однако выполнение соответствующей резолюции будет сопряжено с финансовыми затратами, которые необходимо будет отразить в плане работы по достижению всех ожидаемых результатов.</w:t>
            </w:r>
          </w:p>
          <w:p w14:paraId="4A57D798" w14:textId="28E5D797" w:rsidR="00737A18" w:rsidRPr="00777226" w:rsidRDefault="008A7150" w:rsidP="008A7150">
            <w:pPr>
              <w:pStyle w:val="Marge"/>
              <w:spacing w:after="120"/>
              <w:rPr>
                <w:rFonts w:cs="Arial"/>
                <w:szCs w:val="22"/>
              </w:rPr>
            </w:pPr>
            <w:r>
              <w:rPr>
                <w:u w:val="single"/>
              </w:rPr>
              <w:t>Предлагаемое решение</w:t>
            </w:r>
            <w:r>
              <w:t xml:space="preserve"> упоминается в документе о принятых и предлагаемых мерах (документ IOC-32/2 </w:t>
            </w:r>
            <w:proofErr w:type="spellStart"/>
            <w:r>
              <w:t>Prov</w:t>
            </w:r>
            <w:proofErr w:type="spellEnd"/>
            <w:r>
              <w:t>.) как Реш. IOC-32/4.3.</w:t>
            </w:r>
          </w:p>
        </w:tc>
      </w:tr>
    </w:tbl>
    <w:p w14:paraId="632ED665" w14:textId="77777777" w:rsidR="00746B89" w:rsidRPr="00777226" w:rsidRDefault="00746B89" w:rsidP="00351726">
      <w:pPr>
        <w:pStyle w:val="Heading3"/>
        <w:sectPr w:rsidR="00746B89" w:rsidRPr="00777226" w:rsidSect="003F7186">
          <w:headerReference w:type="even" r:id="rId9"/>
          <w:headerReference w:type="default" r:id="rId10"/>
          <w:headerReference w:type="first" r:id="rId11"/>
          <w:footerReference w:type="first" r:id="rId12"/>
          <w:type w:val="continuous"/>
          <w:pgSz w:w="11906" w:h="16838" w:code="9"/>
          <w:pgMar w:top="1418" w:right="1134" w:bottom="1134" w:left="1134" w:header="709" w:footer="680" w:gutter="0"/>
          <w:pgNumType w:start="1"/>
          <w:cols w:space="708"/>
          <w:titlePg/>
          <w:docGrid w:linePitch="360"/>
        </w:sectPr>
      </w:pPr>
    </w:p>
    <w:p w14:paraId="317AC52D" w14:textId="69A09BF7" w:rsidR="002E0C01" w:rsidRPr="00777226" w:rsidRDefault="002E0C01" w:rsidP="0017260D">
      <w:pPr>
        <w:jc w:val="center"/>
        <w:rPr>
          <w:b/>
        </w:rPr>
      </w:pPr>
      <w:r>
        <w:rPr>
          <w:b/>
        </w:rPr>
        <w:lastRenderedPageBreak/>
        <w:t>СОДЕРЖАНИЕ</w:t>
      </w:r>
    </w:p>
    <w:p w14:paraId="518C3B7B" w14:textId="7196728C" w:rsidR="0017260D" w:rsidRPr="00777226" w:rsidRDefault="0017260D" w:rsidP="0017260D">
      <w:pPr>
        <w:jc w:val="center"/>
        <w:rPr>
          <w:b/>
        </w:rPr>
      </w:pPr>
    </w:p>
    <w:p w14:paraId="33B5613E" w14:textId="3DA4ED01" w:rsidR="0017260D" w:rsidRPr="007E57EA" w:rsidRDefault="007E57EA" w:rsidP="007E57EA">
      <w:pPr>
        <w:spacing w:after="240"/>
        <w:jc w:val="right"/>
        <w:rPr>
          <w:bCs/>
        </w:rPr>
      </w:pPr>
      <w:r>
        <w:rPr>
          <w:bCs/>
        </w:rPr>
        <w:t>Стр.</w:t>
      </w:r>
    </w:p>
    <w:p w14:paraId="1A611DB7" w14:textId="1ABACE22" w:rsidR="00216B88" w:rsidRPr="0035780A" w:rsidRDefault="0017260D" w:rsidP="0035780A">
      <w:pPr>
        <w:pStyle w:val="TOC1"/>
        <w:spacing w:after="240"/>
        <w:rPr>
          <w:rFonts w:asciiTheme="minorBidi" w:eastAsiaTheme="minorEastAsia" w:hAnsiTheme="minorBidi" w:cstheme="minorBidi"/>
          <w:b w:val="0"/>
          <w:bCs w:val="0"/>
          <w:caps w:val="0"/>
          <w:noProof/>
          <w:snapToGrid/>
          <w:kern w:val="2"/>
          <w:u w:val="none"/>
          <w:lang w:eastAsia="ru-RU"/>
          <w14:ligatures w14:val="standardContextual"/>
        </w:rPr>
      </w:pPr>
      <w:r w:rsidRPr="001F5C46">
        <w:fldChar w:fldCharType="begin"/>
      </w:r>
      <w:r w:rsidRPr="001F5C46">
        <w:instrText xml:space="preserve"> TOC \o "1-3" \h \z \u </w:instrText>
      </w:r>
      <w:r w:rsidRPr="001F5C46">
        <w:fldChar w:fldCharType="separate"/>
      </w:r>
      <w:hyperlink w:anchor="_Toc138680729" w:history="1">
        <w:r w:rsidR="00216B88" w:rsidRPr="0035780A">
          <w:rPr>
            <w:rStyle w:val="Hyperlink"/>
            <w:rFonts w:asciiTheme="minorBidi" w:hAnsiTheme="minorBidi" w:cstheme="minorBidi"/>
            <w:noProof/>
            <w:u w:val="none"/>
          </w:rPr>
          <w:t>О</w:t>
        </w:r>
        <w:r w:rsidR="00C40B5C" w:rsidRPr="0035780A">
          <w:rPr>
            <w:rStyle w:val="Hyperlink"/>
            <w:rFonts w:asciiTheme="minorBidi" w:hAnsiTheme="minorBidi" w:cstheme="minorBidi"/>
            <w:caps w:val="0"/>
            <w:noProof/>
            <w:u w:val="none"/>
          </w:rPr>
          <w:t>сновные положения</w:t>
        </w:r>
        <w:r w:rsidR="00216B88" w:rsidRPr="0035780A">
          <w:rPr>
            <w:rFonts w:asciiTheme="minorBidi" w:hAnsiTheme="minorBidi" w:cstheme="minorBidi"/>
            <w:noProof/>
            <w:webHidden/>
            <w:u w:val="none"/>
          </w:rPr>
          <w:tab/>
        </w:r>
        <w:r w:rsidR="00216B88" w:rsidRPr="0035780A">
          <w:rPr>
            <w:rFonts w:asciiTheme="minorBidi" w:hAnsiTheme="minorBidi" w:cstheme="minorBidi"/>
            <w:noProof/>
            <w:webHidden/>
            <w:u w:val="none"/>
          </w:rPr>
          <w:fldChar w:fldCharType="begin"/>
        </w:r>
        <w:r w:rsidR="00216B88" w:rsidRPr="0035780A">
          <w:rPr>
            <w:rFonts w:asciiTheme="minorBidi" w:hAnsiTheme="minorBidi" w:cstheme="minorBidi"/>
            <w:noProof/>
            <w:webHidden/>
            <w:u w:val="none"/>
          </w:rPr>
          <w:instrText xml:space="preserve"> PAGEREF _Toc138680729 \h </w:instrText>
        </w:r>
        <w:r w:rsidR="00216B88" w:rsidRPr="0035780A">
          <w:rPr>
            <w:rFonts w:asciiTheme="minorBidi" w:hAnsiTheme="minorBidi" w:cstheme="minorBidi"/>
            <w:noProof/>
            <w:webHidden/>
            <w:u w:val="none"/>
          </w:rPr>
        </w:r>
        <w:r w:rsidR="00216B88" w:rsidRPr="0035780A">
          <w:rPr>
            <w:rFonts w:asciiTheme="minorBidi" w:hAnsiTheme="minorBidi" w:cstheme="minorBidi"/>
            <w:noProof/>
            <w:webHidden/>
            <w:u w:val="none"/>
          </w:rPr>
          <w:fldChar w:fldCharType="separate"/>
        </w:r>
        <w:r w:rsidR="00F156F2">
          <w:rPr>
            <w:rFonts w:asciiTheme="minorBidi" w:hAnsiTheme="minorBidi" w:cstheme="minorBidi"/>
            <w:noProof/>
            <w:webHidden/>
            <w:u w:val="none"/>
          </w:rPr>
          <w:t>1</w:t>
        </w:r>
        <w:r w:rsidR="00216B88" w:rsidRPr="0035780A">
          <w:rPr>
            <w:rFonts w:asciiTheme="minorBidi" w:hAnsiTheme="minorBidi" w:cstheme="minorBidi"/>
            <w:noProof/>
            <w:webHidden/>
            <w:u w:val="none"/>
          </w:rPr>
          <w:fldChar w:fldCharType="end"/>
        </w:r>
      </w:hyperlink>
    </w:p>
    <w:p w14:paraId="1ABDAD61" w14:textId="2F729D93" w:rsidR="00216B88" w:rsidRPr="0035780A" w:rsidRDefault="0097018B" w:rsidP="0035780A">
      <w:pPr>
        <w:pStyle w:val="TOC1"/>
        <w:spacing w:after="240"/>
        <w:rPr>
          <w:rFonts w:asciiTheme="minorBidi" w:eastAsiaTheme="minorEastAsia" w:hAnsiTheme="minorBidi" w:cstheme="minorBidi"/>
          <w:b w:val="0"/>
          <w:bCs w:val="0"/>
          <w:caps w:val="0"/>
          <w:noProof/>
          <w:snapToGrid/>
          <w:kern w:val="2"/>
          <w:u w:val="none"/>
          <w:lang w:eastAsia="ru-RU"/>
          <w14:ligatures w14:val="standardContextual"/>
        </w:rPr>
      </w:pPr>
      <w:hyperlink w:anchor="_Toc138680730" w:history="1">
        <w:r w:rsidR="00216B88" w:rsidRPr="0035780A">
          <w:rPr>
            <w:rStyle w:val="Hyperlink"/>
            <w:rFonts w:asciiTheme="minorBidi" w:hAnsiTheme="minorBidi" w:cstheme="minorBidi"/>
            <w:noProof/>
            <w:u w:val="none"/>
          </w:rPr>
          <w:t>К</w:t>
        </w:r>
        <w:r w:rsidR="00C40B5C" w:rsidRPr="0035780A">
          <w:rPr>
            <w:rStyle w:val="Hyperlink"/>
            <w:rFonts w:asciiTheme="minorBidi" w:hAnsiTheme="minorBidi" w:cstheme="minorBidi"/>
            <w:caps w:val="0"/>
            <w:noProof/>
            <w:u w:val="none"/>
          </w:rPr>
          <w:t>раткое изложение целей и задач</w:t>
        </w:r>
        <w:r w:rsidR="00216B88" w:rsidRPr="0035780A">
          <w:rPr>
            <w:rFonts w:asciiTheme="minorBidi" w:hAnsiTheme="minorBidi" w:cstheme="minorBidi"/>
            <w:noProof/>
            <w:webHidden/>
            <w:u w:val="none"/>
          </w:rPr>
          <w:tab/>
        </w:r>
        <w:r w:rsidR="00216B88" w:rsidRPr="0035780A">
          <w:rPr>
            <w:rFonts w:asciiTheme="minorBidi" w:hAnsiTheme="minorBidi" w:cstheme="minorBidi"/>
            <w:noProof/>
            <w:webHidden/>
            <w:u w:val="none"/>
          </w:rPr>
          <w:fldChar w:fldCharType="begin"/>
        </w:r>
        <w:r w:rsidR="00216B88" w:rsidRPr="0035780A">
          <w:rPr>
            <w:rFonts w:asciiTheme="minorBidi" w:hAnsiTheme="minorBidi" w:cstheme="minorBidi"/>
            <w:noProof/>
            <w:webHidden/>
            <w:u w:val="none"/>
          </w:rPr>
          <w:instrText xml:space="preserve"> PAGEREF _Toc138680730 \h </w:instrText>
        </w:r>
        <w:r w:rsidR="00216B88" w:rsidRPr="0035780A">
          <w:rPr>
            <w:rFonts w:asciiTheme="minorBidi" w:hAnsiTheme="minorBidi" w:cstheme="minorBidi"/>
            <w:noProof/>
            <w:webHidden/>
            <w:u w:val="none"/>
          </w:rPr>
        </w:r>
        <w:r w:rsidR="00216B88" w:rsidRPr="0035780A">
          <w:rPr>
            <w:rFonts w:asciiTheme="minorBidi" w:hAnsiTheme="minorBidi" w:cstheme="minorBidi"/>
            <w:noProof/>
            <w:webHidden/>
            <w:u w:val="none"/>
          </w:rPr>
          <w:fldChar w:fldCharType="separate"/>
        </w:r>
        <w:r w:rsidR="00F156F2">
          <w:rPr>
            <w:rFonts w:asciiTheme="minorBidi" w:hAnsiTheme="minorBidi" w:cstheme="minorBidi"/>
            <w:noProof/>
            <w:webHidden/>
            <w:u w:val="none"/>
          </w:rPr>
          <w:t>5</w:t>
        </w:r>
        <w:r w:rsidR="00216B88" w:rsidRPr="0035780A">
          <w:rPr>
            <w:rFonts w:asciiTheme="minorBidi" w:hAnsiTheme="minorBidi" w:cstheme="minorBidi"/>
            <w:noProof/>
            <w:webHidden/>
            <w:u w:val="none"/>
          </w:rPr>
          <w:fldChar w:fldCharType="end"/>
        </w:r>
      </w:hyperlink>
    </w:p>
    <w:p w14:paraId="79B1290B" w14:textId="23DD976A" w:rsidR="00216B88" w:rsidRPr="00F156F2" w:rsidRDefault="0097018B" w:rsidP="0035780A">
      <w:pPr>
        <w:pStyle w:val="TOC1"/>
        <w:spacing w:after="240"/>
        <w:rPr>
          <w:rFonts w:asciiTheme="minorBidi" w:eastAsiaTheme="minorEastAsia" w:hAnsiTheme="minorBidi" w:cstheme="minorBidi"/>
          <w:b w:val="0"/>
          <w:bCs w:val="0"/>
          <w:noProof/>
          <w:snapToGrid/>
          <w:kern w:val="2"/>
          <w:u w:val="none"/>
          <w:lang w:eastAsia="ru-RU"/>
          <w14:ligatures w14:val="standardContextual"/>
        </w:rPr>
      </w:pPr>
      <w:hyperlink w:anchor="_Toc138680731" w:history="1">
        <w:r w:rsidR="00216B88" w:rsidRPr="00F156F2">
          <w:rPr>
            <w:rStyle w:val="Hyperlink"/>
            <w:rFonts w:asciiTheme="minorBidi" w:hAnsiTheme="minorBidi" w:cstheme="minorBidi"/>
            <w:noProof/>
            <w:u w:val="none"/>
          </w:rPr>
          <w:t>Р</w:t>
        </w:r>
        <w:r w:rsidR="00C40B5C" w:rsidRPr="00F156F2">
          <w:rPr>
            <w:rStyle w:val="Hyperlink"/>
            <w:rFonts w:asciiTheme="minorBidi" w:hAnsiTheme="minorBidi" w:cstheme="minorBidi"/>
            <w:caps w:val="0"/>
            <w:noProof/>
            <w:u w:val="none"/>
          </w:rPr>
          <w:t>амочная стратегия деятельности (2023-2030 гг.</w:t>
        </w:r>
        <w:r w:rsidR="00216B88" w:rsidRPr="00F156F2">
          <w:rPr>
            <w:rStyle w:val="Hyperlink"/>
            <w:rFonts w:asciiTheme="minorBidi" w:hAnsiTheme="minorBidi" w:cstheme="minorBidi"/>
            <w:noProof/>
            <w:u w:val="none"/>
          </w:rPr>
          <w:t>)</w:t>
        </w:r>
        <w:r w:rsidR="00216B88" w:rsidRPr="00F156F2">
          <w:rPr>
            <w:rFonts w:asciiTheme="minorBidi" w:hAnsiTheme="minorBidi" w:cstheme="minorBidi"/>
            <w:noProof/>
            <w:webHidden/>
            <w:u w:val="none"/>
          </w:rPr>
          <w:tab/>
        </w:r>
        <w:r w:rsidR="00216B88" w:rsidRPr="00F156F2">
          <w:rPr>
            <w:rFonts w:asciiTheme="minorBidi" w:hAnsiTheme="minorBidi" w:cstheme="minorBidi"/>
            <w:noProof/>
            <w:webHidden/>
            <w:u w:val="none"/>
          </w:rPr>
          <w:fldChar w:fldCharType="begin"/>
        </w:r>
        <w:r w:rsidR="00216B88" w:rsidRPr="00F156F2">
          <w:rPr>
            <w:rFonts w:asciiTheme="minorBidi" w:hAnsiTheme="minorBidi" w:cstheme="minorBidi"/>
            <w:noProof/>
            <w:webHidden/>
            <w:u w:val="none"/>
          </w:rPr>
          <w:instrText xml:space="preserve"> PAGEREF _Toc138680731 \h </w:instrText>
        </w:r>
        <w:r w:rsidR="00216B88" w:rsidRPr="00F156F2">
          <w:rPr>
            <w:rFonts w:asciiTheme="minorBidi" w:hAnsiTheme="minorBidi" w:cstheme="minorBidi"/>
            <w:noProof/>
            <w:webHidden/>
            <w:u w:val="none"/>
          </w:rPr>
        </w:r>
        <w:r w:rsidR="00216B88" w:rsidRPr="00F156F2">
          <w:rPr>
            <w:rFonts w:asciiTheme="minorBidi" w:hAnsiTheme="minorBidi" w:cstheme="minorBidi"/>
            <w:noProof/>
            <w:webHidden/>
            <w:u w:val="none"/>
          </w:rPr>
          <w:fldChar w:fldCharType="separate"/>
        </w:r>
        <w:r w:rsidR="00F156F2" w:rsidRPr="00F156F2">
          <w:rPr>
            <w:rFonts w:asciiTheme="minorBidi" w:hAnsiTheme="minorBidi" w:cstheme="minorBidi"/>
            <w:noProof/>
            <w:webHidden/>
            <w:u w:val="none"/>
          </w:rPr>
          <w:t>7</w:t>
        </w:r>
        <w:r w:rsidR="00216B88" w:rsidRPr="00F156F2">
          <w:rPr>
            <w:rFonts w:asciiTheme="minorBidi" w:hAnsiTheme="minorBidi" w:cstheme="minorBidi"/>
            <w:noProof/>
            <w:webHidden/>
            <w:u w:val="none"/>
          </w:rPr>
          <w:fldChar w:fldCharType="end"/>
        </w:r>
      </w:hyperlink>
    </w:p>
    <w:p w14:paraId="1C807DCA" w14:textId="4235CA0B" w:rsidR="00216B88" w:rsidRPr="00F156F2" w:rsidRDefault="0097018B" w:rsidP="00F156F2">
      <w:pPr>
        <w:pStyle w:val="TOC3"/>
        <w:rPr>
          <w:rFonts w:eastAsiaTheme="minorEastAsia"/>
          <w:snapToGrid/>
          <w:kern w:val="2"/>
          <w:lang w:eastAsia="ru-RU"/>
          <w14:ligatures w14:val="standardContextual"/>
        </w:rPr>
      </w:pPr>
      <w:hyperlink w:anchor="_Toc138680732" w:history="1">
        <w:r w:rsidR="00216B88" w:rsidRPr="00F156F2">
          <w:rPr>
            <w:rStyle w:val="Hyperlink"/>
            <w:u w:val="none"/>
          </w:rPr>
          <w:t>Ожидаемые (конечные) результаты</w:t>
        </w:r>
        <w:r w:rsidR="00216B88" w:rsidRPr="00F156F2">
          <w:rPr>
            <w:webHidden/>
          </w:rPr>
          <w:tab/>
        </w:r>
        <w:r w:rsidR="00216B88" w:rsidRPr="00F156F2">
          <w:rPr>
            <w:webHidden/>
          </w:rPr>
          <w:fldChar w:fldCharType="begin"/>
        </w:r>
        <w:r w:rsidR="00216B88" w:rsidRPr="00F156F2">
          <w:rPr>
            <w:webHidden/>
          </w:rPr>
          <w:instrText xml:space="preserve"> PAGEREF _Toc138680732 \h </w:instrText>
        </w:r>
        <w:r w:rsidR="00216B88" w:rsidRPr="00F156F2">
          <w:rPr>
            <w:webHidden/>
          </w:rPr>
        </w:r>
        <w:r w:rsidR="00216B88" w:rsidRPr="00F156F2">
          <w:rPr>
            <w:webHidden/>
          </w:rPr>
          <w:fldChar w:fldCharType="separate"/>
        </w:r>
        <w:r w:rsidR="00F156F2" w:rsidRPr="00F156F2">
          <w:rPr>
            <w:webHidden/>
          </w:rPr>
          <w:t>7</w:t>
        </w:r>
        <w:r w:rsidR="00216B88" w:rsidRPr="00F156F2">
          <w:rPr>
            <w:webHidden/>
          </w:rPr>
          <w:fldChar w:fldCharType="end"/>
        </w:r>
      </w:hyperlink>
    </w:p>
    <w:p w14:paraId="08666C5A" w14:textId="6C7872EB" w:rsidR="00216B88" w:rsidRPr="0035780A" w:rsidRDefault="0097018B" w:rsidP="00F156F2">
      <w:pPr>
        <w:pStyle w:val="TOC3"/>
        <w:rPr>
          <w:rFonts w:eastAsiaTheme="minorEastAsia"/>
          <w:smallCaps/>
          <w:snapToGrid/>
          <w:kern w:val="2"/>
          <w:lang w:eastAsia="ru-RU"/>
          <w14:ligatures w14:val="standardContextual"/>
        </w:rPr>
      </w:pPr>
      <w:hyperlink w:anchor="_Toc138680733" w:history="1">
        <w:r w:rsidR="00216B88" w:rsidRPr="0035780A">
          <w:rPr>
            <w:rStyle w:val="Hyperlink"/>
            <w:u w:val="none"/>
          </w:rPr>
          <w:t>Краткое описание целевых задач</w:t>
        </w:r>
        <w:r w:rsidR="00216B88" w:rsidRPr="0035780A">
          <w:rPr>
            <w:webHidden/>
          </w:rPr>
          <w:tab/>
        </w:r>
        <w:r w:rsidR="00216B88" w:rsidRPr="0035780A">
          <w:rPr>
            <w:webHidden/>
          </w:rPr>
          <w:fldChar w:fldCharType="begin"/>
        </w:r>
        <w:r w:rsidR="00216B88" w:rsidRPr="0035780A">
          <w:rPr>
            <w:webHidden/>
          </w:rPr>
          <w:instrText xml:space="preserve"> PAGEREF _Toc138680733 \h </w:instrText>
        </w:r>
        <w:r w:rsidR="00216B88" w:rsidRPr="0035780A">
          <w:rPr>
            <w:webHidden/>
          </w:rPr>
        </w:r>
        <w:r w:rsidR="00216B88" w:rsidRPr="0035780A">
          <w:rPr>
            <w:webHidden/>
          </w:rPr>
          <w:fldChar w:fldCharType="separate"/>
        </w:r>
        <w:r w:rsidR="00F156F2">
          <w:rPr>
            <w:webHidden/>
          </w:rPr>
          <w:t>7</w:t>
        </w:r>
        <w:r w:rsidR="00216B88" w:rsidRPr="0035780A">
          <w:rPr>
            <w:webHidden/>
          </w:rPr>
          <w:fldChar w:fldCharType="end"/>
        </w:r>
      </w:hyperlink>
    </w:p>
    <w:p w14:paraId="5C57747D" w14:textId="21DFDC2D" w:rsidR="00216B88" w:rsidRPr="0035780A" w:rsidRDefault="0097018B" w:rsidP="00F156F2">
      <w:pPr>
        <w:pStyle w:val="TOC3"/>
        <w:rPr>
          <w:rFonts w:eastAsiaTheme="minorEastAsia"/>
          <w:smallCaps/>
          <w:snapToGrid/>
          <w:kern w:val="2"/>
          <w:lang w:eastAsia="ru-RU"/>
          <w14:ligatures w14:val="standardContextual"/>
        </w:rPr>
      </w:pPr>
      <w:hyperlink w:anchor="_Toc138680734" w:history="1">
        <w:r w:rsidR="00216B88" w:rsidRPr="0035780A">
          <w:rPr>
            <w:rStyle w:val="Hyperlink"/>
            <w:u w:val="none"/>
          </w:rPr>
          <w:t>Подробное описание целевых задач и связанных с ними направлений деятельности</w:t>
        </w:r>
        <w:r w:rsidR="00216B88" w:rsidRPr="0035780A">
          <w:rPr>
            <w:webHidden/>
          </w:rPr>
          <w:tab/>
        </w:r>
        <w:r w:rsidR="00216B88" w:rsidRPr="0035780A">
          <w:rPr>
            <w:webHidden/>
          </w:rPr>
          <w:fldChar w:fldCharType="begin"/>
        </w:r>
        <w:r w:rsidR="00216B88" w:rsidRPr="0035780A">
          <w:rPr>
            <w:webHidden/>
          </w:rPr>
          <w:instrText xml:space="preserve"> PAGEREF _Toc138680734 \h </w:instrText>
        </w:r>
        <w:r w:rsidR="00216B88" w:rsidRPr="0035780A">
          <w:rPr>
            <w:webHidden/>
          </w:rPr>
        </w:r>
        <w:r w:rsidR="00216B88" w:rsidRPr="0035780A">
          <w:rPr>
            <w:webHidden/>
          </w:rPr>
          <w:fldChar w:fldCharType="separate"/>
        </w:r>
        <w:r w:rsidR="00F156F2">
          <w:rPr>
            <w:webHidden/>
          </w:rPr>
          <w:t>11</w:t>
        </w:r>
        <w:r w:rsidR="00216B88" w:rsidRPr="0035780A">
          <w:rPr>
            <w:webHidden/>
          </w:rPr>
          <w:fldChar w:fldCharType="end"/>
        </w:r>
      </w:hyperlink>
    </w:p>
    <w:p w14:paraId="221CB74E" w14:textId="228A2746" w:rsidR="00216B88" w:rsidRPr="00216B88" w:rsidRDefault="0097018B" w:rsidP="0035780A">
      <w:pPr>
        <w:pStyle w:val="TOC1"/>
        <w:spacing w:after="240"/>
        <w:rPr>
          <w:rFonts w:asciiTheme="minorHAnsi" w:eastAsiaTheme="minorEastAsia" w:hAnsiTheme="minorHAnsi" w:cstheme="minorBidi"/>
          <w:b w:val="0"/>
          <w:bCs w:val="0"/>
          <w:caps w:val="0"/>
          <w:noProof/>
          <w:snapToGrid/>
          <w:kern w:val="2"/>
          <w:u w:val="none"/>
          <w:lang w:eastAsia="ru-RU"/>
          <w14:ligatures w14:val="standardContextual"/>
        </w:rPr>
      </w:pPr>
      <w:hyperlink w:anchor="_Toc138680735" w:history="1">
        <w:r w:rsidR="00216B88" w:rsidRPr="0035780A">
          <w:rPr>
            <w:rStyle w:val="Hyperlink"/>
            <w:rFonts w:asciiTheme="minorBidi" w:hAnsiTheme="minorBidi" w:cstheme="minorBidi"/>
            <w:noProof/>
            <w:u w:val="none"/>
          </w:rPr>
          <w:t>В</w:t>
        </w:r>
        <w:r w:rsidR="00C40B5C" w:rsidRPr="0035780A">
          <w:rPr>
            <w:rStyle w:val="Hyperlink"/>
            <w:rFonts w:asciiTheme="minorBidi" w:hAnsiTheme="minorBidi" w:cstheme="minorBidi"/>
            <w:caps w:val="0"/>
            <w:noProof/>
            <w:u w:val="none"/>
          </w:rPr>
          <w:t>ыводы</w:t>
        </w:r>
        <w:r w:rsidR="00216B88" w:rsidRPr="0035780A">
          <w:rPr>
            <w:rFonts w:asciiTheme="minorBidi" w:hAnsiTheme="minorBidi" w:cstheme="minorBidi"/>
            <w:noProof/>
            <w:webHidden/>
            <w:u w:val="none"/>
          </w:rPr>
          <w:tab/>
        </w:r>
        <w:r w:rsidR="00216B88" w:rsidRPr="0035780A">
          <w:rPr>
            <w:rFonts w:asciiTheme="minorBidi" w:hAnsiTheme="minorBidi" w:cstheme="minorBidi"/>
            <w:noProof/>
            <w:webHidden/>
            <w:u w:val="none"/>
          </w:rPr>
          <w:fldChar w:fldCharType="begin"/>
        </w:r>
        <w:r w:rsidR="00216B88" w:rsidRPr="0035780A">
          <w:rPr>
            <w:rFonts w:asciiTheme="minorBidi" w:hAnsiTheme="minorBidi" w:cstheme="minorBidi"/>
            <w:noProof/>
            <w:webHidden/>
            <w:u w:val="none"/>
          </w:rPr>
          <w:instrText xml:space="preserve"> PAGEREF _Toc138680735 \h </w:instrText>
        </w:r>
        <w:r w:rsidR="00216B88" w:rsidRPr="0035780A">
          <w:rPr>
            <w:rFonts w:asciiTheme="minorBidi" w:hAnsiTheme="minorBidi" w:cstheme="minorBidi"/>
            <w:noProof/>
            <w:webHidden/>
            <w:u w:val="none"/>
          </w:rPr>
        </w:r>
        <w:r w:rsidR="00216B88" w:rsidRPr="0035780A">
          <w:rPr>
            <w:rFonts w:asciiTheme="minorBidi" w:hAnsiTheme="minorBidi" w:cstheme="minorBidi"/>
            <w:noProof/>
            <w:webHidden/>
            <w:u w:val="none"/>
          </w:rPr>
          <w:fldChar w:fldCharType="separate"/>
        </w:r>
        <w:r w:rsidR="00F156F2">
          <w:rPr>
            <w:rFonts w:asciiTheme="minorBidi" w:hAnsiTheme="minorBidi" w:cstheme="minorBidi"/>
            <w:noProof/>
            <w:webHidden/>
            <w:u w:val="none"/>
          </w:rPr>
          <w:t>25</w:t>
        </w:r>
        <w:r w:rsidR="00216B88" w:rsidRPr="0035780A">
          <w:rPr>
            <w:rFonts w:asciiTheme="minorBidi" w:hAnsiTheme="minorBidi" w:cstheme="minorBidi"/>
            <w:noProof/>
            <w:webHidden/>
            <w:u w:val="none"/>
          </w:rPr>
          <w:fldChar w:fldCharType="end"/>
        </w:r>
      </w:hyperlink>
    </w:p>
    <w:p w14:paraId="1DDE7BB5" w14:textId="42B0E149" w:rsidR="00E00B2A" w:rsidRPr="00777226" w:rsidRDefault="0017260D">
      <w:r w:rsidRPr="001F5C46">
        <w:rPr>
          <w:rFonts w:asciiTheme="minorBidi" w:hAnsiTheme="minorBidi" w:cstheme="minorBidi"/>
          <w:caps/>
          <w:szCs w:val="22"/>
          <w:u w:val="single"/>
        </w:rPr>
        <w:fldChar w:fldCharType="end"/>
      </w:r>
    </w:p>
    <w:p w14:paraId="78DAB2A2" w14:textId="77777777" w:rsidR="002E0C01" w:rsidRPr="00777226" w:rsidRDefault="002E0C01" w:rsidP="002E0C01">
      <w:pPr>
        <w:sectPr w:rsidR="002E0C01" w:rsidRPr="00777226" w:rsidSect="002E0C01">
          <w:headerReference w:type="default" r:id="rId13"/>
          <w:type w:val="oddPage"/>
          <w:pgSz w:w="11900" w:h="16840"/>
          <w:pgMar w:top="1440" w:right="1800" w:bottom="1440" w:left="1800" w:header="708" w:footer="708" w:gutter="0"/>
          <w:cols w:space="708"/>
          <w:docGrid w:linePitch="360"/>
        </w:sectPr>
      </w:pPr>
    </w:p>
    <w:p w14:paraId="7903FBC4" w14:textId="21A24AB8" w:rsidR="002E0C01" w:rsidRPr="0035780A" w:rsidRDefault="002E0C01" w:rsidP="0035780A">
      <w:pPr>
        <w:pStyle w:val="Heading1"/>
        <w:spacing w:before="0" w:after="120"/>
        <w:jc w:val="center"/>
        <w:rPr>
          <w:lang w:val="en-US"/>
        </w:rPr>
      </w:pPr>
      <w:bookmarkStart w:id="0" w:name="_Toc138680729"/>
      <w:r>
        <w:lastRenderedPageBreak/>
        <w:t>Основные положения</w:t>
      </w:r>
      <w:bookmarkEnd w:id="0"/>
    </w:p>
    <w:p w14:paraId="583496D4" w14:textId="46C8158E" w:rsidR="006750E8" w:rsidRPr="00777226" w:rsidRDefault="006750E8" w:rsidP="00842993">
      <w:pPr>
        <w:pStyle w:val="paranumber"/>
      </w:pPr>
      <w:r>
        <w:t>Развитие потенциала является одной из важнейших задач МОК, решение которой позволит всем государствам-членам с выгодой для себя участвовать в исследовании Мирового океана и в океанографическом обслуживании, что будет иметь принципиальное значение с точки зрения обеспечения устойчивого развития и благополучия людей, живущих на нашей планете. Использованный в настоящей стратегии концептуальный подход определяет развитие потенциала как основной фактор повышения эффективности содействия МОК достижению пяти целей верхнего уровня (ЦВУ), сформулированных в Среднесрочной стратегии МОК на 2022-2029 гг.</w:t>
      </w:r>
    </w:p>
    <w:p w14:paraId="683351D5" w14:textId="311C16A4" w:rsidR="006750E8" w:rsidRPr="00777226" w:rsidRDefault="006750E8" w:rsidP="00842993">
      <w:pPr>
        <w:pStyle w:val="paranumber"/>
      </w:pPr>
      <w:r>
        <w:t>МОК имеет многолетний опыт оказания государствам-членам содействия, направленного на укрепление их потенциала в вопросах эксплуатации морских экосистем, будь то в рамках проекта «Глобальная академия «Океан-Инструктор» или организации семинаров-практикумов по тематике управления морскими заповедными зонами, минимизации последствий повышения уровня моря и уменьшения воздействия опасных природных явлений, таких как цунами и вредоносное цветение водорослей, через накопление научных знаний и обмен опытом. Такое прямое содействие дополняет широкий спектр возможностей получения профессиональной подготовки, обеспечиваемых сертифицированными региональными учебно-исследовательскими центрами МОК, а также рекомендованными МОК организациями-партнерами.</w:t>
      </w:r>
    </w:p>
    <w:p w14:paraId="7CFBE12E" w14:textId="1D9D61D4" w:rsidR="006750E8" w:rsidRPr="00777226" w:rsidRDefault="006750E8" w:rsidP="00842993">
      <w:pPr>
        <w:pStyle w:val="paranumber"/>
      </w:pPr>
      <w:r>
        <w:t>Потребность в развитии потенциала еще никогда не была столь актуальной и востребованной. Возросшее в последние годы внимание к океану, связанное с признанием его важнейшей роли как фактора, определяющего погодные условия и обеспечивающего смягчение негативных последствий изменения климата, а также источника природных богатств, обусловило общее повышение интереса к океанской проблематике со стороны государственных органов, хозяйствующих субъектов, научных кругов и общества в целом. Тем не менее, всю полноту воздействия изменения климата на состояние морской среды нам еще только предстоит осознать, в связи с чем сегодня как никогда необходимо обеспечить возможность участия всех государств-членов в глобальных усилиях, направленных на расширение наших знаний об океанах и морях.</w:t>
      </w:r>
    </w:p>
    <w:p w14:paraId="2BF264EC" w14:textId="77777777" w:rsidR="006A6774" w:rsidRDefault="006750E8" w:rsidP="00842993">
      <w:pPr>
        <w:pStyle w:val="paranumber"/>
      </w:pPr>
      <w:r>
        <w:t>В рамках Десятилетия ООН, посвященного науке об океане в интересах устойчивого развития (2021-2030 гг.), развитие потенциала рассматривается в качестве важнейшей задачи по обеспечению более равномерного распределения потенциала в мире с точки зрения возраста и пола, что поможет преодолеть существующие диспропорции в уровне знаний и опыта, а также в доступе к технологиям. В то же время недостаток кадровых и финансовых ресурсов ограничивает возможности МОК в плане удовлетворения потребностей государств-членов в области морских научных исследований и океанографического обслуживания. В этих условиях особую актуальность приобрело активное взаимодействие МОК с ее государствами-членами, другими учреждениями системы ООН, в первую очередь с имеющими отношение к сфере морских научных исследований и к вопросам развития потенциала, а также с финансирующими организациями и научными кругами. Такие совместные усилия будут способствовать осознанию важности ответственного управления морскими ресурсами и контроля за состоянием морской среды в интересах повышения качества жизни человека.</w:t>
      </w:r>
    </w:p>
    <w:p w14:paraId="763727F4" w14:textId="6DF35AE1" w:rsidR="00C70183" w:rsidRPr="00777226" w:rsidRDefault="00C90B3E" w:rsidP="00842993">
      <w:pPr>
        <w:pStyle w:val="paranumber"/>
      </w:pPr>
      <w:r>
        <w:t xml:space="preserve">В своих резолюциях по проблематике океана и морскому праву Генеральная Ассамблея ООН неоднократно отмечала, что развитие потенциала имеет принципиальное значение для обеспечения совместного участия всех государств. В принятой недавно ГА ООН резолюции 76/72 содержится призыв к государствам, международным организациям и учреждениям-донорам постараться обеспечить устойчивый характер инициатив в области развития потенциала. В качестве ведущего межправительственного учреждения, в обязанности которого входит оказание содействия 150 государствам-членам в их совместных усилиях по защите экологического состояния принадлежащего всему человечеству океана, МОК играет принципиально важную роль в развитии международного сотрудничества в вопросах обеспечения </w:t>
      </w:r>
      <w:r>
        <w:lastRenderedPageBreak/>
        <w:t>устойчивых океанографических наблюдений и использования полученных данных и информации для поддержки и поощрения взаимодействия между специалистами-исследователями, сообществами пользователей и органами, принимающими решения, а также для обеспечения согласованности существующих нормативных требований. Наряду с этим сформулированные МОК высокоприоритетные цели, касающиеся, в частности, глобального приоритета «Африка», МОСРГ, глобального приоритета «Гендерное равенство» и профессиональной интеграции молодых специалистов-</w:t>
      </w:r>
      <w:proofErr w:type="spellStart"/>
      <w:r>
        <w:t>мореведов</w:t>
      </w:r>
      <w:proofErr w:type="spellEnd"/>
      <w:r>
        <w:t>, призваны способствовать максимально эффективному решению социально значимых задач.</w:t>
      </w:r>
    </w:p>
    <w:p w14:paraId="32C1F16C" w14:textId="77777777" w:rsidR="006A6774" w:rsidRDefault="00C70183" w:rsidP="00842993">
      <w:pPr>
        <w:pStyle w:val="paranumber"/>
      </w:pPr>
      <w:r>
        <w:t>Настоящая стратегия МОК, как и предыдущая ее версия (2015-2021 гг.), включает шесть целевых задач и направлений деятельности (см. таблицу ниже), при том понимании, что такая деятельность будет способствовать не только достижению целей МОК в области развития потенциала, но и решению задач, сформулированных в рамках других инициатив, таких как Десятилетие ООН, посвященное науке об океане. Достижение поставленных целей потребует инвестиций в развитие человеческого потенциала и потенциала учреждений, где работают эти люди, а также расширения доступа к научным инструментам и методологиям, укрепления потенциала МОК в области оказания услуг государствам-членам, активизации диалога между научным сообществом и директивными органами, расширения деятельности, связанной с распространением знаний об океане, мобилизации необходимых ресурсов.</w:t>
      </w:r>
    </w:p>
    <w:p w14:paraId="795C6293" w14:textId="44EFBBDD" w:rsidR="00C70183" w:rsidRPr="00777226" w:rsidRDefault="00C70183" w:rsidP="00842993">
      <w:pPr>
        <w:pStyle w:val="paranumber"/>
      </w:pPr>
      <w:r>
        <w:t>Важно также отметить, что новая стратегия потребует разработать соответствующ</w:t>
      </w:r>
      <w:r w:rsidR="00A30C58" w:rsidRPr="00A30C58">
        <w:t>ий</w:t>
      </w:r>
      <w:r>
        <w:t xml:space="preserve"> план ее реализации с четко сформулированной программой работы МОК в области развития потенциала и наглядным представлением ожидаемого положительного эффекта. Необходимым условием достижения сформулированных в стратегии масштабных целей является решение следующих задач:</w:t>
      </w:r>
    </w:p>
    <w:p w14:paraId="1C6465BB" w14:textId="77777777" w:rsidR="006A6774" w:rsidRDefault="00C70183" w:rsidP="00E77A48">
      <w:pPr>
        <w:pStyle w:val="ColorfulList-Accent12"/>
        <w:numPr>
          <w:ilvl w:val="0"/>
          <w:numId w:val="19"/>
        </w:numPr>
        <w:tabs>
          <w:tab w:val="left" w:pos="567"/>
        </w:tabs>
        <w:spacing w:after="240"/>
        <w:ind w:left="1134" w:hanging="576"/>
        <w:contextualSpacing w:val="0"/>
      </w:pPr>
      <w:r>
        <w:t>укрепление и признание ценности кадрового потенциала МОК на глобальном и региональном уровнях и привлечение к участию в необходимых случаях национальных океанографических институтов и органов государственного управления;</w:t>
      </w:r>
    </w:p>
    <w:p w14:paraId="766C9B04" w14:textId="555797B9" w:rsidR="00C70183" w:rsidRPr="00777226" w:rsidRDefault="00C70183" w:rsidP="00E77A48">
      <w:pPr>
        <w:pStyle w:val="ColorfulList-Accent12"/>
        <w:numPr>
          <w:ilvl w:val="0"/>
          <w:numId w:val="19"/>
        </w:numPr>
        <w:spacing w:after="240"/>
        <w:ind w:left="1134" w:hanging="576"/>
        <w:contextualSpacing w:val="0"/>
      </w:pPr>
      <w:r>
        <w:t>комплексное использование глобальных и региональных механизмов МОК для скорейшего расширения участия государств-членов в программах МОК;</w:t>
      </w:r>
    </w:p>
    <w:p w14:paraId="3F83D2B4" w14:textId="0F999C60" w:rsidR="00C70183" w:rsidRPr="00777226" w:rsidRDefault="00C70183" w:rsidP="00E77A48">
      <w:pPr>
        <w:pStyle w:val="ColorfulList-Accent12"/>
        <w:numPr>
          <w:ilvl w:val="0"/>
          <w:numId w:val="19"/>
        </w:numPr>
        <w:spacing w:after="240"/>
        <w:ind w:left="1134" w:hanging="576"/>
        <w:contextualSpacing w:val="0"/>
      </w:pPr>
      <w:r>
        <w:t>наделение региональных подкомиссий МОК и других вспомогательных органов полномочиями по взаимодействию с государствами-членами, расширение сотрудничества и реализация проектов в области развития потенциала (включая передачу морской технологии) там, где это признано целесообразным по итогам оценки потребностей в развитии потенциала;</w:t>
      </w:r>
    </w:p>
    <w:p w14:paraId="3F370CBF" w14:textId="77777777" w:rsidR="00C70183" w:rsidRPr="00777226" w:rsidRDefault="00C70183" w:rsidP="00E77A48">
      <w:pPr>
        <w:pStyle w:val="ColorfulList-Accent12"/>
        <w:numPr>
          <w:ilvl w:val="0"/>
          <w:numId w:val="19"/>
        </w:numPr>
        <w:spacing w:after="240"/>
        <w:ind w:left="1134" w:hanging="576"/>
        <w:contextualSpacing w:val="0"/>
      </w:pPr>
      <w:r>
        <w:t>укрепление глобальных научных программ в целях расширения научного взаимодействия в государствах-членах;</w:t>
      </w:r>
    </w:p>
    <w:p w14:paraId="4C59E66F" w14:textId="4E540415" w:rsidR="006A6774" w:rsidRDefault="00C70183" w:rsidP="00E77A48">
      <w:pPr>
        <w:pStyle w:val="ColorfulList-Accent12"/>
        <w:numPr>
          <w:ilvl w:val="0"/>
          <w:numId w:val="19"/>
        </w:numPr>
        <w:spacing w:after="240"/>
        <w:ind w:left="1134" w:hanging="576"/>
        <w:contextualSpacing w:val="0"/>
      </w:pPr>
      <w:r>
        <w:t>ранжирование по степени приоритетности программ партнерства, осуществляемых с государствами</w:t>
      </w:r>
      <w:r w:rsidR="00237AA9" w:rsidRPr="00237AA9">
        <w:t xml:space="preserve"> </w:t>
      </w:r>
      <w:r w:rsidR="00237AA9">
        <w:t>–</w:t>
      </w:r>
      <w:r w:rsidR="00237AA9" w:rsidRPr="00237AA9">
        <w:t xml:space="preserve"> </w:t>
      </w:r>
      <w:r>
        <w:t>членами МОК, организациями системы ООН и другими учреждениями, научными кругами и общественными организациями;</w:t>
      </w:r>
    </w:p>
    <w:p w14:paraId="5A310F40" w14:textId="529F8263" w:rsidR="00C70183" w:rsidRPr="00777226" w:rsidRDefault="00C70183" w:rsidP="00E77A48">
      <w:pPr>
        <w:pStyle w:val="ColorfulList-Accent12"/>
        <w:numPr>
          <w:ilvl w:val="0"/>
          <w:numId w:val="19"/>
        </w:numPr>
        <w:spacing w:after="240"/>
        <w:ind w:left="1134" w:hanging="576"/>
        <w:contextualSpacing w:val="0"/>
      </w:pPr>
      <w:r>
        <w:t>мобилизация ресурсов (кадры, финансовые средства, научная информация и данные, сети наблюдений и т.д.) на цели укрепления потенциала, необходимого для осуществления научных исследований, океанографического обслуживания и обеспечения потребностей человечества;</w:t>
      </w:r>
    </w:p>
    <w:p w14:paraId="4066A42A" w14:textId="579527AF" w:rsidR="00CA0D22" w:rsidRPr="00777226" w:rsidRDefault="00C70183" w:rsidP="00E77A48">
      <w:pPr>
        <w:pStyle w:val="ColorfulList-Accent12"/>
        <w:numPr>
          <w:ilvl w:val="0"/>
          <w:numId w:val="19"/>
        </w:numPr>
        <w:spacing w:after="240"/>
        <w:ind w:left="1134" w:hanging="578"/>
        <w:contextualSpacing w:val="0"/>
      </w:pPr>
      <w:r>
        <w:t xml:space="preserve">постоянное уделение внимания формированию «благоприятных институциональных условий», упоминавшихся в ходе предыдущих дискуссий по вопросу </w:t>
      </w:r>
      <w:hyperlink r:id="rId14" w:history="1">
        <w:r>
          <w:t>о будущем МОК</w:t>
        </w:r>
      </w:hyperlink>
      <w:r>
        <w:t>.</w:t>
      </w:r>
    </w:p>
    <w:p w14:paraId="13DD1061" w14:textId="3B31BEC6" w:rsidR="002E0C01" w:rsidRPr="00777226" w:rsidRDefault="00CA0D22" w:rsidP="00842993">
      <w:pPr>
        <w:pStyle w:val="paranumber"/>
      </w:pPr>
      <w:r>
        <w:lastRenderedPageBreak/>
        <w:t xml:space="preserve">В выводах сформулированы принципиально важные моменты для включения в проект плана работы, в том числе касающиеся оценки потребностей при составлении планов работы по развитию потенциала, мобилизации соответствующих ресурсов, расширения информационного взаимодействия и осуществления совместных проектов.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5041"/>
      </w:tblGrid>
      <w:tr w:rsidR="002E0C01" w:rsidRPr="00777226" w14:paraId="3DB33D20" w14:textId="77777777" w:rsidTr="000F3E31">
        <w:trPr>
          <w:tblHeader/>
        </w:trPr>
        <w:tc>
          <w:tcPr>
            <w:tcW w:w="4644" w:type="dxa"/>
            <w:shd w:val="clear" w:color="auto" w:fill="E0E0E0"/>
          </w:tcPr>
          <w:p w14:paraId="22CA169B" w14:textId="77777777" w:rsidR="002E0C01" w:rsidRPr="00777226" w:rsidRDefault="002E0C01" w:rsidP="000F3E31">
            <w:pPr>
              <w:spacing w:before="60" w:after="60"/>
              <w:jc w:val="center"/>
              <w:rPr>
                <w:b/>
              </w:rPr>
            </w:pPr>
            <w:r>
              <w:rPr>
                <w:b/>
              </w:rPr>
              <w:t>Целевая задача</w:t>
            </w:r>
          </w:p>
        </w:tc>
        <w:tc>
          <w:tcPr>
            <w:tcW w:w="5103" w:type="dxa"/>
            <w:shd w:val="clear" w:color="auto" w:fill="E0E0E0"/>
          </w:tcPr>
          <w:p w14:paraId="3DD20915" w14:textId="77777777" w:rsidR="002E0C01" w:rsidRPr="00777226" w:rsidRDefault="002E0C01" w:rsidP="000F3E31">
            <w:pPr>
              <w:spacing w:before="60" w:after="60"/>
              <w:jc w:val="center"/>
              <w:rPr>
                <w:b/>
              </w:rPr>
            </w:pPr>
            <w:r>
              <w:rPr>
                <w:b/>
              </w:rPr>
              <w:t>Направление деятельности</w:t>
            </w:r>
          </w:p>
        </w:tc>
      </w:tr>
      <w:tr w:rsidR="00CA0D22" w:rsidRPr="00777226" w14:paraId="63DC9E12" w14:textId="77777777" w:rsidTr="0099397F">
        <w:tc>
          <w:tcPr>
            <w:tcW w:w="4644" w:type="dxa"/>
            <w:vMerge w:val="restart"/>
            <w:shd w:val="clear" w:color="auto" w:fill="auto"/>
          </w:tcPr>
          <w:p w14:paraId="203CCDF1" w14:textId="4BE6286C" w:rsidR="00CA0D22" w:rsidRPr="00777226" w:rsidRDefault="00CA0D22" w:rsidP="000F3E31">
            <w:pPr>
              <w:spacing w:before="60" w:after="60"/>
            </w:pPr>
            <w:r>
              <w:t>1. Развитие профессиональных компетенций на индивидуальном и институциональном уровнях</w:t>
            </w:r>
          </w:p>
        </w:tc>
        <w:tc>
          <w:tcPr>
            <w:tcW w:w="5103" w:type="dxa"/>
            <w:shd w:val="clear" w:color="auto" w:fill="auto"/>
          </w:tcPr>
          <w:p w14:paraId="57B55DCE" w14:textId="2A49A112" w:rsidR="00CA0D22" w:rsidRPr="00777226" w:rsidRDefault="00CA0D22" w:rsidP="000F3E31">
            <w:pPr>
              <w:spacing w:before="60" w:after="60"/>
              <w:rPr>
                <w:szCs w:val="22"/>
              </w:rPr>
            </w:pPr>
            <w:r>
              <w:t>1.1 Высшее академическое и профессиональное образование</w:t>
            </w:r>
          </w:p>
        </w:tc>
      </w:tr>
      <w:tr w:rsidR="00CA0D22" w:rsidRPr="00777226" w14:paraId="6E5CA8D3" w14:textId="77777777" w:rsidTr="0099397F">
        <w:tc>
          <w:tcPr>
            <w:tcW w:w="4644" w:type="dxa"/>
            <w:vMerge/>
            <w:shd w:val="clear" w:color="auto" w:fill="auto"/>
          </w:tcPr>
          <w:p w14:paraId="21A90A82" w14:textId="77777777" w:rsidR="00CA0D22" w:rsidRPr="00777226" w:rsidRDefault="00CA0D22" w:rsidP="000F3E31">
            <w:pPr>
              <w:spacing w:before="60" w:after="60"/>
            </w:pPr>
          </w:p>
        </w:tc>
        <w:tc>
          <w:tcPr>
            <w:tcW w:w="5103" w:type="dxa"/>
            <w:shd w:val="clear" w:color="auto" w:fill="auto"/>
          </w:tcPr>
          <w:p w14:paraId="6D04DB44" w14:textId="6B91F2CA" w:rsidR="00CA0D22" w:rsidRPr="00777226" w:rsidRDefault="00CA0D22" w:rsidP="000F3E31">
            <w:pPr>
              <w:spacing w:before="60" w:after="60"/>
              <w:rPr>
                <w:szCs w:val="22"/>
              </w:rPr>
            </w:pPr>
            <w:r>
              <w:t>1.2 Непрерывное профессиональное развитие</w:t>
            </w:r>
          </w:p>
        </w:tc>
      </w:tr>
      <w:tr w:rsidR="00CA0D22" w:rsidRPr="00777226" w14:paraId="3455CF7E" w14:textId="77777777" w:rsidTr="0099397F">
        <w:tc>
          <w:tcPr>
            <w:tcW w:w="4644" w:type="dxa"/>
            <w:vMerge/>
            <w:shd w:val="clear" w:color="auto" w:fill="auto"/>
          </w:tcPr>
          <w:p w14:paraId="73C5A0DC" w14:textId="77777777" w:rsidR="00CA0D22" w:rsidRPr="00777226" w:rsidRDefault="00CA0D22" w:rsidP="000F3E31">
            <w:pPr>
              <w:spacing w:before="60" w:after="60"/>
            </w:pPr>
          </w:p>
        </w:tc>
        <w:tc>
          <w:tcPr>
            <w:tcW w:w="5103" w:type="dxa"/>
            <w:shd w:val="clear" w:color="auto" w:fill="auto"/>
          </w:tcPr>
          <w:p w14:paraId="769B0683" w14:textId="591C22FF" w:rsidR="00CA0D22" w:rsidRPr="00777226" w:rsidRDefault="00CA0D22" w:rsidP="000F3E31">
            <w:pPr>
              <w:spacing w:before="60" w:after="60"/>
              <w:rPr>
                <w:szCs w:val="22"/>
              </w:rPr>
            </w:pPr>
            <w:r>
              <w:t>1.3 Совместное использование накопленных знаний и опыта, в том числе через укрепление профессионального сообщества</w:t>
            </w:r>
          </w:p>
        </w:tc>
      </w:tr>
      <w:tr w:rsidR="00CA0D22" w:rsidRPr="00777226" w14:paraId="0F970BA6" w14:textId="77777777" w:rsidTr="0099397F">
        <w:tc>
          <w:tcPr>
            <w:tcW w:w="4644" w:type="dxa"/>
            <w:vMerge/>
            <w:shd w:val="clear" w:color="auto" w:fill="auto"/>
          </w:tcPr>
          <w:p w14:paraId="5B05F102" w14:textId="77777777" w:rsidR="00CA0D22" w:rsidRPr="00777226" w:rsidRDefault="00CA0D22" w:rsidP="000F3E31">
            <w:pPr>
              <w:spacing w:before="60" w:after="60"/>
            </w:pPr>
          </w:p>
        </w:tc>
        <w:tc>
          <w:tcPr>
            <w:tcW w:w="5103" w:type="dxa"/>
            <w:shd w:val="clear" w:color="auto" w:fill="auto"/>
          </w:tcPr>
          <w:p w14:paraId="0DFBCA92" w14:textId="2CCF09E3" w:rsidR="00CA0D22" w:rsidRPr="00777226" w:rsidRDefault="00CA0D22" w:rsidP="000F3E31">
            <w:pPr>
              <w:spacing w:before="60" w:after="60"/>
              <w:rPr>
                <w:szCs w:val="22"/>
              </w:rPr>
            </w:pPr>
            <w:r>
              <w:t>1.4 Включение базовых научных знаний об океане в программу начальной и основной средней школы</w:t>
            </w:r>
          </w:p>
        </w:tc>
      </w:tr>
      <w:tr w:rsidR="00CA0D22" w:rsidRPr="00777226" w14:paraId="631F6B24" w14:textId="77777777" w:rsidTr="0099397F">
        <w:tc>
          <w:tcPr>
            <w:tcW w:w="4644" w:type="dxa"/>
            <w:vMerge/>
            <w:shd w:val="clear" w:color="auto" w:fill="auto"/>
          </w:tcPr>
          <w:p w14:paraId="5FA1A943" w14:textId="77777777" w:rsidR="00CA0D22" w:rsidRPr="00777226" w:rsidRDefault="00CA0D22" w:rsidP="000F3E31">
            <w:pPr>
              <w:spacing w:before="60" w:after="60"/>
            </w:pPr>
          </w:p>
        </w:tc>
        <w:tc>
          <w:tcPr>
            <w:tcW w:w="5103" w:type="dxa"/>
            <w:shd w:val="clear" w:color="auto" w:fill="auto"/>
          </w:tcPr>
          <w:p w14:paraId="57E76520" w14:textId="3778E44F" w:rsidR="00CA0D22" w:rsidRPr="00777226" w:rsidRDefault="00CA0D22" w:rsidP="000F3E31">
            <w:pPr>
              <w:spacing w:before="60" w:after="60"/>
              <w:rPr>
                <w:szCs w:val="22"/>
              </w:rPr>
            </w:pPr>
            <w:r>
              <w:t xml:space="preserve">1.5 Повышение гендерного, возрастного и географического многообразия </w:t>
            </w:r>
          </w:p>
        </w:tc>
      </w:tr>
      <w:tr w:rsidR="00CA53CE" w:rsidRPr="00777226" w14:paraId="576FEA85" w14:textId="77777777" w:rsidTr="0099397F">
        <w:tc>
          <w:tcPr>
            <w:tcW w:w="4644" w:type="dxa"/>
            <w:vMerge w:val="restart"/>
            <w:shd w:val="clear" w:color="auto" w:fill="auto"/>
          </w:tcPr>
          <w:p w14:paraId="016833B0" w14:textId="401503A5" w:rsidR="00CA53CE" w:rsidRPr="00777226" w:rsidRDefault="00CA53CE" w:rsidP="000F3E31">
            <w:pPr>
              <w:spacing w:before="60" w:after="60"/>
              <w:rPr>
                <w:szCs w:val="22"/>
              </w:rPr>
            </w:pPr>
            <w:r>
              <w:t>2. Обеспечение или расширение доступа к технологиям, физической инфраструктуре, данным и информации</w:t>
            </w:r>
          </w:p>
        </w:tc>
        <w:tc>
          <w:tcPr>
            <w:tcW w:w="5103" w:type="dxa"/>
            <w:shd w:val="clear" w:color="auto" w:fill="auto"/>
          </w:tcPr>
          <w:p w14:paraId="1593855C" w14:textId="1D989DFA" w:rsidR="00CA53CE" w:rsidRPr="00777226" w:rsidRDefault="00CA53CE" w:rsidP="000F3E31">
            <w:pPr>
              <w:spacing w:before="60" w:after="60"/>
              <w:rPr>
                <w:szCs w:val="22"/>
              </w:rPr>
            </w:pPr>
            <w:r>
              <w:t xml:space="preserve">2.1 Обеспечение доступа к технологиям и инфраструктуре </w:t>
            </w:r>
          </w:p>
        </w:tc>
      </w:tr>
      <w:tr w:rsidR="00CA53CE" w:rsidRPr="00777226" w14:paraId="03087C80" w14:textId="77777777" w:rsidTr="0099397F">
        <w:tc>
          <w:tcPr>
            <w:tcW w:w="4644" w:type="dxa"/>
            <w:vMerge/>
            <w:shd w:val="clear" w:color="auto" w:fill="auto"/>
          </w:tcPr>
          <w:p w14:paraId="158A7E17" w14:textId="77777777" w:rsidR="00CA53CE" w:rsidRPr="00777226" w:rsidRDefault="00CA53CE" w:rsidP="000F3E31">
            <w:pPr>
              <w:spacing w:before="60" w:after="60"/>
              <w:rPr>
                <w:szCs w:val="22"/>
              </w:rPr>
            </w:pPr>
          </w:p>
        </w:tc>
        <w:tc>
          <w:tcPr>
            <w:tcW w:w="5103" w:type="dxa"/>
            <w:shd w:val="clear" w:color="auto" w:fill="auto"/>
          </w:tcPr>
          <w:p w14:paraId="7D13FE1C" w14:textId="6A5CC9BB" w:rsidR="00CA53CE" w:rsidRPr="00777226" w:rsidRDefault="00CA53CE" w:rsidP="000F3E31">
            <w:pPr>
              <w:spacing w:before="60" w:after="60"/>
              <w:rPr>
                <w:szCs w:val="22"/>
              </w:rPr>
            </w:pPr>
            <w:r>
              <w:t>2.2. Содействие равноправному доступу к данным и информации о морской среде и их совместному использованию</w:t>
            </w:r>
          </w:p>
        </w:tc>
      </w:tr>
      <w:tr w:rsidR="00CA53CE" w:rsidRPr="00777226" w14:paraId="6BE0ACFA" w14:textId="77777777" w:rsidTr="0099397F">
        <w:tc>
          <w:tcPr>
            <w:tcW w:w="4644" w:type="dxa"/>
            <w:vMerge w:val="restart"/>
            <w:shd w:val="clear" w:color="auto" w:fill="auto"/>
          </w:tcPr>
          <w:p w14:paraId="7B84DC52" w14:textId="07F84951" w:rsidR="00CA53CE" w:rsidRPr="00777226" w:rsidRDefault="00CA53CE" w:rsidP="000F3E31">
            <w:pPr>
              <w:spacing w:before="60" w:after="60"/>
              <w:rPr>
                <w:szCs w:val="22"/>
              </w:rPr>
            </w:pPr>
            <w:r>
              <w:t>3. Укрепление глобальных, региональных и субрегиональных механизмов</w:t>
            </w:r>
          </w:p>
        </w:tc>
        <w:tc>
          <w:tcPr>
            <w:tcW w:w="5103" w:type="dxa"/>
            <w:shd w:val="clear" w:color="auto" w:fill="auto"/>
          </w:tcPr>
          <w:p w14:paraId="330542CE" w14:textId="7C6A8E48" w:rsidR="00CA53CE" w:rsidRPr="00777226" w:rsidRDefault="00CA53CE" w:rsidP="000F3E31">
            <w:pPr>
              <w:spacing w:before="60" w:after="60"/>
              <w:rPr>
                <w:szCs w:val="22"/>
              </w:rPr>
            </w:pPr>
            <w:r>
              <w:t>3.1</w:t>
            </w:r>
            <w:r w:rsidR="00216B88">
              <w:t xml:space="preserve"> </w:t>
            </w:r>
            <w:r>
              <w:t>Дальнейшее укрепление и поддержка секретариатов региональных подкомиссий</w:t>
            </w:r>
          </w:p>
        </w:tc>
      </w:tr>
      <w:tr w:rsidR="00CA53CE" w:rsidRPr="00777226" w14:paraId="6396ACAC" w14:textId="77777777" w:rsidTr="0099397F">
        <w:tc>
          <w:tcPr>
            <w:tcW w:w="4644" w:type="dxa"/>
            <w:vMerge/>
            <w:shd w:val="clear" w:color="auto" w:fill="auto"/>
          </w:tcPr>
          <w:p w14:paraId="2558F25A" w14:textId="77777777" w:rsidR="00CA53CE" w:rsidRPr="00777226" w:rsidRDefault="00CA53CE" w:rsidP="000F3E31">
            <w:pPr>
              <w:spacing w:before="60" w:after="60"/>
              <w:rPr>
                <w:szCs w:val="22"/>
              </w:rPr>
            </w:pPr>
          </w:p>
        </w:tc>
        <w:tc>
          <w:tcPr>
            <w:tcW w:w="5103" w:type="dxa"/>
            <w:shd w:val="clear" w:color="auto" w:fill="auto"/>
          </w:tcPr>
          <w:p w14:paraId="631CD14F" w14:textId="4812118B" w:rsidR="00CA53CE" w:rsidRPr="00777226" w:rsidRDefault="00CA53CE" w:rsidP="000F3E31">
            <w:pPr>
              <w:spacing w:before="60" w:after="60"/>
              <w:rPr>
                <w:szCs w:val="22"/>
              </w:rPr>
            </w:pPr>
            <w:r>
              <w:t>3.2</w:t>
            </w:r>
            <w:r w:rsidR="00216B88">
              <w:t xml:space="preserve"> </w:t>
            </w:r>
            <w:r>
              <w:t>Повышение эффективности информационного взаимодействия между секретариатами региональных подкомиссий и глобальными программами, а также между сообществами специалистов-практиков (в том числе представляющими другие организации)</w:t>
            </w:r>
          </w:p>
        </w:tc>
      </w:tr>
      <w:tr w:rsidR="00CA53CE" w:rsidRPr="00777226" w14:paraId="6A52205E" w14:textId="77777777" w:rsidTr="0099397F">
        <w:tc>
          <w:tcPr>
            <w:tcW w:w="4644" w:type="dxa"/>
            <w:vMerge/>
            <w:shd w:val="clear" w:color="auto" w:fill="auto"/>
          </w:tcPr>
          <w:p w14:paraId="7774D0EE" w14:textId="77777777" w:rsidR="00CA53CE" w:rsidRPr="00777226" w:rsidRDefault="00CA53CE" w:rsidP="000F3E31">
            <w:pPr>
              <w:spacing w:before="60" w:after="60"/>
              <w:rPr>
                <w:szCs w:val="22"/>
              </w:rPr>
            </w:pPr>
          </w:p>
        </w:tc>
        <w:tc>
          <w:tcPr>
            <w:tcW w:w="5103" w:type="dxa"/>
            <w:shd w:val="clear" w:color="auto" w:fill="auto"/>
          </w:tcPr>
          <w:p w14:paraId="57802682" w14:textId="35755FDD" w:rsidR="00CA53CE" w:rsidRPr="00777226" w:rsidRDefault="00CA53CE" w:rsidP="000F3E31">
            <w:pPr>
              <w:spacing w:before="60" w:after="60"/>
              <w:rPr>
                <w:szCs w:val="22"/>
              </w:rPr>
            </w:pPr>
            <w:r>
              <w:t>3.3 Определение конкретных потребностей в развитии потенциала на национальном и региональном уровнях посредством регулярного проведения соответствующих оценок</w:t>
            </w:r>
          </w:p>
        </w:tc>
      </w:tr>
      <w:tr w:rsidR="00CA53CE" w:rsidRPr="00777226" w14:paraId="12E4416F" w14:textId="77777777" w:rsidTr="0099397F">
        <w:tc>
          <w:tcPr>
            <w:tcW w:w="4644" w:type="dxa"/>
            <w:vMerge/>
            <w:shd w:val="clear" w:color="auto" w:fill="auto"/>
          </w:tcPr>
          <w:p w14:paraId="6ECAF95E" w14:textId="77777777" w:rsidR="00CA53CE" w:rsidRPr="00777226" w:rsidRDefault="00CA53CE" w:rsidP="000F3E31">
            <w:pPr>
              <w:spacing w:before="60" w:after="60"/>
              <w:rPr>
                <w:szCs w:val="22"/>
              </w:rPr>
            </w:pPr>
          </w:p>
        </w:tc>
        <w:tc>
          <w:tcPr>
            <w:tcW w:w="5103" w:type="dxa"/>
            <w:shd w:val="clear" w:color="auto" w:fill="auto"/>
          </w:tcPr>
          <w:p w14:paraId="7BCD6D3A" w14:textId="5A3BD86F" w:rsidR="00CA53CE" w:rsidRPr="00777226" w:rsidRDefault="00CA53CE" w:rsidP="000F3E31">
            <w:pPr>
              <w:spacing w:before="60" w:after="60"/>
              <w:rPr>
                <w:szCs w:val="22"/>
              </w:rPr>
            </w:pPr>
            <w:r>
              <w:t xml:space="preserve">3.4 Поощрение региональных и субрегиональных организаций к выполнению роли лидеров и пропагандистов усилий в области развития потенциала </w:t>
            </w:r>
          </w:p>
        </w:tc>
      </w:tr>
      <w:tr w:rsidR="00CA0D22" w:rsidRPr="00777226" w14:paraId="5E276841" w14:textId="77777777" w:rsidTr="0099397F">
        <w:tc>
          <w:tcPr>
            <w:tcW w:w="4644" w:type="dxa"/>
            <w:shd w:val="clear" w:color="auto" w:fill="auto"/>
          </w:tcPr>
          <w:p w14:paraId="266B2EAF" w14:textId="5FCCC3A8" w:rsidR="00CA0D22" w:rsidRPr="00777226" w:rsidRDefault="00CA0D22" w:rsidP="000F3E31">
            <w:pPr>
              <w:spacing w:before="60" w:after="60"/>
            </w:pPr>
            <w:r>
              <w:t xml:space="preserve">4. Поощрение разработки стратегий, связанных с исследованием Мирового океана, в поддержку реализации целей в области устойчивого развития </w:t>
            </w:r>
          </w:p>
        </w:tc>
        <w:tc>
          <w:tcPr>
            <w:tcW w:w="5103" w:type="dxa"/>
            <w:shd w:val="clear" w:color="auto" w:fill="auto"/>
          </w:tcPr>
          <w:p w14:paraId="78EAAE23" w14:textId="56290349" w:rsidR="00CA0D22" w:rsidRPr="00777226" w:rsidRDefault="00CA0D22" w:rsidP="000F3E31">
            <w:pPr>
              <w:spacing w:before="60" w:after="60"/>
            </w:pPr>
            <w:r>
              <w:rPr>
                <w:sz w:val="21"/>
                <w:szCs w:val="21"/>
              </w:rPr>
              <w:t>4.1 Содействие разработке планов и программ проведения морских научных исследований</w:t>
            </w:r>
            <w:r>
              <w:t xml:space="preserve"> </w:t>
            </w:r>
          </w:p>
        </w:tc>
      </w:tr>
      <w:tr w:rsidR="00C13AB9" w:rsidRPr="00777226" w14:paraId="4191A1FD" w14:textId="77777777" w:rsidTr="0099397F">
        <w:tc>
          <w:tcPr>
            <w:tcW w:w="4644" w:type="dxa"/>
            <w:vMerge w:val="restart"/>
            <w:shd w:val="clear" w:color="auto" w:fill="auto"/>
          </w:tcPr>
          <w:p w14:paraId="66394A1C" w14:textId="2C230137" w:rsidR="00C13AB9" w:rsidRPr="00777226" w:rsidRDefault="00C13AB9" w:rsidP="000F3E31">
            <w:pPr>
              <w:spacing w:before="60" w:after="60"/>
              <w:rPr>
                <w:szCs w:val="22"/>
              </w:rPr>
            </w:pPr>
            <w:r>
              <w:t>5. Обеспечение наглядности, осознания и понимания важной роли и значимости Мирового океана и морских научных исследований в обеспечении благополучия человека и устойчивого развития</w:t>
            </w:r>
          </w:p>
        </w:tc>
        <w:tc>
          <w:tcPr>
            <w:tcW w:w="5103" w:type="dxa"/>
            <w:shd w:val="clear" w:color="auto" w:fill="auto"/>
          </w:tcPr>
          <w:p w14:paraId="3EDD0EE8" w14:textId="3E6009F0" w:rsidR="00C13AB9" w:rsidRPr="00777226" w:rsidRDefault="00C13AB9" w:rsidP="000F3E31">
            <w:pPr>
              <w:spacing w:before="60" w:after="60"/>
              <w:rPr>
                <w:szCs w:val="22"/>
              </w:rPr>
            </w:pPr>
            <w:r>
              <w:t>5.1 Стимулирование развития информационно-коммуникационных услуг для населения по вопросам, связанным с океаном</w:t>
            </w:r>
          </w:p>
        </w:tc>
      </w:tr>
      <w:tr w:rsidR="00C13AB9" w:rsidRPr="00777226" w14:paraId="7F153DB5" w14:textId="77777777" w:rsidTr="0099397F">
        <w:tc>
          <w:tcPr>
            <w:tcW w:w="4644" w:type="dxa"/>
            <w:vMerge/>
            <w:shd w:val="clear" w:color="auto" w:fill="auto"/>
          </w:tcPr>
          <w:p w14:paraId="0B003A3C" w14:textId="77777777" w:rsidR="00C13AB9" w:rsidRPr="00777226" w:rsidRDefault="00C13AB9" w:rsidP="000F3E31">
            <w:pPr>
              <w:spacing w:before="60" w:after="60"/>
              <w:rPr>
                <w:szCs w:val="22"/>
              </w:rPr>
            </w:pPr>
          </w:p>
        </w:tc>
        <w:tc>
          <w:tcPr>
            <w:tcW w:w="5103" w:type="dxa"/>
            <w:shd w:val="clear" w:color="auto" w:fill="auto"/>
          </w:tcPr>
          <w:p w14:paraId="3E272723" w14:textId="056A1CA0" w:rsidR="00C13AB9" w:rsidRPr="00777226" w:rsidRDefault="00C13AB9" w:rsidP="000F3E31">
            <w:pPr>
              <w:spacing w:before="60" w:after="60"/>
              <w:rPr>
                <w:szCs w:val="22"/>
              </w:rPr>
            </w:pPr>
            <w:r>
              <w:t>5.2 Содействие повышению грамотности в связанных с океаном вопросах</w:t>
            </w:r>
          </w:p>
        </w:tc>
      </w:tr>
      <w:tr w:rsidR="00CA53CE" w:rsidRPr="00777226" w14:paraId="43280DA2" w14:textId="77777777" w:rsidTr="0099397F">
        <w:tc>
          <w:tcPr>
            <w:tcW w:w="4644" w:type="dxa"/>
            <w:vMerge w:val="restart"/>
            <w:shd w:val="clear" w:color="auto" w:fill="auto"/>
          </w:tcPr>
          <w:p w14:paraId="6CED3A58" w14:textId="50395C51" w:rsidR="00CA53CE" w:rsidRPr="00777226" w:rsidRDefault="00CA53CE" w:rsidP="000F3E31">
            <w:pPr>
              <w:spacing w:before="60" w:after="60"/>
              <w:rPr>
                <w:szCs w:val="22"/>
              </w:rPr>
            </w:pPr>
            <w:r>
              <w:lastRenderedPageBreak/>
              <w:t>6. Последовательное укрепление механизмов мобилизации ресурсов</w:t>
            </w:r>
          </w:p>
        </w:tc>
        <w:tc>
          <w:tcPr>
            <w:tcW w:w="5103" w:type="dxa"/>
            <w:shd w:val="clear" w:color="auto" w:fill="auto"/>
          </w:tcPr>
          <w:p w14:paraId="63E429E4" w14:textId="673F6DBA" w:rsidR="00CA53CE" w:rsidRPr="00777226" w:rsidRDefault="00CA53CE" w:rsidP="000F3E31">
            <w:pPr>
              <w:spacing w:before="60" w:after="60"/>
              <w:rPr>
                <w:szCs w:val="22"/>
              </w:rPr>
            </w:pPr>
            <w:r>
              <w:t xml:space="preserve">6.1 Последовательное наращивание адресованной МОК поддержки (в денежной и натуральной форме), связанной с выполнением ею роли координатора международных усилий </w:t>
            </w:r>
          </w:p>
        </w:tc>
      </w:tr>
      <w:tr w:rsidR="00CA53CE" w:rsidRPr="00777226" w14:paraId="5D468E32" w14:textId="77777777" w:rsidTr="0099397F">
        <w:tc>
          <w:tcPr>
            <w:tcW w:w="4644" w:type="dxa"/>
            <w:vMerge/>
            <w:shd w:val="clear" w:color="auto" w:fill="auto"/>
          </w:tcPr>
          <w:p w14:paraId="49982088" w14:textId="77777777" w:rsidR="00CA53CE" w:rsidRPr="00777226" w:rsidRDefault="00CA53CE" w:rsidP="000F3E31">
            <w:pPr>
              <w:spacing w:before="60" w:after="60"/>
              <w:rPr>
                <w:szCs w:val="22"/>
              </w:rPr>
            </w:pPr>
          </w:p>
        </w:tc>
        <w:tc>
          <w:tcPr>
            <w:tcW w:w="5103" w:type="dxa"/>
            <w:shd w:val="clear" w:color="auto" w:fill="auto"/>
          </w:tcPr>
          <w:p w14:paraId="6C24DD31" w14:textId="3248E2E2" w:rsidR="00CA53CE" w:rsidRPr="00777226" w:rsidRDefault="00CA53CE" w:rsidP="000F3E31">
            <w:pPr>
              <w:spacing w:before="60" w:after="60"/>
              <w:rPr>
                <w:szCs w:val="22"/>
              </w:rPr>
            </w:pPr>
            <w:r>
              <w:t>6.2 Поощрение государств-членов к оказанию стабильной поддержки на двусторонней и многосторонней основе</w:t>
            </w:r>
          </w:p>
        </w:tc>
      </w:tr>
    </w:tbl>
    <w:p w14:paraId="0364915F" w14:textId="77777777" w:rsidR="002E0C01" w:rsidRPr="00777226" w:rsidRDefault="002E0C01" w:rsidP="002E0C01"/>
    <w:p w14:paraId="4429992B" w14:textId="45540145" w:rsidR="002E0C01" w:rsidRPr="00777226" w:rsidRDefault="00D1216E" w:rsidP="00956BF1">
      <w:pPr>
        <w:pStyle w:val="Heading1"/>
        <w:keepNext w:val="0"/>
        <w:jc w:val="left"/>
      </w:pPr>
      <w:bookmarkStart w:id="1" w:name="_Toc290023647"/>
      <w:r>
        <w:br w:type="page"/>
      </w:r>
      <w:bookmarkStart w:id="2" w:name="_Toc138680730"/>
      <w:r>
        <w:lastRenderedPageBreak/>
        <w:t>Краткое изложение целей и задач</w:t>
      </w:r>
      <w:bookmarkEnd w:id="1"/>
      <w:bookmarkEnd w:id="2"/>
    </w:p>
    <w:p w14:paraId="7D8D76BA" w14:textId="3F416FA5" w:rsidR="00CB4238" w:rsidRPr="00777226" w:rsidRDefault="00CB4238" w:rsidP="00842993">
      <w:pPr>
        <w:pStyle w:val="paranumber"/>
      </w:pPr>
      <w:r>
        <w:t xml:space="preserve">Основой для разработки Стратегии МОК в области развития потенциала послужили цели верхнего уровня Среднесрочной стратегии МОК на 2022-2029 гг. и осознание необходимости устранения барьеров, препятствующих полноценной гендерной и географической представленности, равноправному доступу к научным данным об океане, получению связанных с океаном знаний и профессиональной подготовки, а также передаче морских технологий. Реальное признание ценности развития потенциала произойдет только при условии осознанной готовности к осуществлению последовательных и долгосрочных усилий в этой области. Данная стратегия обеспечит увязку таких усилий с аналогичными усилиями, предпринимаемыми в рамках других инициатив, таких как Десятилетие ООН, посвященное науке об океане в интересах устойчивого развития (2021-2030 гг.), а также предпринимаемых другими участниками </w:t>
      </w:r>
      <w:proofErr w:type="spellStart"/>
      <w:r>
        <w:t>морепользовательского</w:t>
      </w:r>
      <w:proofErr w:type="spellEnd"/>
      <w:r>
        <w:t xml:space="preserve"> сообщества. При этом будет обеспечен гибкий учет отличающихся в разных регионах потребностей, а важнейшая роль будет отведена национальным координаторам.</w:t>
      </w:r>
    </w:p>
    <w:p w14:paraId="503E677D" w14:textId="77777777" w:rsidR="006A6774" w:rsidRDefault="00CB4238" w:rsidP="00842993">
      <w:pPr>
        <w:pStyle w:val="paranumber"/>
        <w:numPr>
          <w:ilvl w:val="0"/>
          <w:numId w:val="0"/>
        </w:numPr>
      </w:pPr>
      <w:r>
        <w:rPr>
          <w:b/>
        </w:rPr>
        <w:t>Общая концепция деятельности</w:t>
      </w:r>
      <w:r>
        <w:t xml:space="preserve"> по реализации Стратегии МОК в области развития потенциала:</w:t>
      </w:r>
    </w:p>
    <w:p w14:paraId="3E5B9889" w14:textId="77777777" w:rsidR="006A6774" w:rsidRDefault="00CB4238" w:rsidP="00842993">
      <w:pPr>
        <w:pStyle w:val="paranumber"/>
      </w:pPr>
      <w:r>
        <w:t>Посредством международного сотрудничества МОК будет оказывать своим государствам-членам поддержку в совместном достижении целей верхнего уровня (ЦВУ) МОК, содействуя тем самым реализации социально значимых задач, предусмотренных в рамках Десятилетия Организации Объединенных Наций, посвященного науке об океане в интересах устойчивого развития (2021-2030 гг.), и уделяя особое внимание тому, чтобы все государства-члены обладали потенциалом для их реализации.</w:t>
      </w:r>
    </w:p>
    <w:p w14:paraId="64BAF39B" w14:textId="2FE9FB54" w:rsidR="00CB4238" w:rsidRPr="00777226" w:rsidRDefault="00CB4238" w:rsidP="00842993">
      <w:pPr>
        <w:pStyle w:val="paranumber"/>
      </w:pPr>
      <w:r>
        <w:t>Поскольку Мировой океан связан с климатической системой Земли и оказывает на нее воздействие, достоверные научные знания и квалифицированные кадры, необходимые для понимания и изучения взаимовлияния океана и климата, а также потребностей экосистем, должны быть в равной степени доступны всем странам. Для этого МОК обеспечит доступ всех государств-членов к своим программам и проектам в области развития потенциала.</w:t>
      </w:r>
    </w:p>
    <w:p w14:paraId="6FDC1141" w14:textId="77777777" w:rsidR="00CB4238" w:rsidRPr="00777226" w:rsidRDefault="00CB4238" w:rsidP="00842993">
      <w:pPr>
        <w:pStyle w:val="paranumber"/>
      </w:pPr>
      <w:r>
        <w:t>Развитие потенциала является одной из шести функциональных областей, определенных в Среднесрочной стратегии МОК на 2022-2029 гг. и имеющей отношение ко всем остальным функциональным областям МОК, таким как «морские научные исследования», «управление системами/данными океанографических наблюдений», «раннее предупреждение и океанографическое обслуживание», «оценка эффективности и информационное обеспечение политики», «рациональное хозяйствование и управление ресурсами». В этих условиях органы управления программ МОК станут основным механизмом реализации настоящей стратегии за счет укрепления межпрограммной координации. Наряду с осуществлением совместных проектов и дополнительными мероприятиями других организаций системы ООН это будет иметь решающее значение для обеспечения согласованного развития потенциала.</w:t>
      </w:r>
    </w:p>
    <w:p w14:paraId="21F5B0DA" w14:textId="4DBFCF1A" w:rsidR="00CB4238" w:rsidRPr="00777226" w:rsidRDefault="00CB4238" w:rsidP="00842993">
      <w:pPr>
        <w:pStyle w:val="paranumber"/>
      </w:pPr>
      <w:r>
        <w:t>Развитие потенциала МОК должно стать важнейшим аспектом оказания государствам-членам поддержки в выполнении ими своих обязательств, предусмотренных в Конвенции ООН по морскому праву (ЮНКЛОС), а именно в части XIII – «Морские научные исследования») и XIV – «Разработка и передача морской технологии»</w:t>
      </w:r>
      <w:r w:rsidRPr="00777226">
        <w:rPr>
          <w:vertAlign w:val="superscript"/>
        </w:rPr>
        <w:footnoteReference w:id="1"/>
      </w:r>
      <w:r>
        <w:t xml:space="preserve">. Кроме того, это позволит активизировать деятельность, осуществляемую в рамках Десятилетия ООН, посвященного науке об океане в интересах устойчивого развития (2021-2030 гг.), и других международных программ. При осуществлении мероприятий, связанных с развитием потенциала, МОК должна будет признать ценность аналогичных усилий, предпринимаемых государствами-членами и другими субъектами морской деятельности, содействуя распространению информации об имеющихся у них возможностях и поощряя принятие практических мер в этой области. В этом смысле важнейшими инструментами реализации стратегии МОК в области развития </w:t>
      </w:r>
      <w:r>
        <w:lastRenderedPageBreak/>
        <w:t>потенциала станут партнерское взаимодействие, осуществление совместных проектов и сотрудничество с другими специализированными учреждениями ООН, государствами-членами, исследовательскими организациями, гражданским обществом и частным сектором с целью задействования возможностей, экспертного потенциала, платформ, баз данных и совместных источников финансирования в интересах максимального повышения эффективности затрат, результативности проводимой работы и долгосрочного эффекта от наращивания потенциала. Только на основе подхода «единый океан – единое мировое сообщество» возможно будет ускорить создание потенциала в области морской науки, морепользования и управления морской деятельностью в масштабах, которые позволят решать многосложные проблемы, вызванные изменением климата, утратой биоразнообразия и разрушением среды обитания, а также минимизировать их негативное воздействие на состояние морских ресурсов и процессы, протекающие в экосистемах морей и океанов. Мероприятия МОК в области развития потенциала должны быть нацелены на развитие профессиональных компетенций не только отдельных людей, но и национальных учреждений и государств-членов, в том числе руководящего звена.</w:t>
      </w:r>
    </w:p>
    <w:p w14:paraId="34E75CB5" w14:textId="5E0DB30B" w:rsidR="00CB4238" w:rsidRPr="00777226" w:rsidRDefault="00CB4238" w:rsidP="00842993">
      <w:pPr>
        <w:pStyle w:val="paranumber"/>
        <w:rPr>
          <w:color w:val="000000"/>
        </w:rPr>
      </w:pPr>
      <w:r>
        <w:t>Приводимая ниже концептуальная схема дает общее представление о том, как шесть целевых задач будут направлять усилия МОК в области развития потенциала и как несколько направлений деятельности обеспечат промежуточные итоги, которые будут способствовать достижению ожидаемых результатов.</w:t>
      </w:r>
    </w:p>
    <w:p w14:paraId="4A86AB1B" w14:textId="1D1643E0" w:rsidR="002E0C01" w:rsidRPr="00777226" w:rsidRDefault="00E00B2A" w:rsidP="00E00B2A">
      <w:pPr>
        <w:pStyle w:val="Heading1"/>
      </w:pPr>
      <w:r>
        <w:br w:type="page"/>
      </w:r>
      <w:bookmarkStart w:id="3" w:name="_Toc290023648"/>
      <w:bookmarkStart w:id="4" w:name="_Toc138680731"/>
      <w:r>
        <w:lastRenderedPageBreak/>
        <w:t>Рамочная стратегия деятельности (2023-2030 гг.)</w:t>
      </w:r>
      <w:bookmarkEnd w:id="3"/>
      <w:bookmarkEnd w:id="4"/>
    </w:p>
    <w:p w14:paraId="27CD0A7C" w14:textId="77777777" w:rsidR="002E0C01" w:rsidRPr="00351726" w:rsidRDefault="002E0C01" w:rsidP="00351726">
      <w:pPr>
        <w:pStyle w:val="Heading3"/>
      </w:pPr>
      <w:bookmarkStart w:id="5" w:name="_Toc290023649"/>
      <w:bookmarkStart w:id="6" w:name="_Toc138680732"/>
      <w:r w:rsidRPr="00351726">
        <w:t>Ожидаемые (конечные) результаты</w:t>
      </w:r>
      <w:bookmarkEnd w:id="5"/>
      <w:bookmarkEnd w:id="6"/>
    </w:p>
    <w:p w14:paraId="28033A6E" w14:textId="77777777" w:rsidR="005D07FE" w:rsidRPr="00777226" w:rsidRDefault="005D07FE" w:rsidP="00842993">
      <w:pPr>
        <w:pStyle w:val="paranumber"/>
      </w:pPr>
      <w:r>
        <w:t>Ожидаемый результат развития потенциала МОК заключается в том, что государства-члены смогут получить более полную информацию о состоянии и природных богатствах Мирового океана и его прибрежных районов, а также применить эти знания для более рационального управления имеющимися ресурсами, обеспечения устойчивого развития, защиты морских экосистем и содействия процессам принятия решений. Важнейшими компонентами проводимой работы станут мониторинг ее эффективности и представление отчетности о достигнутых результатах с отражением в ней в числе прочего результатов, достигнутых на приоритетных для ЮНЕСКО направлениях, таких как гендерное равенство, Африка, наименее развитые страны и малые островные развивающиеся государства. Существенную роль в разработке, реализации и мониторинге выполнения стратегического плана призваны сыграть региональные подкомиссии. В связи с тем, что потребности в развитии потенциала разнятся в зависимости от региона, региональным подкомиссиями и комитетам МОК следует применять в своих соответствующих регионах подход к развитию потенциала, учитывающий конкретные условия, одновременно принимая во внимание все направления деятельности и меры, предлагаемые в настоящей стратегии.</w:t>
      </w:r>
    </w:p>
    <w:p w14:paraId="71DC67E0" w14:textId="0869BF3F" w:rsidR="005D07FE" w:rsidRPr="00777226" w:rsidRDefault="005D07FE" w:rsidP="00842993">
      <w:pPr>
        <w:pStyle w:val="paranumber"/>
      </w:pPr>
      <w:bookmarkStart w:id="7" w:name="_heading=h.2et92p0"/>
      <w:bookmarkEnd w:id="7"/>
      <w:r>
        <w:t>Адресный характер осуществляемых МОК мероприятий и мер в области развития потенциала обеспечит определенные промежуточные результаты, с помощью которых государства-члены смогут добиться желаемых «изменений» на страновом и субрегиональном уровнях в таких сферах, как директивная деятельность, формулирование политики, организация управления и накопление знаний.</w:t>
      </w:r>
    </w:p>
    <w:p w14:paraId="641EE221" w14:textId="3C701387" w:rsidR="002E0C01" w:rsidRPr="00777226" w:rsidRDefault="002E0C01" w:rsidP="00351726">
      <w:pPr>
        <w:pStyle w:val="Heading3"/>
      </w:pPr>
      <w:bookmarkStart w:id="8" w:name="_Toc290023651"/>
      <w:bookmarkStart w:id="9" w:name="_Toc138680733"/>
      <w:r>
        <w:t>Краткое описание целевых задач</w:t>
      </w:r>
      <w:bookmarkEnd w:id="8"/>
      <w:bookmarkEnd w:id="9"/>
    </w:p>
    <w:p w14:paraId="54AA0DC9" w14:textId="3B9940F9" w:rsidR="00773773" w:rsidRPr="00777226" w:rsidRDefault="00773773" w:rsidP="00842993">
      <w:pPr>
        <w:pStyle w:val="paranumber"/>
      </w:pPr>
      <w:r>
        <w:t xml:space="preserve">Ниже в таблице представлены </w:t>
      </w:r>
      <w:r>
        <w:rPr>
          <w:b/>
        </w:rPr>
        <w:t>шесть целевых задач</w:t>
      </w:r>
      <w:r>
        <w:t>, решение которых предполагается на основе долгосрочного и последовательного подхода. Кроме того, в ней обозначены основные направления деятельности и меры, которые необходимо будет принять для достижения ожидаемых результатов.</w:t>
      </w:r>
    </w:p>
    <w:p w14:paraId="5C31AF4B" w14:textId="01E659B2" w:rsidR="00773773" w:rsidRPr="00777226" w:rsidRDefault="00773773" w:rsidP="00842993">
      <w:pPr>
        <w:pStyle w:val="paranumber"/>
        <w:rPr>
          <w:color w:val="000000"/>
        </w:rPr>
      </w:pPr>
      <w:r>
        <w:t>План реализации стратегии, который еще предстоит разработать, будет содержать более подробную информацию о практическом осуществлении предлагаемых мер, а также о мониторинге достигнутого прогресса и эффективности деятельности.</w:t>
      </w:r>
    </w:p>
    <w:tbl>
      <w:tblPr>
        <w:tblW w:w="10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34"/>
        <w:gridCol w:w="3542"/>
        <w:gridCol w:w="4450"/>
      </w:tblGrid>
      <w:tr w:rsidR="00362F2D" w:rsidRPr="003704B4" w14:paraId="2C0DFB18" w14:textId="77777777" w:rsidTr="001F00F3">
        <w:trPr>
          <w:trHeight w:val="245"/>
          <w:tblHeader/>
        </w:trPr>
        <w:tc>
          <w:tcPr>
            <w:tcW w:w="2034" w:type="dxa"/>
            <w:shd w:val="clear" w:color="auto" w:fill="E0E0E0"/>
          </w:tcPr>
          <w:p w14:paraId="5063EB46" w14:textId="77777777" w:rsidR="00362F2D" w:rsidRPr="003704B4" w:rsidRDefault="00362F2D" w:rsidP="00351726">
            <w:pPr>
              <w:adjustRightInd w:val="0"/>
              <w:spacing w:before="60" w:after="60"/>
              <w:jc w:val="center"/>
              <w:rPr>
                <w:rFonts w:asciiTheme="minorBidi" w:hAnsiTheme="minorBidi" w:cstheme="minorBidi"/>
                <w:szCs w:val="22"/>
              </w:rPr>
            </w:pPr>
            <w:r w:rsidRPr="003704B4">
              <w:rPr>
                <w:rFonts w:asciiTheme="minorBidi" w:hAnsiTheme="minorBidi" w:cstheme="minorBidi"/>
                <w:b/>
                <w:szCs w:val="22"/>
              </w:rPr>
              <w:t>Целевая задача</w:t>
            </w:r>
          </w:p>
        </w:tc>
        <w:tc>
          <w:tcPr>
            <w:tcW w:w="3542" w:type="dxa"/>
            <w:shd w:val="clear" w:color="auto" w:fill="E0E0E0"/>
          </w:tcPr>
          <w:p w14:paraId="2445B047" w14:textId="77777777" w:rsidR="00362F2D" w:rsidRPr="003704B4" w:rsidRDefault="00362F2D" w:rsidP="00351726">
            <w:pPr>
              <w:adjustRightInd w:val="0"/>
              <w:spacing w:before="60" w:after="60"/>
              <w:jc w:val="center"/>
              <w:rPr>
                <w:rFonts w:asciiTheme="minorBidi" w:hAnsiTheme="minorBidi" w:cstheme="minorBidi"/>
                <w:szCs w:val="22"/>
              </w:rPr>
            </w:pPr>
            <w:r w:rsidRPr="003704B4">
              <w:rPr>
                <w:rFonts w:asciiTheme="minorBidi" w:hAnsiTheme="minorBidi" w:cstheme="minorBidi"/>
                <w:b/>
                <w:szCs w:val="22"/>
              </w:rPr>
              <w:t>Направление деятельности</w:t>
            </w:r>
          </w:p>
        </w:tc>
        <w:tc>
          <w:tcPr>
            <w:tcW w:w="4450" w:type="dxa"/>
            <w:shd w:val="clear" w:color="auto" w:fill="E0E0E0"/>
          </w:tcPr>
          <w:p w14:paraId="20886817" w14:textId="77777777" w:rsidR="00362F2D" w:rsidRPr="003704B4" w:rsidRDefault="00362F2D" w:rsidP="00351726">
            <w:pPr>
              <w:adjustRightInd w:val="0"/>
              <w:spacing w:before="60" w:after="60"/>
              <w:jc w:val="center"/>
              <w:rPr>
                <w:rFonts w:asciiTheme="minorBidi" w:hAnsiTheme="minorBidi" w:cstheme="minorBidi"/>
                <w:b/>
                <w:szCs w:val="22"/>
              </w:rPr>
            </w:pPr>
            <w:r w:rsidRPr="003704B4">
              <w:rPr>
                <w:rFonts w:asciiTheme="minorBidi" w:hAnsiTheme="minorBidi" w:cstheme="minorBidi"/>
                <w:b/>
                <w:color w:val="000000"/>
                <w:szCs w:val="22"/>
              </w:rPr>
              <w:t>Меры</w:t>
            </w:r>
            <w:r w:rsidRPr="003704B4">
              <w:rPr>
                <w:rFonts w:asciiTheme="minorBidi" w:hAnsiTheme="minorBidi" w:cstheme="minorBidi"/>
                <w:b/>
                <w:bCs/>
                <w:color w:val="000000"/>
                <w:szCs w:val="22"/>
              </w:rPr>
              <w:t xml:space="preserve"> </w:t>
            </w:r>
          </w:p>
        </w:tc>
      </w:tr>
      <w:tr w:rsidR="001D26A7" w:rsidRPr="003704B4" w14:paraId="64B914E7" w14:textId="77777777" w:rsidTr="001F00F3">
        <w:trPr>
          <w:cantSplit/>
          <w:trHeight w:val="982"/>
        </w:trPr>
        <w:tc>
          <w:tcPr>
            <w:tcW w:w="2034" w:type="dxa"/>
            <w:vMerge w:val="restart"/>
          </w:tcPr>
          <w:p w14:paraId="2F669F29" w14:textId="77777777" w:rsidR="001D26A7" w:rsidRPr="003704B4" w:rsidRDefault="001D26A7" w:rsidP="00351726">
            <w:pPr>
              <w:adjustRightInd w:val="0"/>
              <w:spacing w:before="60" w:after="60"/>
              <w:rPr>
                <w:rFonts w:asciiTheme="minorBidi" w:hAnsiTheme="minorBidi" w:cstheme="minorBidi"/>
                <w:szCs w:val="22"/>
              </w:rPr>
            </w:pPr>
            <w:r w:rsidRPr="003704B4">
              <w:rPr>
                <w:rFonts w:asciiTheme="minorBidi" w:hAnsiTheme="minorBidi" w:cstheme="minorBidi"/>
                <w:szCs w:val="22"/>
              </w:rPr>
              <w:t>1. Развитие профессиональных компетенций на индивидуальном и институциональном уровнях</w:t>
            </w:r>
          </w:p>
        </w:tc>
        <w:tc>
          <w:tcPr>
            <w:tcW w:w="3542" w:type="dxa"/>
            <w:vMerge w:val="restart"/>
          </w:tcPr>
          <w:p w14:paraId="0EF4C0C3" w14:textId="77777777" w:rsidR="001D26A7" w:rsidRPr="003704B4" w:rsidRDefault="001D26A7" w:rsidP="00351726">
            <w:pPr>
              <w:adjustRightInd w:val="0"/>
              <w:spacing w:before="60" w:after="60"/>
              <w:rPr>
                <w:rFonts w:asciiTheme="minorBidi" w:hAnsiTheme="minorBidi" w:cstheme="minorBidi"/>
                <w:szCs w:val="22"/>
              </w:rPr>
            </w:pPr>
            <w:r w:rsidRPr="003704B4">
              <w:rPr>
                <w:rFonts w:asciiTheme="minorBidi" w:hAnsiTheme="minorBidi" w:cstheme="minorBidi"/>
                <w:szCs w:val="22"/>
              </w:rPr>
              <w:t xml:space="preserve">1.1 Высшее академическое и профессиональное образование </w:t>
            </w:r>
          </w:p>
        </w:tc>
        <w:tc>
          <w:tcPr>
            <w:tcW w:w="4450" w:type="dxa"/>
          </w:tcPr>
          <w:p w14:paraId="5E93BCA6" w14:textId="77777777" w:rsidR="001D26A7" w:rsidRPr="003704B4" w:rsidRDefault="001D26A7" w:rsidP="00351726">
            <w:pPr>
              <w:adjustRightInd w:val="0"/>
              <w:spacing w:before="60" w:after="60"/>
              <w:rPr>
                <w:rFonts w:asciiTheme="minorBidi" w:hAnsiTheme="minorBidi" w:cstheme="minorBidi"/>
                <w:szCs w:val="22"/>
              </w:rPr>
            </w:pPr>
            <w:r w:rsidRPr="003704B4">
              <w:rPr>
                <w:rFonts w:asciiTheme="minorBidi" w:hAnsiTheme="minorBidi" w:cstheme="minorBidi"/>
                <w:color w:val="000000"/>
                <w:szCs w:val="22"/>
              </w:rPr>
              <w:t>1.1.1 Поощрение и оказание содействия в вопросах укрепления и создания консорциумов высших учебных заведений и научно-исследовательских учреждений с соответствующим географическим охватом</w:t>
            </w:r>
          </w:p>
        </w:tc>
      </w:tr>
      <w:tr w:rsidR="001D26A7" w:rsidRPr="003704B4" w14:paraId="35C0F199" w14:textId="77777777" w:rsidTr="001F00F3">
        <w:trPr>
          <w:cantSplit/>
          <w:trHeight w:val="982"/>
        </w:trPr>
        <w:tc>
          <w:tcPr>
            <w:tcW w:w="2034" w:type="dxa"/>
            <w:vMerge/>
          </w:tcPr>
          <w:p w14:paraId="2B63D1A3" w14:textId="77777777" w:rsidR="001D26A7" w:rsidRPr="003704B4" w:rsidRDefault="001D26A7" w:rsidP="00351726">
            <w:pPr>
              <w:widowControl w:val="0"/>
              <w:pBdr>
                <w:top w:val="nil"/>
                <w:left w:val="nil"/>
                <w:bottom w:val="nil"/>
                <w:right w:val="nil"/>
                <w:between w:val="nil"/>
              </w:pBdr>
              <w:adjustRightInd w:val="0"/>
              <w:spacing w:before="60" w:after="60" w:line="276" w:lineRule="auto"/>
              <w:rPr>
                <w:rFonts w:asciiTheme="minorBidi" w:hAnsiTheme="minorBidi" w:cstheme="minorBidi"/>
                <w:szCs w:val="22"/>
              </w:rPr>
            </w:pPr>
          </w:p>
        </w:tc>
        <w:tc>
          <w:tcPr>
            <w:tcW w:w="3542" w:type="dxa"/>
            <w:vMerge/>
          </w:tcPr>
          <w:p w14:paraId="2F6E2D63" w14:textId="77777777" w:rsidR="001D26A7" w:rsidRPr="003704B4" w:rsidRDefault="001D26A7" w:rsidP="00351726">
            <w:pPr>
              <w:widowControl w:val="0"/>
              <w:pBdr>
                <w:top w:val="nil"/>
                <w:left w:val="nil"/>
                <w:bottom w:val="nil"/>
                <w:right w:val="nil"/>
                <w:between w:val="nil"/>
              </w:pBdr>
              <w:adjustRightInd w:val="0"/>
              <w:spacing w:before="60" w:after="60" w:line="276" w:lineRule="auto"/>
              <w:rPr>
                <w:rFonts w:asciiTheme="minorBidi" w:hAnsiTheme="minorBidi" w:cstheme="minorBidi"/>
                <w:szCs w:val="22"/>
              </w:rPr>
            </w:pPr>
          </w:p>
        </w:tc>
        <w:tc>
          <w:tcPr>
            <w:tcW w:w="4450" w:type="dxa"/>
          </w:tcPr>
          <w:p w14:paraId="30CFFA45" w14:textId="015E6A9A" w:rsidR="001D26A7" w:rsidRPr="003704B4" w:rsidRDefault="001D26A7" w:rsidP="00351726">
            <w:pPr>
              <w:adjustRightInd w:val="0"/>
              <w:spacing w:before="60" w:after="60"/>
              <w:rPr>
                <w:rFonts w:asciiTheme="minorBidi" w:hAnsiTheme="minorBidi" w:cstheme="minorBidi"/>
                <w:szCs w:val="22"/>
              </w:rPr>
            </w:pPr>
            <w:r w:rsidRPr="003704B4">
              <w:rPr>
                <w:rFonts w:asciiTheme="minorBidi" w:hAnsiTheme="minorBidi" w:cstheme="minorBidi"/>
                <w:szCs w:val="22"/>
              </w:rPr>
              <w:t>1.1.2 Поощрение расширения взаимодействия между кафедрами ЮНЕСКО и МОК, а также между МОК и другими организациями, занимающимися вопросами океана, в области развития людских ресурсов</w:t>
            </w:r>
          </w:p>
        </w:tc>
      </w:tr>
      <w:tr w:rsidR="001D26A7" w:rsidRPr="003704B4" w14:paraId="40F0AFDE" w14:textId="77777777" w:rsidTr="001F00F3">
        <w:trPr>
          <w:cantSplit/>
          <w:trHeight w:val="982"/>
        </w:trPr>
        <w:tc>
          <w:tcPr>
            <w:tcW w:w="2034" w:type="dxa"/>
            <w:vMerge/>
          </w:tcPr>
          <w:p w14:paraId="46014DD4" w14:textId="77777777" w:rsidR="001D26A7" w:rsidRPr="003704B4" w:rsidRDefault="001D26A7" w:rsidP="00351726">
            <w:pPr>
              <w:widowControl w:val="0"/>
              <w:pBdr>
                <w:top w:val="nil"/>
                <w:left w:val="nil"/>
                <w:bottom w:val="nil"/>
                <w:right w:val="nil"/>
                <w:between w:val="nil"/>
              </w:pBdr>
              <w:adjustRightInd w:val="0"/>
              <w:spacing w:before="60" w:after="60" w:line="276" w:lineRule="auto"/>
              <w:rPr>
                <w:rFonts w:asciiTheme="minorBidi" w:hAnsiTheme="minorBidi" w:cstheme="minorBidi"/>
                <w:szCs w:val="22"/>
              </w:rPr>
            </w:pPr>
          </w:p>
        </w:tc>
        <w:tc>
          <w:tcPr>
            <w:tcW w:w="3542" w:type="dxa"/>
            <w:vMerge w:val="restart"/>
          </w:tcPr>
          <w:p w14:paraId="3B13904A" w14:textId="77777777" w:rsidR="001D26A7" w:rsidRPr="003704B4" w:rsidRDefault="001D26A7" w:rsidP="00351726">
            <w:pPr>
              <w:adjustRightInd w:val="0"/>
              <w:spacing w:before="60" w:after="60"/>
              <w:rPr>
                <w:rFonts w:asciiTheme="minorBidi" w:hAnsiTheme="minorBidi" w:cstheme="minorBidi"/>
                <w:szCs w:val="22"/>
              </w:rPr>
            </w:pPr>
            <w:r w:rsidRPr="003704B4">
              <w:rPr>
                <w:rFonts w:asciiTheme="minorBidi" w:hAnsiTheme="minorBidi" w:cstheme="minorBidi"/>
                <w:szCs w:val="22"/>
              </w:rPr>
              <w:t>1.2 Непрерывное профессиональное развитие</w:t>
            </w:r>
          </w:p>
        </w:tc>
        <w:tc>
          <w:tcPr>
            <w:tcW w:w="4450" w:type="dxa"/>
          </w:tcPr>
          <w:p w14:paraId="78932B4A" w14:textId="69DC6F41" w:rsidR="001D26A7" w:rsidRPr="003704B4" w:rsidRDefault="001D26A7" w:rsidP="00351726">
            <w:pPr>
              <w:adjustRightInd w:val="0"/>
              <w:spacing w:before="60" w:after="60"/>
              <w:rPr>
                <w:rFonts w:asciiTheme="minorBidi" w:hAnsiTheme="minorBidi" w:cstheme="minorBidi"/>
                <w:color w:val="000000"/>
                <w:szCs w:val="22"/>
              </w:rPr>
            </w:pPr>
            <w:r w:rsidRPr="003704B4">
              <w:rPr>
                <w:rFonts w:asciiTheme="minorBidi" w:hAnsiTheme="minorBidi" w:cstheme="minorBidi"/>
                <w:szCs w:val="22"/>
              </w:rPr>
              <w:t>1.2.1 Популяризация и оказание содействия в организации в сотрудничестве с другими структурами учебных курсов, практических семинаров и «летних школ» по тематике, имеющей отношение к мандату МОК, включая подготовку преподавателей/технических специалистов и повышение квалификации руководителей учреждений/лиц, ответственных за принятие решений</w:t>
            </w:r>
          </w:p>
        </w:tc>
      </w:tr>
      <w:tr w:rsidR="001D26A7" w:rsidRPr="003704B4" w14:paraId="35BBBCC6" w14:textId="77777777" w:rsidTr="001F00F3">
        <w:trPr>
          <w:cantSplit/>
          <w:trHeight w:val="982"/>
        </w:trPr>
        <w:tc>
          <w:tcPr>
            <w:tcW w:w="2034" w:type="dxa"/>
            <w:vMerge/>
          </w:tcPr>
          <w:p w14:paraId="6C97A665" w14:textId="77777777" w:rsidR="001D26A7" w:rsidRPr="003704B4" w:rsidRDefault="001D26A7" w:rsidP="00351726">
            <w:pPr>
              <w:widowControl w:val="0"/>
              <w:pBdr>
                <w:top w:val="nil"/>
                <w:left w:val="nil"/>
                <w:bottom w:val="nil"/>
                <w:right w:val="nil"/>
                <w:between w:val="nil"/>
              </w:pBdr>
              <w:adjustRightInd w:val="0"/>
              <w:spacing w:before="60" w:after="60" w:line="276" w:lineRule="auto"/>
              <w:rPr>
                <w:rFonts w:asciiTheme="minorBidi" w:hAnsiTheme="minorBidi" w:cstheme="minorBidi"/>
                <w:szCs w:val="22"/>
              </w:rPr>
            </w:pPr>
          </w:p>
        </w:tc>
        <w:tc>
          <w:tcPr>
            <w:tcW w:w="3542" w:type="dxa"/>
            <w:vMerge/>
          </w:tcPr>
          <w:p w14:paraId="10D76D3A" w14:textId="77777777" w:rsidR="001D26A7" w:rsidRPr="003704B4" w:rsidRDefault="001D26A7" w:rsidP="00351726">
            <w:pPr>
              <w:widowControl w:val="0"/>
              <w:pBdr>
                <w:top w:val="nil"/>
                <w:left w:val="nil"/>
                <w:bottom w:val="nil"/>
                <w:right w:val="nil"/>
                <w:between w:val="nil"/>
              </w:pBdr>
              <w:adjustRightInd w:val="0"/>
              <w:spacing w:before="60" w:after="60" w:line="276" w:lineRule="auto"/>
              <w:rPr>
                <w:rFonts w:asciiTheme="minorBidi" w:hAnsiTheme="minorBidi" w:cstheme="minorBidi"/>
                <w:szCs w:val="22"/>
              </w:rPr>
            </w:pPr>
          </w:p>
        </w:tc>
        <w:tc>
          <w:tcPr>
            <w:tcW w:w="4450" w:type="dxa"/>
          </w:tcPr>
          <w:p w14:paraId="3385F95A" w14:textId="213DC61D" w:rsidR="001D26A7" w:rsidRPr="003704B4" w:rsidRDefault="001D26A7" w:rsidP="00351726">
            <w:pPr>
              <w:adjustRightInd w:val="0"/>
              <w:spacing w:before="60" w:after="60"/>
              <w:rPr>
                <w:rFonts w:asciiTheme="minorBidi" w:hAnsiTheme="minorBidi" w:cstheme="minorBidi"/>
                <w:color w:val="000000"/>
                <w:szCs w:val="22"/>
              </w:rPr>
            </w:pPr>
            <w:r w:rsidRPr="003704B4">
              <w:rPr>
                <w:rFonts w:asciiTheme="minorBidi" w:hAnsiTheme="minorBidi" w:cstheme="minorBidi"/>
                <w:color w:val="000000"/>
                <w:szCs w:val="22"/>
              </w:rPr>
              <w:t>1.2.2 Осуществление программы стажировок/стипендий и профессиональной подготовки (в том числе на борту судна) или взаимодействие с другими организациями в рамках такой программы</w:t>
            </w:r>
          </w:p>
        </w:tc>
      </w:tr>
      <w:tr w:rsidR="001D26A7" w:rsidRPr="003704B4" w14:paraId="0163DCDC" w14:textId="77777777" w:rsidTr="001F00F3">
        <w:trPr>
          <w:cantSplit/>
          <w:trHeight w:val="982"/>
        </w:trPr>
        <w:tc>
          <w:tcPr>
            <w:tcW w:w="2034" w:type="dxa"/>
            <w:vMerge/>
          </w:tcPr>
          <w:p w14:paraId="7E45D1EA" w14:textId="77777777" w:rsidR="001D26A7" w:rsidRPr="003704B4" w:rsidRDefault="001D26A7" w:rsidP="00351726">
            <w:pPr>
              <w:widowControl w:val="0"/>
              <w:pBdr>
                <w:top w:val="nil"/>
                <w:left w:val="nil"/>
                <w:bottom w:val="nil"/>
                <w:right w:val="nil"/>
                <w:between w:val="nil"/>
              </w:pBdr>
              <w:adjustRightInd w:val="0"/>
              <w:spacing w:before="60" w:after="60" w:line="276" w:lineRule="auto"/>
              <w:rPr>
                <w:rFonts w:asciiTheme="minorBidi" w:hAnsiTheme="minorBidi" w:cstheme="minorBidi"/>
                <w:szCs w:val="22"/>
              </w:rPr>
            </w:pPr>
          </w:p>
        </w:tc>
        <w:tc>
          <w:tcPr>
            <w:tcW w:w="3542" w:type="dxa"/>
            <w:vMerge/>
          </w:tcPr>
          <w:p w14:paraId="579303FA" w14:textId="77777777" w:rsidR="001D26A7" w:rsidRPr="003704B4" w:rsidRDefault="001D26A7" w:rsidP="00351726">
            <w:pPr>
              <w:widowControl w:val="0"/>
              <w:pBdr>
                <w:top w:val="nil"/>
                <w:left w:val="nil"/>
                <w:bottom w:val="nil"/>
                <w:right w:val="nil"/>
                <w:between w:val="nil"/>
              </w:pBdr>
              <w:adjustRightInd w:val="0"/>
              <w:spacing w:before="60" w:after="60" w:line="276" w:lineRule="auto"/>
              <w:rPr>
                <w:rFonts w:asciiTheme="minorBidi" w:hAnsiTheme="minorBidi" w:cstheme="minorBidi"/>
                <w:szCs w:val="22"/>
              </w:rPr>
            </w:pPr>
          </w:p>
        </w:tc>
        <w:tc>
          <w:tcPr>
            <w:tcW w:w="4450" w:type="dxa"/>
          </w:tcPr>
          <w:p w14:paraId="3E0C8555" w14:textId="77777777" w:rsidR="001D26A7" w:rsidRPr="003704B4" w:rsidRDefault="001D26A7" w:rsidP="00351726">
            <w:pPr>
              <w:adjustRightInd w:val="0"/>
              <w:spacing w:before="60" w:after="60"/>
              <w:rPr>
                <w:rFonts w:asciiTheme="minorBidi" w:hAnsiTheme="minorBidi" w:cstheme="minorBidi"/>
                <w:szCs w:val="22"/>
              </w:rPr>
            </w:pPr>
            <w:r w:rsidRPr="003704B4">
              <w:rPr>
                <w:rFonts w:asciiTheme="minorBidi" w:hAnsiTheme="minorBidi" w:cstheme="minorBidi"/>
                <w:color w:val="000000"/>
                <w:szCs w:val="22"/>
              </w:rPr>
              <w:t>1.2.3 Осуществление программ приглашенных лекторов/ученых/исследователей и обменов специалистами (взаимное обучение) или взаимодействие с другими организациями в рамках таких программ</w:t>
            </w:r>
          </w:p>
        </w:tc>
      </w:tr>
      <w:tr w:rsidR="001D26A7" w:rsidRPr="003704B4" w14:paraId="48C0337F" w14:textId="77777777" w:rsidTr="001F00F3">
        <w:trPr>
          <w:cantSplit/>
          <w:trHeight w:val="982"/>
        </w:trPr>
        <w:tc>
          <w:tcPr>
            <w:tcW w:w="2034" w:type="dxa"/>
            <w:vMerge/>
          </w:tcPr>
          <w:p w14:paraId="6F1C8244" w14:textId="77777777" w:rsidR="001D26A7" w:rsidRPr="003704B4" w:rsidRDefault="001D26A7" w:rsidP="00351726">
            <w:pPr>
              <w:widowControl w:val="0"/>
              <w:pBdr>
                <w:top w:val="nil"/>
                <w:left w:val="nil"/>
                <w:bottom w:val="nil"/>
                <w:right w:val="nil"/>
                <w:between w:val="nil"/>
              </w:pBdr>
              <w:adjustRightInd w:val="0"/>
              <w:spacing w:before="60" w:after="60" w:line="276" w:lineRule="auto"/>
              <w:rPr>
                <w:rFonts w:asciiTheme="minorBidi" w:hAnsiTheme="minorBidi" w:cstheme="minorBidi"/>
                <w:szCs w:val="22"/>
              </w:rPr>
            </w:pPr>
          </w:p>
        </w:tc>
        <w:tc>
          <w:tcPr>
            <w:tcW w:w="3542" w:type="dxa"/>
            <w:vMerge/>
          </w:tcPr>
          <w:p w14:paraId="33BE5A33" w14:textId="77777777" w:rsidR="001D26A7" w:rsidRPr="003704B4" w:rsidRDefault="001D26A7" w:rsidP="00351726">
            <w:pPr>
              <w:widowControl w:val="0"/>
              <w:pBdr>
                <w:top w:val="nil"/>
                <w:left w:val="nil"/>
                <w:bottom w:val="nil"/>
                <w:right w:val="nil"/>
                <w:between w:val="nil"/>
              </w:pBdr>
              <w:adjustRightInd w:val="0"/>
              <w:spacing w:before="60" w:after="60" w:line="276" w:lineRule="auto"/>
              <w:rPr>
                <w:rFonts w:asciiTheme="minorBidi" w:hAnsiTheme="minorBidi" w:cstheme="minorBidi"/>
                <w:szCs w:val="22"/>
              </w:rPr>
            </w:pPr>
          </w:p>
        </w:tc>
        <w:tc>
          <w:tcPr>
            <w:tcW w:w="4450" w:type="dxa"/>
          </w:tcPr>
          <w:p w14:paraId="28972055" w14:textId="77777777" w:rsidR="001D26A7" w:rsidRPr="003704B4" w:rsidRDefault="001D26A7" w:rsidP="00351726">
            <w:pPr>
              <w:adjustRightInd w:val="0"/>
              <w:spacing w:before="60" w:after="60"/>
              <w:rPr>
                <w:rFonts w:asciiTheme="minorBidi" w:hAnsiTheme="minorBidi" w:cstheme="minorBidi"/>
                <w:szCs w:val="22"/>
              </w:rPr>
            </w:pPr>
            <w:r w:rsidRPr="003704B4">
              <w:rPr>
                <w:rFonts w:asciiTheme="minorBidi" w:hAnsiTheme="minorBidi" w:cstheme="minorBidi"/>
                <w:szCs w:val="22"/>
              </w:rPr>
              <w:t>1.2.4 Поощрение и оказание содействия в вопросах создания региональных учебных (и исследовательских) центров, имеющих отношение к мандату МОК</w:t>
            </w:r>
          </w:p>
        </w:tc>
      </w:tr>
      <w:tr w:rsidR="001D26A7" w:rsidRPr="003704B4" w14:paraId="3140D60D" w14:textId="77777777" w:rsidTr="001F5C46">
        <w:trPr>
          <w:cantSplit/>
          <w:trHeight w:val="500"/>
        </w:trPr>
        <w:tc>
          <w:tcPr>
            <w:tcW w:w="2034" w:type="dxa"/>
            <w:vMerge/>
          </w:tcPr>
          <w:p w14:paraId="10846814" w14:textId="77777777" w:rsidR="001D26A7" w:rsidRPr="003704B4" w:rsidRDefault="001D26A7" w:rsidP="00351726">
            <w:pPr>
              <w:widowControl w:val="0"/>
              <w:pBdr>
                <w:top w:val="nil"/>
                <w:left w:val="nil"/>
                <w:bottom w:val="nil"/>
                <w:right w:val="nil"/>
                <w:between w:val="nil"/>
              </w:pBdr>
              <w:adjustRightInd w:val="0"/>
              <w:spacing w:before="60" w:after="60" w:line="276" w:lineRule="auto"/>
              <w:rPr>
                <w:rFonts w:asciiTheme="minorBidi" w:hAnsiTheme="minorBidi" w:cstheme="minorBidi"/>
                <w:szCs w:val="22"/>
              </w:rPr>
            </w:pPr>
          </w:p>
        </w:tc>
        <w:tc>
          <w:tcPr>
            <w:tcW w:w="3542" w:type="dxa"/>
            <w:vMerge/>
          </w:tcPr>
          <w:p w14:paraId="4299920B" w14:textId="77777777" w:rsidR="001D26A7" w:rsidRPr="003704B4" w:rsidRDefault="001D26A7" w:rsidP="00351726">
            <w:pPr>
              <w:widowControl w:val="0"/>
              <w:pBdr>
                <w:top w:val="nil"/>
                <w:left w:val="nil"/>
                <w:bottom w:val="nil"/>
                <w:right w:val="nil"/>
                <w:between w:val="nil"/>
              </w:pBdr>
              <w:adjustRightInd w:val="0"/>
              <w:spacing w:before="60" w:after="60" w:line="276" w:lineRule="auto"/>
              <w:rPr>
                <w:rFonts w:asciiTheme="minorBidi" w:hAnsiTheme="minorBidi" w:cstheme="minorBidi"/>
                <w:szCs w:val="22"/>
              </w:rPr>
            </w:pPr>
          </w:p>
        </w:tc>
        <w:tc>
          <w:tcPr>
            <w:tcW w:w="4450" w:type="dxa"/>
          </w:tcPr>
          <w:p w14:paraId="1884947A" w14:textId="77777777" w:rsidR="001D26A7" w:rsidRPr="003704B4" w:rsidRDefault="001D26A7" w:rsidP="00351726">
            <w:pPr>
              <w:adjustRightInd w:val="0"/>
              <w:spacing w:before="60" w:after="60"/>
              <w:rPr>
                <w:rFonts w:asciiTheme="minorBidi" w:hAnsiTheme="minorBidi" w:cstheme="minorBidi"/>
                <w:szCs w:val="22"/>
              </w:rPr>
            </w:pPr>
            <w:r w:rsidRPr="003704B4">
              <w:rPr>
                <w:rFonts w:asciiTheme="minorBidi" w:hAnsiTheme="minorBidi" w:cstheme="minorBidi"/>
                <w:color w:val="000000"/>
                <w:szCs w:val="22"/>
              </w:rPr>
              <w:t>1.2.5 Поощрение разработки и распространения учебных материалов</w:t>
            </w:r>
          </w:p>
        </w:tc>
      </w:tr>
      <w:tr w:rsidR="001D26A7" w:rsidRPr="003704B4" w14:paraId="1375D4D7" w14:textId="77777777" w:rsidTr="001F00F3">
        <w:trPr>
          <w:cantSplit/>
          <w:trHeight w:val="217"/>
        </w:trPr>
        <w:tc>
          <w:tcPr>
            <w:tcW w:w="2034" w:type="dxa"/>
            <w:vMerge/>
          </w:tcPr>
          <w:p w14:paraId="1F608060" w14:textId="77777777" w:rsidR="001D26A7" w:rsidRPr="003704B4" w:rsidRDefault="001D26A7" w:rsidP="00351726">
            <w:pPr>
              <w:widowControl w:val="0"/>
              <w:pBdr>
                <w:top w:val="nil"/>
                <w:left w:val="nil"/>
                <w:bottom w:val="nil"/>
                <w:right w:val="nil"/>
                <w:between w:val="nil"/>
              </w:pBdr>
              <w:adjustRightInd w:val="0"/>
              <w:spacing w:before="60" w:after="60" w:line="276" w:lineRule="auto"/>
              <w:rPr>
                <w:rFonts w:asciiTheme="minorBidi" w:hAnsiTheme="minorBidi" w:cstheme="minorBidi"/>
                <w:szCs w:val="22"/>
              </w:rPr>
            </w:pPr>
          </w:p>
        </w:tc>
        <w:tc>
          <w:tcPr>
            <w:tcW w:w="3542" w:type="dxa"/>
            <w:vMerge w:val="restart"/>
          </w:tcPr>
          <w:p w14:paraId="54299992" w14:textId="77777777" w:rsidR="001D26A7" w:rsidRPr="003704B4" w:rsidRDefault="001D26A7" w:rsidP="003704B4">
            <w:pPr>
              <w:adjustRightInd w:val="0"/>
              <w:spacing w:before="60" w:after="60"/>
              <w:rPr>
                <w:rFonts w:asciiTheme="minorBidi" w:hAnsiTheme="minorBidi" w:cstheme="minorBidi"/>
                <w:szCs w:val="22"/>
              </w:rPr>
            </w:pPr>
            <w:r w:rsidRPr="003704B4">
              <w:rPr>
                <w:rFonts w:asciiTheme="minorBidi" w:hAnsiTheme="minorBidi" w:cstheme="minorBidi"/>
                <w:szCs w:val="22"/>
              </w:rPr>
              <w:t>1.3 Совместное использование накопленных знаний и опыта, в том числе через укрепление профессионального сообщества</w:t>
            </w:r>
          </w:p>
        </w:tc>
        <w:tc>
          <w:tcPr>
            <w:tcW w:w="4450" w:type="dxa"/>
          </w:tcPr>
          <w:p w14:paraId="5AF566CE" w14:textId="77777777" w:rsidR="001D26A7" w:rsidRPr="003704B4" w:rsidRDefault="001D26A7" w:rsidP="00351726">
            <w:pPr>
              <w:adjustRightInd w:val="0"/>
              <w:spacing w:before="60" w:after="60"/>
              <w:rPr>
                <w:rFonts w:asciiTheme="minorBidi" w:hAnsiTheme="minorBidi" w:cstheme="minorBidi"/>
                <w:szCs w:val="22"/>
              </w:rPr>
            </w:pPr>
            <w:r w:rsidRPr="003704B4">
              <w:rPr>
                <w:rFonts w:asciiTheme="minorBidi" w:hAnsiTheme="minorBidi" w:cstheme="minorBidi"/>
                <w:szCs w:val="22"/>
              </w:rPr>
              <w:t>1.3.1 Создание «фонда» субсидий на оплату проезда обучающихся</w:t>
            </w:r>
          </w:p>
        </w:tc>
      </w:tr>
      <w:tr w:rsidR="001D26A7" w:rsidRPr="003704B4" w14:paraId="2F4A1DAD" w14:textId="77777777" w:rsidTr="001F00F3">
        <w:trPr>
          <w:cantSplit/>
          <w:trHeight w:val="570"/>
        </w:trPr>
        <w:tc>
          <w:tcPr>
            <w:tcW w:w="2034" w:type="dxa"/>
            <w:vMerge/>
          </w:tcPr>
          <w:p w14:paraId="2A72F414" w14:textId="77777777" w:rsidR="001D26A7" w:rsidRPr="003704B4" w:rsidRDefault="001D26A7" w:rsidP="00351726">
            <w:pPr>
              <w:widowControl w:val="0"/>
              <w:pBdr>
                <w:top w:val="nil"/>
                <w:left w:val="nil"/>
                <w:bottom w:val="nil"/>
                <w:right w:val="nil"/>
                <w:between w:val="nil"/>
              </w:pBdr>
              <w:adjustRightInd w:val="0"/>
              <w:spacing w:before="60" w:after="60" w:line="276" w:lineRule="auto"/>
              <w:rPr>
                <w:rFonts w:asciiTheme="minorBidi" w:hAnsiTheme="minorBidi" w:cstheme="minorBidi"/>
                <w:szCs w:val="22"/>
              </w:rPr>
            </w:pPr>
          </w:p>
        </w:tc>
        <w:tc>
          <w:tcPr>
            <w:tcW w:w="3542" w:type="dxa"/>
            <w:vMerge/>
          </w:tcPr>
          <w:p w14:paraId="170A710B" w14:textId="77777777" w:rsidR="001D26A7" w:rsidRPr="003704B4" w:rsidRDefault="001D26A7" w:rsidP="00351726">
            <w:pPr>
              <w:widowControl w:val="0"/>
              <w:pBdr>
                <w:top w:val="nil"/>
                <w:left w:val="nil"/>
                <w:bottom w:val="nil"/>
                <w:right w:val="nil"/>
                <w:between w:val="nil"/>
              </w:pBdr>
              <w:adjustRightInd w:val="0"/>
              <w:spacing w:before="60" w:after="60" w:line="276" w:lineRule="auto"/>
              <w:rPr>
                <w:rFonts w:asciiTheme="minorBidi" w:hAnsiTheme="minorBidi" w:cstheme="minorBidi"/>
                <w:szCs w:val="22"/>
              </w:rPr>
            </w:pPr>
          </w:p>
        </w:tc>
        <w:tc>
          <w:tcPr>
            <w:tcW w:w="4450" w:type="dxa"/>
          </w:tcPr>
          <w:p w14:paraId="069F7B4E" w14:textId="284FAF8C" w:rsidR="001D26A7" w:rsidRPr="003704B4" w:rsidRDefault="001D26A7" w:rsidP="00351726">
            <w:pPr>
              <w:adjustRightInd w:val="0"/>
              <w:spacing w:before="60" w:after="60"/>
              <w:rPr>
                <w:rFonts w:asciiTheme="minorBidi" w:hAnsiTheme="minorBidi" w:cstheme="minorBidi"/>
                <w:szCs w:val="22"/>
              </w:rPr>
            </w:pPr>
            <w:r w:rsidRPr="003704B4">
              <w:rPr>
                <w:rFonts w:asciiTheme="minorBidi" w:hAnsiTheme="minorBidi" w:cstheme="minorBidi"/>
                <w:szCs w:val="22"/>
              </w:rPr>
              <w:t>1.3.2</w:t>
            </w:r>
            <w:r w:rsidR="00216B88" w:rsidRPr="003704B4">
              <w:rPr>
                <w:rFonts w:asciiTheme="minorBidi" w:hAnsiTheme="minorBidi" w:cstheme="minorBidi"/>
                <w:szCs w:val="22"/>
              </w:rPr>
              <w:t xml:space="preserve"> </w:t>
            </w:r>
            <w:r w:rsidRPr="003704B4">
              <w:rPr>
                <w:rFonts w:asciiTheme="minorBidi" w:hAnsiTheme="minorBidi" w:cstheme="minorBidi"/>
                <w:szCs w:val="22"/>
              </w:rPr>
              <w:t>Осуществление программы наставничества или взаимодействие с другими организациями в рамках такой программы</w:t>
            </w:r>
          </w:p>
        </w:tc>
      </w:tr>
      <w:tr w:rsidR="001D26A7" w:rsidRPr="003704B4" w14:paraId="0C795705" w14:textId="77777777" w:rsidTr="001F00F3">
        <w:trPr>
          <w:cantSplit/>
          <w:trHeight w:val="982"/>
        </w:trPr>
        <w:tc>
          <w:tcPr>
            <w:tcW w:w="2034" w:type="dxa"/>
            <w:vMerge/>
          </w:tcPr>
          <w:p w14:paraId="4961547B" w14:textId="77777777" w:rsidR="001D26A7" w:rsidRPr="003704B4" w:rsidRDefault="001D26A7" w:rsidP="00351726">
            <w:pPr>
              <w:widowControl w:val="0"/>
              <w:pBdr>
                <w:top w:val="nil"/>
                <w:left w:val="nil"/>
                <w:bottom w:val="nil"/>
                <w:right w:val="nil"/>
                <w:between w:val="nil"/>
              </w:pBdr>
              <w:adjustRightInd w:val="0"/>
              <w:spacing w:before="60" w:after="60" w:line="276" w:lineRule="auto"/>
              <w:rPr>
                <w:rFonts w:asciiTheme="minorBidi" w:hAnsiTheme="minorBidi" w:cstheme="minorBidi"/>
                <w:szCs w:val="22"/>
              </w:rPr>
            </w:pPr>
          </w:p>
        </w:tc>
        <w:tc>
          <w:tcPr>
            <w:tcW w:w="3542" w:type="dxa"/>
            <w:vMerge/>
          </w:tcPr>
          <w:p w14:paraId="35F2DC55" w14:textId="77777777" w:rsidR="001D26A7" w:rsidRPr="003704B4" w:rsidRDefault="001D26A7" w:rsidP="00351726">
            <w:pPr>
              <w:widowControl w:val="0"/>
              <w:pBdr>
                <w:top w:val="nil"/>
                <w:left w:val="nil"/>
                <w:bottom w:val="nil"/>
                <w:right w:val="nil"/>
                <w:between w:val="nil"/>
              </w:pBdr>
              <w:adjustRightInd w:val="0"/>
              <w:spacing w:before="60" w:after="60" w:line="276" w:lineRule="auto"/>
              <w:rPr>
                <w:rFonts w:asciiTheme="minorBidi" w:hAnsiTheme="minorBidi" w:cstheme="minorBidi"/>
                <w:szCs w:val="22"/>
              </w:rPr>
            </w:pPr>
          </w:p>
        </w:tc>
        <w:tc>
          <w:tcPr>
            <w:tcW w:w="4450" w:type="dxa"/>
          </w:tcPr>
          <w:p w14:paraId="40FB8710" w14:textId="0285AB10" w:rsidR="001D26A7" w:rsidRPr="003704B4" w:rsidRDefault="001D26A7" w:rsidP="00351726">
            <w:pPr>
              <w:adjustRightInd w:val="0"/>
              <w:spacing w:before="60" w:after="60"/>
              <w:rPr>
                <w:rFonts w:asciiTheme="minorBidi" w:hAnsiTheme="minorBidi" w:cstheme="minorBidi"/>
                <w:szCs w:val="22"/>
              </w:rPr>
            </w:pPr>
            <w:r w:rsidRPr="003704B4">
              <w:rPr>
                <w:rFonts w:asciiTheme="minorBidi" w:hAnsiTheme="minorBidi" w:cstheme="minorBidi"/>
                <w:color w:val="000000"/>
                <w:szCs w:val="22"/>
              </w:rPr>
              <w:t>1.3.3</w:t>
            </w:r>
            <w:r w:rsidR="00216B88" w:rsidRPr="003704B4">
              <w:rPr>
                <w:rFonts w:asciiTheme="minorBidi" w:hAnsiTheme="minorBidi" w:cstheme="minorBidi"/>
                <w:color w:val="000000"/>
                <w:szCs w:val="22"/>
              </w:rPr>
              <w:t xml:space="preserve"> </w:t>
            </w:r>
            <w:r w:rsidRPr="003704B4">
              <w:rPr>
                <w:rFonts w:asciiTheme="minorBidi" w:hAnsiTheme="minorBidi" w:cstheme="minorBidi"/>
                <w:color w:val="000000"/>
                <w:szCs w:val="22"/>
              </w:rPr>
              <w:t>Поощрение и оказание поддержки в создании и укреплении сетей выпускников учебных программ МОК и сетевых объединений специалистов, в том числе для молодежных лидеров</w:t>
            </w:r>
          </w:p>
        </w:tc>
      </w:tr>
      <w:tr w:rsidR="001D26A7" w:rsidRPr="003704B4" w14:paraId="326E41EC" w14:textId="77777777" w:rsidTr="001F00F3">
        <w:trPr>
          <w:cantSplit/>
          <w:trHeight w:val="771"/>
        </w:trPr>
        <w:tc>
          <w:tcPr>
            <w:tcW w:w="2034" w:type="dxa"/>
            <w:vMerge/>
          </w:tcPr>
          <w:p w14:paraId="260C0501" w14:textId="77777777" w:rsidR="001D26A7" w:rsidRPr="003704B4" w:rsidRDefault="001D26A7" w:rsidP="00351726">
            <w:pPr>
              <w:widowControl w:val="0"/>
              <w:pBdr>
                <w:top w:val="nil"/>
                <w:left w:val="nil"/>
                <w:bottom w:val="nil"/>
                <w:right w:val="nil"/>
                <w:between w:val="nil"/>
              </w:pBdr>
              <w:adjustRightInd w:val="0"/>
              <w:spacing w:before="60" w:after="60" w:line="276" w:lineRule="auto"/>
              <w:rPr>
                <w:rFonts w:asciiTheme="minorBidi" w:hAnsiTheme="minorBidi" w:cstheme="minorBidi"/>
                <w:szCs w:val="22"/>
              </w:rPr>
            </w:pPr>
          </w:p>
        </w:tc>
        <w:tc>
          <w:tcPr>
            <w:tcW w:w="3542" w:type="dxa"/>
            <w:vMerge/>
          </w:tcPr>
          <w:p w14:paraId="3628B4F5" w14:textId="77777777" w:rsidR="001D26A7" w:rsidRPr="003704B4" w:rsidRDefault="001D26A7" w:rsidP="00351726">
            <w:pPr>
              <w:widowControl w:val="0"/>
              <w:pBdr>
                <w:top w:val="nil"/>
                <w:left w:val="nil"/>
                <w:bottom w:val="nil"/>
                <w:right w:val="nil"/>
                <w:between w:val="nil"/>
              </w:pBdr>
              <w:adjustRightInd w:val="0"/>
              <w:spacing w:before="60" w:after="60" w:line="276" w:lineRule="auto"/>
              <w:rPr>
                <w:rFonts w:asciiTheme="minorBidi" w:hAnsiTheme="minorBidi" w:cstheme="minorBidi"/>
                <w:szCs w:val="22"/>
              </w:rPr>
            </w:pPr>
          </w:p>
        </w:tc>
        <w:tc>
          <w:tcPr>
            <w:tcW w:w="4450" w:type="dxa"/>
          </w:tcPr>
          <w:p w14:paraId="52B2DA51" w14:textId="77777777" w:rsidR="001D26A7" w:rsidRPr="003704B4" w:rsidRDefault="001D26A7" w:rsidP="00351726">
            <w:pPr>
              <w:adjustRightInd w:val="0"/>
              <w:spacing w:before="60" w:after="60"/>
              <w:rPr>
                <w:rFonts w:asciiTheme="minorBidi" w:hAnsiTheme="minorBidi" w:cstheme="minorBidi"/>
                <w:color w:val="000000"/>
                <w:szCs w:val="22"/>
              </w:rPr>
            </w:pPr>
            <w:r w:rsidRPr="003704B4">
              <w:rPr>
                <w:rFonts w:asciiTheme="minorBidi" w:hAnsiTheme="minorBidi" w:cstheme="minorBidi"/>
                <w:color w:val="000000"/>
                <w:szCs w:val="22"/>
              </w:rPr>
              <w:t>1.3.4 Популяризация программ финансирования, субсидий и стипендий в поддержку морских научных исследований, технических разработок и научного обмена путем распространения информации об имеющихся возможностях через веб-портал по тематике развития потенциала</w:t>
            </w:r>
          </w:p>
        </w:tc>
      </w:tr>
      <w:tr w:rsidR="001D26A7" w:rsidRPr="003704B4" w14:paraId="7E3EBC17" w14:textId="77777777" w:rsidTr="001F5C46">
        <w:trPr>
          <w:cantSplit/>
          <w:trHeight w:val="636"/>
        </w:trPr>
        <w:tc>
          <w:tcPr>
            <w:tcW w:w="2034" w:type="dxa"/>
            <w:vMerge/>
          </w:tcPr>
          <w:p w14:paraId="4AE3D52C" w14:textId="77777777" w:rsidR="001D26A7" w:rsidRPr="003704B4" w:rsidRDefault="001D26A7" w:rsidP="00351726">
            <w:pPr>
              <w:widowControl w:val="0"/>
              <w:pBdr>
                <w:top w:val="nil"/>
                <w:left w:val="nil"/>
                <w:bottom w:val="nil"/>
                <w:right w:val="nil"/>
                <w:between w:val="nil"/>
              </w:pBdr>
              <w:adjustRightInd w:val="0"/>
              <w:spacing w:before="60" w:after="60" w:line="276" w:lineRule="auto"/>
              <w:rPr>
                <w:rFonts w:asciiTheme="minorBidi" w:hAnsiTheme="minorBidi" w:cstheme="minorBidi"/>
                <w:szCs w:val="22"/>
              </w:rPr>
            </w:pPr>
          </w:p>
        </w:tc>
        <w:tc>
          <w:tcPr>
            <w:tcW w:w="3542" w:type="dxa"/>
          </w:tcPr>
          <w:p w14:paraId="2175DC0B" w14:textId="77777777" w:rsidR="001D26A7" w:rsidRPr="003704B4" w:rsidRDefault="001D26A7" w:rsidP="003704B4">
            <w:pPr>
              <w:widowControl w:val="0"/>
              <w:pBdr>
                <w:top w:val="nil"/>
                <w:left w:val="nil"/>
                <w:bottom w:val="nil"/>
                <w:right w:val="nil"/>
                <w:between w:val="nil"/>
              </w:pBdr>
              <w:adjustRightInd w:val="0"/>
              <w:spacing w:before="60" w:after="60"/>
              <w:rPr>
                <w:rFonts w:asciiTheme="minorBidi" w:hAnsiTheme="minorBidi" w:cstheme="minorBidi"/>
                <w:szCs w:val="22"/>
              </w:rPr>
            </w:pPr>
            <w:r w:rsidRPr="003704B4">
              <w:rPr>
                <w:rFonts w:asciiTheme="minorBidi" w:hAnsiTheme="minorBidi" w:cstheme="minorBidi"/>
                <w:szCs w:val="22"/>
              </w:rPr>
              <w:t>1.4 Включение базовых научных знаний об океане в программу начальной и основной средней школы</w:t>
            </w:r>
          </w:p>
        </w:tc>
        <w:tc>
          <w:tcPr>
            <w:tcW w:w="4450" w:type="dxa"/>
          </w:tcPr>
          <w:p w14:paraId="41874A6B" w14:textId="77777777" w:rsidR="001D26A7" w:rsidRPr="003704B4" w:rsidRDefault="001D26A7" w:rsidP="00351726">
            <w:pPr>
              <w:adjustRightInd w:val="0"/>
              <w:spacing w:before="60" w:after="60"/>
              <w:rPr>
                <w:rFonts w:asciiTheme="minorBidi" w:hAnsiTheme="minorBidi" w:cstheme="minorBidi"/>
                <w:szCs w:val="22"/>
              </w:rPr>
            </w:pPr>
            <w:r w:rsidRPr="003704B4">
              <w:rPr>
                <w:rFonts w:asciiTheme="minorBidi" w:hAnsiTheme="minorBidi" w:cstheme="minorBidi"/>
                <w:szCs w:val="22"/>
              </w:rPr>
              <w:t>1.4.1 Поощрение включения базовых научных знаний об океане в учебные программы начальной и средней школы</w:t>
            </w:r>
          </w:p>
        </w:tc>
      </w:tr>
      <w:tr w:rsidR="001D26A7" w:rsidRPr="003704B4" w14:paraId="687DCBBD" w14:textId="77777777" w:rsidTr="001F00F3">
        <w:trPr>
          <w:cantSplit/>
          <w:trHeight w:val="532"/>
        </w:trPr>
        <w:tc>
          <w:tcPr>
            <w:tcW w:w="2034" w:type="dxa"/>
            <w:vMerge/>
          </w:tcPr>
          <w:p w14:paraId="47C2BAA9" w14:textId="77777777" w:rsidR="001D26A7" w:rsidRPr="003704B4" w:rsidRDefault="001D26A7" w:rsidP="00351726">
            <w:pPr>
              <w:widowControl w:val="0"/>
              <w:pBdr>
                <w:top w:val="nil"/>
                <w:left w:val="nil"/>
                <w:bottom w:val="nil"/>
                <w:right w:val="nil"/>
                <w:between w:val="nil"/>
              </w:pBdr>
              <w:adjustRightInd w:val="0"/>
              <w:spacing w:before="60" w:after="60" w:line="276" w:lineRule="auto"/>
              <w:rPr>
                <w:rFonts w:asciiTheme="minorBidi" w:hAnsiTheme="minorBidi" w:cstheme="minorBidi"/>
                <w:szCs w:val="22"/>
              </w:rPr>
            </w:pPr>
          </w:p>
        </w:tc>
        <w:tc>
          <w:tcPr>
            <w:tcW w:w="3542" w:type="dxa"/>
          </w:tcPr>
          <w:p w14:paraId="147FCC6D" w14:textId="77777777" w:rsidR="001D26A7" w:rsidRPr="003704B4" w:rsidRDefault="001D26A7" w:rsidP="00351726">
            <w:pPr>
              <w:widowControl w:val="0"/>
              <w:pBdr>
                <w:top w:val="nil"/>
                <w:left w:val="nil"/>
                <w:bottom w:val="nil"/>
                <w:right w:val="nil"/>
                <w:between w:val="nil"/>
              </w:pBdr>
              <w:adjustRightInd w:val="0"/>
              <w:spacing w:before="60" w:after="60" w:line="276" w:lineRule="auto"/>
              <w:rPr>
                <w:rFonts w:asciiTheme="minorBidi" w:hAnsiTheme="minorBidi" w:cstheme="minorBidi"/>
                <w:szCs w:val="22"/>
              </w:rPr>
            </w:pPr>
          </w:p>
        </w:tc>
        <w:tc>
          <w:tcPr>
            <w:tcW w:w="4450" w:type="dxa"/>
          </w:tcPr>
          <w:p w14:paraId="05D21BB6" w14:textId="77777777" w:rsidR="001D26A7" w:rsidRPr="003704B4" w:rsidRDefault="001D26A7" w:rsidP="00351726">
            <w:pPr>
              <w:adjustRightInd w:val="0"/>
              <w:spacing w:before="60" w:after="60"/>
              <w:rPr>
                <w:rFonts w:asciiTheme="minorBidi" w:hAnsiTheme="minorBidi" w:cstheme="minorBidi"/>
                <w:szCs w:val="22"/>
              </w:rPr>
            </w:pPr>
            <w:r w:rsidRPr="003704B4">
              <w:rPr>
                <w:rFonts w:asciiTheme="minorBidi" w:hAnsiTheme="minorBidi" w:cstheme="minorBidi"/>
                <w:szCs w:val="22"/>
              </w:rPr>
              <w:t>1.4.2 Популяризация профессий, связанных с изучением океанов и управлением морскими ресурсами</w:t>
            </w:r>
          </w:p>
        </w:tc>
      </w:tr>
      <w:tr w:rsidR="001D26A7" w:rsidRPr="003704B4" w14:paraId="401D9071" w14:textId="77777777" w:rsidTr="001F00F3">
        <w:trPr>
          <w:cantSplit/>
          <w:trHeight w:val="576"/>
        </w:trPr>
        <w:tc>
          <w:tcPr>
            <w:tcW w:w="2034" w:type="dxa"/>
            <w:vMerge/>
          </w:tcPr>
          <w:p w14:paraId="3CFDFB76" w14:textId="77777777" w:rsidR="001D26A7" w:rsidRPr="003704B4" w:rsidRDefault="001D26A7" w:rsidP="00351726">
            <w:pPr>
              <w:widowControl w:val="0"/>
              <w:pBdr>
                <w:top w:val="nil"/>
                <w:left w:val="nil"/>
                <w:bottom w:val="nil"/>
                <w:right w:val="nil"/>
                <w:between w:val="nil"/>
              </w:pBdr>
              <w:adjustRightInd w:val="0"/>
              <w:spacing w:before="60" w:after="60" w:line="276" w:lineRule="auto"/>
              <w:rPr>
                <w:rFonts w:asciiTheme="minorBidi" w:hAnsiTheme="minorBidi" w:cstheme="minorBidi"/>
                <w:szCs w:val="22"/>
              </w:rPr>
            </w:pPr>
          </w:p>
        </w:tc>
        <w:tc>
          <w:tcPr>
            <w:tcW w:w="3542" w:type="dxa"/>
          </w:tcPr>
          <w:p w14:paraId="76A4A39F" w14:textId="5FB71117" w:rsidR="001D26A7" w:rsidRPr="003704B4" w:rsidRDefault="001D26A7" w:rsidP="00351726">
            <w:pPr>
              <w:adjustRightInd w:val="0"/>
              <w:spacing w:before="60" w:after="60"/>
              <w:rPr>
                <w:rFonts w:asciiTheme="minorBidi" w:hAnsiTheme="minorBidi" w:cstheme="minorBidi"/>
                <w:szCs w:val="22"/>
              </w:rPr>
            </w:pPr>
            <w:r w:rsidRPr="003704B4">
              <w:rPr>
                <w:rFonts w:asciiTheme="minorBidi" w:hAnsiTheme="minorBidi" w:cstheme="minorBidi"/>
                <w:szCs w:val="22"/>
              </w:rPr>
              <w:t xml:space="preserve">1.5 Повышение гендерного, возрастного и географического многообразия </w:t>
            </w:r>
          </w:p>
        </w:tc>
        <w:tc>
          <w:tcPr>
            <w:tcW w:w="4450" w:type="dxa"/>
          </w:tcPr>
          <w:p w14:paraId="25260F16" w14:textId="77777777" w:rsidR="001D26A7" w:rsidRPr="003704B4" w:rsidRDefault="001D26A7" w:rsidP="00351726">
            <w:pPr>
              <w:adjustRightInd w:val="0"/>
              <w:spacing w:before="60" w:after="60"/>
              <w:rPr>
                <w:rFonts w:asciiTheme="minorBidi" w:hAnsiTheme="minorBidi" w:cstheme="minorBidi"/>
                <w:szCs w:val="22"/>
              </w:rPr>
            </w:pPr>
            <w:r w:rsidRPr="003704B4">
              <w:rPr>
                <w:rFonts w:asciiTheme="minorBidi" w:hAnsiTheme="minorBidi" w:cstheme="minorBidi"/>
                <w:szCs w:val="22"/>
              </w:rPr>
              <w:t>1.5.1 Поощрение участия женщин в морской научно-исследовательской деятельности</w:t>
            </w:r>
          </w:p>
        </w:tc>
      </w:tr>
      <w:tr w:rsidR="001D26A7" w:rsidRPr="003704B4" w14:paraId="77BD8E43" w14:textId="77777777" w:rsidTr="001F00F3">
        <w:trPr>
          <w:cantSplit/>
          <w:trHeight w:val="553"/>
        </w:trPr>
        <w:tc>
          <w:tcPr>
            <w:tcW w:w="2034" w:type="dxa"/>
            <w:vMerge/>
          </w:tcPr>
          <w:p w14:paraId="493B0389" w14:textId="77777777" w:rsidR="001D26A7" w:rsidRPr="003704B4" w:rsidRDefault="001D26A7" w:rsidP="00351726">
            <w:pPr>
              <w:widowControl w:val="0"/>
              <w:pBdr>
                <w:top w:val="nil"/>
                <w:left w:val="nil"/>
                <w:bottom w:val="nil"/>
                <w:right w:val="nil"/>
                <w:between w:val="nil"/>
              </w:pBdr>
              <w:adjustRightInd w:val="0"/>
              <w:spacing w:before="60" w:after="60" w:line="276" w:lineRule="auto"/>
              <w:rPr>
                <w:rFonts w:asciiTheme="minorBidi" w:hAnsiTheme="minorBidi" w:cstheme="minorBidi"/>
                <w:szCs w:val="22"/>
              </w:rPr>
            </w:pPr>
          </w:p>
        </w:tc>
        <w:tc>
          <w:tcPr>
            <w:tcW w:w="3542" w:type="dxa"/>
          </w:tcPr>
          <w:p w14:paraId="7803795B" w14:textId="77777777" w:rsidR="001D26A7" w:rsidRPr="003704B4" w:rsidRDefault="001D26A7" w:rsidP="00351726">
            <w:pPr>
              <w:adjustRightInd w:val="0"/>
              <w:spacing w:before="60" w:after="60"/>
              <w:rPr>
                <w:rFonts w:asciiTheme="minorBidi" w:hAnsiTheme="minorBidi" w:cstheme="minorBidi"/>
                <w:szCs w:val="22"/>
              </w:rPr>
            </w:pPr>
          </w:p>
        </w:tc>
        <w:tc>
          <w:tcPr>
            <w:tcW w:w="4450" w:type="dxa"/>
          </w:tcPr>
          <w:p w14:paraId="3853890D" w14:textId="77777777" w:rsidR="001D26A7" w:rsidRPr="003704B4" w:rsidRDefault="001D26A7" w:rsidP="00351726">
            <w:pPr>
              <w:adjustRightInd w:val="0"/>
              <w:spacing w:before="60" w:after="60"/>
              <w:rPr>
                <w:rFonts w:asciiTheme="minorBidi" w:hAnsiTheme="minorBidi" w:cstheme="minorBidi"/>
                <w:szCs w:val="22"/>
              </w:rPr>
            </w:pPr>
            <w:r w:rsidRPr="003704B4">
              <w:rPr>
                <w:rFonts w:asciiTheme="minorBidi" w:hAnsiTheme="minorBidi" w:cstheme="minorBidi"/>
                <w:szCs w:val="22"/>
              </w:rPr>
              <w:t>1.5.2</w:t>
            </w:r>
            <w:r w:rsidRPr="003704B4">
              <w:rPr>
                <w:rFonts w:asciiTheme="minorBidi" w:hAnsiTheme="minorBidi" w:cstheme="minorBidi"/>
                <w:color w:val="000000"/>
                <w:szCs w:val="22"/>
              </w:rPr>
              <w:t xml:space="preserve"> Популяризация и поддержка премий для молодых ученых и женщин, занимающихся наукой</w:t>
            </w:r>
          </w:p>
        </w:tc>
      </w:tr>
      <w:tr w:rsidR="00362F2D" w:rsidRPr="003704B4" w14:paraId="5A90E4CE" w14:textId="77777777" w:rsidTr="001F00F3">
        <w:trPr>
          <w:cantSplit/>
          <w:trHeight w:val="605"/>
        </w:trPr>
        <w:tc>
          <w:tcPr>
            <w:tcW w:w="2034" w:type="dxa"/>
            <w:vMerge w:val="restart"/>
          </w:tcPr>
          <w:p w14:paraId="3E0798AD" w14:textId="77777777" w:rsidR="00362F2D" w:rsidRPr="003704B4" w:rsidRDefault="00362F2D" w:rsidP="00351726">
            <w:pPr>
              <w:adjustRightInd w:val="0"/>
              <w:spacing w:before="60" w:after="60"/>
              <w:rPr>
                <w:rFonts w:asciiTheme="minorBidi" w:hAnsiTheme="minorBidi" w:cstheme="minorBidi"/>
                <w:szCs w:val="22"/>
              </w:rPr>
            </w:pPr>
            <w:r w:rsidRPr="003704B4">
              <w:rPr>
                <w:rFonts w:asciiTheme="minorBidi" w:hAnsiTheme="minorBidi" w:cstheme="minorBidi"/>
                <w:szCs w:val="22"/>
              </w:rPr>
              <w:t>2. Обеспечение или расширение доступа к технологиям, физической инфраструктуре, данным и информации</w:t>
            </w:r>
          </w:p>
        </w:tc>
        <w:tc>
          <w:tcPr>
            <w:tcW w:w="3542" w:type="dxa"/>
            <w:vMerge w:val="restart"/>
          </w:tcPr>
          <w:p w14:paraId="4478F3E6" w14:textId="77777777" w:rsidR="00362F2D" w:rsidRPr="003704B4" w:rsidRDefault="00362F2D" w:rsidP="00351726">
            <w:pPr>
              <w:adjustRightInd w:val="0"/>
              <w:spacing w:before="60" w:after="60"/>
              <w:rPr>
                <w:rFonts w:asciiTheme="minorBidi" w:hAnsiTheme="minorBidi" w:cstheme="minorBidi"/>
                <w:szCs w:val="22"/>
              </w:rPr>
            </w:pPr>
            <w:r w:rsidRPr="003704B4">
              <w:rPr>
                <w:rFonts w:asciiTheme="minorBidi" w:hAnsiTheme="minorBidi" w:cstheme="minorBidi"/>
                <w:szCs w:val="22"/>
              </w:rPr>
              <w:t xml:space="preserve">2.1 Обеспечение доступа к технологиям и инфраструктуре </w:t>
            </w:r>
          </w:p>
        </w:tc>
        <w:tc>
          <w:tcPr>
            <w:tcW w:w="4450" w:type="dxa"/>
          </w:tcPr>
          <w:p w14:paraId="6F318A3B" w14:textId="77777777" w:rsidR="00362F2D" w:rsidRPr="003704B4" w:rsidRDefault="00362F2D" w:rsidP="00351726">
            <w:pPr>
              <w:adjustRightInd w:val="0"/>
              <w:spacing w:before="60" w:after="60"/>
              <w:rPr>
                <w:rFonts w:asciiTheme="minorBidi" w:hAnsiTheme="minorBidi" w:cstheme="minorBidi"/>
                <w:szCs w:val="22"/>
              </w:rPr>
            </w:pPr>
            <w:r w:rsidRPr="003704B4">
              <w:rPr>
                <w:rFonts w:asciiTheme="minorBidi" w:hAnsiTheme="minorBidi" w:cstheme="minorBidi"/>
                <w:szCs w:val="22"/>
              </w:rPr>
              <w:t>2.1.1 Создание и ведение реестра инфраструктуры для облегчения доступа и содействия передаче морской технологии</w:t>
            </w:r>
          </w:p>
        </w:tc>
      </w:tr>
      <w:tr w:rsidR="00362F2D" w:rsidRPr="003704B4" w14:paraId="03A32166" w14:textId="77777777" w:rsidTr="001F00F3">
        <w:trPr>
          <w:cantSplit/>
          <w:trHeight w:val="757"/>
        </w:trPr>
        <w:tc>
          <w:tcPr>
            <w:tcW w:w="2034" w:type="dxa"/>
            <w:vMerge/>
          </w:tcPr>
          <w:p w14:paraId="03A697EB" w14:textId="77777777" w:rsidR="00362F2D" w:rsidRPr="003704B4" w:rsidRDefault="00362F2D" w:rsidP="00351726">
            <w:pPr>
              <w:widowControl w:val="0"/>
              <w:pBdr>
                <w:top w:val="nil"/>
                <w:left w:val="nil"/>
                <w:bottom w:val="nil"/>
                <w:right w:val="nil"/>
                <w:between w:val="nil"/>
              </w:pBdr>
              <w:adjustRightInd w:val="0"/>
              <w:spacing w:before="60" w:after="60" w:line="276" w:lineRule="auto"/>
              <w:rPr>
                <w:rFonts w:asciiTheme="minorBidi" w:hAnsiTheme="minorBidi" w:cstheme="minorBidi"/>
                <w:szCs w:val="22"/>
              </w:rPr>
            </w:pPr>
          </w:p>
        </w:tc>
        <w:tc>
          <w:tcPr>
            <w:tcW w:w="3542" w:type="dxa"/>
            <w:vMerge/>
          </w:tcPr>
          <w:p w14:paraId="291EC71F" w14:textId="77777777" w:rsidR="00362F2D" w:rsidRPr="003704B4" w:rsidRDefault="00362F2D" w:rsidP="00351726">
            <w:pPr>
              <w:widowControl w:val="0"/>
              <w:pBdr>
                <w:top w:val="nil"/>
                <w:left w:val="nil"/>
                <w:bottom w:val="nil"/>
                <w:right w:val="nil"/>
                <w:between w:val="nil"/>
              </w:pBdr>
              <w:adjustRightInd w:val="0"/>
              <w:spacing w:before="60" w:after="60" w:line="276" w:lineRule="auto"/>
              <w:rPr>
                <w:rFonts w:asciiTheme="minorBidi" w:hAnsiTheme="minorBidi" w:cstheme="minorBidi"/>
                <w:szCs w:val="22"/>
              </w:rPr>
            </w:pPr>
          </w:p>
        </w:tc>
        <w:tc>
          <w:tcPr>
            <w:tcW w:w="4450" w:type="dxa"/>
          </w:tcPr>
          <w:p w14:paraId="1CC9C54F" w14:textId="6E2E4D07" w:rsidR="00362F2D" w:rsidRPr="003704B4" w:rsidRDefault="00362F2D" w:rsidP="00351726">
            <w:pPr>
              <w:adjustRightInd w:val="0"/>
              <w:spacing w:before="60" w:after="60"/>
              <w:rPr>
                <w:rFonts w:asciiTheme="minorBidi" w:hAnsiTheme="minorBidi" w:cstheme="minorBidi"/>
                <w:szCs w:val="22"/>
              </w:rPr>
            </w:pPr>
            <w:r w:rsidRPr="003704B4">
              <w:rPr>
                <w:rFonts w:asciiTheme="minorBidi" w:hAnsiTheme="minorBidi" w:cstheme="minorBidi"/>
                <w:szCs w:val="22"/>
              </w:rPr>
              <w:t>2.1.2</w:t>
            </w:r>
            <w:r w:rsidR="00216B88" w:rsidRPr="003704B4">
              <w:rPr>
                <w:rFonts w:asciiTheme="minorBidi" w:hAnsiTheme="minorBidi" w:cstheme="minorBidi"/>
                <w:szCs w:val="22"/>
              </w:rPr>
              <w:t xml:space="preserve"> </w:t>
            </w:r>
            <w:r w:rsidRPr="003704B4">
              <w:rPr>
                <w:rFonts w:asciiTheme="minorBidi" w:hAnsiTheme="minorBidi" w:cstheme="minorBidi"/>
                <w:szCs w:val="22"/>
              </w:rPr>
              <w:t xml:space="preserve">Содействие развитию регионального сотрудничества по созданию </w:t>
            </w:r>
            <w:proofErr w:type="spellStart"/>
            <w:r w:rsidRPr="003704B4">
              <w:rPr>
                <w:rFonts w:asciiTheme="minorBidi" w:hAnsiTheme="minorBidi" w:cstheme="minorBidi"/>
                <w:szCs w:val="22"/>
              </w:rPr>
              <w:t>экобезопасной</w:t>
            </w:r>
            <w:proofErr w:type="spellEnd"/>
            <w:r w:rsidRPr="003704B4">
              <w:rPr>
                <w:rFonts w:asciiTheme="minorBidi" w:hAnsiTheme="minorBidi" w:cstheme="minorBidi"/>
                <w:szCs w:val="22"/>
              </w:rPr>
              <w:t xml:space="preserve"> научной инфраструктуры </w:t>
            </w:r>
          </w:p>
        </w:tc>
      </w:tr>
      <w:tr w:rsidR="00362F2D" w:rsidRPr="003704B4" w14:paraId="12B26D11" w14:textId="77777777" w:rsidTr="001F00F3">
        <w:trPr>
          <w:cantSplit/>
          <w:trHeight w:val="553"/>
        </w:trPr>
        <w:tc>
          <w:tcPr>
            <w:tcW w:w="2034" w:type="dxa"/>
            <w:vMerge/>
          </w:tcPr>
          <w:p w14:paraId="2444F44A" w14:textId="77777777" w:rsidR="00362F2D" w:rsidRPr="003704B4" w:rsidRDefault="00362F2D" w:rsidP="00351726">
            <w:pPr>
              <w:widowControl w:val="0"/>
              <w:pBdr>
                <w:top w:val="nil"/>
                <w:left w:val="nil"/>
                <w:bottom w:val="nil"/>
                <w:right w:val="nil"/>
                <w:between w:val="nil"/>
              </w:pBdr>
              <w:adjustRightInd w:val="0"/>
              <w:spacing w:before="60" w:after="60" w:line="276" w:lineRule="auto"/>
              <w:rPr>
                <w:rFonts w:asciiTheme="minorBidi" w:hAnsiTheme="minorBidi" w:cstheme="minorBidi"/>
                <w:szCs w:val="22"/>
              </w:rPr>
            </w:pPr>
          </w:p>
        </w:tc>
        <w:tc>
          <w:tcPr>
            <w:tcW w:w="3542" w:type="dxa"/>
            <w:vMerge/>
          </w:tcPr>
          <w:p w14:paraId="045C7123" w14:textId="77777777" w:rsidR="00362F2D" w:rsidRPr="003704B4" w:rsidRDefault="00362F2D" w:rsidP="00351726">
            <w:pPr>
              <w:widowControl w:val="0"/>
              <w:pBdr>
                <w:top w:val="nil"/>
                <w:left w:val="nil"/>
                <w:bottom w:val="nil"/>
                <w:right w:val="nil"/>
                <w:between w:val="nil"/>
              </w:pBdr>
              <w:adjustRightInd w:val="0"/>
              <w:spacing w:before="60" w:after="60" w:line="276" w:lineRule="auto"/>
              <w:rPr>
                <w:rFonts w:asciiTheme="minorBidi" w:hAnsiTheme="minorBidi" w:cstheme="minorBidi"/>
                <w:szCs w:val="22"/>
              </w:rPr>
            </w:pPr>
          </w:p>
        </w:tc>
        <w:tc>
          <w:tcPr>
            <w:tcW w:w="4450" w:type="dxa"/>
          </w:tcPr>
          <w:p w14:paraId="696CEC4E" w14:textId="275C41CC" w:rsidR="00362F2D" w:rsidRPr="003704B4" w:rsidRDefault="00362F2D" w:rsidP="00351726">
            <w:pPr>
              <w:adjustRightInd w:val="0"/>
              <w:spacing w:before="60" w:after="60"/>
              <w:rPr>
                <w:rFonts w:asciiTheme="minorBidi" w:hAnsiTheme="minorBidi" w:cstheme="minorBidi"/>
                <w:szCs w:val="22"/>
              </w:rPr>
            </w:pPr>
            <w:r w:rsidRPr="003704B4">
              <w:rPr>
                <w:rFonts w:asciiTheme="minorBidi" w:hAnsiTheme="minorBidi" w:cstheme="minorBidi"/>
                <w:szCs w:val="22"/>
              </w:rPr>
              <w:t>2.1.3 Содействие расширению вклада «гражданской науки» в изучение Мирового океана</w:t>
            </w:r>
          </w:p>
        </w:tc>
      </w:tr>
      <w:tr w:rsidR="00362F2D" w:rsidRPr="003704B4" w14:paraId="7EDA7CFA" w14:textId="77777777" w:rsidTr="001F00F3">
        <w:trPr>
          <w:cantSplit/>
          <w:trHeight w:val="570"/>
        </w:trPr>
        <w:tc>
          <w:tcPr>
            <w:tcW w:w="2034" w:type="dxa"/>
            <w:vMerge/>
          </w:tcPr>
          <w:p w14:paraId="620EDAE6" w14:textId="77777777" w:rsidR="00362F2D" w:rsidRPr="003704B4" w:rsidRDefault="00362F2D" w:rsidP="00351726">
            <w:pPr>
              <w:widowControl w:val="0"/>
              <w:pBdr>
                <w:top w:val="nil"/>
                <w:left w:val="nil"/>
                <w:bottom w:val="nil"/>
                <w:right w:val="nil"/>
                <w:between w:val="nil"/>
              </w:pBdr>
              <w:adjustRightInd w:val="0"/>
              <w:spacing w:before="60" w:after="60" w:line="276" w:lineRule="auto"/>
              <w:rPr>
                <w:rFonts w:asciiTheme="minorBidi" w:hAnsiTheme="minorBidi" w:cstheme="minorBidi"/>
                <w:szCs w:val="22"/>
              </w:rPr>
            </w:pPr>
          </w:p>
        </w:tc>
        <w:tc>
          <w:tcPr>
            <w:tcW w:w="3542" w:type="dxa"/>
            <w:vMerge w:val="restart"/>
          </w:tcPr>
          <w:p w14:paraId="1D495BB8" w14:textId="55E641EE" w:rsidR="00362F2D" w:rsidRPr="003704B4" w:rsidRDefault="00362F2D" w:rsidP="003704B4">
            <w:pPr>
              <w:widowControl w:val="0"/>
              <w:pBdr>
                <w:top w:val="nil"/>
                <w:left w:val="nil"/>
                <w:bottom w:val="nil"/>
                <w:right w:val="nil"/>
                <w:between w:val="nil"/>
              </w:pBdr>
              <w:adjustRightInd w:val="0"/>
              <w:spacing w:before="60" w:after="60"/>
              <w:rPr>
                <w:rFonts w:asciiTheme="minorBidi" w:hAnsiTheme="minorBidi" w:cstheme="minorBidi"/>
                <w:szCs w:val="22"/>
              </w:rPr>
            </w:pPr>
            <w:r w:rsidRPr="003704B4">
              <w:rPr>
                <w:rFonts w:asciiTheme="minorBidi" w:hAnsiTheme="minorBidi" w:cstheme="minorBidi"/>
                <w:szCs w:val="22"/>
              </w:rPr>
              <w:t>2.2. Содействие равноправному доступу к данным и информации о морской среде и их совместному использованию</w:t>
            </w:r>
          </w:p>
        </w:tc>
        <w:tc>
          <w:tcPr>
            <w:tcW w:w="4450" w:type="dxa"/>
          </w:tcPr>
          <w:p w14:paraId="22505506" w14:textId="77777777" w:rsidR="00362F2D" w:rsidRPr="003704B4" w:rsidRDefault="00362F2D" w:rsidP="00351726">
            <w:pPr>
              <w:adjustRightInd w:val="0"/>
              <w:spacing w:before="60" w:after="60"/>
              <w:rPr>
                <w:rFonts w:asciiTheme="minorBidi" w:hAnsiTheme="minorBidi" w:cstheme="minorBidi"/>
                <w:szCs w:val="22"/>
              </w:rPr>
            </w:pPr>
            <w:r w:rsidRPr="003704B4">
              <w:rPr>
                <w:rFonts w:asciiTheme="minorBidi" w:hAnsiTheme="minorBidi" w:cstheme="minorBidi"/>
                <w:color w:val="000000"/>
                <w:szCs w:val="22"/>
              </w:rPr>
              <w:t>2.2.1 Содействие развитию и широкому использованию региональных и глобальных систем данных и информации</w:t>
            </w:r>
          </w:p>
        </w:tc>
      </w:tr>
      <w:tr w:rsidR="00362F2D" w:rsidRPr="003704B4" w14:paraId="3CCC882F" w14:textId="77777777" w:rsidTr="001F00F3">
        <w:trPr>
          <w:cantSplit/>
          <w:trHeight w:val="532"/>
        </w:trPr>
        <w:tc>
          <w:tcPr>
            <w:tcW w:w="2034" w:type="dxa"/>
            <w:vMerge/>
          </w:tcPr>
          <w:p w14:paraId="1EF96CB2" w14:textId="77777777" w:rsidR="00362F2D" w:rsidRPr="003704B4" w:rsidRDefault="00362F2D" w:rsidP="00351726">
            <w:pPr>
              <w:widowControl w:val="0"/>
              <w:pBdr>
                <w:top w:val="nil"/>
                <w:left w:val="nil"/>
                <w:bottom w:val="nil"/>
                <w:right w:val="nil"/>
                <w:between w:val="nil"/>
              </w:pBdr>
              <w:adjustRightInd w:val="0"/>
              <w:spacing w:before="60" w:after="60" w:line="276" w:lineRule="auto"/>
              <w:rPr>
                <w:rFonts w:asciiTheme="minorBidi" w:hAnsiTheme="minorBidi" w:cstheme="minorBidi"/>
                <w:szCs w:val="22"/>
              </w:rPr>
            </w:pPr>
          </w:p>
        </w:tc>
        <w:tc>
          <w:tcPr>
            <w:tcW w:w="3542" w:type="dxa"/>
            <w:vMerge/>
          </w:tcPr>
          <w:p w14:paraId="61CBB577" w14:textId="77777777" w:rsidR="00362F2D" w:rsidRPr="003704B4" w:rsidRDefault="00362F2D" w:rsidP="00351726">
            <w:pPr>
              <w:widowControl w:val="0"/>
              <w:pBdr>
                <w:top w:val="nil"/>
                <w:left w:val="nil"/>
                <w:bottom w:val="nil"/>
                <w:right w:val="nil"/>
                <w:between w:val="nil"/>
              </w:pBdr>
              <w:adjustRightInd w:val="0"/>
              <w:spacing w:before="60" w:after="60" w:line="276" w:lineRule="auto"/>
              <w:rPr>
                <w:rFonts w:asciiTheme="minorBidi" w:hAnsiTheme="minorBidi" w:cstheme="minorBidi"/>
                <w:szCs w:val="22"/>
              </w:rPr>
            </w:pPr>
          </w:p>
        </w:tc>
        <w:tc>
          <w:tcPr>
            <w:tcW w:w="4450" w:type="dxa"/>
          </w:tcPr>
          <w:p w14:paraId="5EFD7709" w14:textId="77777777" w:rsidR="00362F2D" w:rsidRPr="003704B4" w:rsidRDefault="00362F2D" w:rsidP="00351726">
            <w:pPr>
              <w:adjustRightInd w:val="0"/>
              <w:spacing w:before="60" w:after="60"/>
              <w:rPr>
                <w:rFonts w:asciiTheme="minorBidi" w:hAnsiTheme="minorBidi" w:cstheme="minorBidi"/>
                <w:color w:val="000000"/>
                <w:szCs w:val="22"/>
              </w:rPr>
            </w:pPr>
            <w:r w:rsidRPr="003704B4">
              <w:rPr>
                <w:rFonts w:asciiTheme="minorBidi" w:hAnsiTheme="minorBidi" w:cstheme="minorBidi"/>
                <w:color w:val="000000"/>
                <w:szCs w:val="22"/>
              </w:rPr>
              <w:t>2.2.2 Содействие обмену океанографическими данными и информацией между заинтересованными сторонами</w:t>
            </w:r>
          </w:p>
        </w:tc>
      </w:tr>
      <w:tr w:rsidR="00362F2D" w:rsidRPr="003704B4" w14:paraId="77AC3BF7" w14:textId="77777777" w:rsidTr="001F00F3">
        <w:trPr>
          <w:cantSplit/>
          <w:trHeight w:val="634"/>
        </w:trPr>
        <w:tc>
          <w:tcPr>
            <w:tcW w:w="2034" w:type="dxa"/>
            <w:vMerge w:val="restart"/>
          </w:tcPr>
          <w:p w14:paraId="0D914CD7" w14:textId="77777777" w:rsidR="00362F2D" w:rsidRPr="003704B4" w:rsidRDefault="00362F2D" w:rsidP="00351726">
            <w:pPr>
              <w:adjustRightInd w:val="0"/>
              <w:spacing w:before="60" w:after="60"/>
              <w:rPr>
                <w:rFonts w:asciiTheme="minorBidi" w:hAnsiTheme="minorBidi" w:cstheme="minorBidi"/>
                <w:szCs w:val="22"/>
              </w:rPr>
            </w:pPr>
            <w:r w:rsidRPr="003704B4">
              <w:rPr>
                <w:rFonts w:asciiTheme="minorBidi" w:hAnsiTheme="minorBidi" w:cstheme="minorBidi"/>
                <w:szCs w:val="22"/>
              </w:rPr>
              <w:t>3. Укрепление глобальных, региональных и субрегиональных механизмов</w:t>
            </w:r>
          </w:p>
        </w:tc>
        <w:tc>
          <w:tcPr>
            <w:tcW w:w="3542" w:type="dxa"/>
            <w:vMerge w:val="restart"/>
          </w:tcPr>
          <w:p w14:paraId="1A3D9ED0" w14:textId="259BEC09" w:rsidR="00362F2D" w:rsidRPr="003704B4" w:rsidRDefault="00362F2D" w:rsidP="00351726">
            <w:pPr>
              <w:adjustRightInd w:val="0"/>
              <w:spacing w:before="60" w:after="60"/>
              <w:rPr>
                <w:rFonts w:asciiTheme="minorBidi" w:hAnsiTheme="minorBidi" w:cstheme="minorBidi"/>
                <w:szCs w:val="22"/>
              </w:rPr>
            </w:pPr>
            <w:r w:rsidRPr="003704B4">
              <w:rPr>
                <w:rFonts w:asciiTheme="minorBidi" w:hAnsiTheme="minorBidi" w:cstheme="minorBidi"/>
                <w:szCs w:val="22"/>
              </w:rPr>
              <w:t>3.1</w:t>
            </w:r>
            <w:r w:rsidR="00216B88" w:rsidRPr="003704B4">
              <w:rPr>
                <w:rFonts w:asciiTheme="minorBidi" w:hAnsiTheme="minorBidi" w:cstheme="minorBidi"/>
                <w:szCs w:val="22"/>
              </w:rPr>
              <w:t xml:space="preserve"> </w:t>
            </w:r>
            <w:r w:rsidRPr="003704B4">
              <w:rPr>
                <w:rFonts w:asciiTheme="minorBidi" w:hAnsiTheme="minorBidi" w:cstheme="minorBidi"/>
                <w:szCs w:val="22"/>
              </w:rPr>
              <w:t>Дальнейшее укрепление и поддержка секретариатов региональных подкомиссий</w:t>
            </w:r>
          </w:p>
        </w:tc>
        <w:tc>
          <w:tcPr>
            <w:tcW w:w="4450" w:type="dxa"/>
          </w:tcPr>
          <w:p w14:paraId="490248B6" w14:textId="434E8407" w:rsidR="00362F2D" w:rsidRPr="003704B4" w:rsidRDefault="00362F2D" w:rsidP="00351726">
            <w:pPr>
              <w:adjustRightInd w:val="0"/>
              <w:spacing w:before="60" w:after="60"/>
              <w:rPr>
                <w:rFonts w:asciiTheme="minorBidi" w:hAnsiTheme="minorBidi" w:cstheme="minorBidi"/>
                <w:color w:val="000000"/>
                <w:szCs w:val="22"/>
              </w:rPr>
            </w:pPr>
            <w:r w:rsidRPr="003704B4">
              <w:rPr>
                <w:rFonts w:asciiTheme="minorBidi" w:hAnsiTheme="minorBidi" w:cstheme="minorBidi"/>
                <w:color w:val="000000"/>
                <w:szCs w:val="22"/>
              </w:rPr>
              <w:t>3.1.1</w:t>
            </w:r>
            <w:r w:rsidR="00216B88" w:rsidRPr="003704B4">
              <w:rPr>
                <w:rFonts w:asciiTheme="minorBidi" w:hAnsiTheme="minorBidi" w:cstheme="minorBidi"/>
                <w:color w:val="000000"/>
                <w:szCs w:val="22"/>
              </w:rPr>
              <w:t xml:space="preserve"> </w:t>
            </w:r>
            <w:r w:rsidRPr="003704B4">
              <w:rPr>
                <w:rFonts w:asciiTheme="minorBidi" w:hAnsiTheme="minorBidi" w:cstheme="minorBidi"/>
                <w:color w:val="000000"/>
                <w:szCs w:val="22"/>
              </w:rPr>
              <w:t>Улучшение кадрового обеспечения секретариатов региональных подкомиссий</w:t>
            </w:r>
          </w:p>
        </w:tc>
      </w:tr>
      <w:tr w:rsidR="00362F2D" w:rsidRPr="003704B4" w14:paraId="4E14D975" w14:textId="77777777" w:rsidTr="001F00F3">
        <w:trPr>
          <w:cantSplit/>
          <w:trHeight w:val="239"/>
        </w:trPr>
        <w:tc>
          <w:tcPr>
            <w:tcW w:w="2034" w:type="dxa"/>
            <w:vMerge/>
          </w:tcPr>
          <w:p w14:paraId="2585685F" w14:textId="77777777" w:rsidR="00362F2D" w:rsidRPr="003704B4" w:rsidRDefault="00362F2D" w:rsidP="00351726">
            <w:pPr>
              <w:widowControl w:val="0"/>
              <w:pBdr>
                <w:top w:val="nil"/>
                <w:left w:val="nil"/>
                <w:bottom w:val="nil"/>
                <w:right w:val="nil"/>
                <w:between w:val="nil"/>
              </w:pBdr>
              <w:adjustRightInd w:val="0"/>
              <w:spacing w:before="60" w:after="60" w:line="276" w:lineRule="auto"/>
              <w:rPr>
                <w:rFonts w:asciiTheme="minorBidi" w:hAnsiTheme="minorBidi" w:cstheme="minorBidi"/>
                <w:szCs w:val="22"/>
              </w:rPr>
            </w:pPr>
          </w:p>
        </w:tc>
        <w:tc>
          <w:tcPr>
            <w:tcW w:w="3542" w:type="dxa"/>
            <w:vMerge/>
          </w:tcPr>
          <w:p w14:paraId="0A01BEE2" w14:textId="77777777" w:rsidR="00362F2D" w:rsidRPr="003704B4" w:rsidRDefault="00362F2D" w:rsidP="00351726">
            <w:pPr>
              <w:widowControl w:val="0"/>
              <w:pBdr>
                <w:top w:val="nil"/>
                <w:left w:val="nil"/>
                <w:bottom w:val="nil"/>
                <w:right w:val="nil"/>
                <w:between w:val="nil"/>
              </w:pBdr>
              <w:adjustRightInd w:val="0"/>
              <w:spacing w:before="60" w:after="60" w:line="276" w:lineRule="auto"/>
              <w:rPr>
                <w:rFonts w:asciiTheme="minorBidi" w:hAnsiTheme="minorBidi" w:cstheme="minorBidi"/>
                <w:szCs w:val="22"/>
              </w:rPr>
            </w:pPr>
          </w:p>
        </w:tc>
        <w:tc>
          <w:tcPr>
            <w:tcW w:w="4450" w:type="dxa"/>
          </w:tcPr>
          <w:p w14:paraId="0004AAB0" w14:textId="4A0FA2AA" w:rsidR="00362F2D" w:rsidRPr="003704B4" w:rsidRDefault="00362F2D" w:rsidP="00351726">
            <w:pPr>
              <w:adjustRightInd w:val="0"/>
              <w:spacing w:before="60" w:after="60"/>
              <w:rPr>
                <w:rFonts w:asciiTheme="minorBidi" w:hAnsiTheme="minorBidi" w:cstheme="minorBidi"/>
                <w:color w:val="000000"/>
                <w:szCs w:val="22"/>
              </w:rPr>
            </w:pPr>
            <w:r w:rsidRPr="003704B4">
              <w:rPr>
                <w:rFonts w:asciiTheme="minorBidi" w:hAnsiTheme="minorBidi" w:cstheme="minorBidi"/>
                <w:color w:val="000000"/>
                <w:szCs w:val="22"/>
              </w:rPr>
              <w:t>3.1.2</w:t>
            </w:r>
            <w:r w:rsidR="00216B88" w:rsidRPr="003704B4">
              <w:rPr>
                <w:rFonts w:asciiTheme="minorBidi" w:hAnsiTheme="minorBidi" w:cstheme="minorBidi"/>
                <w:color w:val="000000"/>
                <w:szCs w:val="22"/>
              </w:rPr>
              <w:t xml:space="preserve"> </w:t>
            </w:r>
            <w:r w:rsidRPr="003704B4">
              <w:rPr>
                <w:rFonts w:asciiTheme="minorBidi" w:hAnsiTheme="minorBidi" w:cstheme="minorBidi"/>
                <w:color w:val="000000"/>
                <w:szCs w:val="22"/>
              </w:rPr>
              <w:t>Укрепление бюджетов региональных подкомиссий</w:t>
            </w:r>
          </w:p>
        </w:tc>
      </w:tr>
      <w:tr w:rsidR="00362F2D" w:rsidRPr="003704B4" w14:paraId="2A4423F0" w14:textId="77777777" w:rsidTr="001F00F3">
        <w:trPr>
          <w:cantSplit/>
          <w:trHeight w:val="532"/>
        </w:trPr>
        <w:tc>
          <w:tcPr>
            <w:tcW w:w="2034" w:type="dxa"/>
            <w:vMerge/>
          </w:tcPr>
          <w:p w14:paraId="10E74E33" w14:textId="77777777" w:rsidR="00362F2D" w:rsidRPr="003704B4" w:rsidRDefault="00362F2D" w:rsidP="00351726">
            <w:pPr>
              <w:widowControl w:val="0"/>
              <w:pBdr>
                <w:top w:val="nil"/>
                <w:left w:val="nil"/>
                <w:bottom w:val="nil"/>
                <w:right w:val="nil"/>
                <w:between w:val="nil"/>
              </w:pBdr>
              <w:adjustRightInd w:val="0"/>
              <w:spacing w:before="60" w:after="60" w:line="276" w:lineRule="auto"/>
              <w:rPr>
                <w:rFonts w:asciiTheme="minorBidi" w:hAnsiTheme="minorBidi" w:cstheme="minorBidi"/>
                <w:szCs w:val="22"/>
              </w:rPr>
            </w:pPr>
          </w:p>
        </w:tc>
        <w:tc>
          <w:tcPr>
            <w:tcW w:w="3542" w:type="dxa"/>
          </w:tcPr>
          <w:p w14:paraId="14AFC310" w14:textId="35F1C763" w:rsidR="00362F2D" w:rsidRPr="003704B4" w:rsidRDefault="00362F2D" w:rsidP="00351726">
            <w:pPr>
              <w:adjustRightInd w:val="0"/>
              <w:spacing w:before="60" w:after="60"/>
              <w:rPr>
                <w:rFonts w:asciiTheme="minorBidi" w:hAnsiTheme="minorBidi" w:cstheme="minorBidi"/>
                <w:szCs w:val="22"/>
              </w:rPr>
            </w:pPr>
            <w:r w:rsidRPr="003704B4">
              <w:rPr>
                <w:rFonts w:asciiTheme="minorBidi" w:hAnsiTheme="minorBidi" w:cstheme="minorBidi"/>
                <w:szCs w:val="22"/>
              </w:rPr>
              <w:t>3.2</w:t>
            </w:r>
            <w:r w:rsidR="00216B88" w:rsidRPr="003704B4">
              <w:rPr>
                <w:rFonts w:asciiTheme="minorBidi" w:hAnsiTheme="minorBidi" w:cstheme="minorBidi"/>
                <w:szCs w:val="22"/>
              </w:rPr>
              <w:t xml:space="preserve"> </w:t>
            </w:r>
            <w:r w:rsidRPr="003704B4">
              <w:rPr>
                <w:rFonts w:asciiTheme="minorBidi" w:hAnsiTheme="minorBidi" w:cstheme="minorBidi"/>
                <w:szCs w:val="22"/>
              </w:rPr>
              <w:t>Повышение эффективности информационного взаимодействия между секретариатами региональных подкомиссий и глобальными программами, а также между сообществами специалистов-практиков (в том числе представляющими другие организации)</w:t>
            </w:r>
          </w:p>
        </w:tc>
        <w:tc>
          <w:tcPr>
            <w:tcW w:w="4450" w:type="dxa"/>
          </w:tcPr>
          <w:p w14:paraId="35DAE9B2" w14:textId="77777777" w:rsidR="00362F2D" w:rsidRPr="003704B4" w:rsidRDefault="00362F2D" w:rsidP="00351726">
            <w:pPr>
              <w:adjustRightInd w:val="0"/>
              <w:spacing w:before="60" w:after="60"/>
              <w:rPr>
                <w:rFonts w:asciiTheme="minorBidi" w:hAnsiTheme="minorBidi" w:cstheme="minorBidi"/>
                <w:color w:val="000000"/>
                <w:szCs w:val="22"/>
              </w:rPr>
            </w:pPr>
            <w:r w:rsidRPr="003704B4">
              <w:rPr>
                <w:rFonts w:asciiTheme="minorBidi" w:hAnsiTheme="minorBidi" w:cstheme="minorBidi"/>
                <w:color w:val="000000"/>
                <w:szCs w:val="22"/>
              </w:rPr>
              <w:t>3.2.1 Создание эффективного механизма координации и связи между секретариатами региональных подкомиссий и глобальными программами</w:t>
            </w:r>
          </w:p>
        </w:tc>
      </w:tr>
      <w:tr w:rsidR="00362F2D" w:rsidRPr="003704B4" w14:paraId="3AA7C1BF" w14:textId="77777777" w:rsidTr="001F00F3">
        <w:trPr>
          <w:cantSplit/>
          <w:trHeight w:val="900"/>
        </w:trPr>
        <w:tc>
          <w:tcPr>
            <w:tcW w:w="2034" w:type="dxa"/>
            <w:vMerge/>
          </w:tcPr>
          <w:p w14:paraId="1323729A" w14:textId="77777777" w:rsidR="00362F2D" w:rsidRPr="003704B4" w:rsidRDefault="00362F2D" w:rsidP="00351726">
            <w:pPr>
              <w:widowControl w:val="0"/>
              <w:pBdr>
                <w:top w:val="nil"/>
                <w:left w:val="nil"/>
                <w:bottom w:val="nil"/>
                <w:right w:val="nil"/>
                <w:between w:val="nil"/>
              </w:pBdr>
              <w:adjustRightInd w:val="0"/>
              <w:spacing w:before="60" w:after="60" w:line="276" w:lineRule="auto"/>
              <w:rPr>
                <w:rFonts w:asciiTheme="minorBidi" w:hAnsiTheme="minorBidi" w:cstheme="minorBidi"/>
                <w:szCs w:val="22"/>
              </w:rPr>
            </w:pPr>
          </w:p>
        </w:tc>
        <w:tc>
          <w:tcPr>
            <w:tcW w:w="3542" w:type="dxa"/>
          </w:tcPr>
          <w:p w14:paraId="51F02B34" w14:textId="77777777" w:rsidR="00362F2D" w:rsidRPr="003704B4" w:rsidRDefault="00362F2D" w:rsidP="00351726">
            <w:pPr>
              <w:adjustRightInd w:val="0"/>
              <w:spacing w:before="60" w:after="60"/>
              <w:rPr>
                <w:rFonts w:asciiTheme="minorBidi" w:hAnsiTheme="minorBidi" w:cstheme="minorBidi"/>
                <w:szCs w:val="22"/>
              </w:rPr>
            </w:pPr>
            <w:r w:rsidRPr="003704B4">
              <w:rPr>
                <w:rFonts w:asciiTheme="minorBidi" w:hAnsiTheme="minorBidi" w:cstheme="minorBidi"/>
                <w:szCs w:val="22"/>
              </w:rPr>
              <w:t>3.3 Определение конкретных потребностей в развитии потенциала на национальном и региональном уровнях посредством регулярного проведения соответствующих оценок</w:t>
            </w:r>
          </w:p>
        </w:tc>
        <w:tc>
          <w:tcPr>
            <w:tcW w:w="4450" w:type="dxa"/>
          </w:tcPr>
          <w:p w14:paraId="05B638A5" w14:textId="77777777" w:rsidR="00362F2D" w:rsidRPr="003704B4" w:rsidRDefault="00362F2D" w:rsidP="00351726">
            <w:pPr>
              <w:adjustRightInd w:val="0"/>
              <w:spacing w:before="60" w:after="60"/>
              <w:rPr>
                <w:rFonts w:asciiTheme="minorBidi" w:hAnsiTheme="minorBidi" w:cstheme="minorBidi"/>
                <w:szCs w:val="22"/>
              </w:rPr>
            </w:pPr>
            <w:r w:rsidRPr="003704B4">
              <w:rPr>
                <w:rFonts w:asciiTheme="minorBidi" w:hAnsiTheme="minorBidi" w:cstheme="minorBidi"/>
                <w:szCs w:val="22"/>
              </w:rPr>
              <w:t>3.3.1 Организация и проведение каждые два года оценки потребностей в развитии потенциала</w:t>
            </w:r>
          </w:p>
        </w:tc>
      </w:tr>
      <w:tr w:rsidR="00362F2D" w:rsidRPr="003704B4" w14:paraId="29D14EF9" w14:textId="77777777" w:rsidTr="001F00F3">
        <w:trPr>
          <w:cantSplit/>
          <w:trHeight w:val="968"/>
        </w:trPr>
        <w:tc>
          <w:tcPr>
            <w:tcW w:w="2034" w:type="dxa"/>
            <w:vMerge/>
          </w:tcPr>
          <w:p w14:paraId="50C091E1" w14:textId="77777777" w:rsidR="00362F2D" w:rsidRPr="003704B4" w:rsidRDefault="00362F2D" w:rsidP="00351726">
            <w:pPr>
              <w:widowControl w:val="0"/>
              <w:pBdr>
                <w:top w:val="nil"/>
                <w:left w:val="nil"/>
                <w:bottom w:val="nil"/>
                <w:right w:val="nil"/>
                <w:between w:val="nil"/>
              </w:pBdr>
              <w:adjustRightInd w:val="0"/>
              <w:spacing w:before="60" w:after="60" w:line="276" w:lineRule="auto"/>
              <w:rPr>
                <w:rFonts w:asciiTheme="minorBidi" w:hAnsiTheme="minorBidi" w:cstheme="minorBidi"/>
                <w:szCs w:val="22"/>
              </w:rPr>
            </w:pPr>
          </w:p>
        </w:tc>
        <w:tc>
          <w:tcPr>
            <w:tcW w:w="3542" w:type="dxa"/>
          </w:tcPr>
          <w:p w14:paraId="06A9483F" w14:textId="360AA64E" w:rsidR="00362F2D" w:rsidRPr="003704B4" w:rsidRDefault="00362F2D" w:rsidP="00351726">
            <w:pPr>
              <w:adjustRightInd w:val="0"/>
              <w:spacing w:before="60" w:after="60"/>
              <w:rPr>
                <w:rFonts w:asciiTheme="minorBidi" w:hAnsiTheme="minorBidi" w:cstheme="minorBidi"/>
                <w:szCs w:val="22"/>
              </w:rPr>
            </w:pPr>
            <w:r w:rsidRPr="003704B4">
              <w:rPr>
                <w:rFonts w:asciiTheme="minorBidi" w:hAnsiTheme="minorBidi" w:cstheme="minorBidi"/>
                <w:szCs w:val="22"/>
              </w:rPr>
              <w:t xml:space="preserve">3.4 Поощрение региональных и субрегиональных организаций к выполнению роли лидеров и пропагандистов усилий в области развития потенциала </w:t>
            </w:r>
          </w:p>
        </w:tc>
        <w:tc>
          <w:tcPr>
            <w:tcW w:w="4450" w:type="dxa"/>
          </w:tcPr>
          <w:p w14:paraId="274554C2" w14:textId="444DB73E" w:rsidR="00362F2D" w:rsidRPr="003704B4" w:rsidRDefault="00362F2D" w:rsidP="00351726">
            <w:pPr>
              <w:adjustRightInd w:val="0"/>
              <w:spacing w:before="60" w:after="60"/>
              <w:rPr>
                <w:rFonts w:asciiTheme="minorBidi" w:hAnsiTheme="minorBidi" w:cstheme="minorBidi"/>
                <w:szCs w:val="22"/>
              </w:rPr>
            </w:pPr>
            <w:r w:rsidRPr="003704B4">
              <w:rPr>
                <w:rFonts w:asciiTheme="minorBidi" w:hAnsiTheme="minorBidi" w:cstheme="minorBidi"/>
                <w:szCs w:val="22"/>
              </w:rPr>
              <w:t>3.4.1 Расширение участия региональных и субрегиональных организаций в процессе обсуждения и реализации инициатив в области развития потенциала</w:t>
            </w:r>
          </w:p>
        </w:tc>
      </w:tr>
      <w:tr w:rsidR="00362F2D" w:rsidRPr="003704B4" w14:paraId="710AFE7F" w14:textId="77777777" w:rsidTr="001F00F3">
        <w:trPr>
          <w:cantSplit/>
          <w:trHeight w:val="202"/>
        </w:trPr>
        <w:tc>
          <w:tcPr>
            <w:tcW w:w="2034" w:type="dxa"/>
            <w:vMerge w:val="restart"/>
          </w:tcPr>
          <w:p w14:paraId="5DCF7EA5" w14:textId="77777777" w:rsidR="00362F2D" w:rsidRPr="003704B4" w:rsidRDefault="00362F2D" w:rsidP="00351726">
            <w:pPr>
              <w:adjustRightInd w:val="0"/>
              <w:spacing w:before="60" w:after="60"/>
              <w:rPr>
                <w:rFonts w:asciiTheme="minorBidi" w:hAnsiTheme="minorBidi" w:cstheme="minorBidi"/>
                <w:szCs w:val="22"/>
              </w:rPr>
            </w:pPr>
            <w:r w:rsidRPr="003704B4">
              <w:rPr>
                <w:rFonts w:asciiTheme="minorBidi" w:hAnsiTheme="minorBidi" w:cstheme="minorBidi"/>
                <w:szCs w:val="22"/>
              </w:rPr>
              <w:t>4. Поощрение разработки стратегий, связанных с исследованием Мирового океана, в поддержку реализации целей в области устойчивого развития</w:t>
            </w:r>
          </w:p>
        </w:tc>
        <w:tc>
          <w:tcPr>
            <w:tcW w:w="3542" w:type="dxa"/>
            <w:vMerge w:val="restart"/>
          </w:tcPr>
          <w:p w14:paraId="7C3A781F" w14:textId="77777777" w:rsidR="00362F2D" w:rsidRPr="003704B4" w:rsidRDefault="00362F2D" w:rsidP="00351726">
            <w:pPr>
              <w:adjustRightInd w:val="0"/>
              <w:spacing w:before="60" w:after="60"/>
              <w:rPr>
                <w:rFonts w:asciiTheme="minorBidi" w:hAnsiTheme="minorBidi" w:cstheme="minorBidi"/>
                <w:szCs w:val="22"/>
              </w:rPr>
            </w:pPr>
            <w:r w:rsidRPr="003704B4">
              <w:rPr>
                <w:rFonts w:asciiTheme="minorBidi" w:hAnsiTheme="minorBidi" w:cstheme="minorBidi"/>
                <w:szCs w:val="22"/>
              </w:rPr>
              <w:t>4.1 Содействие разработке планов и программ проведения морских научных исследований</w:t>
            </w:r>
          </w:p>
        </w:tc>
        <w:tc>
          <w:tcPr>
            <w:tcW w:w="4450" w:type="dxa"/>
          </w:tcPr>
          <w:p w14:paraId="4D8B38B3" w14:textId="7D7C1E00" w:rsidR="00362F2D" w:rsidRPr="003704B4" w:rsidRDefault="00362F2D" w:rsidP="003704B4">
            <w:pPr>
              <w:adjustRightInd w:val="0"/>
              <w:spacing w:before="60" w:after="60"/>
              <w:rPr>
                <w:rFonts w:asciiTheme="minorBidi" w:hAnsiTheme="minorBidi" w:cstheme="minorBidi"/>
                <w:szCs w:val="22"/>
              </w:rPr>
            </w:pPr>
            <w:r w:rsidRPr="003704B4">
              <w:rPr>
                <w:rFonts w:asciiTheme="minorBidi" w:hAnsiTheme="minorBidi" w:cstheme="minorBidi"/>
                <w:szCs w:val="22"/>
              </w:rPr>
              <w:t>4.1.1 Сбор информации о существующих стратегиях в области морских научных исследований, их сравнение и популяризация среди государств-членов для возможного применения</w:t>
            </w:r>
          </w:p>
        </w:tc>
      </w:tr>
      <w:tr w:rsidR="00362F2D" w:rsidRPr="003704B4" w14:paraId="6EE78177" w14:textId="77777777" w:rsidTr="001F00F3">
        <w:trPr>
          <w:cantSplit/>
          <w:trHeight w:val="202"/>
        </w:trPr>
        <w:tc>
          <w:tcPr>
            <w:tcW w:w="2034" w:type="dxa"/>
            <w:vMerge/>
          </w:tcPr>
          <w:p w14:paraId="4DD23550" w14:textId="77777777" w:rsidR="00362F2D" w:rsidRPr="003704B4" w:rsidRDefault="00362F2D" w:rsidP="00351726">
            <w:pPr>
              <w:widowControl w:val="0"/>
              <w:pBdr>
                <w:top w:val="nil"/>
                <w:left w:val="nil"/>
                <w:bottom w:val="nil"/>
                <w:right w:val="nil"/>
                <w:between w:val="nil"/>
              </w:pBdr>
              <w:adjustRightInd w:val="0"/>
              <w:spacing w:before="60" w:after="60" w:line="276" w:lineRule="auto"/>
              <w:rPr>
                <w:rFonts w:asciiTheme="minorBidi" w:hAnsiTheme="minorBidi" w:cstheme="minorBidi"/>
                <w:szCs w:val="22"/>
              </w:rPr>
            </w:pPr>
          </w:p>
        </w:tc>
        <w:tc>
          <w:tcPr>
            <w:tcW w:w="3542" w:type="dxa"/>
            <w:vMerge/>
          </w:tcPr>
          <w:p w14:paraId="14541C8D" w14:textId="77777777" w:rsidR="00362F2D" w:rsidRPr="003704B4" w:rsidRDefault="00362F2D" w:rsidP="00351726">
            <w:pPr>
              <w:adjustRightInd w:val="0"/>
              <w:spacing w:before="60" w:after="60"/>
              <w:rPr>
                <w:rFonts w:asciiTheme="minorBidi" w:hAnsiTheme="minorBidi" w:cstheme="minorBidi"/>
                <w:szCs w:val="22"/>
              </w:rPr>
            </w:pPr>
          </w:p>
        </w:tc>
        <w:tc>
          <w:tcPr>
            <w:tcW w:w="4450" w:type="dxa"/>
          </w:tcPr>
          <w:p w14:paraId="79D80292" w14:textId="77777777" w:rsidR="00362F2D" w:rsidRPr="003704B4" w:rsidRDefault="00362F2D" w:rsidP="00351726">
            <w:pPr>
              <w:adjustRightInd w:val="0"/>
              <w:spacing w:before="60" w:after="60"/>
              <w:rPr>
                <w:rFonts w:asciiTheme="minorBidi" w:hAnsiTheme="minorBidi" w:cstheme="minorBidi"/>
                <w:szCs w:val="22"/>
              </w:rPr>
            </w:pPr>
            <w:r w:rsidRPr="003704B4">
              <w:rPr>
                <w:rFonts w:asciiTheme="minorBidi" w:hAnsiTheme="minorBidi" w:cstheme="minorBidi"/>
                <w:szCs w:val="22"/>
              </w:rPr>
              <w:t>4.1.2 Оказание государствам-членам содействия и их поощрение к разработке стратегий в области морских научных исследований с использованием информации, упомянутой в пункте 4.1.1</w:t>
            </w:r>
          </w:p>
        </w:tc>
      </w:tr>
      <w:tr w:rsidR="00362F2D" w:rsidRPr="003704B4" w14:paraId="3B115179" w14:textId="77777777" w:rsidTr="001F00F3">
        <w:trPr>
          <w:cantSplit/>
          <w:trHeight w:val="477"/>
        </w:trPr>
        <w:tc>
          <w:tcPr>
            <w:tcW w:w="2034" w:type="dxa"/>
            <w:vMerge w:val="restart"/>
          </w:tcPr>
          <w:p w14:paraId="425E97C2" w14:textId="77777777" w:rsidR="00362F2D" w:rsidRPr="003704B4" w:rsidRDefault="00362F2D" w:rsidP="00351726">
            <w:pPr>
              <w:adjustRightInd w:val="0"/>
              <w:spacing w:before="60" w:after="60"/>
              <w:rPr>
                <w:rFonts w:asciiTheme="minorBidi" w:hAnsiTheme="minorBidi" w:cstheme="minorBidi"/>
                <w:szCs w:val="22"/>
              </w:rPr>
            </w:pPr>
            <w:r w:rsidRPr="003704B4">
              <w:rPr>
                <w:rFonts w:asciiTheme="minorBidi" w:hAnsiTheme="minorBidi" w:cstheme="minorBidi"/>
                <w:szCs w:val="22"/>
              </w:rPr>
              <w:t xml:space="preserve">5. Обеспечение наглядности, осознания и понимания важной роли и значимости Мирового океана и морских научных исследований в обеспечении благополучия человека и устойчивого развития </w:t>
            </w:r>
          </w:p>
        </w:tc>
        <w:tc>
          <w:tcPr>
            <w:tcW w:w="3542" w:type="dxa"/>
          </w:tcPr>
          <w:p w14:paraId="41F0CC1C" w14:textId="77777777" w:rsidR="00362F2D" w:rsidRPr="003704B4" w:rsidRDefault="00362F2D" w:rsidP="00351726">
            <w:pPr>
              <w:adjustRightInd w:val="0"/>
              <w:spacing w:before="60" w:after="60"/>
              <w:rPr>
                <w:rFonts w:asciiTheme="minorBidi" w:hAnsiTheme="minorBidi" w:cstheme="minorBidi"/>
                <w:szCs w:val="22"/>
              </w:rPr>
            </w:pPr>
            <w:r w:rsidRPr="003704B4">
              <w:rPr>
                <w:rFonts w:asciiTheme="minorBidi" w:hAnsiTheme="minorBidi" w:cstheme="minorBidi"/>
                <w:szCs w:val="22"/>
              </w:rPr>
              <w:t>5.1 Стимулирование развития информационно-коммуникационных услуг для населения по вопросам, связанным с океаном</w:t>
            </w:r>
          </w:p>
        </w:tc>
        <w:tc>
          <w:tcPr>
            <w:tcW w:w="4450" w:type="dxa"/>
          </w:tcPr>
          <w:p w14:paraId="4DD337D2" w14:textId="6167FFDD" w:rsidR="00362F2D" w:rsidRPr="003704B4" w:rsidRDefault="00362F2D" w:rsidP="00351726">
            <w:pPr>
              <w:adjustRightInd w:val="0"/>
              <w:spacing w:before="60" w:after="60"/>
              <w:rPr>
                <w:rFonts w:asciiTheme="minorBidi" w:hAnsiTheme="minorBidi" w:cstheme="minorBidi"/>
                <w:szCs w:val="22"/>
              </w:rPr>
            </w:pPr>
            <w:r w:rsidRPr="003704B4">
              <w:rPr>
                <w:rFonts w:asciiTheme="minorBidi" w:hAnsiTheme="minorBidi" w:cstheme="minorBidi"/>
                <w:szCs w:val="22"/>
              </w:rPr>
              <w:t>5.1.1</w:t>
            </w:r>
            <w:r w:rsidR="00216B88" w:rsidRPr="003704B4">
              <w:rPr>
                <w:rFonts w:asciiTheme="minorBidi" w:hAnsiTheme="minorBidi" w:cstheme="minorBidi"/>
                <w:szCs w:val="22"/>
              </w:rPr>
              <w:t xml:space="preserve"> </w:t>
            </w:r>
            <w:r w:rsidRPr="003704B4">
              <w:rPr>
                <w:rFonts w:asciiTheme="minorBidi" w:hAnsiTheme="minorBidi" w:cstheme="minorBidi"/>
                <w:szCs w:val="22"/>
              </w:rPr>
              <w:t>Поощрение создания отделов общественной информации (информационно-разъяснительной работы) в научно-исследовательских институтах океанографии</w:t>
            </w:r>
          </w:p>
        </w:tc>
      </w:tr>
      <w:tr w:rsidR="00362F2D" w:rsidRPr="003704B4" w14:paraId="1C8D590B" w14:textId="77777777" w:rsidTr="001F00F3">
        <w:trPr>
          <w:cantSplit/>
          <w:trHeight w:val="1699"/>
        </w:trPr>
        <w:tc>
          <w:tcPr>
            <w:tcW w:w="2034" w:type="dxa"/>
            <w:vMerge/>
          </w:tcPr>
          <w:p w14:paraId="226F7529" w14:textId="77777777" w:rsidR="00362F2D" w:rsidRPr="003704B4" w:rsidRDefault="00362F2D" w:rsidP="00351726">
            <w:pPr>
              <w:widowControl w:val="0"/>
              <w:pBdr>
                <w:top w:val="nil"/>
                <w:left w:val="nil"/>
                <w:bottom w:val="nil"/>
                <w:right w:val="nil"/>
                <w:between w:val="nil"/>
              </w:pBdr>
              <w:adjustRightInd w:val="0"/>
              <w:spacing w:before="60" w:after="60" w:line="276" w:lineRule="auto"/>
              <w:rPr>
                <w:rFonts w:asciiTheme="minorBidi" w:hAnsiTheme="minorBidi" w:cstheme="minorBidi"/>
                <w:szCs w:val="22"/>
              </w:rPr>
            </w:pPr>
          </w:p>
        </w:tc>
        <w:tc>
          <w:tcPr>
            <w:tcW w:w="3542" w:type="dxa"/>
          </w:tcPr>
          <w:p w14:paraId="28EE7672" w14:textId="77777777" w:rsidR="00362F2D" w:rsidRPr="003704B4" w:rsidRDefault="00362F2D" w:rsidP="00351726">
            <w:pPr>
              <w:adjustRightInd w:val="0"/>
              <w:spacing w:before="60" w:after="60"/>
              <w:rPr>
                <w:rFonts w:asciiTheme="minorBidi" w:hAnsiTheme="minorBidi" w:cstheme="minorBidi"/>
                <w:szCs w:val="22"/>
              </w:rPr>
            </w:pPr>
            <w:r w:rsidRPr="003704B4">
              <w:rPr>
                <w:rFonts w:asciiTheme="minorBidi" w:hAnsiTheme="minorBidi" w:cstheme="minorBidi"/>
                <w:szCs w:val="22"/>
              </w:rPr>
              <w:t>5.2 Содействие повышению грамотности в связанных с океаном вопросах</w:t>
            </w:r>
          </w:p>
        </w:tc>
        <w:tc>
          <w:tcPr>
            <w:tcW w:w="4450" w:type="dxa"/>
          </w:tcPr>
          <w:p w14:paraId="5F42B101" w14:textId="77777777" w:rsidR="00362F2D" w:rsidRPr="003704B4" w:rsidRDefault="00362F2D" w:rsidP="00351726">
            <w:pPr>
              <w:adjustRightInd w:val="0"/>
              <w:spacing w:before="60" w:after="60"/>
              <w:rPr>
                <w:rFonts w:asciiTheme="minorBidi" w:hAnsiTheme="minorBidi" w:cstheme="minorBidi"/>
                <w:szCs w:val="22"/>
              </w:rPr>
            </w:pPr>
            <w:r w:rsidRPr="003704B4">
              <w:rPr>
                <w:rFonts w:asciiTheme="minorBidi" w:hAnsiTheme="minorBidi" w:cstheme="minorBidi"/>
                <w:color w:val="000000"/>
                <w:szCs w:val="22"/>
              </w:rPr>
              <w:t>5.2.1 Оказание государствам-членам содействия в укреплении и осуществлении на национальном и региональном уровнях программ по распространению знаний об океане</w:t>
            </w:r>
          </w:p>
        </w:tc>
      </w:tr>
      <w:tr w:rsidR="00362F2D" w:rsidRPr="003704B4" w14:paraId="01880E54" w14:textId="77777777" w:rsidTr="001F00F3">
        <w:trPr>
          <w:cantSplit/>
          <w:trHeight w:val="202"/>
        </w:trPr>
        <w:tc>
          <w:tcPr>
            <w:tcW w:w="2034" w:type="dxa"/>
            <w:vMerge w:val="restart"/>
          </w:tcPr>
          <w:p w14:paraId="759DC120" w14:textId="77777777" w:rsidR="00362F2D" w:rsidRPr="003704B4" w:rsidRDefault="00362F2D" w:rsidP="00351726">
            <w:pPr>
              <w:adjustRightInd w:val="0"/>
              <w:spacing w:before="60" w:after="60"/>
              <w:rPr>
                <w:rFonts w:asciiTheme="minorBidi" w:hAnsiTheme="minorBidi" w:cstheme="minorBidi"/>
                <w:szCs w:val="22"/>
              </w:rPr>
            </w:pPr>
            <w:r w:rsidRPr="003704B4">
              <w:rPr>
                <w:rFonts w:asciiTheme="minorBidi" w:hAnsiTheme="minorBidi" w:cstheme="minorBidi"/>
                <w:szCs w:val="22"/>
              </w:rPr>
              <w:t>6. Последовательное укрепление механизмов мобилизации ресурсов</w:t>
            </w:r>
          </w:p>
        </w:tc>
        <w:tc>
          <w:tcPr>
            <w:tcW w:w="3542" w:type="dxa"/>
          </w:tcPr>
          <w:p w14:paraId="4006E96D" w14:textId="77777777" w:rsidR="00362F2D" w:rsidRPr="003704B4" w:rsidRDefault="00362F2D" w:rsidP="00351726">
            <w:pPr>
              <w:adjustRightInd w:val="0"/>
              <w:spacing w:before="60" w:after="60"/>
              <w:rPr>
                <w:rFonts w:asciiTheme="minorBidi" w:hAnsiTheme="minorBidi" w:cstheme="minorBidi"/>
                <w:szCs w:val="22"/>
              </w:rPr>
            </w:pPr>
            <w:r w:rsidRPr="003704B4">
              <w:rPr>
                <w:rFonts w:asciiTheme="minorBidi" w:hAnsiTheme="minorBidi" w:cstheme="minorBidi"/>
                <w:szCs w:val="22"/>
              </w:rPr>
              <w:t>6.1 Последовательное наращивание адресованной МОК поддержки (в денежной и натуральной форме), связанной с выполнением ею роли координатора международных усилий</w:t>
            </w:r>
          </w:p>
        </w:tc>
        <w:tc>
          <w:tcPr>
            <w:tcW w:w="4450" w:type="dxa"/>
          </w:tcPr>
          <w:p w14:paraId="6435DDBA" w14:textId="292E9FB2" w:rsidR="00362F2D" w:rsidRPr="003704B4" w:rsidRDefault="00362F2D" w:rsidP="00351726">
            <w:pPr>
              <w:adjustRightInd w:val="0"/>
              <w:spacing w:before="60" w:after="60"/>
              <w:rPr>
                <w:rFonts w:asciiTheme="minorBidi" w:hAnsiTheme="minorBidi" w:cstheme="minorBidi"/>
                <w:szCs w:val="22"/>
              </w:rPr>
            </w:pPr>
            <w:r w:rsidRPr="003704B4">
              <w:rPr>
                <w:rFonts w:asciiTheme="minorBidi" w:hAnsiTheme="minorBidi" w:cstheme="minorBidi"/>
                <w:szCs w:val="22"/>
              </w:rPr>
              <w:t>6.1.1 Налаживание партнерских связей для расширения возможностей привлечения ресурсов в натуральной форме</w:t>
            </w:r>
          </w:p>
        </w:tc>
      </w:tr>
      <w:tr w:rsidR="00362F2D" w:rsidRPr="003704B4" w14:paraId="1294154F" w14:textId="77777777" w:rsidTr="001F00F3">
        <w:trPr>
          <w:cantSplit/>
          <w:trHeight w:val="202"/>
        </w:trPr>
        <w:tc>
          <w:tcPr>
            <w:tcW w:w="2034" w:type="dxa"/>
            <w:vMerge/>
          </w:tcPr>
          <w:p w14:paraId="5B9A5341" w14:textId="77777777" w:rsidR="00362F2D" w:rsidRPr="003704B4" w:rsidRDefault="00362F2D" w:rsidP="00351726">
            <w:pPr>
              <w:adjustRightInd w:val="0"/>
              <w:spacing w:before="60" w:after="60"/>
              <w:rPr>
                <w:rFonts w:asciiTheme="minorBidi" w:hAnsiTheme="minorBidi" w:cstheme="minorBidi"/>
                <w:szCs w:val="22"/>
              </w:rPr>
            </w:pPr>
          </w:p>
        </w:tc>
        <w:tc>
          <w:tcPr>
            <w:tcW w:w="3542" w:type="dxa"/>
          </w:tcPr>
          <w:p w14:paraId="4A78BAEE" w14:textId="77777777" w:rsidR="00362F2D" w:rsidRPr="003704B4" w:rsidRDefault="00362F2D" w:rsidP="00351726">
            <w:pPr>
              <w:adjustRightInd w:val="0"/>
              <w:spacing w:before="60" w:after="60"/>
              <w:rPr>
                <w:rFonts w:asciiTheme="minorBidi" w:hAnsiTheme="minorBidi" w:cstheme="minorBidi"/>
                <w:szCs w:val="22"/>
              </w:rPr>
            </w:pPr>
            <w:r w:rsidRPr="003704B4">
              <w:rPr>
                <w:rFonts w:asciiTheme="minorBidi" w:hAnsiTheme="minorBidi" w:cstheme="minorBidi"/>
                <w:szCs w:val="22"/>
              </w:rPr>
              <w:t xml:space="preserve">6.2 Поощрение государств-членов к оказанию стабильной поддержки на двусторонней и многосторонней основе </w:t>
            </w:r>
          </w:p>
        </w:tc>
        <w:tc>
          <w:tcPr>
            <w:tcW w:w="4450" w:type="dxa"/>
          </w:tcPr>
          <w:p w14:paraId="14A82B5C" w14:textId="77777777" w:rsidR="00362F2D" w:rsidRPr="003704B4" w:rsidRDefault="00362F2D" w:rsidP="00351726">
            <w:pPr>
              <w:adjustRightInd w:val="0"/>
              <w:spacing w:before="60" w:after="60"/>
              <w:rPr>
                <w:rFonts w:asciiTheme="minorBidi" w:hAnsiTheme="minorBidi" w:cstheme="minorBidi"/>
                <w:szCs w:val="22"/>
              </w:rPr>
            </w:pPr>
            <w:r w:rsidRPr="003704B4">
              <w:rPr>
                <w:rFonts w:asciiTheme="minorBidi" w:hAnsiTheme="minorBidi" w:cstheme="minorBidi"/>
                <w:szCs w:val="22"/>
              </w:rPr>
              <w:t>6.2.1 Поощрение привлечения ресурсов, в частности со стороны государств-членов и других доноров, по итогам оценки потребностей МОК в развитии потенциала</w:t>
            </w:r>
          </w:p>
        </w:tc>
      </w:tr>
    </w:tbl>
    <w:p w14:paraId="40FD00ED" w14:textId="77777777" w:rsidR="003704B4" w:rsidRDefault="003704B4" w:rsidP="00351726">
      <w:pPr>
        <w:pStyle w:val="Heading3"/>
      </w:pPr>
      <w:bookmarkStart w:id="10" w:name="_Toc290023652"/>
      <w:bookmarkStart w:id="11" w:name="_Toc138680734"/>
      <w:r>
        <w:br w:type="page"/>
      </w:r>
    </w:p>
    <w:p w14:paraId="575F66D0" w14:textId="6639584A" w:rsidR="002E0C01" w:rsidRPr="00777226" w:rsidRDefault="002E0C01" w:rsidP="00B11900">
      <w:pPr>
        <w:pStyle w:val="Heading3"/>
      </w:pPr>
      <w:r>
        <w:lastRenderedPageBreak/>
        <w:t>Подробное описание целевых задач и связанных с ними направлений деятельности</w:t>
      </w:r>
      <w:bookmarkEnd w:id="10"/>
      <w:bookmarkEnd w:id="11"/>
    </w:p>
    <w:p w14:paraId="4A9AEE5C" w14:textId="45B13B62" w:rsidR="00B11900" w:rsidRPr="00B11900" w:rsidRDefault="00B11900" w:rsidP="00D245DE">
      <w:pPr>
        <w:pBdr>
          <w:top w:val="single" w:sz="4" w:space="1" w:color="auto"/>
          <w:left w:val="single" w:sz="4" w:space="0" w:color="auto"/>
          <w:bottom w:val="single" w:sz="4" w:space="1" w:color="auto"/>
          <w:right w:val="single" w:sz="4" w:space="0" w:color="auto"/>
        </w:pBdr>
        <w:adjustRightInd w:val="0"/>
        <w:spacing w:after="240"/>
        <w:jc w:val="both"/>
        <w:rPr>
          <w:rFonts w:eastAsia="SimSun"/>
          <w:lang w:eastAsia="zh-CN"/>
        </w:rPr>
      </w:pPr>
      <w:r>
        <w:rPr>
          <w:b/>
          <w:bCs/>
        </w:rPr>
        <w:t>Целевая задача 1.</w:t>
      </w:r>
      <w:r>
        <w:t xml:space="preserve"> </w:t>
      </w:r>
      <w:r>
        <w:rPr>
          <w:b/>
          <w:bCs/>
        </w:rPr>
        <w:t>Укрепление кадрового потенциала на индивидуальном и институциональном уровнях</w:t>
      </w:r>
    </w:p>
    <w:p w14:paraId="2ADFE6AE" w14:textId="52A3F398" w:rsidR="00362F2D" w:rsidRPr="00216B88" w:rsidRDefault="00362F2D" w:rsidP="00842993">
      <w:pPr>
        <w:pStyle w:val="paranumber"/>
      </w:pPr>
      <w:r>
        <w:t>Людские ресурсы (научно-педагогические кадры, исследователи, технические специалисты, руководители, а также учащиеся) представляют собой фундамент, необходимый для осуществления любой исследовательской или управленческой деятельности.</w:t>
      </w:r>
      <w:r w:rsidR="00216B88">
        <w:t xml:space="preserve"> </w:t>
      </w:r>
      <w:r>
        <w:t xml:space="preserve">Этот фундамент необходимо не только заложить, но и поддерживать в надлежащем состоянии. Кроме того, важно, чтобы в результате подготовки кадров была создана «критическая масса» квалифицированных работников (т.е. недостаточно иметь по одному специалисту в каждом </w:t>
      </w:r>
      <w:r w:rsidRPr="00216B88">
        <w:t>государстве-члене).</w:t>
      </w:r>
    </w:p>
    <w:p w14:paraId="309D7A65" w14:textId="3380F3DD" w:rsidR="00362F2D" w:rsidRPr="001F5C46" w:rsidRDefault="002E0C01" w:rsidP="00D245DE">
      <w:pPr>
        <w:spacing w:after="240"/>
        <w:jc w:val="both"/>
        <w:rPr>
          <w:u w:val="single"/>
        </w:rPr>
      </w:pPr>
      <w:r w:rsidRPr="00216B88">
        <w:rPr>
          <w:b/>
          <w:bCs/>
          <w:u w:val="single"/>
        </w:rPr>
        <w:t>Направление деятельности 1.1:</w:t>
      </w:r>
      <w:r w:rsidRPr="00216B88">
        <w:rPr>
          <w:u w:val="single"/>
        </w:rPr>
        <w:t xml:space="preserve"> </w:t>
      </w:r>
      <w:r w:rsidRPr="00216B88">
        <w:rPr>
          <w:b/>
          <w:bCs/>
          <w:u w:val="single"/>
        </w:rPr>
        <w:t>Высшее академическое и профессиональное образование</w:t>
      </w:r>
    </w:p>
    <w:p w14:paraId="3E852141" w14:textId="7DBEF9D2" w:rsidR="00362F2D" w:rsidRPr="00777226" w:rsidRDefault="00362F2D" w:rsidP="00842993">
      <w:pPr>
        <w:pStyle w:val="paranumber"/>
      </w:pPr>
      <w:r>
        <w:t>Академическое образование предоставляется национальными университетами, а в случае отсутствия в них требуемого учебного курса – другими университетами в регионе или за его пределами. Настоящая Стратегия МОК в области развития потенциала может способствовать расширению взаимодействия между университетами (и</w:t>
      </w:r>
      <w:r w:rsidR="00216B88">
        <w:t xml:space="preserve"> </w:t>
      </w:r>
      <w:r>
        <w:t>связанными с ними исследовательскими учреждениями), а также развитию сотрудничества между кафедрами ЮНЕСКО и программами/мероприятиями МОК. В связи с этим предлагается принятие следующих мер:</w:t>
      </w:r>
    </w:p>
    <w:p w14:paraId="1ED1B9BF" w14:textId="484F656B" w:rsidR="002E0C01" w:rsidRPr="00777226" w:rsidRDefault="002E0C01" w:rsidP="00352729">
      <w:pPr>
        <w:numPr>
          <w:ilvl w:val="0"/>
          <w:numId w:val="24"/>
        </w:numPr>
        <w:spacing w:after="240"/>
        <w:ind w:left="567" w:hanging="567"/>
        <w:jc w:val="both"/>
        <w:rPr>
          <w:b/>
          <w:bCs/>
        </w:rPr>
      </w:pPr>
      <w:r>
        <w:rPr>
          <w:b/>
          <w:bCs/>
        </w:rPr>
        <w:t>Мера 1.1.1 – Поощрение и оказание содействия в вопросах укрепления и создания консорциумов высших учебных заведений и научно-исследовательских учреждений с соответствующим географическим охватом</w:t>
      </w:r>
    </w:p>
    <w:p w14:paraId="69483645" w14:textId="77777777" w:rsidR="006A6774" w:rsidRDefault="00362F2D" w:rsidP="00842993">
      <w:pPr>
        <w:pStyle w:val="paranumber"/>
      </w:pPr>
      <w:r>
        <w:t>Оптимальным вариантом является наличие в национальных университетах полного спектра учебных программ, предполагающих присвоение академической степени. Однако такая возможность существует не везде. МОК будет поощрять создание национальных или региональных консорциумов вузов (из числа стран одного региона), разрабатывающих совместные образовательные программы в виде комплексного учебного курса с присвоением квалификаций, признаваемых всеми членами консорциума. Эта работа должна осуществляться в тесном взаимодействии с соответствующими научно-исследовательскими учреждениями и между учреждениями стран, использующих тот же язык в конкретных областях знаний.</w:t>
      </w:r>
    </w:p>
    <w:p w14:paraId="3B9A257B" w14:textId="5AF7A37F" w:rsidR="002E0C01" w:rsidRPr="003E5AD5" w:rsidRDefault="002E0C01" w:rsidP="00352729">
      <w:pPr>
        <w:numPr>
          <w:ilvl w:val="0"/>
          <w:numId w:val="25"/>
        </w:numPr>
        <w:spacing w:before="240" w:after="240"/>
        <w:ind w:left="567" w:hanging="567"/>
        <w:jc w:val="both"/>
        <w:rPr>
          <w:b/>
          <w:bCs/>
          <w:szCs w:val="22"/>
        </w:rPr>
      </w:pPr>
      <w:r>
        <w:rPr>
          <w:b/>
        </w:rPr>
        <w:t xml:space="preserve">Мера </w:t>
      </w:r>
      <w:r>
        <w:rPr>
          <w:b/>
          <w:bCs/>
          <w:szCs w:val="22"/>
        </w:rPr>
        <w:t>1.1.2 – Поощрение расширения взаимодействия между кафедрами ЮНЕСКО и МОК, а также между МОК и другими организациями, занимающимися вопросами океана, в области развития людских ресурсов</w:t>
      </w:r>
    </w:p>
    <w:p w14:paraId="31B6B1B6" w14:textId="77777777" w:rsidR="009862E8" w:rsidRPr="00777226" w:rsidRDefault="009862E8" w:rsidP="00842993">
      <w:pPr>
        <w:pStyle w:val="paranumber"/>
      </w:pPr>
      <w:r>
        <w:t>Программа ЮНЕСКО по развитию партнерства и сетевого взаимодействия университетов (программа УНИТВИН/кафедры ЮНЕСКО) вносит весомый вклад в укрепление национальных академических программ</w:t>
      </w:r>
      <w:r w:rsidRPr="00777226">
        <w:rPr>
          <w:vertAlign w:val="superscript"/>
        </w:rPr>
        <w:footnoteReference w:id="2"/>
      </w:r>
      <w:r>
        <w:t>. Стартовавшая в 1992 г. программа УНИТВИН/кафедры ЮНЕСКО способствует развитию международного межуниверситетского сотрудничества и объединению усилий в интересах укрепления институционального потенциала посредством обмена опытом и осуществления совместных проектов.</w:t>
      </w:r>
    </w:p>
    <w:p w14:paraId="2BF2766A" w14:textId="77777777" w:rsidR="006A6774" w:rsidRDefault="009862E8" w:rsidP="00842993">
      <w:pPr>
        <w:pStyle w:val="paranumber"/>
      </w:pPr>
      <w:r>
        <w:t>На сегодняшний день существует 14 кафедр ЮНЕСКО в области морских наук</w:t>
      </w:r>
      <w:r w:rsidRPr="00777226">
        <w:rPr>
          <w:vertAlign w:val="superscript"/>
        </w:rPr>
        <w:footnoteReference w:id="3"/>
      </w:r>
      <w:r>
        <w:t>. МОК и Сектору образования ЮНЕСКО следует активизировать взаимодействие для укрепления потенциала образования в области морских наук.</w:t>
      </w:r>
    </w:p>
    <w:p w14:paraId="2BE6F368" w14:textId="771754A1" w:rsidR="002E0C01" w:rsidRPr="001F5C46" w:rsidRDefault="002E0C01" w:rsidP="00352729">
      <w:pPr>
        <w:keepNext/>
        <w:spacing w:after="240"/>
        <w:rPr>
          <w:u w:val="single"/>
        </w:rPr>
      </w:pPr>
      <w:r w:rsidRPr="00C96F08">
        <w:rPr>
          <w:b/>
          <w:bCs/>
          <w:u w:val="single"/>
        </w:rPr>
        <w:lastRenderedPageBreak/>
        <w:t>Направление деятельности 1.2</w:t>
      </w:r>
      <w:r w:rsidR="00D245DE" w:rsidRPr="00C96F08">
        <w:rPr>
          <w:b/>
          <w:bCs/>
          <w:u w:val="single"/>
        </w:rPr>
        <w:t xml:space="preserve">: </w:t>
      </w:r>
      <w:r w:rsidRPr="00C96F08">
        <w:rPr>
          <w:b/>
          <w:bCs/>
          <w:u w:val="single"/>
        </w:rPr>
        <w:t>Непрерывное профессиональное развитие</w:t>
      </w:r>
    </w:p>
    <w:p w14:paraId="42263A14" w14:textId="77777777" w:rsidR="006A6774" w:rsidRDefault="009862E8" w:rsidP="00842993">
      <w:pPr>
        <w:pStyle w:val="paranumber"/>
      </w:pPr>
      <w:r>
        <w:t>Получение университетского диплома не является конечной целью профессиональной подготовки. Стремительные темпы научно-технического прогресса диктуют необходимость непрерывного/осуществляемого на постоянной основе профессионального совершенствования</w:t>
      </w:r>
      <w:r w:rsidRPr="00777226">
        <w:rPr>
          <w:vertAlign w:val="superscript"/>
        </w:rPr>
        <w:footnoteReference w:id="4"/>
      </w:r>
      <w:r>
        <w:t xml:space="preserve"> с целью овладения навыками правильного использования новых инструментов и сохранения данных.</w:t>
      </w:r>
    </w:p>
    <w:p w14:paraId="18FBAD8D" w14:textId="498AB56C" w:rsidR="002E0C01" w:rsidRPr="00777226" w:rsidRDefault="002E0C01" w:rsidP="00352729">
      <w:pPr>
        <w:numPr>
          <w:ilvl w:val="0"/>
          <w:numId w:val="25"/>
        </w:numPr>
        <w:spacing w:before="240" w:after="240"/>
        <w:ind w:left="567" w:hanging="567"/>
        <w:jc w:val="both"/>
      </w:pPr>
      <w:r>
        <w:rPr>
          <w:b/>
          <w:bCs/>
          <w:szCs w:val="22"/>
        </w:rPr>
        <w:t>Мера 1.2.1 – Популяризация и оказание содействия в организации в сотрудничестве с другими структурами учебных курсов, практических семинаров и «летних школ» по тематике, имеющей отношение к мандату МОК, включая подготовку преподавателей/технических специалистов и повышение квалификации руководителей учреждений/лиц, ответственных за принятие решений</w:t>
      </w:r>
    </w:p>
    <w:p w14:paraId="353EA2EF" w14:textId="13D24D0A" w:rsidR="009862E8" w:rsidRPr="00777226" w:rsidRDefault="009862E8" w:rsidP="00842993">
      <w:pPr>
        <w:pStyle w:val="paranumber"/>
      </w:pPr>
      <w:r>
        <w:t>С учетом просьб, сформулированных государствами-членами в ходе сессий основных вспомогательных органов (региональных или технических), все программы МОК организуют краткосрочные учебные курсы. Подобные просьбы учитываются при составлении планов работы. Особое внимание должно быть направлено на развитие у слушателей курсов навыков применения полученных знаний после прохождения подготовки. Особым видом учебных курсов является «летняя школа». Список возможностей, касающихся профессиональной подготовки,</w:t>
      </w:r>
      <w:r w:rsidR="00216B88">
        <w:t xml:space="preserve"> </w:t>
      </w:r>
      <w:r>
        <w:t>размещен на веб-портале по тематике развития потенциала в области морских наук</w:t>
      </w:r>
      <w:r w:rsidRPr="00777226">
        <w:rPr>
          <w:rStyle w:val="FootnoteReference"/>
          <w:color w:val="000000"/>
        </w:rPr>
        <w:footnoteReference w:id="5"/>
      </w:r>
      <w:r>
        <w:t>.</w:t>
      </w:r>
    </w:p>
    <w:p w14:paraId="3EFD839D" w14:textId="54357824" w:rsidR="009862E8" w:rsidRPr="00777226" w:rsidRDefault="009862E8" w:rsidP="00842993">
      <w:pPr>
        <w:pStyle w:val="paranumber"/>
      </w:pPr>
      <w:r>
        <w:t>МОК будет укреплять свои глобальные программы и региональные вспомогательные органы в целях расширения и включения учебных курсов в осуществляемые ими программы (см. также меры 3.1.2 и 3.2.1).</w:t>
      </w:r>
      <w:r w:rsidR="00216B88">
        <w:t xml:space="preserve"> </w:t>
      </w:r>
      <w:r>
        <w:t>Во взаимодействии с партнерами МОК планирует совершенствовать предлагаемые учебные курсы и программы.</w:t>
      </w:r>
    </w:p>
    <w:p w14:paraId="00993194" w14:textId="01FFE65F" w:rsidR="002E0C01" w:rsidRPr="00777226" w:rsidRDefault="002E0C01" w:rsidP="00352729">
      <w:pPr>
        <w:numPr>
          <w:ilvl w:val="0"/>
          <w:numId w:val="25"/>
        </w:numPr>
        <w:spacing w:before="240" w:after="240"/>
        <w:ind w:left="567" w:hanging="567"/>
        <w:jc w:val="both"/>
      </w:pPr>
      <w:r>
        <w:rPr>
          <w:b/>
          <w:bCs/>
        </w:rPr>
        <w:t>Мера – 1.2.2 Осуществление программы стажировок/стипендий и профессиональной подготовки (в том числе на борту судна) или взаимодействие с другими организациями в рамках такой программы</w:t>
      </w:r>
    </w:p>
    <w:p w14:paraId="36BC150E" w14:textId="45A62665" w:rsidR="006A6774" w:rsidRDefault="007E5F20" w:rsidP="00842993">
      <w:pPr>
        <w:pStyle w:val="paranumber"/>
      </w:pPr>
      <w:r>
        <w:t>Стажировки позволяют исследователям в течение ограниченного времени работать в другом учреждении, совершенствуя свои профессиональные навыки без прекращения основной деятельности.</w:t>
      </w:r>
      <w:r w:rsidR="00216B88">
        <w:t xml:space="preserve"> </w:t>
      </w:r>
      <w:r>
        <w:t>Это может быть особенно удобно, когда по месту постоянной работы они не имеют возможности получить специализированные знания и навыки.</w:t>
      </w:r>
    </w:p>
    <w:p w14:paraId="21F3AAA0" w14:textId="4F8EDCDE" w:rsidR="007E5F20" w:rsidRPr="00777226" w:rsidRDefault="007E5F20" w:rsidP="00842993">
      <w:pPr>
        <w:pStyle w:val="paranumber"/>
      </w:pPr>
      <w:r>
        <w:t>Актуальным примером прохождения стажировки/стипендиальной программы является профессиональная подготовка на борту судна. Прохождение подготовки на борту судна, на объекте имеет крайне важное значение для профессионального роста специалиста по исследованию океана. При этом многие государства-члены не располагают научно-исследовательскими судами. В связи с этим крайне важно, чтобы специалисты-исследователи из таких стран: (i) прошли подготовку на борту судна для приобретения необходимых навыков и (ii) получили возможность участвовать в морских исследовательских экспедициях, организуемых в их регионах. Для их участия может потребоваться финансовая поддержка через двусторонние и/или международные механизмы.</w:t>
      </w:r>
    </w:p>
    <w:p w14:paraId="4C6A3372" w14:textId="393E4F76" w:rsidR="007E5F20" w:rsidRPr="00777226" w:rsidRDefault="007E5F20" w:rsidP="00842993">
      <w:pPr>
        <w:pStyle w:val="paranumber"/>
      </w:pPr>
      <w:r>
        <w:t>МОК и ее партнеры организуют программы стажировок и другие возможности обучения на рабочем месте для выпускник</w:t>
      </w:r>
      <w:r w:rsidR="00167E50" w:rsidRPr="00167E50">
        <w:t>о</w:t>
      </w:r>
      <w:r w:rsidR="00167E50" w:rsidRPr="00400650">
        <w:t>в</w:t>
      </w:r>
      <w:r>
        <w:t xml:space="preserve"> вузов и аспирантов по всему миру. Кроме того, доступна поддержка в виде стипендий или грантов. Список возможностей, касающихся профессиональной подготовки, размещен на веб-портале по тематике развития потенциала в области морских наук.</w:t>
      </w:r>
    </w:p>
    <w:p w14:paraId="21446A6B" w14:textId="0F3B2BC7" w:rsidR="007E5F20" w:rsidRPr="00777226" w:rsidRDefault="007E5F20" w:rsidP="00842993">
      <w:pPr>
        <w:pStyle w:val="paranumber"/>
      </w:pPr>
      <w:r>
        <w:t xml:space="preserve">МОК будет поощрять расширение масштабов программы стажировок/стипендий во всех регионах (учитывая, что такая программа уже существует в регионе ВЕСТПАК) и в </w:t>
      </w:r>
      <w:r>
        <w:lastRenderedPageBreak/>
        <w:t>необходимых случаях осуществлять партнерское взаимодействие с другими организациями в рамках совместных программ и мероприятий.</w:t>
      </w:r>
    </w:p>
    <w:p w14:paraId="4A6D15B2" w14:textId="037460E5" w:rsidR="002E0C01" w:rsidRPr="00777226" w:rsidRDefault="002E0C01" w:rsidP="00D245DE">
      <w:pPr>
        <w:numPr>
          <w:ilvl w:val="0"/>
          <w:numId w:val="25"/>
        </w:numPr>
        <w:spacing w:before="240" w:after="240"/>
        <w:ind w:left="567" w:hanging="567"/>
        <w:jc w:val="both"/>
      </w:pPr>
      <w:r>
        <w:rPr>
          <w:b/>
          <w:bCs/>
        </w:rPr>
        <w:t>Мера 1.2.3 – Осуществление программы приглашенных лекторов или взаимодействие с другими организациями в рамках такой программы</w:t>
      </w:r>
    </w:p>
    <w:p w14:paraId="2442649B" w14:textId="2EE6CF19" w:rsidR="006A6774" w:rsidRDefault="0087135C" w:rsidP="00842993">
      <w:pPr>
        <w:pStyle w:val="paranumber"/>
      </w:pPr>
      <w:r>
        <w:t>Приглашение лекторов позволяет восполнить нехватку узкоспециальных</w:t>
      </w:r>
      <w:r w:rsidR="00216B88">
        <w:t xml:space="preserve"> </w:t>
      </w:r>
      <w:r>
        <w:t>знаний в рамках определенных программ обучения или профессиональной подготовки, а также пополнить имеющиеся экспертные знания посредством обучения на местах и предоставления обучающимся вспомогательных услуг. Такой подход применим как для развитых, так и для развивающихся стран.</w:t>
      </w:r>
      <w:r w:rsidR="00216B88">
        <w:t xml:space="preserve"> </w:t>
      </w:r>
      <w:r>
        <w:t>Этот механизм дополняет и расширяет возможности программы учебных курсов МОК (мера 1.1.1).</w:t>
      </w:r>
    </w:p>
    <w:p w14:paraId="2CCD7807" w14:textId="68807CD8" w:rsidR="0087135C" w:rsidRPr="00777226" w:rsidRDefault="0087135C" w:rsidP="00842993">
      <w:pPr>
        <w:pStyle w:val="paranumber"/>
      </w:pPr>
      <w:r>
        <w:t>Организации, предоставляющие услуги в рамках программ приглашенных лекторов, перечислены в онлайновом справочнике МОК по тематике развития потенциала. МОК будет поощрять расширение практики использования приглашенных лекторов посредством взаимодействия с организациями-партнерами. Данная мера является дополнением к мероприятиям, предусмотренным в рамках меры 1.1.1.</w:t>
      </w:r>
    </w:p>
    <w:p w14:paraId="41479C6F" w14:textId="3328B7D5" w:rsidR="002E0C01" w:rsidRPr="00777226" w:rsidRDefault="002E0C01" w:rsidP="00D245DE">
      <w:pPr>
        <w:numPr>
          <w:ilvl w:val="0"/>
          <w:numId w:val="25"/>
        </w:numPr>
        <w:spacing w:before="240" w:after="240"/>
        <w:ind w:left="567" w:hanging="567"/>
        <w:jc w:val="both"/>
      </w:pPr>
      <w:r>
        <w:rPr>
          <w:b/>
          <w:bCs/>
        </w:rPr>
        <w:t>Мера 1.2.4 – Поощрение и оказание содействия в вопросах создания региональных учебных (и исследовательских) центров, имеющих отношение к мандату МОК</w:t>
      </w:r>
    </w:p>
    <w:p w14:paraId="5494925B" w14:textId="34C476A3" w:rsidR="0087135C" w:rsidRPr="00777226" w:rsidRDefault="0087135C" w:rsidP="00842993">
      <w:pPr>
        <w:pStyle w:val="paranumber"/>
      </w:pPr>
      <w:r>
        <w:t>С учетом решений государств – членов ВЕСТПАК в отношении создания региональных учебно-исследовательских центров МОК (РУИЦ МОК), а также принятого государствами-членами, участвующими в проекте МОК по обмену океанографическими данными и информацией</w:t>
      </w:r>
      <w:r w:rsidR="00D245DE">
        <w:rPr>
          <w:lang w:val="en-US"/>
        </w:rPr>
        <w:t> </w:t>
      </w:r>
      <w:r>
        <w:t xml:space="preserve">(МООД), решения относительно создания на базе существующих и пользующихся авторитетом научных учреждений или вузов региональных учебных центров (РУЦ) в рамках проекта </w:t>
      </w:r>
      <w:r w:rsidRPr="009D3F6B">
        <w:t>«Глобальная академия «Океан-Инструктор» (ГАОИ),</w:t>
      </w:r>
      <w:r>
        <w:t xml:space="preserve"> можно сделать вывод о готовности государств-членов поддержать создание долговременного и устойчивого механизма профессиональной подготовки.</w:t>
      </w:r>
    </w:p>
    <w:p w14:paraId="7C18E542" w14:textId="16584D27" w:rsidR="0087135C" w:rsidRPr="00777226" w:rsidRDefault="0087135C" w:rsidP="00842993">
      <w:pPr>
        <w:pStyle w:val="paranumber"/>
      </w:pPr>
      <w:r>
        <w:t>Помимо создания таких центров МОК намерена также объединить их в сети, с тем чтобы:</w:t>
      </w:r>
    </w:p>
    <w:p w14:paraId="622013D4" w14:textId="77777777" w:rsidR="0087135C" w:rsidRPr="00777226" w:rsidRDefault="0087135C" w:rsidP="00D245DE">
      <w:pPr>
        <w:numPr>
          <w:ilvl w:val="0"/>
          <w:numId w:val="27"/>
        </w:numPr>
        <w:spacing w:after="240"/>
        <w:ind w:left="1134" w:hanging="567"/>
        <w:jc w:val="both"/>
      </w:pPr>
      <w:r>
        <w:t>создать условия для обмена учебными материалами (и их перевода на другие языки);</w:t>
      </w:r>
    </w:p>
    <w:p w14:paraId="03A599CA" w14:textId="77777777" w:rsidR="0087135C" w:rsidRPr="00777226" w:rsidRDefault="0087135C" w:rsidP="00D245DE">
      <w:pPr>
        <w:numPr>
          <w:ilvl w:val="0"/>
          <w:numId w:val="27"/>
        </w:numPr>
        <w:spacing w:after="240"/>
        <w:ind w:left="1134" w:hanging="567"/>
        <w:jc w:val="both"/>
      </w:pPr>
      <w:r>
        <w:t>содействовать повышению мобильности студентов и преподавателей;</w:t>
      </w:r>
    </w:p>
    <w:p w14:paraId="24AF9773" w14:textId="49FAC42C" w:rsidR="0087135C" w:rsidRPr="00777226" w:rsidRDefault="0087135C" w:rsidP="00D245DE">
      <w:pPr>
        <w:numPr>
          <w:ilvl w:val="0"/>
          <w:numId w:val="27"/>
        </w:numPr>
        <w:spacing w:after="240"/>
        <w:ind w:left="1134" w:hanging="567"/>
        <w:jc w:val="both"/>
      </w:pPr>
      <w:r>
        <w:t>содействовать расширению регионального и межрегионального сотрудничества через укрепление профессионального сообщества.</w:t>
      </w:r>
    </w:p>
    <w:p w14:paraId="6E2E26AE" w14:textId="3C21344E" w:rsidR="00CB49E9" w:rsidRPr="00777226" w:rsidRDefault="002E0C01" w:rsidP="003E5AD5">
      <w:pPr>
        <w:numPr>
          <w:ilvl w:val="0"/>
          <w:numId w:val="25"/>
        </w:numPr>
        <w:spacing w:before="240" w:after="240"/>
        <w:ind w:left="567" w:hanging="567"/>
        <w:rPr>
          <w:szCs w:val="22"/>
        </w:rPr>
      </w:pPr>
      <w:r>
        <w:rPr>
          <w:b/>
        </w:rPr>
        <w:t>Мера 1.2.5 – Поощрение разработки и распространения учебных материалов</w:t>
      </w:r>
    </w:p>
    <w:p w14:paraId="64C7C8C6" w14:textId="77777777" w:rsidR="006A6774" w:rsidRDefault="00CB49E9" w:rsidP="00842993">
      <w:pPr>
        <w:pStyle w:val="paranumber"/>
      </w:pPr>
      <w:r>
        <w:t>Распространение имеющихся материалов учебных курсов имеет принципиальное значение для расширения возможностей в области развития потенциала на региональном и глобальном уровнях.</w:t>
      </w:r>
    </w:p>
    <w:p w14:paraId="6D676964" w14:textId="221A44A2" w:rsidR="00CB49E9" w:rsidRPr="00777226" w:rsidRDefault="00CB49E9" w:rsidP="00842993">
      <w:pPr>
        <w:pStyle w:val="paranumber"/>
      </w:pPr>
      <w:r>
        <w:t>Всем региональным учебным центрам предлагается использовать единый механизм хранения, организации и распространения учебного контента – автоматизированную систему управления учебным процессом «Океан-инструктор»</w:t>
      </w:r>
      <w:r w:rsidRPr="00777226">
        <w:rPr>
          <w:vertAlign w:val="superscript"/>
        </w:rPr>
        <w:footnoteReference w:id="6"/>
      </w:r>
      <w:r>
        <w:t>, являющуюся программным инструментом ГАОИ. Разумеется, при желании могут быть использованы и другие системы, однако предпочтительно, чтобы это были открытые системы, поддерживающие функцию обмена контентом (или его сбора).</w:t>
      </w:r>
    </w:p>
    <w:p w14:paraId="18D2A456" w14:textId="480071D7" w:rsidR="006A128F" w:rsidRPr="00777226" w:rsidRDefault="00CB49E9" w:rsidP="00842993">
      <w:pPr>
        <w:pStyle w:val="paranumber"/>
      </w:pPr>
      <w:r>
        <w:lastRenderedPageBreak/>
        <w:t>МОК будет стремиться в соответствующих случаях обеспечивать онлайновое размещение материалов учебных курсов для совместного использования.</w:t>
      </w:r>
    </w:p>
    <w:p w14:paraId="20369817" w14:textId="25DB1056" w:rsidR="002E0C01" w:rsidRPr="00777226" w:rsidRDefault="002E0C01" w:rsidP="00D245DE">
      <w:pPr>
        <w:jc w:val="both"/>
      </w:pPr>
      <w:r>
        <w:rPr>
          <w:b/>
          <w:bCs/>
          <w:u w:val="single"/>
        </w:rPr>
        <w:t>Направление деятельности 1.3</w:t>
      </w:r>
      <w:r w:rsidR="00D245DE">
        <w:rPr>
          <w:b/>
          <w:bCs/>
          <w:u w:val="single"/>
        </w:rPr>
        <w:t xml:space="preserve">: </w:t>
      </w:r>
      <w:r>
        <w:rPr>
          <w:b/>
          <w:bCs/>
          <w:u w:val="single"/>
        </w:rPr>
        <w:t>Совместное использование накопленных знаний и опыта, в том числе через укрепление профессионального сообщества</w:t>
      </w:r>
    </w:p>
    <w:p w14:paraId="69756E17" w14:textId="330C35FA" w:rsidR="002E0C01" w:rsidRPr="00777226" w:rsidRDefault="002E0C01" w:rsidP="003E5AD5">
      <w:pPr>
        <w:numPr>
          <w:ilvl w:val="0"/>
          <w:numId w:val="25"/>
        </w:numPr>
        <w:spacing w:before="240" w:after="240"/>
        <w:ind w:left="567" w:hanging="567"/>
      </w:pPr>
      <w:r>
        <w:rPr>
          <w:b/>
          <w:bCs/>
        </w:rPr>
        <w:t>Мера 1.3.1 – Создание «фонда» субсидий на оплату проезда</w:t>
      </w:r>
    </w:p>
    <w:p w14:paraId="00C131DA" w14:textId="46E8ADCA" w:rsidR="00CB49E9" w:rsidRPr="00777226" w:rsidRDefault="00CB49E9" w:rsidP="00842993">
      <w:pPr>
        <w:pStyle w:val="paranumber"/>
      </w:pPr>
      <w:r>
        <w:t>Обмен результатами научных исследований и опытом с коллегами является одним из важнейших компонентов научно-исследовательской деятельности, научного прогресса и развития потенциала. На сегодняшний день МОК не располагает специальным «фондом» субсидий на оплату проезда для участия в мероприятиях, касающихся развития потенциала, который позволял бы исследователям принимать участие в конференциях и практических семинарах (исключение составляют семинары, организуемые МОК). В ряде случаев поддержку на эти цели оказывают глобальные программы или региональные подкомиссии и комитеты. Список организаций-партнеров, оказывающих такую поддержку, размещен на веб-портале по тематике развития потенциала в области морских наук.</w:t>
      </w:r>
    </w:p>
    <w:p w14:paraId="455033E0" w14:textId="4F71C34B" w:rsidR="00CB49E9" w:rsidRPr="00777226" w:rsidRDefault="00CB49E9" w:rsidP="00842993">
      <w:pPr>
        <w:pStyle w:val="paranumber"/>
      </w:pPr>
      <w:r>
        <w:t>МОК изучит механизмы для создания/укрепления программ обмена знаниями и опытом на региональном и глобальном уровнях за счет предоставления субсидий на оплату проезда.</w:t>
      </w:r>
    </w:p>
    <w:p w14:paraId="2D5D2BBE" w14:textId="675FF06E" w:rsidR="002E0C01" w:rsidRPr="00777226" w:rsidRDefault="002E0C01" w:rsidP="00D245DE">
      <w:pPr>
        <w:numPr>
          <w:ilvl w:val="0"/>
          <w:numId w:val="25"/>
        </w:numPr>
        <w:spacing w:before="240" w:after="240"/>
        <w:ind w:left="567" w:hanging="567"/>
        <w:jc w:val="both"/>
      </w:pPr>
      <w:r>
        <w:rPr>
          <w:b/>
          <w:bCs/>
        </w:rPr>
        <w:t>Мера 1.3.2 – Осуществление программы наставничества или взаимодействие с другими организациями в рамках такой программы</w:t>
      </w:r>
    </w:p>
    <w:p w14:paraId="2614743C" w14:textId="77777777" w:rsidR="006A6774" w:rsidRDefault="00CB49E9" w:rsidP="00842993">
      <w:pPr>
        <w:pStyle w:val="paranumber"/>
      </w:pPr>
      <w:r>
        <w:t>Наставничество позволяет молодым (начинающим) ученым взаимодействовать с опытными коллегами. Это может быть очень эффективным и действенным методом передачи практического опыта. Наставничество дает наилучшие результаты, если наставник и ученик имеют возможность работать вместе. МОК изучит механизмы для создания программы наставничества в рамках профильных сообществ МОК. Список организаций, осуществляющих программы наставничества, размещен на веб-портале по тематике развития потенциала в области морских наук.</w:t>
      </w:r>
    </w:p>
    <w:p w14:paraId="7CEC9471" w14:textId="5F6E5089" w:rsidR="00CB49E9" w:rsidRPr="00777226" w:rsidRDefault="002E0C01" w:rsidP="00D245DE">
      <w:pPr>
        <w:numPr>
          <w:ilvl w:val="0"/>
          <w:numId w:val="25"/>
        </w:numPr>
        <w:spacing w:before="240" w:after="240"/>
        <w:ind w:left="567" w:hanging="567"/>
        <w:jc w:val="both"/>
      </w:pPr>
      <w:r>
        <w:rPr>
          <w:b/>
        </w:rPr>
        <w:t>Мера 1.3.3 – Поощрение и оказание поддержки в создании сетей выпускников учебных программ МОК</w:t>
      </w:r>
    </w:p>
    <w:p w14:paraId="4EB35662" w14:textId="77777777" w:rsidR="00CB49E9" w:rsidRPr="00777226" w:rsidRDefault="00CB49E9" w:rsidP="00842993">
      <w:pPr>
        <w:pStyle w:val="paranumber"/>
      </w:pPr>
      <w:r>
        <w:t>МОК имеет многолетний опыт в области профессиональной подготовки в различных регионах, а лица, принимавшие в ней участие, составляют сегодня «резерв» выпускников МОК. Этот резерв можно напрямую отнести к сообществу специалистов-практиков МОК, что создает широкую базу участников программной деятельности МОК и расширяет возможности сетевого взаимодействия между экспертами. Данная группа может оказать МОК полезное содействие: благодаря мониторингу профессиональной карьеры своих выпускников МОК имеет возможность оценить эффективность своих учебных программ. Со своей стороны, выпускники могут делиться с МОК своими комментариями и пожеланиями, что будет способствовать совершенствованию программ подготовки. Система учета выпускников МОК/МООД</w:t>
      </w:r>
      <w:r w:rsidRPr="00777226">
        <w:rPr>
          <w:vertAlign w:val="superscript"/>
        </w:rPr>
        <w:footnoteReference w:id="7"/>
      </w:r>
      <w:r>
        <w:t xml:space="preserve"> позволяет вести реестр выпускников в разбивке по странам и году обучения. Указанная система связана с глобальным реестром специалистов «Океан-Эксперт»</w:t>
      </w:r>
      <w:r w:rsidRPr="00777226">
        <w:rPr>
          <w:vertAlign w:val="superscript"/>
        </w:rPr>
        <w:footnoteReference w:id="8"/>
      </w:r>
      <w:r>
        <w:t>, что до некоторой степени позволяет отслеживать их профессиональную карьеру. МОК планирует создать онлайновую платформу, посвященную сообществу выпускников, всех, кто принимал участие в ее учебных мероприятиях, а также разработать соответствующий механизм, который обеспечит функционирование этой системы.</w:t>
      </w:r>
    </w:p>
    <w:p w14:paraId="36C66688" w14:textId="77777777" w:rsidR="006A6774" w:rsidRPr="00FA1BD8" w:rsidRDefault="002E0C01" w:rsidP="00D245DE">
      <w:pPr>
        <w:keepNext/>
        <w:keepLines/>
        <w:numPr>
          <w:ilvl w:val="0"/>
          <w:numId w:val="25"/>
        </w:numPr>
        <w:spacing w:before="240" w:after="240"/>
        <w:ind w:left="567" w:hanging="567"/>
        <w:jc w:val="both"/>
      </w:pPr>
      <w:r w:rsidRPr="00FA1BD8">
        <w:rPr>
          <w:b/>
        </w:rPr>
        <w:lastRenderedPageBreak/>
        <w:t>Мера 1.3.4 – Популяризация программ финансирования, субсидий и стипендий в поддержку морских научных исследований, технических разработок и научного обмена путем распространения информации об имеющихся возможностях через веб-портал по тематике развития потенциала</w:t>
      </w:r>
    </w:p>
    <w:p w14:paraId="7A3844F8" w14:textId="77777777" w:rsidR="006A6774" w:rsidRDefault="00CB49E9" w:rsidP="00842993">
      <w:pPr>
        <w:pStyle w:val="paranumber"/>
      </w:pPr>
      <w:r>
        <w:t>Существенную роль в обеспечении морских научных исследований, технических разработок и научного обмена играют исследовательские гранты и организации, предоставляющие соответствующую финансовую поддержку. Отсутствие у имеющих необходимую квалификацию специалистов этой значимой информации мешает им воспользоваться подобными возможностями. Распространению информации о потенциальных возможностях будет служить ее включение в онлайновый справочник МОК, снабженный удобным инструментом поиска сведений о доступном финансировании и имеющихся стипендиях.</w:t>
      </w:r>
    </w:p>
    <w:p w14:paraId="70CD1F4E" w14:textId="713E4077" w:rsidR="002E0C01" w:rsidRPr="001F5C46" w:rsidRDefault="002E0C01" w:rsidP="00D245DE">
      <w:pPr>
        <w:spacing w:after="240"/>
        <w:jc w:val="both"/>
        <w:rPr>
          <w:b/>
          <w:bCs/>
          <w:u w:val="single"/>
        </w:rPr>
      </w:pPr>
      <w:r w:rsidRPr="00B154D4">
        <w:rPr>
          <w:b/>
          <w:bCs/>
          <w:u w:val="single"/>
        </w:rPr>
        <w:t>Направление деятельности 1.4</w:t>
      </w:r>
      <w:r w:rsidR="00D245DE" w:rsidRPr="00B154D4">
        <w:rPr>
          <w:b/>
          <w:bCs/>
          <w:u w:val="single"/>
        </w:rPr>
        <w:t xml:space="preserve">: </w:t>
      </w:r>
      <w:r w:rsidRPr="00B154D4">
        <w:rPr>
          <w:b/>
          <w:bCs/>
          <w:u w:val="single"/>
        </w:rPr>
        <w:t>Включение базовых научных знаний об океане в программу начальной и основной средней школы</w:t>
      </w:r>
    </w:p>
    <w:p w14:paraId="42F4564B" w14:textId="50B7FC2A" w:rsidR="00CB49E9" w:rsidRPr="001F5C46" w:rsidRDefault="00CB49E9" w:rsidP="00D245DE">
      <w:pPr>
        <w:numPr>
          <w:ilvl w:val="0"/>
          <w:numId w:val="25"/>
        </w:numPr>
        <w:spacing w:before="240" w:after="240"/>
        <w:ind w:left="567" w:hanging="567"/>
        <w:jc w:val="both"/>
        <w:rPr>
          <w:b/>
          <w:bCs/>
        </w:rPr>
      </w:pPr>
      <w:r>
        <w:rPr>
          <w:b/>
          <w:bCs/>
        </w:rPr>
        <w:t>Мера 1.4.1 – Поощрение включения базовых научных знаний об океане в учебные программы начальной и средней школы</w:t>
      </w:r>
    </w:p>
    <w:p w14:paraId="185FC18A" w14:textId="657154E1" w:rsidR="00CB49E9" w:rsidRPr="00777226" w:rsidRDefault="00CB49E9" w:rsidP="00842993">
      <w:pPr>
        <w:pStyle w:val="paranumber"/>
        <w:rPr>
          <w:b/>
          <w:bCs/>
          <w:color w:val="000000"/>
        </w:rPr>
      </w:pPr>
      <w:r>
        <w:rPr>
          <w:shd w:val="clear" w:color="auto" w:fill="FFFFFF"/>
        </w:rPr>
        <w:t>Инструментом повышения грамотности о связанных с океаном вопросах среди обучающихся, педагогического сообщества и других заинтересованных сторон может стать включение базовых научных знаний об океане в учебные программы начальной и средней школы. МОК изучит механизмы, которые будут способствовать включению проблематики океана в программу начальных и средних школ.</w:t>
      </w:r>
    </w:p>
    <w:p w14:paraId="27D2B6E2" w14:textId="2C23B3BD" w:rsidR="00CB49E9" w:rsidRPr="001F5C46" w:rsidRDefault="009C2D64" w:rsidP="00D245DE">
      <w:pPr>
        <w:numPr>
          <w:ilvl w:val="0"/>
          <w:numId w:val="25"/>
        </w:numPr>
        <w:spacing w:before="240" w:after="240"/>
        <w:ind w:left="567" w:hanging="567"/>
        <w:jc w:val="both"/>
        <w:rPr>
          <w:b/>
          <w:bCs/>
        </w:rPr>
      </w:pPr>
      <w:r>
        <w:rPr>
          <w:b/>
          <w:bCs/>
        </w:rPr>
        <w:t>Мера 1.4.2 – Популяризация профессий, связанных с изучением океанов и управлением морскими ресурсами</w:t>
      </w:r>
    </w:p>
    <w:p w14:paraId="2A08E5B4" w14:textId="77777777" w:rsidR="006A6774" w:rsidRDefault="00CB49E9" w:rsidP="00842993">
      <w:pPr>
        <w:pStyle w:val="paranumber"/>
        <w:rPr>
          <w:shd w:val="clear" w:color="auto" w:fill="FFFFFF"/>
        </w:rPr>
      </w:pPr>
      <w:r>
        <w:rPr>
          <w:shd w:val="clear" w:color="auto" w:fill="FFFFFF"/>
        </w:rPr>
        <w:t>Для облегчения доступа к информации об имеющихся возможностях получения профессии, связанной с исследованием океанов и управлением морскими ресурсами, МОК создаст онлайновую платформу, на которой будет размещен глобальный перечень мероприятий и программ по развитию потенциала в области морских наук, осуществляемых различными организациями и учреждениями по всему миру.</w:t>
      </w:r>
    </w:p>
    <w:p w14:paraId="3454AC65" w14:textId="68765A87" w:rsidR="0050750D" w:rsidRPr="001F5C46" w:rsidRDefault="0050750D" w:rsidP="0050750D">
      <w:pPr>
        <w:pBdr>
          <w:top w:val="nil"/>
          <w:left w:val="nil"/>
          <w:bottom w:val="nil"/>
          <w:right w:val="nil"/>
          <w:between w:val="nil"/>
        </w:pBdr>
        <w:tabs>
          <w:tab w:val="left" w:pos="709"/>
        </w:tabs>
        <w:spacing w:after="240"/>
        <w:jc w:val="both"/>
        <w:rPr>
          <w:color w:val="000000"/>
          <w:u w:val="single"/>
        </w:rPr>
      </w:pPr>
      <w:r>
        <w:rPr>
          <w:b/>
          <w:bCs/>
          <w:u w:val="single"/>
        </w:rPr>
        <w:t>Направление деятельности 1.5</w:t>
      </w:r>
      <w:r w:rsidR="00D245DE">
        <w:rPr>
          <w:b/>
          <w:bCs/>
          <w:u w:val="single"/>
        </w:rPr>
        <w:t xml:space="preserve">: </w:t>
      </w:r>
      <w:r>
        <w:rPr>
          <w:b/>
          <w:bCs/>
          <w:u w:val="single"/>
        </w:rPr>
        <w:t>Повышение гендерного, возрастного и географического многообразия</w:t>
      </w:r>
    </w:p>
    <w:p w14:paraId="4D904CC1" w14:textId="77777777" w:rsidR="006A6774" w:rsidRDefault="0050750D" w:rsidP="00842993">
      <w:pPr>
        <w:pStyle w:val="paranumber"/>
      </w:pPr>
      <w:r>
        <w:t xml:space="preserve">Гендерное равенство </w:t>
      </w:r>
      <w:proofErr w:type="gramStart"/>
      <w:r>
        <w:t>продолжает оставаться</w:t>
      </w:r>
      <w:proofErr w:type="gramEnd"/>
      <w:r>
        <w:t xml:space="preserve"> одним из двух глобальных приоритетов ЮНЕСКО, каковым оно было определено в рамках Среднесрочной стратегии Организации на 2008-2013 гг.) В Среднесрочной стратегии ЮНЕСКО на 2022-2029 гг. это направление деятельности сохранило статус приоритетного направления работы. План действий ЮНЕСКО по приоритету «Гендерное равенство» на 2014-2021 гг. (ПДГР II) обеспечил общие принципы деятельности в этой области. В нем объясняется значимость гендерного равенства для ЮНЕСКО и сформулированы руководящие принципы деятельности, посредством которой Организация обеспечит отражение аспектов, касающихся гендерного равенства, в своих стратегиях, программах и подходах, а также их продвижение не только в рамках работы Секретариата, но и во взаимодействии ЮНЕСКО с ее государствами-членами.</w:t>
      </w:r>
    </w:p>
    <w:p w14:paraId="12A34367" w14:textId="3260FB2A" w:rsidR="0050750D" w:rsidRPr="001F5C46" w:rsidRDefault="00A13CED" w:rsidP="00D245DE">
      <w:pPr>
        <w:numPr>
          <w:ilvl w:val="0"/>
          <w:numId w:val="25"/>
        </w:numPr>
        <w:spacing w:before="240" w:after="240"/>
        <w:ind w:left="567" w:hanging="567"/>
        <w:jc w:val="both"/>
        <w:rPr>
          <w:b/>
          <w:bCs/>
        </w:rPr>
      </w:pPr>
      <w:r>
        <w:rPr>
          <w:b/>
          <w:bCs/>
        </w:rPr>
        <w:t>Мера 1.5.1 – Поощрение участия женщин в морской научно-исследовательской деятельности</w:t>
      </w:r>
    </w:p>
    <w:p w14:paraId="584CAD51" w14:textId="77777777" w:rsidR="00A13CED" w:rsidRPr="00777226" w:rsidRDefault="00A13CED" w:rsidP="00842993">
      <w:pPr>
        <w:pStyle w:val="paranumber"/>
      </w:pPr>
      <w:r>
        <w:t>Государствам-членам настоятельно рекомендуется стремиться к сбалансированному соотношению мужчин и женщин, работающих в области морских научных исследований, наблюдений за океаном и других областях, относящихся к мандату МОК.</w:t>
      </w:r>
    </w:p>
    <w:p w14:paraId="4EEF8038" w14:textId="77777777" w:rsidR="006A6774" w:rsidRDefault="00A13CED" w:rsidP="00842993">
      <w:pPr>
        <w:pStyle w:val="paranumber"/>
      </w:pPr>
      <w:r>
        <w:lastRenderedPageBreak/>
        <w:t>Государствам-членам настоятельно предлагается обеспечить женщинам и мужчинам равные возможности получения профессиональной подготовки (см. все меры, рекомендованные в рамках целевой задачи 1).</w:t>
      </w:r>
    </w:p>
    <w:p w14:paraId="630C93F2" w14:textId="6B27B6A8" w:rsidR="006A6774" w:rsidRDefault="00A13CED" w:rsidP="00842993">
      <w:pPr>
        <w:pStyle w:val="paranumber"/>
      </w:pPr>
      <w:r>
        <w:t>МОК предпримет дополнительные усилия, с тем чтобы увеличить долю женщин, участвующих в организуемых Комиссией тренингах и других мероприятиях в области развития потенциала, и обеспечит мониторинг результатов, достигнутых благодаря данной мере, с помощью системы учета своих выпускников (см. мероприятия, предусмотренные в рамках меры</w:t>
      </w:r>
      <w:r w:rsidR="00D245DE">
        <w:t> </w:t>
      </w:r>
      <w:r>
        <w:t>1.3.3).</w:t>
      </w:r>
    </w:p>
    <w:p w14:paraId="7A9DA33C" w14:textId="5516B437" w:rsidR="00A13CED" w:rsidRPr="00777226" w:rsidRDefault="00A13CED" w:rsidP="00D245DE">
      <w:pPr>
        <w:numPr>
          <w:ilvl w:val="0"/>
          <w:numId w:val="25"/>
        </w:numPr>
        <w:spacing w:before="240" w:after="240"/>
        <w:ind w:left="567" w:hanging="567"/>
        <w:jc w:val="both"/>
      </w:pPr>
      <w:r>
        <w:rPr>
          <w:b/>
        </w:rPr>
        <w:t>1.5.2 –</w:t>
      </w:r>
      <w:r>
        <w:rPr>
          <w:b/>
          <w:bCs/>
        </w:rPr>
        <w:t xml:space="preserve"> Популяризация и поддержка премий для молодых ученых и женщин, занимающихся наукой</w:t>
      </w:r>
    </w:p>
    <w:p w14:paraId="043CEED1" w14:textId="11918789" w:rsidR="00A13CED" w:rsidRPr="00777226" w:rsidRDefault="00A13CED" w:rsidP="00842993">
      <w:pPr>
        <w:pStyle w:val="paranumber"/>
      </w:pPr>
      <w:r>
        <w:t>Присуждение премий способствует общественному признанию и может привнести в исследовательскую среду (положительный) элемент соревновательности. Премии могут включать в себя диплом, денежное вознаграждение, оборудование, медаль, грант на покрытие путевых расходов или обучение или определенную комбинацию перечисленных элементов. Список организаций, оказывающих такую поддержку, размещен на веб-портале по тематике развития потенциала в области морских наук.</w:t>
      </w:r>
    </w:p>
    <w:p w14:paraId="2D3357DC" w14:textId="2A99CC90" w:rsidR="0050750D" w:rsidRDefault="00A13CED" w:rsidP="00842993">
      <w:pPr>
        <w:pStyle w:val="paranumber"/>
      </w:pPr>
      <w:r>
        <w:t>МОК продолжит изучать возможные механизмы популяризации и поддержки инициатив в области признания заслуг и вознаграждения молодых ученых, в частности, на региональном уровне.</w:t>
      </w:r>
    </w:p>
    <w:p w14:paraId="38821514" w14:textId="5B253C4E" w:rsidR="002E0C01" w:rsidRPr="000F0A3F" w:rsidRDefault="002E0C01" w:rsidP="00842993">
      <w:pPr>
        <w:pBdr>
          <w:top w:val="single" w:sz="4" w:space="1" w:color="auto"/>
          <w:left w:val="single" w:sz="4" w:space="4" w:color="auto"/>
          <w:bottom w:val="single" w:sz="4" w:space="1" w:color="auto"/>
          <w:right w:val="single" w:sz="4" w:space="0" w:color="auto"/>
        </w:pBdr>
        <w:spacing w:after="240"/>
        <w:jc w:val="both"/>
      </w:pPr>
      <w:r>
        <w:rPr>
          <w:b/>
          <w:bCs/>
        </w:rPr>
        <w:t>Целевая задача 2.</w:t>
      </w:r>
      <w:r w:rsidR="00D245DE">
        <w:t xml:space="preserve"> </w:t>
      </w:r>
      <w:r>
        <w:rPr>
          <w:b/>
          <w:bCs/>
        </w:rPr>
        <w:t>Обеспечение или расширение доступа к технологиям, физической инфраструктуре, данным и информации</w:t>
      </w:r>
    </w:p>
    <w:p w14:paraId="5A5EE9FE" w14:textId="7A567620" w:rsidR="002E0C01" w:rsidRPr="00777226" w:rsidRDefault="002E0C01" w:rsidP="00842993">
      <w:pPr>
        <w:pStyle w:val="paranumber"/>
      </w:pPr>
      <w:r>
        <w:t>Для изучения океана и осуществления океанографических наблюдений необходима серьезная материально-техническая база, включая научно-исследовательские суда, научное оборудование и инструменты, помещения, подключение к сетям (доступ к широкополосному интернету, бесперебойное энергоснабжение) и т.п. Создание такой инфраструктуры, ее эксплуатация и обслуживание связаны со значительными расходами (взять, к примеру, научно-исследовательские суда). Странам с низким уровнем дохода особенно трудно нести в одиночку подобные расходы и содержать такую инфраструктуру. Первоначальное финансирование для обеспечения закупок и эксплуатации необходимых технических средств в течение определенного периода (5-10 лет) может предоставляться донорам, однако обязанности по долгосрочному обслуживанию и ремонту государства-члены вынуждены брать на себя.</w:t>
      </w:r>
    </w:p>
    <w:p w14:paraId="06438F91" w14:textId="7129651D" w:rsidR="002E0C01" w:rsidRPr="00777226" w:rsidRDefault="002E0C01" w:rsidP="00842993">
      <w:pPr>
        <w:pStyle w:val="paranumber"/>
      </w:pPr>
      <w:r>
        <w:t>МОК не имеет возможности финансировать содержание крупных объектов физической инфраструктуры (здания, оборудование, научно-исследовательские суда), но при этом может содействовать в доступе к соответствующей инфраструктуре на уровне региона.</w:t>
      </w:r>
      <w:r w:rsidR="00216B88">
        <w:t xml:space="preserve"> </w:t>
      </w:r>
      <w:r>
        <w:t>Существующие глобальные и региональные программы МОК могут поощрять создание условий для более широкого доступа к основной инфраструктуре и ее содержания, что будет способствовать расширению участия государств-членов в указанных программах, получение ими связанных с таким участием выгод и обеспечению обслуживания и текущего ремонта соответствующей инфраструктуры.</w:t>
      </w:r>
    </w:p>
    <w:p w14:paraId="68E75C6E" w14:textId="77777777" w:rsidR="002E0C01" w:rsidRPr="00777226" w:rsidRDefault="002E0C01" w:rsidP="00842993">
      <w:pPr>
        <w:pStyle w:val="paranumber"/>
      </w:pPr>
      <w:r>
        <w:t>В связи с вышесказанным было бы целесообразно возложить координацию предлагаемых ниже мер на региональные подкомиссии.</w:t>
      </w:r>
    </w:p>
    <w:p w14:paraId="21FE9063" w14:textId="77B9A135" w:rsidR="002E0C01" w:rsidRPr="00777226" w:rsidRDefault="002E0C01" w:rsidP="00842993">
      <w:pPr>
        <w:keepNext/>
        <w:jc w:val="both"/>
      </w:pPr>
      <w:r>
        <w:rPr>
          <w:b/>
          <w:bCs/>
          <w:szCs w:val="22"/>
          <w:u w:val="single"/>
        </w:rPr>
        <w:lastRenderedPageBreak/>
        <w:t xml:space="preserve">Направление деятельности </w:t>
      </w:r>
      <w:r>
        <w:rPr>
          <w:b/>
          <w:szCs w:val="22"/>
          <w:u w:val="single"/>
        </w:rPr>
        <w:t>2.1</w:t>
      </w:r>
      <w:r w:rsidR="00842993">
        <w:rPr>
          <w:b/>
          <w:szCs w:val="22"/>
          <w:u w:val="single"/>
        </w:rPr>
        <w:t xml:space="preserve">: </w:t>
      </w:r>
      <w:r>
        <w:rPr>
          <w:b/>
          <w:szCs w:val="22"/>
          <w:u w:val="single"/>
        </w:rPr>
        <w:t>Обеспечение доступа к технологиям и инфраструктуре</w:t>
      </w:r>
    </w:p>
    <w:p w14:paraId="3DF5DC97" w14:textId="2CD1EECD" w:rsidR="002E0C01" w:rsidRPr="00777226" w:rsidRDefault="002E0C01" w:rsidP="00842993">
      <w:pPr>
        <w:keepNext/>
        <w:numPr>
          <w:ilvl w:val="0"/>
          <w:numId w:val="25"/>
        </w:numPr>
        <w:spacing w:before="240" w:after="240"/>
        <w:ind w:left="567" w:hanging="567"/>
        <w:jc w:val="both"/>
      </w:pPr>
      <w:r>
        <w:rPr>
          <w:b/>
          <w:bCs/>
        </w:rPr>
        <w:t>Мера 2.1.1 – Создание и ведение реестра инфраструктуры для облегчения доступа и содействия передаче морской технологии</w:t>
      </w:r>
    </w:p>
    <w:p w14:paraId="05411302" w14:textId="77777777" w:rsidR="002E0C01" w:rsidRPr="00777226" w:rsidRDefault="002E0C01" w:rsidP="00842993">
      <w:pPr>
        <w:pStyle w:val="paranumber"/>
      </w:pPr>
      <w:r>
        <w:t>Для составления общего представления об имеющейся у учреждений государств-членов крупной научно-исследовательской инфраструктуры МОК изучит возможность создания онлайнового реестра инфраструктуры, которая может быть предоставлена для совместного использования. В необходимых случаях эта работа должна проводиться в консультации и во взаимодействии с партнерами.</w:t>
      </w:r>
    </w:p>
    <w:p w14:paraId="358AA073" w14:textId="30DCCBCD" w:rsidR="002E0C01" w:rsidRPr="00777226" w:rsidRDefault="002E0C01" w:rsidP="00842993">
      <w:pPr>
        <w:numPr>
          <w:ilvl w:val="0"/>
          <w:numId w:val="25"/>
        </w:numPr>
        <w:spacing w:before="240" w:after="240"/>
        <w:ind w:left="567" w:hanging="567"/>
        <w:jc w:val="both"/>
        <w:rPr>
          <w:b/>
        </w:rPr>
      </w:pPr>
      <w:r>
        <w:rPr>
          <w:b/>
        </w:rPr>
        <w:t>Мера 2.1.2</w:t>
      </w:r>
      <w:r w:rsidR="00216B88">
        <w:rPr>
          <w:b/>
        </w:rPr>
        <w:t xml:space="preserve"> </w:t>
      </w:r>
      <w:r>
        <w:rPr>
          <w:b/>
        </w:rPr>
        <w:t xml:space="preserve">– Содействие развитию регионального сотрудничества по созданию </w:t>
      </w:r>
      <w:proofErr w:type="spellStart"/>
      <w:r>
        <w:rPr>
          <w:b/>
        </w:rPr>
        <w:t>экобезопасной</w:t>
      </w:r>
      <w:proofErr w:type="spellEnd"/>
      <w:r>
        <w:rPr>
          <w:b/>
        </w:rPr>
        <w:t xml:space="preserve"> научной инфраструктуры</w:t>
      </w:r>
    </w:p>
    <w:p w14:paraId="038697D7" w14:textId="7E268641" w:rsidR="00E93B72" w:rsidRPr="00777226" w:rsidRDefault="002E0C01" w:rsidP="00842993">
      <w:pPr>
        <w:pStyle w:val="paranumber"/>
      </w:pPr>
      <w:r>
        <w:t>Основываясь на вышеупомянутом реестре, МОК необходимо в консультации с государствами-членами и другими соответствующими организациями поощрять создание (преимущественно на региональном уровне) механизмов, облегчающи</w:t>
      </w:r>
      <w:r w:rsidR="0038640C">
        <w:t>х</w:t>
      </w:r>
      <w:r>
        <w:t xml:space="preserve"> доступ к инфраструктуре и предоставляемым ею услугам, а также способствовать развитию потенциала для использования такой инфраструктуры. В необходимых случаях МОК может оказать содействие в налаживании сотрудничества между государствами-членами с целью совместного приобретения и обслуживания инфраструктуры, а также мобилизации необходимой поддержки из других источников.</w:t>
      </w:r>
    </w:p>
    <w:p w14:paraId="70B13298" w14:textId="2A8EB93D" w:rsidR="00E93B72" w:rsidRPr="00777226" w:rsidRDefault="00E93B72" w:rsidP="00842993">
      <w:pPr>
        <w:numPr>
          <w:ilvl w:val="0"/>
          <w:numId w:val="25"/>
        </w:numPr>
        <w:spacing w:before="240" w:after="240"/>
        <w:ind w:left="567" w:hanging="567"/>
        <w:jc w:val="both"/>
      </w:pPr>
      <w:r>
        <w:rPr>
          <w:b/>
        </w:rPr>
        <w:t>Мера 2.1.3 – Содействие расширению вклада «гражданской науки» в изучение Мирового океана</w:t>
      </w:r>
    </w:p>
    <w:p w14:paraId="398010C0" w14:textId="464A5E59" w:rsidR="00E93B72" w:rsidRPr="00777226" w:rsidRDefault="00E93B72" w:rsidP="00842993">
      <w:pPr>
        <w:pStyle w:val="paranumber"/>
      </w:pPr>
      <w:r>
        <w:t>Вовлечение населения в сбор научных данных, аналитическую работу и совместное планирование научно-исследовательских мероприятий будет побуждать граждан к изучению проблем, связанных с океаном, и к участию в их решении. МОК изучит механизмы, которые будут способствовать популяризации и более широкому учету потенциала «гражданской науки» в национальных программах и стратегиях, связанных с научно-исследовательской деятельностью.</w:t>
      </w:r>
    </w:p>
    <w:p w14:paraId="7025410F" w14:textId="0992E79D" w:rsidR="00E93B72" w:rsidRPr="00777226" w:rsidRDefault="00E93B72" w:rsidP="00842993">
      <w:pPr>
        <w:jc w:val="both"/>
        <w:rPr>
          <w:sz w:val="21"/>
          <w:szCs w:val="21"/>
        </w:rPr>
      </w:pPr>
      <w:r>
        <w:rPr>
          <w:b/>
          <w:bCs/>
          <w:u w:val="single"/>
        </w:rPr>
        <w:t xml:space="preserve">Направление деятельности </w:t>
      </w:r>
      <w:r>
        <w:rPr>
          <w:b/>
          <w:u w:val="single"/>
        </w:rPr>
        <w:t>2.2</w:t>
      </w:r>
      <w:r w:rsidR="00842993">
        <w:rPr>
          <w:b/>
          <w:u w:val="single"/>
        </w:rPr>
        <w:t xml:space="preserve">: </w:t>
      </w:r>
      <w:r>
        <w:rPr>
          <w:b/>
          <w:u w:val="single"/>
        </w:rPr>
        <w:t>Содействие равноправному доступу к данным и информации о морской среде и их совместному использованию</w:t>
      </w:r>
    </w:p>
    <w:p w14:paraId="603DC13A" w14:textId="1C585B25" w:rsidR="00E93B72" w:rsidRPr="00777226" w:rsidRDefault="00E93B72" w:rsidP="00842993">
      <w:pPr>
        <w:keepNext/>
        <w:numPr>
          <w:ilvl w:val="0"/>
          <w:numId w:val="25"/>
        </w:numPr>
        <w:spacing w:before="240" w:after="240"/>
        <w:ind w:left="567" w:hanging="567"/>
        <w:jc w:val="both"/>
        <w:rPr>
          <w:sz w:val="21"/>
          <w:szCs w:val="21"/>
        </w:rPr>
      </w:pPr>
      <w:r>
        <w:rPr>
          <w:b/>
        </w:rPr>
        <w:t>Мера 2.2.1 – Содействие развитию и широкому использованию региональных и глобальных систем данных и информации</w:t>
      </w:r>
    </w:p>
    <w:p w14:paraId="024AFF8E" w14:textId="431E7AE7" w:rsidR="006A6774" w:rsidRDefault="00E93B72" w:rsidP="00842993">
      <w:pPr>
        <w:pStyle w:val="paranumber"/>
      </w:pPr>
      <w:r>
        <w:t>Идея оказания услуг, связанных с предоставлением данных и информации в интересах глобального общественного блага, занимает центральное место в Стратегическом плане МОК по управлению</w:t>
      </w:r>
      <w:r w:rsidR="00216B88">
        <w:t xml:space="preserve"> </w:t>
      </w:r>
      <w:r>
        <w:t>океанографическими данными и информацией, предусматривающем создание «всеобъемлющей и комплексной системы океанографических данных и информации, способной удовлетворять широкие и разнообразные потребности государств – членов МОК и используемой как в обычных практических, так и в научных целях». МОК продолжит усилия по созданию глобальной системы данных и информации с целью совершенствования управления и обмена океанографическими данными и информацией на региональном уровне, в том числе в интересах развития морской науки и оперативной океанографии, комплексного управления прибрежными районами и осуществления программ, направленных на уменьшение опасности стихийных бедствий.</w:t>
      </w:r>
    </w:p>
    <w:p w14:paraId="6B0802EE" w14:textId="74948F51" w:rsidR="00E93B72" w:rsidRPr="00777226" w:rsidRDefault="00E93B72" w:rsidP="00842993">
      <w:pPr>
        <w:numPr>
          <w:ilvl w:val="0"/>
          <w:numId w:val="25"/>
        </w:numPr>
        <w:spacing w:before="240" w:after="240"/>
        <w:ind w:left="567" w:hanging="567"/>
        <w:jc w:val="both"/>
        <w:rPr>
          <w:b/>
          <w:bCs/>
          <w:sz w:val="21"/>
          <w:szCs w:val="21"/>
        </w:rPr>
      </w:pPr>
      <w:r>
        <w:rPr>
          <w:b/>
          <w:bCs/>
        </w:rPr>
        <w:t>Мера 2.2.2 – Содействие обмену океанографическими данными и информацией между заинтересованными сторонами</w:t>
      </w:r>
    </w:p>
    <w:p w14:paraId="0297CF89" w14:textId="2B40C158" w:rsidR="00E93B72" w:rsidRPr="00777226" w:rsidRDefault="00E93B72" w:rsidP="00842993">
      <w:pPr>
        <w:pStyle w:val="paranumber"/>
      </w:pPr>
      <w:r>
        <w:t xml:space="preserve">Ускорение темпов развития и распространения цифровых технологий и совместное использование океанографических данных, информации и результатов исследований заинтересованными сторонами создает условия для обмена опытом, передачи экспертных знаний и </w:t>
      </w:r>
      <w:r>
        <w:lastRenderedPageBreak/>
        <w:t>развития потенциала посредством предоставления разнообразным пользователям информационных продуктов и услуг, связанных с океаном.</w:t>
      </w:r>
      <w:r>
        <w:rPr>
          <w:sz w:val="21"/>
          <w:szCs w:val="21"/>
        </w:rPr>
        <w:t xml:space="preserve"> МОК будет поощрять использование своих платформ для обеспечения равных возможностей совместного доступа к океанографическим данным и информации.</w:t>
      </w:r>
    </w:p>
    <w:p w14:paraId="6F474171" w14:textId="6E4623E2" w:rsidR="002E0C01" w:rsidRPr="000F0A3F" w:rsidRDefault="002E0C01" w:rsidP="00842993">
      <w:pPr>
        <w:pBdr>
          <w:top w:val="single" w:sz="4" w:space="1" w:color="auto"/>
          <w:left w:val="single" w:sz="4" w:space="4" w:color="auto"/>
          <w:bottom w:val="single" w:sz="4" w:space="1" w:color="auto"/>
          <w:right w:val="single" w:sz="4" w:space="4" w:color="auto"/>
        </w:pBdr>
        <w:jc w:val="both"/>
      </w:pPr>
      <w:r>
        <w:rPr>
          <w:b/>
          <w:bCs/>
        </w:rPr>
        <w:t>Целевая задача 3.</w:t>
      </w:r>
      <w:r>
        <w:t xml:space="preserve"> </w:t>
      </w:r>
      <w:r>
        <w:rPr>
          <w:b/>
        </w:rPr>
        <w:t>Укрепление глобальных, региональных и субрегиональных механизмов</w:t>
      </w:r>
    </w:p>
    <w:p w14:paraId="6AD0B6E6" w14:textId="77777777" w:rsidR="00216B88" w:rsidRDefault="002E0C01" w:rsidP="00842993">
      <w:pPr>
        <w:pStyle w:val="paranumber"/>
      </w:pPr>
      <w:r>
        <w:t>Необходимым условием научного прогресса является создание профессиональных сообществ. В контексте МОК можно выделить сообщества в конкретных областях знаний (например, МООД, ВЦВ, ГСНО, морская политика и региональная координация...), имеющие, как правило, глобальный географический охват, а также региональные сообщества, такие как МОКАФРИКА, МОКАРИБ, ИОСИНДИО и ВЕСТПАК.</w:t>
      </w:r>
    </w:p>
    <w:p w14:paraId="7467374F" w14:textId="2418E9DE" w:rsidR="002E0C01" w:rsidRPr="00777226" w:rsidRDefault="002E0C01" w:rsidP="00842993">
      <w:pPr>
        <w:pStyle w:val="paranumber"/>
      </w:pPr>
      <w:r>
        <w:t xml:space="preserve">МОК имеет богатый опыт координации и осуществления деятельности в области развития потенциала в рамках своих региональных подкомиссий и комитетов. Более подробная информация по этому вопросу представлена в разделе III добавления к настоящему документу. Целенаправленные усилия в рамках данной целевой задачи </w:t>
      </w:r>
      <w:proofErr w:type="gramStart"/>
      <w:r>
        <w:t>будут</w:t>
      </w:r>
      <w:proofErr w:type="gramEnd"/>
      <w:r>
        <w:t xml:space="preserve"> в связи с этим сосредоточены на укреплении вышеупомянутых региональных органов и их секретариатов, а также на налаживании их взаимодействия с глобальными программами (что создаст условия для сотрудничества между различными уровнями сообществ специалистов-практиков). Кроме того, осуществляемый в настоящее время проект подготовки </w:t>
      </w:r>
      <w:r>
        <w:rPr>
          <w:i/>
        </w:rPr>
        <w:t>Глобального доклада о состоянии океанографии</w:t>
      </w:r>
      <w:r>
        <w:t xml:space="preserve"> должен внести существенный вклад в понимание потребностей в области развития потенциала на региональном и национальном уровнях.</w:t>
      </w:r>
    </w:p>
    <w:p w14:paraId="36C1D4E6" w14:textId="3F5CD14C" w:rsidR="002E0C01" w:rsidRPr="00777226" w:rsidRDefault="002E0C01" w:rsidP="00842993">
      <w:pPr>
        <w:pStyle w:val="paranumber"/>
      </w:pPr>
      <w:r>
        <w:t>Наряду с укреплением регионального (</w:t>
      </w:r>
      <w:proofErr w:type="spellStart"/>
      <w:r>
        <w:t>межстранового</w:t>
      </w:r>
      <w:proofErr w:type="spellEnd"/>
      <w:r>
        <w:t>) сотрудничества</w:t>
      </w:r>
      <w:r w:rsidR="00216B88">
        <w:t xml:space="preserve"> </w:t>
      </w:r>
      <w:r>
        <w:t>существует необходимость в более тесном взаимодействии на национальном уровне (внутри стран), в первую очередь в контексте осуществления программ МОК. С этой целью в ряде государств-членов были созданы национальные океанографические комитеты или координационные органы, однако многие страны пока не предприняли аналогичные шаги. Такие органы рекомендуется создавать по возможности на высоком уровне государственного управления, с тем чтобы обеспечить интерес со стороны руководящих структур и выделение соответствующих ресурсов.</w:t>
      </w:r>
    </w:p>
    <w:p w14:paraId="4511577E" w14:textId="77777777" w:rsidR="002E0C01" w:rsidRPr="00777226" w:rsidRDefault="002E0C01" w:rsidP="00842993">
      <w:pPr>
        <w:pStyle w:val="paranumber"/>
      </w:pPr>
      <w:r>
        <w:t>Помимо взаимодействия внутри регионов МОК могла бы способствовать развитию межрегионального сотрудничества на уровне подкомиссий и комитетов в целях поощрения обмена высококвалифицированными специалистами, опытом и информацией.</w:t>
      </w:r>
    </w:p>
    <w:p w14:paraId="1B8ABF1E" w14:textId="558991F0" w:rsidR="002E0C01" w:rsidRPr="00777226" w:rsidRDefault="002E0C01" w:rsidP="00842993">
      <w:pPr>
        <w:jc w:val="both"/>
      </w:pPr>
      <w:r>
        <w:rPr>
          <w:b/>
          <w:bCs/>
          <w:u w:val="single"/>
        </w:rPr>
        <w:t xml:space="preserve">Направление деятельности </w:t>
      </w:r>
      <w:r>
        <w:rPr>
          <w:b/>
          <w:u w:val="single"/>
        </w:rPr>
        <w:t>3.1</w:t>
      </w:r>
      <w:r w:rsidR="00842993">
        <w:rPr>
          <w:b/>
          <w:u w:val="single"/>
        </w:rPr>
        <w:t xml:space="preserve">: </w:t>
      </w:r>
      <w:r>
        <w:rPr>
          <w:b/>
          <w:u w:val="single"/>
        </w:rPr>
        <w:t>Дальнейшее укрепление и поддержка секретариатов региональных подкомиссий</w:t>
      </w:r>
    </w:p>
    <w:p w14:paraId="34D29440" w14:textId="3FBFFF9E" w:rsidR="002E0C01" w:rsidRPr="001F5C46" w:rsidRDefault="002E0C01" w:rsidP="00842993">
      <w:pPr>
        <w:numPr>
          <w:ilvl w:val="0"/>
          <w:numId w:val="25"/>
        </w:numPr>
        <w:spacing w:before="240" w:after="240"/>
        <w:ind w:left="567" w:hanging="567"/>
        <w:jc w:val="both"/>
        <w:rPr>
          <w:b/>
          <w:bCs/>
        </w:rPr>
      </w:pPr>
      <w:r>
        <w:rPr>
          <w:b/>
          <w:bCs/>
        </w:rPr>
        <w:t>Мера 3.1.1</w:t>
      </w:r>
      <w:r w:rsidR="00216B88">
        <w:rPr>
          <w:b/>
          <w:bCs/>
        </w:rPr>
        <w:t xml:space="preserve"> </w:t>
      </w:r>
      <w:r>
        <w:rPr>
          <w:b/>
          <w:bCs/>
        </w:rPr>
        <w:t>– Улучшение кадрового обеспечения секретариатов региональных подкомиссий</w:t>
      </w:r>
    </w:p>
    <w:p w14:paraId="7F9839FC" w14:textId="704DA265" w:rsidR="006A6774" w:rsidRDefault="002E0C01" w:rsidP="00842993">
      <w:pPr>
        <w:pStyle w:val="paranumber"/>
      </w:pPr>
      <w:r>
        <w:t>Подкомисси</w:t>
      </w:r>
      <w:r w:rsidR="003A03E7">
        <w:t>и</w:t>
      </w:r>
      <w:r>
        <w:t xml:space="preserve"> МОК представляют собой эффективный децентрализованный механизм управления, позволяющий государствам-членам тесно взаимодействовать на региональном уровне. Этот механизм в значительной степени зависит от эффективности работы секретариатов подкомиссий, которые обеспечивают надлежащее информационное взаимодействие между государствами-членами, а также координацию, осуществление и мониторинг хода реализации мероприятий. МОК необходимо укрепить секретариаты подкомиссий, обеспечив их адекватную укомплектованность кадрами (как с точки зрения численности персонала, так и в плане наличия у сотрудников требуемых профессиональных навыков). Целесообразно, чтобы кадровый состав, обеспечиваемый МОК, дополнялся прикомандированными сотрудниками, предоставляемыми государствами-членами или сотрудничающими с МОК организациями.</w:t>
      </w:r>
    </w:p>
    <w:p w14:paraId="1D234FB4" w14:textId="6E0BBE7F" w:rsidR="006A6774" w:rsidRDefault="005953DA" w:rsidP="00842993">
      <w:pPr>
        <w:keepNext/>
        <w:numPr>
          <w:ilvl w:val="0"/>
          <w:numId w:val="25"/>
        </w:numPr>
        <w:spacing w:after="240"/>
        <w:ind w:left="567" w:hanging="567"/>
        <w:rPr>
          <w:b/>
          <w:bCs/>
        </w:rPr>
      </w:pPr>
      <w:r>
        <w:rPr>
          <w:b/>
          <w:bCs/>
        </w:rPr>
        <w:lastRenderedPageBreak/>
        <w:t>Мера 3.1.2</w:t>
      </w:r>
      <w:r w:rsidR="00216B88">
        <w:rPr>
          <w:b/>
          <w:bCs/>
        </w:rPr>
        <w:t xml:space="preserve"> </w:t>
      </w:r>
      <w:r>
        <w:rPr>
          <w:b/>
          <w:bCs/>
        </w:rPr>
        <w:t>– Укрепление бюджетов региональных подкомиссий</w:t>
      </w:r>
    </w:p>
    <w:p w14:paraId="1344D349" w14:textId="0DF578AD" w:rsidR="002E0C01" w:rsidRPr="00777226" w:rsidRDefault="002E0C01" w:rsidP="00842993">
      <w:pPr>
        <w:pStyle w:val="paranumber"/>
        <w:keepNext/>
        <w:spacing w:before="0"/>
      </w:pPr>
      <w:r>
        <w:t>Учитывая важную роль региональных подкомиссий МОК, а также тот факт, что большинство государств – членов МОК относятся к одной из трех подкомиссий, крайне важно, чтобы бюджет МОК, связанный с основной деятельностью, предусматривал адекватный объем средств на выполнение подкомиссиями их основной функции. Наряду с этим необходимо мобилизовать достаточный объем внебюджетных средств, с тем чтобы обеспечить выполнение ими планов работы в полном объеме.</w:t>
      </w:r>
    </w:p>
    <w:p w14:paraId="5566CC4E" w14:textId="6A34E8AE" w:rsidR="002E0C01" w:rsidRPr="001F5C46" w:rsidRDefault="002E0C01" w:rsidP="00842993">
      <w:pPr>
        <w:jc w:val="both"/>
        <w:rPr>
          <w:b/>
          <w:bCs/>
          <w:u w:val="single"/>
        </w:rPr>
      </w:pPr>
      <w:r>
        <w:rPr>
          <w:b/>
          <w:bCs/>
          <w:u w:val="single"/>
        </w:rPr>
        <w:t>Направление деятельности 3.2</w:t>
      </w:r>
      <w:r w:rsidR="00842993">
        <w:rPr>
          <w:b/>
          <w:bCs/>
          <w:u w:val="single"/>
        </w:rPr>
        <w:t xml:space="preserve">: </w:t>
      </w:r>
      <w:r>
        <w:rPr>
          <w:b/>
          <w:bCs/>
          <w:u w:val="single"/>
        </w:rPr>
        <w:t>Повышение эффективности информационного взаимодействия между секретариатами региональных подкомиссий и глобальными программами, а также между сообществами специалистов-практиков (в том числе представляющими другие организации)</w:t>
      </w:r>
    </w:p>
    <w:p w14:paraId="63B8A8B8" w14:textId="4EA94CC2" w:rsidR="002E0C01" w:rsidRPr="001F5C46" w:rsidRDefault="002E0C01" w:rsidP="00842993">
      <w:pPr>
        <w:numPr>
          <w:ilvl w:val="0"/>
          <w:numId w:val="25"/>
        </w:numPr>
        <w:spacing w:before="240" w:after="240"/>
        <w:ind w:left="567" w:hanging="567"/>
        <w:jc w:val="both"/>
        <w:rPr>
          <w:b/>
          <w:bCs/>
        </w:rPr>
      </w:pPr>
      <w:r>
        <w:rPr>
          <w:b/>
        </w:rPr>
        <w:t>Мера 3.2.1 – Создание эффективного механизма координации и связи между секретариатами региональных подкомиссий и глобальными программами</w:t>
      </w:r>
    </w:p>
    <w:p w14:paraId="411ED589" w14:textId="77777777" w:rsidR="00216B88" w:rsidRDefault="002E0C01" w:rsidP="00842993">
      <w:pPr>
        <w:pStyle w:val="paranumber"/>
      </w:pPr>
      <w:r>
        <w:t>Действуя на основе принципа «Единый океан», МОК и ее государства-члены должны поощрять использование на национальном, региональном и глобальном уровнях комплексного подхода в отношении исследования и хозяйственного освоения океанов. Обязательным условием успешного осуществления программ МОК и развития ее потенциала является более тесное взаимодействие и координация усилий на уровне глобальных и региональных программ с использованием в необходимых случаях механизмов, разработанных Исполнительным секретарем.</w:t>
      </w:r>
    </w:p>
    <w:p w14:paraId="0E39AF78" w14:textId="0F4E2340" w:rsidR="008F4BB7" w:rsidRPr="00777226" w:rsidRDefault="008F4BB7" w:rsidP="00842993">
      <w:pPr>
        <w:jc w:val="both"/>
      </w:pPr>
      <w:r>
        <w:rPr>
          <w:b/>
          <w:bCs/>
          <w:u w:val="single"/>
        </w:rPr>
        <w:t xml:space="preserve">Направление деятельности </w:t>
      </w:r>
      <w:r>
        <w:rPr>
          <w:b/>
          <w:u w:val="single"/>
        </w:rPr>
        <w:t>3.3</w:t>
      </w:r>
      <w:r w:rsidR="00842993">
        <w:rPr>
          <w:b/>
          <w:u w:val="single"/>
        </w:rPr>
        <w:t xml:space="preserve">: </w:t>
      </w:r>
      <w:r>
        <w:rPr>
          <w:b/>
          <w:u w:val="single"/>
        </w:rPr>
        <w:t>Определение конкретных потребностей в развитии потенциала на национальном и региональном уровнях посредством регулярного проведения соответствующих оценок</w:t>
      </w:r>
    </w:p>
    <w:p w14:paraId="560D558D" w14:textId="049D7703" w:rsidR="008F4BB7" w:rsidRPr="00777226" w:rsidRDefault="008F4BB7" w:rsidP="00842993">
      <w:pPr>
        <w:numPr>
          <w:ilvl w:val="0"/>
          <w:numId w:val="25"/>
        </w:numPr>
        <w:spacing w:before="240" w:after="240"/>
        <w:ind w:left="567" w:hanging="567"/>
        <w:jc w:val="both"/>
      </w:pPr>
      <w:r>
        <w:rPr>
          <w:b/>
        </w:rPr>
        <w:t>Мера 3.3.1 – Организация и проведение каждые два года оценки потребностей в развитии потенциала</w:t>
      </w:r>
    </w:p>
    <w:p w14:paraId="41CF1AEE" w14:textId="77777777" w:rsidR="006A6774" w:rsidRDefault="008F4BB7" w:rsidP="00842993">
      <w:pPr>
        <w:pStyle w:val="paranumber"/>
      </w:pPr>
      <w:r>
        <w:t>Регулярная оценка потребностей в развитии потенциала путем организации и проведения один раз в два года соответствующего обследования позволяет определить имеющиеся возможности и слабые места конкретных национальных и региональных структур. МОК продолжит собирать данные посредством проведения таких обследований и публиковать их результаты, которые могут быть использованы государствами-членами для повышения эффективности их будущих мероприятий и усилий в области развития потенциала.</w:t>
      </w:r>
    </w:p>
    <w:p w14:paraId="7D48B8F5" w14:textId="447347DB" w:rsidR="008F4BB7" w:rsidRPr="00777226" w:rsidRDefault="008F4BB7" w:rsidP="00842993">
      <w:pPr>
        <w:jc w:val="both"/>
      </w:pPr>
      <w:r>
        <w:rPr>
          <w:b/>
          <w:bCs/>
          <w:u w:val="single"/>
        </w:rPr>
        <w:t>Направление деятельности 3.</w:t>
      </w:r>
      <w:r>
        <w:rPr>
          <w:b/>
          <w:u w:val="single"/>
        </w:rPr>
        <w:t>4</w:t>
      </w:r>
      <w:r w:rsidR="00842993">
        <w:rPr>
          <w:b/>
          <w:u w:val="single"/>
        </w:rPr>
        <w:t xml:space="preserve">: </w:t>
      </w:r>
      <w:r>
        <w:rPr>
          <w:b/>
          <w:u w:val="single"/>
        </w:rPr>
        <w:t>Поощрение региональных и субрегиональных организаций к выполнению роли лидеров и пропагандистов усилий в области развития потенциала</w:t>
      </w:r>
    </w:p>
    <w:p w14:paraId="69EC937A" w14:textId="1032B558" w:rsidR="008F4BB7" w:rsidRPr="00777226" w:rsidRDefault="008F4BB7" w:rsidP="00842993">
      <w:pPr>
        <w:numPr>
          <w:ilvl w:val="0"/>
          <w:numId w:val="25"/>
        </w:numPr>
        <w:spacing w:before="240" w:after="240"/>
        <w:ind w:left="567" w:hanging="567"/>
        <w:jc w:val="both"/>
      </w:pPr>
      <w:r>
        <w:rPr>
          <w:b/>
        </w:rPr>
        <w:t>Мера 3.4.1 – Расширение участия региональных и субрегиональных организаций в процессе обсуждения и реализации инициатив в области развития потенциала</w:t>
      </w:r>
    </w:p>
    <w:p w14:paraId="25A80A75" w14:textId="77777777" w:rsidR="006A6774" w:rsidRDefault="008F4BB7" w:rsidP="00842993">
      <w:pPr>
        <w:pStyle w:val="paranumber"/>
      </w:pPr>
      <w:r>
        <w:t>Укрепление глобальных, региональных и субрегиональных механизмов, которые необходимы для обеспечения более тесного взаимодействия и коммуникации между глобальными, региональными и субрегиональными программами, предполагает расширение масштабов и наращивание усилий в области развития потенциала. В связи с этим МОК активизирует их вовлеченность в важные аспекты работы, связанной с развитием потенциала в роли лидеров и пропагандистов этих усилий в интересах эффективного осуществления программных мероприятий в регионах.</w:t>
      </w:r>
    </w:p>
    <w:p w14:paraId="0DD54960" w14:textId="0EFD045A" w:rsidR="002E0C01" w:rsidRPr="001F5C46" w:rsidRDefault="002E0C01" w:rsidP="00842993">
      <w:pPr>
        <w:keepNext/>
        <w:pBdr>
          <w:top w:val="single" w:sz="4" w:space="1" w:color="auto"/>
          <w:left w:val="single" w:sz="4" w:space="4" w:color="auto"/>
          <w:bottom w:val="single" w:sz="4" w:space="1" w:color="auto"/>
          <w:right w:val="single" w:sz="4" w:space="4" w:color="auto"/>
        </w:pBdr>
        <w:spacing w:after="240"/>
        <w:jc w:val="both"/>
        <w:rPr>
          <w:b/>
          <w:bCs/>
        </w:rPr>
      </w:pPr>
      <w:r>
        <w:rPr>
          <w:b/>
          <w:bCs/>
        </w:rPr>
        <w:lastRenderedPageBreak/>
        <w:t>Целевая задача 4.</w:t>
      </w:r>
      <w:r w:rsidR="00842993">
        <w:rPr>
          <w:b/>
          <w:bCs/>
        </w:rPr>
        <w:t xml:space="preserve"> </w:t>
      </w:r>
      <w:r>
        <w:rPr>
          <w:b/>
          <w:bCs/>
        </w:rPr>
        <w:t>Поощрение разработки стратегий, связанных с исследованием Мирового океана, в поддержку реализации целей в области устойчивого развития</w:t>
      </w:r>
    </w:p>
    <w:p w14:paraId="46877B3A" w14:textId="7BF6BD13" w:rsidR="002E0C01" w:rsidRPr="00777226" w:rsidRDefault="002E0C01" w:rsidP="00842993">
      <w:pPr>
        <w:pStyle w:val="paranumber"/>
        <w:keepNext/>
      </w:pPr>
      <w:r>
        <w:t>Сегодня существует насущная необходимость в целенаправленных исследованиях в области естественных и социальных наук, которые расширяли бы наше понимание происходящих в океанах процессов, помогали бы в поиске практических вариантов решений острейших проблем и формировали бы базу научных знаний, которые стимулировали бы реальное изменение моделей поведения человека. В прошлом на национальном и региональном уровнях предпринимались различные усилия по определению приоритетных направлений в области морских научных исследований, нередко на основе определяемых соответствующими учреждениями подходов и c привлечением видных ученых.</w:t>
      </w:r>
    </w:p>
    <w:p w14:paraId="0DBC78BF" w14:textId="77777777" w:rsidR="006A6774" w:rsidRDefault="002E0C01" w:rsidP="00842993">
      <w:pPr>
        <w:pStyle w:val="paranumber"/>
      </w:pPr>
      <w:r>
        <w:t>Осознание расхождений во мнении ученых, представляющих разные дисциплины и регионы, в отношении приоритетов в области морской науки имеет особенно важное значение с учетом необходимости формулирования сбалансированных и научно обоснованных рекомендаций для лиц, определяющих политику, и поиска междисциплинарных научных решений, особенно в отношении связанных с океаном комплексных проблем.</w:t>
      </w:r>
    </w:p>
    <w:p w14:paraId="4D8B49E3" w14:textId="3AA6028C" w:rsidR="002E0C01" w:rsidRPr="00777226" w:rsidRDefault="002E0C01" w:rsidP="00842993">
      <w:pPr>
        <w:pStyle w:val="paranumber"/>
      </w:pPr>
      <w:r>
        <w:t>Активный переход на трансдисциплинарный подход к исследованиям и научный подход в вопросах обеспечения устойчивости получил широкое распространение в области охраны окружающей среды и, по-видимому, будет приобретать все большую значимость по мере того, как ученые будут привлекаться для формулирования различного рода научно обоснованных рекомендаций в интересах решения наиболее острых и сложных социальных проблем.</w:t>
      </w:r>
    </w:p>
    <w:p w14:paraId="14308C75" w14:textId="77777777" w:rsidR="006A6774" w:rsidRDefault="002E0C01" w:rsidP="00842993">
      <w:pPr>
        <w:pStyle w:val="paranumber"/>
      </w:pPr>
      <w:r>
        <w:t>Четкие каналы коммуникации и механизмы взаимосвязи между исследовательскими и политическими кругами считаются важнейшими инструментами повышения эффективности научно-исследовательской деятельности и применения научных знаний в целях улучшения качества жизни человека.</w:t>
      </w:r>
    </w:p>
    <w:p w14:paraId="7A52E801" w14:textId="12710098" w:rsidR="00C504BD" w:rsidRPr="00777226" w:rsidRDefault="002E0C01" w:rsidP="00842993">
      <w:pPr>
        <w:pStyle w:val="paranumber"/>
      </w:pPr>
      <w:r>
        <w:t>Лишь в очень немногих странах была разработана национальная морская политика или план развития в этой области</w:t>
      </w:r>
      <w:r w:rsidR="00C504BD" w:rsidRPr="00777226">
        <w:rPr>
          <w:vertAlign w:val="superscript"/>
        </w:rPr>
        <w:footnoteReference w:id="9"/>
      </w:r>
      <w:r>
        <w:t>, подкрепленные планами проведения морских научных исследований и развития морских технологий; в большинстве случаев все это включено в качестве отдельного раздела в национальные рамочные принципы деятельности в области науки и технологии и не всегда согласовано с национальными целями в области устойчивого развития.</w:t>
      </w:r>
    </w:p>
    <w:p w14:paraId="65B44589" w14:textId="69D0E5D4" w:rsidR="00A4632C" w:rsidRPr="001F5C46" w:rsidRDefault="002E0C01" w:rsidP="00842993">
      <w:pPr>
        <w:jc w:val="both"/>
        <w:rPr>
          <w:b/>
          <w:bCs/>
        </w:rPr>
      </w:pPr>
      <w:r>
        <w:rPr>
          <w:b/>
          <w:bCs/>
          <w:u w:val="single"/>
        </w:rPr>
        <w:t>Направление деятельности 4.1</w:t>
      </w:r>
      <w:r w:rsidR="00842993">
        <w:rPr>
          <w:b/>
          <w:bCs/>
          <w:u w:val="single"/>
        </w:rPr>
        <w:t xml:space="preserve">: </w:t>
      </w:r>
      <w:r>
        <w:rPr>
          <w:b/>
          <w:bCs/>
          <w:u w:val="single"/>
        </w:rPr>
        <w:t>Содействие разработке планов и программ проведения морских научных исследований</w:t>
      </w:r>
    </w:p>
    <w:p w14:paraId="4410366F" w14:textId="090B38BE" w:rsidR="002E0C01" w:rsidRPr="00777226" w:rsidRDefault="002E0C01" w:rsidP="00842993">
      <w:pPr>
        <w:numPr>
          <w:ilvl w:val="0"/>
          <w:numId w:val="25"/>
        </w:numPr>
        <w:spacing w:before="240" w:after="240"/>
        <w:ind w:left="567" w:hanging="567"/>
        <w:jc w:val="both"/>
      </w:pPr>
      <w:r>
        <w:rPr>
          <w:b/>
          <w:bCs/>
        </w:rPr>
        <w:t>Мера 4.1.1 – Сбор информации о существующих стратегиях в области морских научных исследований, их сравнение и популяризация среди государств-членов для возможного применения</w:t>
      </w:r>
    </w:p>
    <w:p w14:paraId="167854B9" w14:textId="77777777" w:rsidR="006A6774" w:rsidRDefault="006A4CDA" w:rsidP="00842993">
      <w:pPr>
        <w:pStyle w:val="paranumber"/>
      </w:pPr>
      <w:r>
        <w:t xml:space="preserve">МОК будет собирать и предоставлять для ознакомления с помощью электронных средств действующие национальные (и/или региональные) планы проведения океанографических исследований. Эта работа может осуществляться в рамках подготовки Глобального доклада о состоянии океанографии (ГДСО). Осмысление учеными всего спектра приоритетных задач, стоящих перед профессиональным сообществом, социумом и государственными институтами может помочь им в расстановке научных приоритетов в соответствии с потребностями общества. Наряду с этим МОК будет поощрять усилия по повсеместной стандартизации учебных материалов и созданию специальной интернет-платформы, на которой будут представлены разнообразные данные и информация о морской среде, что окажется весьма полезным, в частности, для составления учебных материалов, проведения анализа и </w:t>
      </w:r>
      <w:r>
        <w:lastRenderedPageBreak/>
        <w:t>сопоставления существующих практических подходов, а также будет способствовать выполнению задачи 8 Десятилетия науки об океане, касающейся создания базовой инфраструктуры.</w:t>
      </w:r>
    </w:p>
    <w:p w14:paraId="7A2C43F5" w14:textId="258911B0" w:rsidR="002E0C01" w:rsidRPr="001F5C46" w:rsidRDefault="002E0C01" w:rsidP="00842993">
      <w:pPr>
        <w:numPr>
          <w:ilvl w:val="0"/>
          <w:numId w:val="25"/>
        </w:numPr>
        <w:spacing w:before="240" w:after="240"/>
        <w:ind w:left="567" w:hanging="567"/>
        <w:jc w:val="both"/>
        <w:rPr>
          <w:b/>
          <w:bCs/>
        </w:rPr>
      </w:pPr>
      <w:r>
        <w:rPr>
          <w:b/>
          <w:bCs/>
        </w:rPr>
        <w:t>Мера 4.1.2 – Оказание государствам-членам содействия и их поощрение к разработке стратегий в области морских научных исследований с использованием информации, упомянутой в пункте 4.1.1</w:t>
      </w:r>
    </w:p>
    <w:p w14:paraId="74213D73" w14:textId="77777777" w:rsidR="002E0C01" w:rsidRPr="00777226" w:rsidRDefault="002E0C01" w:rsidP="00842993">
      <w:pPr>
        <w:pStyle w:val="paranumber"/>
      </w:pPr>
      <w:r>
        <w:t>МОК может поощрять потенциальные целенаправленные меры по разработке национальных процедур управления в области морских наук и соответствующей политики, включая следующие аспекты:</w:t>
      </w:r>
    </w:p>
    <w:p w14:paraId="1F6D7A79" w14:textId="77777777" w:rsidR="006A6774" w:rsidRDefault="002E0C01" w:rsidP="00842993">
      <w:pPr>
        <w:pStyle w:val="ColorfulList-Accent12"/>
        <w:numPr>
          <w:ilvl w:val="0"/>
          <w:numId w:val="7"/>
        </w:numPr>
        <w:spacing w:after="240"/>
        <w:ind w:left="1134" w:hanging="567"/>
        <w:contextualSpacing w:val="0"/>
      </w:pPr>
      <w:r>
        <w:t>Консультирование по вопросам разработки национальной и региональной морской политики, помощь и профессиональная подготовка по тематике разработки и осуществления основанных на научном подходе стратегий в области морских научных исследований.</w:t>
      </w:r>
    </w:p>
    <w:p w14:paraId="2B9EF3B1" w14:textId="2156F122" w:rsidR="002E0C01" w:rsidRPr="00777226" w:rsidRDefault="002E0C01" w:rsidP="00842993">
      <w:pPr>
        <w:pStyle w:val="ColorfulList-Accent12"/>
        <w:numPr>
          <w:ilvl w:val="0"/>
          <w:numId w:val="7"/>
        </w:numPr>
        <w:spacing w:after="240"/>
        <w:ind w:left="1134" w:hanging="567"/>
        <w:contextualSpacing w:val="0"/>
      </w:pPr>
      <w:r>
        <w:t>Организация обучения по вопросам рациональной эксплуатации морских экосистем, морского пространственного планирования (МПП) и оценки состояния морской среды.</w:t>
      </w:r>
    </w:p>
    <w:p w14:paraId="0BF788CC" w14:textId="0386440F" w:rsidR="002E0C01" w:rsidRPr="00777226" w:rsidRDefault="002E0C01" w:rsidP="00842993">
      <w:pPr>
        <w:pStyle w:val="ColorfulList-Accent12"/>
        <w:numPr>
          <w:ilvl w:val="0"/>
          <w:numId w:val="7"/>
        </w:numPr>
        <w:spacing w:after="240"/>
        <w:ind w:left="1134" w:hanging="567"/>
        <w:contextualSpacing w:val="0"/>
      </w:pPr>
      <w:r>
        <w:t>Обучение применению новаторских подходов («апробированных морских технологий»), предусмотренных положениями международных соглашений и направленных на укрепление национального потенциала в области мониторинга и оценки защищенности и сохранности морских экосистем. В настоящее время многие страны разрабатывают национальные планы морского развития. Это дает уникальную возможность для согласования и увязки международных и региональных стратегий и программ МОК с национальными стратегиями</w:t>
      </w:r>
      <w:r w:rsidR="001034FA">
        <w:t xml:space="preserve"> и</w:t>
      </w:r>
      <w:r>
        <w:t xml:space="preserve"> планами.</w:t>
      </w:r>
    </w:p>
    <w:p w14:paraId="3247B621" w14:textId="1F0A50C3" w:rsidR="002E0C01" w:rsidRDefault="002E0C01" w:rsidP="00842993">
      <w:pPr>
        <w:pStyle w:val="ColorfulList-Accent12"/>
        <w:numPr>
          <w:ilvl w:val="0"/>
          <w:numId w:val="7"/>
        </w:numPr>
        <w:spacing w:after="240"/>
        <w:ind w:left="1134" w:hanging="567"/>
        <w:contextualSpacing w:val="0"/>
      </w:pPr>
      <w:r>
        <w:t>Создание региональных сетей, занимающихся вопросами развития потенциала (сообщество заинтересованных сторон), объединяющих научные и политические круги (посредством участия подкомиссий МОК, Программы по региональным морям и крупным морским экосистемам ЮНЕП, а также задействования других возможностей).</w:t>
      </w:r>
    </w:p>
    <w:p w14:paraId="63CE86A5" w14:textId="064F3D10" w:rsidR="002E0C01" w:rsidRPr="000F0A3F" w:rsidRDefault="002E0C01" w:rsidP="00842993">
      <w:pPr>
        <w:pBdr>
          <w:top w:val="single" w:sz="4" w:space="1" w:color="auto"/>
          <w:left w:val="single" w:sz="4" w:space="4" w:color="auto"/>
          <w:bottom w:val="single" w:sz="4" w:space="1" w:color="auto"/>
          <w:right w:val="single" w:sz="4" w:space="4" w:color="auto"/>
        </w:pBdr>
        <w:tabs>
          <w:tab w:val="clear" w:pos="567"/>
        </w:tabs>
        <w:spacing w:after="240"/>
        <w:jc w:val="both"/>
      </w:pPr>
      <w:r>
        <w:rPr>
          <w:b/>
          <w:bCs/>
        </w:rPr>
        <w:t>Целевая задача 5.</w:t>
      </w:r>
      <w:r w:rsidR="00842993">
        <w:t xml:space="preserve"> </w:t>
      </w:r>
      <w:r>
        <w:rPr>
          <w:b/>
          <w:bCs/>
        </w:rPr>
        <w:t>Обеспечение наглядности, осознания и понимания важной роли и значимости Мирового океана и морских научных исследований в обеспечении благополучия человека и устойчивого развития</w:t>
      </w:r>
    </w:p>
    <w:p w14:paraId="58086D80" w14:textId="2C39D177" w:rsidR="002E0C01" w:rsidRPr="00777226" w:rsidRDefault="002E0C01" w:rsidP="003E5AD5">
      <w:r>
        <w:rPr>
          <w:b/>
          <w:bCs/>
          <w:u w:val="single"/>
        </w:rPr>
        <w:t>Направление деятельности 5.1</w:t>
      </w:r>
      <w:r w:rsidR="00842993">
        <w:rPr>
          <w:b/>
          <w:bCs/>
          <w:u w:val="single"/>
        </w:rPr>
        <w:t xml:space="preserve">: </w:t>
      </w:r>
      <w:r>
        <w:rPr>
          <w:b/>
          <w:bCs/>
          <w:u w:val="single"/>
        </w:rPr>
        <w:t>Информирование населения</w:t>
      </w:r>
    </w:p>
    <w:p w14:paraId="565DB5F1" w14:textId="20C8E0C5" w:rsidR="002E0C01" w:rsidRPr="000F0A3F" w:rsidRDefault="002E0C01" w:rsidP="00842993">
      <w:pPr>
        <w:numPr>
          <w:ilvl w:val="0"/>
          <w:numId w:val="25"/>
        </w:numPr>
        <w:spacing w:before="240" w:after="240"/>
        <w:ind w:left="567" w:hanging="567"/>
        <w:jc w:val="both"/>
      </w:pPr>
      <w:r>
        <w:rPr>
          <w:b/>
        </w:rPr>
        <w:t>Мера 5.1.1 – Стимулирование развития информационно-коммуникационных услуг для населения по вопросам, связанным с океаном</w:t>
      </w:r>
    </w:p>
    <w:p w14:paraId="4E02351D" w14:textId="10EC0A5C" w:rsidR="002E0C01" w:rsidRPr="00777226" w:rsidRDefault="002E0C01" w:rsidP="00842993">
      <w:pPr>
        <w:pStyle w:val="paranumber"/>
      </w:pPr>
      <w:r>
        <w:t xml:space="preserve">В странах, где океанографические исследования финансируются правительством, т.е. из средств государственного бюджета, расходование таких средств все чаще требует обоснования их актуальности и реальной общественной значимости. В связи с этим необходимо, чтобы на уровне лиц, определяющих политику/директивных органов, равно как и на уровне широкой общественности была доступна информация относительно важной роли морских научных исследований как одного из факторов эффективного обеспечения управленческой и директивной деятельности. В связи с этим результаты научных исследований должны публиковаться не только в научных журналах, но и доводиться до сведения широкой общественности посредством соответствующих инструментов коммуникации. Такими инструментами могут выступать информационные бюллетени, газеты, выставки, дни открытых дверей, проведение Всемирного дня океанов и т.п. В связи с этим национальным учреждениям настоятельно рекомендуется создать отделы общественной информации и разработать </w:t>
      </w:r>
      <w:r>
        <w:lastRenderedPageBreak/>
        <w:t>соответствующую стратегию информационного обеспечения морской научно-исследовательской деятельности. Необходимо также поддерживать тесные рабочие отношения со средствами информации (журналистами). Это направление работы имеет также отношение к повышению грамотности в связанных с океаном вопросах (см. направление деятельности 5.2). МОК будет поощрять разработку учреждениями, занимающимися морскими научными исследованиями, планов информационного обеспечения своей деятельности.</w:t>
      </w:r>
    </w:p>
    <w:p w14:paraId="45BC820F" w14:textId="094B2166" w:rsidR="002E0C01" w:rsidRPr="00777226" w:rsidRDefault="002E0C01" w:rsidP="00842993">
      <w:pPr>
        <w:pStyle w:val="paranumber"/>
      </w:pPr>
      <w:r>
        <w:t>Эффективная коммуникация и информационное взаимодействие с населением будут помимо прочего способствовать мобилизации средств из различных частных и государственных источников. Этот вопрос подробно рассматривается в рамках целевой задачи 6.</w:t>
      </w:r>
    </w:p>
    <w:p w14:paraId="1A8215D2" w14:textId="6A5AC24D" w:rsidR="002E0C01" w:rsidRPr="00777226" w:rsidRDefault="002E0C01" w:rsidP="00842993">
      <w:pPr>
        <w:jc w:val="both"/>
      </w:pPr>
      <w:r>
        <w:rPr>
          <w:b/>
          <w:u w:val="single"/>
        </w:rPr>
        <w:t>Направление деятельности 5.2</w:t>
      </w:r>
      <w:r w:rsidR="00842993">
        <w:rPr>
          <w:b/>
          <w:u w:val="single"/>
        </w:rPr>
        <w:t xml:space="preserve">: </w:t>
      </w:r>
      <w:r>
        <w:rPr>
          <w:b/>
          <w:u w:val="single"/>
        </w:rPr>
        <w:t>Содействие повышению грамотности в связанных с океаном вопросах</w:t>
      </w:r>
    </w:p>
    <w:p w14:paraId="0B8BE44C" w14:textId="6ECDBA62" w:rsidR="002E0C01" w:rsidRPr="001F5C46" w:rsidRDefault="002E0C01" w:rsidP="00842993">
      <w:pPr>
        <w:numPr>
          <w:ilvl w:val="0"/>
          <w:numId w:val="25"/>
        </w:numPr>
        <w:spacing w:before="240" w:after="240"/>
        <w:ind w:left="567" w:hanging="567"/>
        <w:jc w:val="both"/>
        <w:rPr>
          <w:b/>
          <w:bCs/>
        </w:rPr>
      </w:pPr>
      <w:r>
        <w:rPr>
          <w:b/>
          <w:bCs/>
        </w:rPr>
        <w:t>Мера 5.2.1 – Оказание государствам-членам содействия в укреплении и осуществлении на национальном и региональном уровнях программ по распространению знаний об океане</w:t>
      </w:r>
    </w:p>
    <w:p w14:paraId="795EE86E" w14:textId="77777777" w:rsidR="002E0C01" w:rsidRPr="00777226" w:rsidRDefault="002E0C01" w:rsidP="00842993">
      <w:pPr>
        <w:pStyle w:val="paranumber"/>
      </w:pPr>
      <w:r>
        <w:t xml:space="preserve">Более глубокое понимание населением связанной с океаном проблематики является важным фактором решения наиболее острых экологических проблем и поддержки мер в области науки и управления, которые могут потребоваться для обеспечения устойчивого развития. Повышение грамотности в вопросах, связанных с океаном, на всех уровнях национальной, региональной и местной администрации создаст потенциальные возможности для адаптации, повысит жизнестойкость уязвимых слоев населения, обеспечит внедрение передового опыта в области управления ресурсами и будет поощрять инновационные пути решения сложных вопросов в интересах повышения устойчивости экономики и эффективности управления рисками стихийных бедствий. Руководители и граждане, сознающие ценность климатической и морской науки и имеющие доступ к общественно значимой информации, будут готовы более эффективно реагировать на будущие вызовы, связанные с океаном. Комплексные программы в области научных исследований, образования и развития общин формируют более глубокое понимание важности научных исследований и координации усилий в этой области, а также обеспечивают поддержку в части финансирования образовательных инициатив на всех уровнях. Различные средства информации, а также формальная и </w:t>
      </w:r>
      <w:proofErr w:type="spellStart"/>
      <w:r>
        <w:t>информальная</w:t>
      </w:r>
      <w:proofErr w:type="spellEnd"/>
      <w:r>
        <w:t xml:space="preserve"> профессиональная подготовка (в том числе в цифровом и дистанционном формате), просвещение и информационно-разъяснительная работа являются важнейшими инструментами повышения грамотности в связанных с океаном вопросах. В настоящее время в ряде регионов прилагаются значительные усилия по распространению знаний об океане, а сообщество специалистов-практиков продолжает обеспечивать обмен опытом на региональном и межрегиональном уровнях.</w:t>
      </w:r>
    </w:p>
    <w:p w14:paraId="4907BB19" w14:textId="77777777" w:rsidR="002E0C01" w:rsidRPr="00777226" w:rsidRDefault="002E0C01" w:rsidP="00842993">
      <w:pPr>
        <w:pStyle w:val="paranumber"/>
      </w:pPr>
      <w:r>
        <w:t>МОК могла бы стимулировать создание специальной программы, посвященной повышению грамотности в связанных с океаном вопросах, выступив в качестве платформы по обмену опытом и передовыми методиками на региональном и межрегиональном уровнях, а также содействовать приданию более стратегического характера информационно-разъяснительной работе, проводимой научными учреждениями по исследованию океана, органами исполнительной власти и гражданским обществом в целях распространения знаний об океане. Сформулированные с учетом различных целевых аудиторий типовые тезисы в поддержку повышения грамотности в связанных с океаном вопросах могли бы служить базовым методом работы сообщества специалистов-практиков.</w:t>
      </w:r>
    </w:p>
    <w:p w14:paraId="76D446D2" w14:textId="51ACA1B5" w:rsidR="002E0C01" w:rsidRPr="001F5C46" w:rsidRDefault="002E0C01" w:rsidP="00842993">
      <w:pPr>
        <w:pBdr>
          <w:top w:val="single" w:sz="4" w:space="1" w:color="auto"/>
          <w:left w:val="single" w:sz="4" w:space="4" w:color="auto"/>
          <w:bottom w:val="single" w:sz="4" w:space="1" w:color="auto"/>
          <w:right w:val="single" w:sz="4" w:space="4" w:color="auto"/>
        </w:pBdr>
        <w:spacing w:after="240"/>
        <w:jc w:val="both"/>
        <w:rPr>
          <w:b/>
          <w:bCs/>
        </w:rPr>
      </w:pPr>
      <w:r>
        <w:rPr>
          <w:b/>
          <w:bCs/>
        </w:rPr>
        <w:t>Целевая задача 6. Последовательное укрепление механизмов мобилизации ресурсов</w:t>
      </w:r>
    </w:p>
    <w:p w14:paraId="10EF883D" w14:textId="4E3B6120" w:rsidR="006A6774" w:rsidRDefault="002E0C01" w:rsidP="00842993">
      <w:pPr>
        <w:pStyle w:val="paranumber"/>
      </w:pPr>
      <w:r>
        <w:t>Научные исследования зачастую финансируется за счет средств государственного бюджета.</w:t>
      </w:r>
      <w:r w:rsidR="00842993">
        <w:t xml:space="preserve"> </w:t>
      </w:r>
      <w:r>
        <w:t xml:space="preserve">Актуальные экологические проблемы (изменение климата, утрата морского биоразнообразия, повышение уровня моря, закисление океана, предупреждение о цунами и смягчение их последствий...) носят, как правило, долгосрочный характер и требуют постоянного </w:t>
      </w:r>
      <w:r>
        <w:lastRenderedPageBreak/>
        <w:t>мониторинга и изучения. В большинстве случаев они не согласуются с краткосрочными циклами деятельности правительств (4-6 лет между выборами). В связи с этим лиц, принимающих решения, зачастую бывает трудно убедить в необходимости предоставления долгосрочного финансирования (на протяжении десятилетий) научно-исследовательской деятельности, которая не обязательно принесет конкретные результаты или послужит четким основанием для принятия решений. Зачастую международный глобальный подход (например, принятие конвенции) является единственной возможностью обеспечить поддержку государств и гарантии долгосрочного финансирования. Как указывалось выше, осведомленность и поддержка со стороны общественности выступают дополнительным стимулирующим фактором.</w:t>
      </w:r>
    </w:p>
    <w:p w14:paraId="011656D2" w14:textId="0C090A51" w:rsidR="002E0C01" w:rsidRPr="00777226" w:rsidRDefault="002E0C01" w:rsidP="00842993">
      <w:pPr>
        <w:pStyle w:val="paranumber"/>
      </w:pPr>
      <w:r>
        <w:t>Наряду с государственным финансированием во внимание должен также приниматься вариант привлечения частных инвестиций. Правительства все больше ожидают, что полученные в</w:t>
      </w:r>
      <w:r w:rsidR="00216B88">
        <w:t xml:space="preserve"> </w:t>
      </w:r>
      <w:r>
        <w:t>ходе исследований результаты смогут быть использованы в производственных отраслях экономики и что предложения, касающиеся проведения научных исследований, реализации исследовательских проектов и программ, будут потенциально способствовать инновационному промышленному развитию.</w:t>
      </w:r>
    </w:p>
    <w:p w14:paraId="4BF0DC74" w14:textId="33192BB2" w:rsidR="006A6774" w:rsidRDefault="002E0C01" w:rsidP="00842993">
      <w:pPr>
        <w:pStyle w:val="paranumber"/>
      </w:pPr>
      <w:r>
        <w:t>Следует подчеркнуть, что МОК не является финансирующим учреждением с точки зрения наращивания потенциала развивающихся стран/регионов. Средства, которыми располагает МОК, представляют собой взносы государств-членов: установленные взносы государств</w:t>
      </w:r>
      <w:r w:rsidR="00842993">
        <w:t> </w:t>
      </w:r>
      <w:r>
        <w:t>– членов ЮНЕСКО в бюджет Организации либо взносы государств-членов в целевой фонд ЮНЕСКО, прямые взносы в бюджет МОК или взносы в финансовой и натуральной форме в рамках других механизмов, созданных для поддержки МОК. По сравнению с двусторонними соглашениями между странами предоставляемое МОК государствам-членам финансирование, как правило, является незначительным по объему, поскольку деятельность сосредоточена на региональном, а не страновом уровне.</w:t>
      </w:r>
    </w:p>
    <w:p w14:paraId="0B35FA4E" w14:textId="77777777" w:rsidR="006A6774" w:rsidRDefault="002E0C01" w:rsidP="00842993">
      <w:pPr>
        <w:pStyle w:val="paranumber"/>
      </w:pPr>
      <w:r>
        <w:t>Для того чтобы государства-члены могли воспользоваться преимуществами Стратегии МОК в области развития потенциала на соответствующем уровне (национальный, региональный или глобальный), необходимо привлечь значительные дополнительные объемы ресурсов. Добиться этого можно посредством: (i) мобилизации Комиссией ресурсов со стороны доноров на цели развития потенциала, (ii) увеличения размера финансовых взносов государств-членов в бюджет МОК (в рамках вышеупомянутых механизмов) или (iii) тесного сотрудничества МОК с двусторонними проектами.</w:t>
      </w:r>
    </w:p>
    <w:p w14:paraId="62A4425F" w14:textId="1AEE0B5E" w:rsidR="002E0C01" w:rsidRPr="00777226" w:rsidRDefault="002E0C01" w:rsidP="00842993">
      <w:pPr>
        <w:jc w:val="both"/>
      </w:pPr>
      <w:r>
        <w:rPr>
          <w:b/>
          <w:u w:val="single"/>
        </w:rPr>
        <w:t>Направление деятельности 6.1</w:t>
      </w:r>
      <w:r w:rsidR="00842993">
        <w:rPr>
          <w:b/>
          <w:u w:val="single"/>
        </w:rPr>
        <w:t xml:space="preserve">: </w:t>
      </w:r>
      <w:r>
        <w:rPr>
          <w:b/>
          <w:u w:val="single"/>
        </w:rPr>
        <w:t>Последовательное наращивание адресованной МОК поддержки (в денежной и натуральной форме), связанной с выполнением ею роли координатора международных усилий</w:t>
      </w:r>
    </w:p>
    <w:p w14:paraId="52932EB2" w14:textId="114D0ADD" w:rsidR="002E0C01" w:rsidRPr="001F5C46" w:rsidRDefault="002E0C01" w:rsidP="00842993">
      <w:pPr>
        <w:numPr>
          <w:ilvl w:val="0"/>
          <w:numId w:val="25"/>
        </w:numPr>
        <w:spacing w:before="240" w:after="240"/>
        <w:ind w:left="567" w:hanging="567"/>
        <w:jc w:val="both"/>
        <w:rPr>
          <w:b/>
          <w:bCs/>
        </w:rPr>
      </w:pPr>
      <w:r>
        <w:rPr>
          <w:b/>
          <w:bCs/>
        </w:rPr>
        <w:t>Мера 6.1.1 – Налаживание партнерских связей для расширения возможностей привлечения ресурсов в натуральной форме</w:t>
      </w:r>
    </w:p>
    <w:p w14:paraId="28EA5B42" w14:textId="17C819F5" w:rsidR="002E0C01" w:rsidRPr="00777226" w:rsidRDefault="002E0C01" w:rsidP="00842993">
      <w:pPr>
        <w:pStyle w:val="paranumber"/>
      </w:pPr>
      <w:r>
        <w:t>Рядом государств-членов предлагаются программы стипендий и грантов для студентов из стран своего или других регионов. Это могут быть как краткосрочные мероприятия (стажировка, проводимое на борту судна обучение или практическое исследование), так и долгосрочные программы (например, получение степени магистра естественных наук или докторантура). Некоторые государства-члены могут предоставить поддержку в виде времени пребывания на борту судна, предоставления оборудования или иной помощи в натуральной форме. Другие имеют возможность временно прикомандировать своих специалистов к Штаб-квартире, секретариатам подкомиссий или иным децентрализованным подразделения</w:t>
      </w:r>
      <w:r w:rsidR="00C034AD">
        <w:t>м</w:t>
      </w:r>
      <w:r>
        <w:t xml:space="preserve"> для оказания помощи секретариату МОК. МОК следует поощрять налаживание партнерских отношений и содействовать обмену информацией в этой области в целях расширения возможностей привлечения ресурсов в натуральной форме.</w:t>
      </w:r>
    </w:p>
    <w:p w14:paraId="2D04DD37" w14:textId="5526A977" w:rsidR="002E0C01" w:rsidRPr="00777226" w:rsidRDefault="002E0C01" w:rsidP="00842993">
      <w:pPr>
        <w:keepNext/>
        <w:jc w:val="both"/>
      </w:pPr>
      <w:r>
        <w:rPr>
          <w:b/>
          <w:u w:val="single"/>
        </w:rPr>
        <w:lastRenderedPageBreak/>
        <w:t>Направление деятельности 6.2</w:t>
      </w:r>
      <w:r w:rsidR="00842993">
        <w:rPr>
          <w:b/>
          <w:u w:val="single"/>
        </w:rPr>
        <w:t xml:space="preserve">: </w:t>
      </w:r>
      <w:r>
        <w:rPr>
          <w:b/>
          <w:u w:val="single"/>
        </w:rPr>
        <w:t>Поощрение государств-членов к оказанию стабильной поддержки на двусторонней и многосторонней основе</w:t>
      </w:r>
    </w:p>
    <w:p w14:paraId="661A8B62" w14:textId="254BBF06" w:rsidR="002E0C01" w:rsidRPr="00777226" w:rsidRDefault="002E0C01" w:rsidP="00842993">
      <w:pPr>
        <w:keepNext/>
        <w:numPr>
          <w:ilvl w:val="0"/>
          <w:numId w:val="25"/>
        </w:numPr>
        <w:spacing w:before="240" w:after="240"/>
        <w:ind w:left="567" w:hanging="567"/>
        <w:jc w:val="both"/>
      </w:pPr>
      <w:r>
        <w:rPr>
          <w:b/>
        </w:rPr>
        <w:t>Мера 6.2.1 – Поощрение привлечения ресурсов, в частности со стороны государств-членов и других доноров, по итогам оценки потребностей МОК в развитии потенциала</w:t>
      </w:r>
    </w:p>
    <w:p w14:paraId="23620EF6" w14:textId="0470989F" w:rsidR="002E0C01" w:rsidRPr="00777226" w:rsidRDefault="002E0C01" w:rsidP="00842993">
      <w:pPr>
        <w:pStyle w:val="paranumber"/>
        <w:keepNext/>
      </w:pPr>
      <w:r>
        <w:t xml:space="preserve">В Среднесрочной стратегии МОК говорится следующее: «Будет вестись более интенсивная работа по существующим стратегиям привлечения средств государств-членов, учреждений и партнеров из частного сектора, имеющим тесную привязку к утвержденным руководящими органами МОК приоритетам Комиссии и ее возможностям осуществлять программные мероприятия, а также в рамках государственно-частных партнерств и усилий по распространению информации и повышению наглядности деятельности МОК». </w:t>
      </w:r>
    </w:p>
    <w:p w14:paraId="03E4BD7A" w14:textId="7434CF31" w:rsidR="002E0C01" w:rsidRPr="00777226" w:rsidRDefault="002E0C01" w:rsidP="00842993">
      <w:pPr>
        <w:pStyle w:val="paranumber"/>
      </w:pPr>
      <w:r>
        <w:t>Ассамблея МОК на своей 27-й сессии в 2013 г. утвердила гибкий подход, дающий Комиссии право выделять средства и обеспечивать выполнение программы на основе показателей эффективности и контрольных показателей, руководствуясь набором руководящих принципов в отношении бюджетных ассигнований в целях максимального использования возможностей финансирования деятельности. В указанных руководящих принципах определены нешаблонные подходы в отношении привлечения средств и мобилизации других ресурсов на глобальном и региональном уровнях.</w:t>
      </w:r>
    </w:p>
    <w:p w14:paraId="3D6B4CB8" w14:textId="77777777" w:rsidR="006A6774" w:rsidRDefault="002E0C01" w:rsidP="00842993">
      <w:pPr>
        <w:pStyle w:val="paranumber"/>
      </w:pPr>
      <w:r>
        <w:t>Государства-члены оказывают МОК поддержку в рамках различных механизмов, о которых говорилось выше. С учетом первоочередных задач, сформулированных государствами-членами относительно приоритетных стран, регионов и программ, МОК будет активно привлекать финансовые и другие ресурсы для оказания содействия в решении указанных приоритетных задач, которые государства-члены определили для программы МОК в области развития потенциала.</w:t>
      </w:r>
    </w:p>
    <w:p w14:paraId="562D872F" w14:textId="77777777" w:rsidR="00842993" w:rsidRDefault="00842993" w:rsidP="001F5C46">
      <w:pPr>
        <w:pStyle w:val="Heading1"/>
        <w:spacing w:before="360" w:after="240"/>
      </w:pPr>
      <w:bookmarkStart w:id="12" w:name="_Toc290023653"/>
      <w:bookmarkStart w:id="13" w:name="_Toc138680735"/>
      <w:r>
        <w:br w:type="page"/>
      </w:r>
    </w:p>
    <w:p w14:paraId="7DC1EF72" w14:textId="506774DF" w:rsidR="002E0C01" w:rsidRPr="00777226" w:rsidRDefault="002E0C01" w:rsidP="001F5C46">
      <w:pPr>
        <w:pStyle w:val="Heading1"/>
        <w:spacing w:before="360" w:after="240"/>
      </w:pPr>
      <w:r>
        <w:lastRenderedPageBreak/>
        <w:t>В</w:t>
      </w:r>
      <w:r w:rsidR="007E54BB">
        <w:t>ыводы</w:t>
      </w:r>
      <w:bookmarkEnd w:id="12"/>
      <w:bookmarkEnd w:id="13"/>
    </w:p>
    <w:p w14:paraId="25E25E6D" w14:textId="3B008A3C" w:rsidR="002E0C01" w:rsidRPr="00777226" w:rsidRDefault="002E0C01" w:rsidP="00842993">
      <w:pPr>
        <w:pStyle w:val="paranumber"/>
      </w:pPr>
      <w:r>
        <w:t>В принятой участниками Конференции Организации Объединенных Наций по устойчивому развитию декларации под названием «Будущее, которого мы хотим» (2012 г.) была подчеркнута</w:t>
      </w:r>
      <w:r w:rsidRPr="00777226">
        <w:rPr>
          <w:rStyle w:val="FootnoteReference"/>
        </w:rPr>
        <w:footnoteReference w:id="10"/>
      </w:r>
      <w:r w:rsidR="00216B88">
        <w:t xml:space="preserve"> </w:t>
      </w:r>
      <w:r>
        <w:t>«важность сохранения и рационального использования Мирового океана и его ресурсов для целей устойчивого развития, в том числе благодаря их вкладу в ликвидацию нищеты, обеспечение поступательного экономического роста и продовольственной безопасности, создание устойчивых источников средств к существованию и обеспечение достойной работой при одновременной охране биоразнообразия и морской среды и противодействии последствиям изменения климата. В этой связи мы обязуемся защищать и восстанавливать благополучие, продуктивность и жизнестойкость океанических и морских экосистем и поддерживать их биологическое разнообразие, обеспечивая возможность их сохранения и рационального использования в интересах нынешнего и будущих поколений, и эффективно применять экосистемный подход и осмотрительность при организации в соответствии с нормами международного права деятельности, сказывающейся на морской среде, в целях реализации всех трех компонентов [экологического, экономического и социального] устойчивого развития».</w:t>
      </w:r>
    </w:p>
    <w:p w14:paraId="784D427A" w14:textId="70C66A14" w:rsidR="002E0C01" w:rsidRPr="00777226" w:rsidRDefault="002E0C01" w:rsidP="00842993">
      <w:pPr>
        <w:pStyle w:val="paranumber"/>
      </w:pPr>
      <w:r>
        <w:t>МОК будет использовать свой уникальный мандат в области развития потенциала морской науки, наблюдений и услуг для обеспечения вклада океанографии и управления океанами в устойчивое развитие развивающихся стран, в том числе реализации приоритетных направлений работы «Африка» и МОСРГ. В основе программы МОК должны лежать: (i) укрепление институционального потенциала глобальных программ и региональных вспомогательных органов МОК, в том числе усиление кадрового обеспечения для максимально эффективного удовлетворения потребностей государств-членов; (ii) повышение координации усилий глобальных программ и региональных вспомогательных органов МОК, призванное ускорить процесс вовлечения государств-членов с выгодой для себя в мероприятия МОК; (iii) налаживание новых и укрепление существующих партнерских связей за счет активизации участия государств-членов и гражданского общества в целом; и (iv) мобилизация ресурсов для стимулирования этих партнерских связей в качестве движущей силы развития потенциала.</w:t>
      </w:r>
    </w:p>
    <w:p w14:paraId="46FC3C14" w14:textId="663FEC54" w:rsidR="002E0C01" w:rsidRPr="00777226" w:rsidRDefault="00A11EEA" w:rsidP="00842993">
      <w:pPr>
        <w:pStyle w:val="paranumber"/>
      </w:pPr>
      <w:r>
        <w:t>В своем решении ЕС-XLVII/Реш. 4 («Будущее МОК», 2014 г.) Исполнительный совет МОК обозначил ряд благоприятствующих условий, соблюдение которых обеспечит более эффективное осуществление настоящей Стратегии в области развития потенциала, а именно: (i) МОК необходимо более четко обозначить свою функциональную автономию и продолжать мобилизацию средств</w:t>
      </w:r>
      <w:r w:rsidR="00F5716B">
        <w:t>;</w:t>
      </w:r>
      <w:r>
        <w:t xml:space="preserve"> а (</w:t>
      </w:r>
      <w:proofErr w:type="spellStart"/>
      <w:r>
        <w:t>ii</w:t>
      </w:r>
      <w:proofErr w:type="spellEnd"/>
      <w:r>
        <w:t xml:space="preserve">) государствам – членам и МОК следует содействовать повышению авторитета МОК в рамках системы Организации Объединенных Наций для более эффективного информирования о ее миссии и возможностях, а также </w:t>
      </w:r>
      <w:r>
        <w:rPr>
          <w:i/>
        </w:rPr>
        <w:t>«обеспечить укрепление зримости МОК в секторе морских наук и морской политики и способствовать участию молодежи и молодых ученых»</w:t>
      </w:r>
      <w:r>
        <w:t>.</w:t>
      </w:r>
    </w:p>
    <w:p w14:paraId="00EA37FF" w14:textId="686482AF" w:rsidR="006F36B9" w:rsidRPr="00777226" w:rsidRDefault="006F36B9" w:rsidP="00842993">
      <w:pPr>
        <w:pStyle w:val="paranumber"/>
      </w:pPr>
      <w:r>
        <w:t>Поскольку развитие потенциала играет важную роль в достижении целей Десятилетия науки об океане, в главе Плана проведения Десятилетия, посвященной развитию потенциала, воспроизводятся принципы деятельности в области развития потенциала, сформулированные в ходе глобальных и региональных совещаний по планированию деятельности, связанной с Десятилетием. Пересмотренная стратегия МОК в области развития потенциала будет способствовать успешному проведению Десятилетия посредством поощрения объединения усилий и более тесного взаимодействия, ориентированных на достижение желаемых результатов, в первую очередь включенных в программу Десятилетия.</w:t>
      </w:r>
    </w:p>
    <w:p w14:paraId="1E08481C" w14:textId="77777777" w:rsidR="006A6774" w:rsidRDefault="002E0C01" w:rsidP="00842993">
      <w:pPr>
        <w:pStyle w:val="paranumber"/>
      </w:pPr>
      <w:r>
        <w:t xml:space="preserve">На начальном этапе осуществления стратегии МОК будет использовать совокупный потенциал своих региональных вспомогательных органов и глобальных программ для проведения оценок, необходимых для последующей разработки плана реализации стратегии. Кроме </w:t>
      </w:r>
      <w:r>
        <w:lastRenderedPageBreak/>
        <w:t>того, они выступят основным каналом привлечения к участию государств-членов и партнеров, с тем чтобы обеспечить максимальное воздействие стратегии.</w:t>
      </w:r>
    </w:p>
    <w:p w14:paraId="0357035D" w14:textId="22278223" w:rsidR="002E0C01" w:rsidRPr="00777226" w:rsidRDefault="002E0C01" w:rsidP="00842993">
      <w:pPr>
        <w:pStyle w:val="paranumber"/>
      </w:pPr>
      <w:r>
        <w:t>Для достижения положительного эффекта на глобальном, региональном, национальном и индивидуальном уровнях необходимо обеспечить четкую координацию и сотрудничество в рамках программы МОК, взаимодействие с многочисленными партнерами для достижения максимального системного эффекта взаимодействия и избежания дублирования усилий, а также комплексный подход в вопросах информационно-пропагандистского обеспечения, направленный на расширение круга участников реализации Стратегии в области развития потенциала. План реализации стратегии должен позвол</w:t>
      </w:r>
      <w:r w:rsidR="005F43CC">
        <w:t>и</w:t>
      </w:r>
      <w:r>
        <w:t xml:space="preserve">ть задействовать сильные стороны и </w:t>
      </w:r>
      <w:r w:rsidR="00CB247C">
        <w:t>удовлетворить</w:t>
      </w:r>
      <w:r>
        <w:t xml:space="preserve"> приоритетные потребности различных регионов и государств-членов.</w:t>
      </w:r>
    </w:p>
    <w:p w14:paraId="3C28B0AC" w14:textId="2E1EC181" w:rsidR="002E0C01" w:rsidRPr="00777226" w:rsidRDefault="002E0C01" w:rsidP="00842993">
      <w:pPr>
        <w:pStyle w:val="paranumber"/>
      </w:pPr>
      <w:r>
        <w:t>Концептуальный подход МОК в области развития потенциала в предстоящем двухлетии должен быть ориентирован на: (i) мобилизацию ресурсов на цели развития потенциала государств-членов и (ii) укрепление институционального потенциала МОК для эффективного осуществления данной программы силами Комиссии, ее государств-членов и партнеров.</w:t>
      </w:r>
    </w:p>
    <w:p w14:paraId="000E7E92" w14:textId="77777777" w:rsidR="002E0C01" w:rsidRPr="00777226" w:rsidRDefault="002E0C01" w:rsidP="00842993">
      <w:pPr>
        <w:pStyle w:val="paranumber"/>
      </w:pPr>
      <w:r>
        <w:t>В качестве предварительных компонентов проекта плана работы МОК предлагается:</w:t>
      </w:r>
    </w:p>
    <w:p w14:paraId="303E487F" w14:textId="68C48013" w:rsidR="000C27A4" w:rsidRDefault="000C27A4" w:rsidP="000C27A4">
      <w:pPr>
        <w:pStyle w:val="ColorfulList-Accent12"/>
        <w:numPr>
          <w:ilvl w:val="0"/>
          <w:numId w:val="19"/>
        </w:numPr>
        <w:spacing w:after="240"/>
        <w:ind w:left="1134" w:hanging="567"/>
        <w:contextualSpacing w:val="0"/>
      </w:pPr>
      <w:r>
        <w:t>разработать на основе настоящей стратегии планы работы в области развития потенциала, учитывающие программные и региональные приоритеты и проведенные согласованным образом соответствующие оценки потребностей на основе текущей деятельности для содействия решению общих задач Десятилетия науки об океане;</w:t>
      </w:r>
    </w:p>
    <w:p w14:paraId="1BCBF546" w14:textId="3D9410A4" w:rsidR="000C27A4" w:rsidRPr="000C27A4" w:rsidRDefault="000C27A4" w:rsidP="000C27A4">
      <w:pPr>
        <w:pStyle w:val="ColorfulList-Accent12"/>
        <w:numPr>
          <w:ilvl w:val="0"/>
          <w:numId w:val="19"/>
        </w:numPr>
        <w:spacing w:after="240"/>
        <w:ind w:left="1134" w:hanging="567"/>
        <w:contextualSpacing w:val="0"/>
      </w:pPr>
      <w:r w:rsidRPr="000C27A4">
        <w:rPr>
          <w:color w:val="000000"/>
        </w:rPr>
        <w:t>мобилизовать ресурсы для укрепления кадрового состава секретариатов региональных подкомиссий, других вспомогательных органов и глобальных программ посредством разработки соответствующей программы;</w:t>
      </w:r>
    </w:p>
    <w:p w14:paraId="1BD4E780" w14:textId="36BDC32F" w:rsidR="000C27A4" w:rsidRPr="00777226" w:rsidRDefault="000C27A4" w:rsidP="000C27A4">
      <w:pPr>
        <w:pStyle w:val="ColorfulList-Accent12"/>
        <w:numPr>
          <w:ilvl w:val="0"/>
          <w:numId w:val="19"/>
        </w:numPr>
        <w:spacing w:after="240"/>
        <w:ind w:left="1134" w:hanging="567"/>
        <w:contextualSpacing w:val="0"/>
      </w:pPr>
      <w:r>
        <w:t>активизировать сотрудничество и информационное взаимодействие между глобальными программами МОК и ее региональными вспомогательными органами в целях содействия выполнению задач, предусмотренных в подпунктах (i) и (ii) выше.</w:t>
      </w:r>
    </w:p>
    <w:p w14:paraId="27A1DD1F" w14:textId="63924850" w:rsidR="002E0C01" w:rsidRPr="00777226" w:rsidRDefault="000577BB" w:rsidP="00842993">
      <w:pPr>
        <w:pStyle w:val="paranumber"/>
      </w:pPr>
      <w:r>
        <w:t>В течение первого двухлетия (2022-2023 гг.) реализации Среднесрочной стратегии МОК на 2022-2029 гг. развитие потенциала остается одним из ключевых направлений деятельности МОК. В целях создания условий для налаживания более гармоничных отношений человека с океаном государствам</w:t>
      </w:r>
      <w:r w:rsidR="008B0277">
        <w:t xml:space="preserve"> – </w:t>
      </w:r>
      <w:r>
        <w:t>членам МОК и партнерам МОК предлагается:</w:t>
      </w:r>
    </w:p>
    <w:p w14:paraId="377CBFB8" w14:textId="3C089D4D" w:rsidR="000577BB" w:rsidRPr="001F5C46" w:rsidRDefault="000577BB" w:rsidP="004207E8">
      <w:pPr>
        <w:pStyle w:val="ColorfulList-Accent12"/>
        <w:numPr>
          <w:ilvl w:val="0"/>
          <w:numId w:val="19"/>
        </w:numPr>
        <w:spacing w:after="240"/>
        <w:ind w:left="1134" w:hanging="578"/>
        <w:contextualSpacing w:val="0"/>
      </w:pPr>
      <w:r>
        <w:t xml:space="preserve">выявлять новые потенциальные возможности участия на взаимовыгодной основе в расширенном партнерском взаимодействии по линии МОК в интересах достижения своих целей, касающихся подготовки специалистов в области морских научных исследований и управления </w:t>
      </w:r>
      <w:r w:rsidR="00CB247C">
        <w:t xml:space="preserve">морскими </w:t>
      </w:r>
      <w:r>
        <w:t>ресурсами;</w:t>
      </w:r>
    </w:p>
    <w:p w14:paraId="47D3CE1C" w14:textId="77777777" w:rsidR="000577BB" w:rsidRPr="001F5C46" w:rsidRDefault="000577BB" w:rsidP="004207E8">
      <w:pPr>
        <w:pStyle w:val="ColorfulList-Accent12"/>
        <w:numPr>
          <w:ilvl w:val="0"/>
          <w:numId w:val="19"/>
        </w:numPr>
        <w:spacing w:after="240"/>
        <w:ind w:left="1134" w:hanging="578"/>
        <w:contextualSpacing w:val="0"/>
      </w:pPr>
      <w:r>
        <w:t>задействовать накопленные знания, а также имеющиеся кадровые, научно-технические и финансовые возможности для укрепления роли МОК как катализатора достижения указанных целей;</w:t>
      </w:r>
    </w:p>
    <w:p w14:paraId="5E3410DA" w14:textId="614D3873" w:rsidR="006A6774" w:rsidRDefault="005F43CC" w:rsidP="004207E8">
      <w:pPr>
        <w:pStyle w:val="ColorfulList-Accent12"/>
        <w:numPr>
          <w:ilvl w:val="0"/>
          <w:numId w:val="19"/>
        </w:numPr>
        <w:spacing w:after="240"/>
        <w:ind w:left="1134" w:hanging="578"/>
        <w:contextualSpacing w:val="0"/>
        <w:rPr>
          <w:color w:val="000000"/>
        </w:rPr>
      </w:pPr>
      <w:r>
        <w:t xml:space="preserve">разъяснять и наглядно представлять </w:t>
      </w:r>
      <w:r w:rsidR="00CB247C">
        <w:t>конкретные конкурентные преимущества</w:t>
      </w:r>
      <w:r w:rsidR="000577BB">
        <w:t xml:space="preserve"> МОК в области развития потенциала.</w:t>
      </w:r>
    </w:p>
    <w:sectPr w:rsidR="006A6774" w:rsidSect="0035780A">
      <w:headerReference w:type="even" r:id="rId15"/>
      <w:headerReference w:type="default" r:id="rId16"/>
      <w:headerReference w:type="first" r:id="rId17"/>
      <w:footerReference w:type="first" r:id="rId18"/>
      <w:type w:val="oddPage"/>
      <w:pgSz w:w="11906" w:h="16838" w:code="9"/>
      <w:pgMar w:top="1418"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D0C5C" w14:textId="77777777" w:rsidR="004660B8" w:rsidRDefault="004660B8">
      <w:r>
        <w:separator/>
      </w:r>
    </w:p>
  </w:endnote>
  <w:endnote w:type="continuationSeparator" w:id="0">
    <w:p w14:paraId="2930F564" w14:textId="77777777" w:rsidR="004660B8" w:rsidRDefault="00466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E14EC" w14:textId="0CD69CEA" w:rsidR="001F3C71" w:rsidRPr="001F3C71" w:rsidRDefault="001F3C71" w:rsidP="001F3C71">
    <w:pPr>
      <w:pStyle w:val="Footer"/>
      <w:jc w:val="right"/>
    </w:pPr>
    <w:r w:rsidRPr="001F3C71">
      <w:rPr>
        <w:noProof/>
      </w:rPr>
      <w:drawing>
        <wp:inline distT="0" distB="0" distL="0" distR="0" wp14:anchorId="091D1F8F" wp14:editId="639E2B71">
          <wp:extent cx="467419" cy="540000"/>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419" cy="5400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1FB5" w14:textId="77A743ED" w:rsidR="00F920D8" w:rsidRPr="001F3C71" w:rsidRDefault="00F920D8" w:rsidP="001F3C7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B10E8" w14:textId="77777777" w:rsidR="004660B8" w:rsidRDefault="004660B8">
      <w:r>
        <w:separator/>
      </w:r>
    </w:p>
  </w:footnote>
  <w:footnote w:type="continuationSeparator" w:id="0">
    <w:p w14:paraId="1034B462" w14:textId="77777777" w:rsidR="004660B8" w:rsidRDefault="004660B8">
      <w:r>
        <w:continuationSeparator/>
      </w:r>
    </w:p>
  </w:footnote>
  <w:footnote w:id="1">
    <w:p w14:paraId="698E6EAA" w14:textId="2814FBD9" w:rsidR="00CB4238" w:rsidRPr="00216B88" w:rsidRDefault="00CB4238" w:rsidP="0077374E">
      <w:pPr>
        <w:pBdr>
          <w:top w:val="nil"/>
          <w:left w:val="nil"/>
          <w:bottom w:val="nil"/>
          <w:right w:val="nil"/>
          <w:between w:val="nil"/>
        </w:pBdr>
        <w:ind w:left="567" w:hanging="567"/>
        <w:rPr>
          <w:color w:val="000000"/>
          <w:sz w:val="18"/>
          <w:szCs w:val="18"/>
        </w:rPr>
      </w:pPr>
      <w:r w:rsidRPr="00216B88">
        <w:rPr>
          <w:sz w:val="18"/>
          <w:szCs w:val="18"/>
          <w:vertAlign w:val="superscript"/>
        </w:rPr>
        <w:footnoteRef/>
      </w:r>
      <w:r w:rsidRPr="008C50B8">
        <w:rPr>
          <w:color w:val="000000"/>
          <w:sz w:val="18"/>
          <w:szCs w:val="18"/>
        </w:rPr>
        <w:t xml:space="preserve"> </w:t>
      </w:r>
      <w:r w:rsidR="008C50B8">
        <w:rPr>
          <w:color w:val="000000"/>
          <w:sz w:val="18"/>
          <w:szCs w:val="18"/>
        </w:rPr>
        <w:tab/>
      </w:r>
      <w:r w:rsidRPr="008C50B8">
        <w:rPr>
          <w:color w:val="000000"/>
          <w:sz w:val="18"/>
          <w:szCs w:val="18"/>
        </w:rPr>
        <w:t xml:space="preserve">См.: </w:t>
      </w:r>
      <w:hyperlink r:id="rId1" w:history="1">
        <w:r w:rsidRPr="008C50B8">
          <w:rPr>
            <w:rStyle w:val="Hyperlink"/>
            <w:sz w:val="18"/>
            <w:szCs w:val="18"/>
            <w:u w:val="none"/>
          </w:rPr>
          <w:t>https://www.un.org/Depts/los/convention_agreements/texts/unclos/closindx.html</w:t>
        </w:r>
      </w:hyperlink>
    </w:p>
  </w:footnote>
  <w:footnote w:id="2">
    <w:p w14:paraId="668258E8" w14:textId="4D6B432C" w:rsidR="009862E8" w:rsidRPr="00B11900" w:rsidRDefault="009862E8" w:rsidP="009862E8">
      <w:pPr>
        <w:pBdr>
          <w:top w:val="nil"/>
          <w:left w:val="nil"/>
          <w:bottom w:val="nil"/>
          <w:right w:val="nil"/>
          <w:between w:val="nil"/>
        </w:pBdr>
        <w:ind w:left="567" w:hanging="567"/>
        <w:rPr>
          <w:color w:val="000000"/>
          <w:sz w:val="18"/>
          <w:szCs w:val="18"/>
        </w:rPr>
      </w:pPr>
      <w:r w:rsidRPr="00B11900">
        <w:rPr>
          <w:sz w:val="18"/>
          <w:szCs w:val="18"/>
          <w:vertAlign w:val="superscript"/>
        </w:rPr>
        <w:footnoteRef/>
      </w:r>
      <w:r w:rsidRPr="00B11900">
        <w:rPr>
          <w:color w:val="000000"/>
          <w:sz w:val="18"/>
          <w:szCs w:val="18"/>
        </w:rPr>
        <w:t xml:space="preserve"> </w:t>
      </w:r>
      <w:r w:rsidR="00B11900">
        <w:rPr>
          <w:color w:val="000000"/>
          <w:sz w:val="18"/>
          <w:szCs w:val="18"/>
        </w:rPr>
        <w:tab/>
      </w:r>
      <w:r w:rsidRPr="00B11900">
        <w:rPr>
          <w:color w:val="000000"/>
          <w:sz w:val="18"/>
          <w:szCs w:val="18"/>
        </w:rPr>
        <w:t xml:space="preserve">См.: </w:t>
      </w:r>
      <w:hyperlink r:id="rId2">
        <w:r w:rsidRPr="00B11900">
          <w:rPr>
            <w:color w:val="0000FF"/>
            <w:sz w:val="18"/>
            <w:szCs w:val="18"/>
          </w:rPr>
          <w:t>http://en.unesco.org/unitwin-unesco-chairs-programme</w:t>
        </w:r>
      </w:hyperlink>
    </w:p>
  </w:footnote>
  <w:footnote w:id="3">
    <w:p w14:paraId="31999E4A" w14:textId="26FCD4F7" w:rsidR="009862E8" w:rsidRPr="00B11900" w:rsidRDefault="009862E8" w:rsidP="009862E8">
      <w:pPr>
        <w:pBdr>
          <w:top w:val="nil"/>
          <w:left w:val="nil"/>
          <w:bottom w:val="nil"/>
          <w:right w:val="nil"/>
          <w:between w:val="nil"/>
        </w:pBdr>
        <w:ind w:left="567" w:hanging="567"/>
        <w:rPr>
          <w:color w:val="000000"/>
          <w:sz w:val="18"/>
          <w:szCs w:val="18"/>
        </w:rPr>
      </w:pPr>
      <w:r w:rsidRPr="00B11900">
        <w:rPr>
          <w:sz w:val="18"/>
          <w:szCs w:val="18"/>
          <w:vertAlign w:val="superscript"/>
        </w:rPr>
        <w:footnoteRef/>
      </w:r>
      <w:r w:rsidRPr="00B11900">
        <w:rPr>
          <w:color w:val="000000"/>
          <w:sz w:val="18"/>
          <w:szCs w:val="18"/>
        </w:rPr>
        <w:t xml:space="preserve"> </w:t>
      </w:r>
      <w:r w:rsidR="00B11900">
        <w:rPr>
          <w:color w:val="000000"/>
          <w:sz w:val="18"/>
          <w:szCs w:val="18"/>
        </w:rPr>
        <w:tab/>
      </w:r>
      <w:r w:rsidRPr="00B11900">
        <w:rPr>
          <w:color w:val="000000"/>
          <w:sz w:val="18"/>
          <w:szCs w:val="18"/>
        </w:rPr>
        <w:t xml:space="preserve">Выдержка из: </w:t>
      </w:r>
      <w:hyperlink r:id="rId3" w:history="1">
        <w:r w:rsidRPr="00B11900">
          <w:rPr>
            <w:rStyle w:val="Hyperlink"/>
            <w:sz w:val="18"/>
            <w:szCs w:val="18"/>
            <w:u w:val="none"/>
          </w:rPr>
          <w:t>https://www.ioc-cd.org/index.php</w:t>
        </w:r>
      </w:hyperlink>
    </w:p>
  </w:footnote>
  <w:footnote w:id="4">
    <w:p w14:paraId="584339A8" w14:textId="6B4FE97C" w:rsidR="009862E8" w:rsidRPr="00D245DE" w:rsidRDefault="009862E8" w:rsidP="006A6774">
      <w:pPr>
        <w:pBdr>
          <w:top w:val="nil"/>
          <w:left w:val="nil"/>
          <w:bottom w:val="nil"/>
          <w:right w:val="nil"/>
          <w:between w:val="nil"/>
        </w:pBdr>
        <w:ind w:left="567" w:hanging="567"/>
        <w:rPr>
          <w:color w:val="000000"/>
          <w:sz w:val="18"/>
          <w:szCs w:val="18"/>
        </w:rPr>
      </w:pPr>
      <w:r w:rsidRPr="00D245DE">
        <w:rPr>
          <w:sz w:val="18"/>
          <w:szCs w:val="18"/>
          <w:vertAlign w:val="superscript"/>
        </w:rPr>
        <w:footnoteRef/>
      </w:r>
      <w:r w:rsidRPr="00D245DE">
        <w:rPr>
          <w:sz w:val="18"/>
          <w:szCs w:val="18"/>
        </w:rPr>
        <w:t xml:space="preserve"> </w:t>
      </w:r>
      <w:r w:rsidR="00D245DE">
        <w:rPr>
          <w:sz w:val="18"/>
          <w:szCs w:val="18"/>
        </w:rPr>
        <w:tab/>
      </w:r>
      <w:r w:rsidRPr="00D245DE">
        <w:rPr>
          <w:sz w:val="18"/>
          <w:szCs w:val="18"/>
        </w:rPr>
        <w:t>См.:</w:t>
      </w:r>
      <w:r w:rsidRPr="00D245DE">
        <w:rPr>
          <w:color w:val="000000"/>
          <w:sz w:val="18"/>
          <w:szCs w:val="18"/>
        </w:rPr>
        <w:t xml:space="preserve"> </w:t>
      </w:r>
      <w:hyperlink r:id="rId4">
        <w:r w:rsidRPr="00D245DE">
          <w:rPr>
            <w:color w:val="0000FF"/>
            <w:sz w:val="18"/>
            <w:szCs w:val="18"/>
          </w:rPr>
          <w:t>http://en.wikipedia.org/wiki/Continuing_professional_development</w:t>
        </w:r>
      </w:hyperlink>
    </w:p>
  </w:footnote>
  <w:footnote w:id="5">
    <w:p w14:paraId="1EAF013E" w14:textId="7E04D3BB" w:rsidR="009862E8" w:rsidRPr="00D245DE" w:rsidRDefault="009862E8" w:rsidP="00D245DE">
      <w:pPr>
        <w:pStyle w:val="FootnoteText"/>
        <w:rPr>
          <w:sz w:val="18"/>
          <w:szCs w:val="18"/>
        </w:rPr>
      </w:pPr>
      <w:r w:rsidRPr="00D245DE">
        <w:rPr>
          <w:rStyle w:val="FootnoteReference"/>
          <w:sz w:val="18"/>
          <w:szCs w:val="18"/>
        </w:rPr>
        <w:footnoteRef/>
      </w:r>
      <w:r w:rsidRPr="00D245DE">
        <w:rPr>
          <w:sz w:val="18"/>
          <w:szCs w:val="18"/>
        </w:rPr>
        <w:t xml:space="preserve"> </w:t>
      </w:r>
      <w:r w:rsidR="00D245DE">
        <w:rPr>
          <w:sz w:val="18"/>
          <w:szCs w:val="18"/>
        </w:rPr>
        <w:tab/>
      </w:r>
      <w:hyperlink r:id="rId5" w:history="1">
        <w:r w:rsidR="00D245DE" w:rsidRPr="006E4376">
          <w:rPr>
            <w:rStyle w:val="Hyperlink"/>
            <w:sz w:val="18"/>
            <w:szCs w:val="18"/>
          </w:rPr>
          <w:t>https://oceancd.org</w:t>
        </w:r>
      </w:hyperlink>
    </w:p>
  </w:footnote>
  <w:footnote w:id="6">
    <w:p w14:paraId="2F7EA632" w14:textId="3D024699" w:rsidR="00CB49E9" w:rsidRPr="00D245DE" w:rsidRDefault="00CB49E9" w:rsidP="00CB49E9">
      <w:pPr>
        <w:pBdr>
          <w:top w:val="nil"/>
          <w:left w:val="nil"/>
          <w:bottom w:val="nil"/>
          <w:right w:val="nil"/>
          <w:between w:val="nil"/>
        </w:pBdr>
        <w:ind w:left="567" w:hanging="567"/>
        <w:rPr>
          <w:color w:val="000000"/>
          <w:sz w:val="18"/>
          <w:szCs w:val="18"/>
        </w:rPr>
      </w:pPr>
      <w:r w:rsidRPr="00D245DE">
        <w:rPr>
          <w:sz w:val="18"/>
          <w:szCs w:val="18"/>
          <w:vertAlign w:val="superscript"/>
        </w:rPr>
        <w:footnoteRef/>
      </w:r>
      <w:r w:rsidRPr="00D245DE">
        <w:rPr>
          <w:color w:val="000000"/>
          <w:sz w:val="18"/>
          <w:szCs w:val="18"/>
        </w:rPr>
        <w:t xml:space="preserve"> </w:t>
      </w:r>
      <w:r w:rsidR="00D245DE">
        <w:rPr>
          <w:color w:val="000000"/>
          <w:sz w:val="18"/>
          <w:szCs w:val="18"/>
        </w:rPr>
        <w:tab/>
      </w:r>
      <w:r w:rsidRPr="00D245DE">
        <w:rPr>
          <w:color w:val="000000"/>
          <w:sz w:val="18"/>
          <w:szCs w:val="18"/>
        </w:rPr>
        <w:t xml:space="preserve">См.: </w:t>
      </w:r>
      <w:hyperlink r:id="rId6" w:history="1">
        <w:r w:rsidRPr="00D245DE">
          <w:rPr>
            <w:rStyle w:val="Hyperlink"/>
            <w:sz w:val="18"/>
            <w:szCs w:val="18"/>
            <w:u w:val="none"/>
          </w:rPr>
          <w:t>http://www.oceanteacher.org</w:t>
        </w:r>
      </w:hyperlink>
    </w:p>
  </w:footnote>
  <w:footnote w:id="7">
    <w:p w14:paraId="5105C485" w14:textId="264A92B4" w:rsidR="00CB49E9" w:rsidRPr="00216B88" w:rsidRDefault="00CB49E9" w:rsidP="006A6774">
      <w:pPr>
        <w:pBdr>
          <w:top w:val="nil"/>
          <w:left w:val="nil"/>
          <w:bottom w:val="nil"/>
          <w:right w:val="nil"/>
          <w:between w:val="nil"/>
        </w:pBdr>
        <w:ind w:left="567" w:hanging="567"/>
        <w:rPr>
          <w:color w:val="000000"/>
          <w:sz w:val="18"/>
          <w:szCs w:val="18"/>
        </w:rPr>
      </w:pPr>
      <w:r w:rsidRPr="00216B88">
        <w:rPr>
          <w:sz w:val="18"/>
          <w:szCs w:val="18"/>
          <w:vertAlign w:val="superscript"/>
        </w:rPr>
        <w:footnoteRef/>
      </w:r>
      <w:r w:rsidRPr="00216B88">
        <w:rPr>
          <w:color w:val="000000"/>
          <w:sz w:val="18"/>
          <w:szCs w:val="18"/>
        </w:rPr>
        <w:t xml:space="preserve"> </w:t>
      </w:r>
      <w:r w:rsidR="00D245DE">
        <w:rPr>
          <w:color w:val="000000"/>
          <w:sz w:val="18"/>
          <w:szCs w:val="18"/>
        </w:rPr>
        <w:tab/>
      </w:r>
      <w:r w:rsidRPr="00216B88">
        <w:rPr>
          <w:color w:val="000000"/>
          <w:sz w:val="18"/>
          <w:szCs w:val="18"/>
        </w:rPr>
        <w:t xml:space="preserve">См.: </w:t>
      </w:r>
      <w:hyperlink r:id="rId7">
        <w:r w:rsidRPr="00216B88">
          <w:rPr>
            <w:color w:val="0000FF"/>
            <w:sz w:val="18"/>
            <w:szCs w:val="18"/>
          </w:rPr>
          <w:t>http://www.iode.org/alumni</w:t>
        </w:r>
      </w:hyperlink>
    </w:p>
  </w:footnote>
  <w:footnote w:id="8">
    <w:p w14:paraId="6550F0C4" w14:textId="15EACC73" w:rsidR="00CB49E9" w:rsidRPr="00216B88" w:rsidRDefault="00CB49E9" w:rsidP="00D245DE">
      <w:pPr>
        <w:pBdr>
          <w:top w:val="nil"/>
          <w:left w:val="nil"/>
          <w:bottom w:val="nil"/>
          <w:right w:val="nil"/>
          <w:between w:val="nil"/>
        </w:pBdr>
        <w:ind w:left="567" w:hanging="567"/>
        <w:rPr>
          <w:color w:val="000000"/>
          <w:sz w:val="18"/>
          <w:szCs w:val="18"/>
          <w:lang w:val="en-US"/>
        </w:rPr>
      </w:pPr>
      <w:r w:rsidRPr="00216B88">
        <w:rPr>
          <w:sz w:val="18"/>
          <w:szCs w:val="18"/>
          <w:vertAlign w:val="superscript"/>
        </w:rPr>
        <w:footnoteRef/>
      </w:r>
      <w:r w:rsidRPr="00216B88">
        <w:rPr>
          <w:color w:val="000000"/>
          <w:sz w:val="18"/>
          <w:szCs w:val="18"/>
          <w:lang w:val="en-US"/>
        </w:rPr>
        <w:t xml:space="preserve"> </w:t>
      </w:r>
      <w:r w:rsidR="00D245DE">
        <w:rPr>
          <w:color w:val="000000"/>
          <w:sz w:val="18"/>
          <w:szCs w:val="18"/>
          <w:lang w:val="en-US"/>
        </w:rPr>
        <w:tab/>
      </w:r>
      <w:r w:rsidRPr="00216B88">
        <w:rPr>
          <w:color w:val="000000"/>
          <w:sz w:val="18"/>
          <w:szCs w:val="18"/>
        </w:rPr>
        <w:t>См</w:t>
      </w:r>
      <w:r w:rsidRPr="00216B88">
        <w:rPr>
          <w:color w:val="000000"/>
          <w:sz w:val="18"/>
          <w:szCs w:val="18"/>
          <w:lang w:val="en-US"/>
        </w:rPr>
        <w:t xml:space="preserve">.: </w:t>
      </w:r>
      <w:r w:rsidR="0097018B">
        <w:fldChar w:fldCharType="begin"/>
      </w:r>
      <w:r w:rsidR="0097018B" w:rsidRPr="00B154D4">
        <w:rPr>
          <w:lang w:val="en-US"/>
        </w:rPr>
        <w:instrText>HYPERLINK "http://www.oceanexpert.net" \h</w:instrText>
      </w:r>
      <w:r w:rsidR="0097018B">
        <w:fldChar w:fldCharType="separate"/>
      </w:r>
      <w:r w:rsidRPr="00216B88">
        <w:rPr>
          <w:color w:val="0000FF"/>
          <w:sz w:val="18"/>
          <w:szCs w:val="18"/>
          <w:lang w:val="en-US"/>
        </w:rPr>
        <w:t>http://www.oceanexpert.net</w:t>
      </w:r>
      <w:r w:rsidR="0097018B">
        <w:rPr>
          <w:color w:val="0000FF"/>
          <w:sz w:val="18"/>
          <w:szCs w:val="18"/>
          <w:lang w:val="en-US"/>
        </w:rPr>
        <w:fldChar w:fldCharType="end"/>
      </w:r>
    </w:p>
  </w:footnote>
  <w:footnote w:id="9">
    <w:p w14:paraId="37754A76" w14:textId="52A4D01C" w:rsidR="00C504BD" w:rsidRPr="00216B88" w:rsidRDefault="00C504BD" w:rsidP="00C504BD">
      <w:pPr>
        <w:pBdr>
          <w:top w:val="nil"/>
          <w:left w:val="nil"/>
          <w:bottom w:val="nil"/>
          <w:right w:val="nil"/>
          <w:between w:val="nil"/>
        </w:pBdr>
        <w:ind w:left="567" w:hanging="567"/>
        <w:rPr>
          <w:color w:val="000000"/>
          <w:sz w:val="18"/>
          <w:szCs w:val="18"/>
          <w:lang w:val="en-US"/>
        </w:rPr>
      </w:pPr>
      <w:r w:rsidRPr="00216B88">
        <w:rPr>
          <w:sz w:val="18"/>
          <w:szCs w:val="18"/>
          <w:vertAlign w:val="superscript"/>
        </w:rPr>
        <w:footnoteRef/>
      </w:r>
      <w:r w:rsidRPr="00216B88">
        <w:rPr>
          <w:color w:val="000000"/>
          <w:sz w:val="18"/>
          <w:szCs w:val="18"/>
          <w:lang w:val="en-US"/>
        </w:rPr>
        <w:t xml:space="preserve"> </w:t>
      </w:r>
      <w:r w:rsidR="00842993">
        <w:rPr>
          <w:color w:val="000000"/>
          <w:sz w:val="18"/>
          <w:szCs w:val="18"/>
          <w:lang w:val="en-US"/>
        </w:rPr>
        <w:tab/>
      </w:r>
      <w:r w:rsidR="0097018B">
        <w:fldChar w:fldCharType="begin"/>
      </w:r>
      <w:r w:rsidR="0097018B" w:rsidRPr="00B154D4">
        <w:rPr>
          <w:lang w:val="en-US"/>
        </w:rPr>
        <w:instrText>HYPERLINK "https://surveys.ioc-cd.org/"</w:instrText>
      </w:r>
      <w:r w:rsidR="0097018B">
        <w:fldChar w:fldCharType="separate"/>
      </w:r>
      <w:r w:rsidRPr="00216B88">
        <w:rPr>
          <w:rStyle w:val="Hyperlink"/>
          <w:sz w:val="18"/>
          <w:szCs w:val="18"/>
          <w:lang w:val="en-US"/>
        </w:rPr>
        <w:t>IOC CD Needs Assessment Survey 2020-2021</w:t>
      </w:r>
      <w:r w:rsidR="0097018B">
        <w:rPr>
          <w:rStyle w:val="Hyperlink"/>
          <w:sz w:val="18"/>
          <w:szCs w:val="18"/>
          <w:lang w:val="en-US"/>
        </w:rPr>
        <w:fldChar w:fldCharType="end"/>
      </w:r>
    </w:p>
  </w:footnote>
  <w:footnote w:id="10">
    <w:p w14:paraId="19E713EF" w14:textId="59AD0D5F" w:rsidR="002E0C01" w:rsidRPr="00216B88" w:rsidRDefault="002E0C01" w:rsidP="002E0C01">
      <w:pPr>
        <w:pStyle w:val="FootnoteText"/>
        <w:rPr>
          <w:sz w:val="18"/>
          <w:szCs w:val="18"/>
        </w:rPr>
      </w:pPr>
      <w:r w:rsidRPr="00216B88">
        <w:rPr>
          <w:rStyle w:val="FootnoteReference"/>
          <w:sz w:val="18"/>
          <w:szCs w:val="18"/>
        </w:rPr>
        <w:footnoteRef/>
      </w:r>
      <w:r w:rsidRPr="00216B88">
        <w:rPr>
          <w:sz w:val="18"/>
          <w:szCs w:val="18"/>
        </w:rPr>
        <w:t xml:space="preserve"> </w:t>
      </w:r>
      <w:r w:rsidR="008D0B78">
        <w:rPr>
          <w:sz w:val="18"/>
          <w:szCs w:val="18"/>
        </w:rPr>
        <w:tab/>
      </w:r>
      <w:r w:rsidRPr="00216B88">
        <w:rPr>
          <w:sz w:val="18"/>
          <w:szCs w:val="18"/>
        </w:rPr>
        <w:t xml:space="preserve">См. пункт 158 итогового документа </w:t>
      </w:r>
      <w:r w:rsidRPr="00216B88">
        <w:rPr>
          <w:i/>
          <w:sz w:val="18"/>
          <w:szCs w:val="18"/>
        </w:rPr>
        <w:t>«Будущее, которого мы хотим»</w:t>
      </w:r>
      <w:r w:rsidRPr="00216B88">
        <w:rPr>
          <w:sz w:val="18"/>
          <w:szCs w:val="18"/>
        </w:rPr>
        <w:t>.</w:t>
      </w:r>
      <w:r w:rsidR="008D0B78">
        <w:rPr>
          <w:sz w:val="18"/>
          <w:szCs w:val="18"/>
        </w:rPr>
        <w:t xml:space="preserve"> </w:t>
      </w:r>
      <w:r w:rsidRPr="00216B88">
        <w:rPr>
          <w:i/>
          <w:iCs/>
          <w:sz w:val="18"/>
          <w:szCs w:val="18"/>
        </w:rPr>
        <w:t>(</w:t>
      </w:r>
      <w:hyperlink r:id="rId8" w:history="1">
        <w:r w:rsidR="000C27A4" w:rsidRPr="006E4376">
          <w:rPr>
            <w:rStyle w:val="Hyperlink"/>
            <w:i/>
            <w:iCs/>
            <w:sz w:val="18"/>
            <w:szCs w:val="18"/>
          </w:rPr>
          <w:t>https://sustainabledevelopment.un.org/</w:t>
        </w:r>
        <w:r w:rsidR="000C27A4" w:rsidRPr="006E4376">
          <w:rPr>
            <w:rStyle w:val="Hyperlink"/>
            <w:i/>
            <w:iCs/>
            <w:sz w:val="18"/>
            <w:szCs w:val="18"/>
          </w:rPr>
          <w:br/>
          <w:t>futurewewant.html</w:t>
        </w:r>
      </w:hyperlink>
      <w:r w:rsidRPr="00216B88">
        <w:rPr>
          <w:i/>
          <w:i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A71D" w14:textId="77777777" w:rsidR="002E0C01" w:rsidRPr="00216B88" w:rsidRDefault="002E0C01">
    <w:pPr>
      <w:pStyle w:val="Header"/>
      <w:rPr>
        <w:szCs w:val="22"/>
        <w:lang w:val="en-US"/>
      </w:rPr>
    </w:pPr>
    <w:r w:rsidRPr="00216B88">
      <w:rPr>
        <w:lang w:val="en-US"/>
      </w:rPr>
      <w:t>ICG/CARIBE-EWS II/WD __</w:t>
    </w:r>
  </w:p>
  <w:p w14:paraId="1A8BDAAE" w14:textId="77777777" w:rsidR="002E0C01" w:rsidRPr="00C962F0" w:rsidRDefault="002E0C01">
    <w:pPr>
      <w:pStyle w:val="Header"/>
      <w:rPr>
        <w:szCs w:val="22"/>
      </w:rPr>
    </w:pPr>
    <w: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sidR="00DA679B">
      <w:rPr>
        <w:rStyle w:val="PageNumber"/>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592F" w14:textId="77777777" w:rsidR="002E0C01" w:rsidRPr="00746B89" w:rsidRDefault="002E0C01" w:rsidP="00DF2FB9">
    <w:pPr>
      <w:pStyle w:val="Header"/>
      <w:tabs>
        <w:tab w:val="clear" w:pos="8306"/>
      </w:tabs>
      <w:rPr>
        <w:szCs w:val="22"/>
      </w:rPr>
    </w:pPr>
    <w:r>
      <w:t xml:space="preserve">IOC-XXX/2 Annex </w:t>
    </w:r>
    <w:r>
      <w:rPr>
        <w:highlight w:val="yellow"/>
      </w:rPr>
      <w:t>__</w:t>
    </w:r>
  </w:p>
  <w:p w14:paraId="1F40472E" w14:textId="77777777" w:rsidR="002E0C01" w:rsidRPr="00746B89" w:rsidRDefault="002E0C01" w:rsidP="00DF2FB9">
    <w:pPr>
      <w:pStyle w:val="Header"/>
      <w:tabs>
        <w:tab w:val="clear" w:pos="8306"/>
      </w:tabs>
      <w:rPr>
        <w:szCs w:val="22"/>
      </w:rPr>
    </w:pPr>
    <w: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sidR="00EB23D9">
      <w:rPr>
        <w:rStyle w:val="PageNumber"/>
        <w:szCs w:val="22"/>
      </w:rPr>
      <w:t>3</w:t>
    </w:r>
    <w:r w:rsidRPr="00746B89">
      <w:rPr>
        <w:rStyle w:val="PageNumber"/>
        <w:szCs w:val="22"/>
      </w:rPr>
      <w:fldChar w:fldCharType="end"/>
    </w:r>
  </w:p>
  <w:p w14:paraId="7FF777DD" w14:textId="77777777" w:rsidR="002E0C01" w:rsidRPr="00DF2FB9" w:rsidRDefault="002E0C0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60789" w14:textId="4AF19C4A" w:rsidR="002E0C01" w:rsidRPr="005E544C" w:rsidRDefault="002E0C01" w:rsidP="00106645">
    <w:pPr>
      <w:pStyle w:val="Marge"/>
      <w:tabs>
        <w:tab w:val="left" w:pos="6521"/>
      </w:tabs>
      <w:spacing w:after="0"/>
      <w:rPr>
        <w:rFonts w:cs="Arial"/>
        <w:b/>
        <w:szCs w:val="22"/>
      </w:rPr>
    </w:pPr>
    <w:r>
      <w:t>Рассылается по списку</w:t>
    </w:r>
    <w:r>
      <w:tab/>
    </w:r>
    <w:r>
      <w:rPr>
        <w:b/>
        <w:sz w:val="36"/>
        <w:szCs w:val="36"/>
      </w:rPr>
      <w:t>IOC-32/4.3.Doc(1)</w:t>
    </w:r>
  </w:p>
  <w:p w14:paraId="22299E83" w14:textId="51ACDB52" w:rsidR="002E0C01" w:rsidRPr="005E544C" w:rsidRDefault="002E0C01" w:rsidP="00106645">
    <w:pPr>
      <w:tabs>
        <w:tab w:val="clear" w:pos="567"/>
        <w:tab w:val="left" w:pos="6521"/>
      </w:tabs>
      <w:jc w:val="both"/>
      <w:rPr>
        <w:rFonts w:cs="Arial"/>
        <w:szCs w:val="22"/>
      </w:rPr>
    </w:pPr>
    <w:r>
      <w:rPr>
        <w:b/>
        <w:szCs w:val="22"/>
      </w:rPr>
      <w:tab/>
    </w:r>
    <w:r>
      <w:t>Париж, 25 апреля 2023 г.</w:t>
    </w:r>
  </w:p>
  <w:p w14:paraId="31B2CB07" w14:textId="6FDF94AA" w:rsidR="002E0C01" w:rsidRPr="005E544C" w:rsidRDefault="001258DC" w:rsidP="00106645">
    <w:pPr>
      <w:tabs>
        <w:tab w:val="clear" w:pos="567"/>
        <w:tab w:val="left" w:pos="6521"/>
      </w:tabs>
      <w:jc w:val="both"/>
      <w:rPr>
        <w:rFonts w:cs="Arial"/>
        <w:szCs w:val="22"/>
      </w:rPr>
    </w:pPr>
    <w:r>
      <w:rPr>
        <w:noProof/>
      </w:rPr>
      <w:drawing>
        <wp:anchor distT="0" distB="0" distL="114300" distR="114300" simplePos="0" relativeHeight="251659776" behindDoc="0" locked="0" layoutInCell="1" allowOverlap="1" wp14:anchorId="3D5ACA5C" wp14:editId="1049BA9F">
          <wp:simplePos x="0" y="0"/>
          <wp:positionH relativeFrom="column">
            <wp:posOffset>-88900</wp:posOffset>
          </wp:positionH>
          <wp:positionV relativeFrom="paragraph">
            <wp:posOffset>83820</wp:posOffset>
          </wp:positionV>
          <wp:extent cx="1578610" cy="1047115"/>
          <wp:effectExtent l="0" t="0" r="2540" b="635"/>
          <wp:wrapSquare wrapText="bothSides"/>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Cs w:val="22"/>
      </w:rPr>
      <w:tab/>
    </w:r>
    <w:r>
      <w:t>Оригинал: английский</w:t>
    </w:r>
  </w:p>
  <w:p w14:paraId="3323914D" w14:textId="11C361F0" w:rsidR="002E0C01" w:rsidRPr="005E544C" w:rsidRDefault="002E0C01" w:rsidP="008072B8">
    <w:pPr>
      <w:tabs>
        <w:tab w:val="left" w:pos="-144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6660"/>
        <w:tab w:val="left" w:pos="7020"/>
      </w:tabs>
      <w:jc w:val="both"/>
      <w:rPr>
        <w:rFonts w:cs="Arial"/>
        <w:b/>
        <w:szCs w:val="22"/>
      </w:rPr>
    </w:pPr>
  </w:p>
  <w:p w14:paraId="768A14EE" w14:textId="277C2DA0" w:rsidR="002E0C01" w:rsidRDefault="002E0C01"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61EF197B" w14:textId="7DFB694B" w:rsidR="001258DC" w:rsidRDefault="001258DC"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310368BE" w14:textId="63CE3E80" w:rsidR="001258DC" w:rsidRDefault="00106645" w:rsidP="00106645">
    <w:pPr>
      <w:tabs>
        <w:tab w:val="clear" w:pos="567"/>
        <w:tab w:val="left" w:pos="-1440"/>
        <w:tab w:val="left" w:pos="-720"/>
        <w:tab w:val="left" w:pos="0"/>
        <w:tab w:val="left" w:pos="4320"/>
      </w:tabs>
      <w:jc w:val="both"/>
      <w:rPr>
        <w:rFonts w:cs="Arial"/>
        <w:b/>
        <w:szCs w:val="22"/>
      </w:rPr>
    </w:pPr>
    <w:r>
      <w:rPr>
        <w:b/>
        <w:szCs w:val="22"/>
      </w:rPr>
      <w:tab/>
    </w:r>
  </w:p>
  <w:p w14:paraId="5F13CF88" w14:textId="1B0828AF" w:rsidR="001258DC" w:rsidRDefault="001258DC"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230D7CB2" w14:textId="7FBC3129" w:rsidR="001258DC" w:rsidRDefault="001258DC"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71B6F218" w14:textId="77777777" w:rsidR="001258DC" w:rsidRDefault="001258DC"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307E5042" w14:textId="77777777" w:rsidR="001258DC" w:rsidRPr="00423BDE" w:rsidRDefault="001258DC" w:rsidP="001258DC">
    <w:pPr>
      <w:tabs>
        <w:tab w:val="left" w:pos="-1440"/>
        <w:tab w:val="left" w:pos="-720"/>
        <w:tab w:val="left" w:pos="720"/>
        <w:tab w:val="left" w:pos="2160"/>
        <w:tab w:val="left" w:pos="3600"/>
        <w:tab w:val="left" w:pos="4320"/>
        <w:tab w:val="left" w:pos="5040"/>
        <w:tab w:val="left" w:pos="5523"/>
        <w:tab w:val="left" w:pos="6480"/>
      </w:tabs>
      <w:jc w:val="center"/>
      <w:rPr>
        <w:rFonts w:cs="Arial"/>
        <w:b/>
        <w:szCs w:val="22"/>
      </w:rPr>
    </w:pPr>
    <w:r>
      <w:rPr>
        <w:b/>
        <w:szCs w:val="22"/>
      </w:rPr>
      <w:t>МЕЖПРАВИТЕЛЬСТВЕННАЯ ОКЕАНОГРАФИЧЕСКАЯ КОМИССИЯ</w:t>
    </w:r>
  </w:p>
  <w:p w14:paraId="78D9AEF1" w14:textId="77777777" w:rsidR="001258DC" w:rsidRPr="00423BDE" w:rsidRDefault="001258DC" w:rsidP="001258DC">
    <w:pPr>
      <w:tabs>
        <w:tab w:val="left" w:pos="-1440"/>
        <w:tab w:val="left" w:pos="-720"/>
        <w:tab w:val="left" w:pos="720"/>
        <w:tab w:val="left" w:pos="2160"/>
        <w:tab w:val="left" w:pos="3600"/>
        <w:tab w:val="left" w:pos="4320"/>
        <w:tab w:val="left" w:pos="5040"/>
        <w:tab w:val="left" w:pos="5523"/>
        <w:tab w:val="left" w:pos="6480"/>
      </w:tabs>
      <w:jc w:val="center"/>
      <w:rPr>
        <w:rFonts w:cs="Arial"/>
        <w:bCs/>
        <w:szCs w:val="22"/>
      </w:rPr>
    </w:pPr>
    <w:r>
      <w:t>(ЮНЕСКО)</w:t>
    </w:r>
  </w:p>
  <w:p w14:paraId="521951E1" w14:textId="77777777" w:rsidR="001258DC" w:rsidRPr="00423BDE" w:rsidRDefault="001258DC" w:rsidP="001258DC">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rPr>
    </w:pPr>
  </w:p>
  <w:p w14:paraId="3067082B" w14:textId="77777777" w:rsidR="001258DC" w:rsidRPr="009F24D8" w:rsidRDefault="001258DC" w:rsidP="001258DC">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rPr>
    </w:pPr>
    <w:r>
      <w:rPr>
        <w:b/>
      </w:rPr>
      <w:t>Тридцать вторая сессия Ассамблеи</w:t>
    </w:r>
  </w:p>
  <w:p w14:paraId="7BB134E1" w14:textId="77777777" w:rsidR="001258DC" w:rsidRPr="009F24D8" w:rsidRDefault="001258DC" w:rsidP="001258DC">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rPr>
    </w:pPr>
    <w:r>
      <w:t>ЮНЕСКО, Париж, 21-30 июня 2023 г.</w:t>
    </w:r>
  </w:p>
  <w:p w14:paraId="5846A515" w14:textId="77777777" w:rsidR="001258DC" w:rsidRPr="00423BDE" w:rsidRDefault="001258DC" w:rsidP="001258DC">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rPr>
    </w:pPr>
  </w:p>
  <w:p w14:paraId="61C640A0" w14:textId="77777777" w:rsidR="001258DC" w:rsidRPr="005E544C" w:rsidRDefault="001258DC" w:rsidP="001258DC">
    <w:pPr>
      <w:jc w:val="center"/>
      <w:rPr>
        <w:rFonts w:cs="Arial"/>
        <w:szCs w:val="22"/>
      </w:rPr>
    </w:pPr>
  </w:p>
  <w:p w14:paraId="0DAA31F0" w14:textId="77777777" w:rsidR="001258DC" w:rsidRDefault="001258DC" w:rsidP="001258DC">
    <w:pPr>
      <w:jc w:val="center"/>
      <w:rPr>
        <w:rFonts w:cs="Arial"/>
        <w:szCs w:val="22"/>
      </w:rPr>
    </w:pPr>
  </w:p>
  <w:p w14:paraId="554A88AC" w14:textId="77777777" w:rsidR="001258DC" w:rsidRDefault="001258DC" w:rsidP="001258DC">
    <w:pPr>
      <w:jc w:val="center"/>
      <w:rPr>
        <w:rFonts w:cs="Arial"/>
        <w:szCs w:val="22"/>
      </w:rPr>
    </w:pPr>
  </w:p>
  <w:p w14:paraId="276A0913" w14:textId="77777777" w:rsidR="001258DC" w:rsidRDefault="001258DC" w:rsidP="001258DC">
    <w:pPr>
      <w:jc w:val="center"/>
      <w:rPr>
        <w:rFonts w:cs="Arial"/>
        <w:szCs w:val="22"/>
      </w:rPr>
    </w:pPr>
  </w:p>
  <w:p w14:paraId="239FDD70" w14:textId="0D273D10" w:rsidR="002E0C01" w:rsidRPr="008D2398" w:rsidRDefault="002E0C01" w:rsidP="00DF2FB9">
    <w:pPr>
      <w:pStyle w:val="Heading7"/>
      <w:tabs>
        <w:tab w:val="right" w:pos="9540"/>
      </w:tabs>
      <w:rPr>
        <w:rFonts w:cs="Arial"/>
        <w:sz w:val="24"/>
        <w:u w:val="none"/>
      </w:rPr>
    </w:pPr>
    <w:r>
      <w:rPr>
        <w:sz w:val="24"/>
      </w:rPr>
      <w:t xml:space="preserve">Пункт </w:t>
    </w:r>
    <w:r>
      <w:rPr>
        <w:b/>
        <w:sz w:val="24"/>
      </w:rPr>
      <w:t>4.3</w:t>
    </w:r>
    <w:r>
      <w:rPr>
        <w:sz w:val="24"/>
      </w:rPr>
      <w:t xml:space="preserve"> предварительной повестки дня</w:t>
    </w:r>
  </w:p>
  <w:p w14:paraId="46FEC6D0" w14:textId="77777777" w:rsidR="002E0C01" w:rsidRPr="005E544C" w:rsidRDefault="002E0C01" w:rsidP="00DF2FB9">
    <w:pPr>
      <w:rPr>
        <w:rFonts w:cs="Arial"/>
        <w:szCs w:val="22"/>
      </w:rPr>
    </w:pPr>
  </w:p>
  <w:p w14:paraId="371DEB16" w14:textId="77777777" w:rsidR="002E0C01" w:rsidRPr="005E544C" w:rsidRDefault="002E0C01" w:rsidP="00DF2FB9">
    <w:pPr>
      <w:rPr>
        <w:rFonts w:cs="Arial"/>
        <w:szCs w:val="22"/>
      </w:rPr>
    </w:pPr>
  </w:p>
  <w:p w14:paraId="11D07673" w14:textId="687ADC28" w:rsidR="002E0C01" w:rsidRPr="0035780A" w:rsidRDefault="002E0C01" w:rsidP="009C15B1">
    <w:pPr>
      <w:pStyle w:val="Docheading"/>
      <w:rPr>
        <w:sz w:val="28"/>
        <w:szCs w:val="28"/>
      </w:rPr>
    </w:pPr>
    <w:r w:rsidRPr="0035780A">
      <w:rPr>
        <w:sz w:val="28"/>
        <w:szCs w:val="28"/>
      </w:rPr>
      <w:t>С</w:t>
    </w:r>
    <w:r w:rsidR="0035780A" w:rsidRPr="0035780A">
      <w:rPr>
        <w:caps w:val="0"/>
        <w:sz w:val="28"/>
        <w:szCs w:val="28"/>
      </w:rPr>
      <w:t xml:space="preserve">тратегия </w:t>
    </w:r>
    <w:r w:rsidRPr="0035780A">
      <w:rPr>
        <w:sz w:val="28"/>
        <w:szCs w:val="28"/>
      </w:rPr>
      <w:t xml:space="preserve">МОК </w:t>
    </w:r>
    <w:r w:rsidR="0035780A" w:rsidRPr="0035780A">
      <w:rPr>
        <w:caps w:val="0"/>
        <w:sz w:val="28"/>
        <w:szCs w:val="28"/>
      </w:rPr>
      <w:t>в области развития потенциала на 2023-2030 гг.</w:t>
    </w:r>
  </w:p>
  <w:p w14:paraId="055CC9E3" w14:textId="77777777" w:rsidR="002E0C01" w:rsidRPr="005E544C" w:rsidRDefault="002E0C01" w:rsidP="00DF2FB9">
    <w:pPr>
      <w:pStyle w:val="Header"/>
      <w:rPr>
        <w:rFonts w:cs="Arial"/>
        <w:szCs w:val="22"/>
      </w:rPr>
    </w:pPr>
  </w:p>
  <w:p w14:paraId="53B9AE1B" w14:textId="77777777" w:rsidR="002E0C01" w:rsidRPr="005E544C" w:rsidRDefault="002E0C01">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0ECC0" w14:textId="77777777" w:rsidR="00EB23D9" w:rsidRPr="00EB23D9" w:rsidRDefault="00EB23D9" w:rsidP="00EB23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71CA4" w14:textId="531A90AE" w:rsidR="002E0C01" w:rsidRPr="00E77A48" w:rsidRDefault="0044325C" w:rsidP="00E77A48">
    <w:pPr>
      <w:pStyle w:val="Header"/>
      <w:rPr>
        <w:rFonts w:asciiTheme="minorBidi" w:hAnsiTheme="minorBidi" w:cstheme="minorBidi"/>
        <w:szCs w:val="22"/>
      </w:rPr>
    </w:pPr>
    <w:r w:rsidRPr="00E77A48">
      <w:rPr>
        <w:rFonts w:asciiTheme="minorBidi" w:hAnsiTheme="minorBidi" w:cstheme="minorBidi"/>
        <w:szCs w:val="22"/>
      </w:rPr>
      <w:t>IOC</w:t>
    </w:r>
    <w:r w:rsidR="00187BDB">
      <w:rPr>
        <w:rFonts w:asciiTheme="minorBidi" w:hAnsiTheme="minorBidi" w:cstheme="minorBidi"/>
        <w:szCs w:val="22"/>
        <w:lang w:val="en-US"/>
      </w:rPr>
      <w:t>/A</w:t>
    </w:r>
    <w:r w:rsidRPr="00E77A48">
      <w:rPr>
        <w:rFonts w:asciiTheme="minorBidi" w:hAnsiTheme="minorBidi" w:cstheme="minorBidi"/>
        <w:szCs w:val="22"/>
      </w:rPr>
      <w:t>-32/4.3.Doc(1)</w:t>
    </w:r>
    <w:r w:rsidR="00E77A48" w:rsidRPr="00E77A48">
      <w:rPr>
        <w:rFonts w:asciiTheme="minorBidi" w:hAnsiTheme="minorBidi" w:cstheme="minorBidi"/>
        <w:szCs w:val="22"/>
        <w:lang w:val="en-US"/>
      </w:rPr>
      <w:t xml:space="preserve"> – </w:t>
    </w:r>
    <w:r w:rsidR="002E0C01" w:rsidRPr="00E77A48">
      <w:rPr>
        <w:rFonts w:asciiTheme="minorBidi" w:hAnsiTheme="minorBidi" w:cstheme="minorBidi"/>
        <w:szCs w:val="22"/>
      </w:rPr>
      <w:t>page </w:t>
    </w:r>
    <w:r w:rsidR="002E0C01" w:rsidRPr="00E77A48">
      <w:rPr>
        <w:rStyle w:val="PageNumber"/>
        <w:rFonts w:asciiTheme="minorBidi" w:hAnsiTheme="minorBidi" w:cstheme="minorBidi"/>
        <w:szCs w:val="22"/>
      </w:rPr>
      <w:fldChar w:fldCharType="begin"/>
    </w:r>
    <w:r w:rsidR="002E0C01" w:rsidRPr="00E77A48">
      <w:rPr>
        <w:rStyle w:val="PageNumber"/>
        <w:rFonts w:asciiTheme="minorBidi" w:hAnsiTheme="minorBidi" w:cstheme="minorBidi"/>
        <w:szCs w:val="22"/>
      </w:rPr>
      <w:instrText xml:space="preserve"> PAGE </w:instrText>
    </w:r>
    <w:r w:rsidR="002E0C01" w:rsidRPr="00E77A48">
      <w:rPr>
        <w:rStyle w:val="PageNumber"/>
        <w:rFonts w:asciiTheme="minorBidi" w:hAnsiTheme="minorBidi" w:cstheme="minorBidi"/>
        <w:szCs w:val="22"/>
      </w:rPr>
      <w:fldChar w:fldCharType="separate"/>
    </w:r>
    <w:r w:rsidR="00DA679B" w:rsidRPr="00E77A48">
      <w:rPr>
        <w:rStyle w:val="PageNumber"/>
        <w:rFonts w:asciiTheme="minorBidi" w:hAnsiTheme="minorBidi" w:cstheme="minorBidi"/>
        <w:szCs w:val="22"/>
      </w:rPr>
      <w:t>4</w:t>
    </w:r>
    <w:r w:rsidR="002E0C01" w:rsidRPr="00E77A48">
      <w:rPr>
        <w:rStyle w:val="PageNumber"/>
        <w:rFonts w:asciiTheme="minorBidi" w:hAnsiTheme="minorBidi" w:cstheme="minorBidi"/>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874B7" w14:textId="0BC56AD0" w:rsidR="00E77A48" w:rsidRPr="00E77A48" w:rsidRDefault="0044325C" w:rsidP="00E77A48">
    <w:pPr>
      <w:pStyle w:val="Header"/>
      <w:jc w:val="right"/>
      <w:rPr>
        <w:rFonts w:cs="Arial"/>
        <w:szCs w:val="22"/>
      </w:rPr>
    </w:pPr>
    <w:r>
      <w:t>IOC</w:t>
    </w:r>
    <w:r w:rsidR="00187BDB">
      <w:rPr>
        <w:lang w:val="en-US"/>
      </w:rPr>
      <w:t>/A</w:t>
    </w:r>
    <w:r>
      <w:t>-32/4.3.Doc(1)</w:t>
    </w:r>
    <w:r w:rsidR="00E77A48">
      <w:rPr>
        <w:lang w:val="en-US"/>
      </w:rPr>
      <w:t xml:space="preserve"> – </w:t>
    </w:r>
    <w:r w:rsidR="002E0C01">
      <w:t>page </w:t>
    </w:r>
    <w:r w:rsidR="002E0C01" w:rsidRPr="00424DE6">
      <w:rPr>
        <w:rStyle w:val="PageNumber"/>
        <w:rFonts w:cs="Arial"/>
        <w:szCs w:val="22"/>
      </w:rPr>
      <w:fldChar w:fldCharType="begin"/>
    </w:r>
    <w:r w:rsidR="002E0C01" w:rsidRPr="00003B31">
      <w:rPr>
        <w:rStyle w:val="PageNumber"/>
        <w:rFonts w:cs="Arial"/>
        <w:szCs w:val="22"/>
      </w:rPr>
      <w:instrText xml:space="preserve"> PAGE </w:instrText>
    </w:r>
    <w:r w:rsidR="002E0C01" w:rsidRPr="00424DE6">
      <w:rPr>
        <w:rStyle w:val="PageNumber"/>
        <w:rFonts w:cs="Arial"/>
        <w:szCs w:val="22"/>
      </w:rPr>
      <w:fldChar w:fldCharType="separate"/>
    </w:r>
    <w:r w:rsidR="00DA679B">
      <w:rPr>
        <w:rStyle w:val="PageNumber"/>
        <w:rFonts w:cs="Arial"/>
        <w:szCs w:val="22"/>
      </w:rPr>
      <w:t>3</w:t>
    </w:r>
    <w:r w:rsidR="002E0C01" w:rsidRPr="00424DE6">
      <w:rPr>
        <w:rStyle w:val="PageNumber"/>
        <w:rFonts w:cs="Arial"/>
        <w:szCs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D905D" w14:textId="5A2FDABB" w:rsidR="002E0C01" w:rsidRPr="0044325C" w:rsidRDefault="002E0C01" w:rsidP="008072B8">
    <w:pPr>
      <w:pStyle w:val="Header"/>
      <w:jc w:val="right"/>
      <w:rPr>
        <w:rFonts w:cs="Arial"/>
        <w:szCs w:val="22"/>
      </w:rPr>
    </w:pPr>
    <w:r>
      <w:t>IOC</w:t>
    </w:r>
    <w:r w:rsidR="00187BDB">
      <w:t>/</w:t>
    </w:r>
    <w:r w:rsidR="00187BDB">
      <w:rPr>
        <w:lang w:val="en-US"/>
      </w:rPr>
      <w:t>A</w:t>
    </w:r>
    <w:r>
      <w:t>-32/4.3.Doc(1)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15B29F3"/>
    <w:multiLevelType w:val="hybridMultilevel"/>
    <w:tmpl w:val="7D44F93C"/>
    <w:lvl w:ilvl="0" w:tplc="689EE55C">
      <w:start w:val="2"/>
      <w:numFmt w:val="bullet"/>
      <w:lvlText w:val=""/>
      <w:lvlJc w:val="left"/>
      <w:pPr>
        <w:ind w:left="720" w:hanging="360"/>
      </w:pPr>
      <w:rPr>
        <w:rFonts w:ascii="Wingdings" w:eastAsia="Times New Roman" w:hAnsi="Wingdings" w:cs="Times New Roman"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013DAA"/>
    <w:multiLevelType w:val="hybridMultilevel"/>
    <w:tmpl w:val="E0A6BB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C9C7D59"/>
    <w:multiLevelType w:val="hybridMultilevel"/>
    <w:tmpl w:val="13C251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3F3B3A"/>
    <w:multiLevelType w:val="hybridMultilevel"/>
    <w:tmpl w:val="451E0AB2"/>
    <w:lvl w:ilvl="0" w:tplc="E62CD6B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29A57B3"/>
    <w:multiLevelType w:val="hybridMultilevel"/>
    <w:tmpl w:val="95901F86"/>
    <w:lvl w:ilvl="0" w:tplc="BE0C446E">
      <w:start w:val="2"/>
      <w:numFmt w:val="bullet"/>
      <w:lvlText w:val=""/>
      <w:lvlJc w:val="left"/>
      <w:pPr>
        <w:ind w:left="720" w:hanging="360"/>
      </w:pPr>
      <w:rPr>
        <w:rFonts w:ascii="Wingdings" w:eastAsia="Times New Roman" w:hAnsi="Wingdings"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9F56B2"/>
    <w:multiLevelType w:val="hybridMultilevel"/>
    <w:tmpl w:val="B19A065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394B6F"/>
    <w:multiLevelType w:val="multilevel"/>
    <w:tmpl w:val="71D0C310"/>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9" w15:restartNumberingAfterBreak="0">
    <w:nsid w:val="21D47906"/>
    <w:multiLevelType w:val="hybridMultilevel"/>
    <w:tmpl w:val="D6D2C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0367E9"/>
    <w:multiLevelType w:val="multilevel"/>
    <w:tmpl w:val="33C0BFB2"/>
    <w:lvl w:ilvl="0">
      <w:start w:val="2"/>
      <w:numFmt w:val="bullet"/>
      <w:lvlText w:val="⇨"/>
      <w:lvlJc w:val="left"/>
      <w:pPr>
        <w:ind w:left="720"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2C474AC9"/>
    <w:multiLevelType w:val="multilevel"/>
    <w:tmpl w:val="97E22C5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2CAF6D18"/>
    <w:multiLevelType w:val="hybridMultilevel"/>
    <w:tmpl w:val="6352C7B0"/>
    <w:lvl w:ilvl="0" w:tplc="6B32CD74">
      <w:start w:val="2"/>
      <w:numFmt w:val="bullet"/>
      <w:lvlText w:val=""/>
      <w:lvlJc w:val="left"/>
      <w:pPr>
        <w:ind w:left="720" w:hanging="360"/>
      </w:pPr>
      <w:rPr>
        <w:rFonts w:ascii="Wingdings" w:eastAsia="Times New Roman" w:hAnsi="Wingdings"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341CFB"/>
    <w:multiLevelType w:val="hybridMultilevel"/>
    <w:tmpl w:val="9448F218"/>
    <w:lvl w:ilvl="0" w:tplc="5AB09D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5" w15:restartNumberingAfterBreak="0">
    <w:nsid w:val="3519455A"/>
    <w:multiLevelType w:val="hybridMultilevel"/>
    <w:tmpl w:val="A2D4478C"/>
    <w:lvl w:ilvl="0" w:tplc="1F567C12">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22F3A93"/>
    <w:multiLevelType w:val="hybridMultilevel"/>
    <w:tmpl w:val="7D0CBAEE"/>
    <w:lvl w:ilvl="0" w:tplc="E3109C88">
      <w:start w:val="2"/>
      <w:numFmt w:val="bullet"/>
      <w:lvlText w:val=""/>
      <w:lvlJc w:val="left"/>
      <w:pPr>
        <w:ind w:left="720" w:hanging="360"/>
      </w:pPr>
      <w:rPr>
        <w:rFonts w:ascii="Wingdings" w:eastAsia="Times New Roman" w:hAnsi="Wingdings"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8179E4"/>
    <w:multiLevelType w:val="multilevel"/>
    <w:tmpl w:val="D81A01FA"/>
    <w:lvl w:ilvl="0">
      <w:start w:val="2"/>
      <w:numFmt w:val="bullet"/>
      <w:lvlText w:val="⇨"/>
      <w:lvlJc w:val="left"/>
      <w:pPr>
        <w:ind w:left="720"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4AC52F67"/>
    <w:multiLevelType w:val="multilevel"/>
    <w:tmpl w:val="5CB8905A"/>
    <w:lvl w:ilvl="0">
      <w:start w:val="2"/>
      <w:numFmt w:val="bullet"/>
      <w:lvlText w:val="⇨"/>
      <w:lvlJc w:val="left"/>
      <w:pPr>
        <w:ind w:left="720"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4F91272E"/>
    <w:multiLevelType w:val="hybridMultilevel"/>
    <w:tmpl w:val="5274A298"/>
    <w:lvl w:ilvl="0" w:tplc="94B6AD00">
      <w:start w:val="2"/>
      <w:numFmt w:val="bullet"/>
      <w:lvlText w:val=""/>
      <w:lvlJc w:val="left"/>
      <w:pPr>
        <w:ind w:left="720" w:hanging="360"/>
      </w:pPr>
      <w:rPr>
        <w:rFonts w:ascii="Wingdings" w:eastAsia="Times New Roman" w:hAnsi="Wingdings"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792484A"/>
    <w:multiLevelType w:val="hybridMultilevel"/>
    <w:tmpl w:val="1C5A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1D4977"/>
    <w:multiLevelType w:val="hybridMultilevel"/>
    <w:tmpl w:val="C666C75A"/>
    <w:lvl w:ilvl="0" w:tplc="09E4F534">
      <w:numFmt w:val="bullet"/>
      <w:lvlText w:val="–"/>
      <w:lvlJc w:val="left"/>
      <w:pPr>
        <w:ind w:left="720" w:hanging="360"/>
      </w:pPr>
      <w:rPr>
        <w:rFonts w:ascii="Calibri" w:eastAsia="DengXi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ABD4CC8"/>
    <w:multiLevelType w:val="hybridMultilevel"/>
    <w:tmpl w:val="22E287B4"/>
    <w:lvl w:ilvl="0" w:tplc="E2DE0DA8">
      <w:start w:val="2"/>
      <w:numFmt w:val="bullet"/>
      <w:lvlText w:val=""/>
      <w:lvlJc w:val="left"/>
      <w:pPr>
        <w:ind w:left="720" w:hanging="360"/>
      </w:pPr>
      <w:rPr>
        <w:rFonts w:ascii="Wingdings" w:eastAsia="Times New Roman" w:hAnsi="Wingdings"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B7A10F3"/>
    <w:multiLevelType w:val="hybridMultilevel"/>
    <w:tmpl w:val="B4CA3A4E"/>
    <w:lvl w:ilvl="0" w:tplc="50F8C0CC">
      <w:start w:val="1"/>
      <w:numFmt w:val="decimal"/>
      <w:pStyle w:val="paranumber"/>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905CD8"/>
    <w:multiLevelType w:val="multilevel"/>
    <w:tmpl w:val="0FF69956"/>
    <w:lvl w:ilvl="0">
      <w:start w:val="1"/>
      <w:numFmt w:val="lowerRoman"/>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5" w15:restartNumberingAfterBreak="0">
    <w:nsid w:val="65955943"/>
    <w:multiLevelType w:val="hybridMultilevel"/>
    <w:tmpl w:val="4DC4DC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942FCA"/>
    <w:multiLevelType w:val="hybridMultilevel"/>
    <w:tmpl w:val="EF481D66"/>
    <w:lvl w:ilvl="0" w:tplc="0409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69C44409"/>
    <w:multiLevelType w:val="hybridMultilevel"/>
    <w:tmpl w:val="F014E20A"/>
    <w:lvl w:ilvl="0" w:tplc="C3C841B4">
      <w:start w:val="2"/>
      <w:numFmt w:val="bullet"/>
      <w:lvlText w:val=""/>
      <w:lvlJc w:val="left"/>
      <w:pPr>
        <w:ind w:left="720" w:hanging="360"/>
      </w:pPr>
      <w:rPr>
        <w:rFonts w:ascii="Wingdings" w:eastAsia="Times New Roman" w:hAnsi="Wingdings"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1CD149D"/>
    <w:multiLevelType w:val="hybridMultilevel"/>
    <w:tmpl w:val="3A2E5474"/>
    <w:lvl w:ilvl="0" w:tplc="4E22D66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5884445"/>
    <w:multiLevelType w:val="multilevel"/>
    <w:tmpl w:val="8228D2E4"/>
    <w:lvl w:ilvl="0">
      <w:start w:val="2"/>
      <w:numFmt w:val="bullet"/>
      <w:lvlText w:val="⇨"/>
      <w:lvlJc w:val="left"/>
      <w:pPr>
        <w:ind w:left="720"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77CE5A9F"/>
    <w:multiLevelType w:val="hybridMultilevel"/>
    <w:tmpl w:val="705CE49C"/>
    <w:lvl w:ilvl="0" w:tplc="57EE9682">
      <w:start w:val="2"/>
      <w:numFmt w:val="bullet"/>
      <w:lvlText w:val=""/>
      <w:lvlJc w:val="left"/>
      <w:pPr>
        <w:ind w:left="720" w:hanging="360"/>
      </w:pPr>
      <w:rPr>
        <w:rFonts w:ascii="Wingdings" w:eastAsia="Times New Roman" w:hAnsi="Wingdings"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44094600">
    <w:abstractNumId w:val="14"/>
  </w:num>
  <w:num w:numId="2" w16cid:durableId="459417410">
    <w:abstractNumId w:val="0"/>
  </w:num>
  <w:num w:numId="3" w16cid:durableId="119110480">
    <w:abstractNumId w:val="4"/>
  </w:num>
  <w:num w:numId="4" w16cid:durableId="404914044">
    <w:abstractNumId w:val="25"/>
  </w:num>
  <w:num w:numId="5" w16cid:durableId="1722097351">
    <w:abstractNumId w:val="13"/>
  </w:num>
  <w:num w:numId="6" w16cid:durableId="16931271">
    <w:abstractNumId w:val="9"/>
  </w:num>
  <w:num w:numId="7" w16cid:durableId="294264236">
    <w:abstractNumId w:val="21"/>
  </w:num>
  <w:num w:numId="8" w16cid:durableId="2079861205">
    <w:abstractNumId w:val="20"/>
  </w:num>
  <w:num w:numId="9" w16cid:durableId="1693454849">
    <w:abstractNumId w:val="5"/>
  </w:num>
  <w:num w:numId="10" w16cid:durableId="264191782">
    <w:abstractNumId w:val="16"/>
  </w:num>
  <w:num w:numId="11" w16cid:durableId="723527582">
    <w:abstractNumId w:val="12"/>
  </w:num>
  <w:num w:numId="12" w16cid:durableId="2099057080">
    <w:abstractNumId w:val="30"/>
  </w:num>
  <w:num w:numId="13" w16cid:durableId="1022901172">
    <w:abstractNumId w:val="1"/>
  </w:num>
  <w:num w:numId="14" w16cid:durableId="127935503">
    <w:abstractNumId w:val="19"/>
  </w:num>
  <w:num w:numId="15" w16cid:durableId="1602371370">
    <w:abstractNumId w:val="6"/>
  </w:num>
  <w:num w:numId="16" w16cid:durableId="625307448">
    <w:abstractNumId w:val="27"/>
  </w:num>
  <w:num w:numId="17" w16cid:durableId="1899244932">
    <w:abstractNumId w:val="22"/>
  </w:num>
  <w:num w:numId="18" w16cid:durableId="1284537793">
    <w:abstractNumId w:val="15"/>
  </w:num>
  <w:num w:numId="19" w16cid:durableId="2141803551">
    <w:abstractNumId w:val="26"/>
  </w:num>
  <w:num w:numId="20" w16cid:durableId="1151216424">
    <w:abstractNumId w:val="28"/>
  </w:num>
  <w:num w:numId="21" w16cid:durableId="1888714312">
    <w:abstractNumId w:val="2"/>
  </w:num>
  <w:num w:numId="22" w16cid:durableId="633561901">
    <w:abstractNumId w:val="7"/>
  </w:num>
  <w:num w:numId="23" w16cid:durableId="1850440565">
    <w:abstractNumId w:val="11"/>
  </w:num>
  <w:num w:numId="24" w16cid:durableId="1444692919">
    <w:abstractNumId w:val="18"/>
  </w:num>
  <w:num w:numId="25" w16cid:durableId="1832406602">
    <w:abstractNumId w:val="17"/>
  </w:num>
  <w:num w:numId="26" w16cid:durableId="654606050">
    <w:abstractNumId w:val="10"/>
  </w:num>
  <w:num w:numId="27" w16cid:durableId="2014795750">
    <w:abstractNumId w:val="24"/>
  </w:num>
  <w:num w:numId="28" w16cid:durableId="702485170">
    <w:abstractNumId w:val="29"/>
  </w:num>
  <w:num w:numId="29" w16cid:durableId="1818760533">
    <w:abstractNumId w:val="3"/>
  </w:num>
  <w:num w:numId="30" w16cid:durableId="389040797">
    <w:abstractNumId w:val="8"/>
  </w:num>
  <w:num w:numId="31" w16cid:durableId="1129931161">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425"/>
  <w:doNotHyphenateCaps/>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CE3"/>
    <w:rsid w:val="00003B31"/>
    <w:rsid w:val="0001091E"/>
    <w:rsid w:val="00010BBB"/>
    <w:rsid w:val="00020AA1"/>
    <w:rsid w:val="00026CD4"/>
    <w:rsid w:val="00027351"/>
    <w:rsid w:val="00041803"/>
    <w:rsid w:val="000434C0"/>
    <w:rsid w:val="000577BB"/>
    <w:rsid w:val="000669FE"/>
    <w:rsid w:val="00085D6A"/>
    <w:rsid w:val="00096164"/>
    <w:rsid w:val="000A15C2"/>
    <w:rsid w:val="000C27A4"/>
    <w:rsid w:val="000F0254"/>
    <w:rsid w:val="000F0A3F"/>
    <w:rsid w:val="000F3E31"/>
    <w:rsid w:val="001034FA"/>
    <w:rsid w:val="00106645"/>
    <w:rsid w:val="00117BBA"/>
    <w:rsid w:val="00123719"/>
    <w:rsid w:val="001241D7"/>
    <w:rsid w:val="001258DC"/>
    <w:rsid w:val="00132970"/>
    <w:rsid w:val="00137E97"/>
    <w:rsid w:val="001448C4"/>
    <w:rsid w:val="00155393"/>
    <w:rsid w:val="00167158"/>
    <w:rsid w:val="00167E50"/>
    <w:rsid w:val="00170548"/>
    <w:rsid w:val="0017260D"/>
    <w:rsid w:val="00187BDB"/>
    <w:rsid w:val="00196052"/>
    <w:rsid w:val="001B3B24"/>
    <w:rsid w:val="001B4DA7"/>
    <w:rsid w:val="001C6455"/>
    <w:rsid w:val="001D26A7"/>
    <w:rsid w:val="001D351A"/>
    <w:rsid w:val="001D52D7"/>
    <w:rsid w:val="001F3C71"/>
    <w:rsid w:val="001F5C46"/>
    <w:rsid w:val="0021210D"/>
    <w:rsid w:val="00216B88"/>
    <w:rsid w:val="00217A83"/>
    <w:rsid w:val="00234284"/>
    <w:rsid w:val="00237AA9"/>
    <w:rsid w:val="002549B9"/>
    <w:rsid w:val="0026141A"/>
    <w:rsid w:val="0027224C"/>
    <w:rsid w:val="00293DD5"/>
    <w:rsid w:val="002B7525"/>
    <w:rsid w:val="002C2DFD"/>
    <w:rsid w:val="002C3D36"/>
    <w:rsid w:val="002C7DE3"/>
    <w:rsid w:val="002D0698"/>
    <w:rsid w:val="002D62A8"/>
    <w:rsid w:val="002E0859"/>
    <w:rsid w:val="002E0C01"/>
    <w:rsid w:val="0034156B"/>
    <w:rsid w:val="00351726"/>
    <w:rsid w:val="00352729"/>
    <w:rsid w:val="003561BE"/>
    <w:rsid w:val="0035780A"/>
    <w:rsid w:val="00362F2D"/>
    <w:rsid w:val="003704B4"/>
    <w:rsid w:val="003805F5"/>
    <w:rsid w:val="00381CED"/>
    <w:rsid w:val="0038640C"/>
    <w:rsid w:val="00394DC9"/>
    <w:rsid w:val="003A03E7"/>
    <w:rsid w:val="003A5B81"/>
    <w:rsid w:val="003A7860"/>
    <w:rsid w:val="003D3711"/>
    <w:rsid w:val="003E5AD5"/>
    <w:rsid w:val="003F03C6"/>
    <w:rsid w:val="003F7186"/>
    <w:rsid w:val="00400650"/>
    <w:rsid w:val="00411E1A"/>
    <w:rsid w:val="00413F17"/>
    <w:rsid w:val="004146AF"/>
    <w:rsid w:val="004207E8"/>
    <w:rsid w:val="00424DE6"/>
    <w:rsid w:val="004356D9"/>
    <w:rsid w:val="0044325C"/>
    <w:rsid w:val="004529B8"/>
    <w:rsid w:val="004660B8"/>
    <w:rsid w:val="00467E3F"/>
    <w:rsid w:val="004A135F"/>
    <w:rsid w:val="004A51D7"/>
    <w:rsid w:val="004C1625"/>
    <w:rsid w:val="004D02E2"/>
    <w:rsid w:val="004F41D5"/>
    <w:rsid w:val="004F7D6C"/>
    <w:rsid w:val="00500E27"/>
    <w:rsid w:val="0050750D"/>
    <w:rsid w:val="005424E8"/>
    <w:rsid w:val="0054699E"/>
    <w:rsid w:val="0057406F"/>
    <w:rsid w:val="005953DA"/>
    <w:rsid w:val="005B0112"/>
    <w:rsid w:val="005B2992"/>
    <w:rsid w:val="005B3676"/>
    <w:rsid w:val="005B6A0D"/>
    <w:rsid w:val="005C1957"/>
    <w:rsid w:val="005C7A36"/>
    <w:rsid w:val="005C7D76"/>
    <w:rsid w:val="005D07FE"/>
    <w:rsid w:val="005E544C"/>
    <w:rsid w:val="005F43CC"/>
    <w:rsid w:val="006110DA"/>
    <w:rsid w:val="0062519C"/>
    <w:rsid w:val="00633EA5"/>
    <w:rsid w:val="006575BB"/>
    <w:rsid w:val="006750E8"/>
    <w:rsid w:val="006809AA"/>
    <w:rsid w:val="006842FA"/>
    <w:rsid w:val="0068682C"/>
    <w:rsid w:val="00690A0C"/>
    <w:rsid w:val="00690FD2"/>
    <w:rsid w:val="00693199"/>
    <w:rsid w:val="006A128F"/>
    <w:rsid w:val="006A4CDA"/>
    <w:rsid w:val="006A6774"/>
    <w:rsid w:val="006B4B95"/>
    <w:rsid w:val="006C18D9"/>
    <w:rsid w:val="006C6449"/>
    <w:rsid w:val="006E032A"/>
    <w:rsid w:val="006F36B9"/>
    <w:rsid w:val="006F39D0"/>
    <w:rsid w:val="00704E60"/>
    <w:rsid w:val="00705935"/>
    <w:rsid w:val="0072075F"/>
    <w:rsid w:val="00726A78"/>
    <w:rsid w:val="007279A1"/>
    <w:rsid w:val="00737A18"/>
    <w:rsid w:val="00746B89"/>
    <w:rsid w:val="00750CE3"/>
    <w:rsid w:val="007559A0"/>
    <w:rsid w:val="0077374E"/>
    <w:rsid w:val="00773773"/>
    <w:rsid w:val="00777226"/>
    <w:rsid w:val="0079212B"/>
    <w:rsid w:val="00797733"/>
    <w:rsid w:val="007B002F"/>
    <w:rsid w:val="007B0094"/>
    <w:rsid w:val="007C728E"/>
    <w:rsid w:val="007E040D"/>
    <w:rsid w:val="007E54BB"/>
    <w:rsid w:val="007E57EA"/>
    <w:rsid w:val="007E5F20"/>
    <w:rsid w:val="008048D2"/>
    <w:rsid w:val="008072B8"/>
    <w:rsid w:val="00814DEA"/>
    <w:rsid w:val="00816CA6"/>
    <w:rsid w:val="00820C17"/>
    <w:rsid w:val="0082608D"/>
    <w:rsid w:val="00832CE5"/>
    <w:rsid w:val="00842993"/>
    <w:rsid w:val="00850C09"/>
    <w:rsid w:val="00851A40"/>
    <w:rsid w:val="00853565"/>
    <w:rsid w:val="0087135C"/>
    <w:rsid w:val="00890307"/>
    <w:rsid w:val="008967A7"/>
    <w:rsid w:val="008A6E5C"/>
    <w:rsid w:val="008A7150"/>
    <w:rsid w:val="008B0277"/>
    <w:rsid w:val="008B384B"/>
    <w:rsid w:val="008C50B8"/>
    <w:rsid w:val="008C5E72"/>
    <w:rsid w:val="008D0320"/>
    <w:rsid w:val="008D0B78"/>
    <w:rsid w:val="008D2398"/>
    <w:rsid w:val="008F4BB7"/>
    <w:rsid w:val="008F6942"/>
    <w:rsid w:val="009026D3"/>
    <w:rsid w:val="00903E72"/>
    <w:rsid w:val="00905EC7"/>
    <w:rsid w:val="0090631F"/>
    <w:rsid w:val="0091399E"/>
    <w:rsid w:val="0093399A"/>
    <w:rsid w:val="00956BF1"/>
    <w:rsid w:val="009862E8"/>
    <w:rsid w:val="0099397F"/>
    <w:rsid w:val="00993CA4"/>
    <w:rsid w:val="009B63AB"/>
    <w:rsid w:val="009C0A89"/>
    <w:rsid w:val="009C15B1"/>
    <w:rsid w:val="009C2D64"/>
    <w:rsid w:val="009D3F6B"/>
    <w:rsid w:val="009E1AEC"/>
    <w:rsid w:val="009E6A03"/>
    <w:rsid w:val="009F3A67"/>
    <w:rsid w:val="009F7769"/>
    <w:rsid w:val="00A11697"/>
    <w:rsid w:val="00A11EEA"/>
    <w:rsid w:val="00A13CED"/>
    <w:rsid w:val="00A25BC8"/>
    <w:rsid w:val="00A30C58"/>
    <w:rsid w:val="00A36044"/>
    <w:rsid w:val="00A4632C"/>
    <w:rsid w:val="00A96413"/>
    <w:rsid w:val="00A96BB6"/>
    <w:rsid w:val="00AA3F12"/>
    <w:rsid w:val="00AA4204"/>
    <w:rsid w:val="00AD3D55"/>
    <w:rsid w:val="00AF249E"/>
    <w:rsid w:val="00B11900"/>
    <w:rsid w:val="00B154D4"/>
    <w:rsid w:val="00B309BB"/>
    <w:rsid w:val="00B40900"/>
    <w:rsid w:val="00B47F82"/>
    <w:rsid w:val="00B51D27"/>
    <w:rsid w:val="00B665F2"/>
    <w:rsid w:val="00B722DE"/>
    <w:rsid w:val="00B7602A"/>
    <w:rsid w:val="00B83068"/>
    <w:rsid w:val="00BA0AF0"/>
    <w:rsid w:val="00BB0743"/>
    <w:rsid w:val="00BC188A"/>
    <w:rsid w:val="00BD6603"/>
    <w:rsid w:val="00BF069C"/>
    <w:rsid w:val="00BF3835"/>
    <w:rsid w:val="00C034AD"/>
    <w:rsid w:val="00C056B8"/>
    <w:rsid w:val="00C1002D"/>
    <w:rsid w:val="00C13AB9"/>
    <w:rsid w:val="00C2635E"/>
    <w:rsid w:val="00C33093"/>
    <w:rsid w:val="00C4032B"/>
    <w:rsid w:val="00C40B5C"/>
    <w:rsid w:val="00C47B78"/>
    <w:rsid w:val="00C504BD"/>
    <w:rsid w:val="00C55D7B"/>
    <w:rsid w:val="00C6486C"/>
    <w:rsid w:val="00C648D3"/>
    <w:rsid w:val="00C64D27"/>
    <w:rsid w:val="00C70183"/>
    <w:rsid w:val="00C75B02"/>
    <w:rsid w:val="00C90B3E"/>
    <w:rsid w:val="00C962F0"/>
    <w:rsid w:val="00C96F08"/>
    <w:rsid w:val="00CA0D22"/>
    <w:rsid w:val="00CA53CE"/>
    <w:rsid w:val="00CB247C"/>
    <w:rsid w:val="00CB4238"/>
    <w:rsid w:val="00CB49E9"/>
    <w:rsid w:val="00CC0AEE"/>
    <w:rsid w:val="00CD47ED"/>
    <w:rsid w:val="00CD4D7E"/>
    <w:rsid w:val="00D013ED"/>
    <w:rsid w:val="00D1216E"/>
    <w:rsid w:val="00D245DE"/>
    <w:rsid w:val="00D25D09"/>
    <w:rsid w:val="00D31867"/>
    <w:rsid w:val="00D36BDC"/>
    <w:rsid w:val="00D439EE"/>
    <w:rsid w:val="00D5049E"/>
    <w:rsid w:val="00D55FEC"/>
    <w:rsid w:val="00D61CCE"/>
    <w:rsid w:val="00D6300A"/>
    <w:rsid w:val="00DA3382"/>
    <w:rsid w:val="00DA679B"/>
    <w:rsid w:val="00DB06C3"/>
    <w:rsid w:val="00DB31DB"/>
    <w:rsid w:val="00DD3F5A"/>
    <w:rsid w:val="00DD67FE"/>
    <w:rsid w:val="00DF2FB9"/>
    <w:rsid w:val="00E00B2A"/>
    <w:rsid w:val="00E42A39"/>
    <w:rsid w:val="00E51D20"/>
    <w:rsid w:val="00E63DEF"/>
    <w:rsid w:val="00E64936"/>
    <w:rsid w:val="00E7180A"/>
    <w:rsid w:val="00E75E96"/>
    <w:rsid w:val="00E77A48"/>
    <w:rsid w:val="00E93B72"/>
    <w:rsid w:val="00E97398"/>
    <w:rsid w:val="00E97D85"/>
    <w:rsid w:val="00EB23D9"/>
    <w:rsid w:val="00EB7FD5"/>
    <w:rsid w:val="00EE0542"/>
    <w:rsid w:val="00EF5429"/>
    <w:rsid w:val="00F156F2"/>
    <w:rsid w:val="00F17FB8"/>
    <w:rsid w:val="00F22046"/>
    <w:rsid w:val="00F43714"/>
    <w:rsid w:val="00F463F2"/>
    <w:rsid w:val="00F5716B"/>
    <w:rsid w:val="00F8186D"/>
    <w:rsid w:val="00F920D8"/>
    <w:rsid w:val="00F97024"/>
    <w:rsid w:val="00FA1BD8"/>
  </w:rsids>
  <m:mathPr>
    <m:mathFont m:val="Cambria Math"/>
    <m:brkBin m:val="before"/>
    <m:brkBinSub m:val="--"/>
    <m:smallFrac m:val="0"/>
    <m:dispDef/>
    <m:lMargin m:val="0"/>
    <m:rMargin m:val="0"/>
    <m:defJc m:val="centerGroup"/>
    <m:wrapIndent m:val="1440"/>
    <m:intLim m:val="subSup"/>
    <m:naryLim m:val="undOvr"/>
  </m:mathPr>
  <w:themeFontLang w:val="en-P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A00375"/>
  <w15:chartTrackingRefBased/>
  <w15:docId w15:val="{E258F018-E925-B642-AAFB-F0171A13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eastAsia="en-US"/>
    </w:rPr>
  </w:style>
  <w:style w:type="paragraph" w:styleId="Heading1">
    <w:name w:val="heading 1"/>
    <w:basedOn w:val="Normal"/>
    <w:next w:val="Marge"/>
    <w:link w:val="Heading1Char"/>
    <w:uiPriority w:val="9"/>
    <w:qFormat/>
    <w:rsid w:val="00E00B2A"/>
    <w:pPr>
      <w:keepNext/>
      <w:pBdr>
        <w:bottom w:val="single" w:sz="4" w:space="1" w:color="auto"/>
      </w:pBdr>
      <w:tabs>
        <w:tab w:val="clear" w:pos="567"/>
      </w:tabs>
      <w:snapToGrid/>
      <w:spacing w:before="240" w:after="60"/>
      <w:jc w:val="both"/>
      <w:outlineLvl w:val="0"/>
    </w:pPr>
    <w:rPr>
      <w:b/>
      <w:bCs/>
      <w:kern w:val="28"/>
    </w:rPr>
  </w:style>
  <w:style w:type="paragraph" w:styleId="Heading2">
    <w:name w:val="heading 2"/>
    <w:aliases w:val="DM Heading 2"/>
    <w:basedOn w:val="Normal"/>
    <w:next w:val="Marge"/>
    <w:link w:val="Heading2Char"/>
    <w:qFormat/>
    <w:pPr>
      <w:keepNext/>
      <w:keepLines/>
      <w:spacing w:before="480" w:after="240"/>
      <w:ind w:left="567" w:hanging="567"/>
      <w:outlineLvl w:val="1"/>
    </w:pPr>
    <w:rPr>
      <w:b/>
      <w:bCs/>
      <w:caps/>
    </w:rPr>
  </w:style>
  <w:style w:type="paragraph" w:styleId="Heading3">
    <w:name w:val="heading 3"/>
    <w:basedOn w:val="Normal"/>
    <w:next w:val="Marge"/>
    <w:link w:val="Heading3Char"/>
    <w:autoRedefine/>
    <w:uiPriority w:val="9"/>
    <w:qFormat/>
    <w:rsid w:val="00351726"/>
    <w:pPr>
      <w:keepNext/>
      <w:tabs>
        <w:tab w:val="clear" w:pos="567"/>
      </w:tabs>
      <w:snapToGrid/>
      <w:spacing w:before="240" w:after="240"/>
      <w:jc w:val="both"/>
      <w:outlineLvl w:val="2"/>
    </w:pPr>
    <w:rPr>
      <w:rFonts w:eastAsia="Arial Unicode MS"/>
      <w:b/>
      <w:bCs/>
      <w:caps/>
      <w:szCs w:val="22"/>
    </w:rPr>
  </w:style>
  <w:style w:type="paragraph" w:styleId="Heading4">
    <w:name w:val="heading 4"/>
    <w:basedOn w:val="Normal"/>
    <w:next w:val="Marge"/>
    <w:link w:val="Heading4Char"/>
    <w:uiPriority w:val="9"/>
    <w:qFormat/>
    <w:pPr>
      <w:keepNext/>
      <w:keepLines/>
      <w:spacing w:after="240"/>
      <w:outlineLvl w:val="3"/>
    </w:pPr>
    <w:rPr>
      <w:b/>
      <w:bCs/>
    </w:rPr>
  </w:style>
  <w:style w:type="paragraph" w:styleId="Heading5">
    <w:name w:val="heading 5"/>
    <w:basedOn w:val="Normal"/>
    <w:next w:val="Marge"/>
    <w:link w:val="Heading5Char"/>
    <w:uiPriority w:val="9"/>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link w:val="Heading6Char"/>
    <w:uiPriority w:val="9"/>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link w:val="Heading7Char"/>
    <w:uiPriority w:val="9"/>
    <w:qFormat/>
    <w:pPr>
      <w:keepNext/>
      <w:spacing w:line="360" w:lineRule="atLeast"/>
      <w:outlineLvl w:val="6"/>
    </w:pPr>
    <w:rPr>
      <w:u w:val="single"/>
    </w:rPr>
  </w:style>
  <w:style w:type="paragraph" w:styleId="Heading8">
    <w:name w:val="heading 8"/>
    <w:basedOn w:val="Normal"/>
    <w:next w:val="Normal"/>
    <w:link w:val="Heading8Char"/>
    <w:uiPriority w:val="9"/>
    <w:qFormat/>
    <w:rsid w:val="002E0C01"/>
    <w:pPr>
      <w:tabs>
        <w:tab w:val="clear" w:pos="567"/>
      </w:tabs>
      <w:snapToGrid/>
      <w:spacing w:before="240" w:after="60"/>
      <w:ind w:left="1440" w:hanging="1440"/>
      <w:jc w:val="both"/>
      <w:outlineLvl w:val="7"/>
    </w:pPr>
    <w:rPr>
      <w:rFonts w:ascii="Cambria" w:eastAsia="MS Mincho" w:hAnsi="Cambria"/>
      <w:i/>
      <w:iCs/>
      <w:snapToGrid/>
      <w:sz w:val="24"/>
      <w:lang w:eastAsia="ja-JP"/>
    </w:rPr>
  </w:style>
  <w:style w:type="paragraph" w:styleId="Heading9">
    <w:name w:val="heading 9"/>
    <w:basedOn w:val="Normal"/>
    <w:next w:val="Normal"/>
    <w:link w:val="Heading9Char"/>
    <w:uiPriority w:val="9"/>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character" w:customStyle="1" w:styleId="ParChar">
    <w:name w:val="Par Char"/>
    <w:link w:val="Par"/>
    <w:rsid w:val="00690FD2"/>
    <w:rPr>
      <w:rFonts w:ascii="Arial" w:hAnsi="Arial"/>
      <w:snapToGrid w:val="0"/>
      <w:sz w:val="22"/>
      <w:szCs w:val="24"/>
      <w:lang w:val="ru-RU" w:eastAsia="en-US" w:bidi="ar-SA"/>
    </w:rPr>
  </w:style>
  <w:style w:type="character" w:customStyle="1" w:styleId="MargeChar">
    <w:name w:val="Marge Char"/>
    <w:link w:val="Marge"/>
    <w:rsid w:val="00690FD2"/>
    <w:rPr>
      <w:rFonts w:ascii="Arial" w:hAnsi="Arial"/>
      <w:snapToGrid w:val="0"/>
      <w:sz w:val="22"/>
      <w:szCs w:val="24"/>
      <w:lang w:val="ru-RU" w:eastAsia="en-US" w:bidi="ar-SA"/>
    </w:rPr>
  </w:style>
  <w:style w:type="character" w:customStyle="1" w:styleId="Heading1Char">
    <w:name w:val="Heading 1 Char"/>
    <w:link w:val="Heading1"/>
    <w:uiPriority w:val="9"/>
    <w:rsid w:val="00E00B2A"/>
    <w:rPr>
      <w:rFonts w:ascii="Arial" w:hAnsi="Arial"/>
      <w:b/>
      <w:bCs/>
      <w:snapToGrid w:val="0"/>
      <w:kern w:val="28"/>
      <w:sz w:val="22"/>
      <w:szCs w:val="24"/>
      <w:lang w:val="ru-RU"/>
    </w:rPr>
  </w:style>
  <w:style w:type="character" w:customStyle="1" w:styleId="Heading2Char">
    <w:name w:val="Heading 2 Char"/>
    <w:aliases w:val="DM Heading 2 Char"/>
    <w:link w:val="Heading2"/>
    <w:rsid w:val="002E0C01"/>
    <w:rPr>
      <w:rFonts w:ascii="Arial" w:hAnsi="Arial"/>
      <w:b/>
      <w:bCs/>
      <w:caps/>
      <w:snapToGrid w:val="0"/>
      <w:sz w:val="22"/>
      <w:szCs w:val="24"/>
    </w:rPr>
  </w:style>
  <w:style w:type="character" w:customStyle="1" w:styleId="Heading3Char">
    <w:name w:val="Heading 3 Char"/>
    <w:link w:val="Heading3"/>
    <w:uiPriority w:val="9"/>
    <w:rsid w:val="00351726"/>
    <w:rPr>
      <w:rFonts w:ascii="Arial" w:eastAsia="Arial Unicode MS" w:hAnsi="Arial"/>
      <w:b/>
      <w:bCs/>
      <w:caps/>
      <w:snapToGrid w:val="0"/>
      <w:sz w:val="22"/>
      <w:szCs w:val="22"/>
      <w:lang w:eastAsia="en-US"/>
    </w:rPr>
  </w:style>
  <w:style w:type="character" w:customStyle="1" w:styleId="Heading4Char">
    <w:name w:val="Heading 4 Char"/>
    <w:link w:val="Heading4"/>
    <w:uiPriority w:val="9"/>
    <w:rsid w:val="002E0C01"/>
    <w:rPr>
      <w:rFonts w:ascii="Arial" w:hAnsi="Arial"/>
      <w:b/>
      <w:bCs/>
      <w:snapToGrid w:val="0"/>
      <w:sz w:val="22"/>
      <w:szCs w:val="24"/>
    </w:rPr>
  </w:style>
  <w:style w:type="character" w:customStyle="1" w:styleId="Heading5Char">
    <w:name w:val="Heading 5 Char"/>
    <w:link w:val="Heading5"/>
    <w:uiPriority w:val="9"/>
    <w:rsid w:val="002E0C01"/>
    <w:rPr>
      <w:rFonts w:ascii="Arial" w:hAnsi="Arial"/>
      <w:b/>
      <w:bCs/>
      <w:snapToGrid w:val="0"/>
      <w:sz w:val="22"/>
      <w:szCs w:val="24"/>
    </w:rPr>
  </w:style>
  <w:style w:type="character" w:customStyle="1" w:styleId="Heading6Char">
    <w:name w:val="Heading 6 Char"/>
    <w:link w:val="Heading6"/>
    <w:uiPriority w:val="9"/>
    <w:rsid w:val="002E0C01"/>
    <w:rPr>
      <w:rFonts w:ascii="Arial" w:hAnsi="Arial"/>
      <w:b/>
      <w:iCs/>
      <w:snapToGrid w:val="0"/>
      <w:sz w:val="22"/>
      <w:szCs w:val="22"/>
    </w:rPr>
  </w:style>
  <w:style w:type="character" w:customStyle="1" w:styleId="Heading7Char">
    <w:name w:val="Heading 7 Char"/>
    <w:link w:val="Heading7"/>
    <w:uiPriority w:val="9"/>
    <w:rsid w:val="002E0C01"/>
    <w:rPr>
      <w:rFonts w:ascii="Arial" w:hAnsi="Arial"/>
      <w:snapToGrid w:val="0"/>
      <w:sz w:val="22"/>
      <w:szCs w:val="24"/>
      <w:u w:val="single"/>
    </w:rPr>
  </w:style>
  <w:style w:type="character" w:customStyle="1" w:styleId="Heading8Char">
    <w:name w:val="Heading 8 Char"/>
    <w:link w:val="Heading8"/>
    <w:uiPriority w:val="9"/>
    <w:rsid w:val="002E0C01"/>
    <w:rPr>
      <w:rFonts w:ascii="Cambria" w:eastAsia="MS Mincho" w:hAnsi="Cambria"/>
      <w:i/>
      <w:iCs/>
      <w:sz w:val="24"/>
      <w:szCs w:val="24"/>
      <w:lang w:eastAsia="ja-JP"/>
    </w:rPr>
  </w:style>
  <w:style w:type="character" w:customStyle="1" w:styleId="Heading9Char">
    <w:name w:val="Heading 9 Char"/>
    <w:link w:val="Heading9"/>
    <w:uiPriority w:val="9"/>
    <w:semiHidden/>
    <w:locked/>
    <w:rsid w:val="002E0859"/>
    <w:rPr>
      <w:rFonts w:ascii="Arial" w:eastAsia="SimSun" w:hAnsi="Arial" w:cs="Arial"/>
      <w:b/>
      <w:bCs/>
      <w:i/>
      <w:iCs/>
      <w:snapToGrid w:val="0"/>
      <w:sz w:val="18"/>
      <w:szCs w:val="18"/>
      <w:u w:val="single"/>
      <w:lang w:val="ru-RU" w:eastAsia="zh-CN" w:bidi="ar-SA"/>
    </w:r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rPr>
      <w:vertAlign w:val="superscript"/>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sid w:val="002E0C01"/>
    <w:rPr>
      <w:rFonts w:ascii="Arial" w:hAnsi="Arial"/>
      <w:snapToGrid w:val="0"/>
      <w:sz w:val="22"/>
      <w:szCs w:val="24"/>
    </w:rPr>
  </w:style>
  <w:style w:type="paragraph" w:styleId="FootnoteText">
    <w:name w:val="footnote text"/>
    <w:basedOn w:val="Normal"/>
    <w:link w:val="FootnoteTextChar"/>
    <w:uiPriority w:val="99"/>
    <w:pPr>
      <w:ind w:left="567" w:hanging="567"/>
    </w:pPr>
    <w:rPr>
      <w:sz w:val="20"/>
      <w:szCs w:val="20"/>
    </w:rPr>
  </w:style>
  <w:style w:type="character" w:customStyle="1" w:styleId="FootnoteTextChar">
    <w:name w:val="Footnote Text Char"/>
    <w:link w:val="FootnoteText"/>
    <w:uiPriority w:val="99"/>
    <w:rsid w:val="002E0C01"/>
    <w:rPr>
      <w:rFonts w:ascii="Arial" w:hAnsi="Arial"/>
      <w:snapToGrid w:val="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2E0C01"/>
    <w:rPr>
      <w:rFonts w:ascii="Arial" w:hAnsi="Arial"/>
      <w:snapToGrid w:val="0"/>
      <w:sz w:val="22"/>
      <w:szCs w:val="24"/>
    </w:rPr>
  </w:style>
  <w:style w:type="character" w:styleId="PageNumber">
    <w:name w:val="page number"/>
    <w:basedOn w:val="DefaultParagraphFont"/>
    <w:uiPriority w:val="99"/>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6B4B95"/>
    <w:pPr>
      <w:tabs>
        <w:tab w:val="clear" w:pos="567"/>
        <w:tab w:val="left" w:pos="709"/>
      </w:tabs>
    </w:pPr>
    <w:rPr>
      <w:rFonts w:eastAsia="Arial Unicode MS"/>
      <w:szCs w:val="22"/>
    </w:rPr>
  </w:style>
  <w:style w:type="character" w:customStyle="1" w:styleId="COIChar">
    <w:name w:val="COI Char"/>
    <w:link w:val="COI"/>
    <w:rsid w:val="00690FD2"/>
    <w:rPr>
      <w:rFonts w:ascii="Arial" w:eastAsia="Arial Unicode MS" w:hAnsi="Arial"/>
      <w:snapToGrid w:val="0"/>
      <w:sz w:val="22"/>
      <w:szCs w:val="22"/>
      <w:lang w:val="ru-RU" w:eastAsia="en-US"/>
    </w:rPr>
  </w:style>
  <w:style w:type="paragraph" w:styleId="BlockText">
    <w:name w:val="Block Text"/>
    <w:basedOn w:val="Normal"/>
    <w:pPr>
      <w:tabs>
        <w:tab w:val="clear" w:pos="567"/>
      </w:tabs>
      <w:snapToGrid/>
      <w:ind w:left="360" w:right="540"/>
      <w:jc w:val="both"/>
    </w:pPr>
    <w:rPr>
      <w:i/>
      <w:iCs/>
      <w:snapToGrid/>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2"/>
      </w:numPr>
      <w:jc w:val="both"/>
    </w:pPr>
  </w:style>
  <w:style w:type="paragraph" w:styleId="ListBullet2">
    <w:name w:val="List Bullet 2"/>
    <w:basedOn w:val="Normal"/>
    <w:rsid w:val="006B4B95"/>
    <w:pPr>
      <w:numPr>
        <w:numId w:val="3"/>
      </w:numPr>
      <w:spacing w:after="240"/>
    </w:pPr>
  </w:style>
  <w:style w:type="paragraph" w:customStyle="1" w:styleId="Style1">
    <w:name w:val="Style1"/>
    <w:basedOn w:val="Listnumbered"/>
    <w:autoRedefine/>
    <w:rsid w:val="006B4B95"/>
  </w:style>
  <w:style w:type="character" w:customStyle="1" w:styleId="Titre9Car1">
    <w:name w:val="Titre 9 Car1"/>
    <w:semiHidden/>
    <w:rsid w:val="002E0859"/>
    <w:rPr>
      <w:rFonts w:ascii="Cambria" w:eastAsia="Times New Roman" w:hAnsi="Cambria" w:cs="Times New Roman"/>
      <w:snapToGrid w:val="0"/>
      <w:sz w:val="22"/>
      <w:szCs w:val="22"/>
      <w:lang w:val="ru-RU" w:eastAsia="en-US"/>
    </w:rPr>
  </w:style>
  <w:style w:type="character" w:styleId="Hyperlink">
    <w:name w:val="Hyperlink"/>
    <w:uiPriority w:val="99"/>
    <w:rsid w:val="00C2635E"/>
    <w:rPr>
      <w:color w:val="0000FF"/>
      <w:u w:val="single"/>
    </w:rPr>
  </w:style>
  <w:style w:type="character" w:styleId="FollowedHyperlink">
    <w:name w:val="FollowedHyperlink"/>
    <w:uiPriority w:val="99"/>
    <w:rsid w:val="00C4032B"/>
    <w:rPr>
      <w:color w:val="800080"/>
      <w:u w:val="single"/>
    </w:rPr>
  </w:style>
  <w:style w:type="paragraph" w:customStyle="1" w:styleId="h">
    <w:name w:val="h"/>
    <w:basedOn w:val="Marge"/>
    <w:rsid w:val="00217A83"/>
    <w:pPr>
      <w:spacing w:after="120"/>
    </w:pPr>
    <w:rPr>
      <w:rFonts w:cs="Arial"/>
      <w:szCs w:val="22"/>
      <w:u w:val="single"/>
    </w:rPr>
  </w:style>
  <w:style w:type="paragraph" w:styleId="TOC1">
    <w:name w:val="toc 1"/>
    <w:basedOn w:val="Normal"/>
    <w:next w:val="Normal"/>
    <w:autoRedefine/>
    <w:uiPriority w:val="39"/>
    <w:unhideWhenUsed/>
    <w:rsid w:val="00C47B78"/>
    <w:pPr>
      <w:tabs>
        <w:tab w:val="clear" w:pos="567"/>
        <w:tab w:val="right" w:leader="dot" w:pos="8290"/>
      </w:tabs>
      <w:spacing w:after="120"/>
    </w:pPr>
    <w:rPr>
      <w:rFonts w:ascii="Calibri" w:hAnsi="Calibri" w:cs="Calibri"/>
      <w:b/>
      <w:bCs/>
      <w:caps/>
      <w:szCs w:val="22"/>
      <w:u w:val="single"/>
    </w:rPr>
  </w:style>
  <w:style w:type="paragraph" w:styleId="TOC2">
    <w:name w:val="toc 2"/>
    <w:basedOn w:val="Normal"/>
    <w:next w:val="Normal"/>
    <w:autoRedefine/>
    <w:uiPriority w:val="39"/>
    <w:unhideWhenUsed/>
    <w:rsid w:val="002E0C01"/>
    <w:pPr>
      <w:tabs>
        <w:tab w:val="clear" w:pos="567"/>
      </w:tabs>
    </w:pPr>
    <w:rPr>
      <w:rFonts w:ascii="Calibri" w:hAnsi="Calibri" w:cs="Calibri"/>
      <w:b/>
      <w:bCs/>
      <w:smallCaps/>
      <w:szCs w:val="22"/>
    </w:rPr>
  </w:style>
  <w:style w:type="paragraph" w:styleId="TOC3">
    <w:name w:val="toc 3"/>
    <w:basedOn w:val="Normal"/>
    <w:next w:val="Normal"/>
    <w:autoRedefine/>
    <w:uiPriority w:val="39"/>
    <w:unhideWhenUsed/>
    <w:rsid w:val="00F156F2"/>
    <w:pPr>
      <w:tabs>
        <w:tab w:val="clear" w:pos="567"/>
        <w:tab w:val="right" w:leader="dot" w:pos="8290"/>
      </w:tabs>
      <w:spacing w:after="240"/>
    </w:pPr>
    <w:rPr>
      <w:rFonts w:asciiTheme="minorBidi" w:hAnsiTheme="minorBidi" w:cstheme="minorBidi"/>
      <w:caps/>
      <w:noProof/>
      <w:szCs w:val="22"/>
    </w:rPr>
  </w:style>
  <w:style w:type="paragraph" w:styleId="TOC4">
    <w:name w:val="toc 4"/>
    <w:basedOn w:val="Normal"/>
    <w:next w:val="Normal"/>
    <w:autoRedefine/>
    <w:uiPriority w:val="39"/>
    <w:unhideWhenUsed/>
    <w:rsid w:val="002E0C01"/>
    <w:pPr>
      <w:tabs>
        <w:tab w:val="clear" w:pos="567"/>
      </w:tabs>
    </w:pPr>
    <w:rPr>
      <w:rFonts w:ascii="Calibri" w:hAnsi="Calibri" w:cs="Calibri"/>
      <w:szCs w:val="22"/>
    </w:rPr>
  </w:style>
  <w:style w:type="paragraph" w:styleId="TOC5">
    <w:name w:val="toc 5"/>
    <w:basedOn w:val="Normal"/>
    <w:next w:val="Normal"/>
    <w:autoRedefine/>
    <w:uiPriority w:val="39"/>
    <w:unhideWhenUsed/>
    <w:rsid w:val="002E0C01"/>
    <w:pPr>
      <w:tabs>
        <w:tab w:val="clear" w:pos="567"/>
      </w:tabs>
    </w:pPr>
    <w:rPr>
      <w:rFonts w:ascii="Calibri" w:hAnsi="Calibri" w:cs="Calibri"/>
      <w:szCs w:val="22"/>
    </w:rPr>
  </w:style>
  <w:style w:type="paragraph" w:styleId="TOC6">
    <w:name w:val="toc 6"/>
    <w:basedOn w:val="Normal"/>
    <w:next w:val="Normal"/>
    <w:autoRedefine/>
    <w:uiPriority w:val="39"/>
    <w:unhideWhenUsed/>
    <w:rsid w:val="002E0C01"/>
    <w:pPr>
      <w:tabs>
        <w:tab w:val="clear" w:pos="567"/>
      </w:tabs>
    </w:pPr>
    <w:rPr>
      <w:rFonts w:ascii="Calibri" w:hAnsi="Calibri" w:cs="Calibri"/>
      <w:szCs w:val="22"/>
    </w:rPr>
  </w:style>
  <w:style w:type="paragraph" w:styleId="TOC7">
    <w:name w:val="toc 7"/>
    <w:basedOn w:val="Normal"/>
    <w:next w:val="Normal"/>
    <w:autoRedefine/>
    <w:uiPriority w:val="39"/>
    <w:unhideWhenUsed/>
    <w:rsid w:val="002E0C01"/>
    <w:pPr>
      <w:tabs>
        <w:tab w:val="clear" w:pos="567"/>
      </w:tabs>
    </w:pPr>
    <w:rPr>
      <w:rFonts w:ascii="Calibri" w:hAnsi="Calibri" w:cs="Calibri"/>
      <w:szCs w:val="22"/>
    </w:rPr>
  </w:style>
  <w:style w:type="paragraph" w:styleId="TOC8">
    <w:name w:val="toc 8"/>
    <w:basedOn w:val="Normal"/>
    <w:next w:val="Normal"/>
    <w:autoRedefine/>
    <w:uiPriority w:val="39"/>
    <w:unhideWhenUsed/>
    <w:rsid w:val="002E0C01"/>
    <w:pPr>
      <w:tabs>
        <w:tab w:val="clear" w:pos="567"/>
      </w:tabs>
    </w:pPr>
    <w:rPr>
      <w:rFonts w:ascii="Calibri" w:hAnsi="Calibri" w:cs="Calibri"/>
      <w:szCs w:val="22"/>
    </w:rPr>
  </w:style>
  <w:style w:type="paragraph" w:styleId="TOC9">
    <w:name w:val="toc 9"/>
    <w:basedOn w:val="Normal"/>
    <w:next w:val="Normal"/>
    <w:autoRedefine/>
    <w:uiPriority w:val="39"/>
    <w:unhideWhenUsed/>
    <w:rsid w:val="002E0C01"/>
    <w:pPr>
      <w:tabs>
        <w:tab w:val="clear" w:pos="567"/>
      </w:tabs>
    </w:pPr>
    <w:rPr>
      <w:rFonts w:ascii="Calibri" w:hAnsi="Calibri" w:cs="Calibri"/>
      <w:szCs w:val="22"/>
    </w:rPr>
  </w:style>
  <w:style w:type="paragraph" w:styleId="Caption">
    <w:name w:val="caption"/>
    <w:basedOn w:val="Normal"/>
    <w:next w:val="Normal"/>
    <w:uiPriority w:val="35"/>
    <w:qFormat/>
    <w:rsid w:val="002E0C01"/>
    <w:pPr>
      <w:tabs>
        <w:tab w:val="clear" w:pos="567"/>
      </w:tabs>
      <w:snapToGrid/>
      <w:spacing w:after="200"/>
      <w:jc w:val="both"/>
    </w:pPr>
    <w:rPr>
      <w:rFonts w:eastAsia="Calibri"/>
      <w:b/>
      <w:bCs/>
      <w:snapToGrid/>
      <w:sz w:val="20"/>
      <w:szCs w:val="20"/>
    </w:rPr>
  </w:style>
  <w:style w:type="table" w:styleId="TableGrid">
    <w:name w:val="Table Grid"/>
    <w:basedOn w:val="TableNormal"/>
    <w:uiPriority w:val="59"/>
    <w:rsid w:val="002E0C01"/>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E0C01"/>
  </w:style>
  <w:style w:type="paragraph" w:styleId="BalloonText">
    <w:name w:val="Balloon Text"/>
    <w:basedOn w:val="Normal"/>
    <w:link w:val="BalloonTextChar"/>
    <w:uiPriority w:val="99"/>
    <w:unhideWhenUsed/>
    <w:rsid w:val="002E0C01"/>
    <w:pPr>
      <w:tabs>
        <w:tab w:val="clear" w:pos="567"/>
      </w:tabs>
      <w:snapToGrid/>
      <w:jc w:val="both"/>
    </w:pPr>
    <w:rPr>
      <w:rFonts w:ascii="Lucida Grande" w:hAnsi="Lucida Grande"/>
      <w:snapToGrid/>
      <w:sz w:val="18"/>
      <w:szCs w:val="18"/>
      <w:lang w:eastAsia="ja-JP"/>
    </w:rPr>
  </w:style>
  <w:style w:type="character" w:customStyle="1" w:styleId="BalloonTextChar">
    <w:name w:val="Balloon Text Char"/>
    <w:link w:val="BalloonText"/>
    <w:uiPriority w:val="99"/>
    <w:rsid w:val="002E0C01"/>
    <w:rPr>
      <w:rFonts w:ascii="Lucida Grande" w:hAnsi="Lucida Grande"/>
      <w:sz w:val="18"/>
      <w:szCs w:val="18"/>
      <w:lang w:eastAsia="ja-JP"/>
    </w:rPr>
  </w:style>
  <w:style w:type="character" w:styleId="CommentReference">
    <w:name w:val="annotation reference"/>
    <w:uiPriority w:val="99"/>
    <w:unhideWhenUsed/>
    <w:rsid w:val="002E0C01"/>
    <w:rPr>
      <w:sz w:val="18"/>
      <w:szCs w:val="18"/>
    </w:rPr>
  </w:style>
  <w:style w:type="paragraph" w:styleId="CommentText">
    <w:name w:val="annotation text"/>
    <w:basedOn w:val="Normal"/>
    <w:link w:val="CommentTextChar"/>
    <w:uiPriority w:val="99"/>
    <w:unhideWhenUsed/>
    <w:rsid w:val="002E0C01"/>
    <w:pPr>
      <w:tabs>
        <w:tab w:val="clear" w:pos="567"/>
      </w:tabs>
      <w:snapToGrid/>
      <w:jc w:val="both"/>
    </w:pPr>
    <w:rPr>
      <w:snapToGrid/>
      <w:sz w:val="24"/>
      <w:lang w:eastAsia="ja-JP"/>
    </w:rPr>
  </w:style>
  <w:style w:type="character" w:customStyle="1" w:styleId="CommentTextChar">
    <w:name w:val="Comment Text Char"/>
    <w:link w:val="CommentText"/>
    <w:uiPriority w:val="99"/>
    <w:rsid w:val="002E0C01"/>
    <w:rPr>
      <w:rFonts w:ascii="Arial" w:hAnsi="Arial"/>
      <w:sz w:val="24"/>
      <w:szCs w:val="24"/>
      <w:lang w:eastAsia="ja-JP"/>
    </w:rPr>
  </w:style>
  <w:style w:type="paragraph" w:styleId="CommentSubject">
    <w:name w:val="annotation subject"/>
    <w:basedOn w:val="CommentText"/>
    <w:next w:val="CommentText"/>
    <w:link w:val="CommentSubjectChar"/>
    <w:uiPriority w:val="99"/>
    <w:unhideWhenUsed/>
    <w:rsid w:val="002E0C01"/>
    <w:rPr>
      <w:b/>
      <w:bCs/>
    </w:rPr>
  </w:style>
  <w:style w:type="character" w:customStyle="1" w:styleId="CommentSubjectChar">
    <w:name w:val="Comment Subject Char"/>
    <w:link w:val="CommentSubject"/>
    <w:uiPriority w:val="99"/>
    <w:rsid w:val="002E0C01"/>
    <w:rPr>
      <w:rFonts w:ascii="Arial" w:hAnsi="Arial"/>
      <w:b/>
      <w:bCs/>
      <w:sz w:val="24"/>
      <w:szCs w:val="24"/>
      <w:lang w:eastAsia="ja-JP"/>
    </w:rPr>
  </w:style>
  <w:style w:type="paragraph" w:styleId="Title">
    <w:name w:val="Title"/>
    <w:basedOn w:val="Normal"/>
    <w:link w:val="TitleChar"/>
    <w:qFormat/>
    <w:rsid w:val="002E0C01"/>
    <w:pPr>
      <w:tabs>
        <w:tab w:val="clear" w:pos="567"/>
      </w:tabs>
      <w:snapToGrid/>
      <w:spacing w:after="240"/>
      <w:jc w:val="center"/>
    </w:pPr>
    <w:rPr>
      <w:snapToGrid/>
      <w:szCs w:val="20"/>
      <w:u w:val="single"/>
      <w:lang w:eastAsia="x-none"/>
    </w:rPr>
  </w:style>
  <w:style w:type="character" w:customStyle="1" w:styleId="TitleChar">
    <w:name w:val="Title Char"/>
    <w:link w:val="Title"/>
    <w:rsid w:val="002E0C01"/>
    <w:rPr>
      <w:rFonts w:ascii="Arial" w:hAnsi="Arial"/>
      <w:sz w:val="22"/>
      <w:u w:val="single"/>
      <w:lang w:val="ru-RU" w:eastAsia="x-none"/>
    </w:rPr>
  </w:style>
  <w:style w:type="paragraph" w:customStyle="1" w:styleId="ColorfulList-Accent11">
    <w:name w:val="Colorful List - Accent 11"/>
    <w:basedOn w:val="Normal"/>
    <w:uiPriority w:val="34"/>
    <w:qFormat/>
    <w:rsid w:val="002E0C01"/>
    <w:pPr>
      <w:tabs>
        <w:tab w:val="clear" w:pos="567"/>
        <w:tab w:val="left" w:pos="709"/>
      </w:tabs>
      <w:snapToGrid/>
      <w:ind w:left="720"/>
      <w:contextualSpacing/>
      <w:jc w:val="both"/>
    </w:pPr>
    <w:rPr>
      <w:rFonts w:ascii="Times New Roman" w:hAnsi="Times New Roman"/>
      <w:snapToGrid/>
      <w:sz w:val="24"/>
      <w:szCs w:val="20"/>
    </w:rPr>
  </w:style>
  <w:style w:type="paragraph" w:customStyle="1" w:styleId="paranumber">
    <w:name w:val="paranumber"/>
    <w:basedOn w:val="Normal"/>
    <w:autoRedefine/>
    <w:qFormat/>
    <w:rsid w:val="00842993"/>
    <w:pPr>
      <w:numPr>
        <w:numId w:val="31"/>
      </w:numPr>
      <w:snapToGrid/>
      <w:spacing w:before="240" w:after="240"/>
      <w:ind w:left="0" w:firstLine="0"/>
      <w:jc w:val="both"/>
    </w:pPr>
    <w:rPr>
      <w:snapToGrid/>
      <w:lang w:eastAsia="ja-JP" w:bidi="en-US"/>
    </w:rPr>
  </w:style>
  <w:style w:type="paragraph" w:customStyle="1" w:styleId="ColorfulList-Accent12">
    <w:name w:val="Colorful List - Accent 12"/>
    <w:basedOn w:val="Normal"/>
    <w:uiPriority w:val="34"/>
    <w:qFormat/>
    <w:rsid w:val="002E0C01"/>
    <w:pPr>
      <w:tabs>
        <w:tab w:val="clear" w:pos="567"/>
      </w:tabs>
      <w:snapToGrid/>
      <w:ind w:left="720"/>
      <w:contextualSpacing/>
      <w:jc w:val="both"/>
    </w:pPr>
    <w:rPr>
      <w:snapToGrid/>
      <w:lang w:eastAsia="ja-JP"/>
    </w:rPr>
  </w:style>
  <w:style w:type="paragraph" w:styleId="Revision">
    <w:name w:val="Revision"/>
    <w:hidden/>
    <w:uiPriority w:val="71"/>
    <w:rsid w:val="00D439EE"/>
    <w:rPr>
      <w:rFonts w:ascii="Arial" w:hAnsi="Arial"/>
      <w:snapToGrid w:val="0"/>
      <w:sz w:val="22"/>
      <w:szCs w:val="24"/>
      <w:lang w:eastAsia="en-US"/>
    </w:rPr>
  </w:style>
  <w:style w:type="paragraph" w:styleId="ListParagraph">
    <w:name w:val="List Paragraph"/>
    <w:basedOn w:val="Normal"/>
    <w:uiPriority w:val="34"/>
    <w:qFormat/>
    <w:rsid w:val="00C70183"/>
    <w:pPr>
      <w:snapToGrid/>
      <w:ind w:left="720"/>
      <w:contextualSpacing/>
    </w:pPr>
    <w:rPr>
      <w:rFonts w:eastAsia="Arial" w:cs="Arial"/>
      <w:snapToGrid/>
      <w:szCs w:val="22"/>
    </w:rPr>
  </w:style>
  <w:style w:type="character" w:styleId="UnresolvedMention">
    <w:name w:val="Unresolved Mention"/>
    <w:uiPriority w:val="99"/>
    <w:semiHidden/>
    <w:unhideWhenUsed/>
    <w:rsid w:val="005D07FE"/>
    <w:rPr>
      <w:color w:val="605E5C"/>
      <w:shd w:val="clear" w:color="auto" w:fill="E1DFDD"/>
    </w:rPr>
  </w:style>
  <w:style w:type="paragraph" w:styleId="NormalWeb">
    <w:name w:val="Normal (Web)"/>
    <w:basedOn w:val="Normal"/>
    <w:uiPriority w:val="99"/>
    <w:unhideWhenUsed/>
    <w:rsid w:val="006F36B9"/>
    <w:pPr>
      <w:tabs>
        <w:tab w:val="clear" w:pos="567"/>
      </w:tabs>
      <w:snapToGrid/>
      <w:spacing w:before="100" w:beforeAutospacing="1" w:after="100" w:afterAutospacing="1"/>
    </w:pPr>
    <w:rPr>
      <w:rFonts w:ascii="Times New Roman" w:hAnsi="Times New Roman"/>
      <w:snapToGrid/>
      <w:sz w:val="24"/>
    </w:rPr>
  </w:style>
  <w:style w:type="paragraph" w:styleId="TOCHeading">
    <w:name w:val="TOC Heading"/>
    <w:basedOn w:val="Heading1"/>
    <w:next w:val="Normal"/>
    <w:uiPriority w:val="39"/>
    <w:unhideWhenUsed/>
    <w:qFormat/>
    <w:rsid w:val="00394DC9"/>
    <w:pPr>
      <w:spacing w:before="480" w:after="0" w:line="276" w:lineRule="auto"/>
      <w:jc w:val="left"/>
      <w:outlineLvl w:val="9"/>
    </w:pPr>
    <w:rPr>
      <w:rFonts w:ascii="Calibri Light" w:hAnsi="Calibri Light"/>
      <w:snapToGrid/>
      <w:color w:val="2F5496"/>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184706">
      <w:bodyDiv w:val="1"/>
      <w:marLeft w:val="0"/>
      <w:marRight w:val="0"/>
      <w:marTop w:val="0"/>
      <w:marBottom w:val="0"/>
      <w:divBdr>
        <w:top w:val="none" w:sz="0" w:space="0" w:color="auto"/>
        <w:left w:val="none" w:sz="0" w:space="0" w:color="auto"/>
        <w:bottom w:val="none" w:sz="0" w:space="0" w:color="auto"/>
        <w:right w:val="none" w:sz="0" w:space="0" w:color="auto"/>
      </w:divBdr>
      <w:divsChild>
        <w:div w:id="796264353">
          <w:marLeft w:val="0"/>
          <w:marRight w:val="0"/>
          <w:marTop w:val="0"/>
          <w:marBottom w:val="0"/>
          <w:divBdr>
            <w:top w:val="none" w:sz="0" w:space="0" w:color="auto"/>
            <w:left w:val="none" w:sz="0" w:space="0" w:color="auto"/>
            <w:bottom w:val="none" w:sz="0" w:space="0" w:color="auto"/>
            <w:right w:val="none" w:sz="0" w:space="0" w:color="auto"/>
          </w:divBdr>
          <w:divsChild>
            <w:div w:id="1224027591">
              <w:marLeft w:val="0"/>
              <w:marRight w:val="0"/>
              <w:marTop w:val="0"/>
              <w:marBottom w:val="0"/>
              <w:divBdr>
                <w:top w:val="none" w:sz="0" w:space="0" w:color="auto"/>
                <w:left w:val="none" w:sz="0" w:space="0" w:color="auto"/>
                <w:bottom w:val="none" w:sz="0" w:space="0" w:color="auto"/>
                <w:right w:val="none" w:sz="0" w:space="0" w:color="auto"/>
              </w:divBdr>
              <w:divsChild>
                <w:div w:id="11253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87190">
      <w:bodyDiv w:val="1"/>
      <w:marLeft w:val="0"/>
      <w:marRight w:val="0"/>
      <w:marTop w:val="0"/>
      <w:marBottom w:val="0"/>
      <w:divBdr>
        <w:top w:val="none" w:sz="0" w:space="0" w:color="auto"/>
        <w:left w:val="none" w:sz="0" w:space="0" w:color="auto"/>
        <w:bottom w:val="none" w:sz="0" w:space="0" w:color="auto"/>
        <w:right w:val="none" w:sz="0" w:space="0" w:color="auto"/>
      </w:divBdr>
      <w:divsChild>
        <w:div w:id="270816772">
          <w:marLeft w:val="0"/>
          <w:marRight w:val="0"/>
          <w:marTop w:val="0"/>
          <w:marBottom w:val="0"/>
          <w:divBdr>
            <w:top w:val="none" w:sz="0" w:space="0" w:color="auto"/>
            <w:left w:val="none" w:sz="0" w:space="0" w:color="auto"/>
            <w:bottom w:val="none" w:sz="0" w:space="0" w:color="auto"/>
            <w:right w:val="none" w:sz="0" w:space="0" w:color="auto"/>
          </w:divBdr>
          <w:divsChild>
            <w:div w:id="459762649">
              <w:marLeft w:val="0"/>
              <w:marRight w:val="0"/>
              <w:marTop w:val="0"/>
              <w:marBottom w:val="0"/>
              <w:divBdr>
                <w:top w:val="none" w:sz="0" w:space="0" w:color="auto"/>
                <w:left w:val="none" w:sz="0" w:space="0" w:color="auto"/>
                <w:bottom w:val="none" w:sz="0" w:space="0" w:color="auto"/>
                <w:right w:val="none" w:sz="0" w:space="0" w:color="auto"/>
              </w:divBdr>
              <w:divsChild>
                <w:div w:id="683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244047.locale=en" TargetMode="External"/><Relationship Id="rId13" Type="http://schemas.openxmlformats.org/officeDocument/2006/relationships/header" Target="header4.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unesdoc.unesco.org/ark:/48223/pf000022835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notes.xml.rels><?xml version="1.0" encoding="UTF-8" standalone="yes"?>
<Relationships xmlns="http://schemas.openxmlformats.org/package/2006/relationships"><Relationship Id="rId8" Type="http://schemas.openxmlformats.org/officeDocument/2006/relationships/hyperlink" Target="https://sustainabledevelopment.un.org/futurewewant.html" TargetMode="External"/><Relationship Id="rId3" Type="http://schemas.openxmlformats.org/officeDocument/2006/relationships/hyperlink" Target="https://www.ioc-cd.org/index.php?option=com_content&amp;view=article&amp;id=60:unesco-chairs-in-oceanography-coastal-area-management-and-marine-science-2&amp;catid=15:output1-human-resources&amp;Itemid=195" TargetMode="External"/><Relationship Id="rId7" Type="http://schemas.openxmlformats.org/officeDocument/2006/relationships/hyperlink" Target="http://www.iode.org/alumni" TargetMode="External"/><Relationship Id="rId2" Type="http://schemas.openxmlformats.org/officeDocument/2006/relationships/hyperlink" Target="http://en.unesco.org/unitwin-unesco-chairs-programme" TargetMode="External"/><Relationship Id="rId1" Type="http://schemas.openxmlformats.org/officeDocument/2006/relationships/hyperlink" Target="https://www.un.org/Depts/los/convention_agreements/texts/unclos/closindx.html" TargetMode="External"/><Relationship Id="rId6" Type="http://schemas.openxmlformats.org/officeDocument/2006/relationships/hyperlink" Target="http://www.oceanteacher.org" TargetMode="External"/><Relationship Id="rId5" Type="http://schemas.openxmlformats.org/officeDocument/2006/relationships/hyperlink" Target="https://oceancd.org" TargetMode="External"/><Relationship Id="rId4" Type="http://schemas.openxmlformats.org/officeDocument/2006/relationships/hyperlink" Target="http://en.wikipedia.org/wiki/Continuing_professional_developme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C5E8C-6190-8340-B754-96626E19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30</Pages>
  <Words>9018</Words>
  <Characters>67226</Characters>
  <Application>Microsoft Office Word</Application>
  <DocSecurity>0</DocSecurity>
  <Lines>1291</Lines>
  <Paragraphs>271</Paragraphs>
  <ScaleCrop>false</ScaleCrop>
  <HeadingPairs>
    <vt:vector size="6" baseType="variant">
      <vt:variant>
        <vt:lpstr>Title</vt:lpstr>
      </vt:variant>
      <vt:variant>
        <vt:i4>1</vt:i4>
      </vt:variant>
      <vt:variant>
        <vt:lpstr>Название</vt:lpstr>
      </vt:variant>
      <vt:variant>
        <vt:i4>1</vt:i4>
      </vt:variant>
      <vt:variant>
        <vt:lpstr>Titre</vt:lpstr>
      </vt:variant>
      <vt:variant>
        <vt:i4>1</vt:i4>
      </vt:variant>
    </vt:vector>
  </HeadingPairs>
  <TitlesOfParts>
    <vt:vector size="3" baseType="lpstr">
      <vt:lpstr>Стратегия МОК в области развития потенциала на 2023-2030 гг.</vt:lpstr>
      <vt:lpstr>The Road to the UN Year</vt:lpstr>
      <vt:lpstr>The Road to the UN Year</vt:lpstr>
    </vt:vector>
  </TitlesOfParts>
  <Company>UNESCO</Company>
  <LinksUpToDate>false</LinksUpToDate>
  <CharactersWithSpaces>76040</CharactersWithSpaces>
  <SharedDoc>false</SharedDoc>
  <HLinks>
    <vt:vector size="60" baseType="variant">
      <vt:variant>
        <vt:i4>6488165</vt:i4>
      </vt:variant>
      <vt:variant>
        <vt:i4>24</vt:i4>
      </vt:variant>
      <vt:variant>
        <vt:i4>0</vt:i4>
      </vt:variant>
      <vt:variant>
        <vt:i4>5</vt:i4>
      </vt:variant>
      <vt:variant>
        <vt:lpwstr>https://unesdoc.unesco.org/ark:/48223/pf0000228353</vt:lpwstr>
      </vt:variant>
      <vt:variant>
        <vt:lpwstr/>
      </vt:variant>
      <vt:variant>
        <vt:i4>7012450</vt:i4>
      </vt:variant>
      <vt:variant>
        <vt:i4>24</vt:i4>
      </vt:variant>
      <vt:variant>
        <vt:i4>0</vt:i4>
      </vt:variant>
      <vt:variant>
        <vt:i4>5</vt:i4>
      </vt:variant>
      <vt:variant>
        <vt:lpwstr>https://surveys.ioc-cd.org/</vt:lpwstr>
      </vt:variant>
      <vt:variant>
        <vt:lpwstr/>
      </vt:variant>
      <vt:variant>
        <vt:i4>3932286</vt:i4>
      </vt:variant>
      <vt:variant>
        <vt:i4>21</vt:i4>
      </vt:variant>
      <vt:variant>
        <vt:i4>0</vt:i4>
      </vt:variant>
      <vt:variant>
        <vt:i4>5</vt:i4>
      </vt:variant>
      <vt:variant>
        <vt:lpwstr>http://www.oceanexpert.net/</vt:lpwstr>
      </vt:variant>
      <vt:variant>
        <vt:lpwstr/>
      </vt:variant>
      <vt:variant>
        <vt:i4>3997736</vt:i4>
      </vt:variant>
      <vt:variant>
        <vt:i4>18</vt:i4>
      </vt:variant>
      <vt:variant>
        <vt:i4>0</vt:i4>
      </vt:variant>
      <vt:variant>
        <vt:i4>5</vt:i4>
      </vt:variant>
      <vt:variant>
        <vt:lpwstr>http://www.iode.org/alumni</vt:lpwstr>
      </vt:variant>
      <vt:variant>
        <vt:lpwstr/>
      </vt:variant>
      <vt:variant>
        <vt:i4>6226005</vt:i4>
      </vt:variant>
      <vt:variant>
        <vt:i4>15</vt:i4>
      </vt:variant>
      <vt:variant>
        <vt:i4>0</vt:i4>
      </vt:variant>
      <vt:variant>
        <vt:i4>5</vt:i4>
      </vt:variant>
      <vt:variant>
        <vt:lpwstr>http://www.oceanteacher.org/</vt:lpwstr>
      </vt:variant>
      <vt:variant>
        <vt:lpwstr/>
      </vt:variant>
      <vt:variant>
        <vt:i4>196680</vt:i4>
      </vt:variant>
      <vt:variant>
        <vt:i4>12</vt:i4>
      </vt:variant>
      <vt:variant>
        <vt:i4>0</vt:i4>
      </vt:variant>
      <vt:variant>
        <vt:i4>5</vt:i4>
      </vt:variant>
      <vt:variant>
        <vt:lpwstr>https://oceancd.org/</vt:lpwstr>
      </vt:variant>
      <vt:variant>
        <vt:lpwstr/>
      </vt:variant>
      <vt:variant>
        <vt:i4>2883706</vt:i4>
      </vt:variant>
      <vt:variant>
        <vt:i4>9</vt:i4>
      </vt:variant>
      <vt:variant>
        <vt:i4>0</vt:i4>
      </vt:variant>
      <vt:variant>
        <vt:i4>5</vt:i4>
      </vt:variant>
      <vt:variant>
        <vt:lpwstr>http://en.wikipedia.org/wiki/Continuing_professional_development</vt:lpwstr>
      </vt:variant>
      <vt:variant>
        <vt:lpwstr/>
      </vt:variant>
      <vt:variant>
        <vt:i4>7274578</vt:i4>
      </vt:variant>
      <vt:variant>
        <vt:i4>6</vt:i4>
      </vt:variant>
      <vt:variant>
        <vt:i4>0</vt:i4>
      </vt:variant>
      <vt:variant>
        <vt:i4>5</vt:i4>
      </vt:variant>
      <vt:variant>
        <vt:lpwstr>https://www.ioc-cd.org/index.php?option=com_content&amp;view=article&amp;id=60:unesco-chairs-in-oceanography-coastal-area-management-and-marine-science-2&amp;catid=15:output1-human-resources&amp;Itemid=195</vt:lpwstr>
      </vt:variant>
      <vt:variant>
        <vt:lpwstr/>
      </vt:variant>
      <vt:variant>
        <vt:i4>5636111</vt:i4>
      </vt:variant>
      <vt:variant>
        <vt:i4>3</vt:i4>
      </vt:variant>
      <vt:variant>
        <vt:i4>0</vt:i4>
      </vt:variant>
      <vt:variant>
        <vt:i4>5</vt:i4>
      </vt:variant>
      <vt:variant>
        <vt:lpwstr>http://en.unesco.org/unitwin-unesco-chairs-programme</vt:lpwstr>
      </vt:variant>
      <vt:variant>
        <vt:lpwstr/>
      </vt:variant>
      <vt:variant>
        <vt:i4>2949140</vt:i4>
      </vt:variant>
      <vt:variant>
        <vt:i4>0</vt:i4>
      </vt:variant>
      <vt:variant>
        <vt:i4>0</vt:i4>
      </vt:variant>
      <vt:variant>
        <vt:i4>5</vt:i4>
      </vt:variant>
      <vt:variant>
        <vt:lpwstr>https://www.un.org/Depts/los/convention_agreements/texts/unclos/closindx.html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Стратегия МОК в области развития потенциала на 2023-2030 гг.</dc:title>
  <dc:subject>IOC/A-32/4.3.Doc(1)</dc:subject>
  <dc:creator>Peter Pissierssens</dc:creator>
  <cp:keywords>0</cp:keywords>
  <dc:description/>
  <cp:lastModifiedBy>Chakhvorostova, Valentina</cp:lastModifiedBy>
  <cp:revision>47</cp:revision>
  <cp:lastPrinted>2023-05-17T15:34:00Z</cp:lastPrinted>
  <dcterms:created xsi:type="dcterms:W3CDTF">2023-06-28T08:42:00Z</dcterms:created>
  <dcterms:modified xsi:type="dcterms:W3CDTF">2023-06-28T12:59:00Z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2301661</vt:lpwstr>
  </property>
  <property fmtid="{D5CDD505-2E9C-101B-9397-08002B2CF9AE}" pid="3" name="Language">
    <vt:lpwstr>R</vt:lpwstr>
  </property>
</Properties>
</file>