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A933" w14:textId="77777777" w:rsidR="0008104C" w:rsidRDefault="002067F4">
      <w:pPr>
        <w:pStyle w:val="Standard"/>
        <w:jc w:val="center"/>
        <w:rPr>
          <w:b/>
          <w:sz w:val="22"/>
          <w:szCs w:val="22"/>
          <w:lang w:val="en-GB"/>
        </w:rPr>
      </w:pPr>
      <w:r>
        <w:rPr>
          <w:b/>
          <w:sz w:val="22"/>
          <w:szCs w:val="22"/>
          <w:lang w:val="en-GB"/>
        </w:rPr>
        <w:t xml:space="preserve">FACT SHEET Working Group </w:t>
      </w:r>
      <w:r w:rsidR="00900EBB">
        <w:rPr>
          <w:b/>
          <w:sz w:val="22"/>
          <w:szCs w:val="22"/>
          <w:lang w:val="en-GB"/>
        </w:rPr>
        <w:t>6</w:t>
      </w:r>
      <w:r>
        <w:rPr>
          <w:b/>
          <w:sz w:val="22"/>
          <w:szCs w:val="22"/>
          <w:lang w:val="en-GB"/>
        </w:rPr>
        <w:t>:</w:t>
      </w:r>
    </w:p>
    <w:p w14:paraId="327C0995" w14:textId="77777777" w:rsidR="0008104C" w:rsidRDefault="0008104C">
      <w:pPr>
        <w:pStyle w:val="Standard"/>
        <w:jc w:val="center"/>
        <w:rPr>
          <w:b/>
          <w:sz w:val="22"/>
          <w:szCs w:val="22"/>
          <w:lang w:val="en-GB"/>
        </w:rPr>
      </w:pPr>
    </w:p>
    <w:p w14:paraId="5B885CF0" w14:textId="77777777" w:rsidR="0008104C" w:rsidRDefault="002067F4">
      <w:pPr>
        <w:pStyle w:val="Standard"/>
        <w:jc w:val="center"/>
        <w:rPr>
          <w:b/>
          <w:sz w:val="22"/>
          <w:szCs w:val="22"/>
          <w:lang w:val="en-GB"/>
        </w:rPr>
      </w:pPr>
      <w:r>
        <w:rPr>
          <w:b/>
          <w:sz w:val="22"/>
          <w:szCs w:val="22"/>
          <w:lang w:val="en-GB"/>
        </w:rPr>
        <w:t xml:space="preserve"> Regional Working Group </w:t>
      </w:r>
      <w:r w:rsidR="00900EBB">
        <w:rPr>
          <w:b/>
          <w:sz w:val="22"/>
          <w:szCs w:val="22"/>
          <w:lang w:val="en-GB"/>
        </w:rPr>
        <w:t xml:space="preserve">6: </w:t>
      </w:r>
      <w:r>
        <w:rPr>
          <w:b/>
          <w:sz w:val="22"/>
          <w:szCs w:val="22"/>
          <w:lang w:val="en-GB"/>
        </w:rPr>
        <w:t xml:space="preserve"> </w:t>
      </w:r>
      <w:r w:rsidR="00900EBB" w:rsidRPr="00900EBB">
        <w:rPr>
          <w:b/>
          <w:sz w:val="22"/>
          <w:szCs w:val="22"/>
          <w:lang w:val="en-GB"/>
        </w:rPr>
        <w:t>Pacific Island Countries and Territories Regional Working Group on Tsunami Warning and Mitigation System</w:t>
      </w:r>
    </w:p>
    <w:p w14:paraId="19624BCA" w14:textId="77777777" w:rsidR="0008104C" w:rsidRDefault="0008104C">
      <w:pPr>
        <w:pStyle w:val="Standard"/>
        <w:rPr>
          <w:lang w:val="en-GB"/>
        </w:rPr>
      </w:pPr>
    </w:p>
    <w:p w14:paraId="6B024DBC" w14:textId="48AB00E8" w:rsidR="00900EBB" w:rsidRDefault="002067F4">
      <w:pPr>
        <w:pStyle w:val="Standard"/>
        <w:jc w:val="center"/>
        <w:rPr>
          <w:lang w:val="en-GB"/>
        </w:rPr>
      </w:pPr>
      <w:r>
        <w:rPr>
          <w:b/>
          <w:lang w:val="en-GB"/>
        </w:rPr>
        <w:t>Chair</w:t>
      </w:r>
      <w:r>
        <w:rPr>
          <w:lang w:val="en-GB"/>
        </w:rPr>
        <w:t>:</w:t>
      </w:r>
      <w:r>
        <w:t xml:space="preserve"> </w:t>
      </w:r>
      <w:r w:rsidR="000753E5" w:rsidRPr="001D09A2">
        <w:rPr>
          <w:lang w:val="en-GB"/>
        </w:rPr>
        <w:t xml:space="preserve">Mrs. Esline Garaebiti (Vanuatu), </w:t>
      </w:r>
      <w:r w:rsidR="000753E5">
        <w:rPr>
          <w:lang w:val="en-GB"/>
        </w:rPr>
        <w:t>(March 2021 -</w:t>
      </w:r>
      <w:r w:rsidR="000753E5" w:rsidRPr="000753E5">
        <w:t xml:space="preserve"> </w:t>
      </w:r>
    </w:p>
    <w:p w14:paraId="526D1ED4" w14:textId="729E44A2" w:rsidR="0008104C" w:rsidRDefault="00900EBB">
      <w:pPr>
        <w:pStyle w:val="Standard"/>
        <w:jc w:val="center"/>
      </w:pPr>
      <w:r w:rsidRPr="00900EBB">
        <w:rPr>
          <w:b/>
          <w:lang w:val="en-GB"/>
        </w:rPr>
        <w:t>V</w:t>
      </w:r>
      <w:r w:rsidR="00D97858" w:rsidRPr="00900EBB">
        <w:rPr>
          <w:b/>
          <w:lang w:val="en-GB"/>
        </w:rPr>
        <w:t>i</w:t>
      </w:r>
      <w:r w:rsidR="00D97858" w:rsidRPr="00D97858">
        <w:rPr>
          <w:b/>
          <w:lang w:val="en-GB"/>
        </w:rPr>
        <w:t>ce-chair</w:t>
      </w:r>
      <w:r w:rsidR="00D97858" w:rsidRPr="00D97858">
        <w:rPr>
          <w:lang w:val="en-GB"/>
        </w:rPr>
        <w:t xml:space="preserve"> </w:t>
      </w:r>
      <w:r w:rsidR="000753E5" w:rsidRPr="000753E5">
        <w:rPr>
          <w:lang w:val="en-GB"/>
        </w:rPr>
        <w:t>Mr. Mathew Moihoi (P</w:t>
      </w:r>
      <w:r w:rsidR="000753E5">
        <w:rPr>
          <w:lang w:val="en-GB"/>
        </w:rPr>
        <w:t xml:space="preserve">apua </w:t>
      </w:r>
      <w:r w:rsidR="000753E5" w:rsidRPr="000753E5">
        <w:rPr>
          <w:lang w:val="en-GB"/>
        </w:rPr>
        <w:t>N</w:t>
      </w:r>
      <w:r w:rsidR="000753E5">
        <w:rPr>
          <w:lang w:val="en-GB"/>
        </w:rPr>
        <w:t xml:space="preserve">ew </w:t>
      </w:r>
      <w:r w:rsidR="000753E5" w:rsidRPr="000753E5">
        <w:rPr>
          <w:lang w:val="en-GB"/>
        </w:rPr>
        <w:t>G</w:t>
      </w:r>
      <w:r w:rsidR="000753E5">
        <w:rPr>
          <w:lang w:val="en-GB"/>
        </w:rPr>
        <w:t>uinea</w:t>
      </w:r>
      <w:r w:rsidR="000753E5" w:rsidRPr="000753E5">
        <w:rPr>
          <w:lang w:val="en-GB"/>
        </w:rPr>
        <w:t>)</w:t>
      </w:r>
      <w:r w:rsidR="000753E5">
        <w:rPr>
          <w:lang w:val="en-GB"/>
        </w:rPr>
        <w:t xml:space="preserve">, March 2021 - </w:t>
      </w:r>
    </w:p>
    <w:p w14:paraId="3F449CD5" w14:textId="77777777" w:rsidR="0008104C" w:rsidRDefault="0008104C">
      <w:pPr>
        <w:pStyle w:val="Standard"/>
        <w:rPr>
          <w:lang w:val="en-GB"/>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08104C" w:rsidRPr="00582BF3" w14:paraId="6C50FA17"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16DD9" w14:textId="77777777" w:rsidR="0008104C" w:rsidRDefault="002067F4">
            <w:pPr>
              <w:pStyle w:val="Standard"/>
              <w:rPr>
                <w:b/>
                <w:sz w:val="18"/>
                <w:szCs w:val="18"/>
                <w:lang w:val="en-GB"/>
              </w:rPr>
            </w:pPr>
            <w:r>
              <w:rPr>
                <w:b/>
                <w:sz w:val="18"/>
                <w:szCs w:val="18"/>
                <w:lang w:val="en-GB"/>
              </w:rPr>
              <w:t xml:space="preserve">Working Group </w:t>
            </w:r>
            <w:r w:rsidR="00900EBB">
              <w:rPr>
                <w:b/>
                <w:sz w:val="18"/>
                <w:szCs w:val="18"/>
                <w:lang w:val="en-GB"/>
              </w:rPr>
              <w:t>6</w:t>
            </w:r>
            <w:r>
              <w:rPr>
                <w:b/>
                <w:sz w:val="18"/>
                <w:szCs w:val="18"/>
                <w:lang w:val="en-GB"/>
              </w:rPr>
              <w:t>:  Regional Working Group on Tsunami Warning and Mitigation in the Southwest Pacific Region</w:t>
            </w:r>
          </w:p>
          <w:p w14:paraId="38119F5A" w14:textId="77777777" w:rsidR="00582BF3" w:rsidRDefault="00582BF3">
            <w:pPr>
              <w:pStyle w:val="Standard"/>
              <w:rPr>
                <w:b/>
                <w:sz w:val="18"/>
                <w:szCs w:val="18"/>
                <w:lang w:val="en-GB"/>
              </w:rPr>
            </w:pPr>
          </w:p>
          <w:p w14:paraId="1BD1535F" w14:textId="108E0646" w:rsidR="00582BF3" w:rsidRDefault="00582BF3">
            <w:pPr>
              <w:pStyle w:val="Standard"/>
              <w:rPr>
                <w:b/>
                <w:sz w:val="18"/>
                <w:szCs w:val="18"/>
                <w:lang w:val="en-GB"/>
              </w:rPr>
            </w:pPr>
            <w:r>
              <w:rPr>
                <w:b/>
                <w:sz w:val="18"/>
                <w:szCs w:val="18"/>
                <w:lang w:val="en-GB"/>
              </w:rPr>
              <w:t>Terms of reference (updated in Jan 2023):</w:t>
            </w:r>
          </w:p>
          <w:p w14:paraId="571FE8D6" w14:textId="77777777" w:rsidR="0008104C" w:rsidRDefault="0008104C">
            <w:pPr>
              <w:pStyle w:val="Standard"/>
              <w:rPr>
                <w:sz w:val="18"/>
                <w:szCs w:val="18"/>
                <w:lang w:val="en-GB"/>
              </w:rPr>
            </w:pPr>
          </w:p>
          <w:p w14:paraId="60EDC835" w14:textId="77777777" w:rsidR="00582BF3" w:rsidRPr="00582BF3" w:rsidRDefault="00582BF3" w:rsidP="00582BF3">
            <w:pPr>
              <w:widowControl/>
              <w:numPr>
                <w:ilvl w:val="0"/>
                <w:numId w:val="12"/>
              </w:numPr>
              <w:suppressAutoHyphens w:val="0"/>
              <w:autoSpaceDN/>
              <w:spacing w:after="240"/>
              <w:textAlignment w:val="auto"/>
              <w:rPr>
                <w:rFonts w:eastAsia="Times New Roman"/>
                <w:kern w:val="0"/>
                <w:sz w:val="18"/>
                <w:szCs w:val="22"/>
                <w:lang w:val="en-GB" w:eastAsia="en-US"/>
              </w:rPr>
            </w:pPr>
            <w:r w:rsidRPr="00582BF3">
              <w:rPr>
                <w:rFonts w:eastAsia="Times New Roman"/>
                <w:kern w:val="0"/>
                <w:sz w:val="18"/>
                <w:szCs w:val="22"/>
                <w:lang w:val="en-GB" w:eastAsia="en-US"/>
              </w:rPr>
              <w:t xml:space="preserve">To continually review and evaluate capabilities of, and evaluate capabilities of, and make recommendations for improvements to countries in the Pacific Islands and Territories (PICT) Region for providing end to –end tsunami warning and mitigation services within the multi-hazard framework. </w:t>
            </w:r>
          </w:p>
          <w:p w14:paraId="6C38F66A" w14:textId="77777777" w:rsidR="00582BF3" w:rsidRPr="00582BF3" w:rsidRDefault="00582BF3" w:rsidP="00582BF3">
            <w:pPr>
              <w:widowControl/>
              <w:numPr>
                <w:ilvl w:val="0"/>
                <w:numId w:val="12"/>
              </w:numPr>
              <w:suppressAutoHyphens w:val="0"/>
              <w:autoSpaceDN/>
              <w:spacing w:after="240"/>
              <w:textAlignment w:val="auto"/>
              <w:rPr>
                <w:rFonts w:eastAsia="Times New Roman"/>
                <w:kern w:val="0"/>
                <w:sz w:val="18"/>
                <w:szCs w:val="22"/>
                <w:lang w:val="en-GB" w:eastAsia="en-US"/>
              </w:rPr>
            </w:pPr>
            <w:r w:rsidRPr="00582BF3">
              <w:rPr>
                <w:rFonts w:eastAsia="Times New Roman"/>
                <w:kern w:val="0"/>
                <w:sz w:val="18"/>
                <w:szCs w:val="22"/>
                <w:lang w:val="en-GB" w:eastAsia="en-US"/>
              </w:rPr>
              <w:t xml:space="preserve">To support the involvement and contribution of PICT in the activities of the ICG/PTWS </w:t>
            </w:r>
          </w:p>
          <w:p w14:paraId="4E8F179B" w14:textId="77777777" w:rsidR="00582BF3" w:rsidRPr="00582BF3" w:rsidRDefault="00582BF3" w:rsidP="00582BF3">
            <w:pPr>
              <w:widowControl/>
              <w:numPr>
                <w:ilvl w:val="0"/>
                <w:numId w:val="12"/>
              </w:numPr>
              <w:suppressAutoHyphens w:val="0"/>
              <w:autoSpaceDN/>
              <w:spacing w:after="240"/>
              <w:textAlignment w:val="auto"/>
              <w:rPr>
                <w:rFonts w:eastAsia="Times New Roman"/>
                <w:kern w:val="0"/>
                <w:sz w:val="18"/>
                <w:szCs w:val="22"/>
                <w:lang w:val="en-GB" w:eastAsia="en-US"/>
              </w:rPr>
            </w:pPr>
            <w:r w:rsidRPr="00582BF3">
              <w:rPr>
                <w:rFonts w:eastAsia="Times New Roman"/>
                <w:kern w:val="0"/>
                <w:sz w:val="18"/>
                <w:szCs w:val="22"/>
                <w:lang w:val="en-GB" w:eastAsia="en-US"/>
              </w:rPr>
              <w:t xml:space="preserve">To promote and facilitate the tsunami hazard and risk studies in the PICT region. </w:t>
            </w:r>
          </w:p>
          <w:p w14:paraId="4D37B973" w14:textId="3938F478" w:rsidR="00582BF3" w:rsidRPr="00582BF3" w:rsidRDefault="00582BF3" w:rsidP="00582BF3">
            <w:pPr>
              <w:widowControl/>
              <w:numPr>
                <w:ilvl w:val="0"/>
                <w:numId w:val="12"/>
              </w:numPr>
              <w:suppressAutoHyphens w:val="0"/>
              <w:autoSpaceDN/>
              <w:spacing w:after="240"/>
              <w:textAlignment w:val="auto"/>
              <w:rPr>
                <w:rFonts w:eastAsia="Times New Roman"/>
                <w:kern w:val="0"/>
                <w:sz w:val="18"/>
                <w:szCs w:val="22"/>
                <w:lang w:val="en-GB" w:eastAsia="en-US"/>
              </w:rPr>
            </w:pPr>
            <w:r w:rsidRPr="00582BF3">
              <w:rPr>
                <w:rFonts w:eastAsia="Times New Roman"/>
                <w:kern w:val="0"/>
                <w:sz w:val="18"/>
                <w:szCs w:val="22"/>
                <w:lang w:val="en-GB" w:eastAsia="en-US"/>
              </w:rPr>
              <w:t>To facilitate cooperation in the establishment and upgrading of earthquake and tsunami monitoring networks in the region an</w:t>
            </w:r>
            <w:r>
              <w:rPr>
                <w:rFonts w:eastAsia="Times New Roman"/>
                <w:kern w:val="0"/>
                <w:sz w:val="18"/>
                <w:szCs w:val="22"/>
                <w:lang w:val="en-GB" w:eastAsia="en-US"/>
              </w:rPr>
              <w:t>d</w:t>
            </w:r>
            <w:r w:rsidRPr="00582BF3">
              <w:rPr>
                <w:rFonts w:eastAsia="Times New Roman"/>
                <w:kern w:val="0"/>
                <w:sz w:val="18"/>
                <w:szCs w:val="22"/>
                <w:lang w:val="en-GB" w:eastAsia="en-US"/>
              </w:rPr>
              <w:t xml:space="preserve"> the interoperability of these systems in accordance with ICG/PTWS requirements. </w:t>
            </w:r>
          </w:p>
          <w:p w14:paraId="3A28E2AE" w14:textId="77777777" w:rsidR="00582BF3" w:rsidRPr="00582BF3" w:rsidRDefault="00582BF3" w:rsidP="00582BF3">
            <w:pPr>
              <w:widowControl/>
              <w:numPr>
                <w:ilvl w:val="0"/>
                <w:numId w:val="12"/>
              </w:numPr>
              <w:suppressAutoHyphens w:val="0"/>
              <w:autoSpaceDN/>
              <w:spacing w:after="240"/>
              <w:textAlignment w:val="auto"/>
              <w:rPr>
                <w:rFonts w:eastAsia="Times New Roman"/>
                <w:kern w:val="0"/>
                <w:sz w:val="18"/>
                <w:szCs w:val="22"/>
                <w:lang w:val="en-GB" w:eastAsia="en-US"/>
              </w:rPr>
            </w:pPr>
            <w:r w:rsidRPr="00582BF3">
              <w:rPr>
                <w:rFonts w:eastAsia="Times New Roman"/>
                <w:kern w:val="0"/>
                <w:sz w:val="18"/>
                <w:szCs w:val="22"/>
                <w:lang w:val="en-GB" w:eastAsia="en-US"/>
              </w:rPr>
              <w:t xml:space="preserve">To facilitate training and capacity building in the end-to-end tsunami warning and mitigation system in the region. </w:t>
            </w:r>
          </w:p>
          <w:p w14:paraId="34DEA035" w14:textId="77777777" w:rsidR="00582BF3" w:rsidRPr="00582BF3" w:rsidRDefault="00582BF3" w:rsidP="00582BF3">
            <w:pPr>
              <w:widowControl/>
              <w:numPr>
                <w:ilvl w:val="0"/>
                <w:numId w:val="12"/>
              </w:numPr>
              <w:suppressAutoHyphens w:val="0"/>
              <w:autoSpaceDN/>
              <w:spacing w:after="240"/>
              <w:textAlignment w:val="auto"/>
              <w:rPr>
                <w:rFonts w:eastAsia="Times New Roman"/>
                <w:kern w:val="0"/>
                <w:sz w:val="18"/>
                <w:szCs w:val="22"/>
                <w:lang w:val="en-GB" w:eastAsia="en-US"/>
              </w:rPr>
            </w:pPr>
            <w:r w:rsidRPr="00582BF3">
              <w:rPr>
                <w:rFonts w:eastAsia="Times New Roman"/>
                <w:kern w:val="0"/>
                <w:sz w:val="18"/>
                <w:szCs w:val="22"/>
                <w:lang w:val="en-GB" w:eastAsia="en-US"/>
              </w:rPr>
              <w:t xml:space="preserve">To encourage the sharing of tsunami information, including but not limited to the free and open exchange of data. </w:t>
            </w:r>
          </w:p>
          <w:p w14:paraId="4666CC7F" w14:textId="77777777" w:rsidR="00582BF3" w:rsidRPr="00582BF3" w:rsidRDefault="00582BF3" w:rsidP="00582BF3">
            <w:pPr>
              <w:widowControl/>
              <w:numPr>
                <w:ilvl w:val="0"/>
                <w:numId w:val="12"/>
              </w:numPr>
              <w:suppressAutoHyphens w:val="0"/>
              <w:autoSpaceDN/>
              <w:spacing w:after="240"/>
              <w:textAlignment w:val="auto"/>
              <w:rPr>
                <w:rFonts w:eastAsia="Times New Roman"/>
                <w:kern w:val="0"/>
                <w:sz w:val="18"/>
                <w:szCs w:val="22"/>
                <w:lang w:val="en-GB" w:eastAsia="en-US"/>
              </w:rPr>
            </w:pPr>
            <w:r w:rsidRPr="00582BF3">
              <w:rPr>
                <w:rFonts w:eastAsia="Times New Roman"/>
                <w:kern w:val="0"/>
                <w:sz w:val="18"/>
                <w:szCs w:val="22"/>
                <w:lang w:val="en-GB" w:eastAsia="en-US"/>
              </w:rPr>
              <w:t xml:space="preserve">To facilitate tsunami awareness in school curricula, and development and dissemination of public educational materials </w:t>
            </w:r>
          </w:p>
          <w:p w14:paraId="0E010E35" w14:textId="77777777" w:rsidR="00582BF3" w:rsidRPr="00582BF3" w:rsidRDefault="00582BF3" w:rsidP="00582BF3">
            <w:pPr>
              <w:widowControl/>
              <w:numPr>
                <w:ilvl w:val="0"/>
                <w:numId w:val="12"/>
              </w:numPr>
              <w:suppressAutoHyphens w:val="0"/>
              <w:autoSpaceDN/>
              <w:spacing w:after="240"/>
              <w:textAlignment w:val="auto"/>
              <w:rPr>
                <w:rFonts w:eastAsia="Times New Roman"/>
                <w:kern w:val="0"/>
                <w:sz w:val="18"/>
                <w:szCs w:val="22"/>
                <w:lang w:val="en-GB" w:eastAsia="en-US"/>
              </w:rPr>
            </w:pPr>
            <w:r w:rsidRPr="00582BF3">
              <w:rPr>
                <w:rFonts w:eastAsia="Times New Roman"/>
                <w:kern w:val="0"/>
                <w:sz w:val="18"/>
                <w:szCs w:val="22"/>
                <w:lang w:val="en-GB" w:eastAsia="en-US"/>
              </w:rPr>
              <w:t xml:space="preserve">To work in cooperation with PTWS Working Group 1, 2, &amp; 3 and relevant task teams, especially on activities that strengthen country capacity in tsunami warning, risk mitigation &amp; emergency response. Support the implementation of Tsunami priorities under the UN Decade. </w:t>
            </w:r>
          </w:p>
          <w:p w14:paraId="2440FDAF" w14:textId="4356D219" w:rsidR="0008104C" w:rsidRDefault="0008104C" w:rsidP="001D09A2">
            <w:pPr>
              <w:pStyle w:val="Standard"/>
              <w:ind w:left="180"/>
              <w:rPr>
                <w:sz w:val="18"/>
                <w:szCs w:val="18"/>
                <w:lang w:val="en-GB"/>
              </w:rPr>
            </w:pPr>
          </w:p>
        </w:tc>
      </w:tr>
      <w:tr w:rsidR="0008104C" w:rsidRPr="00582BF3" w14:paraId="219DA1A2"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972430" w14:textId="77777777" w:rsidR="0008104C" w:rsidRDefault="0008104C">
            <w:pPr>
              <w:pStyle w:val="Standard"/>
              <w:rPr>
                <w:sz w:val="20"/>
                <w:szCs w:val="20"/>
              </w:rPr>
            </w:pPr>
          </w:p>
          <w:p w14:paraId="36542B91" w14:textId="77777777" w:rsidR="0008104C" w:rsidRDefault="002067F4">
            <w:pPr>
              <w:pStyle w:val="Standard"/>
            </w:pPr>
            <w:r>
              <w:rPr>
                <w:sz w:val="20"/>
                <w:szCs w:val="20"/>
                <w:u w:val="single"/>
                <w:lang w:val="en-GB"/>
              </w:rPr>
              <w:t>Membership</w:t>
            </w:r>
            <w:r>
              <w:rPr>
                <w:sz w:val="20"/>
                <w:szCs w:val="20"/>
                <w:lang w:val="en-GB"/>
              </w:rPr>
              <w:t>:</w:t>
            </w:r>
          </w:p>
          <w:p w14:paraId="44F01B22" w14:textId="45275DA2" w:rsidR="00900EBB" w:rsidRDefault="00582BF3" w:rsidP="00900EBB">
            <w:pPr>
              <w:pStyle w:val="Standard"/>
              <w:rPr>
                <w:sz w:val="20"/>
                <w:szCs w:val="20"/>
              </w:rPr>
            </w:pPr>
            <w:r w:rsidRPr="00582BF3">
              <w:rPr>
                <w:sz w:val="20"/>
                <w:szCs w:val="20"/>
              </w:rPr>
              <w:t>Members composed of representatives from Pacific Island Countries and Territories (PICTs), Council of Regional Organizations in the Pacific (CROP) Agencies, International Tsunami Information Centre (ITIC) and WMO, Chair and Vice-Chair elected by the members of the Working Group AND endorsed by the ICG.</w:t>
            </w:r>
          </w:p>
          <w:p w14:paraId="36D525A7" w14:textId="77777777" w:rsidR="00582BF3" w:rsidRDefault="00582BF3" w:rsidP="00900EBB">
            <w:pPr>
              <w:pStyle w:val="Standard"/>
              <w:rPr>
                <w:sz w:val="20"/>
                <w:szCs w:val="20"/>
              </w:rPr>
            </w:pPr>
          </w:p>
          <w:p w14:paraId="4A4DB175" w14:textId="77777777" w:rsidR="0008104C" w:rsidRDefault="0008104C" w:rsidP="00900EBB">
            <w:pPr>
              <w:pStyle w:val="Standard"/>
              <w:ind w:left="252"/>
              <w:rPr>
                <w:sz w:val="20"/>
                <w:szCs w:val="20"/>
              </w:rPr>
            </w:pPr>
          </w:p>
        </w:tc>
      </w:tr>
      <w:tr w:rsidR="0008104C" w:rsidRPr="00582BF3" w14:paraId="6BF6FF53"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4E8C4F" w14:textId="77777777" w:rsidR="0008104C" w:rsidRDefault="0008104C">
            <w:pPr>
              <w:pStyle w:val="Standard"/>
              <w:rPr>
                <w:sz w:val="18"/>
                <w:szCs w:val="18"/>
                <w:u w:val="single"/>
              </w:rPr>
            </w:pPr>
          </w:p>
          <w:p w14:paraId="5B697EFA" w14:textId="77777777" w:rsidR="0008104C" w:rsidRDefault="002067F4">
            <w:pPr>
              <w:pStyle w:val="Standard"/>
            </w:pPr>
            <w:r>
              <w:rPr>
                <w:sz w:val="18"/>
                <w:szCs w:val="18"/>
                <w:u w:val="single"/>
                <w:lang w:val="en-GB"/>
              </w:rPr>
              <w:t>The following applies for all working groups</w:t>
            </w:r>
            <w:r>
              <w:rPr>
                <w:sz w:val="18"/>
                <w:szCs w:val="18"/>
                <w:lang w:val="en-GB"/>
              </w:rPr>
              <w:t>:</w:t>
            </w:r>
          </w:p>
          <w:p w14:paraId="79391336" w14:textId="77777777" w:rsidR="0008104C" w:rsidRDefault="002067F4">
            <w:pPr>
              <w:pStyle w:val="Standard"/>
              <w:rPr>
                <w:sz w:val="18"/>
                <w:szCs w:val="18"/>
                <w:lang w:val="en-GB"/>
              </w:rPr>
            </w:pPr>
            <w:r>
              <w:rPr>
                <w:sz w:val="18"/>
                <w:szCs w:val="18"/>
                <w:lang w:val="en-GB"/>
              </w:rPr>
              <w:t>Languages:  English, Spanish and French</w:t>
            </w:r>
          </w:p>
          <w:p w14:paraId="1DA2E905" w14:textId="77777777" w:rsidR="0008104C" w:rsidRDefault="002067F4">
            <w:pPr>
              <w:pStyle w:val="Standard"/>
              <w:rPr>
                <w:sz w:val="18"/>
                <w:szCs w:val="18"/>
                <w:lang w:val="en-GB"/>
              </w:rPr>
            </w:pPr>
            <w:r>
              <w:rPr>
                <w:sz w:val="18"/>
                <w:szCs w:val="18"/>
                <w:lang w:val="en-GB"/>
              </w:rPr>
              <w:t>Meetings:  Meet intersessionally.</w:t>
            </w:r>
          </w:p>
          <w:p w14:paraId="0DD21599" w14:textId="77777777" w:rsidR="0008104C" w:rsidRDefault="002067F4">
            <w:pPr>
              <w:pStyle w:val="Standard"/>
              <w:rPr>
                <w:sz w:val="18"/>
                <w:szCs w:val="18"/>
                <w:lang w:val="en-GB"/>
              </w:rPr>
            </w:pPr>
            <w:r>
              <w:rPr>
                <w:sz w:val="18"/>
                <w:szCs w:val="18"/>
                <w:lang w:val="en-GB"/>
              </w:rPr>
              <w:t>Coordinator and Elections:  Follow the rules of procedures applying to IOC Subsidiary Bodies.  Chair and at least one vice chair who will be elected either by the ICG/PTWS or the members of the working group for two years with possible reelection of one term in the same position.</w:t>
            </w:r>
          </w:p>
          <w:p w14:paraId="4F934B93" w14:textId="77777777" w:rsidR="0008104C" w:rsidRDefault="002067F4">
            <w:pPr>
              <w:pStyle w:val="Standard"/>
              <w:rPr>
                <w:sz w:val="18"/>
                <w:szCs w:val="18"/>
                <w:lang w:val="en-GB"/>
              </w:rPr>
            </w:pPr>
            <w:r>
              <w:rPr>
                <w:sz w:val="18"/>
                <w:szCs w:val="18"/>
                <w:lang w:val="en-GB"/>
              </w:rPr>
              <w:t>Members and appointment:  Nominated by member states in accordance with the rules of procedures applying to IOC Subsidiary bodies.  Technical experts can be invited at the discretion of the Chair.</w:t>
            </w:r>
          </w:p>
          <w:p w14:paraId="60C71AB2" w14:textId="77777777" w:rsidR="0008104C" w:rsidRDefault="002067F4">
            <w:pPr>
              <w:pStyle w:val="Standard"/>
              <w:rPr>
                <w:sz w:val="18"/>
                <w:szCs w:val="18"/>
                <w:lang w:val="en-GB"/>
              </w:rPr>
            </w:pPr>
            <w:r>
              <w:rPr>
                <w:sz w:val="18"/>
                <w:szCs w:val="18"/>
                <w:lang w:val="en-GB"/>
              </w:rPr>
              <w:t>Calendar of Intersessional work should be determined by the working group at the working group meeting and included in the report.</w:t>
            </w:r>
          </w:p>
          <w:p w14:paraId="515805C4" w14:textId="77777777" w:rsidR="0008104C" w:rsidRDefault="002067F4">
            <w:pPr>
              <w:pStyle w:val="Standard"/>
              <w:rPr>
                <w:sz w:val="18"/>
                <w:szCs w:val="18"/>
                <w:lang w:val="en-GB"/>
              </w:rPr>
            </w:pPr>
            <w:r>
              <w:rPr>
                <w:sz w:val="18"/>
                <w:szCs w:val="18"/>
                <w:lang w:val="en-GB"/>
              </w:rPr>
              <w:t>Duration of the WG:  Two years.</w:t>
            </w:r>
          </w:p>
          <w:p w14:paraId="38E207A5" w14:textId="77777777" w:rsidR="0008104C" w:rsidRDefault="002067F4">
            <w:pPr>
              <w:pStyle w:val="Standard"/>
              <w:rPr>
                <w:sz w:val="18"/>
                <w:szCs w:val="18"/>
                <w:lang w:val="en-GB"/>
              </w:rPr>
            </w:pPr>
            <w:r>
              <w:rPr>
                <w:sz w:val="18"/>
                <w:szCs w:val="18"/>
                <w:lang w:val="en-GB"/>
              </w:rPr>
              <w:t xml:space="preserve">Reports:  A final report has to be submitted two months before the parent body meeting and for each working group meeting within the two following months.  </w:t>
            </w:r>
          </w:p>
          <w:p w14:paraId="524C1DCE" w14:textId="77777777" w:rsidR="0008104C" w:rsidRDefault="002067F4">
            <w:pPr>
              <w:pStyle w:val="Standard"/>
              <w:rPr>
                <w:sz w:val="18"/>
                <w:szCs w:val="18"/>
                <w:lang w:val="en-GB"/>
              </w:rPr>
            </w:pPr>
            <w:r>
              <w:rPr>
                <w:sz w:val="18"/>
                <w:szCs w:val="18"/>
                <w:lang w:val="en-GB"/>
              </w:rPr>
              <w:t>Financial resources:  At national expense.</w:t>
            </w:r>
          </w:p>
          <w:p w14:paraId="4D205202" w14:textId="77777777" w:rsidR="0008104C" w:rsidRDefault="002067F4">
            <w:pPr>
              <w:pStyle w:val="Standard"/>
              <w:rPr>
                <w:sz w:val="18"/>
                <w:szCs w:val="18"/>
                <w:lang w:val="en-GB"/>
              </w:rPr>
            </w:pPr>
            <w:r>
              <w:rPr>
                <w:sz w:val="18"/>
                <w:szCs w:val="18"/>
                <w:lang w:val="en-GB"/>
              </w:rPr>
              <w:t>Amendments:  As warranted by the working groups.</w:t>
            </w:r>
          </w:p>
        </w:tc>
      </w:tr>
      <w:tr w:rsidR="0008104C" w:rsidRPr="00582BF3" w14:paraId="17B0F843"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E02DE" w14:textId="77777777" w:rsidR="0008104C" w:rsidRDefault="0008104C">
            <w:pPr>
              <w:pStyle w:val="Standard"/>
              <w:rPr>
                <w:sz w:val="18"/>
                <w:szCs w:val="18"/>
                <w:u w:val="single"/>
                <w:lang w:val="en-GB"/>
              </w:rPr>
            </w:pPr>
          </w:p>
        </w:tc>
      </w:tr>
    </w:tbl>
    <w:p w14:paraId="7B30CE52" w14:textId="77777777" w:rsidR="0008104C" w:rsidRDefault="0008104C">
      <w:pPr>
        <w:pStyle w:val="Standard"/>
        <w:rPr>
          <w:lang w:val="en-GB"/>
        </w:rPr>
      </w:pPr>
    </w:p>
    <w:p w14:paraId="1A681188" w14:textId="77777777" w:rsidR="0008104C" w:rsidRDefault="002067F4">
      <w:pPr>
        <w:pStyle w:val="Standard"/>
        <w:pageBreakBefore/>
        <w:jc w:val="center"/>
      </w:pPr>
      <w:r>
        <w:rPr>
          <w:b/>
          <w:u w:val="single"/>
        </w:rPr>
        <w:lastRenderedPageBreak/>
        <w:t xml:space="preserve">Contact Details Working Group 5 </w:t>
      </w:r>
      <w:r>
        <w:rPr>
          <w:b/>
          <w:sz w:val="22"/>
          <w:szCs w:val="22"/>
          <w:u w:val="single"/>
          <w:lang w:val="en-GB"/>
        </w:rPr>
        <w:t>Sub-Regional Working Group on Tsunami Warning and Mitigation in the Southwest Pacific Region</w:t>
      </w:r>
    </w:p>
    <w:p w14:paraId="25755E0F" w14:textId="77777777" w:rsidR="0008104C" w:rsidRDefault="0008104C">
      <w:pPr>
        <w:pStyle w:val="Standard"/>
      </w:pPr>
    </w:p>
    <w:tbl>
      <w:tblPr>
        <w:tblW w:w="9251" w:type="dxa"/>
        <w:tblInd w:w="-108" w:type="dxa"/>
        <w:tblLayout w:type="fixed"/>
        <w:tblCellMar>
          <w:left w:w="10" w:type="dxa"/>
          <w:right w:w="10" w:type="dxa"/>
        </w:tblCellMar>
        <w:tblLook w:val="0000" w:firstRow="0" w:lastRow="0" w:firstColumn="0" w:lastColumn="0" w:noHBand="0" w:noVBand="0"/>
      </w:tblPr>
      <w:tblGrid>
        <w:gridCol w:w="3897"/>
        <w:gridCol w:w="2098"/>
        <w:gridCol w:w="3256"/>
      </w:tblGrid>
      <w:tr w:rsidR="0008104C" w14:paraId="7C0D58F2"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A61C26" w14:textId="77777777" w:rsidR="0008104C" w:rsidRDefault="002067F4">
            <w:pPr>
              <w:pStyle w:val="Standard"/>
              <w:jc w:val="center"/>
              <w:rPr>
                <w:b/>
                <w:sz w:val="20"/>
                <w:szCs w:val="20"/>
              </w:rPr>
            </w:pPr>
            <w:r>
              <w:rPr>
                <w:b/>
                <w:sz w:val="20"/>
                <w:szCs w:val="20"/>
              </w:rPr>
              <w:t>Name and Contact Details</w:t>
            </w: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2A835" w14:textId="77777777" w:rsidR="0008104C" w:rsidRDefault="002067F4">
            <w:pPr>
              <w:pStyle w:val="Standard"/>
              <w:jc w:val="center"/>
              <w:rPr>
                <w:b/>
                <w:sz w:val="20"/>
                <w:szCs w:val="20"/>
              </w:rPr>
            </w:pPr>
            <w:r>
              <w:rPr>
                <w:b/>
                <w:sz w:val="20"/>
                <w:szCs w:val="20"/>
              </w:rPr>
              <w:t>Institution, Country</w:t>
            </w: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4BE141" w14:textId="77777777" w:rsidR="0008104C" w:rsidRDefault="002067F4">
            <w:pPr>
              <w:pStyle w:val="Standard"/>
              <w:jc w:val="center"/>
              <w:rPr>
                <w:b/>
                <w:sz w:val="20"/>
                <w:szCs w:val="20"/>
              </w:rPr>
            </w:pPr>
            <w:r>
              <w:rPr>
                <w:b/>
                <w:sz w:val="20"/>
                <w:szCs w:val="20"/>
              </w:rPr>
              <w:t>Email</w:t>
            </w:r>
          </w:p>
        </w:tc>
      </w:tr>
      <w:tr w:rsidR="0008104C" w:rsidRPr="00D97858" w14:paraId="56F03B52"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1A300E" w14:textId="77777777" w:rsidR="0008104C" w:rsidRDefault="009415BF" w:rsidP="00900EBB">
            <w:pPr>
              <w:pStyle w:val="Standard"/>
              <w:rPr>
                <w:sz w:val="20"/>
                <w:szCs w:val="20"/>
              </w:rPr>
            </w:pPr>
            <w:r w:rsidRPr="009415BF">
              <w:t xml:space="preserve">Mr 'Ofa FA'ANUNU </w:t>
            </w:r>
            <w:r w:rsidRPr="009415BF">
              <w:br/>
              <w:t>Director of Meteorological Service</w:t>
            </w:r>
            <w:r w:rsidRPr="009415BF">
              <w:br/>
              <w:t>Tonga Meteorological Services</w:t>
            </w:r>
            <w:r w:rsidRPr="009415BF">
              <w:br/>
              <w:t>P.O. Box 845</w:t>
            </w:r>
            <w:r w:rsidRPr="009415BF">
              <w:br/>
              <w:t>Nuku'Alofa</w:t>
            </w:r>
            <w:r w:rsidRPr="009415BF">
              <w:br/>
              <w:t>Tonga</w:t>
            </w:r>
            <w:r w:rsidRPr="009415BF">
              <w:br/>
            </w:r>
            <w:r>
              <w:t>Tel: +676 35123</w:t>
            </w:r>
            <w:r>
              <w:br/>
              <w:t>Fax: +676 28032</w:t>
            </w: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B2518B" w14:textId="77777777" w:rsidR="0008104C" w:rsidRDefault="009415BF">
            <w:pPr>
              <w:pStyle w:val="Standard"/>
              <w:rPr>
                <w:sz w:val="20"/>
                <w:szCs w:val="20"/>
              </w:rPr>
            </w:pPr>
            <w:r w:rsidRPr="009415BF">
              <w:rPr>
                <w:sz w:val="20"/>
                <w:szCs w:val="20"/>
              </w:rPr>
              <w:t>Tonga Meteorological Services</w:t>
            </w:r>
            <w:r>
              <w:rPr>
                <w:sz w:val="20"/>
                <w:szCs w:val="20"/>
              </w:rPr>
              <w:t>, Tonga</w:t>
            </w: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EF0DC5" w14:textId="77777777" w:rsidR="0008104C" w:rsidRDefault="009415BF">
            <w:pPr>
              <w:pStyle w:val="Standard"/>
              <w:rPr>
                <w:sz w:val="20"/>
                <w:szCs w:val="20"/>
              </w:rPr>
            </w:pPr>
            <w:r w:rsidRPr="009415BF">
              <w:t>ofaf@met.gov.to</w:t>
            </w:r>
          </w:p>
        </w:tc>
      </w:tr>
      <w:tr w:rsidR="0008104C" w:rsidRPr="0054212F" w14:paraId="64FDEC0D"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6E4942" w14:textId="77777777" w:rsidR="0054212F" w:rsidRPr="0054212F" w:rsidRDefault="0054212F" w:rsidP="0054212F">
            <w:pPr>
              <w:pStyle w:val="Standard"/>
              <w:rPr>
                <w:sz w:val="20"/>
                <w:szCs w:val="20"/>
              </w:rPr>
            </w:pPr>
            <w:r w:rsidRPr="0054212F">
              <w:rPr>
                <w:sz w:val="20"/>
                <w:szCs w:val="20"/>
              </w:rPr>
              <w:t>Jerome AUCAN</w:t>
            </w:r>
          </w:p>
          <w:p w14:paraId="28FD42F8" w14:textId="77777777" w:rsidR="0054212F" w:rsidRPr="0054212F" w:rsidRDefault="0054212F" w:rsidP="0054212F">
            <w:pPr>
              <w:pStyle w:val="Standard"/>
              <w:rPr>
                <w:sz w:val="20"/>
                <w:szCs w:val="20"/>
              </w:rPr>
            </w:pPr>
            <w:r w:rsidRPr="0054212F">
              <w:rPr>
                <w:sz w:val="20"/>
                <w:szCs w:val="20"/>
              </w:rPr>
              <w:t>Head – Pacific Community Center for Ocean Sciences</w:t>
            </w:r>
          </w:p>
          <w:p w14:paraId="16FEDD58" w14:textId="77777777" w:rsidR="0054212F" w:rsidRPr="0054212F" w:rsidRDefault="0054212F" w:rsidP="0054212F">
            <w:pPr>
              <w:pStyle w:val="Standard"/>
              <w:rPr>
                <w:sz w:val="20"/>
                <w:szCs w:val="20"/>
                <w:lang w:val="fr-FR"/>
              </w:rPr>
            </w:pPr>
            <w:r w:rsidRPr="0054212F">
              <w:rPr>
                <w:sz w:val="20"/>
                <w:szCs w:val="20"/>
                <w:lang w:val="fr-FR"/>
              </w:rPr>
              <w:t xml:space="preserve">Responsable – Centre de la Communauté du Pacifique pour les Sciences Océaniques </w:t>
            </w:r>
          </w:p>
          <w:p w14:paraId="642E7216" w14:textId="77777777" w:rsidR="0054212F" w:rsidRPr="0054212F" w:rsidRDefault="0054212F" w:rsidP="0054212F">
            <w:pPr>
              <w:pStyle w:val="Standard"/>
              <w:rPr>
                <w:sz w:val="20"/>
                <w:szCs w:val="20"/>
                <w:lang w:val="fr-FR"/>
              </w:rPr>
            </w:pPr>
            <w:r w:rsidRPr="0054212F">
              <w:rPr>
                <w:sz w:val="20"/>
                <w:szCs w:val="20"/>
                <w:lang w:val="fr-FR"/>
              </w:rPr>
              <w:t>Pacific Community | Communauté du Pacifique</w:t>
            </w:r>
          </w:p>
          <w:p w14:paraId="64DBA110" w14:textId="77777777" w:rsidR="0054212F" w:rsidRPr="0054212F" w:rsidRDefault="0054212F" w:rsidP="0054212F">
            <w:pPr>
              <w:pStyle w:val="Standard"/>
              <w:rPr>
                <w:sz w:val="20"/>
                <w:szCs w:val="20"/>
                <w:lang w:val="fr-FR"/>
              </w:rPr>
            </w:pPr>
            <w:r w:rsidRPr="0054212F">
              <w:rPr>
                <w:sz w:val="20"/>
                <w:szCs w:val="20"/>
                <w:lang w:val="fr-FR"/>
              </w:rPr>
              <w:t>CPS – B.P. D5 | 98848 Noumea, New Caledonia | Nouméa, Nouvelle-Calédonie</w:t>
            </w:r>
          </w:p>
          <w:p w14:paraId="10C71ACD" w14:textId="550C887A" w:rsidR="0008104C" w:rsidRDefault="0054212F" w:rsidP="0054212F">
            <w:pPr>
              <w:pStyle w:val="Standard"/>
              <w:rPr>
                <w:sz w:val="20"/>
                <w:szCs w:val="20"/>
              </w:rPr>
            </w:pPr>
            <w:r w:rsidRPr="0054212F">
              <w:rPr>
                <w:sz w:val="20"/>
                <w:szCs w:val="20"/>
              </w:rPr>
              <w:t>Tel: (687) 26 20 00 | Ext: 31124</w:t>
            </w: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5BD6D5" w14:textId="4C4135DB" w:rsidR="0008104C" w:rsidRPr="0054212F" w:rsidRDefault="0054212F" w:rsidP="00900EBB">
            <w:pPr>
              <w:pStyle w:val="Standard"/>
              <w:rPr>
                <w:sz w:val="20"/>
                <w:szCs w:val="20"/>
              </w:rPr>
            </w:pPr>
            <w:r w:rsidRPr="0054212F">
              <w:rPr>
                <w:sz w:val="20"/>
                <w:szCs w:val="20"/>
              </w:rPr>
              <w:t>Pacific Community Center for Ocean Sciences</w:t>
            </w: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D713B" w14:textId="72625F07" w:rsidR="0008104C" w:rsidRPr="0054212F" w:rsidRDefault="0054212F">
            <w:pPr>
              <w:pStyle w:val="Standard"/>
              <w:rPr>
                <w:sz w:val="20"/>
                <w:szCs w:val="20"/>
              </w:rPr>
            </w:pPr>
            <w:hyperlink r:id="rId7" w:history="1">
              <w:r w:rsidRPr="009258DB">
                <w:rPr>
                  <w:rStyle w:val="Hyperlink"/>
                  <w:sz w:val="20"/>
                  <w:szCs w:val="20"/>
                </w:rPr>
                <w:t>jeromea@spc.int</w:t>
              </w:r>
            </w:hyperlink>
          </w:p>
        </w:tc>
      </w:tr>
      <w:tr w:rsidR="0008104C" w:rsidRPr="00582BF3" w14:paraId="7F4B3685"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A2AFCE" w14:textId="77777777" w:rsidR="0054212F" w:rsidRPr="0054212F" w:rsidRDefault="0054212F" w:rsidP="0054212F">
            <w:pPr>
              <w:pStyle w:val="Standard"/>
              <w:rPr>
                <w:sz w:val="20"/>
                <w:szCs w:val="20"/>
              </w:rPr>
            </w:pPr>
            <w:r w:rsidRPr="0054212F">
              <w:rPr>
                <w:sz w:val="20"/>
                <w:szCs w:val="20"/>
              </w:rPr>
              <w:t>Mr. Mathew MOIHOI</w:t>
            </w:r>
          </w:p>
          <w:p w14:paraId="3EBAFD68" w14:textId="77777777" w:rsidR="0054212F" w:rsidRPr="0054212F" w:rsidRDefault="0054212F" w:rsidP="0054212F">
            <w:pPr>
              <w:pStyle w:val="Standard"/>
              <w:rPr>
                <w:sz w:val="20"/>
                <w:szCs w:val="20"/>
              </w:rPr>
            </w:pPr>
            <w:r w:rsidRPr="0054212F">
              <w:rPr>
                <w:sz w:val="20"/>
                <w:szCs w:val="20"/>
              </w:rPr>
              <w:t>Principal Seismologist – Port Moresby Geophysical Observatory</w:t>
            </w:r>
          </w:p>
          <w:p w14:paraId="26985AB8" w14:textId="77777777" w:rsidR="0054212F" w:rsidRPr="0054212F" w:rsidRDefault="0054212F" w:rsidP="0054212F">
            <w:pPr>
              <w:pStyle w:val="Standard"/>
              <w:rPr>
                <w:sz w:val="20"/>
                <w:szCs w:val="20"/>
              </w:rPr>
            </w:pPr>
            <w:r w:rsidRPr="0054212F">
              <w:rPr>
                <w:sz w:val="20"/>
                <w:szCs w:val="20"/>
              </w:rPr>
              <w:t>Tel: +6753214500</w:t>
            </w:r>
          </w:p>
          <w:p w14:paraId="3DDD19D0" w14:textId="77777777" w:rsidR="0054212F" w:rsidRPr="0054212F" w:rsidRDefault="0054212F" w:rsidP="0054212F">
            <w:pPr>
              <w:pStyle w:val="Standard"/>
              <w:rPr>
                <w:sz w:val="20"/>
                <w:szCs w:val="20"/>
              </w:rPr>
            </w:pPr>
            <w:r w:rsidRPr="0054212F">
              <w:rPr>
                <w:sz w:val="20"/>
                <w:szCs w:val="20"/>
              </w:rPr>
              <w:t>Fax: +6753213976</w:t>
            </w:r>
          </w:p>
          <w:p w14:paraId="77C8F461" w14:textId="77777777" w:rsidR="0054212F" w:rsidRPr="0054212F" w:rsidRDefault="0054212F" w:rsidP="0054212F">
            <w:pPr>
              <w:pStyle w:val="Standard"/>
              <w:rPr>
                <w:sz w:val="20"/>
                <w:szCs w:val="20"/>
              </w:rPr>
            </w:pPr>
            <w:r w:rsidRPr="0054212F">
              <w:rPr>
                <w:sz w:val="20"/>
                <w:szCs w:val="20"/>
              </w:rPr>
              <w:t>P.O. Box 323, Port Moresby, National Capital District</w:t>
            </w:r>
          </w:p>
          <w:p w14:paraId="7C55A63B" w14:textId="73542FD6" w:rsidR="0008104C" w:rsidRPr="0054212F" w:rsidRDefault="0054212F" w:rsidP="0054212F">
            <w:pPr>
              <w:pStyle w:val="Standard"/>
              <w:rPr>
                <w:sz w:val="20"/>
                <w:szCs w:val="20"/>
              </w:rPr>
            </w:pPr>
            <w:r w:rsidRPr="0054212F">
              <w:rPr>
                <w:sz w:val="20"/>
                <w:szCs w:val="20"/>
              </w:rPr>
              <w:t>PAPUA NEW GUINEA</w:t>
            </w: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D71AC5" w14:textId="32B5A5FE" w:rsidR="0008104C" w:rsidRPr="0054212F" w:rsidRDefault="0054212F">
            <w:pPr>
              <w:pStyle w:val="Standard"/>
              <w:rPr>
                <w:sz w:val="20"/>
                <w:szCs w:val="20"/>
              </w:rPr>
            </w:pPr>
            <w:r w:rsidRPr="0054212F">
              <w:rPr>
                <w:sz w:val="20"/>
                <w:szCs w:val="20"/>
              </w:rPr>
              <w:t>Port Moresby Geophysical Observatory</w:t>
            </w:r>
            <w:r>
              <w:rPr>
                <w:sz w:val="20"/>
                <w:szCs w:val="20"/>
              </w:rPr>
              <w:t>, Papua New Guinea</w:t>
            </w: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025A32" w14:textId="128FB425" w:rsidR="0054212F" w:rsidRPr="0054212F" w:rsidRDefault="00000000" w:rsidP="0054212F">
            <w:pPr>
              <w:pStyle w:val="Standard"/>
              <w:rPr>
                <w:sz w:val="20"/>
                <w:szCs w:val="20"/>
              </w:rPr>
            </w:pPr>
            <w:hyperlink r:id="rId8" w:history="1">
              <w:r w:rsidR="0054212F" w:rsidRPr="009258DB">
                <w:rPr>
                  <w:rStyle w:val="Hyperlink"/>
                  <w:sz w:val="20"/>
                  <w:szCs w:val="20"/>
                </w:rPr>
                <w:t>mathew_moihoi@mineral.gov.pg</w:t>
              </w:r>
            </w:hyperlink>
            <w:r w:rsidR="0054212F">
              <w:rPr>
                <w:sz w:val="20"/>
                <w:szCs w:val="20"/>
              </w:rPr>
              <w:t xml:space="preserve"> </w:t>
            </w:r>
            <w:hyperlink r:id="rId9" w:history="1">
              <w:r w:rsidR="0054212F" w:rsidRPr="009258DB">
                <w:rPr>
                  <w:rStyle w:val="Hyperlink"/>
                  <w:sz w:val="20"/>
                  <w:szCs w:val="20"/>
                </w:rPr>
                <w:t>pmgo@daltron.com.pg</w:t>
              </w:r>
            </w:hyperlink>
            <w:r w:rsidR="0054212F">
              <w:rPr>
                <w:sz w:val="20"/>
                <w:szCs w:val="20"/>
              </w:rPr>
              <w:t xml:space="preserve"> </w:t>
            </w:r>
          </w:p>
          <w:p w14:paraId="632AE2C9" w14:textId="77777777" w:rsidR="0008104C" w:rsidRPr="0054212F" w:rsidRDefault="0008104C">
            <w:pPr>
              <w:pStyle w:val="Standard"/>
              <w:rPr>
                <w:sz w:val="20"/>
                <w:szCs w:val="20"/>
              </w:rPr>
            </w:pPr>
          </w:p>
        </w:tc>
      </w:tr>
      <w:tr w:rsidR="0008104C" w:rsidRPr="000025D4" w14:paraId="5A527FBB"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9C9CE3" w14:textId="77777777" w:rsidR="0008104C" w:rsidRDefault="000025D4">
            <w:pPr>
              <w:pStyle w:val="Standard"/>
              <w:rPr>
                <w:sz w:val="20"/>
                <w:szCs w:val="20"/>
              </w:rPr>
            </w:pPr>
            <w:r>
              <w:rPr>
                <w:sz w:val="20"/>
                <w:szCs w:val="20"/>
              </w:rPr>
              <w:t>Celine BARRE</w:t>
            </w:r>
          </w:p>
          <w:p w14:paraId="7636D076" w14:textId="7A69B70F" w:rsidR="000025D4" w:rsidRDefault="000025D4">
            <w:pPr>
              <w:pStyle w:val="Standard"/>
              <w:rPr>
                <w:sz w:val="20"/>
                <w:szCs w:val="20"/>
              </w:rPr>
            </w:pPr>
            <w:r>
              <w:rPr>
                <w:sz w:val="20"/>
                <w:szCs w:val="20"/>
              </w:rPr>
              <w:t>France – NC</w:t>
            </w:r>
          </w:p>
          <w:p w14:paraId="0377960A" w14:textId="528FEAFD" w:rsidR="000025D4" w:rsidRPr="0054212F" w:rsidRDefault="000025D4">
            <w:pPr>
              <w:pStyle w:val="Standard"/>
              <w:rPr>
                <w:sz w:val="20"/>
                <w:szCs w:val="20"/>
              </w:rPr>
            </w:pP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C3ABB7" w14:textId="77777777" w:rsidR="0008104C" w:rsidRPr="0054212F" w:rsidRDefault="0008104C">
            <w:pPr>
              <w:pStyle w:val="Standard"/>
              <w:rPr>
                <w:sz w:val="20"/>
                <w:szCs w:val="20"/>
              </w:rPr>
            </w:pP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9F5A27" w14:textId="77777777" w:rsidR="0008104C" w:rsidRPr="0054212F" w:rsidRDefault="0008104C">
            <w:pPr>
              <w:pStyle w:val="Standard"/>
              <w:rPr>
                <w:sz w:val="20"/>
                <w:szCs w:val="20"/>
              </w:rPr>
            </w:pPr>
          </w:p>
        </w:tc>
      </w:tr>
      <w:tr w:rsidR="0008104C" w:rsidRPr="000025D4" w14:paraId="4CD85910" w14:textId="77777777">
        <w:tc>
          <w:tcPr>
            <w:tcW w:w="3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B02A0" w14:textId="77777777" w:rsidR="0008104C" w:rsidRPr="0054212F" w:rsidRDefault="0008104C">
            <w:pPr>
              <w:pStyle w:val="Standard"/>
              <w:rPr>
                <w:sz w:val="20"/>
                <w:szCs w:val="20"/>
              </w:rPr>
            </w:pPr>
          </w:p>
        </w:tc>
        <w:tc>
          <w:tcPr>
            <w:tcW w:w="20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A077DD" w14:textId="77777777" w:rsidR="0008104C" w:rsidRPr="0054212F" w:rsidRDefault="0008104C">
            <w:pPr>
              <w:pStyle w:val="Standard"/>
              <w:rPr>
                <w:sz w:val="20"/>
                <w:szCs w:val="20"/>
              </w:rPr>
            </w:pPr>
          </w:p>
        </w:tc>
        <w:tc>
          <w:tcPr>
            <w:tcW w:w="32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3148E" w14:textId="77777777" w:rsidR="0008104C" w:rsidRPr="0054212F" w:rsidRDefault="0008104C">
            <w:pPr>
              <w:pStyle w:val="Standard"/>
              <w:rPr>
                <w:sz w:val="20"/>
                <w:szCs w:val="20"/>
              </w:rPr>
            </w:pPr>
          </w:p>
        </w:tc>
      </w:tr>
    </w:tbl>
    <w:p w14:paraId="22DD8D9C" w14:textId="77777777" w:rsidR="0008104C" w:rsidRPr="0054212F" w:rsidRDefault="0008104C">
      <w:pPr>
        <w:pStyle w:val="Standard"/>
      </w:pPr>
    </w:p>
    <w:sectPr w:rsidR="0008104C" w:rsidRPr="0054212F">
      <w:pgSz w:w="12240" w:h="15840"/>
      <w:pgMar w:top="719" w:right="1800" w:bottom="5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CA1D" w14:textId="77777777" w:rsidR="0098238C" w:rsidRDefault="0098238C">
      <w:r>
        <w:separator/>
      </w:r>
    </w:p>
  </w:endnote>
  <w:endnote w:type="continuationSeparator" w:id="0">
    <w:p w14:paraId="1F62F5A2" w14:textId="77777777" w:rsidR="0098238C" w:rsidRDefault="0098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B630" w14:textId="77777777" w:rsidR="0098238C" w:rsidRDefault="0098238C">
      <w:r>
        <w:rPr>
          <w:color w:val="000000"/>
        </w:rPr>
        <w:separator/>
      </w:r>
    </w:p>
  </w:footnote>
  <w:footnote w:type="continuationSeparator" w:id="0">
    <w:p w14:paraId="011A6B14" w14:textId="77777777" w:rsidR="0098238C" w:rsidRDefault="00982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DD"/>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0024B9"/>
    <w:multiLevelType w:val="multilevel"/>
    <w:tmpl w:val="ED989AA8"/>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1B0636D"/>
    <w:multiLevelType w:val="multilevel"/>
    <w:tmpl w:val="27C40B9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4B693C95"/>
    <w:multiLevelType w:val="multilevel"/>
    <w:tmpl w:val="AD5EA36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4F996337"/>
    <w:multiLevelType w:val="multilevel"/>
    <w:tmpl w:val="0BF8A6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53996ACB"/>
    <w:multiLevelType w:val="hybridMultilevel"/>
    <w:tmpl w:val="7EACE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D31330"/>
    <w:multiLevelType w:val="hybridMultilevel"/>
    <w:tmpl w:val="B3F43C7C"/>
    <w:lvl w:ilvl="0" w:tplc="040C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578B3A8B"/>
    <w:multiLevelType w:val="multilevel"/>
    <w:tmpl w:val="56CAF6E6"/>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725629B8"/>
    <w:multiLevelType w:val="hybridMultilevel"/>
    <w:tmpl w:val="B3F43C7C"/>
    <w:lvl w:ilvl="0" w:tplc="040C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780A636E"/>
    <w:multiLevelType w:val="multilevel"/>
    <w:tmpl w:val="61AEAAD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79753DF0"/>
    <w:multiLevelType w:val="multilevel"/>
    <w:tmpl w:val="DF36CC02"/>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472255379">
    <w:abstractNumId w:val="9"/>
  </w:num>
  <w:num w:numId="2" w16cid:durableId="1566523250">
    <w:abstractNumId w:val="7"/>
  </w:num>
  <w:num w:numId="3" w16cid:durableId="147677616">
    <w:abstractNumId w:val="2"/>
  </w:num>
  <w:num w:numId="4" w16cid:durableId="1253855785">
    <w:abstractNumId w:val="4"/>
  </w:num>
  <w:num w:numId="5" w16cid:durableId="1545940990">
    <w:abstractNumId w:val="1"/>
  </w:num>
  <w:num w:numId="6" w16cid:durableId="1683319063">
    <w:abstractNumId w:val="3"/>
  </w:num>
  <w:num w:numId="7" w16cid:durableId="1887184683">
    <w:abstractNumId w:val="10"/>
  </w:num>
  <w:num w:numId="8" w16cid:durableId="946542658">
    <w:abstractNumId w:val="3"/>
    <w:lvlOverride w:ilvl="0">
      <w:startOverride w:val="1"/>
    </w:lvlOverride>
  </w:num>
  <w:num w:numId="9" w16cid:durableId="63332293">
    <w:abstractNumId w:val="8"/>
  </w:num>
  <w:num w:numId="10" w16cid:durableId="1669864951">
    <w:abstractNumId w:val="6"/>
  </w:num>
  <w:num w:numId="11" w16cid:durableId="1627933638">
    <w:abstractNumId w:val="5"/>
  </w:num>
  <w:num w:numId="12" w16cid:durableId="29040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4C"/>
    <w:rsid w:val="000025D4"/>
    <w:rsid w:val="000753E5"/>
    <w:rsid w:val="0008104C"/>
    <w:rsid w:val="001D09A2"/>
    <w:rsid w:val="002067F4"/>
    <w:rsid w:val="0039322E"/>
    <w:rsid w:val="0054212F"/>
    <w:rsid w:val="00582BF3"/>
    <w:rsid w:val="0062611A"/>
    <w:rsid w:val="00900EBB"/>
    <w:rsid w:val="009415BF"/>
    <w:rsid w:val="0098238C"/>
    <w:rsid w:val="009B1410"/>
    <w:rsid w:val="00B5616F"/>
    <w:rsid w:val="00BE29DF"/>
    <w:rsid w:val="00C80F2E"/>
    <w:rsid w:val="00D12A2C"/>
    <w:rsid w:val="00D97858"/>
    <w:rsid w:val="00E030F5"/>
    <w:rsid w:val="00E435AA"/>
    <w:rsid w:val="00EE7D23"/>
    <w:rsid w:val="00F46B3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14284"/>
  <w15:docId w15:val="{CFBFADA3-C19B-435A-B372-630C7D4B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lang w:val="en-US" w:eastAsia="ja-JP"/>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25">
    <w:name w:val="WWNum25"/>
    <w:basedOn w:val="NoList"/>
    <w:pPr>
      <w:numPr>
        <w:numId w:val="7"/>
      </w:numPr>
    </w:pPr>
  </w:style>
  <w:style w:type="character" w:styleId="Hyperlink">
    <w:name w:val="Hyperlink"/>
    <w:basedOn w:val="DefaultParagraphFont"/>
    <w:uiPriority w:val="99"/>
    <w:unhideWhenUsed/>
    <w:rsid w:val="009415BF"/>
    <w:rPr>
      <w:color w:val="0000FF" w:themeColor="hyperlink"/>
      <w:u w:val="single"/>
    </w:rPr>
  </w:style>
  <w:style w:type="paragraph" w:styleId="Header">
    <w:name w:val="header"/>
    <w:basedOn w:val="Normal"/>
    <w:link w:val="HeaderChar"/>
    <w:uiPriority w:val="99"/>
    <w:unhideWhenUsed/>
    <w:rsid w:val="000753E5"/>
    <w:pPr>
      <w:tabs>
        <w:tab w:val="center" w:pos="4536"/>
        <w:tab w:val="right" w:pos="9072"/>
      </w:tabs>
    </w:pPr>
  </w:style>
  <w:style w:type="character" w:customStyle="1" w:styleId="HeaderChar">
    <w:name w:val="Header Char"/>
    <w:basedOn w:val="DefaultParagraphFont"/>
    <w:link w:val="Header"/>
    <w:uiPriority w:val="99"/>
    <w:rsid w:val="000753E5"/>
  </w:style>
  <w:style w:type="paragraph" w:styleId="Footer">
    <w:name w:val="footer"/>
    <w:basedOn w:val="Normal"/>
    <w:link w:val="FooterChar"/>
    <w:uiPriority w:val="99"/>
    <w:unhideWhenUsed/>
    <w:rsid w:val="000753E5"/>
    <w:pPr>
      <w:tabs>
        <w:tab w:val="center" w:pos="4536"/>
        <w:tab w:val="right" w:pos="9072"/>
      </w:tabs>
    </w:pPr>
  </w:style>
  <w:style w:type="character" w:customStyle="1" w:styleId="FooterChar">
    <w:name w:val="Footer Char"/>
    <w:basedOn w:val="DefaultParagraphFont"/>
    <w:link w:val="Footer"/>
    <w:uiPriority w:val="99"/>
    <w:rsid w:val="000753E5"/>
  </w:style>
  <w:style w:type="character" w:styleId="UnresolvedMention">
    <w:name w:val="Unresolved Mention"/>
    <w:basedOn w:val="DefaultParagraphFont"/>
    <w:uiPriority w:val="99"/>
    <w:semiHidden/>
    <w:unhideWhenUsed/>
    <w:rsid w:val="00542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hew_moihoi@mineral.gov.pg" TargetMode="External"/><Relationship Id="rId3" Type="http://schemas.openxmlformats.org/officeDocument/2006/relationships/settings" Target="settings.xml"/><Relationship Id="rId7" Type="http://schemas.openxmlformats.org/officeDocument/2006/relationships/hyperlink" Target="mailto:jeromea@sp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mgo@daltron.com.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FACT SHEET Working Group One:</vt:lpstr>
    </vt:vector>
  </TitlesOfParts>
  <Company>Microsoft</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Working Group One:</dc:title>
  <dc:creator>b_aliaga</dc:creator>
  <cp:lastModifiedBy>Aliaga, Bernardo</cp:lastModifiedBy>
  <cp:revision>3</cp:revision>
  <dcterms:created xsi:type="dcterms:W3CDTF">2023-09-05T10:26:00Z</dcterms:created>
  <dcterms:modified xsi:type="dcterms:W3CDTF">2023-09-05T10:26:00Z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UNESCO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