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E323BE3" w14:textId="77777777">
        <w:trPr>
          <w:jc w:val="center"/>
        </w:trPr>
        <w:tc>
          <w:tcPr>
            <w:tcW w:w="7654" w:type="dxa"/>
            <w:tcMar>
              <w:top w:w="170" w:type="dxa"/>
              <w:left w:w="170" w:type="dxa"/>
              <w:bottom w:w="170" w:type="dxa"/>
              <w:right w:w="170" w:type="dxa"/>
            </w:tcMar>
          </w:tcPr>
          <w:p w14:paraId="4AAC7FCF" w14:textId="77777777" w:rsidR="00467E3F" w:rsidRPr="007278D3" w:rsidRDefault="00B83068" w:rsidP="00853565">
            <w:pPr>
              <w:pStyle w:val="Marge"/>
              <w:jc w:val="center"/>
              <w:rPr>
                <w:rFonts w:cs="Arial"/>
                <w:szCs w:val="22"/>
              </w:rPr>
            </w:pPr>
            <w:r w:rsidRPr="007278D3">
              <w:rPr>
                <w:rFonts w:cs="Arial"/>
                <w:szCs w:val="22"/>
                <w:u w:val="single"/>
              </w:rPr>
              <w:t>Summary</w:t>
            </w:r>
          </w:p>
          <w:p w14:paraId="56B00256" w14:textId="5E97BB60" w:rsidR="00467E3F" w:rsidRPr="007278D3" w:rsidRDefault="002E5149" w:rsidP="00236842">
            <w:pPr>
              <w:pStyle w:val="Marge"/>
              <w:rPr>
                <w:rFonts w:cs="Arial"/>
                <w:szCs w:val="22"/>
              </w:rPr>
            </w:pPr>
            <w:r>
              <w:rPr>
                <w:rFonts w:cs="Arial"/>
                <w:szCs w:val="22"/>
              </w:rPr>
              <w:t>This d</w:t>
            </w:r>
            <w:r w:rsidR="00467E3F" w:rsidRPr="007278D3">
              <w:rPr>
                <w:rFonts w:cs="Arial"/>
                <w:szCs w:val="22"/>
              </w:rPr>
              <w:t xml:space="preserve">ocument </w:t>
            </w:r>
            <w:r>
              <w:rPr>
                <w:rFonts w:cs="Arial"/>
                <w:szCs w:val="22"/>
              </w:rPr>
              <w:t xml:space="preserve">was </w:t>
            </w:r>
            <w:r w:rsidR="00467E3F" w:rsidRPr="007278D3">
              <w:rPr>
                <w:rFonts w:cs="Arial"/>
                <w:szCs w:val="22"/>
              </w:rPr>
              <w:t xml:space="preserve">prepared in response to </w:t>
            </w:r>
            <w:r>
              <w:rPr>
                <w:rFonts w:cs="Arial"/>
                <w:szCs w:val="22"/>
              </w:rPr>
              <w:t xml:space="preserve">the </w:t>
            </w:r>
            <w:r w:rsidR="00467E3F" w:rsidRPr="007278D3">
              <w:rPr>
                <w:rFonts w:cs="Arial"/>
                <w:szCs w:val="22"/>
              </w:rPr>
              <w:t xml:space="preserve">Decision </w:t>
            </w:r>
            <w:r w:rsidR="00310D61" w:rsidRPr="007278D3">
              <w:rPr>
                <w:rFonts w:cs="Arial"/>
                <w:szCs w:val="22"/>
              </w:rPr>
              <w:t>IOC/</w:t>
            </w:r>
            <w:r w:rsidR="00AC545D">
              <w:rPr>
                <w:rFonts w:cs="Arial"/>
                <w:szCs w:val="22"/>
              </w:rPr>
              <w:t>A-32/4.2</w:t>
            </w:r>
            <w:r w:rsidR="00310D61" w:rsidRPr="007278D3">
              <w:rPr>
                <w:rFonts w:cs="Arial"/>
                <w:szCs w:val="22"/>
              </w:rPr>
              <w:t xml:space="preserve"> </w:t>
            </w:r>
            <w:r w:rsidR="00A27B7B">
              <w:rPr>
                <w:rFonts w:cs="Arial"/>
                <w:szCs w:val="22"/>
              </w:rPr>
              <w:t xml:space="preserve">(2022) </w:t>
            </w:r>
            <w:r w:rsidR="00AC545D">
              <w:rPr>
                <w:rFonts w:cs="Arial"/>
                <w:szCs w:val="22"/>
              </w:rPr>
              <w:t>requesting</w:t>
            </w:r>
            <w:r w:rsidR="00AC545D" w:rsidRPr="007278D3">
              <w:rPr>
                <w:rFonts w:cs="Arial"/>
                <w:szCs w:val="22"/>
              </w:rPr>
              <w:t xml:space="preserve"> </w:t>
            </w:r>
            <w:r w:rsidR="00310D61" w:rsidRPr="007278D3">
              <w:rPr>
                <w:rFonts w:cs="Arial"/>
                <w:szCs w:val="22"/>
              </w:rPr>
              <w:t xml:space="preserve">the IOC Secretariat </w:t>
            </w:r>
            <w:r w:rsidR="00AC545D" w:rsidRPr="00AC545D">
              <w:rPr>
                <w:rFonts w:cs="Arial"/>
                <w:szCs w:val="22"/>
              </w:rPr>
              <w:t xml:space="preserve">to provide a report on the second edition of the </w:t>
            </w:r>
            <w:proofErr w:type="spellStart"/>
            <w:r w:rsidR="00AC545D" w:rsidRPr="00AC545D">
              <w:rPr>
                <w:rFonts w:cs="Arial"/>
                <w:szCs w:val="22"/>
              </w:rPr>
              <w:t>StOR</w:t>
            </w:r>
            <w:proofErr w:type="spellEnd"/>
            <w:r w:rsidR="00AC545D" w:rsidRPr="00AC545D">
              <w:rPr>
                <w:rFonts w:cs="Arial"/>
                <w:szCs w:val="22"/>
              </w:rPr>
              <w:t xml:space="preserve"> to the IOC Executive Council at its the 57th Session for Member States review and additional guidance</w:t>
            </w:r>
            <w:r w:rsidR="00664499">
              <w:rPr>
                <w:rFonts w:cs="Arial"/>
                <w:szCs w:val="22"/>
              </w:rPr>
              <w:t>.</w:t>
            </w:r>
            <w:r w:rsidR="00310D61" w:rsidRPr="007278D3">
              <w:rPr>
                <w:rFonts w:cs="Arial"/>
                <w:szCs w:val="22"/>
              </w:rPr>
              <w:t xml:space="preserve"> </w:t>
            </w:r>
            <w:r w:rsidR="00B52B28">
              <w:rPr>
                <w:rFonts w:cs="Arial"/>
                <w:szCs w:val="22"/>
              </w:rPr>
              <w:t xml:space="preserve">This document presents the most updated concept note for </w:t>
            </w:r>
            <w:proofErr w:type="spellStart"/>
            <w:r w:rsidR="00B52B28">
              <w:rPr>
                <w:rFonts w:cs="Arial"/>
                <w:szCs w:val="22"/>
              </w:rPr>
              <w:t>StOR</w:t>
            </w:r>
            <w:proofErr w:type="spellEnd"/>
            <w:r w:rsidR="00B52B28">
              <w:rPr>
                <w:rFonts w:cs="Arial"/>
                <w:szCs w:val="22"/>
              </w:rPr>
              <w:t xml:space="preserve">. </w:t>
            </w:r>
          </w:p>
          <w:p w14:paraId="39568ACA" w14:textId="7DFC3FCB" w:rsidR="00413F17" w:rsidRPr="007278D3" w:rsidRDefault="00310D61" w:rsidP="00236842">
            <w:pPr>
              <w:pStyle w:val="Marge"/>
              <w:rPr>
                <w:rFonts w:cs="Arial"/>
                <w:szCs w:val="22"/>
              </w:rPr>
            </w:pPr>
            <w:r w:rsidRPr="007278D3">
              <w:rPr>
                <w:rFonts w:cs="Arial"/>
                <w:szCs w:val="22"/>
              </w:rPr>
              <w:t xml:space="preserve">The IOC </w:t>
            </w:r>
            <w:r w:rsidR="00D376D2">
              <w:rPr>
                <w:rFonts w:cs="Arial"/>
                <w:szCs w:val="22"/>
              </w:rPr>
              <w:t xml:space="preserve">Executive Council </w:t>
            </w:r>
            <w:r w:rsidRPr="007278D3">
              <w:rPr>
                <w:rFonts w:cs="Arial"/>
                <w:szCs w:val="22"/>
              </w:rPr>
              <w:t xml:space="preserve">is invited to </w:t>
            </w:r>
            <w:r w:rsidR="005578D0">
              <w:rPr>
                <w:rFonts w:cs="Arial"/>
                <w:szCs w:val="22"/>
              </w:rPr>
              <w:t xml:space="preserve">review and </w:t>
            </w:r>
            <w:r w:rsidR="00014648" w:rsidRPr="007278D3">
              <w:rPr>
                <w:rFonts w:cs="Arial"/>
                <w:szCs w:val="22"/>
              </w:rPr>
              <w:t xml:space="preserve">endorse </w:t>
            </w:r>
            <w:r w:rsidR="005578D0">
              <w:rPr>
                <w:rFonts w:cs="Arial"/>
                <w:szCs w:val="22"/>
              </w:rPr>
              <w:t xml:space="preserve">the publication of the </w:t>
            </w:r>
            <w:proofErr w:type="spellStart"/>
            <w:r w:rsidR="005578D0">
              <w:rPr>
                <w:rFonts w:cs="Arial"/>
                <w:szCs w:val="22"/>
              </w:rPr>
              <w:t>StOR</w:t>
            </w:r>
            <w:proofErr w:type="spellEnd"/>
            <w:r w:rsidR="005578D0">
              <w:rPr>
                <w:rFonts w:cs="Arial"/>
                <w:szCs w:val="22"/>
              </w:rPr>
              <w:t xml:space="preserve"> on a regular basis</w:t>
            </w:r>
            <w:r w:rsidRPr="007278D3">
              <w:rPr>
                <w:rFonts w:cs="Arial"/>
                <w:szCs w:val="22"/>
              </w:rPr>
              <w:t>.</w:t>
            </w:r>
            <w:r w:rsidR="00167158" w:rsidRPr="007278D3">
              <w:rPr>
                <w:rFonts w:cs="Arial"/>
                <w:szCs w:val="22"/>
              </w:rPr>
              <w:t xml:space="preserve"> </w:t>
            </w:r>
            <w:r w:rsidR="00842BEB">
              <w:rPr>
                <w:rFonts w:cs="Arial"/>
                <w:szCs w:val="22"/>
              </w:rPr>
              <w:t xml:space="preserve">Annexes remain in English only. </w:t>
            </w:r>
          </w:p>
          <w:p w14:paraId="4817304A" w14:textId="0074CBA9" w:rsidR="00467E3F" w:rsidRPr="007278D3" w:rsidRDefault="00467E3F" w:rsidP="00236842">
            <w:pPr>
              <w:pStyle w:val="Marge"/>
              <w:rPr>
                <w:rFonts w:cs="Arial"/>
                <w:szCs w:val="22"/>
              </w:rPr>
            </w:pPr>
            <w:r w:rsidRPr="007278D3">
              <w:rPr>
                <w:rFonts w:cs="Arial"/>
                <w:szCs w:val="22"/>
                <w:u w:val="single"/>
              </w:rPr>
              <w:t>Financial and administrative implications</w:t>
            </w:r>
            <w:r w:rsidR="00A27B7B">
              <w:rPr>
                <w:rFonts w:cs="Arial"/>
                <w:szCs w:val="22"/>
              </w:rPr>
              <w:t xml:space="preserve">: </w:t>
            </w:r>
            <w:r w:rsidRPr="007278D3">
              <w:rPr>
                <w:rFonts w:cs="Arial"/>
                <w:szCs w:val="22"/>
              </w:rPr>
              <w:t xml:space="preserve">paragraphs </w:t>
            </w:r>
            <w:r w:rsidR="00FC7176">
              <w:rPr>
                <w:rFonts w:cs="Arial"/>
                <w:szCs w:val="22"/>
              </w:rPr>
              <w:t>2</w:t>
            </w:r>
            <w:r w:rsidR="009F59FF">
              <w:rPr>
                <w:rFonts w:cs="Arial"/>
                <w:szCs w:val="22"/>
              </w:rPr>
              <w:t>2</w:t>
            </w:r>
            <w:r w:rsidR="00FC7176">
              <w:rPr>
                <w:rFonts w:cs="Arial"/>
                <w:szCs w:val="22"/>
              </w:rPr>
              <w:t xml:space="preserve"> </w:t>
            </w:r>
            <w:r w:rsidR="00310D61" w:rsidRPr="00A67449">
              <w:rPr>
                <w:rFonts w:cs="Arial"/>
                <w:szCs w:val="22"/>
              </w:rPr>
              <w:t xml:space="preserve">and </w:t>
            </w:r>
            <w:r w:rsidR="005A361A">
              <w:rPr>
                <w:rFonts w:cs="Arial"/>
                <w:szCs w:val="22"/>
              </w:rPr>
              <w:t>2</w:t>
            </w:r>
            <w:r w:rsidR="009F59FF">
              <w:rPr>
                <w:rFonts w:cs="Arial"/>
                <w:szCs w:val="22"/>
              </w:rPr>
              <w:t>3</w:t>
            </w:r>
            <w:r w:rsidR="00310D61" w:rsidRPr="007278D3">
              <w:rPr>
                <w:rFonts w:cs="Arial"/>
                <w:szCs w:val="22"/>
              </w:rPr>
              <w:t>.</w:t>
            </w:r>
          </w:p>
          <w:p w14:paraId="079B5C57" w14:textId="0F58D569" w:rsidR="00737A18" w:rsidRPr="00467E3F" w:rsidRDefault="00413F17" w:rsidP="009F5D50">
            <w:pPr>
              <w:pStyle w:val="Marge"/>
              <w:spacing w:after="120"/>
              <w:rPr>
                <w:rFonts w:cs="Arial"/>
                <w:szCs w:val="22"/>
              </w:rPr>
            </w:pPr>
            <w:r w:rsidRPr="007278D3">
              <w:rPr>
                <w:rFonts w:cs="Arial"/>
                <w:szCs w:val="22"/>
                <w:u w:val="single"/>
              </w:rPr>
              <w:t>The proposed decision</w:t>
            </w:r>
            <w:r w:rsidR="00467E3F" w:rsidRPr="007278D3">
              <w:rPr>
                <w:rFonts w:cs="Arial"/>
                <w:szCs w:val="22"/>
              </w:rPr>
              <w:t xml:space="preserve"> </w:t>
            </w:r>
            <w:r w:rsidR="00853565" w:rsidRPr="007278D3">
              <w:rPr>
                <w:rFonts w:cs="Arial"/>
                <w:szCs w:val="22"/>
              </w:rPr>
              <w:t xml:space="preserve">is referenced </w:t>
            </w:r>
            <w:r w:rsidR="005578D0">
              <w:rPr>
                <w:lang w:val="en-US"/>
              </w:rPr>
              <w:t>EC</w:t>
            </w:r>
            <w:r w:rsidR="00664499">
              <w:rPr>
                <w:lang w:val="en-US"/>
              </w:rPr>
              <w:t>-</w:t>
            </w:r>
            <w:r w:rsidR="005578D0">
              <w:rPr>
                <w:lang w:val="en-US"/>
              </w:rPr>
              <w:t>57/</w:t>
            </w:r>
            <w:r w:rsidR="00664499">
              <w:rPr>
                <w:lang w:val="en-US"/>
              </w:rPr>
              <w:t>Dec.</w:t>
            </w:r>
            <w:r w:rsidR="005578D0">
              <w:rPr>
                <w:lang w:val="en-US"/>
              </w:rPr>
              <w:t>4.5</w:t>
            </w:r>
            <w:r w:rsidR="00853565" w:rsidRPr="007278D3">
              <w:rPr>
                <w:rFonts w:cs="Arial"/>
                <w:szCs w:val="22"/>
              </w:rPr>
              <w:t xml:space="preserve"> </w:t>
            </w:r>
            <w:r w:rsidR="00467E3F" w:rsidRPr="007278D3">
              <w:rPr>
                <w:rFonts w:cs="Arial"/>
                <w:szCs w:val="22"/>
              </w:rPr>
              <w:t xml:space="preserve">in </w:t>
            </w:r>
            <w:r w:rsidR="00853565" w:rsidRPr="007278D3">
              <w:rPr>
                <w:rFonts w:cs="Arial"/>
                <w:szCs w:val="22"/>
              </w:rPr>
              <w:t xml:space="preserve">the </w:t>
            </w:r>
            <w:r w:rsidR="00C4032B" w:rsidRPr="007278D3">
              <w:rPr>
                <w:rFonts w:cs="Arial"/>
                <w:szCs w:val="22"/>
              </w:rPr>
              <w:t>Action Paper</w:t>
            </w:r>
            <w:r w:rsidR="00853565" w:rsidRPr="007278D3">
              <w:rPr>
                <w:rFonts w:cs="Arial"/>
                <w:szCs w:val="22"/>
              </w:rPr>
              <w:t xml:space="preserve"> (document </w:t>
            </w:r>
            <w:r w:rsidR="00310D61" w:rsidRPr="007278D3">
              <w:rPr>
                <w:rFonts w:cs="Arial"/>
                <w:szCs w:val="22"/>
              </w:rPr>
              <w:t>IOC</w:t>
            </w:r>
            <w:r w:rsidR="005578D0">
              <w:rPr>
                <w:rFonts w:cs="Arial"/>
                <w:szCs w:val="22"/>
              </w:rPr>
              <w:t>/EC</w:t>
            </w:r>
            <w:r w:rsidR="00310D61" w:rsidRPr="007278D3">
              <w:rPr>
                <w:rFonts w:cs="Arial"/>
                <w:szCs w:val="22"/>
              </w:rPr>
              <w:t>-</w:t>
            </w:r>
            <w:r w:rsidR="005578D0">
              <w:rPr>
                <w:rFonts w:cs="Arial"/>
                <w:szCs w:val="22"/>
              </w:rPr>
              <w:t>57</w:t>
            </w:r>
            <w:r w:rsidR="00310D61" w:rsidRPr="007278D3">
              <w:rPr>
                <w:rFonts w:cs="Arial"/>
                <w:szCs w:val="22"/>
              </w:rPr>
              <w:t>/AP Prov.</w:t>
            </w:r>
            <w:r w:rsidR="00853565" w:rsidRPr="007278D3">
              <w:rPr>
                <w:rFonts w:cs="Arial"/>
                <w:szCs w:val="22"/>
              </w:rPr>
              <w:t>)</w:t>
            </w:r>
          </w:p>
        </w:tc>
      </w:tr>
    </w:tbl>
    <w:p w14:paraId="64A23476" w14:textId="77777777" w:rsidR="00664499" w:rsidRDefault="00664499" w:rsidP="00B5651F">
      <w:pPr>
        <w:pStyle w:val="Heading3"/>
      </w:pPr>
    </w:p>
    <w:p w14:paraId="102ACB07" w14:textId="77777777" w:rsidR="00664499" w:rsidRDefault="00664499">
      <w:pPr>
        <w:tabs>
          <w:tab w:val="clear" w:pos="567"/>
        </w:tabs>
        <w:snapToGrid/>
        <w:rPr>
          <w:rFonts w:eastAsia="Arial Unicode MS"/>
          <w:b/>
          <w:bCs/>
          <w:szCs w:val="22"/>
        </w:rPr>
      </w:pPr>
      <w:r>
        <w:br w:type="page"/>
      </w:r>
    </w:p>
    <w:p w14:paraId="124021FF" w14:textId="3DC380A3" w:rsidR="00737A18" w:rsidRDefault="009026D3" w:rsidP="00B5651F">
      <w:pPr>
        <w:pStyle w:val="Heading3"/>
      </w:pPr>
      <w:r>
        <w:lastRenderedPageBreak/>
        <w:t>Introduction</w:t>
      </w:r>
    </w:p>
    <w:p w14:paraId="4490042A" w14:textId="77777777" w:rsidR="008A6268" w:rsidRPr="00236842" w:rsidRDefault="008A6268"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In recent years, a renewed focus on the world’s ocean and appreciation of its crucial role for life on Earth, the global climate, food security, human </w:t>
      </w:r>
      <w:proofErr w:type="gramStart"/>
      <w:r w:rsidRPr="00236842">
        <w:rPr>
          <w:rFonts w:asciiTheme="minorBidi" w:hAnsiTheme="minorBidi" w:cstheme="minorBidi"/>
          <w:color w:val="000000"/>
          <w:sz w:val="22"/>
          <w:szCs w:val="22"/>
          <w:lang w:val="en-US"/>
        </w:rPr>
        <w:t>health</w:t>
      </w:r>
      <w:proofErr w:type="gramEnd"/>
      <w:r w:rsidRPr="00236842">
        <w:rPr>
          <w:rFonts w:asciiTheme="minorBidi" w:hAnsiTheme="minorBidi" w:cstheme="minorBidi"/>
          <w:color w:val="000000"/>
          <w:sz w:val="22"/>
          <w:szCs w:val="22"/>
          <w:lang w:val="en-US"/>
        </w:rPr>
        <w:t xml:space="preserve"> and wellbeing, as well as its contribution to the global economy, have led to an increased demand by decision-makers for relevant, strategic, current, and easily accessible information on the state of the ocean. </w:t>
      </w:r>
    </w:p>
    <w:p w14:paraId="63FC90B4" w14:textId="3818EAC6" w:rsidR="008A6268" w:rsidRDefault="008A6268"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At its 53rd session in February 2021, the IOC Executive Council (EC) considered the proposal to prepare a periodic ‘IOC State of the Ocean Report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as a response to the previously mentioned increased demand for the key information on the state of the ocean (see </w:t>
      </w:r>
      <w:hyperlink r:id="rId8" w:history="1">
        <w:r w:rsidRPr="00236842">
          <w:rPr>
            <w:rStyle w:val="Hyperlink"/>
            <w:rFonts w:asciiTheme="minorBidi" w:hAnsiTheme="minorBidi" w:cstheme="minorBidi"/>
            <w:sz w:val="22"/>
            <w:szCs w:val="22"/>
            <w:lang w:val="en-US"/>
          </w:rPr>
          <w:t>IOC/INF-1393</w:t>
        </w:r>
      </w:hyperlink>
      <w:r w:rsidRPr="00236842">
        <w:rPr>
          <w:rFonts w:asciiTheme="minorBidi" w:hAnsiTheme="minorBidi" w:cstheme="minorBidi"/>
          <w:color w:val="000000"/>
          <w:sz w:val="22"/>
          <w:szCs w:val="22"/>
          <w:lang w:val="en-US"/>
        </w:rPr>
        <w:t xml:space="preserve">). Following the 53rd session of the Executive Council, the IOC Secretariat invited Member States to express their views on the spatial and temporal scope of the report, focus areas, and style of presentation (cf. IOC Circular Letter, </w:t>
      </w:r>
      <w:hyperlink r:id="rId9" w:history="1">
        <w:r w:rsidRPr="00236842">
          <w:rPr>
            <w:rStyle w:val="Hyperlink"/>
            <w:rFonts w:asciiTheme="minorBidi" w:hAnsiTheme="minorBidi" w:cstheme="minorBidi"/>
            <w:sz w:val="22"/>
            <w:szCs w:val="22"/>
            <w:lang w:val="en-US"/>
          </w:rPr>
          <w:t>2843</w:t>
        </w:r>
      </w:hyperlink>
      <w:r w:rsidRPr="00236842">
        <w:rPr>
          <w:rFonts w:asciiTheme="minorBidi" w:hAnsiTheme="minorBidi" w:cstheme="minorBidi"/>
          <w:color w:val="000000"/>
          <w:sz w:val="22"/>
          <w:szCs w:val="22"/>
          <w:lang w:val="en-US"/>
        </w:rPr>
        <w:t xml:space="preserve">). In parallel the IOC Secretariat convened an informal expert consultation on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to further discuss its main features. The results of the Member States and expert consultation are synthesized in the </w:t>
      </w:r>
      <w:hyperlink r:id="rId10" w:history="1">
        <w:r w:rsidRPr="00236842">
          <w:rPr>
            <w:rStyle w:val="Hyperlink"/>
            <w:rFonts w:asciiTheme="minorBidi" w:hAnsiTheme="minorBidi" w:cstheme="minorBidi"/>
            <w:sz w:val="22"/>
            <w:szCs w:val="22"/>
            <w:lang w:val="en-US"/>
          </w:rPr>
          <w:t>IOC/INF-1393 Rev.</w:t>
        </w:r>
      </w:hyperlink>
      <w:r w:rsidRPr="00236842">
        <w:rPr>
          <w:rFonts w:asciiTheme="minorBidi" w:hAnsiTheme="minorBidi" w:cstheme="minorBidi"/>
          <w:color w:val="000000"/>
          <w:sz w:val="22"/>
          <w:szCs w:val="22"/>
          <w:lang w:val="en-US"/>
        </w:rPr>
        <w:t xml:space="preserve"> The IOC Assembly at its 31</w:t>
      </w:r>
      <w:r w:rsidRPr="00236842">
        <w:rPr>
          <w:rFonts w:asciiTheme="minorBidi" w:hAnsiTheme="minorBidi" w:cstheme="minorBidi"/>
          <w:color w:val="000000"/>
          <w:sz w:val="22"/>
          <w:szCs w:val="22"/>
          <w:vertAlign w:val="superscript"/>
          <w:lang w:val="en-US"/>
        </w:rPr>
        <w:t>st</w:t>
      </w:r>
      <w:r w:rsidRPr="00236842">
        <w:rPr>
          <w:rFonts w:asciiTheme="minorBidi" w:hAnsiTheme="minorBidi" w:cstheme="minorBidi"/>
          <w:color w:val="000000"/>
          <w:sz w:val="22"/>
          <w:szCs w:val="22"/>
          <w:lang w:val="en-US"/>
        </w:rPr>
        <w:t xml:space="preserve"> session in June 2021 endorsed the production of a Pilot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which was presented to the IOC Executive Council at the 55</w:t>
      </w:r>
      <w:r w:rsidRPr="00236842">
        <w:rPr>
          <w:rFonts w:asciiTheme="minorBidi" w:hAnsiTheme="minorBidi" w:cstheme="minorBidi"/>
          <w:color w:val="000000"/>
          <w:sz w:val="22"/>
          <w:szCs w:val="22"/>
          <w:vertAlign w:val="superscript"/>
          <w:lang w:val="en-US"/>
        </w:rPr>
        <w:t>th</w:t>
      </w:r>
      <w:r w:rsidRPr="00236842">
        <w:rPr>
          <w:rFonts w:asciiTheme="minorBidi" w:hAnsiTheme="minorBidi" w:cstheme="minorBidi"/>
          <w:color w:val="000000"/>
          <w:sz w:val="22"/>
          <w:szCs w:val="22"/>
          <w:lang w:val="en-US"/>
        </w:rPr>
        <w:t xml:space="preserve"> session in 2022</w:t>
      </w:r>
      <w:r w:rsidR="00E4293D">
        <w:rPr>
          <w:rFonts w:asciiTheme="minorBidi" w:hAnsiTheme="minorBidi" w:cstheme="minorBidi"/>
          <w:color w:val="000000"/>
          <w:sz w:val="22"/>
          <w:szCs w:val="22"/>
          <w:lang w:val="en-US"/>
        </w:rPr>
        <w:t xml:space="preserve"> as </w:t>
      </w:r>
      <w:r w:rsidR="00E4293D" w:rsidRPr="00236842">
        <w:rPr>
          <w:rFonts w:asciiTheme="minorBidi" w:hAnsiTheme="minorBidi" w:cstheme="minorBidi"/>
          <w:i/>
          <w:iCs/>
          <w:color w:val="000000"/>
          <w:sz w:val="22"/>
          <w:szCs w:val="22"/>
          <w:lang w:val="en-US"/>
        </w:rPr>
        <w:t>State of the ocean report 2022: pilot edition</w:t>
      </w:r>
      <w:r w:rsidR="00E4293D">
        <w:rPr>
          <w:rFonts w:asciiTheme="minorBidi" w:hAnsiTheme="minorBidi" w:cstheme="minorBidi"/>
          <w:i/>
          <w:iCs/>
          <w:color w:val="000000"/>
          <w:sz w:val="22"/>
          <w:szCs w:val="22"/>
          <w:lang w:val="en-US"/>
        </w:rPr>
        <w:t xml:space="preserve"> </w:t>
      </w:r>
      <w:r w:rsidR="00E4293D">
        <w:rPr>
          <w:rFonts w:asciiTheme="minorBidi" w:hAnsiTheme="minorBidi" w:cstheme="minorBidi"/>
          <w:color w:val="000000"/>
          <w:sz w:val="22"/>
          <w:szCs w:val="22"/>
          <w:lang w:val="en-US"/>
        </w:rPr>
        <w:t xml:space="preserve">(IOC Technical Report n° </w:t>
      </w:r>
      <w:hyperlink r:id="rId11" w:history="1">
        <w:r w:rsidR="00E4293D" w:rsidRPr="00E4293D">
          <w:rPr>
            <w:rStyle w:val="Hyperlink"/>
            <w:rFonts w:asciiTheme="minorBidi" w:hAnsiTheme="minorBidi" w:cstheme="minorBidi"/>
            <w:sz w:val="22"/>
            <w:szCs w:val="22"/>
            <w:lang w:val="en-US"/>
          </w:rPr>
          <w:t>173</w:t>
        </w:r>
      </w:hyperlink>
      <w:r w:rsidR="00E4293D">
        <w:rPr>
          <w:rFonts w:asciiTheme="minorBidi" w:hAnsiTheme="minorBidi" w:cstheme="minorBidi"/>
          <w:color w:val="000000"/>
          <w:sz w:val="22"/>
          <w:szCs w:val="22"/>
          <w:lang w:val="en-US"/>
        </w:rPr>
        <w:t>).</w:t>
      </w:r>
    </w:p>
    <w:p w14:paraId="763B2027" w14:textId="5CB4E053" w:rsidR="009F59FF" w:rsidRPr="00236842" w:rsidRDefault="009F59FF"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Following the presentation of ‘State of the Ocean Report 2022 – Pilot edition’, the related concept note went through a </w:t>
      </w:r>
      <w:proofErr w:type="gramStart"/>
      <w:r w:rsidRPr="00236842">
        <w:rPr>
          <w:rFonts w:asciiTheme="minorBidi" w:hAnsiTheme="minorBidi" w:cstheme="minorBidi"/>
          <w:color w:val="000000"/>
          <w:sz w:val="22"/>
          <w:szCs w:val="22"/>
          <w:lang w:val="en-US"/>
        </w:rPr>
        <w:t>1</w:t>
      </w:r>
      <w:r>
        <w:rPr>
          <w:rFonts w:asciiTheme="minorBidi" w:hAnsiTheme="minorBidi" w:cstheme="minorBidi"/>
          <w:color w:val="000000"/>
          <w:sz w:val="22"/>
          <w:szCs w:val="22"/>
          <w:lang w:val="en-US"/>
        </w:rPr>
        <w:t>.</w:t>
      </w:r>
      <w:r w:rsidRPr="00236842">
        <w:rPr>
          <w:rFonts w:asciiTheme="minorBidi" w:hAnsiTheme="minorBidi" w:cstheme="minorBidi"/>
          <w:color w:val="000000"/>
          <w:sz w:val="22"/>
          <w:szCs w:val="22"/>
          <w:lang w:val="en-US"/>
        </w:rPr>
        <w:t>5 year</w:t>
      </w:r>
      <w:proofErr w:type="gramEnd"/>
      <w:r w:rsidRPr="00236842">
        <w:rPr>
          <w:rFonts w:asciiTheme="minorBidi" w:hAnsiTheme="minorBidi" w:cstheme="minorBidi"/>
          <w:color w:val="000000"/>
          <w:sz w:val="22"/>
          <w:szCs w:val="22"/>
          <w:lang w:val="en-US"/>
        </w:rPr>
        <w:t xml:space="preserve"> review process. Further guidance by Member States was received at the 32nd session of the IOC Assembly </w:t>
      </w:r>
      <w:r>
        <w:rPr>
          <w:rFonts w:asciiTheme="minorBidi" w:hAnsiTheme="minorBidi" w:cstheme="minorBidi"/>
          <w:color w:val="000000"/>
          <w:sz w:val="22"/>
          <w:szCs w:val="22"/>
          <w:lang w:val="en-US"/>
        </w:rPr>
        <w:t xml:space="preserve">in June 2023 </w:t>
      </w:r>
      <w:r w:rsidRPr="00236842">
        <w:rPr>
          <w:rFonts w:asciiTheme="minorBidi" w:hAnsiTheme="minorBidi" w:cstheme="minorBidi"/>
          <w:color w:val="000000"/>
          <w:sz w:val="22"/>
          <w:szCs w:val="22"/>
          <w:lang w:val="en-US"/>
        </w:rPr>
        <w:t>(</w:t>
      </w:r>
      <w:r>
        <w:rPr>
          <w:rFonts w:asciiTheme="minorBidi" w:hAnsiTheme="minorBidi" w:cstheme="minorBidi"/>
          <w:color w:val="000000"/>
          <w:sz w:val="22"/>
          <w:szCs w:val="22"/>
          <w:lang w:val="en-US"/>
        </w:rPr>
        <w:t xml:space="preserve">refer to </w:t>
      </w:r>
      <w:hyperlink r:id="rId12" w:history="1">
        <w:r w:rsidRPr="00236842">
          <w:rPr>
            <w:rStyle w:val="Hyperlink"/>
            <w:rFonts w:asciiTheme="minorBidi" w:hAnsiTheme="minorBidi" w:cstheme="minorBidi"/>
            <w:lang w:val="en-US"/>
          </w:rPr>
          <w:t>IOC/A-32/Dec.4.2</w:t>
        </w:r>
      </w:hyperlink>
      <w:r w:rsidRPr="00236842">
        <w:rPr>
          <w:rFonts w:asciiTheme="minorBidi" w:hAnsiTheme="minorBidi" w:cstheme="minorBidi"/>
          <w:color w:val="000000"/>
          <w:sz w:val="22"/>
          <w:szCs w:val="22"/>
          <w:lang w:val="en-US"/>
        </w:rPr>
        <w:t>).</w:t>
      </w:r>
    </w:p>
    <w:p w14:paraId="3DAE323A" w14:textId="50D2C99F" w:rsidR="006F6BFE" w:rsidRPr="00236842" w:rsidRDefault="006F6BFE"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The</w:t>
      </w:r>
      <w:r w:rsidR="0042023A" w:rsidRPr="00236842">
        <w:rPr>
          <w:rFonts w:asciiTheme="minorBidi" w:hAnsiTheme="minorBidi" w:cstheme="minorBidi"/>
          <w:color w:val="000000"/>
          <w:sz w:val="22"/>
          <w:szCs w:val="22"/>
          <w:lang w:val="en-US"/>
        </w:rPr>
        <w:t xml:space="preserve"> </w:t>
      </w:r>
      <w:proofErr w:type="spellStart"/>
      <w:r w:rsidR="0042023A" w:rsidRPr="00236842">
        <w:rPr>
          <w:rFonts w:asciiTheme="minorBidi" w:hAnsiTheme="minorBidi" w:cstheme="minorBidi"/>
          <w:color w:val="000000"/>
          <w:sz w:val="22"/>
          <w:szCs w:val="22"/>
          <w:lang w:val="en-US"/>
        </w:rPr>
        <w:t>StOR</w:t>
      </w:r>
      <w:proofErr w:type="spellEnd"/>
      <w:r w:rsidR="0042023A" w:rsidRPr="00236842">
        <w:rPr>
          <w:rFonts w:asciiTheme="minorBidi" w:hAnsiTheme="minorBidi" w:cstheme="minorBidi"/>
          <w:color w:val="000000"/>
          <w:sz w:val="22"/>
          <w:szCs w:val="22"/>
          <w:lang w:val="en-US"/>
        </w:rPr>
        <w:t xml:space="preserve"> </w:t>
      </w:r>
      <w:r w:rsidR="00D8503A" w:rsidRPr="00236842">
        <w:rPr>
          <w:rFonts w:asciiTheme="minorBidi" w:hAnsiTheme="minorBidi" w:cstheme="minorBidi"/>
          <w:color w:val="000000"/>
          <w:sz w:val="22"/>
          <w:szCs w:val="22"/>
          <w:lang w:val="en-US"/>
        </w:rPr>
        <w:t>Advisory Board</w:t>
      </w:r>
      <w:r w:rsidR="0042023A" w:rsidRPr="00236842">
        <w:rPr>
          <w:rFonts w:asciiTheme="minorBidi" w:hAnsiTheme="minorBidi" w:cstheme="minorBidi"/>
          <w:color w:val="000000"/>
          <w:sz w:val="22"/>
          <w:szCs w:val="22"/>
          <w:lang w:val="en-US"/>
        </w:rPr>
        <w:t xml:space="preserve"> </w:t>
      </w:r>
      <w:r w:rsidRPr="00236842">
        <w:rPr>
          <w:rFonts w:asciiTheme="minorBidi" w:hAnsiTheme="minorBidi" w:cstheme="minorBidi"/>
          <w:color w:val="000000"/>
          <w:sz w:val="22"/>
          <w:szCs w:val="22"/>
          <w:lang w:val="en-US"/>
        </w:rPr>
        <w:t xml:space="preserve">played a central role in the scoping, </w:t>
      </w:r>
      <w:proofErr w:type="gramStart"/>
      <w:r w:rsidRPr="00236842">
        <w:rPr>
          <w:rFonts w:asciiTheme="minorBidi" w:hAnsiTheme="minorBidi" w:cstheme="minorBidi"/>
          <w:color w:val="000000"/>
          <w:sz w:val="22"/>
          <w:szCs w:val="22"/>
          <w:lang w:val="en-US"/>
        </w:rPr>
        <w:t>reviewing</w:t>
      </w:r>
      <w:proofErr w:type="gramEnd"/>
      <w:r w:rsidRPr="00236842">
        <w:rPr>
          <w:rFonts w:asciiTheme="minorBidi" w:hAnsiTheme="minorBidi" w:cstheme="minorBidi"/>
          <w:color w:val="000000"/>
          <w:sz w:val="22"/>
          <w:szCs w:val="22"/>
          <w:lang w:val="en-US"/>
        </w:rPr>
        <w:t xml:space="preserve"> and editing of the report since the IOC Assembly session in June 2023.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Advisory Board consists of representatives from nine countries. The Secretariat with the support of the Advisory Board updated the concept note based on comments received during the IOC Assembly.</w:t>
      </w:r>
    </w:p>
    <w:p w14:paraId="458116C0" w14:textId="3052AFBE" w:rsidR="006F6BFE" w:rsidRPr="00236842" w:rsidRDefault="006F6BFE"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results of the consultations </w:t>
      </w:r>
      <w:r w:rsidR="00D376D2" w:rsidRPr="00236842">
        <w:rPr>
          <w:rFonts w:asciiTheme="minorBidi" w:hAnsiTheme="minorBidi" w:cstheme="minorBidi"/>
          <w:color w:val="000000"/>
          <w:sz w:val="22"/>
          <w:szCs w:val="22"/>
          <w:lang w:val="en-US"/>
        </w:rPr>
        <w:t>were</w:t>
      </w:r>
      <w:r w:rsidRPr="00236842">
        <w:rPr>
          <w:rFonts w:asciiTheme="minorBidi" w:hAnsiTheme="minorBidi" w:cstheme="minorBidi"/>
          <w:color w:val="000000"/>
          <w:sz w:val="22"/>
          <w:szCs w:val="22"/>
          <w:lang w:val="en-US"/>
        </w:rPr>
        <w:t xml:space="preserve"> presented in</w:t>
      </w:r>
      <w:r w:rsidR="00E4293D">
        <w:rPr>
          <w:rFonts w:asciiTheme="minorBidi" w:hAnsiTheme="minorBidi" w:cstheme="minorBidi"/>
          <w:color w:val="000000"/>
          <w:sz w:val="22"/>
          <w:szCs w:val="22"/>
          <w:lang w:val="en-US"/>
        </w:rPr>
        <w:t xml:space="preserve"> IOC Circular Letter</w:t>
      </w:r>
      <w:r w:rsidRPr="00236842">
        <w:rPr>
          <w:rFonts w:asciiTheme="minorBidi" w:hAnsiTheme="minorBidi" w:cstheme="minorBidi"/>
          <w:color w:val="000000"/>
          <w:sz w:val="22"/>
          <w:szCs w:val="22"/>
          <w:lang w:val="en-US"/>
        </w:rPr>
        <w:t xml:space="preserve"> </w:t>
      </w:r>
      <w:hyperlink r:id="rId13" w:history="1">
        <w:r w:rsidRPr="00236842">
          <w:rPr>
            <w:rStyle w:val="Hyperlink"/>
            <w:rFonts w:asciiTheme="minorBidi" w:hAnsiTheme="minorBidi" w:cstheme="minorBidi"/>
            <w:sz w:val="22"/>
            <w:szCs w:val="22"/>
            <w:lang w:val="en-US"/>
          </w:rPr>
          <w:t>2963</w:t>
        </w:r>
      </w:hyperlink>
      <w:r w:rsidRPr="00236842">
        <w:rPr>
          <w:rFonts w:asciiTheme="minorBidi" w:hAnsiTheme="minorBidi" w:cstheme="minorBidi"/>
          <w:color w:val="000000"/>
          <w:sz w:val="22"/>
          <w:szCs w:val="22"/>
          <w:lang w:val="en-US"/>
        </w:rPr>
        <w:t xml:space="preserve">, </w:t>
      </w:r>
      <w:r w:rsidR="00D376D2" w:rsidRPr="00236842">
        <w:rPr>
          <w:rFonts w:asciiTheme="minorBidi" w:hAnsiTheme="minorBidi" w:cstheme="minorBidi"/>
          <w:color w:val="000000"/>
          <w:sz w:val="22"/>
          <w:szCs w:val="22"/>
          <w:lang w:val="en-US"/>
        </w:rPr>
        <w:t>which included</w:t>
      </w:r>
      <w:r w:rsidRPr="00236842">
        <w:rPr>
          <w:rFonts w:asciiTheme="minorBidi" w:hAnsiTheme="minorBidi" w:cstheme="minorBidi"/>
          <w:color w:val="000000"/>
          <w:sz w:val="22"/>
          <w:szCs w:val="22"/>
          <w:lang w:val="en-US"/>
        </w:rPr>
        <w:t xml:space="preserve"> an updated </w:t>
      </w:r>
      <w:proofErr w:type="spellStart"/>
      <w:r w:rsidR="00D376D2" w:rsidRPr="00236842">
        <w:rPr>
          <w:rFonts w:asciiTheme="minorBidi" w:hAnsiTheme="minorBidi" w:cstheme="minorBidi"/>
          <w:color w:val="000000"/>
          <w:sz w:val="22"/>
          <w:szCs w:val="22"/>
          <w:lang w:val="en-US"/>
        </w:rPr>
        <w:t>StOR</w:t>
      </w:r>
      <w:proofErr w:type="spellEnd"/>
      <w:r w:rsidR="00D376D2" w:rsidRPr="00236842">
        <w:rPr>
          <w:rFonts w:asciiTheme="minorBidi" w:hAnsiTheme="minorBidi" w:cstheme="minorBidi"/>
          <w:color w:val="000000"/>
          <w:sz w:val="22"/>
          <w:szCs w:val="22"/>
          <w:lang w:val="en-US"/>
        </w:rPr>
        <w:t xml:space="preserve"> </w:t>
      </w:r>
      <w:r w:rsidRPr="00236842">
        <w:rPr>
          <w:rFonts w:asciiTheme="minorBidi" w:hAnsiTheme="minorBidi" w:cstheme="minorBidi"/>
          <w:color w:val="000000"/>
          <w:sz w:val="22"/>
          <w:szCs w:val="22"/>
          <w:lang w:val="en-US"/>
        </w:rPr>
        <w:t xml:space="preserve">concept note and </w:t>
      </w:r>
      <w:r w:rsidR="00D376D2" w:rsidRPr="00236842">
        <w:rPr>
          <w:rFonts w:asciiTheme="minorBidi" w:hAnsiTheme="minorBidi" w:cstheme="minorBidi"/>
          <w:color w:val="000000"/>
          <w:sz w:val="22"/>
          <w:szCs w:val="22"/>
          <w:lang w:val="en-US"/>
        </w:rPr>
        <w:t xml:space="preserve">a </w:t>
      </w:r>
      <w:r w:rsidRPr="00236842">
        <w:rPr>
          <w:rFonts w:asciiTheme="minorBidi" w:hAnsiTheme="minorBidi" w:cstheme="minorBidi"/>
          <w:color w:val="000000"/>
          <w:sz w:val="22"/>
          <w:szCs w:val="22"/>
          <w:lang w:val="en-US"/>
        </w:rPr>
        <w:t>template for contributions. As requested by the Assembly</w:t>
      </w:r>
      <w:r w:rsidR="00D376D2" w:rsidRPr="00236842">
        <w:rPr>
          <w:rFonts w:asciiTheme="minorBidi" w:hAnsiTheme="minorBidi" w:cstheme="minorBidi"/>
          <w:color w:val="000000"/>
          <w:sz w:val="22"/>
          <w:szCs w:val="22"/>
          <w:lang w:val="en-US"/>
        </w:rPr>
        <w:t>,</w:t>
      </w:r>
      <w:r w:rsidRPr="00236842">
        <w:rPr>
          <w:rFonts w:asciiTheme="minorBidi" w:hAnsiTheme="minorBidi" w:cstheme="minorBidi"/>
          <w:color w:val="000000"/>
          <w:sz w:val="22"/>
          <w:szCs w:val="22"/>
          <w:lang w:val="en-US"/>
        </w:rPr>
        <w:t xml:space="preserve"> the IOC Secretariat conducted two online workshops allowing Member States to provide additional comments. The Member States welcomed the concept note</w:t>
      </w:r>
      <w:r w:rsidR="00F20153">
        <w:rPr>
          <w:rFonts w:asciiTheme="minorBidi" w:hAnsiTheme="minorBidi" w:cstheme="minorBidi"/>
          <w:color w:val="000000"/>
          <w:sz w:val="22"/>
          <w:szCs w:val="22"/>
          <w:lang w:val="en-US"/>
        </w:rPr>
        <w:t xml:space="preserve"> that has guided the preparation of the second edition of </w:t>
      </w:r>
      <w:proofErr w:type="spellStart"/>
      <w:r w:rsidR="00F20153">
        <w:rPr>
          <w:rFonts w:asciiTheme="minorBidi" w:hAnsiTheme="minorBidi" w:cstheme="minorBidi"/>
          <w:color w:val="000000"/>
          <w:sz w:val="22"/>
          <w:szCs w:val="22"/>
          <w:lang w:val="en-US"/>
        </w:rPr>
        <w:t>StOR</w:t>
      </w:r>
      <w:proofErr w:type="spellEnd"/>
      <w:r w:rsidR="00F20153">
        <w:rPr>
          <w:rFonts w:asciiTheme="minorBidi" w:hAnsiTheme="minorBidi" w:cstheme="minorBidi"/>
          <w:color w:val="000000"/>
          <w:sz w:val="22"/>
          <w:szCs w:val="22"/>
          <w:lang w:val="en-US"/>
        </w:rPr>
        <w:t xml:space="preserve"> published as </w:t>
      </w:r>
      <w:r w:rsidR="008D2347" w:rsidRPr="00236842">
        <w:rPr>
          <w:rFonts w:asciiTheme="minorBidi" w:hAnsiTheme="minorBidi" w:cstheme="minorBidi"/>
          <w:color w:val="000000"/>
          <w:sz w:val="22"/>
          <w:szCs w:val="22"/>
          <w:lang w:val="en-US"/>
        </w:rPr>
        <w:t>IOC Technical Series 189</w:t>
      </w:r>
      <w:r w:rsidR="00F20153">
        <w:rPr>
          <w:rFonts w:asciiTheme="minorBidi" w:hAnsiTheme="minorBidi" w:cstheme="minorBidi"/>
          <w:color w:val="000000"/>
          <w:sz w:val="22"/>
          <w:szCs w:val="22"/>
          <w:lang w:val="en-US"/>
        </w:rPr>
        <w:t xml:space="preserve"> before this session of the Executive Council</w:t>
      </w:r>
      <w:r w:rsidRPr="00236842">
        <w:rPr>
          <w:rFonts w:asciiTheme="minorBidi" w:hAnsiTheme="minorBidi" w:cstheme="minorBidi"/>
          <w:color w:val="000000"/>
          <w:sz w:val="22"/>
          <w:szCs w:val="22"/>
          <w:lang w:val="en-US"/>
        </w:rPr>
        <w:t xml:space="preserve">. </w:t>
      </w:r>
    </w:p>
    <w:p w14:paraId="6EB528A0" w14:textId="41C3942E" w:rsidR="00FC7176" w:rsidRPr="00236842" w:rsidRDefault="00FC7176"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w:t>
      </w:r>
      <w:r w:rsidR="00D376D2" w:rsidRPr="00236842">
        <w:rPr>
          <w:rFonts w:asciiTheme="minorBidi" w:hAnsiTheme="minorBidi" w:cstheme="minorBidi"/>
          <w:color w:val="000000"/>
          <w:sz w:val="22"/>
          <w:szCs w:val="22"/>
          <w:lang w:val="en-US"/>
        </w:rPr>
        <w:t xml:space="preserve">2024 </w:t>
      </w:r>
      <w:r w:rsidRPr="00236842">
        <w:rPr>
          <w:rFonts w:asciiTheme="minorBidi" w:hAnsiTheme="minorBidi" w:cstheme="minorBidi"/>
          <w:color w:val="000000"/>
          <w:sz w:val="22"/>
          <w:szCs w:val="22"/>
          <w:lang w:val="en-US"/>
        </w:rPr>
        <w:t xml:space="preserve">IOC </w:t>
      </w:r>
      <w:r w:rsidRPr="00236842">
        <w:rPr>
          <w:rFonts w:asciiTheme="minorBidi" w:hAnsiTheme="minorBidi" w:cstheme="minorBidi"/>
          <w:i/>
          <w:iCs/>
          <w:color w:val="000000"/>
          <w:sz w:val="22"/>
          <w:szCs w:val="22"/>
          <w:lang w:val="en-US"/>
        </w:rPr>
        <w:t>State of the Ocean Report</w:t>
      </w:r>
      <w:r w:rsidRPr="00236842">
        <w:rPr>
          <w:rFonts w:asciiTheme="minorBidi" w:hAnsiTheme="minorBidi" w:cstheme="minorBidi"/>
          <w:color w:val="000000"/>
          <w:sz w:val="22"/>
          <w:szCs w:val="22"/>
          <w:lang w:val="en-US"/>
        </w:rPr>
        <w:t xml:space="preserve"> </w:t>
      </w:r>
      <w:r w:rsidR="00D376D2" w:rsidRPr="00236842">
        <w:rPr>
          <w:rFonts w:asciiTheme="minorBidi" w:hAnsiTheme="minorBidi" w:cstheme="minorBidi"/>
          <w:color w:val="000000"/>
          <w:sz w:val="22"/>
          <w:szCs w:val="22"/>
          <w:lang w:val="en-US"/>
        </w:rPr>
        <w:t>is</w:t>
      </w:r>
      <w:r w:rsidRPr="00236842">
        <w:rPr>
          <w:rFonts w:asciiTheme="minorBidi" w:hAnsiTheme="minorBidi" w:cstheme="minorBidi"/>
          <w:color w:val="000000"/>
          <w:sz w:val="22"/>
          <w:szCs w:val="22"/>
          <w:lang w:val="en-US"/>
        </w:rPr>
        <w:t xml:space="preserve"> supported </w:t>
      </w:r>
      <w:r w:rsidR="00D376D2" w:rsidRPr="00236842">
        <w:rPr>
          <w:rFonts w:asciiTheme="minorBidi" w:hAnsiTheme="minorBidi" w:cstheme="minorBidi"/>
          <w:color w:val="000000"/>
          <w:sz w:val="22"/>
          <w:szCs w:val="22"/>
          <w:lang w:val="en-US"/>
        </w:rPr>
        <w:t xml:space="preserve">financially </w:t>
      </w:r>
      <w:r w:rsidRPr="00236842">
        <w:rPr>
          <w:rFonts w:asciiTheme="minorBidi" w:hAnsiTheme="minorBidi" w:cstheme="minorBidi"/>
          <w:color w:val="000000"/>
          <w:sz w:val="22"/>
          <w:szCs w:val="22"/>
          <w:lang w:val="en-US"/>
        </w:rPr>
        <w:t>by the Government of Iceland, The Back to Blue Initiative and the Republic of Korea.</w:t>
      </w:r>
    </w:p>
    <w:p w14:paraId="34B55442" w14:textId="5F89BBEA" w:rsidR="00FC7176" w:rsidRPr="00236842" w:rsidRDefault="00FC7176"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It comprises 21 sections by 101 authors from 28 countries (46% female, 54% male). The report was peer reviewed by more than 45 international experts.</w:t>
      </w:r>
    </w:p>
    <w:p w14:paraId="602419A2" w14:textId="190F890A" w:rsidR="008A6268" w:rsidRPr="00236842" w:rsidRDefault="008A6268"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w:t>
      </w:r>
      <w:r w:rsidR="00D376D2" w:rsidRPr="00236842">
        <w:rPr>
          <w:rFonts w:asciiTheme="minorBidi" w:hAnsiTheme="minorBidi" w:cstheme="minorBidi"/>
          <w:color w:val="000000"/>
          <w:sz w:val="22"/>
          <w:szCs w:val="22"/>
          <w:lang w:val="en-US"/>
        </w:rPr>
        <w:t xml:space="preserve">revised and agreed </w:t>
      </w:r>
      <w:r w:rsidRPr="00236842">
        <w:rPr>
          <w:rFonts w:asciiTheme="minorBidi" w:hAnsiTheme="minorBidi" w:cstheme="minorBidi"/>
          <w:color w:val="000000"/>
          <w:sz w:val="22"/>
          <w:szCs w:val="22"/>
          <w:lang w:val="en-US"/>
        </w:rPr>
        <w:t xml:space="preserve">concept note </w:t>
      </w:r>
      <w:r w:rsidR="00B52B28" w:rsidRPr="00236842">
        <w:rPr>
          <w:rFonts w:asciiTheme="minorBidi" w:hAnsiTheme="minorBidi" w:cstheme="minorBidi"/>
          <w:color w:val="000000"/>
          <w:sz w:val="22"/>
          <w:szCs w:val="22"/>
          <w:lang w:val="en-US"/>
        </w:rPr>
        <w:t xml:space="preserve">presented in </w:t>
      </w:r>
      <w:r w:rsidR="00D376D2" w:rsidRPr="00236842">
        <w:rPr>
          <w:rFonts w:asciiTheme="minorBidi" w:hAnsiTheme="minorBidi" w:cstheme="minorBidi"/>
          <w:color w:val="000000"/>
          <w:sz w:val="22"/>
          <w:szCs w:val="22"/>
          <w:lang w:val="en-US"/>
        </w:rPr>
        <w:t xml:space="preserve">this document </w:t>
      </w:r>
      <w:r w:rsidRPr="00236842">
        <w:rPr>
          <w:rFonts w:asciiTheme="minorBidi" w:hAnsiTheme="minorBidi" w:cstheme="minorBidi"/>
          <w:color w:val="000000"/>
          <w:sz w:val="22"/>
          <w:szCs w:val="22"/>
          <w:lang w:val="en-US"/>
        </w:rPr>
        <w:t>now directly indicate</w:t>
      </w:r>
      <w:r w:rsidR="00D376D2" w:rsidRPr="00236842">
        <w:rPr>
          <w:rFonts w:asciiTheme="minorBidi" w:hAnsiTheme="minorBidi" w:cstheme="minorBidi"/>
          <w:color w:val="000000"/>
          <w:sz w:val="22"/>
          <w:szCs w:val="22"/>
          <w:lang w:val="en-US"/>
        </w:rPr>
        <w:t>s</w:t>
      </w:r>
      <w:r w:rsidRPr="00236842">
        <w:rPr>
          <w:rFonts w:asciiTheme="minorBidi" w:hAnsiTheme="minorBidi" w:cstheme="minorBidi"/>
          <w:color w:val="000000"/>
          <w:sz w:val="22"/>
          <w:szCs w:val="22"/>
          <w:lang w:val="en-US"/>
        </w:rPr>
        <w:t xml:space="preserve"> the target audience of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which is primarily </w:t>
      </w:r>
      <w:r w:rsidR="00F20153" w:rsidRPr="00F20153">
        <w:rPr>
          <w:rFonts w:asciiTheme="minorBidi" w:hAnsiTheme="minorBidi" w:cstheme="minorBidi"/>
          <w:color w:val="000000"/>
          <w:sz w:val="22"/>
          <w:szCs w:val="22"/>
          <w:lang w:val="en-US"/>
        </w:rPr>
        <w:t>policymakers</w:t>
      </w:r>
      <w:r w:rsidRPr="00236842">
        <w:rPr>
          <w:rFonts w:asciiTheme="minorBidi" w:hAnsiTheme="minorBidi" w:cstheme="minorBidi"/>
          <w:color w:val="000000"/>
          <w:sz w:val="22"/>
          <w:szCs w:val="22"/>
          <w:lang w:val="en-US"/>
        </w:rPr>
        <w:t xml:space="preserve">, while the information included can also serve as a source of information on the state of the ocean for the media. It </w:t>
      </w:r>
      <w:r w:rsidR="0087134A" w:rsidRPr="00236842">
        <w:rPr>
          <w:rFonts w:asciiTheme="minorBidi" w:hAnsiTheme="minorBidi" w:cstheme="minorBidi"/>
          <w:color w:val="000000"/>
          <w:sz w:val="22"/>
          <w:szCs w:val="22"/>
          <w:lang w:val="en-US"/>
        </w:rPr>
        <w:t xml:space="preserve">was </w:t>
      </w:r>
      <w:r w:rsidRPr="00236842">
        <w:rPr>
          <w:rFonts w:asciiTheme="minorBidi" w:hAnsiTheme="minorBidi" w:cstheme="minorBidi"/>
          <w:color w:val="000000"/>
          <w:sz w:val="22"/>
          <w:szCs w:val="22"/>
          <w:lang w:val="en-US"/>
        </w:rPr>
        <w:t xml:space="preserve">also identified the IOC </w:t>
      </w:r>
      <w:proofErr w:type="spellStart"/>
      <w:r w:rsidRPr="00236842">
        <w:rPr>
          <w:rFonts w:asciiTheme="minorBidi" w:hAnsiTheme="minorBidi" w:cstheme="minorBidi"/>
          <w:color w:val="000000"/>
          <w:sz w:val="22"/>
          <w:szCs w:val="22"/>
          <w:lang w:val="en-US"/>
        </w:rPr>
        <w:t>programmes</w:t>
      </w:r>
      <w:proofErr w:type="spellEnd"/>
      <w:r w:rsidRPr="00236842">
        <w:rPr>
          <w:rFonts w:asciiTheme="minorBidi" w:hAnsiTheme="minorBidi" w:cstheme="minorBidi"/>
          <w:color w:val="000000"/>
          <w:sz w:val="22"/>
          <w:szCs w:val="22"/>
          <w:lang w:val="en-US"/>
        </w:rPr>
        <w:t xml:space="preserve"> and affiliated projects as the primary source of information, while taking into account complementary data from other international organizations where necessary to provide a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covering all </w:t>
      </w:r>
      <w:hyperlink r:id="rId14" w:history="1">
        <w:r w:rsidRPr="00236842">
          <w:rPr>
            <w:rStyle w:val="Hyperlink"/>
            <w:rFonts w:asciiTheme="minorBidi" w:hAnsiTheme="minorBidi" w:cstheme="minorBidi"/>
            <w:lang w:val="en-US"/>
          </w:rPr>
          <w:t>Ocean Decade Outcomes</w:t>
        </w:r>
      </w:hyperlink>
      <w:r w:rsidRPr="00236842">
        <w:rPr>
          <w:rFonts w:asciiTheme="minorBidi" w:hAnsiTheme="minorBidi" w:cstheme="minorBidi"/>
          <w:color w:val="000000"/>
          <w:sz w:val="22"/>
          <w:szCs w:val="22"/>
          <w:lang w:val="en-US"/>
        </w:rPr>
        <w:t>. It was agreed that the frequency should be regular but subject to the constraints of available financial and human resources.</w:t>
      </w:r>
    </w:p>
    <w:p w14:paraId="2CD67112" w14:textId="24199C37" w:rsidR="0042023A" w:rsidRPr="00D806C2" w:rsidRDefault="0042023A" w:rsidP="00B5651F">
      <w:pPr>
        <w:pStyle w:val="Heading3"/>
      </w:pPr>
      <w:proofErr w:type="spellStart"/>
      <w:r w:rsidRPr="00D806C2">
        <w:t>StOR</w:t>
      </w:r>
      <w:proofErr w:type="spellEnd"/>
      <w:r w:rsidRPr="00D806C2">
        <w:t xml:space="preserve"> </w:t>
      </w:r>
      <w:r w:rsidR="0087134A" w:rsidRPr="00D806C2">
        <w:t xml:space="preserve">objective, </w:t>
      </w:r>
      <w:proofErr w:type="gramStart"/>
      <w:r w:rsidR="0087134A" w:rsidRPr="00D806C2">
        <w:t>structure</w:t>
      </w:r>
      <w:proofErr w:type="gramEnd"/>
      <w:r w:rsidR="0087134A" w:rsidRPr="00D806C2">
        <w:t xml:space="preserve"> and frequency</w:t>
      </w:r>
    </w:p>
    <w:p w14:paraId="4C102419" w14:textId="3DC7D5D2" w:rsidR="008A6268" w:rsidRPr="00236842" w:rsidRDefault="008A6268" w:rsidP="009F59FF">
      <w:pPr>
        <w:pStyle w:val="NormalWeb"/>
        <w:numPr>
          <w:ilvl w:val="0"/>
          <w:numId w:val="30"/>
        </w:numPr>
        <w:tabs>
          <w:tab w:val="left" w:pos="709"/>
        </w:tabs>
        <w:spacing w:before="0" w:beforeAutospacing="0" w:after="12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IOC </w:t>
      </w:r>
      <w:r w:rsidRPr="009F59FF">
        <w:rPr>
          <w:rFonts w:asciiTheme="minorBidi" w:hAnsiTheme="minorBidi" w:cstheme="minorBidi"/>
          <w:color w:val="000000"/>
          <w:sz w:val="22"/>
          <w:szCs w:val="22"/>
          <w:lang w:val="en-US"/>
        </w:rPr>
        <w:t>State</w:t>
      </w:r>
      <w:r w:rsidRPr="00236842">
        <w:rPr>
          <w:rFonts w:asciiTheme="minorBidi" w:hAnsiTheme="minorBidi" w:cstheme="minorBidi"/>
          <w:i/>
          <w:iCs/>
          <w:color w:val="000000"/>
          <w:sz w:val="22"/>
          <w:szCs w:val="22"/>
          <w:lang w:val="en-US"/>
        </w:rPr>
        <w:t xml:space="preserve"> of the Ocean Repor</w:t>
      </w:r>
      <w:r w:rsidR="0087134A" w:rsidRPr="00236842">
        <w:rPr>
          <w:rFonts w:asciiTheme="minorBidi" w:hAnsiTheme="minorBidi" w:cstheme="minorBidi"/>
          <w:i/>
          <w:iCs/>
          <w:color w:val="000000"/>
          <w:sz w:val="22"/>
          <w:szCs w:val="22"/>
          <w:lang w:val="en-US"/>
        </w:rPr>
        <w:t>t</w:t>
      </w:r>
      <w:r w:rsidRPr="00236842">
        <w:rPr>
          <w:rFonts w:asciiTheme="minorBidi" w:hAnsiTheme="minorBidi" w:cstheme="minorBidi"/>
          <w:color w:val="000000"/>
          <w:sz w:val="22"/>
          <w:szCs w:val="22"/>
          <w:lang w:val="en-US"/>
        </w:rPr>
        <w:t xml:space="preserve"> has the ambition to:</w:t>
      </w:r>
    </w:p>
    <w:p w14:paraId="2245C187" w14:textId="490F23F7" w:rsidR="008A6268" w:rsidRPr="00D806C2" w:rsidRDefault="008A6268" w:rsidP="00236842">
      <w:pPr>
        <w:pStyle w:val="COI"/>
        <w:rPr>
          <w:lang w:val="en-US"/>
        </w:rPr>
      </w:pPr>
      <w:r w:rsidRPr="00D806C2">
        <w:rPr>
          <w:lang w:val="en-US"/>
        </w:rPr>
        <w:t>(i)</w:t>
      </w:r>
      <w:r w:rsidRPr="00D806C2">
        <w:rPr>
          <w:lang w:val="en-US"/>
        </w:rPr>
        <w:tab/>
        <w:t xml:space="preserve">Inform </w:t>
      </w:r>
      <w:r w:rsidR="00D806C2">
        <w:rPr>
          <w:lang w:val="en-US"/>
        </w:rPr>
        <w:t>decision-</w:t>
      </w:r>
      <w:r w:rsidRPr="00D806C2">
        <w:rPr>
          <w:lang w:val="en-US"/>
        </w:rPr>
        <w:t xml:space="preserve">makers about gaps in the implementation of the </w:t>
      </w:r>
      <w:r w:rsidR="00D806C2">
        <w:rPr>
          <w:lang w:val="en-US"/>
        </w:rPr>
        <w:t xml:space="preserve">seven Outcomes of the UN </w:t>
      </w:r>
      <w:r w:rsidRPr="00D806C2">
        <w:rPr>
          <w:lang w:val="en-US"/>
        </w:rPr>
        <w:t>Ocean Decade</w:t>
      </w:r>
      <w:r w:rsidR="00D806C2">
        <w:rPr>
          <w:lang w:val="en-US"/>
        </w:rPr>
        <w:t xml:space="preserve">, </w:t>
      </w:r>
      <w:r w:rsidRPr="00D806C2">
        <w:rPr>
          <w:lang w:val="en-US"/>
        </w:rPr>
        <w:t xml:space="preserve">and, in the longer term, about gaps on the path to ocean well-being. The </w:t>
      </w:r>
      <w:proofErr w:type="spellStart"/>
      <w:r w:rsidRPr="00D806C2">
        <w:rPr>
          <w:lang w:val="en-US"/>
        </w:rPr>
        <w:t>StOR</w:t>
      </w:r>
      <w:proofErr w:type="spellEnd"/>
      <w:r w:rsidRPr="00D806C2">
        <w:rPr>
          <w:lang w:val="en-US"/>
        </w:rPr>
        <w:t xml:space="preserve"> will be used to inform policy and administrative priorities and identify research focus areas that need to be strengthened or developed.</w:t>
      </w:r>
    </w:p>
    <w:p w14:paraId="691E27D7" w14:textId="64E396F7" w:rsidR="008A6268" w:rsidRPr="00D806C2" w:rsidRDefault="008A6268" w:rsidP="00236842">
      <w:pPr>
        <w:pStyle w:val="COI"/>
        <w:rPr>
          <w:lang w:val="en-US"/>
        </w:rPr>
      </w:pPr>
      <w:r w:rsidRPr="00D806C2">
        <w:rPr>
          <w:lang w:val="en-US"/>
        </w:rPr>
        <w:lastRenderedPageBreak/>
        <w:t xml:space="preserve">(ii) </w:t>
      </w:r>
      <w:r w:rsidRPr="00D806C2">
        <w:rPr>
          <w:lang w:val="en-US"/>
        </w:rPr>
        <w:tab/>
        <w:t>Inform policymakers about the state of the ocean to stimulate actions towards ‘the ocean we need for the future we want’, contributing to the 2030 Agenda and in particular SDG</w:t>
      </w:r>
      <w:r w:rsidR="00D806C2">
        <w:rPr>
          <w:lang w:val="en-US"/>
        </w:rPr>
        <w:t> </w:t>
      </w:r>
      <w:r w:rsidRPr="00D806C2">
        <w:rPr>
          <w:lang w:val="en-US"/>
        </w:rPr>
        <w:t xml:space="preserve">14, which reads ‘Conserve and sustainably use the oceans, </w:t>
      </w:r>
      <w:proofErr w:type="gramStart"/>
      <w:r w:rsidRPr="00D806C2">
        <w:rPr>
          <w:lang w:val="en-US"/>
        </w:rPr>
        <w:t>seas</w:t>
      </w:r>
      <w:proofErr w:type="gramEnd"/>
      <w:r w:rsidRPr="00D806C2">
        <w:rPr>
          <w:lang w:val="en-US"/>
        </w:rPr>
        <w:t xml:space="preserve"> and marine resources’, as well as other global processes such as the UNFCCC, the Convention on Biological Diversity, and the Sendai Framework. The </w:t>
      </w:r>
      <w:proofErr w:type="spellStart"/>
      <w:r w:rsidRPr="00D806C2">
        <w:rPr>
          <w:lang w:val="en-US"/>
        </w:rPr>
        <w:t>StOR</w:t>
      </w:r>
      <w:proofErr w:type="spellEnd"/>
      <w:r w:rsidRPr="00D806C2">
        <w:rPr>
          <w:lang w:val="en-US"/>
        </w:rPr>
        <w:t xml:space="preserve"> will be used to assist in the implementation of stronger science-based ocean governance frameworks at national and global levels.</w:t>
      </w:r>
    </w:p>
    <w:p w14:paraId="47A8D093" w14:textId="77777777"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will present the results of ocean-related scientific activities and analyses to describe the current and future state of the ocean, addressing physical, chemical, ecological, socio-economic and governance aspects, focusing on the seven Outcomes of the Ocean Decade. </w:t>
      </w:r>
    </w:p>
    <w:p w14:paraId="3256675A" w14:textId="0A237293"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Ocean Decade Outcomes represent the main features of the ‘ocean we want’ at the end of the Decade </w:t>
      </w:r>
      <w:r w:rsidR="00D806C2">
        <w:rPr>
          <w:rFonts w:asciiTheme="minorBidi" w:hAnsiTheme="minorBidi" w:cstheme="minorBidi"/>
          <w:color w:val="000000"/>
          <w:sz w:val="22"/>
          <w:szCs w:val="22"/>
          <w:lang w:val="en-US"/>
        </w:rPr>
        <w:t xml:space="preserve">in 2030 </w:t>
      </w:r>
      <w:r w:rsidRPr="00236842">
        <w:rPr>
          <w:rFonts w:asciiTheme="minorBidi" w:hAnsiTheme="minorBidi" w:cstheme="minorBidi"/>
          <w:color w:val="000000"/>
          <w:sz w:val="22"/>
          <w:szCs w:val="22"/>
          <w:lang w:val="en-US"/>
        </w:rPr>
        <w:t xml:space="preserve">and are therefore well suited to serve as a framework for monitoring the state of the ocean during the </w:t>
      </w:r>
      <w:r w:rsidR="00D806C2">
        <w:rPr>
          <w:rFonts w:asciiTheme="minorBidi" w:hAnsiTheme="minorBidi" w:cstheme="minorBidi"/>
          <w:color w:val="000000"/>
          <w:sz w:val="22"/>
          <w:szCs w:val="22"/>
          <w:lang w:val="en-US"/>
        </w:rPr>
        <w:t xml:space="preserve">Ocean </w:t>
      </w:r>
      <w:r w:rsidRPr="00236842">
        <w:rPr>
          <w:rFonts w:asciiTheme="minorBidi" w:hAnsiTheme="minorBidi" w:cstheme="minorBidi"/>
          <w:color w:val="000000"/>
          <w:sz w:val="22"/>
          <w:szCs w:val="22"/>
          <w:lang w:val="en-US"/>
        </w:rPr>
        <w:t xml:space="preserve">Decade. Structuring the report around the Outcomes rather than the Challenges </w:t>
      </w:r>
      <w:r w:rsidR="00D806C2">
        <w:rPr>
          <w:rFonts w:asciiTheme="minorBidi" w:hAnsiTheme="minorBidi" w:cstheme="minorBidi"/>
          <w:color w:val="000000"/>
          <w:sz w:val="22"/>
          <w:szCs w:val="22"/>
          <w:lang w:val="en-US"/>
        </w:rPr>
        <w:t xml:space="preserve">of the Decade </w:t>
      </w:r>
      <w:r w:rsidRPr="00236842">
        <w:rPr>
          <w:rFonts w:asciiTheme="minorBidi" w:hAnsiTheme="minorBidi" w:cstheme="minorBidi"/>
          <w:color w:val="000000"/>
          <w:sz w:val="22"/>
          <w:szCs w:val="22"/>
          <w:lang w:val="en-US"/>
        </w:rPr>
        <w:t xml:space="preserve">should improve the assimilation of the results presented. It will also strongly complement the other elements of the Ocean Decade monitoring and evaluation framework that focus on action-oriented activities and other key elements of the enabling environment of the Ocean Decade. Even after the end of the </w:t>
      </w:r>
      <w:r w:rsidR="00D806C2">
        <w:rPr>
          <w:rFonts w:asciiTheme="minorBidi" w:hAnsiTheme="minorBidi" w:cstheme="minorBidi"/>
          <w:color w:val="000000"/>
          <w:sz w:val="22"/>
          <w:szCs w:val="22"/>
          <w:lang w:val="en-US"/>
        </w:rPr>
        <w:t xml:space="preserve">Ocean </w:t>
      </w:r>
      <w:r w:rsidRPr="00236842">
        <w:rPr>
          <w:rFonts w:asciiTheme="minorBidi" w:hAnsiTheme="minorBidi" w:cstheme="minorBidi"/>
          <w:color w:val="000000"/>
          <w:sz w:val="22"/>
          <w:szCs w:val="22"/>
          <w:lang w:val="en-US"/>
        </w:rPr>
        <w:t>Decade</w:t>
      </w:r>
      <w:r w:rsidR="00D806C2">
        <w:rPr>
          <w:rFonts w:asciiTheme="minorBidi" w:hAnsiTheme="minorBidi" w:cstheme="minorBidi"/>
          <w:color w:val="000000"/>
          <w:sz w:val="22"/>
          <w:szCs w:val="22"/>
          <w:lang w:val="en-US"/>
        </w:rPr>
        <w:t>, its</w:t>
      </w:r>
      <w:r w:rsidRPr="00236842">
        <w:rPr>
          <w:rFonts w:asciiTheme="minorBidi" w:hAnsiTheme="minorBidi" w:cstheme="minorBidi"/>
          <w:color w:val="000000"/>
          <w:sz w:val="22"/>
          <w:szCs w:val="22"/>
          <w:lang w:val="en-US"/>
        </w:rPr>
        <w:t xml:space="preserve"> </w:t>
      </w:r>
      <w:r w:rsidR="005A3F02">
        <w:rPr>
          <w:rFonts w:asciiTheme="minorBidi" w:hAnsiTheme="minorBidi" w:cstheme="minorBidi"/>
          <w:color w:val="000000"/>
          <w:sz w:val="22"/>
          <w:szCs w:val="22"/>
          <w:lang w:val="en-US"/>
        </w:rPr>
        <w:t xml:space="preserve">seven </w:t>
      </w:r>
      <w:r w:rsidR="00D806C2" w:rsidRPr="00D806C2">
        <w:rPr>
          <w:rFonts w:asciiTheme="minorBidi" w:hAnsiTheme="minorBidi" w:cstheme="minorBidi"/>
          <w:color w:val="000000"/>
          <w:sz w:val="22"/>
          <w:szCs w:val="22"/>
          <w:lang w:val="en-US"/>
        </w:rPr>
        <w:t xml:space="preserve">Outcomes </w:t>
      </w:r>
      <w:r w:rsidRPr="00236842">
        <w:rPr>
          <w:rFonts w:asciiTheme="minorBidi" w:hAnsiTheme="minorBidi" w:cstheme="minorBidi"/>
          <w:color w:val="000000"/>
          <w:sz w:val="22"/>
          <w:szCs w:val="22"/>
          <w:lang w:val="en-US"/>
        </w:rPr>
        <w:t xml:space="preserve">will represent general and globally agreed priorities on the path to ocean well-being. This will ensure that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also has a long-term perspective beyond the </w:t>
      </w:r>
      <w:r w:rsidR="005A3F02">
        <w:rPr>
          <w:rFonts w:asciiTheme="minorBidi" w:hAnsiTheme="minorBidi" w:cstheme="minorBidi"/>
          <w:color w:val="000000"/>
          <w:sz w:val="22"/>
          <w:szCs w:val="22"/>
          <w:lang w:val="en-US"/>
        </w:rPr>
        <w:t xml:space="preserve">UN Ocean </w:t>
      </w:r>
      <w:r w:rsidRPr="00236842">
        <w:rPr>
          <w:rFonts w:asciiTheme="minorBidi" w:hAnsiTheme="minorBidi" w:cstheme="minorBidi"/>
          <w:color w:val="000000"/>
          <w:sz w:val="22"/>
          <w:szCs w:val="22"/>
          <w:lang w:val="en-US"/>
        </w:rPr>
        <w:t>Decade</w:t>
      </w:r>
      <w:r w:rsidR="005A3F02">
        <w:rPr>
          <w:rFonts w:asciiTheme="minorBidi" w:hAnsiTheme="minorBidi" w:cstheme="minorBidi"/>
          <w:color w:val="000000"/>
          <w:sz w:val="22"/>
          <w:szCs w:val="22"/>
          <w:lang w:val="en-US"/>
        </w:rPr>
        <w:t xml:space="preserve"> (2021–2030)</w:t>
      </w:r>
      <w:r w:rsidRPr="00236842">
        <w:rPr>
          <w:rFonts w:asciiTheme="minorBidi" w:hAnsiTheme="minorBidi" w:cstheme="minorBidi"/>
          <w:color w:val="000000"/>
          <w:sz w:val="22"/>
          <w:szCs w:val="22"/>
          <w:lang w:val="en-US"/>
        </w:rPr>
        <w:t>.</w:t>
      </w:r>
    </w:p>
    <w:p w14:paraId="37C7BA44" w14:textId="0CEF3A03"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target audience of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are therefore primarily policy- and decision-makers, while being a potential source for information about the status of the ocean for the media and the </w:t>
      </w:r>
      <w:proofErr w:type="gramStart"/>
      <w:r w:rsidRPr="00236842">
        <w:rPr>
          <w:rFonts w:asciiTheme="minorBidi" w:hAnsiTheme="minorBidi" w:cstheme="minorBidi"/>
          <w:color w:val="000000"/>
          <w:sz w:val="22"/>
          <w:szCs w:val="22"/>
          <w:lang w:val="en-US"/>
        </w:rPr>
        <w:t>general public</w:t>
      </w:r>
      <w:proofErr w:type="gramEnd"/>
      <w:r w:rsidRPr="00236842">
        <w:rPr>
          <w:rFonts w:asciiTheme="minorBidi" w:hAnsiTheme="minorBidi" w:cstheme="minorBidi"/>
          <w:color w:val="000000"/>
          <w:sz w:val="22"/>
          <w:szCs w:val="22"/>
          <w:lang w:val="en-US"/>
        </w:rPr>
        <w:t>.</w:t>
      </w:r>
    </w:p>
    <w:p w14:paraId="0441A2FD" w14:textId="7F2C152C"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majority of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sections will be provided by IOC expert working groups and projects, IOC</w:t>
      </w:r>
      <w:r w:rsidR="005A3F02">
        <w:rPr>
          <w:rFonts w:asciiTheme="minorBidi" w:hAnsiTheme="minorBidi" w:cstheme="minorBidi"/>
          <w:color w:val="000000"/>
          <w:sz w:val="22"/>
          <w:szCs w:val="22"/>
          <w:lang w:val="en-US"/>
        </w:rPr>
        <w:t>-</w:t>
      </w:r>
      <w:r w:rsidRPr="00236842">
        <w:rPr>
          <w:rFonts w:asciiTheme="minorBidi" w:hAnsiTheme="minorBidi" w:cstheme="minorBidi"/>
          <w:color w:val="000000"/>
          <w:sz w:val="22"/>
          <w:szCs w:val="22"/>
          <w:lang w:val="en-US"/>
        </w:rPr>
        <w:t xml:space="preserve">affiliated activities, Ocean Decade </w:t>
      </w:r>
      <w:proofErr w:type="spellStart"/>
      <w:r w:rsidRPr="00236842">
        <w:rPr>
          <w:rFonts w:asciiTheme="minorBidi" w:hAnsiTheme="minorBidi" w:cstheme="minorBidi"/>
          <w:color w:val="000000"/>
          <w:sz w:val="22"/>
          <w:szCs w:val="22"/>
          <w:lang w:val="en-US"/>
        </w:rPr>
        <w:t>programmes</w:t>
      </w:r>
      <w:proofErr w:type="spellEnd"/>
      <w:r w:rsidRPr="00236842">
        <w:rPr>
          <w:rFonts w:asciiTheme="minorBidi" w:hAnsiTheme="minorBidi" w:cstheme="minorBidi"/>
          <w:color w:val="000000"/>
          <w:sz w:val="22"/>
          <w:szCs w:val="22"/>
          <w:lang w:val="en-US"/>
        </w:rPr>
        <w:t>, and</w:t>
      </w:r>
      <w:r w:rsidR="005A3F02">
        <w:rPr>
          <w:rFonts w:asciiTheme="minorBidi" w:hAnsiTheme="minorBidi" w:cstheme="minorBidi"/>
          <w:color w:val="000000"/>
          <w:sz w:val="22"/>
          <w:szCs w:val="22"/>
          <w:lang w:val="en-US"/>
        </w:rPr>
        <w:t xml:space="preserve"> </w:t>
      </w:r>
      <w:proofErr w:type="gramStart"/>
      <w:r w:rsidR="005A3F02">
        <w:rPr>
          <w:rFonts w:asciiTheme="minorBidi" w:hAnsiTheme="minorBidi" w:cstheme="minorBidi"/>
          <w:color w:val="000000"/>
          <w:sz w:val="22"/>
          <w:szCs w:val="22"/>
          <w:lang w:val="en-US"/>
        </w:rPr>
        <w:t>on the</w:t>
      </w:r>
      <w:r w:rsidRPr="00236842">
        <w:rPr>
          <w:rFonts w:asciiTheme="minorBidi" w:hAnsiTheme="minorBidi" w:cstheme="minorBidi"/>
          <w:color w:val="000000"/>
          <w:sz w:val="22"/>
          <w:szCs w:val="22"/>
          <w:lang w:val="en-US"/>
        </w:rPr>
        <w:t xml:space="preserve"> bas</w:t>
      </w:r>
      <w:r w:rsidR="005A3F02">
        <w:rPr>
          <w:rFonts w:asciiTheme="minorBidi" w:hAnsiTheme="minorBidi" w:cstheme="minorBidi"/>
          <w:color w:val="000000"/>
          <w:sz w:val="22"/>
          <w:szCs w:val="22"/>
          <w:lang w:val="en-US"/>
        </w:rPr>
        <w:t xml:space="preserve">is </w:t>
      </w:r>
      <w:r w:rsidRPr="00236842">
        <w:rPr>
          <w:rFonts w:asciiTheme="minorBidi" w:hAnsiTheme="minorBidi" w:cstheme="minorBidi"/>
          <w:color w:val="000000"/>
          <w:sz w:val="22"/>
          <w:szCs w:val="22"/>
          <w:lang w:val="en-US"/>
        </w:rPr>
        <w:t>o</w:t>
      </w:r>
      <w:r w:rsidR="005A3F02">
        <w:rPr>
          <w:rFonts w:asciiTheme="minorBidi" w:hAnsiTheme="minorBidi" w:cstheme="minorBidi"/>
          <w:color w:val="000000"/>
          <w:sz w:val="22"/>
          <w:szCs w:val="22"/>
          <w:lang w:val="en-US"/>
        </w:rPr>
        <w:t>f</w:t>
      </w:r>
      <w:proofErr w:type="gramEnd"/>
      <w:r w:rsidRPr="00236842">
        <w:rPr>
          <w:rFonts w:asciiTheme="minorBidi" w:hAnsiTheme="minorBidi" w:cstheme="minorBidi"/>
          <w:color w:val="000000"/>
          <w:sz w:val="22"/>
          <w:szCs w:val="22"/>
          <w:lang w:val="en-US"/>
        </w:rPr>
        <w:t xml:space="preserve"> collaborations with other international and </w:t>
      </w:r>
      <w:proofErr w:type="spellStart"/>
      <w:r w:rsidRPr="00236842">
        <w:rPr>
          <w:rFonts w:asciiTheme="minorBidi" w:hAnsiTheme="minorBidi" w:cstheme="minorBidi"/>
          <w:color w:val="000000"/>
          <w:sz w:val="22"/>
          <w:szCs w:val="22"/>
          <w:lang w:val="en-US"/>
        </w:rPr>
        <w:t>U</w:t>
      </w:r>
      <w:r w:rsidR="005A3F02">
        <w:rPr>
          <w:rFonts w:asciiTheme="minorBidi" w:hAnsiTheme="minorBidi" w:cstheme="minorBidi"/>
          <w:color w:val="000000"/>
          <w:sz w:val="22"/>
          <w:szCs w:val="22"/>
          <w:lang w:val="en-US"/>
        </w:rPr>
        <w:t>bited</w:t>
      </w:r>
      <w:proofErr w:type="spellEnd"/>
      <w:r w:rsidR="005A3F02">
        <w:rPr>
          <w:rFonts w:asciiTheme="minorBidi" w:hAnsiTheme="minorBidi" w:cstheme="minorBidi"/>
          <w:color w:val="000000"/>
          <w:sz w:val="22"/>
          <w:szCs w:val="22"/>
          <w:lang w:val="en-US"/>
        </w:rPr>
        <w:t xml:space="preserve"> </w:t>
      </w:r>
      <w:r w:rsidRPr="00236842">
        <w:rPr>
          <w:rFonts w:asciiTheme="minorBidi" w:hAnsiTheme="minorBidi" w:cstheme="minorBidi"/>
          <w:color w:val="000000"/>
          <w:sz w:val="22"/>
          <w:szCs w:val="22"/>
          <w:lang w:val="en-US"/>
        </w:rPr>
        <w:t>N</w:t>
      </w:r>
      <w:r w:rsidR="005A3F02">
        <w:rPr>
          <w:rFonts w:asciiTheme="minorBidi" w:hAnsiTheme="minorBidi" w:cstheme="minorBidi"/>
          <w:color w:val="000000"/>
          <w:sz w:val="22"/>
          <w:szCs w:val="22"/>
          <w:lang w:val="en-US"/>
        </w:rPr>
        <w:t>ations</w:t>
      </w:r>
      <w:r w:rsidRPr="00236842">
        <w:rPr>
          <w:rFonts w:asciiTheme="minorBidi" w:hAnsiTheme="minorBidi" w:cstheme="minorBidi"/>
          <w:color w:val="000000"/>
          <w:sz w:val="22"/>
          <w:szCs w:val="22"/>
          <w:lang w:val="en-US"/>
        </w:rPr>
        <w:t xml:space="preserve"> organizations.</w:t>
      </w:r>
    </w:p>
    <w:p w14:paraId="7303B6DA" w14:textId="4A6138F4"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There are already a number of related publications which focus on the ocean or contain dedicated sections exploring ocean themes, raising awareness on the importance of the ocean for the general public, policymakers and other marine stakeholders, such as the UN World Ocean Assessment (WOA), WMO </w:t>
      </w:r>
      <w:r w:rsidRPr="00236842">
        <w:rPr>
          <w:rFonts w:asciiTheme="minorBidi" w:hAnsiTheme="minorBidi" w:cstheme="minorBidi"/>
          <w:i/>
          <w:iCs/>
          <w:color w:val="000000"/>
          <w:sz w:val="22"/>
          <w:szCs w:val="22"/>
          <w:lang w:val="en-US"/>
        </w:rPr>
        <w:t>State of the Global Climate Report</w:t>
      </w:r>
      <w:r w:rsidRPr="00236842">
        <w:rPr>
          <w:rFonts w:asciiTheme="minorBidi" w:hAnsiTheme="minorBidi" w:cstheme="minorBidi"/>
          <w:color w:val="000000"/>
          <w:sz w:val="22"/>
          <w:szCs w:val="22"/>
          <w:lang w:val="en-US"/>
        </w:rPr>
        <w:t xml:space="preserve">, IPBES, </w:t>
      </w:r>
      <w:r w:rsidR="005A3F02">
        <w:rPr>
          <w:rFonts w:asciiTheme="minorBidi" w:hAnsiTheme="minorBidi" w:cstheme="minorBidi"/>
          <w:color w:val="000000"/>
          <w:sz w:val="22"/>
          <w:szCs w:val="22"/>
          <w:lang w:val="en-US"/>
        </w:rPr>
        <w:t xml:space="preserve">FAO </w:t>
      </w:r>
      <w:r w:rsidR="005A3F02">
        <w:rPr>
          <w:rFonts w:asciiTheme="minorBidi" w:hAnsiTheme="minorBidi" w:cstheme="minorBidi"/>
          <w:i/>
          <w:iCs/>
          <w:color w:val="000000"/>
          <w:sz w:val="22"/>
          <w:szCs w:val="22"/>
          <w:lang w:val="en-US"/>
        </w:rPr>
        <w:t xml:space="preserve">State of World Fisheries and Aquaculture </w:t>
      </w:r>
      <w:r w:rsidR="005A3F02" w:rsidRPr="00236842">
        <w:rPr>
          <w:rFonts w:asciiTheme="minorBidi" w:hAnsiTheme="minorBidi" w:cstheme="minorBidi"/>
          <w:color w:val="000000"/>
          <w:sz w:val="22"/>
          <w:szCs w:val="22"/>
          <w:lang w:val="en-US"/>
        </w:rPr>
        <w:t>(</w:t>
      </w:r>
      <w:r w:rsidRPr="00236842">
        <w:rPr>
          <w:rFonts w:asciiTheme="minorBidi" w:hAnsiTheme="minorBidi" w:cstheme="minorBidi"/>
          <w:color w:val="000000"/>
          <w:sz w:val="22"/>
          <w:szCs w:val="22"/>
          <w:lang w:val="en-US"/>
        </w:rPr>
        <w:t>Sofia</w:t>
      </w:r>
      <w:r w:rsidR="005A3F02">
        <w:rPr>
          <w:rFonts w:asciiTheme="minorBidi" w:hAnsiTheme="minorBidi" w:cstheme="minorBidi"/>
          <w:color w:val="000000"/>
          <w:sz w:val="22"/>
          <w:szCs w:val="22"/>
          <w:lang w:val="en-US"/>
        </w:rPr>
        <w:t xml:space="preserve"> 2022)</w:t>
      </w:r>
      <w:r w:rsidRPr="00236842">
        <w:rPr>
          <w:rFonts w:asciiTheme="minorBidi" w:hAnsiTheme="minorBidi" w:cstheme="minorBidi"/>
          <w:color w:val="000000"/>
          <w:sz w:val="22"/>
          <w:szCs w:val="22"/>
          <w:lang w:val="en-US"/>
        </w:rPr>
        <w:t xml:space="preserve"> Report, IPCC reports, AMS </w:t>
      </w:r>
      <w:r w:rsidRPr="00236842">
        <w:rPr>
          <w:rFonts w:asciiTheme="minorBidi" w:hAnsiTheme="minorBidi" w:cstheme="minorBidi"/>
          <w:i/>
          <w:iCs/>
          <w:color w:val="000000"/>
          <w:sz w:val="22"/>
          <w:szCs w:val="22"/>
          <w:lang w:val="en-US"/>
        </w:rPr>
        <w:t>State of the Climate Report</w:t>
      </w:r>
      <w:r w:rsidRPr="00236842">
        <w:rPr>
          <w:rFonts w:asciiTheme="minorBidi" w:hAnsiTheme="minorBidi" w:cstheme="minorBidi"/>
          <w:color w:val="000000"/>
          <w:sz w:val="22"/>
          <w:szCs w:val="22"/>
          <w:lang w:val="en-US"/>
        </w:rPr>
        <w:t xml:space="preserve">, among others. </w:t>
      </w:r>
    </w:p>
    <w:p w14:paraId="5B6CB64D" w14:textId="48223CB0" w:rsidR="0087134A" w:rsidRPr="00236842" w:rsidRDefault="0087134A" w:rsidP="009F59FF">
      <w:pPr>
        <w:pStyle w:val="NormalWeb"/>
        <w:numPr>
          <w:ilvl w:val="0"/>
          <w:numId w:val="30"/>
        </w:numPr>
        <w:tabs>
          <w:tab w:val="left" w:pos="709"/>
        </w:tabs>
        <w:spacing w:before="0" w:beforeAutospacing="0" w:after="12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production is guided by an Advisory Board, with the following Terms of Reference</w:t>
      </w:r>
      <w:r w:rsidR="00B5651F">
        <w:rPr>
          <w:rFonts w:asciiTheme="minorBidi" w:hAnsiTheme="minorBidi" w:cstheme="minorBidi"/>
          <w:color w:val="000000"/>
          <w:sz w:val="22"/>
          <w:szCs w:val="22"/>
          <w:lang w:val="en-US"/>
        </w:rPr>
        <w:t xml:space="preserve"> (</w:t>
      </w:r>
      <w:r w:rsidR="00B5651F" w:rsidRPr="00B5651F">
        <w:rPr>
          <w:rFonts w:asciiTheme="minorBidi" w:hAnsiTheme="minorBidi" w:cstheme="minorBidi"/>
          <w:color w:val="000000"/>
          <w:sz w:val="22"/>
          <w:szCs w:val="22"/>
          <w:lang w:val="en-US"/>
        </w:rPr>
        <w:t>Annex to Decision A-32/4.2</w:t>
      </w:r>
      <w:r w:rsidR="00B5651F">
        <w:rPr>
          <w:rFonts w:asciiTheme="minorBidi" w:hAnsiTheme="minorBidi" w:cstheme="minorBidi"/>
          <w:color w:val="000000"/>
          <w:sz w:val="22"/>
          <w:szCs w:val="22"/>
          <w:lang w:val="en-US"/>
        </w:rPr>
        <w:t>)</w:t>
      </w:r>
      <w:r w:rsidRPr="00236842">
        <w:rPr>
          <w:rFonts w:asciiTheme="minorBidi" w:hAnsiTheme="minorBidi" w:cstheme="minorBidi"/>
          <w:color w:val="000000"/>
          <w:sz w:val="22"/>
          <w:szCs w:val="22"/>
          <w:lang w:val="en-US"/>
        </w:rPr>
        <w:t>:</w:t>
      </w:r>
    </w:p>
    <w:p w14:paraId="09A17BB3" w14:textId="77777777" w:rsidR="0087134A" w:rsidRPr="00236842" w:rsidRDefault="0087134A" w:rsidP="00236842">
      <w:pPr>
        <w:pStyle w:val="NormalWeb"/>
        <w:numPr>
          <w:ilvl w:val="0"/>
          <w:numId w:val="23"/>
        </w:numPr>
        <w:spacing w:before="0" w:beforeAutospacing="0" w:after="120" w:afterAutospacing="0"/>
        <w:ind w:left="1092"/>
        <w:jc w:val="both"/>
        <w:textAlignment w:val="baseline"/>
        <w:rPr>
          <w:rFonts w:asciiTheme="minorBidi" w:hAnsiTheme="minorBidi" w:cstheme="minorBidi"/>
          <w:i/>
          <w:iCs/>
          <w:color w:val="000000"/>
          <w:sz w:val="22"/>
          <w:szCs w:val="22"/>
          <w:lang w:val="en-US"/>
        </w:rPr>
      </w:pPr>
      <w:r w:rsidRPr="00236842">
        <w:rPr>
          <w:rFonts w:asciiTheme="minorBidi" w:hAnsiTheme="minorBidi" w:cstheme="minorBidi"/>
          <w:i/>
          <w:iCs/>
          <w:color w:val="000000"/>
          <w:sz w:val="22"/>
          <w:szCs w:val="22"/>
          <w:lang w:val="en-US"/>
        </w:rPr>
        <w:t xml:space="preserve">Guide the ongoing development of the Concept Note of the State of the Ocean Report to ensure the further refinement of the purpose, frequency, scope, target audience, and alignment of the </w:t>
      </w:r>
      <w:proofErr w:type="spellStart"/>
      <w:r w:rsidRPr="00236842">
        <w:rPr>
          <w:rFonts w:asciiTheme="minorBidi" w:hAnsiTheme="minorBidi" w:cstheme="minorBidi"/>
          <w:i/>
          <w:iCs/>
          <w:color w:val="000000"/>
          <w:sz w:val="22"/>
          <w:szCs w:val="22"/>
          <w:lang w:val="en-US"/>
        </w:rPr>
        <w:t>StOR</w:t>
      </w:r>
      <w:proofErr w:type="spellEnd"/>
      <w:r w:rsidRPr="00236842">
        <w:rPr>
          <w:rFonts w:asciiTheme="minorBidi" w:hAnsiTheme="minorBidi" w:cstheme="minorBidi"/>
          <w:i/>
          <w:iCs/>
          <w:color w:val="000000"/>
          <w:sz w:val="22"/>
          <w:szCs w:val="22"/>
          <w:lang w:val="en-US"/>
        </w:rPr>
        <w:t xml:space="preserve"> with other UN assessment reports.</w:t>
      </w:r>
    </w:p>
    <w:p w14:paraId="13133F06" w14:textId="77777777" w:rsidR="0087134A" w:rsidRPr="00236842" w:rsidRDefault="0087134A" w:rsidP="00236842">
      <w:pPr>
        <w:pStyle w:val="NormalWeb"/>
        <w:numPr>
          <w:ilvl w:val="0"/>
          <w:numId w:val="23"/>
        </w:numPr>
        <w:spacing w:before="0" w:beforeAutospacing="0" w:after="120" w:afterAutospacing="0"/>
        <w:ind w:left="1092"/>
        <w:jc w:val="both"/>
        <w:textAlignment w:val="baseline"/>
        <w:rPr>
          <w:rFonts w:asciiTheme="minorBidi" w:hAnsiTheme="minorBidi" w:cstheme="minorBidi"/>
          <w:i/>
          <w:iCs/>
          <w:color w:val="000000"/>
          <w:sz w:val="22"/>
          <w:szCs w:val="22"/>
          <w:lang w:val="en-US"/>
        </w:rPr>
      </w:pPr>
      <w:r w:rsidRPr="00236842">
        <w:rPr>
          <w:rFonts w:asciiTheme="minorBidi" w:hAnsiTheme="minorBidi" w:cstheme="minorBidi"/>
          <w:i/>
          <w:iCs/>
          <w:color w:val="000000"/>
          <w:sz w:val="22"/>
          <w:szCs w:val="22"/>
          <w:lang w:val="en-US"/>
        </w:rPr>
        <w:t xml:space="preserve">Provide advice to the Secretariat in support of the production of the </w:t>
      </w:r>
      <w:proofErr w:type="spellStart"/>
      <w:r w:rsidRPr="00236842">
        <w:rPr>
          <w:rFonts w:asciiTheme="minorBidi" w:hAnsiTheme="minorBidi" w:cstheme="minorBidi"/>
          <w:i/>
          <w:iCs/>
          <w:color w:val="000000"/>
          <w:sz w:val="22"/>
          <w:szCs w:val="22"/>
          <w:lang w:val="en-US"/>
        </w:rPr>
        <w:t>StOR</w:t>
      </w:r>
      <w:proofErr w:type="spellEnd"/>
      <w:r w:rsidRPr="00236842">
        <w:rPr>
          <w:rFonts w:asciiTheme="minorBidi" w:hAnsiTheme="minorBidi" w:cstheme="minorBidi"/>
          <w:i/>
          <w:iCs/>
          <w:color w:val="000000"/>
          <w:sz w:val="22"/>
          <w:szCs w:val="22"/>
          <w:lang w:val="en-US"/>
        </w:rPr>
        <w:t>, including:</w:t>
      </w:r>
    </w:p>
    <w:p w14:paraId="6465771C" w14:textId="77777777" w:rsidR="0087134A" w:rsidRPr="00236842" w:rsidRDefault="0087134A" w:rsidP="00236842">
      <w:pPr>
        <w:pStyle w:val="NormalWeb"/>
        <w:numPr>
          <w:ilvl w:val="1"/>
          <w:numId w:val="24"/>
        </w:numPr>
        <w:spacing w:before="0" w:beforeAutospacing="0" w:after="120" w:afterAutospacing="0"/>
        <w:ind w:left="1610" w:hanging="510"/>
        <w:jc w:val="both"/>
        <w:textAlignment w:val="baseline"/>
        <w:rPr>
          <w:rFonts w:asciiTheme="minorBidi" w:hAnsiTheme="minorBidi" w:cstheme="minorBidi"/>
          <w:i/>
          <w:iCs/>
          <w:color w:val="000000"/>
          <w:sz w:val="22"/>
          <w:szCs w:val="22"/>
          <w:lang w:val="en-US"/>
        </w:rPr>
      </w:pPr>
      <w:r w:rsidRPr="00236842">
        <w:rPr>
          <w:rFonts w:asciiTheme="minorBidi" w:hAnsiTheme="minorBidi" w:cstheme="minorBidi"/>
          <w:i/>
          <w:iCs/>
          <w:color w:val="000000"/>
          <w:sz w:val="22"/>
          <w:szCs w:val="22"/>
          <w:lang w:val="en-US"/>
        </w:rPr>
        <w:t>defining themes relevant for the different Ocean Decade Outcomes, </w:t>
      </w:r>
    </w:p>
    <w:p w14:paraId="23975446" w14:textId="77777777" w:rsidR="0087134A" w:rsidRPr="00236842" w:rsidRDefault="0087134A" w:rsidP="00236842">
      <w:pPr>
        <w:pStyle w:val="NormalWeb"/>
        <w:numPr>
          <w:ilvl w:val="1"/>
          <w:numId w:val="24"/>
        </w:numPr>
        <w:spacing w:before="0" w:beforeAutospacing="0" w:after="120" w:afterAutospacing="0"/>
        <w:ind w:left="1610" w:hanging="510"/>
        <w:jc w:val="both"/>
        <w:textAlignment w:val="baseline"/>
        <w:rPr>
          <w:rFonts w:asciiTheme="minorBidi" w:hAnsiTheme="minorBidi" w:cstheme="minorBidi"/>
          <w:i/>
          <w:iCs/>
          <w:color w:val="000000"/>
          <w:sz w:val="22"/>
          <w:szCs w:val="22"/>
          <w:lang w:val="en-US"/>
        </w:rPr>
      </w:pPr>
      <w:r w:rsidRPr="00236842">
        <w:rPr>
          <w:rFonts w:asciiTheme="minorBidi" w:hAnsiTheme="minorBidi" w:cstheme="minorBidi"/>
          <w:i/>
          <w:iCs/>
          <w:color w:val="000000"/>
          <w:sz w:val="22"/>
          <w:szCs w:val="22"/>
          <w:lang w:val="en-US"/>
        </w:rPr>
        <w:t>identifying the respective topics for the section,</w:t>
      </w:r>
    </w:p>
    <w:p w14:paraId="7F88D8DE" w14:textId="77777777" w:rsidR="0087134A" w:rsidRPr="00236842" w:rsidRDefault="0087134A" w:rsidP="00236842">
      <w:pPr>
        <w:pStyle w:val="NormalWeb"/>
        <w:numPr>
          <w:ilvl w:val="1"/>
          <w:numId w:val="24"/>
        </w:numPr>
        <w:spacing w:before="0" w:beforeAutospacing="0" w:after="120" w:afterAutospacing="0"/>
        <w:ind w:left="1610" w:hanging="510"/>
        <w:jc w:val="both"/>
        <w:textAlignment w:val="baseline"/>
        <w:rPr>
          <w:rFonts w:asciiTheme="minorBidi" w:hAnsiTheme="minorBidi" w:cstheme="minorBidi"/>
          <w:i/>
          <w:iCs/>
          <w:color w:val="000000"/>
          <w:sz w:val="22"/>
          <w:szCs w:val="22"/>
          <w:lang w:val="en-US"/>
        </w:rPr>
      </w:pPr>
      <w:r w:rsidRPr="00236842">
        <w:rPr>
          <w:rFonts w:asciiTheme="minorBidi" w:hAnsiTheme="minorBidi" w:cstheme="minorBidi"/>
          <w:i/>
          <w:iCs/>
          <w:color w:val="000000"/>
          <w:sz w:val="22"/>
          <w:szCs w:val="22"/>
          <w:lang w:val="en-US"/>
        </w:rPr>
        <w:t>identifying authors and reviewers for each section which reflect diversity in expertise, gender, geographic representation, career status and Indigenous Peoples and other coastal communities.</w:t>
      </w:r>
    </w:p>
    <w:p w14:paraId="3FF4BBE1" w14:textId="77777777" w:rsidR="0087134A" w:rsidRPr="00236842" w:rsidRDefault="0087134A" w:rsidP="00236842">
      <w:pPr>
        <w:pStyle w:val="NormalWeb"/>
        <w:numPr>
          <w:ilvl w:val="0"/>
          <w:numId w:val="23"/>
        </w:numPr>
        <w:spacing w:before="0" w:beforeAutospacing="0" w:after="240" w:afterAutospacing="0"/>
        <w:ind w:left="938"/>
        <w:jc w:val="both"/>
        <w:textAlignment w:val="baseline"/>
        <w:rPr>
          <w:rFonts w:asciiTheme="minorBidi" w:hAnsiTheme="minorBidi" w:cstheme="minorBidi"/>
          <w:i/>
          <w:iCs/>
          <w:color w:val="000000"/>
          <w:sz w:val="22"/>
          <w:szCs w:val="22"/>
          <w:lang w:val="en-US"/>
        </w:rPr>
      </w:pPr>
      <w:r w:rsidRPr="00236842">
        <w:rPr>
          <w:rFonts w:asciiTheme="minorBidi" w:hAnsiTheme="minorBidi" w:cstheme="minorBidi"/>
          <w:i/>
          <w:iCs/>
          <w:color w:val="000000"/>
          <w:sz w:val="22"/>
          <w:szCs w:val="22"/>
          <w:lang w:val="en-US"/>
        </w:rPr>
        <w:t xml:space="preserve">Provide regular reports on the concept and production of the </w:t>
      </w:r>
      <w:proofErr w:type="spellStart"/>
      <w:r w:rsidRPr="00236842">
        <w:rPr>
          <w:rFonts w:asciiTheme="minorBidi" w:hAnsiTheme="minorBidi" w:cstheme="minorBidi"/>
          <w:i/>
          <w:iCs/>
          <w:color w:val="000000"/>
          <w:sz w:val="22"/>
          <w:szCs w:val="22"/>
          <w:lang w:val="en-US"/>
        </w:rPr>
        <w:t>StOR</w:t>
      </w:r>
      <w:proofErr w:type="spellEnd"/>
      <w:r w:rsidRPr="00236842">
        <w:rPr>
          <w:rFonts w:asciiTheme="minorBidi" w:hAnsiTheme="minorBidi" w:cstheme="minorBidi"/>
          <w:i/>
          <w:iCs/>
          <w:color w:val="000000"/>
          <w:sz w:val="22"/>
          <w:szCs w:val="22"/>
          <w:lang w:val="en-US"/>
        </w:rPr>
        <w:t xml:space="preserve"> to IOC governing bodies.</w:t>
      </w:r>
    </w:p>
    <w:p w14:paraId="0A45C76F" w14:textId="77777777"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It is expected that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will be published on a regular basis (every two years, depending on available financial and human recourses).</w:t>
      </w:r>
    </w:p>
    <w:p w14:paraId="4114E8FF" w14:textId="4D41636F"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lastRenderedPageBreak/>
        <w:t>Each edition will feature multiple sections representing topics covering global assessments relevant to each Ocean Decade Outcome.</w:t>
      </w:r>
    </w:p>
    <w:p w14:paraId="5A3B54A7" w14:textId="220C0953"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Editions of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shall be comprehensive but concise, with 2-5 sections per Ocean Decade Outcome. A section is a brief narrative description of a parameter(s) related to the specific Ocean Decade Outcome. </w:t>
      </w:r>
    </w:p>
    <w:p w14:paraId="312B7897" w14:textId="1F3BBF85"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decision on topics and list of contributors to each section is guided by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Advisory Board and the review by Member States. Lead authors are invited to fill gaps in the authorship in diversity in expertise, gender, geographic representation, career status and Indigenous Peoples and other coastal communities, where appropriate.  </w:t>
      </w:r>
    </w:p>
    <w:p w14:paraId="6BBDFE3D" w14:textId="77777777" w:rsidR="0087134A" w:rsidRPr="00236842" w:rsidRDefault="0087134A"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A 2- to 3-page executive summary will be preceding the main body of the text, organized around the seven Ocean Decade Outcomes, illustrating key findings highlighted by sections. </w:t>
      </w:r>
    </w:p>
    <w:p w14:paraId="4342F50C" w14:textId="77777777" w:rsidR="00B5651F" w:rsidRDefault="0087134A" w:rsidP="009F59FF">
      <w:pPr>
        <w:pStyle w:val="NormalWeb"/>
        <w:numPr>
          <w:ilvl w:val="0"/>
          <w:numId w:val="30"/>
        </w:numPr>
        <w:tabs>
          <w:tab w:val="left" w:pos="709"/>
        </w:tabs>
        <w:spacing w:before="0" w:beforeAutospacing="0" w:after="12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The authors of each section are asked to provide a quantitative assessment related to the topic, not exceeding 3 pages (including figures and references). The figures and graphs included in the section, once redesigned, will be an important tool to illustrate the findings to a non-expert audience. Authors are advised to follow the section template (see Annex </w:t>
      </w:r>
      <w:r w:rsidR="008D2347" w:rsidRPr="00236842">
        <w:rPr>
          <w:rFonts w:asciiTheme="minorBidi" w:hAnsiTheme="minorBidi" w:cstheme="minorBidi"/>
          <w:color w:val="000000"/>
          <w:sz w:val="22"/>
          <w:szCs w:val="22"/>
          <w:lang w:val="en-US"/>
        </w:rPr>
        <w:t>1</w:t>
      </w:r>
      <w:r w:rsidRPr="00236842">
        <w:rPr>
          <w:rFonts w:asciiTheme="minorBidi" w:hAnsiTheme="minorBidi" w:cstheme="minorBidi"/>
          <w:color w:val="000000"/>
          <w:sz w:val="22"/>
          <w:szCs w:val="22"/>
          <w:lang w:val="en-US"/>
        </w:rPr>
        <w:t xml:space="preserve">) which guides on content and format. Each section will be organized as follows: </w:t>
      </w:r>
    </w:p>
    <w:p w14:paraId="15F6B29A" w14:textId="77777777" w:rsidR="00B5651F" w:rsidRDefault="0087134A" w:rsidP="00236842">
      <w:pPr>
        <w:pStyle w:val="NormalWeb"/>
        <w:numPr>
          <w:ilvl w:val="0"/>
          <w:numId w:val="29"/>
        </w:numPr>
        <w:spacing w:before="0" w:beforeAutospacing="0" w:after="120" w:afterAutospacing="0"/>
        <w:ind w:left="1358" w:hanging="63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a brief introduction to the issue presented and why it is relevant for illustrating the respective outcome, </w:t>
      </w:r>
    </w:p>
    <w:p w14:paraId="6E28E664" w14:textId="55343846" w:rsidR="00B5651F" w:rsidRDefault="0087134A" w:rsidP="00236842">
      <w:pPr>
        <w:pStyle w:val="NormalWeb"/>
        <w:numPr>
          <w:ilvl w:val="0"/>
          <w:numId w:val="29"/>
        </w:numPr>
        <w:spacing w:before="0" w:beforeAutospacing="0" w:after="120" w:afterAutospacing="0"/>
        <w:ind w:left="1358" w:hanging="63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a description of the current state of knowledge with quantitative and qualitative analyses and conclusions, as well as</w:t>
      </w:r>
      <w:r w:rsidR="00B5651F">
        <w:rPr>
          <w:rFonts w:asciiTheme="minorBidi" w:hAnsiTheme="minorBidi" w:cstheme="minorBidi"/>
          <w:color w:val="000000"/>
          <w:sz w:val="22"/>
          <w:szCs w:val="22"/>
          <w:lang w:val="en-US"/>
        </w:rPr>
        <w:t>,</w:t>
      </w:r>
      <w:r w:rsidRPr="00236842">
        <w:rPr>
          <w:rFonts w:asciiTheme="minorBidi" w:hAnsiTheme="minorBidi" w:cstheme="minorBidi"/>
          <w:color w:val="000000"/>
          <w:sz w:val="22"/>
          <w:szCs w:val="22"/>
          <w:lang w:val="en-US"/>
        </w:rPr>
        <w:t xml:space="preserve"> </w:t>
      </w:r>
    </w:p>
    <w:p w14:paraId="72CF4BA4" w14:textId="292E3EB8" w:rsidR="0087134A" w:rsidRPr="00236842" w:rsidRDefault="0087134A" w:rsidP="00236842">
      <w:pPr>
        <w:pStyle w:val="NormalWeb"/>
        <w:numPr>
          <w:ilvl w:val="0"/>
          <w:numId w:val="29"/>
        </w:numPr>
        <w:spacing w:before="0" w:beforeAutospacing="0" w:after="240" w:afterAutospacing="0"/>
        <w:ind w:left="1358" w:hanging="63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next steps that would be required for the topic of the contribution to achieve the respective Ocean Decade Outcome.</w:t>
      </w:r>
    </w:p>
    <w:p w14:paraId="2969D708" w14:textId="77777777" w:rsidR="008D2347" w:rsidRPr="00D806C2" w:rsidRDefault="008D2347" w:rsidP="00B5651F">
      <w:pPr>
        <w:pStyle w:val="Heading3"/>
      </w:pPr>
      <w:r w:rsidRPr="00D806C2">
        <w:t>Financial and administrative implications</w:t>
      </w:r>
    </w:p>
    <w:p w14:paraId="5C6B06ED" w14:textId="59352F98" w:rsidR="008D2347" w:rsidRPr="00236842" w:rsidRDefault="008D2347"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is part of the activities under Function D, ‘Support assessment and information to improve the science-policy interface’. The allocated regular budget is insufficient to produce the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w:t>
      </w:r>
      <w:r w:rsidR="00D376D2" w:rsidRPr="00236842">
        <w:rPr>
          <w:rFonts w:asciiTheme="minorBidi" w:hAnsiTheme="minorBidi" w:cstheme="minorBidi"/>
          <w:color w:val="000000"/>
          <w:sz w:val="22"/>
          <w:szCs w:val="22"/>
          <w:lang w:val="en-US"/>
        </w:rPr>
        <w:t>2024</w:t>
      </w:r>
      <w:r w:rsidR="00B5651F">
        <w:rPr>
          <w:rFonts w:asciiTheme="minorBidi" w:hAnsiTheme="minorBidi" w:cstheme="minorBidi"/>
          <w:color w:val="000000"/>
          <w:sz w:val="22"/>
          <w:szCs w:val="22"/>
          <w:lang w:val="en-US"/>
        </w:rPr>
        <w:t>–</w:t>
      </w:r>
      <w:r w:rsidR="00D376D2" w:rsidRPr="00236842">
        <w:rPr>
          <w:rFonts w:asciiTheme="minorBidi" w:hAnsiTheme="minorBidi" w:cstheme="minorBidi"/>
          <w:color w:val="000000"/>
          <w:sz w:val="22"/>
          <w:szCs w:val="22"/>
          <w:lang w:val="en-US"/>
        </w:rPr>
        <w:t xml:space="preserve">2025 </w:t>
      </w:r>
      <w:r w:rsidRPr="00236842">
        <w:rPr>
          <w:rFonts w:asciiTheme="minorBidi" w:hAnsiTheme="minorBidi" w:cstheme="minorBidi"/>
          <w:color w:val="000000"/>
          <w:sz w:val="22"/>
          <w:szCs w:val="22"/>
          <w:lang w:val="en-US"/>
        </w:rPr>
        <w:t>R</w:t>
      </w:r>
      <w:r w:rsidR="00D376D2" w:rsidRPr="00236842">
        <w:rPr>
          <w:rFonts w:asciiTheme="minorBidi" w:hAnsiTheme="minorBidi" w:cstheme="minorBidi"/>
          <w:color w:val="000000"/>
          <w:sz w:val="22"/>
          <w:szCs w:val="22"/>
          <w:lang w:val="en-US"/>
        </w:rPr>
        <w:t>e</w:t>
      </w:r>
      <w:r w:rsidR="00B5651F">
        <w:rPr>
          <w:rFonts w:asciiTheme="minorBidi" w:hAnsiTheme="minorBidi" w:cstheme="minorBidi"/>
          <w:color w:val="000000"/>
          <w:sz w:val="22"/>
          <w:szCs w:val="22"/>
          <w:lang w:val="en-US"/>
        </w:rPr>
        <w:t>g</w:t>
      </w:r>
      <w:r w:rsidR="00D376D2" w:rsidRPr="00236842">
        <w:rPr>
          <w:rFonts w:asciiTheme="minorBidi" w:hAnsiTheme="minorBidi" w:cstheme="minorBidi"/>
          <w:color w:val="000000"/>
          <w:sz w:val="22"/>
          <w:szCs w:val="22"/>
          <w:lang w:val="en-US"/>
        </w:rPr>
        <w:t xml:space="preserve">ular </w:t>
      </w:r>
      <w:proofErr w:type="spellStart"/>
      <w:r w:rsidR="00D376D2" w:rsidRPr="00236842">
        <w:rPr>
          <w:rFonts w:asciiTheme="minorBidi" w:hAnsiTheme="minorBidi" w:cstheme="minorBidi"/>
          <w:color w:val="000000"/>
          <w:sz w:val="22"/>
          <w:szCs w:val="22"/>
          <w:lang w:val="en-US"/>
        </w:rPr>
        <w:t>Programme</w:t>
      </w:r>
      <w:proofErr w:type="spellEnd"/>
      <w:r w:rsidR="00D376D2" w:rsidRPr="00236842">
        <w:rPr>
          <w:rFonts w:asciiTheme="minorBidi" w:hAnsiTheme="minorBidi" w:cstheme="minorBidi"/>
          <w:color w:val="000000"/>
          <w:sz w:val="22"/>
          <w:szCs w:val="22"/>
          <w:lang w:val="en-US"/>
        </w:rPr>
        <w:t xml:space="preserve"> </w:t>
      </w:r>
      <w:r w:rsidRPr="00236842">
        <w:rPr>
          <w:rFonts w:asciiTheme="minorBidi" w:hAnsiTheme="minorBidi" w:cstheme="minorBidi"/>
          <w:color w:val="000000"/>
          <w:sz w:val="22"/>
          <w:szCs w:val="22"/>
          <w:lang w:val="en-US"/>
        </w:rPr>
        <w:t>Workplan n°</w:t>
      </w:r>
      <w:r w:rsidR="00964F99" w:rsidRPr="00236842">
        <w:rPr>
          <w:rFonts w:asciiTheme="minorBidi" w:hAnsiTheme="minorBidi" w:cstheme="minorBidi"/>
          <w:sz w:val="22"/>
          <w:szCs w:val="22"/>
          <w:lang w:val="en-US"/>
        </w:rPr>
        <w:t xml:space="preserve"> </w:t>
      </w:r>
      <w:r w:rsidR="00964F99" w:rsidRPr="00236842">
        <w:rPr>
          <w:rFonts w:asciiTheme="minorBidi" w:hAnsiTheme="minorBidi" w:cstheme="minorBidi"/>
          <w:color w:val="000000"/>
          <w:sz w:val="22"/>
          <w:szCs w:val="22"/>
          <w:lang w:val="en-US"/>
        </w:rPr>
        <w:t>42001108</w:t>
      </w:r>
      <w:r w:rsidRPr="00236842">
        <w:rPr>
          <w:rFonts w:asciiTheme="minorBidi" w:hAnsiTheme="minorBidi" w:cstheme="minorBidi"/>
          <w:color w:val="000000"/>
          <w:sz w:val="22"/>
          <w:szCs w:val="22"/>
          <w:lang w:val="en-US"/>
        </w:rPr>
        <w:t>: Follow-up to SDGs, WOA &amp; State of the Ocean Reporting).</w:t>
      </w:r>
    </w:p>
    <w:p w14:paraId="10F594B5" w14:textId="31CBC29C" w:rsidR="008D2347" w:rsidRPr="00236842" w:rsidRDefault="008D2347" w:rsidP="009F59FF">
      <w:pPr>
        <w:pStyle w:val="NormalWeb"/>
        <w:numPr>
          <w:ilvl w:val="0"/>
          <w:numId w:val="30"/>
        </w:numPr>
        <w:tabs>
          <w:tab w:val="left" w:pos="709"/>
        </w:tabs>
        <w:spacing w:before="0" w:beforeAutospacing="0" w:after="240" w:afterAutospacing="0"/>
        <w:ind w:left="0" w:firstLine="0"/>
        <w:jc w:val="both"/>
        <w:textAlignment w:val="baseline"/>
        <w:rPr>
          <w:rFonts w:asciiTheme="minorBidi" w:hAnsiTheme="minorBidi" w:cstheme="minorBidi"/>
          <w:color w:val="000000"/>
          <w:sz w:val="22"/>
          <w:szCs w:val="22"/>
          <w:lang w:val="en-US"/>
        </w:rPr>
      </w:pPr>
      <w:r w:rsidRPr="00236842">
        <w:rPr>
          <w:rFonts w:asciiTheme="minorBidi" w:hAnsiTheme="minorBidi" w:cstheme="minorBidi"/>
          <w:color w:val="000000"/>
          <w:sz w:val="22"/>
          <w:szCs w:val="22"/>
          <w:lang w:val="en-US"/>
        </w:rPr>
        <w:t xml:space="preserve">The publication of a regular </w:t>
      </w:r>
      <w:proofErr w:type="spellStart"/>
      <w:r w:rsidRPr="00236842">
        <w:rPr>
          <w:rFonts w:asciiTheme="minorBidi" w:hAnsiTheme="minorBidi" w:cstheme="minorBidi"/>
          <w:color w:val="000000"/>
          <w:sz w:val="22"/>
          <w:szCs w:val="22"/>
          <w:lang w:val="en-US"/>
        </w:rPr>
        <w:t>StOR</w:t>
      </w:r>
      <w:proofErr w:type="spellEnd"/>
      <w:r w:rsidRPr="00236842">
        <w:rPr>
          <w:rFonts w:asciiTheme="minorBidi" w:hAnsiTheme="minorBidi" w:cstheme="minorBidi"/>
          <w:color w:val="000000"/>
          <w:sz w:val="22"/>
          <w:szCs w:val="22"/>
          <w:lang w:val="en-US"/>
        </w:rPr>
        <w:t xml:space="preserve"> will require human and extrabudgetary financial support by IOC Member States to finance coordination at the IOC Secretariat, editorial work, translation, layout, design, </w:t>
      </w:r>
      <w:proofErr w:type="gramStart"/>
      <w:r w:rsidRPr="00236842">
        <w:rPr>
          <w:rFonts w:asciiTheme="minorBidi" w:hAnsiTheme="minorBidi" w:cstheme="minorBidi"/>
          <w:color w:val="000000"/>
          <w:sz w:val="22"/>
          <w:szCs w:val="22"/>
          <w:lang w:val="en-US"/>
        </w:rPr>
        <w:t>printing</w:t>
      </w:r>
      <w:proofErr w:type="gramEnd"/>
      <w:r w:rsidRPr="00236842">
        <w:rPr>
          <w:rFonts w:asciiTheme="minorBidi" w:hAnsiTheme="minorBidi" w:cstheme="minorBidi"/>
          <w:color w:val="000000"/>
          <w:sz w:val="22"/>
          <w:szCs w:val="22"/>
          <w:lang w:val="en-US"/>
        </w:rPr>
        <w:t xml:space="preserve"> and communication.</w:t>
      </w:r>
    </w:p>
    <w:p w14:paraId="70F5ABD1" w14:textId="57CDF8B7" w:rsidR="008D2347" w:rsidRDefault="008D2347" w:rsidP="00B5651F">
      <w:pPr>
        <w:pStyle w:val="Heading3"/>
        <w:rPr>
          <w:lang w:val="en-US"/>
        </w:rPr>
      </w:pPr>
      <w:r>
        <w:rPr>
          <w:lang w:val="en-US"/>
        </w:rPr>
        <w:br w:type="page"/>
      </w:r>
    </w:p>
    <w:p w14:paraId="1A2FAE93" w14:textId="77777777" w:rsidR="008D2347" w:rsidRDefault="008D2347">
      <w:pPr>
        <w:tabs>
          <w:tab w:val="clear" w:pos="567"/>
        </w:tabs>
        <w:snapToGrid/>
        <w:rPr>
          <w:rFonts w:cs="Arial"/>
          <w:snapToGrid/>
          <w:color w:val="000000"/>
          <w:szCs w:val="22"/>
          <w:lang w:val="en-US"/>
        </w:rPr>
      </w:pPr>
    </w:p>
    <w:p w14:paraId="08B46775" w14:textId="65275502" w:rsidR="008D2347" w:rsidRPr="00236842" w:rsidRDefault="008D2347" w:rsidP="00B5651F">
      <w:pPr>
        <w:pStyle w:val="Heading3"/>
        <w:rPr>
          <w:b w:val="0"/>
          <w:bCs w:val="0"/>
          <w:i/>
          <w:iCs/>
        </w:rPr>
      </w:pPr>
      <w:r w:rsidRPr="0054485F">
        <w:t xml:space="preserve">Annex </w:t>
      </w:r>
      <w:r w:rsidR="00FC7176">
        <w:t>1</w:t>
      </w:r>
      <w:r w:rsidRPr="0054485F">
        <w:t xml:space="preserve">: The </w:t>
      </w:r>
      <w:proofErr w:type="spellStart"/>
      <w:r w:rsidRPr="0054485F">
        <w:t>StOR</w:t>
      </w:r>
      <w:proofErr w:type="spellEnd"/>
      <w:r w:rsidRPr="0054485F">
        <w:t xml:space="preserve"> Contribution Template</w:t>
      </w:r>
      <w:r w:rsidR="00236842">
        <w:t xml:space="preserve"> </w:t>
      </w:r>
      <w:r w:rsidR="00236842">
        <w:rPr>
          <w:b w:val="0"/>
          <w:bCs w:val="0"/>
          <w:i/>
          <w:iCs/>
        </w:rPr>
        <w:t>(English only)</w:t>
      </w:r>
    </w:p>
    <w:p w14:paraId="0BF1A52F"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b/>
          <w:bCs/>
          <w:color w:val="000000"/>
          <w:lang w:val="en-US"/>
        </w:rPr>
        <w:t>Outcome X</w:t>
      </w:r>
    </w:p>
    <w:p w14:paraId="505ABFF5" w14:textId="77777777" w:rsidR="008D2347" w:rsidRPr="00AB2717" w:rsidRDefault="008D2347" w:rsidP="008D2347">
      <w:pPr>
        <w:pStyle w:val="NormalWeb"/>
        <w:spacing w:before="180" w:beforeAutospacing="0" w:after="0" w:afterAutospacing="0"/>
        <w:ind w:left="7" w:right="166"/>
        <w:jc w:val="both"/>
        <w:rPr>
          <w:lang w:val="en-US"/>
        </w:rPr>
      </w:pPr>
      <w:r w:rsidRPr="00AB2717">
        <w:rPr>
          <w:rFonts w:ascii="Arial" w:hAnsi="Arial" w:cs="Arial"/>
          <w:b/>
          <w:bCs/>
          <w:i/>
          <w:iCs/>
          <w:color w:val="000000"/>
          <w:sz w:val="22"/>
          <w:szCs w:val="22"/>
          <w:shd w:val="clear" w:color="auto" w:fill="C0C0C0"/>
          <w:lang w:val="en-US"/>
        </w:rPr>
        <w:t>[Title]</w:t>
      </w:r>
      <w:r w:rsidRPr="00AB2717">
        <w:rPr>
          <w:rFonts w:ascii="Arial" w:hAnsi="Arial" w:cs="Arial"/>
          <w:b/>
          <w:bCs/>
          <w:i/>
          <w:iCs/>
          <w:color w:val="000000"/>
          <w:sz w:val="22"/>
          <w:szCs w:val="22"/>
          <w:lang w:val="en-US"/>
        </w:rPr>
        <w:t xml:space="preserve"> </w:t>
      </w:r>
      <w:r w:rsidRPr="00AB2717">
        <w:rPr>
          <w:rFonts w:ascii="Arial" w:hAnsi="Arial" w:cs="Arial"/>
          <w:color w:val="000000"/>
          <w:sz w:val="22"/>
          <w:szCs w:val="22"/>
          <w:lang w:val="en-US"/>
        </w:rPr>
        <w:t>maximum 80 characters</w:t>
      </w:r>
    </w:p>
    <w:p w14:paraId="44830992"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lang w:val="en-US"/>
        </w:rPr>
        <w:t xml:space="preserve">Authors: </w:t>
      </w:r>
      <w:r w:rsidRPr="00AB2717">
        <w:rPr>
          <w:rFonts w:ascii="Arial" w:hAnsi="Arial" w:cs="Arial"/>
          <w:color w:val="000000"/>
          <w:sz w:val="22"/>
          <w:szCs w:val="22"/>
          <w:shd w:val="clear" w:color="auto" w:fill="C0C0C0"/>
          <w:lang w:val="en-US"/>
        </w:rPr>
        <w:t>[name, first name</w:t>
      </w:r>
      <w:r w:rsidRPr="00AB2717">
        <w:rPr>
          <w:rFonts w:ascii="Arial" w:hAnsi="Arial" w:cs="Arial"/>
          <w:color w:val="000000"/>
          <w:sz w:val="13"/>
          <w:szCs w:val="13"/>
          <w:shd w:val="clear" w:color="auto" w:fill="C0C0C0"/>
          <w:vertAlign w:val="superscript"/>
          <w:lang w:val="en-US"/>
        </w:rPr>
        <w:t>1</w:t>
      </w:r>
      <w:r w:rsidRPr="00AB2717">
        <w:rPr>
          <w:rFonts w:ascii="Arial" w:hAnsi="Arial" w:cs="Arial"/>
          <w:color w:val="000000"/>
          <w:sz w:val="22"/>
          <w:szCs w:val="22"/>
          <w:shd w:val="clear" w:color="auto" w:fill="C0C0C0"/>
          <w:lang w:val="en-US"/>
        </w:rPr>
        <w:t>, name, first name</w:t>
      </w:r>
      <w:r w:rsidRPr="00AB2717">
        <w:rPr>
          <w:rFonts w:ascii="Arial" w:hAnsi="Arial" w:cs="Arial"/>
          <w:color w:val="000000"/>
          <w:sz w:val="13"/>
          <w:szCs w:val="13"/>
          <w:shd w:val="clear" w:color="auto" w:fill="C0C0C0"/>
          <w:vertAlign w:val="superscript"/>
          <w:lang w:val="en-US"/>
        </w:rPr>
        <w:t>2</w:t>
      </w:r>
      <w:r w:rsidRPr="00AB2717">
        <w:rPr>
          <w:rFonts w:ascii="Arial" w:hAnsi="Arial" w:cs="Arial"/>
          <w:color w:val="000000"/>
          <w:sz w:val="22"/>
          <w:szCs w:val="22"/>
          <w:shd w:val="clear" w:color="auto" w:fill="C0C0C0"/>
          <w:lang w:val="en-US"/>
        </w:rPr>
        <w:t>, ….]</w:t>
      </w:r>
      <w:r w:rsidRPr="00AB2717">
        <w:rPr>
          <w:rFonts w:ascii="Arial" w:hAnsi="Arial" w:cs="Arial"/>
          <w:color w:val="000000"/>
          <w:sz w:val="22"/>
          <w:szCs w:val="22"/>
          <w:lang w:val="en-US"/>
        </w:rPr>
        <w:t> </w:t>
      </w:r>
    </w:p>
    <w:p w14:paraId="721311A2"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13"/>
          <w:szCs w:val="13"/>
          <w:vertAlign w:val="superscript"/>
          <w:lang w:val="en-US"/>
        </w:rPr>
        <w:t>1</w:t>
      </w:r>
      <w:r w:rsidRPr="00AB2717">
        <w:rPr>
          <w:rFonts w:ascii="Arial" w:hAnsi="Arial" w:cs="Arial"/>
          <w:color w:val="000000"/>
          <w:sz w:val="22"/>
          <w:szCs w:val="22"/>
          <w:lang w:val="en-US"/>
        </w:rPr>
        <w:t xml:space="preserve"> </w:t>
      </w:r>
      <w:r w:rsidRPr="00AB2717">
        <w:rPr>
          <w:rFonts w:ascii="Arial" w:hAnsi="Arial" w:cs="Arial"/>
          <w:color w:val="000000"/>
          <w:sz w:val="22"/>
          <w:szCs w:val="22"/>
          <w:shd w:val="clear" w:color="auto" w:fill="C0C0C0"/>
          <w:lang w:val="en-US"/>
        </w:rPr>
        <w:t>[Affiliation, Country, email corresponding author]</w:t>
      </w:r>
    </w:p>
    <w:p w14:paraId="60986DC2"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13"/>
          <w:szCs w:val="13"/>
          <w:vertAlign w:val="superscript"/>
          <w:lang w:val="en-US"/>
        </w:rPr>
        <w:t>2</w:t>
      </w:r>
      <w:r w:rsidRPr="00AB2717">
        <w:rPr>
          <w:rFonts w:ascii="Arial" w:hAnsi="Arial" w:cs="Arial"/>
          <w:color w:val="000000"/>
          <w:sz w:val="22"/>
          <w:szCs w:val="22"/>
          <w:lang w:val="en-US"/>
        </w:rPr>
        <w:t xml:space="preserve"> </w:t>
      </w:r>
      <w:r w:rsidRPr="00AB2717">
        <w:rPr>
          <w:rFonts w:ascii="Arial" w:hAnsi="Arial" w:cs="Arial"/>
          <w:color w:val="000000"/>
          <w:sz w:val="22"/>
          <w:szCs w:val="22"/>
          <w:shd w:val="clear" w:color="auto" w:fill="C0C0C0"/>
          <w:lang w:val="en-US"/>
        </w:rPr>
        <w:t>[Affiliation, country]</w:t>
      </w:r>
    </w:p>
    <w:p w14:paraId="52B799B2" w14:textId="77777777" w:rsidR="008D2347" w:rsidRPr="00AB2717" w:rsidRDefault="008D2347" w:rsidP="008D2347">
      <w:pPr>
        <w:pStyle w:val="NormalWeb"/>
        <w:spacing w:before="180" w:beforeAutospacing="0" w:after="0" w:afterAutospacing="0"/>
        <w:ind w:left="7" w:right="166"/>
        <w:jc w:val="both"/>
        <w:rPr>
          <w:lang w:val="en-US"/>
        </w:rPr>
      </w:pPr>
      <w:r w:rsidRPr="00AB2717">
        <w:rPr>
          <w:rFonts w:ascii="Arial" w:hAnsi="Arial" w:cs="Arial"/>
          <w:color w:val="000000"/>
          <w:sz w:val="22"/>
          <w:szCs w:val="22"/>
          <w:shd w:val="clear" w:color="auto" w:fill="C0C0C0"/>
          <w:lang w:val="en-US"/>
        </w:rPr>
        <w:t xml:space="preserve">[Introductory text including relevance of the topic to the Decade outcome in </w:t>
      </w:r>
      <w:proofErr w:type="gramStart"/>
      <w:r w:rsidRPr="00AB2717">
        <w:rPr>
          <w:rFonts w:ascii="Arial" w:hAnsi="Arial" w:cs="Arial"/>
          <w:color w:val="000000"/>
          <w:sz w:val="22"/>
          <w:szCs w:val="22"/>
          <w:shd w:val="clear" w:color="auto" w:fill="C0C0C0"/>
          <w:lang w:val="en-US"/>
        </w:rPr>
        <w:t>question ]</w:t>
      </w:r>
      <w:proofErr w:type="gramEnd"/>
    </w:p>
    <w:p w14:paraId="689022EB"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lang w:val="en-US"/>
        </w:rPr>
        <w:t>150 words maximum</w:t>
      </w:r>
    </w:p>
    <w:p w14:paraId="7C9888BA" w14:textId="77777777" w:rsidR="008D2347" w:rsidRPr="00AB2717" w:rsidRDefault="008D2347" w:rsidP="008D2347">
      <w:pPr>
        <w:pStyle w:val="NormalWeb"/>
        <w:spacing w:before="180" w:beforeAutospacing="0" w:after="0" w:afterAutospacing="0"/>
        <w:ind w:left="7" w:right="166"/>
        <w:jc w:val="both"/>
        <w:rPr>
          <w:lang w:val="en-US"/>
        </w:rPr>
      </w:pPr>
      <w:r w:rsidRPr="00AB2717">
        <w:rPr>
          <w:rFonts w:ascii="Arial" w:hAnsi="Arial" w:cs="Arial"/>
          <w:color w:val="000000"/>
          <w:sz w:val="22"/>
          <w:szCs w:val="22"/>
          <w:shd w:val="clear" w:color="auto" w:fill="C0C0C0"/>
          <w:lang w:val="en-US"/>
        </w:rPr>
        <w:t>[Description of findings, trends, status</w:t>
      </w:r>
      <w:r w:rsidRPr="00AB2717">
        <w:rPr>
          <w:rFonts w:ascii="Arial" w:hAnsi="Arial" w:cs="Arial"/>
          <w:color w:val="000000"/>
          <w:sz w:val="22"/>
          <w:szCs w:val="22"/>
          <w:lang w:val="en-US"/>
        </w:rPr>
        <w:t>]</w:t>
      </w:r>
    </w:p>
    <w:p w14:paraId="02C25557"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lang w:val="en-US"/>
        </w:rPr>
        <w:t xml:space="preserve">500 </w:t>
      </w:r>
      <w:proofErr w:type="gramStart"/>
      <w:r w:rsidRPr="00AB2717">
        <w:rPr>
          <w:rFonts w:ascii="Arial" w:hAnsi="Arial" w:cs="Arial"/>
          <w:color w:val="000000"/>
          <w:sz w:val="22"/>
          <w:szCs w:val="22"/>
          <w:lang w:val="en-US"/>
        </w:rPr>
        <w:t>maximum</w:t>
      </w:r>
      <w:proofErr w:type="gramEnd"/>
    </w:p>
    <w:p w14:paraId="74509131" w14:textId="77777777" w:rsidR="008D2347" w:rsidRPr="00AB2717" w:rsidRDefault="008D2347" w:rsidP="008D2347">
      <w:pPr>
        <w:pStyle w:val="NormalWeb"/>
        <w:spacing w:before="180" w:beforeAutospacing="0" w:after="0" w:afterAutospacing="0"/>
        <w:ind w:left="7" w:right="166"/>
        <w:jc w:val="both"/>
        <w:rPr>
          <w:lang w:val="en-US"/>
        </w:rPr>
      </w:pPr>
      <w:r w:rsidRPr="00AB2717">
        <w:rPr>
          <w:rFonts w:ascii="Arial" w:hAnsi="Arial" w:cs="Arial"/>
          <w:color w:val="000000"/>
          <w:sz w:val="22"/>
          <w:szCs w:val="22"/>
          <w:shd w:val="clear" w:color="auto" w:fill="C0C0C0"/>
          <w:lang w:val="en-US"/>
        </w:rPr>
        <w:t>[Conclusion, next steps]</w:t>
      </w:r>
    </w:p>
    <w:p w14:paraId="51DEF38C"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lang w:val="en-US"/>
        </w:rPr>
        <w:t>150 words maximum</w:t>
      </w:r>
    </w:p>
    <w:p w14:paraId="71321E3E" w14:textId="77777777" w:rsidR="008D2347" w:rsidRPr="00AB2717" w:rsidRDefault="008D2347" w:rsidP="008D2347">
      <w:pPr>
        <w:spacing w:after="240"/>
        <w:rPr>
          <w:lang w:val="en-US"/>
        </w:rPr>
      </w:pPr>
    </w:p>
    <w:p w14:paraId="2ABF2F4E"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lang w:val="en-US"/>
        </w:rPr>
        <w:t xml:space="preserve">Figure </w:t>
      </w:r>
      <w:r w:rsidRPr="00AB2717">
        <w:rPr>
          <w:rFonts w:ascii="Arial" w:hAnsi="Arial" w:cs="Arial"/>
          <w:color w:val="000000"/>
          <w:sz w:val="22"/>
          <w:szCs w:val="22"/>
          <w:shd w:val="clear" w:color="auto" w:fill="C0C0C0"/>
          <w:lang w:val="en-US"/>
        </w:rPr>
        <w:t>[X]</w:t>
      </w:r>
      <w:r w:rsidRPr="00AB2717">
        <w:rPr>
          <w:rFonts w:ascii="Arial" w:hAnsi="Arial" w:cs="Arial"/>
          <w:color w:val="000000"/>
          <w:sz w:val="22"/>
          <w:szCs w:val="22"/>
          <w:lang w:val="en-US"/>
        </w:rPr>
        <w:t xml:space="preserve">. </w:t>
      </w:r>
      <w:r w:rsidRPr="00AB2717">
        <w:rPr>
          <w:rFonts w:ascii="Arial" w:hAnsi="Arial" w:cs="Arial"/>
          <w:color w:val="000000"/>
          <w:sz w:val="22"/>
          <w:szCs w:val="22"/>
          <w:shd w:val="clear" w:color="auto" w:fill="C0C0C0"/>
          <w:lang w:val="en-US"/>
        </w:rPr>
        <w:t>[caption text]</w:t>
      </w:r>
      <w:r w:rsidRPr="00AB2717">
        <w:rPr>
          <w:rFonts w:ascii="Arial" w:hAnsi="Arial" w:cs="Arial"/>
          <w:color w:val="000000"/>
          <w:sz w:val="22"/>
          <w:szCs w:val="22"/>
          <w:lang w:val="en-US"/>
        </w:rPr>
        <w:t xml:space="preserve">. </w:t>
      </w:r>
      <w:r w:rsidRPr="00AB2717">
        <w:rPr>
          <w:rFonts w:ascii="Arial" w:hAnsi="Arial" w:cs="Arial"/>
          <w:i/>
          <w:iCs/>
          <w:color w:val="000000"/>
          <w:sz w:val="22"/>
          <w:szCs w:val="22"/>
          <w:lang w:val="en-US"/>
        </w:rPr>
        <w:t>Source:</w:t>
      </w:r>
      <w:r w:rsidRPr="00AB2717">
        <w:rPr>
          <w:rFonts w:ascii="Arial" w:hAnsi="Arial" w:cs="Arial"/>
          <w:color w:val="000000"/>
          <w:sz w:val="22"/>
          <w:szCs w:val="22"/>
          <w:lang w:val="en-US"/>
        </w:rPr>
        <w:t xml:space="preserve"> </w:t>
      </w:r>
      <w:r w:rsidRPr="00AB2717">
        <w:rPr>
          <w:rFonts w:ascii="Arial" w:hAnsi="Arial" w:cs="Arial"/>
          <w:color w:val="000000"/>
          <w:sz w:val="22"/>
          <w:szCs w:val="22"/>
          <w:shd w:val="clear" w:color="auto" w:fill="C0C0C0"/>
          <w:lang w:val="en-US"/>
        </w:rPr>
        <w:t>[text]</w:t>
      </w:r>
      <w:r w:rsidRPr="00AB2717">
        <w:rPr>
          <w:rFonts w:ascii="Arial" w:hAnsi="Arial" w:cs="Arial"/>
          <w:color w:val="000000"/>
          <w:sz w:val="22"/>
          <w:szCs w:val="22"/>
          <w:lang w:val="en-US"/>
        </w:rPr>
        <w:t>.</w:t>
      </w:r>
    </w:p>
    <w:p w14:paraId="038683B4" w14:textId="77777777" w:rsidR="008D2347" w:rsidRPr="00AB2717" w:rsidRDefault="008D2347" w:rsidP="008D2347">
      <w:pPr>
        <w:spacing w:after="240"/>
        <w:rPr>
          <w:lang w:val="en-US"/>
        </w:rPr>
      </w:pPr>
    </w:p>
    <w:p w14:paraId="5A7744FD"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i/>
          <w:iCs/>
          <w:color w:val="000000"/>
          <w:sz w:val="22"/>
          <w:szCs w:val="22"/>
          <w:lang w:val="en-US"/>
        </w:rPr>
        <w:t>References</w:t>
      </w:r>
    </w:p>
    <w:p w14:paraId="2C9E8B62"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lang w:val="en-US"/>
        </w:rPr>
        <w:t>examples, authors are encouraged to focus on the main publications and apply the style below</w:t>
      </w:r>
      <w:r>
        <w:rPr>
          <w:rFonts w:ascii="Arial" w:hAnsi="Arial" w:cs="Arial"/>
          <w:color w:val="000000"/>
          <w:sz w:val="22"/>
          <w:szCs w:val="22"/>
          <w:lang w:val="en-US"/>
        </w:rPr>
        <w:t>:</w:t>
      </w:r>
    </w:p>
    <w:p w14:paraId="5955F08A" w14:textId="77777777" w:rsidR="008D2347" w:rsidRPr="00AB2717" w:rsidRDefault="008D2347" w:rsidP="008D2347">
      <w:pPr>
        <w:rPr>
          <w:lang w:val="en-US"/>
        </w:rPr>
      </w:pPr>
    </w:p>
    <w:p w14:paraId="50F9B1FA" w14:textId="77777777" w:rsidR="008D2347" w:rsidRPr="00AB2717" w:rsidRDefault="008D2347" w:rsidP="00236842">
      <w:pPr>
        <w:pStyle w:val="NormalWeb"/>
        <w:spacing w:before="0" w:beforeAutospacing="0" w:after="0" w:afterAutospacing="0"/>
        <w:ind w:left="567" w:right="164" w:hanging="561"/>
        <w:jc w:val="both"/>
        <w:rPr>
          <w:lang w:val="en-US"/>
        </w:rPr>
      </w:pPr>
      <w:r w:rsidRPr="00D376D2">
        <w:rPr>
          <w:rFonts w:ascii="Arial" w:hAnsi="Arial" w:cs="Arial"/>
          <w:color w:val="000000"/>
          <w:sz w:val="22"/>
          <w:szCs w:val="22"/>
          <w:shd w:val="clear" w:color="auto" w:fill="C0C0C0"/>
          <w:lang w:val="da-DK"/>
        </w:rPr>
        <w:t>Friedlingstein, P., O’Sullivan, M., Jones, M. W., Andrew, R. M., et al</w:t>
      </w:r>
      <w:r w:rsidRPr="00D376D2">
        <w:rPr>
          <w:rFonts w:ascii="Arial" w:hAnsi="Arial" w:cs="Arial"/>
          <w:i/>
          <w:iCs/>
          <w:color w:val="000000"/>
          <w:sz w:val="22"/>
          <w:szCs w:val="22"/>
          <w:shd w:val="clear" w:color="auto" w:fill="C0C0C0"/>
          <w:lang w:val="da-DK"/>
        </w:rPr>
        <w:t>.</w:t>
      </w:r>
      <w:r w:rsidRPr="00D376D2">
        <w:rPr>
          <w:rFonts w:ascii="Arial" w:hAnsi="Arial" w:cs="Arial"/>
          <w:color w:val="000000"/>
          <w:sz w:val="22"/>
          <w:szCs w:val="22"/>
          <w:shd w:val="clear" w:color="auto" w:fill="C0C0C0"/>
          <w:lang w:val="da-DK"/>
        </w:rPr>
        <w:t xml:space="preserve"> 2020. </w:t>
      </w:r>
      <w:r w:rsidRPr="00AB2717">
        <w:rPr>
          <w:rFonts w:ascii="Arial" w:hAnsi="Arial" w:cs="Arial"/>
          <w:color w:val="000000"/>
          <w:sz w:val="22"/>
          <w:szCs w:val="22"/>
          <w:shd w:val="clear" w:color="auto" w:fill="C0C0C0"/>
          <w:lang w:val="en-US"/>
        </w:rPr>
        <w:t xml:space="preserve">Global Carbon Budget 2020. </w:t>
      </w:r>
      <w:r w:rsidRPr="00AB2717">
        <w:rPr>
          <w:rFonts w:ascii="Arial" w:hAnsi="Arial" w:cs="Arial"/>
          <w:i/>
          <w:iCs/>
          <w:color w:val="000000"/>
          <w:sz w:val="22"/>
          <w:szCs w:val="22"/>
          <w:shd w:val="clear" w:color="auto" w:fill="C0C0C0"/>
          <w:lang w:val="en-US"/>
        </w:rPr>
        <w:t>Earth System Science Data</w:t>
      </w:r>
      <w:r w:rsidRPr="00AB2717">
        <w:rPr>
          <w:rFonts w:ascii="Arial" w:hAnsi="Arial" w:cs="Arial"/>
          <w:color w:val="000000"/>
          <w:sz w:val="22"/>
          <w:szCs w:val="22"/>
          <w:shd w:val="clear" w:color="auto" w:fill="C0C0C0"/>
          <w:lang w:val="en-US"/>
        </w:rPr>
        <w:t>, Vol</w:t>
      </w:r>
      <w:r w:rsidRPr="00AB2717">
        <w:rPr>
          <w:rFonts w:ascii="Arial" w:hAnsi="Arial" w:cs="Arial"/>
          <w:i/>
          <w:iCs/>
          <w:color w:val="000000"/>
          <w:sz w:val="22"/>
          <w:szCs w:val="22"/>
          <w:shd w:val="clear" w:color="auto" w:fill="C0C0C0"/>
          <w:lang w:val="en-US"/>
        </w:rPr>
        <w:t>.</w:t>
      </w:r>
      <w:r w:rsidRPr="00AB2717">
        <w:rPr>
          <w:rFonts w:ascii="Arial" w:hAnsi="Arial" w:cs="Arial"/>
          <w:color w:val="000000"/>
          <w:sz w:val="22"/>
          <w:szCs w:val="22"/>
          <w:shd w:val="clear" w:color="auto" w:fill="C0C0C0"/>
          <w:lang w:val="en-US"/>
        </w:rPr>
        <w:t xml:space="preserve"> 12, pp. 3269–3340. </w:t>
      </w:r>
      <w:hyperlink r:id="rId15" w:history="1">
        <w:r w:rsidRPr="00AB2717">
          <w:rPr>
            <w:rStyle w:val="Hyperlink"/>
            <w:rFonts w:ascii="Arial" w:hAnsi="Arial" w:cs="Arial"/>
            <w:sz w:val="22"/>
            <w:szCs w:val="22"/>
            <w:shd w:val="clear" w:color="auto" w:fill="C0C0C0"/>
            <w:lang w:val="en-US"/>
          </w:rPr>
          <w:t>https://doi.org/10.5194/essd-12-3269-2020</w:t>
        </w:r>
      </w:hyperlink>
      <w:r w:rsidRPr="00AB2717">
        <w:rPr>
          <w:rFonts w:ascii="Arial" w:hAnsi="Arial" w:cs="Arial"/>
          <w:color w:val="000000"/>
          <w:sz w:val="22"/>
          <w:szCs w:val="22"/>
          <w:shd w:val="clear" w:color="auto" w:fill="C0C0C0"/>
          <w:lang w:val="en-US"/>
        </w:rPr>
        <w:t> </w:t>
      </w:r>
    </w:p>
    <w:p w14:paraId="162DA77A" w14:textId="77777777" w:rsidR="008D2347" w:rsidRPr="00AB2717" w:rsidRDefault="008D2347" w:rsidP="00236842">
      <w:pPr>
        <w:ind w:left="567" w:hanging="561"/>
        <w:rPr>
          <w:lang w:val="en-US"/>
        </w:rPr>
      </w:pPr>
    </w:p>
    <w:p w14:paraId="707EBD1F" w14:textId="77777777" w:rsidR="008D2347" w:rsidRPr="00AB2717" w:rsidRDefault="008D2347" w:rsidP="00236842">
      <w:pPr>
        <w:pStyle w:val="NormalWeb"/>
        <w:spacing w:before="0" w:beforeAutospacing="0" w:after="0" w:afterAutospacing="0"/>
        <w:ind w:left="567" w:right="164" w:hanging="561"/>
        <w:jc w:val="both"/>
        <w:rPr>
          <w:lang w:val="en-US"/>
        </w:rPr>
      </w:pPr>
      <w:r w:rsidRPr="00AB2717">
        <w:rPr>
          <w:rFonts w:ascii="Arial" w:hAnsi="Arial" w:cs="Arial"/>
          <w:color w:val="000000"/>
          <w:sz w:val="22"/>
          <w:szCs w:val="22"/>
          <w:shd w:val="clear" w:color="auto" w:fill="C0C0C0"/>
          <w:lang w:val="en-US"/>
        </w:rPr>
        <w:t xml:space="preserve">IPCC. 2019. </w:t>
      </w:r>
      <w:r w:rsidRPr="00AB2717">
        <w:rPr>
          <w:rFonts w:ascii="Arial" w:hAnsi="Arial" w:cs="Arial"/>
          <w:i/>
          <w:iCs/>
          <w:color w:val="000000"/>
          <w:sz w:val="22"/>
          <w:szCs w:val="22"/>
          <w:shd w:val="clear" w:color="auto" w:fill="C0C0C0"/>
          <w:lang w:val="en-US"/>
        </w:rPr>
        <w:t>IPCC Special Report on the Ocean and Cryosphere in a Changing Climate</w:t>
      </w:r>
      <w:r w:rsidRPr="00AB2717">
        <w:rPr>
          <w:rFonts w:ascii="Arial" w:hAnsi="Arial" w:cs="Arial"/>
          <w:color w:val="000000"/>
          <w:sz w:val="22"/>
          <w:szCs w:val="22"/>
          <w:shd w:val="clear" w:color="auto" w:fill="C0C0C0"/>
          <w:lang w:val="en-US"/>
        </w:rPr>
        <w:t xml:space="preserve">. (H.-O. </w:t>
      </w:r>
      <w:proofErr w:type="spellStart"/>
      <w:r w:rsidRPr="00AB2717">
        <w:rPr>
          <w:rFonts w:ascii="Arial" w:hAnsi="Arial" w:cs="Arial"/>
          <w:color w:val="000000"/>
          <w:sz w:val="22"/>
          <w:szCs w:val="22"/>
          <w:shd w:val="clear" w:color="auto" w:fill="C0C0C0"/>
          <w:lang w:val="en-US"/>
        </w:rPr>
        <w:t>Pörtner</w:t>
      </w:r>
      <w:proofErr w:type="spellEnd"/>
      <w:r w:rsidRPr="00AB2717">
        <w:rPr>
          <w:rFonts w:ascii="Arial" w:hAnsi="Arial" w:cs="Arial"/>
          <w:color w:val="000000"/>
          <w:sz w:val="22"/>
          <w:szCs w:val="22"/>
          <w:shd w:val="clear" w:color="auto" w:fill="C0C0C0"/>
          <w:lang w:val="en-US"/>
        </w:rPr>
        <w:t xml:space="preserve">, D. C. Roberts, V. Masson-Delmotte, P. Zhai, M. Tignor, E. </w:t>
      </w:r>
      <w:proofErr w:type="spellStart"/>
      <w:r w:rsidRPr="00AB2717">
        <w:rPr>
          <w:rFonts w:ascii="Arial" w:hAnsi="Arial" w:cs="Arial"/>
          <w:color w:val="000000"/>
          <w:sz w:val="22"/>
          <w:szCs w:val="22"/>
          <w:shd w:val="clear" w:color="auto" w:fill="C0C0C0"/>
          <w:lang w:val="en-US"/>
        </w:rPr>
        <w:t>Poloczanska</w:t>
      </w:r>
      <w:proofErr w:type="spellEnd"/>
      <w:r w:rsidRPr="00AB2717">
        <w:rPr>
          <w:rFonts w:ascii="Arial" w:hAnsi="Arial" w:cs="Arial"/>
          <w:color w:val="000000"/>
          <w:sz w:val="22"/>
          <w:szCs w:val="22"/>
          <w:shd w:val="clear" w:color="auto" w:fill="C0C0C0"/>
          <w:lang w:val="en-US"/>
        </w:rPr>
        <w:t xml:space="preserve">, K. </w:t>
      </w:r>
      <w:proofErr w:type="spellStart"/>
      <w:r w:rsidRPr="00AB2717">
        <w:rPr>
          <w:rFonts w:ascii="Arial" w:hAnsi="Arial" w:cs="Arial"/>
          <w:color w:val="000000"/>
          <w:sz w:val="22"/>
          <w:szCs w:val="22"/>
          <w:shd w:val="clear" w:color="auto" w:fill="C0C0C0"/>
          <w:lang w:val="en-US"/>
        </w:rPr>
        <w:t>Mintenbeck</w:t>
      </w:r>
      <w:proofErr w:type="spellEnd"/>
      <w:r w:rsidRPr="00AB2717">
        <w:rPr>
          <w:rFonts w:ascii="Arial" w:hAnsi="Arial" w:cs="Arial"/>
          <w:color w:val="000000"/>
          <w:sz w:val="22"/>
          <w:szCs w:val="22"/>
          <w:shd w:val="clear" w:color="auto" w:fill="C0C0C0"/>
          <w:lang w:val="en-US"/>
        </w:rPr>
        <w:t xml:space="preserve">, A. Alegría, M. Nicolai, A. </w:t>
      </w:r>
      <w:proofErr w:type="spellStart"/>
      <w:r w:rsidRPr="00AB2717">
        <w:rPr>
          <w:rFonts w:ascii="Arial" w:hAnsi="Arial" w:cs="Arial"/>
          <w:color w:val="000000"/>
          <w:sz w:val="22"/>
          <w:szCs w:val="22"/>
          <w:shd w:val="clear" w:color="auto" w:fill="C0C0C0"/>
          <w:lang w:val="en-US"/>
        </w:rPr>
        <w:t>Okem</w:t>
      </w:r>
      <w:proofErr w:type="spellEnd"/>
      <w:r w:rsidRPr="00AB2717">
        <w:rPr>
          <w:rFonts w:ascii="Arial" w:hAnsi="Arial" w:cs="Arial"/>
          <w:color w:val="000000"/>
          <w:sz w:val="22"/>
          <w:szCs w:val="22"/>
          <w:shd w:val="clear" w:color="auto" w:fill="C0C0C0"/>
          <w:lang w:val="en-US"/>
        </w:rPr>
        <w:t xml:space="preserve">, J. Petzold, B. Rama and N. M. Weyer (eds.)). In press. </w:t>
      </w:r>
      <w:hyperlink r:id="rId16" w:history="1">
        <w:r w:rsidRPr="00AB2717">
          <w:rPr>
            <w:rStyle w:val="Hyperlink"/>
            <w:rFonts w:ascii="Arial" w:hAnsi="Arial" w:cs="Arial"/>
            <w:sz w:val="22"/>
            <w:szCs w:val="22"/>
            <w:shd w:val="clear" w:color="auto" w:fill="C0C0C0"/>
            <w:lang w:val="en-US"/>
          </w:rPr>
          <w:t>https://www.ipcc.ch/srocc/</w:t>
        </w:r>
      </w:hyperlink>
    </w:p>
    <w:p w14:paraId="492A4B3E" w14:textId="77777777" w:rsidR="008D2347" w:rsidRPr="00AB2717" w:rsidRDefault="008D2347" w:rsidP="008D2347">
      <w:pPr>
        <w:spacing w:after="240"/>
        <w:rPr>
          <w:lang w:val="en-US"/>
        </w:rPr>
      </w:pPr>
    </w:p>
    <w:p w14:paraId="76956276"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i/>
          <w:iCs/>
          <w:color w:val="000000"/>
          <w:sz w:val="22"/>
          <w:szCs w:val="22"/>
          <w:lang w:val="en-US"/>
        </w:rPr>
        <w:t>Additional resources </w:t>
      </w:r>
    </w:p>
    <w:p w14:paraId="5BEF3A02"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lang w:val="en-US"/>
        </w:rPr>
        <w:t xml:space="preserve">maximum 3, follow the </w:t>
      </w:r>
      <w:proofErr w:type="gramStart"/>
      <w:r w:rsidRPr="00AB2717">
        <w:rPr>
          <w:rFonts w:ascii="Arial" w:hAnsi="Arial" w:cs="Arial"/>
          <w:color w:val="000000"/>
          <w:sz w:val="22"/>
          <w:szCs w:val="22"/>
          <w:lang w:val="en-US"/>
        </w:rPr>
        <w:t>example</w:t>
      </w:r>
      <w:proofErr w:type="gramEnd"/>
    </w:p>
    <w:p w14:paraId="0391435C"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shd w:val="clear" w:color="auto" w:fill="C0C0C0"/>
          <w:lang w:val="en-US"/>
        </w:rPr>
        <w:t xml:space="preserve">IOC SDG 14.3.1 portal </w:t>
      </w:r>
      <w:hyperlink r:id="rId17" w:history="1">
        <w:r w:rsidRPr="00AB2717">
          <w:rPr>
            <w:rStyle w:val="Hyperlink"/>
            <w:rFonts w:ascii="Arial" w:hAnsi="Arial" w:cs="Arial"/>
            <w:sz w:val="22"/>
            <w:szCs w:val="22"/>
            <w:shd w:val="clear" w:color="auto" w:fill="C0C0C0"/>
            <w:lang w:val="en-US"/>
          </w:rPr>
          <w:t>http://oa.iode.org</w:t>
        </w:r>
      </w:hyperlink>
      <w:r w:rsidRPr="00AB2717">
        <w:rPr>
          <w:rFonts w:ascii="Arial" w:hAnsi="Arial" w:cs="Arial"/>
          <w:color w:val="000000"/>
          <w:sz w:val="22"/>
          <w:szCs w:val="22"/>
          <w:shd w:val="clear" w:color="auto" w:fill="C0C0C0"/>
          <w:lang w:val="en-US"/>
        </w:rPr>
        <w:t>  </w:t>
      </w:r>
    </w:p>
    <w:p w14:paraId="76D1D1B9"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shd w:val="clear" w:color="auto" w:fill="C0C0C0"/>
          <w:lang w:val="en-US"/>
        </w:rPr>
        <w:t xml:space="preserve">Global Ocean Acidification Observing Network </w:t>
      </w:r>
      <w:hyperlink r:id="rId18" w:history="1">
        <w:r w:rsidRPr="00AB2717">
          <w:rPr>
            <w:rStyle w:val="Hyperlink"/>
            <w:rFonts w:ascii="Arial" w:hAnsi="Arial" w:cs="Arial"/>
            <w:sz w:val="22"/>
            <w:szCs w:val="22"/>
            <w:shd w:val="clear" w:color="auto" w:fill="C0C0C0"/>
            <w:lang w:val="en-US"/>
          </w:rPr>
          <w:t>http://goa-on.org</w:t>
        </w:r>
      </w:hyperlink>
    </w:p>
    <w:p w14:paraId="6A6793FA" w14:textId="77777777" w:rsidR="008D2347" w:rsidRPr="00AB2717" w:rsidRDefault="008D2347" w:rsidP="008D2347">
      <w:pPr>
        <w:pStyle w:val="NormalWeb"/>
        <w:spacing w:before="0" w:beforeAutospacing="0" w:after="0" w:afterAutospacing="0"/>
        <w:ind w:left="6" w:right="164"/>
        <w:jc w:val="both"/>
        <w:rPr>
          <w:lang w:val="en-US"/>
        </w:rPr>
      </w:pPr>
      <w:r w:rsidRPr="00AB2717">
        <w:rPr>
          <w:rFonts w:ascii="Arial" w:hAnsi="Arial" w:cs="Arial"/>
          <w:color w:val="000000"/>
          <w:sz w:val="22"/>
          <w:szCs w:val="22"/>
          <w:shd w:val="clear" w:color="auto" w:fill="C0C0C0"/>
          <w:lang w:val="en-US"/>
        </w:rPr>
        <w:t xml:space="preserve">Ocean Acidification Research for Sustainability Ocean Decade </w:t>
      </w:r>
      <w:proofErr w:type="spellStart"/>
      <w:r w:rsidRPr="00AB2717">
        <w:rPr>
          <w:rFonts w:ascii="Arial" w:hAnsi="Arial" w:cs="Arial"/>
          <w:color w:val="000000"/>
          <w:sz w:val="22"/>
          <w:szCs w:val="22"/>
          <w:shd w:val="clear" w:color="auto" w:fill="C0C0C0"/>
          <w:lang w:val="en-US"/>
        </w:rPr>
        <w:t>Programme</w:t>
      </w:r>
      <w:proofErr w:type="spellEnd"/>
      <w:r w:rsidRPr="00AB2717">
        <w:rPr>
          <w:rFonts w:ascii="Arial" w:hAnsi="Arial" w:cs="Arial"/>
          <w:color w:val="000000"/>
          <w:sz w:val="22"/>
          <w:szCs w:val="22"/>
          <w:shd w:val="clear" w:color="auto" w:fill="C0C0C0"/>
          <w:lang w:val="en-US"/>
        </w:rPr>
        <w:t xml:space="preserve"> </w:t>
      </w:r>
      <w:hyperlink r:id="rId19" w:history="1">
        <w:r w:rsidRPr="00AB2717">
          <w:rPr>
            <w:rStyle w:val="Hyperlink"/>
            <w:rFonts w:ascii="Arial" w:hAnsi="Arial" w:cs="Arial"/>
            <w:sz w:val="22"/>
            <w:szCs w:val="22"/>
            <w:shd w:val="clear" w:color="auto" w:fill="C0C0C0"/>
            <w:lang w:val="en-US"/>
          </w:rPr>
          <w:t>http://goa-on.org/oars/overview.php</w:t>
        </w:r>
      </w:hyperlink>
      <w:r w:rsidRPr="00AB2717">
        <w:rPr>
          <w:rFonts w:ascii="Arial" w:hAnsi="Arial" w:cs="Arial"/>
          <w:color w:val="000000"/>
          <w:sz w:val="22"/>
          <w:szCs w:val="22"/>
          <w:lang w:val="en-US"/>
        </w:rPr>
        <w:t> </w:t>
      </w:r>
    </w:p>
    <w:p w14:paraId="22A4BBB5" w14:textId="77777777" w:rsidR="008D2347" w:rsidRPr="00AB2717" w:rsidRDefault="008D2347" w:rsidP="008D2347">
      <w:pPr>
        <w:spacing w:after="240"/>
        <w:rPr>
          <w:lang w:val="en-US"/>
        </w:rPr>
      </w:pPr>
    </w:p>
    <w:p w14:paraId="24C1D916" w14:textId="77777777" w:rsidR="008D2347" w:rsidRDefault="008D2347" w:rsidP="008D2347">
      <w:pPr>
        <w:pStyle w:val="NormalWeb"/>
        <w:spacing w:before="0" w:beforeAutospacing="0" w:after="0" w:afterAutospacing="0"/>
        <w:ind w:left="6" w:right="164"/>
        <w:jc w:val="both"/>
      </w:pPr>
      <w:proofErr w:type="spellStart"/>
      <w:r>
        <w:rPr>
          <w:rFonts w:ascii="Arial" w:hAnsi="Arial" w:cs="Arial"/>
          <w:b/>
          <w:bCs/>
          <w:color w:val="000000"/>
          <w:sz w:val="22"/>
          <w:szCs w:val="22"/>
        </w:rPr>
        <w:t>Additional</w:t>
      </w:r>
      <w:proofErr w:type="spellEnd"/>
      <w:r>
        <w:rPr>
          <w:rFonts w:ascii="Arial" w:hAnsi="Arial" w:cs="Arial"/>
          <w:b/>
          <w:bCs/>
          <w:color w:val="000000"/>
          <w:sz w:val="22"/>
          <w:szCs w:val="22"/>
        </w:rPr>
        <w:t xml:space="preserve"> </w:t>
      </w:r>
      <w:proofErr w:type="gramStart"/>
      <w:r>
        <w:rPr>
          <w:rFonts w:ascii="Arial" w:hAnsi="Arial" w:cs="Arial"/>
          <w:b/>
          <w:bCs/>
          <w:color w:val="000000"/>
          <w:sz w:val="22"/>
          <w:szCs w:val="22"/>
        </w:rPr>
        <w:t>guidance:</w:t>
      </w:r>
      <w:proofErr w:type="gramEnd"/>
      <w:r>
        <w:rPr>
          <w:rFonts w:ascii="Arial" w:hAnsi="Arial" w:cs="Arial"/>
          <w:b/>
          <w:bCs/>
          <w:color w:val="000000"/>
          <w:sz w:val="22"/>
          <w:szCs w:val="22"/>
        </w:rPr>
        <w:t> </w:t>
      </w:r>
    </w:p>
    <w:p w14:paraId="3BB1DBA9" w14:textId="77777777" w:rsidR="008D2347" w:rsidRDefault="008D2347" w:rsidP="008D2347">
      <w:pPr>
        <w:pStyle w:val="NormalWeb"/>
        <w:numPr>
          <w:ilvl w:val="0"/>
          <w:numId w:val="27"/>
        </w:numPr>
        <w:spacing w:before="0" w:beforeAutospacing="0" w:after="0" w:afterAutospacing="0"/>
        <w:ind w:left="726" w:right="164"/>
        <w:jc w:val="both"/>
        <w:textAlignment w:val="baseline"/>
        <w:rPr>
          <w:rFonts w:ascii="Arial" w:hAnsi="Arial" w:cs="Arial"/>
          <w:color w:val="000000"/>
          <w:sz w:val="22"/>
          <w:szCs w:val="22"/>
        </w:rPr>
      </w:pPr>
      <w:proofErr w:type="spellStart"/>
      <w:r>
        <w:rPr>
          <w:rFonts w:ascii="Arial" w:hAnsi="Arial" w:cs="Arial"/>
          <w:color w:val="000000"/>
          <w:sz w:val="22"/>
          <w:szCs w:val="22"/>
        </w:rPr>
        <w:t>Number</w:t>
      </w:r>
      <w:proofErr w:type="spellEnd"/>
      <w:r>
        <w:rPr>
          <w:rFonts w:ascii="Arial" w:hAnsi="Arial" w:cs="Arial"/>
          <w:color w:val="000000"/>
          <w:sz w:val="22"/>
          <w:szCs w:val="22"/>
        </w:rPr>
        <w:t xml:space="preserve"> of figures maximum 2</w:t>
      </w:r>
    </w:p>
    <w:p w14:paraId="3144C4DA" w14:textId="77777777" w:rsidR="008D2347" w:rsidRDefault="008D2347" w:rsidP="008D2347">
      <w:pPr>
        <w:pStyle w:val="NormalWeb"/>
        <w:numPr>
          <w:ilvl w:val="0"/>
          <w:numId w:val="27"/>
        </w:numPr>
        <w:spacing w:before="0" w:beforeAutospacing="0" w:after="0" w:afterAutospacing="0"/>
        <w:ind w:left="726" w:right="164"/>
        <w:jc w:val="both"/>
        <w:textAlignment w:val="baseline"/>
        <w:rPr>
          <w:rFonts w:ascii="Arial" w:hAnsi="Arial" w:cs="Arial"/>
          <w:color w:val="000000"/>
          <w:sz w:val="22"/>
          <w:szCs w:val="22"/>
        </w:rPr>
      </w:pPr>
      <w:proofErr w:type="spellStart"/>
      <w:r>
        <w:rPr>
          <w:rFonts w:ascii="Arial" w:hAnsi="Arial" w:cs="Arial"/>
          <w:color w:val="000000"/>
          <w:sz w:val="22"/>
          <w:szCs w:val="22"/>
        </w:rPr>
        <w:t>Footnotes</w:t>
      </w:r>
      <w:proofErr w:type="spellEnd"/>
      <w:r>
        <w:rPr>
          <w:rFonts w:ascii="Arial" w:hAnsi="Arial" w:cs="Arial"/>
          <w:color w:val="000000"/>
          <w:sz w:val="22"/>
          <w:szCs w:val="22"/>
        </w:rPr>
        <w:t xml:space="preserve"> </w:t>
      </w:r>
      <w:proofErr w:type="spellStart"/>
      <w:r>
        <w:rPr>
          <w:rFonts w:ascii="Arial" w:hAnsi="Arial" w:cs="Arial"/>
          <w:color w:val="000000"/>
          <w:sz w:val="22"/>
          <w:szCs w:val="22"/>
        </w:rPr>
        <w:t>should</w:t>
      </w:r>
      <w:proofErr w:type="spellEnd"/>
      <w:r>
        <w:rPr>
          <w:rFonts w:ascii="Arial" w:hAnsi="Arial" w:cs="Arial"/>
          <w:color w:val="000000"/>
          <w:sz w:val="22"/>
          <w:szCs w:val="22"/>
        </w:rPr>
        <w:t xml:space="preserve"> </w:t>
      </w:r>
      <w:proofErr w:type="spellStart"/>
      <w:r>
        <w:rPr>
          <w:rFonts w:ascii="Arial" w:hAnsi="Arial" w:cs="Arial"/>
          <w:color w:val="000000"/>
          <w:sz w:val="22"/>
          <w:szCs w:val="22"/>
        </w:rPr>
        <w:t>be</w:t>
      </w:r>
      <w:proofErr w:type="spellEnd"/>
      <w:r>
        <w:rPr>
          <w:rFonts w:ascii="Arial" w:hAnsi="Arial" w:cs="Arial"/>
          <w:color w:val="000000"/>
          <w:sz w:val="22"/>
          <w:szCs w:val="22"/>
        </w:rPr>
        <w:t xml:space="preserve"> </w:t>
      </w:r>
      <w:proofErr w:type="spellStart"/>
      <w:r>
        <w:rPr>
          <w:rFonts w:ascii="Arial" w:hAnsi="Arial" w:cs="Arial"/>
          <w:color w:val="000000"/>
          <w:sz w:val="22"/>
          <w:szCs w:val="22"/>
        </w:rPr>
        <w:t>avoided</w:t>
      </w:r>
      <w:proofErr w:type="spellEnd"/>
    </w:p>
    <w:p w14:paraId="11A63F01" w14:textId="77777777" w:rsidR="008D2347" w:rsidRPr="00AB2717" w:rsidRDefault="008D2347" w:rsidP="005A361A">
      <w:pPr>
        <w:pStyle w:val="NormalWeb"/>
        <w:spacing w:before="120" w:beforeAutospacing="0" w:after="240" w:afterAutospacing="0"/>
        <w:jc w:val="both"/>
        <w:textAlignment w:val="baseline"/>
        <w:rPr>
          <w:rFonts w:ascii="Arial" w:hAnsi="Arial" w:cs="Arial"/>
          <w:color w:val="000000"/>
          <w:sz w:val="22"/>
          <w:szCs w:val="22"/>
          <w:lang w:val="en-US"/>
        </w:rPr>
      </w:pPr>
    </w:p>
    <w:p w14:paraId="2E6AA0FA" w14:textId="77777777" w:rsidR="008D2347" w:rsidRPr="008D2347" w:rsidRDefault="008D2347" w:rsidP="005A361A">
      <w:pPr>
        <w:pStyle w:val="Marge"/>
        <w:rPr>
          <w:lang w:val="en-US"/>
        </w:rPr>
      </w:pPr>
    </w:p>
    <w:sectPr w:rsidR="008D2347" w:rsidRPr="008D2347" w:rsidSect="00DA70EA">
      <w:headerReference w:type="even" r:id="rId20"/>
      <w:headerReference w:type="default" r:id="rId21"/>
      <w:headerReference w:type="first" r:id="rId2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3EC6" w14:textId="77777777" w:rsidR="00DA70EA" w:rsidRDefault="00DA70EA">
      <w:r>
        <w:separator/>
      </w:r>
    </w:p>
  </w:endnote>
  <w:endnote w:type="continuationSeparator" w:id="0">
    <w:p w14:paraId="1ACCF4D1" w14:textId="77777777" w:rsidR="00DA70EA" w:rsidRDefault="00DA70EA">
      <w:r>
        <w:continuationSeparator/>
      </w:r>
    </w:p>
  </w:endnote>
  <w:endnote w:type="continuationNotice" w:id="1">
    <w:p w14:paraId="6E8AD0AD" w14:textId="77777777" w:rsidR="00DA70EA" w:rsidRDefault="00DA7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7F92" w14:textId="77777777" w:rsidR="00DA70EA" w:rsidRDefault="00DA70EA">
      <w:r>
        <w:separator/>
      </w:r>
    </w:p>
  </w:footnote>
  <w:footnote w:type="continuationSeparator" w:id="0">
    <w:p w14:paraId="16491AD6" w14:textId="77777777" w:rsidR="00DA70EA" w:rsidRDefault="00DA70EA">
      <w:r>
        <w:continuationSeparator/>
      </w:r>
    </w:p>
  </w:footnote>
  <w:footnote w:type="continuationNotice" w:id="1">
    <w:p w14:paraId="7E02E771" w14:textId="77777777" w:rsidR="00DA70EA" w:rsidRDefault="00DA7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72CB" w14:textId="4919365E" w:rsidR="00020AA1" w:rsidRPr="00851D33" w:rsidRDefault="008D2347" w:rsidP="00A27B7B">
    <w:pPr>
      <w:pStyle w:val="Header"/>
      <w:tabs>
        <w:tab w:val="clear" w:pos="8306"/>
      </w:tabs>
      <w:rPr>
        <w:lang w:val="pt-PT"/>
      </w:rPr>
    </w:pPr>
    <w:r w:rsidRPr="008D2347">
      <w:rPr>
        <w:lang w:val="pt-PT"/>
      </w:rPr>
      <w:t>IOC/EC-57/4</w:t>
    </w:r>
    <w:r w:rsidR="00664499">
      <w:rPr>
        <w:lang w:val="pt-PT"/>
      </w:rPr>
      <w:t>.</w:t>
    </w:r>
    <w:r w:rsidRPr="008D2347">
      <w:rPr>
        <w:lang w:val="pt-PT"/>
      </w:rPr>
      <w:t>5.Doc(1)</w:t>
    </w:r>
    <w:r w:rsidR="00A27B7B" w:rsidRPr="00A27B7B">
      <w:rPr>
        <w:rFonts w:cs="Arial"/>
        <w:szCs w:val="22"/>
        <w:lang w:val="pt-PT"/>
      </w:rPr>
      <w:t xml:space="preserve"> – </w:t>
    </w:r>
    <w:r w:rsidR="00A27B7B" w:rsidRPr="00851D33">
      <w:rPr>
        <w:lang w:val="pt-PT"/>
      </w:rPr>
      <w:t>p</w:t>
    </w:r>
    <w:r w:rsidR="00020AA1" w:rsidRPr="00851D33">
      <w:rPr>
        <w:lang w:val="pt-PT"/>
      </w:rPr>
      <w:t>age </w:t>
    </w:r>
    <w:r w:rsidR="00020AA1" w:rsidRPr="00851D33">
      <w:rPr>
        <w:rStyle w:val="PageNumber"/>
      </w:rPr>
      <w:fldChar w:fldCharType="begin"/>
    </w:r>
    <w:r w:rsidR="00020AA1" w:rsidRPr="00851D33">
      <w:rPr>
        <w:rStyle w:val="PageNumber"/>
        <w:lang w:val="pt-PT"/>
      </w:rPr>
      <w:instrText xml:space="preserve"> PAGE </w:instrText>
    </w:r>
    <w:r w:rsidR="00020AA1" w:rsidRPr="00851D33">
      <w:rPr>
        <w:rStyle w:val="PageNumber"/>
      </w:rPr>
      <w:fldChar w:fldCharType="separate"/>
    </w:r>
    <w:r w:rsidR="00E1759E">
      <w:rPr>
        <w:rStyle w:val="PageNumber"/>
        <w:noProof/>
        <w:lang w:val="pt-PT"/>
      </w:rPr>
      <w:t>4</w:t>
    </w:r>
    <w:r w:rsidR="00020AA1" w:rsidRPr="00851D33">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A30B" w14:textId="4EC08F9E" w:rsidR="00020AA1" w:rsidRPr="00003B31" w:rsidRDefault="008D2347" w:rsidP="00664499">
    <w:pPr>
      <w:pStyle w:val="Header"/>
      <w:tabs>
        <w:tab w:val="clear" w:pos="8306"/>
      </w:tabs>
      <w:ind w:left="6663"/>
      <w:rPr>
        <w:rFonts w:cs="Arial"/>
        <w:szCs w:val="22"/>
        <w:lang w:val="fr-FR"/>
      </w:rPr>
    </w:pPr>
    <w:r w:rsidRPr="0025391C">
      <w:rPr>
        <w:rFonts w:cs="Arial"/>
        <w:color w:val="000000"/>
        <w:sz w:val="20"/>
        <w:szCs w:val="20"/>
      </w:rPr>
      <w:t>IOC/EC-5</w:t>
    </w:r>
    <w:r>
      <w:rPr>
        <w:rFonts w:cs="Arial"/>
        <w:color w:val="000000"/>
        <w:sz w:val="20"/>
        <w:szCs w:val="20"/>
      </w:rPr>
      <w:t>7</w:t>
    </w:r>
    <w:r w:rsidRPr="0025391C">
      <w:rPr>
        <w:rFonts w:cs="Arial"/>
        <w:color w:val="000000"/>
        <w:sz w:val="20"/>
        <w:szCs w:val="20"/>
      </w:rPr>
      <w:t>/</w:t>
    </w:r>
    <w:r>
      <w:rPr>
        <w:rFonts w:cs="Arial"/>
        <w:color w:val="000000"/>
        <w:sz w:val="20"/>
        <w:szCs w:val="20"/>
      </w:rPr>
      <w:t>4</w:t>
    </w:r>
    <w:r w:rsidR="00664499">
      <w:rPr>
        <w:rFonts w:cs="Arial"/>
        <w:color w:val="000000"/>
        <w:sz w:val="20"/>
        <w:szCs w:val="20"/>
      </w:rPr>
      <w:t>.</w:t>
    </w:r>
    <w:proofErr w:type="gramStart"/>
    <w:r>
      <w:rPr>
        <w:rFonts w:cs="Arial"/>
        <w:color w:val="000000"/>
        <w:sz w:val="20"/>
        <w:szCs w:val="20"/>
        <w:lang w:val="fr-FR"/>
      </w:rPr>
      <w:t>5</w:t>
    </w:r>
    <w:r w:rsidRPr="0025391C">
      <w:rPr>
        <w:rFonts w:cs="Arial"/>
        <w:color w:val="000000"/>
        <w:sz w:val="20"/>
        <w:szCs w:val="20"/>
      </w:rPr>
      <w:t>.Doc</w:t>
    </w:r>
    <w:proofErr w:type="gramEnd"/>
    <w:r w:rsidRPr="0025391C">
      <w:rPr>
        <w:rFonts w:cs="Arial"/>
        <w:color w:val="000000"/>
        <w:sz w:val="20"/>
        <w:szCs w:val="20"/>
      </w:rPr>
      <w:t>(1)</w:t>
    </w:r>
    <w:r w:rsidR="00A27B7B" w:rsidRPr="00A27B7B">
      <w:rPr>
        <w:rFonts w:cs="Arial"/>
        <w:szCs w:val="22"/>
        <w:lang w:val="pt-PT"/>
      </w:rPr>
      <w:t xml:space="preserve"> – </w:t>
    </w:r>
    <w:r w:rsidR="00A27B7B" w:rsidRPr="00851D33">
      <w:rPr>
        <w:lang w:val="pt-PT"/>
      </w:rPr>
      <w:t>page </w:t>
    </w:r>
    <w:r w:rsidR="00A27B7B" w:rsidRPr="00A27B7B">
      <w:rPr>
        <w:rStyle w:val="PageNumber"/>
        <w:rFonts w:cs="Arial"/>
        <w:szCs w:val="22"/>
      </w:rPr>
      <w:fldChar w:fldCharType="begin"/>
    </w:r>
    <w:r w:rsidR="00A27B7B" w:rsidRPr="00A27B7B">
      <w:rPr>
        <w:rStyle w:val="PageNumber"/>
        <w:rFonts w:cs="Arial"/>
        <w:szCs w:val="22"/>
        <w:lang w:val="pt-PT"/>
      </w:rPr>
      <w:instrText xml:space="preserve"> PAGE </w:instrText>
    </w:r>
    <w:r w:rsidR="00A27B7B" w:rsidRPr="00A27B7B">
      <w:rPr>
        <w:rStyle w:val="PageNumber"/>
        <w:rFonts w:cs="Arial"/>
        <w:szCs w:val="22"/>
      </w:rPr>
      <w:fldChar w:fldCharType="separate"/>
    </w:r>
    <w:r w:rsidR="00E1759E">
      <w:rPr>
        <w:rStyle w:val="PageNumber"/>
        <w:rFonts w:cs="Arial"/>
        <w:noProof/>
        <w:szCs w:val="22"/>
        <w:lang w:val="pt-PT"/>
      </w:rPr>
      <w:t>3</w:t>
    </w:r>
    <w:r w:rsidR="00A27B7B" w:rsidRPr="00A27B7B">
      <w:rPr>
        <w:rStyle w:val="PageNumber"/>
        <w:rFonts w:cs="Arial"/>
        <w:szCs w:val="22"/>
      </w:rPr>
      <w:fldChar w:fldCharType="end"/>
    </w:r>
  </w:p>
  <w:p w14:paraId="0752CE24" w14:textId="77777777" w:rsidR="00020AA1" w:rsidRPr="00003B31" w:rsidRDefault="00020AA1" w:rsidP="00664499">
    <w:pPr>
      <w:pStyle w:val="Header"/>
      <w:ind w:left="6663"/>
      <w:rPr>
        <w:rFonts w:cs="Arial"/>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E9C6" w14:textId="77777777" w:rsidR="00664499" w:rsidRPr="00FC7176" w:rsidRDefault="00664499" w:rsidP="00664499">
    <w:pPr>
      <w:pStyle w:val="Marge"/>
      <w:tabs>
        <w:tab w:val="clear" w:pos="567"/>
        <w:tab w:val="left" w:pos="5812"/>
      </w:tabs>
      <w:spacing w:after="0"/>
      <w:rPr>
        <w:rFonts w:cs="Arial"/>
        <w:b/>
        <w:sz w:val="36"/>
        <w:szCs w:val="36"/>
      </w:rPr>
    </w:pPr>
    <w:r w:rsidRPr="007C710A">
      <w:rPr>
        <w:rFonts w:cs="Arial"/>
        <w:szCs w:val="22"/>
      </w:rPr>
      <w:t>Restricted Distribution</w:t>
    </w:r>
    <w:r w:rsidRPr="007C710A">
      <w:rPr>
        <w:rFonts w:cs="Arial"/>
        <w:szCs w:val="22"/>
      </w:rPr>
      <w:tab/>
    </w:r>
    <w:r w:rsidRPr="00FC7176">
      <w:rPr>
        <w:rFonts w:cs="Arial"/>
        <w:b/>
        <w:sz w:val="36"/>
        <w:szCs w:val="36"/>
      </w:rPr>
      <w:t>IOC</w:t>
    </w:r>
    <w:r>
      <w:rPr>
        <w:rFonts w:cs="Arial"/>
        <w:b/>
        <w:sz w:val="36"/>
        <w:szCs w:val="36"/>
      </w:rPr>
      <w:t>/</w:t>
    </w:r>
    <w:r w:rsidRPr="00FC7176">
      <w:rPr>
        <w:rFonts w:cs="Arial"/>
        <w:b/>
        <w:sz w:val="36"/>
        <w:szCs w:val="36"/>
      </w:rPr>
      <w:t>EC</w:t>
    </w:r>
    <w:r>
      <w:rPr>
        <w:rFonts w:cs="Arial"/>
        <w:b/>
        <w:sz w:val="36"/>
        <w:szCs w:val="36"/>
      </w:rPr>
      <w:t>-</w:t>
    </w:r>
    <w:r w:rsidRPr="00FC7176">
      <w:rPr>
        <w:rFonts w:cs="Arial"/>
        <w:b/>
        <w:sz w:val="36"/>
        <w:szCs w:val="36"/>
      </w:rPr>
      <w:t>57/4.</w:t>
    </w:r>
    <w:proofErr w:type="gramStart"/>
    <w:r w:rsidRPr="00FC7176">
      <w:rPr>
        <w:rFonts w:cs="Arial"/>
        <w:b/>
        <w:sz w:val="36"/>
        <w:szCs w:val="36"/>
      </w:rPr>
      <w:t>5.Doc</w:t>
    </w:r>
    <w:proofErr w:type="gramEnd"/>
    <w:r w:rsidRPr="00FC7176">
      <w:rPr>
        <w:rFonts w:cs="Arial"/>
        <w:b/>
        <w:sz w:val="36"/>
        <w:szCs w:val="36"/>
      </w:rPr>
      <w:t>(1)</w:t>
    </w:r>
  </w:p>
  <w:p w14:paraId="37B0F6D8" w14:textId="77777777" w:rsidR="00664499" w:rsidRPr="00FC7176" w:rsidRDefault="00664499" w:rsidP="00664499">
    <w:pPr>
      <w:pStyle w:val="Marge"/>
      <w:tabs>
        <w:tab w:val="clear" w:pos="567"/>
        <w:tab w:val="left" w:pos="5812"/>
      </w:tabs>
      <w:spacing w:after="0"/>
      <w:ind w:firstLine="5812"/>
      <w:rPr>
        <w:rFonts w:cs="Arial"/>
        <w:b/>
        <w:szCs w:val="22"/>
      </w:rPr>
    </w:pPr>
    <w:r w:rsidRPr="00FC7176">
      <w:rPr>
        <w:noProof/>
        <w:lang w:val="en-US"/>
      </w:rPr>
      <w:drawing>
        <wp:anchor distT="0" distB="0" distL="114300" distR="114300" simplePos="0" relativeHeight="251659264" behindDoc="0" locked="0" layoutInCell="1" allowOverlap="1" wp14:anchorId="21303FC3" wp14:editId="530AEE2F">
          <wp:simplePos x="0" y="0"/>
          <wp:positionH relativeFrom="column">
            <wp:posOffset>-139065</wp:posOffset>
          </wp:positionH>
          <wp:positionV relativeFrom="paragraph">
            <wp:posOffset>67945</wp:posOffset>
          </wp:positionV>
          <wp:extent cx="1578610" cy="1047115"/>
          <wp:effectExtent l="0" t="0" r="2540" b="63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176">
      <w:rPr>
        <w:rFonts w:cs="Arial"/>
        <w:szCs w:val="22"/>
      </w:rPr>
      <w:t xml:space="preserve">Paris, </w:t>
    </w:r>
    <w:r>
      <w:rPr>
        <w:rFonts w:cs="Arial"/>
        <w:szCs w:val="22"/>
      </w:rPr>
      <w:t>26</w:t>
    </w:r>
    <w:r w:rsidRPr="00FC7176">
      <w:rPr>
        <w:rFonts w:cs="Arial"/>
        <w:szCs w:val="22"/>
      </w:rPr>
      <w:t xml:space="preserve"> </w:t>
    </w:r>
    <w:r>
      <w:rPr>
        <w:rFonts w:cs="Arial"/>
        <w:szCs w:val="22"/>
      </w:rPr>
      <w:t>April 2024</w:t>
    </w:r>
  </w:p>
  <w:p w14:paraId="1AFA92DD" w14:textId="77777777" w:rsidR="00664499" w:rsidRPr="00FC7176" w:rsidRDefault="00664499" w:rsidP="00664499">
    <w:pPr>
      <w:tabs>
        <w:tab w:val="clear" w:pos="567"/>
        <w:tab w:val="left" w:pos="5812"/>
      </w:tabs>
      <w:jc w:val="both"/>
      <w:rPr>
        <w:rFonts w:cs="Arial"/>
        <w:szCs w:val="22"/>
      </w:rPr>
    </w:pPr>
    <w:r w:rsidRPr="00FC7176">
      <w:rPr>
        <w:rFonts w:cs="Arial"/>
        <w:b/>
        <w:szCs w:val="22"/>
      </w:rPr>
      <w:tab/>
    </w:r>
    <w:r w:rsidRPr="00FC7176">
      <w:rPr>
        <w:rFonts w:cs="Arial"/>
        <w:szCs w:val="22"/>
      </w:rPr>
      <w:t>Original: English</w:t>
    </w:r>
  </w:p>
  <w:p w14:paraId="19E0EC53" w14:textId="77777777" w:rsidR="00664499" w:rsidRPr="00FC7176" w:rsidRDefault="00664499" w:rsidP="00664499">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64D6DCEE" w14:textId="77777777" w:rsidR="00664499" w:rsidRPr="00FC7176"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1E679D1" w14:textId="77777777" w:rsidR="00664499" w:rsidRPr="00FC7176"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1DC1B39" w14:textId="77777777" w:rsidR="00664499" w:rsidRPr="00FC7176"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40D1A73" w14:textId="77777777" w:rsidR="00664499" w:rsidRPr="00FC7176"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5BC5EDB" w14:textId="77777777" w:rsidR="00664499" w:rsidRPr="00FC7176"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68FD06D" w14:textId="77777777" w:rsidR="00664499" w:rsidRPr="00FC7176" w:rsidRDefault="00664499" w:rsidP="00664499">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FC7176">
      <w:rPr>
        <w:rFonts w:cs="Arial"/>
        <w:b/>
        <w:szCs w:val="22"/>
      </w:rPr>
      <w:t>INTERGOVERNMENTAL OCEANOGRAPHIC COMMISSION</w:t>
    </w:r>
  </w:p>
  <w:p w14:paraId="463BA968" w14:textId="77777777" w:rsidR="00664499" w:rsidRPr="00FC7176" w:rsidRDefault="00664499" w:rsidP="00664499">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FC7176">
      <w:rPr>
        <w:rFonts w:cs="Arial"/>
        <w:bCs/>
        <w:szCs w:val="22"/>
      </w:rPr>
      <w:t>(of UNESCO)</w:t>
    </w:r>
  </w:p>
  <w:p w14:paraId="79DEE361" w14:textId="77777777" w:rsidR="00664499" w:rsidRPr="00FC7176" w:rsidRDefault="00664499" w:rsidP="0066449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76C5EFF4" w14:textId="77777777" w:rsidR="00664499" w:rsidRPr="00FC7176" w:rsidRDefault="00664499" w:rsidP="00664499">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FC7176">
      <w:rPr>
        <w:rFonts w:cs="Arial"/>
        <w:b/>
      </w:rPr>
      <w:t>Fifty-seventh Session of the Executive Council</w:t>
    </w:r>
  </w:p>
  <w:p w14:paraId="22935D40" w14:textId="77777777" w:rsidR="00664499" w:rsidRPr="00FC7176" w:rsidRDefault="00664499" w:rsidP="00664499">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FC7176">
      <w:rPr>
        <w:rFonts w:cs="Arial"/>
      </w:rPr>
      <w:t>UNESCO, 25</w:t>
    </w:r>
    <w:r>
      <w:rPr>
        <w:rFonts w:cs="Arial"/>
      </w:rPr>
      <w:t>–</w:t>
    </w:r>
    <w:r w:rsidRPr="00FC7176">
      <w:rPr>
        <w:rFonts w:cs="Arial"/>
      </w:rPr>
      <w:t>28 June 2024</w:t>
    </w:r>
  </w:p>
  <w:p w14:paraId="0A6D329A" w14:textId="77777777" w:rsidR="00664499" w:rsidRPr="00FC7176" w:rsidRDefault="00664499" w:rsidP="00664499">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1A3AE2F6" w14:textId="77777777" w:rsidR="00664499" w:rsidRPr="00FC7176" w:rsidRDefault="00664499" w:rsidP="00664499">
    <w:pPr>
      <w:jc w:val="center"/>
      <w:rPr>
        <w:rFonts w:cs="Arial"/>
        <w:szCs w:val="22"/>
      </w:rPr>
    </w:pPr>
  </w:p>
  <w:p w14:paraId="6021C6DD" w14:textId="77777777" w:rsidR="00664499" w:rsidRPr="00FC7176" w:rsidRDefault="00664499" w:rsidP="00664499">
    <w:pPr>
      <w:jc w:val="center"/>
      <w:rPr>
        <w:rFonts w:cs="Arial"/>
        <w:szCs w:val="22"/>
      </w:rPr>
    </w:pPr>
  </w:p>
  <w:p w14:paraId="0AD701C7" w14:textId="77777777" w:rsidR="00664499" w:rsidRPr="00FC7176" w:rsidRDefault="00664499" w:rsidP="00664499">
    <w:pPr>
      <w:jc w:val="center"/>
      <w:rPr>
        <w:rFonts w:cs="Arial"/>
        <w:szCs w:val="22"/>
      </w:rPr>
    </w:pPr>
  </w:p>
  <w:p w14:paraId="756BDB93" w14:textId="77777777" w:rsidR="00664499" w:rsidRPr="00FC7176" w:rsidRDefault="00664499" w:rsidP="00664499">
    <w:pPr>
      <w:jc w:val="center"/>
      <w:rPr>
        <w:rFonts w:cs="Arial"/>
        <w:szCs w:val="22"/>
      </w:rPr>
    </w:pPr>
  </w:p>
  <w:p w14:paraId="45D37DA7" w14:textId="77777777" w:rsidR="00664499" w:rsidRPr="00FC7176" w:rsidRDefault="00664499" w:rsidP="00664499">
    <w:pPr>
      <w:jc w:val="center"/>
      <w:rPr>
        <w:rFonts w:cs="Arial"/>
        <w:szCs w:val="22"/>
      </w:rPr>
    </w:pPr>
  </w:p>
  <w:p w14:paraId="5D885532" w14:textId="77777777" w:rsidR="00664499" w:rsidRPr="00FC7176" w:rsidRDefault="00664499" w:rsidP="00664499">
    <w:pPr>
      <w:pStyle w:val="Heading7"/>
      <w:tabs>
        <w:tab w:val="clear" w:pos="567"/>
        <w:tab w:val="right" w:pos="9540"/>
      </w:tabs>
      <w:rPr>
        <w:rFonts w:asciiTheme="minorBidi" w:hAnsiTheme="minorBidi"/>
      </w:rPr>
    </w:pPr>
    <w:r w:rsidRPr="00FC7176">
      <w:rPr>
        <w:rFonts w:asciiTheme="minorBidi" w:hAnsiTheme="minorBidi"/>
        <w:sz w:val="24"/>
      </w:rPr>
      <w:t xml:space="preserve">Item </w:t>
    </w:r>
    <w:r w:rsidRPr="00FC7176">
      <w:rPr>
        <w:rFonts w:asciiTheme="minorBidi" w:hAnsiTheme="minorBidi"/>
        <w:b/>
        <w:sz w:val="24"/>
      </w:rPr>
      <w:t>4.5</w:t>
    </w:r>
    <w:r w:rsidRPr="00FC7176">
      <w:rPr>
        <w:rFonts w:asciiTheme="minorBidi" w:hAnsiTheme="minorBidi"/>
        <w:sz w:val="24"/>
      </w:rPr>
      <w:t xml:space="preserve"> of the Provisional Agenda</w:t>
    </w:r>
  </w:p>
  <w:p w14:paraId="52393DB9" w14:textId="77777777" w:rsidR="00664499" w:rsidRPr="00FC7176" w:rsidRDefault="00664499" w:rsidP="00664499">
    <w:pPr>
      <w:rPr>
        <w:rFonts w:cs="Arial"/>
        <w:szCs w:val="22"/>
      </w:rPr>
    </w:pPr>
  </w:p>
  <w:p w14:paraId="7901C4E2" w14:textId="77777777" w:rsidR="00664499" w:rsidRDefault="00664499" w:rsidP="00664499">
    <w:pPr>
      <w:rPr>
        <w:rFonts w:cs="Arial"/>
        <w:szCs w:val="22"/>
      </w:rPr>
    </w:pPr>
  </w:p>
  <w:p w14:paraId="53EB1AC5" w14:textId="77777777" w:rsidR="00664499" w:rsidRPr="00FC7176" w:rsidRDefault="00664499" w:rsidP="00664499">
    <w:pPr>
      <w:rPr>
        <w:rFonts w:cs="Arial"/>
        <w:szCs w:val="22"/>
      </w:rPr>
    </w:pPr>
  </w:p>
  <w:p w14:paraId="7D6EDD64" w14:textId="77777777" w:rsidR="00664499" w:rsidRPr="00A27B7B" w:rsidRDefault="00664499" w:rsidP="00664499">
    <w:pPr>
      <w:pStyle w:val="Docheading"/>
    </w:pPr>
    <w:bookmarkStart w:id="0" w:name="_Hlk165027967"/>
    <w:r w:rsidRPr="00FC7176">
      <w:rPr>
        <w:color w:val="000000"/>
      </w:rPr>
      <w:t>Report</w:t>
    </w:r>
    <w:r>
      <w:rPr>
        <w:color w:val="000000"/>
      </w:rPr>
      <w:t xml:space="preserve"> on the S</w:t>
    </w:r>
    <w:r w:rsidRPr="00FC7176">
      <w:rPr>
        <w:color w:val="000000"/>
      </w:rPr>
      <w:t>econd edition of the</w:t>
    </w:r>
    <w:r w:rsidRPr="00A27B7B">
      <w:rPr>
        <w:color w:val="000000"/>
      </w:rPr>
      <w:t xml:space="preserve"> </w:t>
    </w:r>
    <w:r>
      <w:rPr>
        <w:color w:val="000000"/>
      </w:rPr>
      <w:t>‘</w:t>
    </w:r>
    <w:r w:rsidRPr="00A27B7B">
      <w:rPr>
        <w:color w:val="000000"/>
      </w:rPr>
      <w:t xml:space="preserve">IOC </w:t>
    </w:r>
    <w:r w:rsidRPr="00851D33">
      <w:rPr>
        <w:color w:val="000000"/>
      </w:rPr>
      <w:t xml:space="preserve">State of the Ocean </w:t>
    </w:r>
    <w:r w:rsidRPr="00A27B7B">
      <w:rPr>
        <w:color w:val="000000"/>
      </w:rPr>
      <w:t>Report</w:t>
    </w:r>
    <w:r>
      <w:rPr>
        <w:color w:val="000000"/>
      </w:rPr>
      <w:t>’</w:t>
    </w:r>
    <w:r w:rsidRPr="00A27B7B">
      <w:rPr>
        <w:color w:val="000000"/>
      </w:rPr>
      <w:t xml:space="preserve"> (S</w:t>
    </w:r>
    <w:r>
      <w:rPr>
        <w:color w:val="000000"/>
      </w:rPr>
      <w:t>t</w:t>
    </w:r>
    <w:r w:rsidRPr="00A27B7B">
      <w:rPr>
        <w:color w:val="000000"/>
      </w:rPr>
      <w:t>OR)</w:t>
    </w:r>
    <w:r>
      <w:rPr>
        <w:color w:val="000000"/>
      </w:rPr>
      <w:t xml:space="preserve"> (2024) and guidance for future editions</w:t>
    </w:r>
  </w:p>
  <w:bookmarkEnd w:id="0"/>
  <w:p w14:paraId="35F6BCE5" w14:textId="6071F18F" w:rsidR="00020AA1" w:rsidRPr="00664499" w:rsidRDefault="00020AA1" w:rsidP="0066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312"/>
    <w:multiLevelType w:val="multilevel"/>
    <w:tmpl w:val="B4E4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E0A8A"/>
    <w:multiLevelType w:val="multilevel"/>
    <w:tmpl w:val="F5BCF9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46476"/>
    <w:multiLevelType w:val="hybridMultilevel"/>
    <w:tmpl w:val="A7DAC6BA"/>
    <w:lvl w:ilvl="0" w:tplc="2D60363C">
      <w:start w:val="1"/>
      <w:numFmt w:val="lowerRoman"/>
      <w:lvlText w:val="(%1)"/>
      <w:lvlJc w:val="right"/>
      <w:pPr>
        <w:ind w:left="720" w:hanging="360"/>
      </w:pPr>
      <w:rPr>
        <w:rFonts w:hint="default"/>
        <w:w w:val="99"/>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EF53B0"/>
    <w:multiLevelType w:val="hybridMultilevel"/>
    <w:tmpl w:val="7F10FF3A"/>
    <w:lvl w:ilvl="0" w:tplc="D7EE6DAA">
      <w:start w:val="1"/>
      <w:numFmt w:val="decimal"/>
      <w:lvlText w:val="%1."/>
      <w:lvlJc w:val="left"/>
      <w:pPr>
        <w:ind w:left="720" w:hanging="360"/>
      </w:pPr>
      <w:rPr>
        <w:rFonts w:ascii="Arial" w:hAnsi="Arial" w:cs="Arial" w:hint="default"/>
        <w:b w:val="0"/>
        <w:i w:val="0"/>
        <w:caps/>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1E82311"/>
    <w:multiLevelType w:val="multilevel"/>
    <w:tmpl w:val="12A8F7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3778F"/>
    <w:multiLevelType w:val="multilevel"/>
    <w:tmpl w:val="D7C89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43BA78E4"/>
    <w:multiLevelType w:val="multilevel"/>
    <w:tmpl w:val="25EAF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AD2269"/>
    <w:multiLevelType w:val="hybridMultilevel"/>
    <w:tmpl w:val="BB068D26"/>
    <w:lvl w:ilvl="0" w:tplc="32AC4466">
      <w:start w:val="1"/>
      <w:numFmt w:val="lowerRoman"/>
      <w:lvlText w:val="(%1)"/>
      <w:lvlJc w:val="left"/>
      <w:pPr>
        <w:ind w:left="720" w:hanging="360"/>
      </w:pPr>
      <w:rPr>
        <w:rFonts w:ascii="Arial" w:eastAsia="Times New Roman" w:hAnsi="Arial" w:cs="Times" w:hint="default"/>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204C64"/>
    <w:multiLevelType w:val="hybridMultilevel"/>
    <w:tmpl w:val="3D208046"/>
    <w:lvl w:ilvl="0" w:tplc="714C0C54">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BE440D"/>
    <w:multiLevelType w:val="multilevel"/>
    <w:tmpl w:val="DF5C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20902"/>
    <w:multiLevelType w:val="multilevel"/>
    <w:tmpl w:val="9D52BE26"/>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i/>
        <w:iCs w:val="0"/>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64A96"/>
    <w:multiLevelType w:val="multilevel"/>
    <w:tmpl w:val="2CA2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DF095F"/>
    <w:multiLevelType w:val="multilevel"/>
    <w:tmpl w:val="7868A1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442E24"/>
    <w:multiLevelType w:val="multilevel"/>
    <w:tmpl w:val="A514704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9" w15:restartNumberingAfterBreak="0">
    <w:nsid w:val="7AFA2BF5"/>
    <w:multiLevelType w:val="multilevel"/>
    <w:tmpl w:val="056E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836596">
    <w:abstractNumId w:val="9"/>
  </w:num>
  <w:num w:numId="2" w16cid:durableId="1139768040">
    <w:abstractNumId w:val="12"/>
  </w:num>
  <w:num w:numId="3" w16cid:durableId="942960951">
    <w:abstractNumId w:val="0"/>
  </w:num>
  <w:num w:numId="4" w16cid:durableId="481508341">
    <w:abstractNumId w:val="5"/>
  </w:num>
  <w:num w:numId="5" w16cid:durableId="1789277375">
    <w:abstractNumId w:val="6"/>
  </w:num>
  <w:num w:numId="6" w16cid:durableId="890188287">
    <w:abstractNumId w:val="12"/>
  </w:num>
  <w:num w:numId="7" w16cid:durableId="1846817710">
    <w:abstractNumId w:val="12"/>
  </w:num>
  <w:num w:numId="8" w16cid:durableId="89589521">
    <w:abstractNumId w:val="12"/>
  </w:num>
  <w:num w:numId="9" w16cid:durableId="1871724305">
    <w:abstractNumId w:val="12"/>
  </w:num>
  <w:num w:numId="10" w16cid:durableId="17633474">
    <w:abstractNumId w:val="13"/>
  </w:num>
  <w:num w:numId="11" w16cid:durableId="670330607">
    <w:abstractNumId w:val="19"/>
  </w:num>
  <w:num w:numId="12" w16cid:durableId="2014142186">
    <w:abstractNumId w:val="10"/>
  </w:num>
  <w:num w:numId="13" w16cid:durableId="590940092">
    <w:abstractNumId w:val="16"/>
  </w:num>
  <w:num w:numId="14" w16cid:durableId="1508515367">
    <w:abstractNumId w:val="18"/>
  </w:num>
  <w:num w:numId="15" w16cid:durableId="227813056">
    <w:abstractNumId w:val="12"/>
  </w:num>
  <w:num w:numId="16" w16cid:durableId="2030375759">
    <w:abstractNumId w:val="1"/>
  </w:num>
  <w:num w:numId="17" w16cid:durableId="1036466200">
    <w:abstractNumId w:val="2"/>
    <w:lvlOverride w:ilvl="0">
      <w:lvl w:ilvl="0">
        <w:start w:val="4"/>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8" w16cid:durableId="1077291312">
    <w:abstractNumId w:val="2"/>
    <w:lvlOverride w:ilvl="0">
      <w:lvl w:ilvl="0">
        <w:numFmt w:val="decimal"/>
        <w:lvlText w:val="%1."/>
        <w:lvlJc w:val="left"/>
      </w:lvl>
    </w:lvlOverride>
  </w:num>
  <w:num w:numId="19" w16cid:durableId="1134106033">
    <w:abstractNumId w:val="2"/>
    <w:lvlOverride w:ilvl="0">
      <w:lvl w:ilvl="0">
        <w:numFmt w:val="decimal"/>
        <w:lvlText w:val="%1."/>
        <w:lvlJc w:val="left"/>
      </w:lvl>
    </w:lvlOverride>
  </w:num>
  <w:num w:numId="20" w16cid:durableId="263265063">
    <w:abstractNumId w:val="2"/>
    <w:lvlOverride w:ilvl="0">
      <w:lvl w:ilvl="0">
        <w:numFmt w:val="decimal"/>
        <w:lvlText w:val="%1."/>
        <w:lvlJc w:val="left"/>
      </w:lvl>
    </w:lvlOverride>
  </w:num>
  <w:num w:numId="21" w16cid:durableId="1830706535">
    <w:abstractNumId w:val="2"/>
    <w:lvlOverride w:ilvl="0">
      <w:lvl w:ilvl="0">
        <w:numFmt w:val="decimal"/>
        <w:lvlText w:val="%1."/>
        <w:lvlJc w:val="left"/>
      </w:lvl>
    </w:lvlOverride>
  </w:num>
  <w:num w:numId="22" w16cid:durableId="676426682">
    <w:abstractNumId w:val="7"/>
    <w:lvlOverride w:ilvl="0">
      <w:lvl w:ilvl="0">
        <w:numFmt w:val="decimal"/>
        <w:lvlText w:val="%1."/>
        <w:lvlJc w:val="left"/>
      </w:lvl>
    </w:lvlOverride>
  </w:num>
  <w:num w:numId="23" w16cid:durableId="139083171">
    <w:abstractNumId w:val="8"/>
  </w:num>
  <w:num w:numId="24" w16cid:durableId="984119450">
    <w:abstractNumId w:val="15"/>
  </w:num>
  <w:num w:numId="25" w16cid:durableId="60518037">
    <w:abstractNumId w:val="17"/>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16cid:durableId="545291681">
    <w:abstractNumId w:val="17"/>
    <w:lvlOverride w:ilvl="0">
      <w:lvl w:ilvl="0">
        <w:numFmt w:val="decimal"/>
        <w:lvlText w:val="%1."/>
        <w:lvlJc w:val="left"/>
      </w:lvl>
    </w:lvlOverride>
  </w:num>
  <w:num w:numId="27" w16cid:durableId="1486896351">
    <w:abstractNumId w:val="14"/>
  </w:num>
  <w:num w:numId="28" w16cid:durableId="1910311105">
    <w:abstractNumId w:val="3"/>
  </w:num>
  <w:num w:numId="29" w16cid:durableId="1552225510">
    <w:abstractNumId w:val="11"/>
  </w:num>
  <w:num w:numId="30" w16cid:durableId="157354279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1"/>
  <w:activeWritingStyle w:appName="MSWord" w:lang="da-DK"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3A"/>
    <w:rsid w:val="00003B31"/>
    <w:rsid w:val="00010BBB"/>
    <w:rsid w:val="00014648"/>
    <w:rsid w:val="00020AA1"/>
    <w:rsid w:val="00056F67"/>
    <w:rsid w:val="00084206"/>
    <w:rsid w:val="00085D6A"/>
    <w:rsid w:val="00093964"/>
    <w:rsid w:val="000F0254"/>
    <w:rsid w:val="00101A50"/>
    <w:rsid w:val="00123719"/>
    <w:rsid w:val="001241D7"/>
    <w:rsid w:val="00137E97"/>
    <w:rsid w:val="001448C4"/>
    <w:rsid w:val="00155393"/>
    <w:rsid w:val="001572C7"/>
    <w:rsid w:val="00163C0E"/>
    <w:rsid w:val="001651DD"/>
    <w:rsid w:val="00167158"/>
    <w:rsid w:val="001875D7"/>
    <w:rsid w:val="00196052"/>
    <w:rsid w:val="001B3B24"/>
    <w:rsid w:val="001C6455"/>
    <w:rsid w:val="001D0D9B"/>
    <w:rsid w:val="001E233E"/>
    <w:rsid w:val="0021210D"/>
    <w:rsid w:val="00213147"/>
    <w:rsid w:val="00236842"/>
    <w:rsid w:val="00293A92"/>
    <w:rsid w:val="00294AD5"/>
    <w:rsid w:val="002C2B0E"/>
    <w:rsid w:val="002C7DE3"/>
    <w:rsid w:val="002E0859"/>
    <w:rsid w:val="002E356B"/>
    <w:rsid w:val="002E5149"/>
    <w:rsid w:val="00310D61"/>
    <w:rsid w:val="0034156B"/>
    <w:rsid w:val="003561BE"/>
    <w:rsid w:val="003805F5"/>
    <w:rsid w:val="00381B43"/>
    <w:rsid w:val="003A7860"/>
    <w:rsid w:val="003D3711"/>
    <w:rsid w:val="003F0267"/>
    <w:rsid w:val="003F55CF"/>
    <w:rsid w:val="003F7186"/>
    <w:rsid w:val="00401F06"/>
    <w:rsid w:val="004031FB"/>
    <w:rsid w:val="00413F17"/>
    <w:rsid w:val="0042023A"/>
    <w:rsid w:val="00424DE6"/>
    <w:rsid w:val="00436C02"/>
    <w:rsid w:val="004529B8"/>
    <w:rsid w:val="00467E3F"/>
    <w:rsid w:val="004A135F"/>
    <w:rsid w:val="004A5170"/>
    <w:rsid w:val="004B7AA6"/>
    <w:rsid w:val="004C1625"/>
    <w:rsid w:val="004F7D6C"/>
    <w:rsid w:val="005578D0"/>
    <w:rsid w:val="00576270"/>
    <w:rsid w:val="00595866"/>
    <w:rsid w:val="005A361A"/>
    <w:rsid w:val="005A3F02"/>
    <w:rsid w:val="005C7A36"/>
    <w:rsid w:val="005C7D76"/>
    <w:rsid w:val="005D1E90"/>
    <w:rsid w:val="005D757C"/>
    <w:rsid w:val="005E544C"/>
    <w:rsid w:val="005E6104"/>
    <w:rsid w:val="00610883"/>
    <w:rsid w:val="006110DA"/>
    <w:rsid w:val="00633EA5"/>
    <w:rsid w:val="00664499"/>
    <w:rsid w:val="00670721"/>
    <w:rsid w:val="006842FA"/>
    <w:rsid w:val="0068682C"/>
    <w:rsid w:val="00690A0C"/>
    <w:rsid w:val="00690FD2"/>
    <w:rsid w:val="00693199"/>
    <w:rsid w:val="006A3C5A"/>
    <w:rsid w:val="006B4B95"/>
    <w:rsid w:val="006C18D9"/>
    <w:rsid w:val="006C6449"/>
    <w:rsid w:val="006D2A3A"/>
    <w:rsid w:val="006F6BFE"/>
    <w:rsid w:val="00717CD4"/>
    <w:rsid w:val="007278D3"/>
    <w:rsid w:val="00737A18"/>
    <w:rsid w:val="00746B89"/>
    <w:rsid w:val="00754EB4"/>
    <w:rsid w:val="00783B0B"/>
    <w:rsid w:val="0079212B"/>
    <w:rsid w:val="007F44FA"/>
    <w:rsid w:val="008048D2"/>
    <w:rsid w:val="0081004E"/>
    <w:rsid w:val="00835113"/>
    <w:rsid w:val="00842BEB"/>
    <w:rsid w:val="00851D33"/>
    <w:rsid w:val="00853565"/>
    <w:rsid w:val="0085581C"/>
    <w:rsid w:val="0087134A"/>
    <w:rsid w:val="00881C79"/>
    <w:rsid w:val="00886804"/>
    <w:rsid w:val="008A6268"/>
    <w:rsid w:val="008A6E5C"/>
    <w:rsid w:val="008A7551"/>
    <w:rsid w:val="008B384B"/>
    <w:rsid w:val="008B4068"/>
    <w:rsid w:val="008D2347"/>
    <w:rsid w:val="008D2398"/>
    <w:rsid w:val="008F6942"/>
    <w:rsid w:val="009026D3"/>
    <w:rsid w:val="00964F99"/>
    <w:rsid w:val="00993CA4"/>
    <w:rsid w:val="009B63AB"/>
    <w:rsid w:val="009B6D38"/>
    <w:rsid w:val="009C0A89"/>
    <w:rsid w:val="009C15B1"/>
    <w:rsid w:val="009E517E"/>
    <w:rsid w:val="009E6A03"/>
    <w:rsid w:val="009E7B3F"/>
    <w:rsid w:val="009F3A67"/>
    <w:rsid w:val="009F59FF"/>
    <w:rsid w:val="009F5D50"/>
    <w:rsid w:val="009F7769"/>
    <w:rsid w:val="00A11697"/>
    <w:rsid w:val="00A25BC8"/>
    <w:rsid w:val="00A27B7B"/>
    <w:rsid w:val="00A321FE"/>
    <w:rsid w:val="00A5499A"/>
    <w:rsid w:val="00A61A11"/>
    <w:rsid w:val="00A63161"/>
    <w:rsid w:val="00A67449"/>
    <w:rsid w:val="00AA4454"/>
    <w:rsid w:val="00AA6E72"/>
    <w:rsid w:val="00AC1210"/>
    <w:rsid w:val="00AC545D"/>
    <w:rsid w:val="00AD3D55"/>
    <w:rsid w:val="00B4372B"/>
    <w:rsid w:val="00B44BB2"/>
    <w:rsid w:val="00B52B28"/>
    <w:rsid w:val="00B5651F"/>
    <w:rsid w:val="00B722DE"/>
    <w:rsid w:val="00B80530"/>
    <w:rsid w:val="00B83068"/>
    <w:rsid w:val="00B837CF"/>
    <w:rsid w:val="00B8392A"/>
    <w:rsid w:val="00BA00B3"/>
    <w:rsid w:val="00BD122F"/>
    <w:rsid w:val="00BD6603"/>
    <w:rsid w:val="00BF069C"/>
    <w:rsid w:val="00BF196F"/>
    <w:rsid w:val="00BF3835"/>
    <w:rsid w:val="00BF454A"/>
    <w:rsid w:val="00C05C8A"/>
    <w:rsid w:val="00C1002D"/>
    <w:rsid w:val="00C114DB"/>
    <w:rsid w:val="00C25547"/>
    <w:rsid w:val="00C2635E"/>
    <w:rsid w:val="00C3684D"/>
    <w:rsid w:val="00C4032B"/>
    <w:rsid w:val="00C6486C"/>
    <w:rsid w:val="00C648D3"/>
    <w:rsid w:val="00C75B02"/>
    <w:rsid w:val="00C962F0"/>
    <w:rsid w:val="00D013ED"/>
    <w:rsid w:val="00D07943"/>
    <w:rsid w:val="00D20C5C"/>
    <w:rsid w:val="00D36BDC"/>
    <w:rsid w:val="00D376D2"/>
    <w:rsid w:val="00D42249"/>
    <w:rsid w:val="00D5049E"/>
    <w:rsid w:val="00D55FEC"/>
    <w:rsid w:val="00D806C2"/>
    <w:rsid w:val="00D8503A"/>
    <w:rsid w:val="00DA70EA"/>
    <w:rsid w:val="00DF2FB9"/>
    <w:rsid w:val="00E0422A"/>
    <w:rsid w:val="00E12FE1"/>
    <w:rsid w:val="00E1759E"/>
    <w:rsid w:val="00E23434"/>
    <w:rsid w:val="00E4293D"/>
    <w:rsid w:val="00E63DEF"/>
    <w:rsid w:val="00E64936"/>
    <w:rsid w:val="00E96D3E"/>
    <w:rsid w:val="00EE0542"/>
    <w:rsid w:val="00EE6AB9"/>
    <w:rsid w:val="00F20153"/>
    <w:rsid w:val="00F3429D"/>
    <w:rsid w:val="00F463F2"/>
    <w:rsid w:val="00F56DB8"/>
    <w:rsid w:val="00F72A36"/>
    <w:rsid w:val="00F8186D"/>
    <w:rsid w:val="00FC71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57C22"/>
  <w15:docId w15:val="{AB2AE713-5BAF-8E41-BE3E-EC286D0E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B5651F"/>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236842"/>
    <w:pPr>
      <w:tabs>
        <w:tab w:val="clear" w:pos="567"/>
      </w:tabs>
      <w:ind w:left="1276" w:hanging="567"/>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23684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customStyle="1" w:styleId="UnresolvedMention1">
    <w:name w:val="Unresolved Mention1"/>
    <w:basedOn w:val="DefaultParagraphFont"/>
    <w:uiPriority w:val="99"/>
    <w:semiHidden/>
    <w:unhideWhenUsed/>
    <w:rsid w:val="003F0267"/>
    <w:rPr>
      <w:color w:val="605E5C"/>
      <w:shd w:val="clear" w:color="auto" w:fill="E1DFDD"/>
    </w:rPr>
  </w:style>
  <w:style w:type="paragraph" w:styleId="Revision">
    <w:name w:val="Revision"/>
    <w:hidden/>
    <w:uiPriority w:val="99"/>
    <w:semiHidden/>
    <w:rsid w:val="002C2B0E"/>
    <w:rPr>
      <w:rFonts w:ascii="Arial" w:hAnsi="Arial"/>
      <w:snapToGrid w:val="0"/>
      <w:sz w:val="22"/>
      <w:szCs w:val="24"/>
      <w:lang w:val="en-GB" w:eastAsia="en-US"/>
    </w:rPr>
  </w:style>
  <w:style w:type="character" w:customStyle="1" w:styleId="Mentionnonrsolue1">
    <w:name w:val="Mention non résolue1"/>
    <w:basedOn w:val="DefaultParagraphFont"/>
    <w:uiPriority w:val="99"/>
    <w:semiHidden/>
    <w:unhideWhenUsed/>
    <w:rsid w:val="00101A50"/>
    <w:rPr>
      <w:color w:val="605E5C"/>
      <w:shd w:val="clear" w:color="auto" w:fill="E1DFDD"/>
    </w:rPr>
  </w:style>
  <w:style w:type="paragraph" w:styleId="NormalWeb">
    <w:name w:val="Normal (Web)"/>
    <w:basedOn w:val="Normal"/>
    <w:uiPriority w:val="99"/>
    <w:unhideWhenUsed/>
    <w:rsid w:val="008A6268"/>
    <w:pPr>
      <w:tabs>
        <w:tab w:val="clear" w:pos="567"/>
      </w:tabs>
      <w:snapToGrid/>
      <w:spacing w:before="100" w:beforeAutospacing="1" w:after="100" w:afterAutospacing="1"/>
    </w:pPr>
    <w:rPr>
      <w:rFonts w:ascii="Times New Roman" w:hAnsi="Times New Roman"/>
      <w:snapToGrid/>
      <w:sz w:val="24"/>
      <w:lang w:val="fr-FR"/>
    </w:rPr>
  </w:style>
  <w:style w:type="character" w:styleId="UnresolvedMention">
    <w:name w:val="Unresolved Mention"/>
    <w:basedOn w:val="DefaultParagraphFont"/>
    <w:uiPriority w:val="99"/>
    <w:semiHidden/>
    <w:unhideWhenUsed/>
    <w:rsid w:val="00E42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77806">
      <w:bodyDiv w:val="1"/>
      <w:marLeft w:val="0"/>
      <w:marRight w:val="0"/>
      <w:marTop w:val="0"/>
      <w:marBottom w:val="0"/>
      <w:divBdr>
        <w:top w:val="none" w:sz="0" w:space="0" w:color="auto"/>
        <w:left w:val="none" w:sz="0" w:space="0" w:color="auto"/>
        <w:bottom w:val="none" w:sz="0" w:space="0" w:color="auto"/>
        <w:right w:val="none" w:sz="0" w:space="0" w:color="auto"/>
      </w:divBdr>
    </w:div>
    <w:div w:id="962930342">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5266.locale=en" TargetMode="External"/><Relationship Id="rId13" Type="http://schemas.openxmlformats.org/officeDocument/2006/relationships/hyperlink" Target="https://oceanexpert.org/document/33305" TargetMode="External"/><Relationship Id="rId18" Type="http://schemas.openxmlformats.org/officeDocument/2006/relationships/hyperlink" Target="http://goa-on.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ceanexpert.org/document/32845" TargetMode="External"/><Relationship Id="rId17" Type="http://schemas.openxmlformats.org/officeDocument/2006/relationships/hyperlink" Target="http://oa.iode.org" TargetMode="External"/><Relationship Id="rId2" Type="http://schemas.openxmlformats.org/officeDocument/2006/relationships/numbering" Target="numbering.xml"/><Relationship Id="rId16" Type="http://schemas.openxmlformats.org/officeDocument/2006/relationships/hyperlink" Target="https://www.ipcc.ch/sroc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1921.local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194/essd-12-3269-2020" TargetMode="External"/><Relationship Id="rId23" Type="http://schemas.openxmlformats.org/officeDocument/2006/relationships/fontTable" Target="fontTable.xml"/><Relationship Id="rId10" Type="http://schemas.openxmlformats.org/officeDocument/2006/relationships/hyperlink" Target="https://oceanexpert.org/document/28482" TargetMode="External"/><Relationship Id="rId19" Type="http://schemas.openxmlformats.org/officeDocument/2006/relationships/hyperlink" Target="http://goa-on.org/oars/overview.php" TargetMode="External"/><Relationship Id="rId4" Type="http://schemas.openxmlformats.org/officeDocument/2006/relationships/settings" Target="settings.xml"/><Relationship Id="rId9" Type="http://schemas.openxmlformats.org/officeDocument/2006/relationships/hyperlink" Target="https://oceanexpert.org/document/28087" TargetMode="External"/><Relationship Id="rId14" Type="http://schemas.openxmlformats.org/officeDocument/2006/relationships/hyperlink" Target="https://oceandecade.org/vision-missio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D0C9-21E5-4077-8DD4-4C4B20B6ED9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1831</Words>
  <Characters>10481</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Kirsten Isensee</dc:creator>
  <cp:lastModifiedBy>Boned, Patrice</cp:lastModifiedBy>
  <cp:revision>3</cp:revision>
  <cp:lastPrinted>2002-06-12T09:28:00Z</cp:lastPrinted>
  <dcterms:created xsi:type="dcterms:W3CDTF">2024-04-29T13:26:00Z</dcterms:created>
  <dcterms:modified xsi:type="dcterms:W3CDTF">2024-05-02T12:53:00Z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