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EB3895">
      <w:pPr>
        <w:pStyle w:val="Heading1"/>
        <w:spacing w:before="480"/>
        <w:jc w:val="left"/>
      </w:pPr>
    </w:p>
    <w:p w14:paraId="748272EF" w14:textId="435004E9" w:rsidR="00EB3895" w:rsidRPr="00EB3895" w:rsidRDefault="00EB3895" w:rsidP="00FD078F">
      <w:pPr>
        <w:pStyle w:val="Heading1"/>
        <w:spacing w:before="1680" w:after="0"/>
      </w:pPr>
      <w:r w:rsidRPr="00EB3895">
        <w:t xml:space="preserve">COMMISSION OCÉANOGRAPHIQUE </w:t>
      </w:r>
      <w:r w:rsidR="00DA71B9">
        <w:t>I</w:t>
      </w:r>
      <w:r w:rsidRPr="00EB3895">
        <w:t>NTERGOUVERNEMENTALE</w:t>
      </w:r>
    </w:p>
    <w:p w14:paraId="0F1DC779" w14:textId="0A54CC80" w:rsidR="00EB3895" w:rsidRPr="00EB3895" w:rsidRDefault="00EB3895" w:rsidP="00EB3895">
      <w:pPr>
        <w:jc w:val="center"/>
        <w:rPr>
          <w:bCs/>
        </w:rPr>
      </w:pPr>
      <w:r w:rsidRPr="00EB3895">
        <w:rPr>
          <w:bCs/>
        </w:rPr>
        <w:t>(</w:t>
      </w:r>
      <w:proofErr w:type="gramStart"/>
      <w:r w:rsidRPr="00EB3895">
        <w:rPr>
          <w:bCs/>
        </w:rPr>
        <w:t>de</w:t>
      </w:r>
      <w:proofErr w:type="gramEnd"/>
      <w:r w:rsidRPr="00EB3895">
        <w:rPr>
          <w:bCs/>
        </w:rPr>
        <w:t xml:space="preserve"> l</w:t>
      </w:r>
      <w:r w:rsidR="00BE6632">
        <w:rPr>
          <w:bCs/>
        </w:rPr>
        <w:t>’</w:t>
      </w:r>
      <w:r w:rsidRPr="00EB3895">
        <w:rPr>
          <w:bCs/>
        </w:rPr>
        <w:t>UNESCO)</w:t>
      </w:r>
    </w:p>
    <w:p w14:paraId="5B0D4193" w14:textId="1AEEC740" w:rsidR="00EB3895" w:rsidRPr="00EB3895" w:rsidRDefault="00EB3895" w:rsidP="00562336">
      <w:pPr>
        <w:spacing w:before="240" w:after="600"/>
        <w:jc w:val="center"/>
        <w:rPr>
          <w:b/>
        </w:rPr>
      </w:pPr>
      <w:r w:rsidRPr="00EB3895">
        <w:rPr>
          <w:b/>
        </w:rPr>
        <w:t>Cinquante-</w:t>
      </w:r>
      <w:r w:rsidR="00F60534">
        <w:rPr>
          <w:b/>
        </w:rPr>
        <w:t>septième</w:t>
      </w:r>
      <w:r w:rsidRPr="00EB3895">
        <w:rPr>
          <w:b/>
        </w:rPr>
        <w:t xml:space="preserve"> session du Conseil exécutif</w:t>
      </w:r>
      <w:r>
        <w:rPr>
          <w:b/>
        </w:rPr>
        <w:br/>
      </w:r>
      <w:r w:rsidRPr="00EB3895">
        <w:rPr>
          <w:bCs/>
        </w:rPr>
        <w:t xml:space="preserve">UNESCO, Paris, </w:t>
      </w:r>
      <w:r w:rsidR="00F60534">
        <w:rPr>
          <w:bCs/>
        </w:rPr>
        <w:t>25-28</w:t>
      </w:r>
      <w:r w:rsidRPr="00EB3895">
        <w:rPr>
          <w:bCs/>
        </w:rPr>
        <w:t xml:space="preserve"> juin 202</w:t>
      </w:r>
      <w:r w:rsidR="00F60534">
        <w:rPr>
          <w:bCs/>
        </w:rPr>
        <w:t>4</w:t>
      </w:r>
      <w:r w:rsidR="006519AE">
        <w:rPr>
          <w:bCs/>
        </w:rPr>
        <w:t xml:space="preserve"> </w:t>
      </w:r>
    </w:p>
    <w:p w14:paraId="607D1C93" w14:textId="6FE86E53" w:rsidR="00EB3895" w:rsidRPr="00E54757" w:rsidRDefault="00E54757" w:rsidP="00562336">
      <w:pPr>
        <w:pStyle w:val="Marge"/>
        <w:spacing w:after="600"/>
        <w:rPr>
          <w:u w:val="single"/>
        </w:rPr>
      </w:pPr>
      <w:r w:rsidRPr="00E54757">
        <w:rPr>
          <w:u w:val="single"/>
        </w:rPr>
        <w:t xml:space="preserve">Point </w:t>
      </w:r>
      <w:r w:rsidRPr="00E54757">
        <w:rPr>
          <w:b/>
          <w:bCs/>
          <w:u w:val="single"/>
        </w:rPr>
        <w:t>4.</w:t>
      </w:r>
      <w:r w:rsidR="00B94791">
        <w:rPr>
          <w:b/>
          <w:bCs/>
          <w:u w:val="single"/>
        </w:rPr>
        <w:t>5</w:t>
      </w:r>
      <w:r w:rsidRPr="00E54757">
        <w:rPr>
          <w:u w:val="single"/>
        </w:rPr>
        <w:t xml:space="preserve"> de l’ordre du jour provisoire</w:t>
      </w:r>
    </w:p>
    <w:p w14:paraId="4D532EDB" w14:textId="37008F61" w:rsidR="00B2519D" w:rsidRDefault="00B94791" w:rsidP="00562336">
      <w:pPr>
        <w:pStyle w:val="Heading1"/>
        <w:spacing w:after="360"/>
      </w:pPr>
      <w:r w:rsidRPr="00B94791">
        <w:t>RAPPORT SUR LA DEUXI</w:t>
      </w:r>
      <w:r w:rsidR="004C08D6">
        <w:t>È</w:t>
      </w:r>
      <w:r w:rsidRPr="00B94791">
        <w:t>ME ÉDITION DU RAPPORT SUR L’ÉTAT DE L’OCÉAN</w:t>
      </w:r>
      <w:r>
        <w:t xml:space="preserve"> (2024) </w:t>
      </w:r>
      <w:r w:rsidR="00F13119">
        <w:br/>
      </w:r>
      <w:r w:rsidRPr="00B94791">
        <w:t xml:space="preserve">ET ORIENTATIONS POUR LES </w:t>
      </w:r>
      <w:r>
        <w:t>É</w:t>
      </w:r>
      <w:r w:rsidRPr="00B94791">
        <w:t>DITIONS FUTURES</w:t>
      </w:r>
    </w:p>
    <w:tbl>
      <w:tblPr>
        <w:tblStyle w:val="Grilledutableau1"/>
        <w:tblW w:w="7083" w:type="dxa"/>
        <w:jc w:val="center"/>
        <w:tblLayout w:type="fixed"/>
        <w:tblLook w:val="04A0" w:firstRow="1" w:lastRow="0" w:firstColumn="1" w:lastColumn="0" w:noHBand="0" w:noVBand="1"/>
      </w:tblPr>
      <w:tblGrid>
        <w:gridCol w:w="7083"/>
      </w:tblGrid>
      <w:tr w:rsidR="00562336" w:rsidRPr="00562336" w14:paraId="39DE0B67" w14:textId="77777777" w:rsidTr="00562336">
        <w:trPr>
          <w:trHeight w:val="4350"/>
          <w:jc w:val="center"/>
        </w:trPr>
        <w:tc>
          <w:tcPr>
            <w:tcW w:w="7083" w:type="dxa"/>
          </w:tcPr>
          <w:p w14:paraId="754BC36C" w14:textId="77777777" w:rsidR="00562336" w:rsidRPr="00562336" w:rsidRDefault="00562336" w:rsidP="00562336">
            <w:pPr>
              <w:tabs>
                <w:tab w:val="clear" w:pos="567"/>
              </w:tabs>
              <w:snapToGrid/>
              <w:spacing w:before="120" w:after="240"/>
              <w:jc w:val="center"/>
              <w:rPr>
                <w:rFonts w:cs="Arial"/>
                <w:bCs/>
                <w:szCs w:val="22"/>
                <w:u w:val="single"/>
                <w:lang w:eastAsia="en-US"/>
              </w:rPr>
            </w:pPr>
            <w:r w:rsidRPr="00562336">
              <w:rPr>
                <w:u w:val="single"/>
                <w:lang w:eastAsia="en-US"/>
              </w:rPr>
              <w:t>Résumé</w:t>
            </w:r>
          </w:p>
          <w:p w14:paraId="051DA561" w14:textId="5E5F3FBB" w:rsidR="00562336" w:rsidRPr="00807867" w:rsidRDefault="00B94791" w:rsidP="00562336">
            <w:pPr>
              <w:tabs>
                <w:tab w:val="clear" w:pos="567"/>
              </w:tabs>
              <w:snapToGrid/>
              <w:spacing w:after="240"/>
              <w:ind w:left="283" w:right="283"/>
              <w:jc w:val="both"/>
              <w:rPr>
                <w:rFonts w:cs="Arial"/>
                <w:szCs w:val="22"/>
                <w:lang w:eastAsia="en-US"/>
              </w:rPr>
            </w:pPr>
            <w:r w:rsidRPr="00B94791">
              <w:rPr>
                <w:rFonts w:cs="Arial"/>
                <w:szCs w:val="22"/>
                <w:lang w:eastAsia="en-US"/>
              </w:rPr>
              <w:t xml:space="preserve">Le présent document a été </w:t>
            </w:r>
            <w:r>
              <w:rPr>
                <w:rFonts w:cs="Arial"/>
                <w:szCs w:val="22"/>
                <w:lang w:eastAsia="en-US"/>
              </w:rPr>
              <w:t>établi en application de</w:t>
            </w:r>
            <w:r w:rsidRPr="00B94791">
              <w:rPr>
                <w:rFonts w:cs="Arial"/>
                <w:szCs w:val="22"/>
                <w:lang w:eastAsia="en-US"/>
              </w:rPr>
              <w:t xml:space="preserve"> la décision IOC/</w:t>
            </w:r>
            <w:r>
              <w:rPr>
                <w:rFonts w:cs="Arial"/>
                <w:szCs w:val="22"/>
                <w:lang w:eastAsia="en-US"/>
              </w:rPr>
              <w:t>A-32</w:t>
            </w:r>
            <w:r w:rsidRPr="00B94791">
              <w:rPr>
                <w:rFonts w:cs="Arial"/>
                <w:szCs w:val="22"/>
                <w:lang w:eastAsia="en-US"/>
              </w:rPr>
              <w:t>/</w:t>
            </w:r>
            <w:r>
              <w:rPr>
                <w:rFonts w:cs="Arial"/>
                <w:szCs w:val="22"/>
                <w:lang w:eastAsia="en-US"/>
              </w:rPr>
              <w:t>4</w:t>
            </w:r>
            <w:r w:rsidRPr="00B94791">
              <w:rPr>
                <w:rFonts w:cs="Arial"/>
                <w:szCs w:val="22"/>
                <w:lang w:eastAsia="en-US"/>
              </w:rPr>
              <w:t>.</w:t>
            </w:r>
            <w:r>
              <w:rPr>
                <w:rFonts w:cs="Arial"/>
                <w:szCs w:val="22"/>
                <w:lang w:eastAsia="en-US"/>
              </w:rPr>
              <w:t>2</w:t>
            </w:r>
            <w:r w:rsidRPr="00B94791">
              <w:rPr>
                <w:rFonts w:cs="Arial"/>
                <w:szCs w:val="22"/>
                <w:lang w:eastAsia="en-US"/>
              </w:rPr>
              <w:t xml:space="preserve"> (2022)</w:t>
            </w:r>
            <w:r>
              <w:rPr>
                <w:rFonts w:cs="Arial"/>
                <w:szCs w:val="22"/>
                <w:lang w:eastAsia="en-US"/>
              </w:rPr>
              <w:t xml:space="preserve"> par laquelle le Secrétariat de la COI a été prié de présenter </w:t>
            </w:r>
            <w:r w:rsidRPr="00B94791">
              <w:rPr>
                <w:rFonts w:cs="Arial"/>
                <w:szCs w:val="22"/>
                <w:lang w:eastAsia="en-US"/>
              </w:rPr>
              <w:t>un rapport sur la deuxième édition du Rapport au Conseil exécutif de la COI à sa 57</w:t>
            </w:r>
            <w:r w:rsidRPr="00B94791">
              <w:rPr>
                <w:rFonts w:cs="Arial"/>
                <w:szCs w:val="22"/>
                <w:vertAlign w:val="superscript"/>
                <w:lang w:eastAsia="en-US"/>
              </w:rPr>
              <w:t>e</w:t>
            </w:r>
            <w:r>
              <w:rPr>
                <w:rFonts w:cs="Arial"/>
                <w:szCs w:val="22"/>
                <w:lang w:eastAsia="en-US"/>
              </w:rPr>
              <w:t> </w:t>
            </w:r>
            <w:r w:rsidRPr="00B94791">
              <w:rPr>
                <w:rFonts w:cs="Arial"/>
                <w:szCs w:val="22"/>
                <w:lang w:eastAsia="en-US"/>
              </w:rPr>
              <w:t>session, afin que les États membres l’examinent et formulent des orientations supplémentaires</w:t>
            </w:r>
            <w:r>
              <w:rPr>
                <w:rFonts w:cs="Arial"/>
                <w:szCs w:val="22"/>
                <w:lang w:eastAsia="en-US"/>
              </w:rPr>
              <w:t>. Il contient</w:t>
            </w:r>
            <w:r w:rsidRPr="00B94791">
              <w:rPr>
                <w:rFonts w:cs="Arial"/>
                <w:szCs w:val="22"/>
                <w:lang w:eastAsia="en-US"/>
              </w:rPr>
              <w:t xml:space="preserve"> la note conceptuelle la plus récente pour</w:t>
            </w:r>
            <w:r>
              <w:rPr>
                <w:rFonts w:cs="Arial"/>
                <w:szCs w:val="22"/>
                <w:lang w:eastAsia="en-US"/>
              </w:rPr>
              <w:t xml:space="preserve"> le </w:t>
            </w:r>
            <w:r w:rsidRPr="00B94791">
              <w:rPr>
                <w:rFonts w:cs="Arial"/>
                <w:szCs w:val="22"/>
                <w:lang w:eastAsia="en-US"/>
              </w:rPr>
              <w:t>Rapport sur l’état de l’océan. </w:t>
            </w:r>
            <w:r w:rsidR="00562336" w:rsidRPr="00562336">
              <w:rPr>
                <w:rFonts w:cs="Arial"/>
                <w:szCs w:val="22"/>
                <w:lang w:eastAsia="en-US"/>
              </w:rPr>
              <w:t xml:space="preserve"> </w:t>
            </w:r>
          </w:p>
          <w:p w14:paraId="5D5E2D30" w14:textId="50BAAFDC" w:rsidR="00562336" w:rsidRPr="00A16CB1" w:rsidRDefault="00B94791" w:rsidP="00562336">
            <w:pPr>
              <w:tabs>
                <w:tab w:val="clear" w:pos="567"/>
              </w:tabs>
              <w:snapToGrid/>
              <w:spacing w:after="240"/>
              <w:ind w:left="283" w:right="283"/>
              <w:jc w:val="both"/>
              <w:rPr>
                <w:rFonts w:cs="Arial"/>
                <w:szCs w:val="22"/>
                <w:lang w:eastAsia="en-US"/>
              </w:rPr>
            </w:pPr>
            <w:r w:rsidRPr="00B94791">
              <w:rPr>
                <w:rFonts w:cs="Arial"/>
                <w:szCs w:val="22"/>
                <w:lang w:eastAsia="en-US"/>
              </w:rPr>
              <w:t xml:space="preserve">Le </w:t>
            </w:r>
            <w:r>
              <w:rPr>
                <w:rFonts w:cs="Arial"/>
                <w:szCs w:val="22"/>
                <w:lang w:eastAsia="en-US"/>
              </w:rPr>
              <w:t>C</w:t>
            </w:r>
            <w:r w:rsidRPr="00B94791">
              <w:rPr>
                <w:rFonts w:cs="Arial"/>
                <w:szCs w:val="22"/>
                <w:lang w:eastAsia="en-US"/>
              </w:rPr>
              <w:t xml:space="preserve">onseil exécutif </w:t>
            </w:r>
            <w:r>
              <w:rPr>
                <w:rFonts w:cs="Arial"/>
                <w:szCs w:val="22"/>
                <w:lang w:eastAsia="en-US"/>
              </w:rPr>
              <w:t>de la COI</w:t>
            </w:r>
            <w:r w:rsidRPr="00B94791">
              <w:rPr>
                <w:rFonts w:cs="Arial"/>
                <w:szCs w:val="22"/>
                <w:lang w:eastAsia="en-US"/>
              </w:rPr>
              <w:t xml:space="preserve"> est </w:t>
            </w:r>
            <w:r w:rsidR="00E94A5D" w:rsidRPr="00B94791">
              <w:rPr>
                <w:rFonts w:cs="Arial"/>
                <w:szCs w:val="22"/>
                <w:lang w:eastAsia="en-US"/>
              </w:rPr>
              <w:t xml:space="preserve">régulièrement </w:t>
            </w:r>
            <w:r w:rsidRPr="00B94791">
              <w:rPr>
                <w:rFonts w:cs="Arial"/>
                <w:szCs w:val="22"/>
                <w:lang w:eastAsia="en-US"/>
              </w:rPr>
              <w:t xml:space="preserve">invité à examiner et à approuver la publication du </w:t>
            </w:r>
            <w:r w:rsidR="00E94A5D" w:rsidRPr="00E94A5D">
              <w:rPr>
                <w:rFonts w:cs="Arial"/>
                <w:szCs w:val="22"/>
                <w:lang w:eastAsia="en-US"/>
              </w:rPr>
              <w:t>Rapport sur l</w:t>
            </w:r>
            <w:r w:rsidR="00E94A5D" w:rsidRPr="00A16CB1">
              <w:rPr>
                <w:rFonts w:cs="Arial"/>
                <w:szCs w:val="22"/>
                <w:lang w:eastAsia="en-US"/>
              </w:rPr>
              <w:t>’état de l’océan</w:t>
            </w:r>
            <w:r w:rsidRPr="00A16CB1">
              <w:rPr>
                <w:rFonts w:cs="Arial"/>
                <w:szCs w:val="22"/>
                <w:lang w:eastAsia="en-US"/>
              </w:rPr>
              <w:t>.</w:t>
            </w:r>
            <w:r w:rsidR="00E94A5D" w:rsidRPr="00A16CB1">
              <w:rPr>
                <w:rFonts w:eastAsia="SimSun"/>
                <w:color w:val="333333"/>
                <w:sz w:val="30"/>
                <w:szCs w:val="30"/>
                <w:shd w:val="clear" w:color="auto" w:fill="FFFFFF"/>
                <w:lang w:eastAsia="zh-CN"/>
              </w:rPr>
              <w:t xml:space="preserve"> </w:t>
            </w:r>
            <w:r w:rsidR="00E94A5D" w:rsidRPr="00A16CB1">
              <w:rPr>
                <w:rFonts w:cs="Arial"/>
                <w:szCs w:val="22"/>
                <w:lang w:eastAsia="en-US"/>
              </w:rPr>
              <w:t>Les annexes sont disponibles en anglais seulement.</w:t>
            </w:r>
          </w:p>
          <w:p w14:paraId="7D092ED5" w14:textId="4F44AE60" w:rsidR="00E94A5D" w:rsidRPr="00807867" w:rsidRDefault="00E94A5D" w:rsidP="00562336">
            <w:pPr>
              <w:tabs>
                <w:tab w:val="clear" w:pos="567"/>
              </w:tabs>
              <w:snapToGrid/>
              <w:spacing w:after="240"/>
              <w:ind w:left="283" w:right="283"/>
              <w:jc w:val="both"/>
              <w:rPr>
                <w:rFonts w:cs="Arial"/>
                <w:szCs w:val="22"/>
                <w:lang w:eastAsia="en-US"/>
              </w:rPr>
            </w:pPr>
            <w:r w:rsidRPr="00A16CB1">
              <w:rPr>
                <w:rFonts w:cs="Arial"/>
                <w:szCs w:val="22"/>
                <w:u w:val="single"/>
                <w:lang w:eastAsia="en-US"/>
              </w:rPr>
              <w:t>Incidences financières et administratives</w:t>
            </w:r>
            <w:r w:rsidRPr="00A16CB1">
              <w:rPr>
                <w:rFonts w:cs="Arial"/>
                <w:szCs w:val="22"/>
                <w:lang w:eastAsia="en-US"/>
              </w:rPr>
              <w:t> : paragraphes 2</w:t>
            </w:r>
            <w:r w:rsidR="009B16C3" w:rsidRPr="00A16CB1">
              <w:rPr>
                <w:rFonts w:cs="Arial"/>
                <w:szCs w:val="22"/>
                <w:lang w:eastAsia="en-US"/>
              </w:rPr>
              <w:t>2</w:t>
            </w:r>
            <w:r w:rsidRPr="00A16CB1">
              <w:rPr>
                <w:rFonts w:cs="Arial"/>
                <w:szCs w:val="22"/>
                <w:lang w:eastAsia="en-US"/>
              </w:rPr>
              <w:t xml:space="preserve"> et 2</w:t>
            </w:r>
            <w:r w:rsidR="009B16C3" w:rsidRPr="00A16CB1">
              <w:rPr>
                <w:rFonts w:cs="Arial"/>
                <w:szCs w:val="22"/>
                <w:lang w:eastAsia="en-US"/>
              </w:rPr>
              <w:t>3</w:t>
            </w:r>
            <w:r w:rsidRPr="00A16CB1">
              <w:rPr>
                <w:rFonts w:cs="Arial"/>
                <w:szCs w:val="22"/>
                <w:lang w:eastAsia="en-US"/>
              </w:rPr>
              <w:t>.</w:t>
            </w:r>
          </w:p>
          <w:p w14:paraId="2DF562DA" w14:textId="2BEDDAFC" w:rsidR="00562336" w:rsidRPr="00562336" w:rsidRDefault="00562336" w:rsidP="00562336">
            <w:pPr>
              <w:tabs>
                <w:tab w:val="clear" w:pos="567"/>
              </w:tabs>
              <w:snapToGrid/>
              <w:spacing w:after="240"/>
              <w:ind w:left="283" w:right="283"/>
              <w:jc w:val="both"/>
              <w:rPr>
                <w:rFonts w:cs="Arial"/>
                <w:b/>
                <w:bCs/>
                <w:spacing w:val="-3"/>
                <w:szCs w:val="22"/>
                <w:lang w:eastAsia="en-US"/>
              </w:rPr>
            </w:pPr>
            <w:r w:rsidRPr="00562336">
              <w:rPr>
                <w:rFonts w:cs="Arial"/>
                <w:spacing w:val="-3"/>
                <w:szCs w:val="22"/>
                <w:lang w:eastAsia="en-US"/>
              </w:rPr>
              <w:t xml:space="preserve">La </w:t>
            </w:r>
            <w:r w:rsidRPr="00562336">
              <w:rPr>
                <w:rFonts w:cs="Arial"/>
                <w:spacing w:val="-3"/>
                <w:szCs w:val="22"/>
                <w:u w:val="single"/>
                <w:lang w:eastAsia="en-US"/>
              </w:rPr>
              <w:t>décision proposée</w:t>
            </w:r>
            <w:r w:rsidRPr="00562336">
              <w:rPr>
                <w:rFonts w:cs="Arial"/>
                <w:spacing w:val="-3"/>
                <w:szCs w:val="22"/>
                <w:lang w:eastAsia="en-US"/>
              </w:rPr>
              <w:t xml:space="preserve"> porte la cote EC-57/4.</w:t>
            </w:r>
            <w:r w:rsidR="00E94A5D">
              <w:rPr>
                <w:rFonts w:cs="Arial"/>
                <w:spacing w:val="-3"/>
                <w:szCs w:val="22"/>
                <w:lang w:eastAsia="en-US"/>
              </w:rPr>
              <w:t>5</w:t>
            </w:r>
            <w:r w:rsidRPr="00562336">
              <w:rPr>
                <w:rFonts w:cs="Arial"/>
                <w:spacing w:val="-3"/>
                <w:szCs w:val="22"/>
                <w:lang w:eastAsia="en-US"/>
              </w:rPr>
              <w:t xml:space="preserve"> dans le Document relatif aux décisions à adopter (document IOC/EC</w:t>
            </w:r>
            <w:r w:rsidRPr="00562336">
              <w:rPr>
                <w:rFonts w:cs="Arial"/>
                <w:spacing w:val="-3"/>
                <w:szCs w:val="22"/>
                <w:lang w:eastAsia="en-US"/>
              </w:rPr>
              <w:noBreakHyphen/>
              <w:t>57/AP</w:t>
            </w:r>
            <w:r w:rsidR="00E94A5D">
              <w:rPr>
                <w:rFonts w:cs="Arial"/>
                <w:spacing w:val="-3"/>
                <w:szCs w:val="22"/>
                <w:lang w:eastAsia="en-US"/>
              </w:rPr>
              <w:t xml:space="preserve"> Prov.</w:t>
            </w:r>
            <w:r w:rsidRPr="00562336">
              <w:rPr>
                <w:rFonts w:cs="Arial"/>
                <w:spacing w:val="-3"/>
                <w:szCs w:val="22"/>
                <w:lang w:eastAsia="en-US"/>
              </w:rPr>
              <w:t>).</w:t>
            </w:r>
          </w:p>
        </w:tc>
      </w:tr>
    </w:tbl>
    <w:p w14:paraId="5C238DF7" w14:textId="77777777" w:rsidR="00E54757" w:rsidRDefault="00E54757" w:rsidP="00E54757">
      <w:pPr>
        <w:pStyle w:val="Marge"/>
      </w:pPr>
    </w:p>
    <w:p w14:paraId="2E979F20" w14:textId="4FADF084" w:rsidR="00436275" w:rsidRDefault="00436275">
      <w:pPr>
        <w:tabs>
          <w:tab w:val="clear" w:pos="567"/>
        </w:tabs>
        <w:snapToGrid/>
        <w:rPr>
          <w:rFonts w:eastAsia="Times New Roman"/>
          <w:lang w:eastAsia="en-US"/>
        </w:rPr>
      </w:pPr>
      <w:r>
        <w:br w:type="page"/>
      </w:r>
    </w:p>
    <w:p w14:paraId="4FEF1063" w14:textId="13EEB60D" w:rsidR="00436275" w:rsidRPr="00807867" w:rsidRDefault="00E94A5D" w:rsidP="00436275">
      <w:pPr>
        <w:tabs>
          <w:tab w:val="clear" w:pos="567"/>
        </w:tabs>
        <w:snapToGrid/>
        <w:spacing w:after="240"/>
        <w:jc w:val="both"/>
        <w:rPr>
          <w:rFonts w:cs="Arial"/>
          <w:szCs w:val="22"/>
          <w:lang w:eastAsia="en-US"/>
        </w:rPr>
      </w:pPr>
      <w:r>
        <w:rPr>
          <w:rFonts w:eastAsia="Times New Roman" w:cs="Arial"/>
          <w:b/>
          <w:bCs/>
          <w:snapToGrid/>
          <w:szCs w:val="22"/>
          <w:lang w:eastAsia="en-US"/>
        </w:rPr>
        <w:lastRenderedPageBreak/>
        <w:t>Introduction</w:t>
      </w:r>
      <w:r w:rsidR="00436275" w:rsidRPr="00436275">
        <w:rPr>
          <w:rFonts w:eastAsia="Times New Roman" w:cs="Arial"/>
          <w:snapToGrid/>
          <w:szCs w:val="22"/>
          <w:lang w:eastAsia="en-US"/>
        </w:rPr>
        <w:t xml:space="preserve"> </w:t>
      </w:r>
      <w:bookmarkStart w:id="0" w:name="_Toc163216996"/>
      <w:bookmarkStart w:id="1" w:name="_Toc130909576"/>
      <w:bookmarkEnd w:id="0"/>
    </w:p>
    <w:p w14:paraId="500C8397" w14:textId="77777777" w:rsidR="004B6DD5" w:rsidRDefault="00436275" w:rsidP="00436275">
      <w:pPr>
        <w:tabs>
          <w:tab w:val="clear" w:pos="567"/>
        </w:tabs>
        <w:snapToGrid/>
        <w:spacing w:after="240"/>
        <w:jc w:val="both"/>
        <w:rPr>
          <w:rFonts w:eastAsia="Times New Roman" w:cs="Arial"/>
          <w:snapToGrid/>
          <w:szCs w:val="22"/>
          <w:lang w:eastAsia="en-US"/>
        </w:rPr>
      </w:pPr>
      <w:r w:rsidRPr="00436275">
        <w:rPr>
          <w:rFonts w:eastAsia="Times New Roman" w:cs="Arial"/>
          <w:snapToGrid/>
          <w:szCs w:val="22"/>
          <w:lang w:eastAsia="en-US"/>
        </w:rPr>
        <w:t>1.</w:t>
      </w:r>
      <w:r w:rsidRPr="00436275">
        <w:rPr>
          <w:rFonts w:eastAsia="Times New Roman" w:cs="Arial"/>
          <w:snapToGrid/>
          <w:szCs w:val="22"/>
          <w:lang w:eastAsia="en-US"/>
        </w:rPr>
        <w:tab/>
      </w:r>
      <w:r w:rsidR="004B6DD5" w:rsidRPr="004B6DD5">
        <w:rPr>
          <w:rFonts w:eastAsia="Times New Roman" w:cs="Arial"/>
          <w:snapToGrid/>
          <w:szCs w:val="22"/>
          <w:lang w:eastAsia="en-US"/>
        </w:rPr>
        <w:t> Ces dernières années, le regain d’attention portée à l’océan mondial et la reconnaissance de son rôle crucial pour la vie sur Terre, le climat planétaire, la sécurité alimentaire et la santé et le bien-être humains, ainsi que de sa contribution à l’économie mondiale, ont suscité une demande accrue d’informations pertinentes, stratégiques, actuelles et facilement accessibles sur l’état de l’océan de la part des décideurs.</w:t>
      </w:r>
    </w:p>
    <w:p w14:paraId="5123B3CE" w14:textId="54C0E389" w:rsidR="008871F2" w:rsidRDefault="004B6DD5" w:rsidP="00436275">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2.</w:t>
      </w:r>
      <w:r>
        <w:rPr>
          <w:rFonts w:eastAsia="Times New Roman" w:cs="Arial"/>
          <w:snapToGrid/>
          <w:szCs w:val="22"/>
          <w:lang w:eastAsia="en-US"/>
        </w:rPr>
        <w:tab/>
      </w:r>
      <w:r w:rsidRPr="004B6DD5">
        <w:rPr>
          <w:rFonts w:eastAsia="Times New Roman" w:cs="Arial"/>
          <w:snapToGrid/>
          <w:szCs w:val="22"/>
          <w:lang w:eastAsia="en-US"/>
        </w:rPr>
        <w:t>À sa 53</w:t>
      </w:r>
      <w:r w:rsidRPr="004B6DD5">
        <w:rPr>
          <w:rFonts w:eastAsia="Times New Roman" w:cs="Arial"/>
          <w:snapToGrid/>
          <w:szCs w:val="22"/>
          <w:vertAlign w:val="superscript"/>
          <w:lang w:eastAsia="en-US"/>
        </w:rPr>
        <w:t>e</w:t>
      </w:r>
      <w:r w:rsidRPr="004B6DD5">
        <w:rPr>
          <w:rFonts w:eastAsia="Times New Roman" w:cs="Arial"/>
          <w:snapToGrid/>
          <w:szCs w:val="22"/>
          <w:lang w:eastAsia="en-US"/>
        </w:rPr>
        <w:t xml:space="preserve"> session (février 2021), le Conseil exécutif de la COI a examiné la proposition d’établissement d’un rapport périodique de la COI sur l’état de l’océan afin de répondre à la demande accrue d’informations essentielles sur l’état de l’océan évoquée plus haut (voir </w:t>
      </w:r>
      <w:r>
        <w:rPr>
          <w:rFonts w:eastAsia="Times New Roman" w:cs="Arial"/>
          <w:snapToGrid/>
          <w:szCs w:val="22"/>
          <w:lang w:eastAsia="en-US"/>
        </w:rPr>
        <w:t xml:space="preserve">le </w:t>
      </w:r>
      <w:r w:rsidRPr="004B6DD5">
        <w:rPr>
          <w:rFonts w:eastAsia="Times New Roman" w:cs="Arial"/>
          <w:snapToGrid/>
          <w:szCs w:val="22"/>
          <w:lang w:eastAsia="en-US"/>
        </w:rPr>
        <w:t>document </w:t>
      </w:r>
      <w:hyperlink r:id="rId8" w:history="1">
        <w:r w:rsidRPr="004B6DD5">
          <w:rPr>
            <w:rStyle w:val="Hyperlink"/>
            <w:rFonts w:eastAsia="Times New Roman" w:cs="Arial"/>
            <w:snapToGrid/>
            <w:szCs w:val="22"/>
            <w:lang w:eastAsia="en-US"/>
          </w:rPr>
          <w:t>IOC/INF</w:t>
        </w:r>
        <w:r w:rsidRPr="004B6DD5">
          <w:rPr>
            <w:rStyle w:val="Hyperlink"/>
            <w:rFonts w:eastAsia="Times New Roman" w:cs="Arial"/>
            <w:snapToGrid/>
            <w:szCs w:val="22"/>
            <w:lang w:eastAsia="en-US"/>
          </w:rPr>
          <w:noBreakHyphen/>
          <w:t>1393</w:t>
        </w:r>
      </w:hyperlink>
      <w:r w:rsidRPr="004B6DD5">
        <w:rPr>
          <w:rFonts w:eastAsia="Times New Roman" w:cs="Arial"/>
          <w:snapToGrid/>
          <w:szCs w:val="22"/>
          <w:lang w:eastAsia="en-US"/>
        </w:rPr>
        <w:t>). À l’issue de la 53</w:t>
      </w:r>
      <w:r w:rsidRPr="004B6DD5">
        <w:rPr>
          <w:rFonts w:eastAsia="Times New Roman" w:cs="Arial"/>
          <w:snapToGrid/>
          <w:szCs w:val="22"/>
          <w:vertAlign w:val="superscript"/>
          <w:lang w:eastAsia="en-US"/>
        </w:rPr>
        <w:t>e</w:t>
      </w:r>
      <w:r w:rsidRPr="004B6DD5">
        <w:rPr>
          <w:rFonts w:eastAsia="Times New Roman" w:cs="Arial"/>
          <w:snapToGrid/>
          <w:szCs w:val="22"/>
          <w:lang w:eastAsia="en-US"/>
        </w:rPr>
        <w:t xml:space="preserve"> session du Conseil exécutif, le Secrétariat de la COI a invité les États membres à exprimer leur point de vue sur la fréquence et la portée géographique du Rapport, les thématiques abordées et le style de présentation (voir </w:t>
      </w:r>
      <w:r>
        <w:rPr>
          <w:rFonts w:eastAsia="Times New Roman" w:cs="Arial"/>
          <w:snapToGrid/>
          <w:szCs w:val="22"/>
          <w:lang w:eastAsia="en-US"/>
        </w:rPr>
        <w:t xml:space="preserve">la </w:t>
      </w:r>
      <w:r w:rsidRPr="004B6DD5">
        <w:rPr>
          <w:rFonts w:eastAsia="Times New Roman" w:cs="Arial"/>
          <w:snapToGrid/>
          <w:szCs w:val="22"/>
          <w:lang w:eastAsia="en-US"/>
        </w:rPr>
        <w:t>lettre circulaire de la COI n° </w:t>
      </w:r>
      <w:hyperlink r:id="rId9" w:history="1">
        <w:r w:rsidRPr="004B6DD5">
          <w:rPr>
            <w:rStyle w:val="Hyperlink"/>
            <w:rFonts w:eastAsia="Times New Roman" w:cs="Arial"/>
            <w:snapToGrid/>
            <w:szCs w:val="22"/>
            <w:lang w:eastAsia="en-US"/>
          </w:rPr>
          <w:t>2843</w:t>
        </w:r>
      </w:hyperlink>
      <w:r w:rsidRPr="004B6DD5">
        <w:rPr>
          <w:rFonts w:eastAsia="Times New Roman" w:cs="Arial"/>
          <w:snapToGrid/>
          <w:szCs w:val="22"/>
          <w:lang w:eastAsia="en-US"/>
        </w:rPr>
        <w:t xml:space="preserve">). En parallèle, le Secrétariat de la COI a organisé une consultation informelle d’experts sur le Rapport afin de discuter plus en détail de ses principaux éléments. Les résultats de la consultation des États membres et des experts ont </w:t>
      </w:r>
      <w:r w:rsidR="003C328B" w:rsidRPr="003C328B">
        <w:rPr>
          <w:rFonts w:eastAsia="Times New Roman" w:cs="Arial"/>
          <w:snapToGrid/>
          <w:szCs w:val="22"/>
          <w:lang w:eastAsia="en-US"/>
        </w:rPr>
        <w:t>été synthétisés</w:t>
      </w:r>
      <w:r w:rsidRPr="004B6DD5">
        <w:rPr>
          <w:rFonts w:eastAsia="Times New Roman" w:cs="Arial"/>
          <w:snapToGrid/>
          <w:szCs w:val="22"/>
          <w:lang w:eastAsia="en-US"/>
        </w:rPr>
        <w:t xml:space="preserve"> dans le document </w:t>
      </w:r>
      <w:hyperlink r:id="rId10" w:history="1">
        <w:r w:rsidRPr="004B6DD5">
          <w:rPr>
            <w:rStyle w:val="Hyperlink"/>
            <w:rFonts w:eastAsia="Times New Roman" w:cs="Arial"/>
            <w:snapToGrid/>
            <w:szCs w:val="22"/>
            <w:lang w:eastAsia="en-US"/>
          </w:rPr>
          <w:t>IOC/INF</w:t>
        </w:r>
        <w:r w:rsidRPr="004B6DD5">
          <w:rPr>
            <w:rStyle w:val="Hyperlink"/>
            <w:rFonts w:eastAsia="Times New Roman" w:cs="Arial"/>
            <w:snapToGrid/>
            <w:szCs w:val="22"/>
            <w:lang w:eastAsia="en-US"/>
          </w:rPr>
          <w:noBreakHyphen/>
          <w:t>1393 </w:t>
        </w:r>
        <w:proofErr w:type="spellStart"/>
        <w:r w:rsidRPr="004B6DD5">
          <w:rPr>
            <w:rStyle w:val="Hyperlink"/>
            <w:rFonts w:eastAsia="Times New Roman" w:cs="Arial"/>
            <w:snapToGrid/>
            <w:szCs w:val="22"/>
            <w:lang w:eastAsia="en-US"/>
          </w:rPr>
          <w:t>Rev</w:t>
        </w:r>
        <w:proofErr w:type="spellEnd"/>
      </w:hyperlink>
      <w:r w:rsidRPr="004B6DD5">
        <w:rPr>
          <w:rFonts w:eastAsia="Times New Roman" w:cs="Arial"/>
          <w:snapToGrid/>
          <w:szCs w:val="22"/>
          <w:lang w:eastAsia="en-US"/>
        </w:rPr>
        <w:t>. L’Assemblée de la</w:t>
      </w:r>
      <w:r w:rsidR="003C328B">
        <w:rPr>
          <w:rFonts w:eastAsia="Times New Roman" w:cs="Arial"/>
          <w:snapToGrid/>
          <w:szCs w:val="22"/>
          <w:lang w:eastAsia="en-US"/>
        </w:rPr>
        <w:t xml:space="preserve"> </w:t>
      </w:r>
      <w:r w:rsidRPr="004B6DD5">
        <w:rPr>
          <w:rFonts w:eastAsia="Times New Roman" w:cs="Arial"/>
          <w:snapToGrid/>
          <w:szCs w:val="22"/>
          <w:lang w:eastAsia="en-US"/>
        </w:rPr>
        <w:t>COI, à sa 31</w:t>
      </w:r>
      <w:r w:rsidRPr="004B6DD5">
        <w:rPr>
          <w:rFonts w:eastAsia="Times New Roman" w:cs="Arial"/>
          <w:snapToGrid/>
          <w:szCs w:val="22"/>
          <w:vertAlign w:val="superscript"/>
          <w:lang w:eastAsia="en-US"/>
        </w:rPr>
        <w:t>e</w:t>
      </w:r>
      <w:r w:rsidRPr="004B6DD5">
        <w:rPr>
          <w:rFonts w:eastAsia="Times New Roman" w:cs="Arial"/>
          <w:snapToGrid/>
          <w:szCs w:val="22"/>
          <w:lang w:eastAsia="en-US"/>
        </w:rPr>
        <w:t xml:space="preserve"> session en juin 2021, a approuvé la production d’une édition pilote du Rapport, qui </w:t>
      </w:r>
      <w:r>
        <w:rPr>
          <w:rFonts w:eastAsia="Times New Roman" w:cs="Arial"/>
          <w:snapToGrid/>
          <w:szCs w:val="22"/>
          <w:lang w:eastAsia="en-US"/>
        </w:rPr>
        <w:t>a été</w:t>
      </w:r>
      <w:r w:rsidRPr="004B6DD5">
        <w:rPr>
          <w:rFonts w:eastAsia="Times New Roman" w:cs="Arial"/>
          <w:snapToGrid/>
          <w:szCs w:val="22"/>
          <w:lang w:eastAsia="en-US"/>
        </w:rPr>
        <w:t xml:space="preserve"> présentée au Conseil exécutif à sa 55</w:t>
      </w:r>
      <w:r w:rsidRPr="004B6DD5">
        <w:rPr>
          <w:rFonts w:eastAsia="Times New Roman" w:cs="Arial"/>
          <w:snapToGrid/>
          <w:szCs w:val="22"/>
          <w:vertAlign w:val="superscript"/>
          <w:lang w:eastAsia="en-US"/>
        </w:rPr>
        <w:t>e</w:t>
      </w:r>
      <w:r>
        <w:rPr>
          <w:rFonts w:eastAsia="Times New Roman" w:cs="Arial"/>
          <w:snapToGrid/>
          <w:szCs w:val="22"/>
          <w:lang w:eastAsia="en-US"/>
        </w:rPr>
        <w:t> </w:t>
      </w:r>
      <w:r w:rsidRPr="004B6DD5">
        <w:rPr>
          <w:rFonts w:eastAsia="Times New Roman" w:cs="Arial"/>
          <w:snapToGrid/>
          <w:szCs w:val="22"/>
          <w:lang w:eastAsia="en-US"/>
        </w:rPr>
        <w:t>session en 2022</w:t>
      </w:r>
      <w:r>
        <w:rPr>
          <w:rFonts w:eastAsia="Times New Roman" w:cs="Arial"/>
          <w:snapToGrid/>
          <w:szCs w:val="22"/>
          <w:lang w:eastAsia="en-US"/>
        </w:rPr>
        <w:t xml:space="preserve"> sous le titre « </w:t>
      </w:r>
      <w:r w:rsidR="008871F2" w:rsidRPr="008871F2">
        <w:rPr>
          <w:rFonts w:eastAsia="Times New Roman" w:cs="Arial"/>
          <w:i/>
          <w:iCs/>
          <w:snapToGrid/>
          <w:szCs w:val="22"/>
          <w:lang w:eastAsia="en-US"/>
        </w:rPr>
        <w:t xml:space="preserve">State of the </w:t>
      </w:r>
      <w:proofErr w:type="spellStart"/>
      <w:r w:rsidR="008871F2" w:rsidRPr="008871F2">
        <w:rPr>
          <w:rFonts w:eastAsia="Times New Roman" w:cs="Arial"/>
          <w:i/>
          <w:iCs/>
          <w:snapToGrid/>
          <w:szCs w:val="22"/>
          <w:lang w:eastAsia="en-US"/>
        </w:rPr>
        <w:t>ocean</w:t>
      </w:r>
      <w:proofErr w:type="spellEnd"/>
      <w:r w:rsidR="008871F2" w:rsidRPr="008871F2">
        <w:rPr>
          <w:rFonts w:eastAsia="Times New Roman" w:cs="Arial"/>
          <w:i/>
          <w:iCs/>
          <w:snapToGrid/>
          <w:szCs w:val="22"/>
          <w:lang w:eastAsia="en-US"/>
        </w:rPr>
        <w:t xml:space="preserve"> report 2022 : pilot </w:t>
      </w:r>
      <w:proofErr w:type="spellStart"/>
      <w:r w:rsidR="008871F2" w:rsidRPr="008871F2">
        <w:rPr>
          <w:rFonts w:eastAsia="Times New Roman" w:cs="Arial"/>
          <w:i/>
          <w:iCs/>
          <w:snapToGrid/>
          <w:szCs w:val="22"/>
          <w:lang w:eastAsia="en-US"/>
        </w:rPr>
        <w:t>edition</w:t>
      </w:r>
      <w:proofErr w:type="spellEnd"/>
      <w:r w:rsidR="008871F2">
        <w:rPr>
          <w:rFonts w:eastAsia="Times New Roman" w:cs="Arial"/>
          <w:snapToGrid/>
          <w:szCs w:val="22"/>
          <w:lang w:eastAsia="en-US"/>
        </w:rPr>
        <w:t xml:space="preserve"> » </w:t>
      </w:r>
      <w:r w:rsidR="003C328B" w:rsidRPr="003C328B">
        <w:rPr>
          <w:rFonts w:eastAsia="Times New Roman" w:cs="Arial"/>
          <w:snapToGrid/>
          <w:szCs w:val="22"/>
          <w:lang w:eastAsia="en-US"/>
        </w:rPr>
        <w:t>(voir le n° </w:t>
      </w:r>
      <w:hyperlink r:id="rId11" w:history="1">
        <w:r w:rsidR="003C328B" w:rsidRPr="003C328B">
          <w:rPr>
            <w:rStyle w:val="Hyperlink"/>
            <w:rFonts w:eastAsia="Times New Roman" w:cs="Arial"/>
            <w:snapToGrid/>
            <w:szCs w:val="22"/>
            <w:lang w:eastAsia="en-US"/>
          </w:rPr>
          <w:t>173</w:t>
        </w:r>
      </w:hyperlink>
      <w:r w:rsidR="003C328B" w:rsidRPr="003C328B">
        <w:rPr>
          <w:rFonts w:eastAsia="Times New Roman" w:cs="Arial"/>
          <w:snapToGrid/>
          <w:szCs w:val="22"/>
          <w:lang w:eastAsia="en-US"/>
        </w:rPr>
        <w:t xml:space="preserve"> de la Série technique de la COI)</w:t>
      </w:r>
      <w:r w:rsidRPr="004B6DD5">
        <w:rPr>
          <w:rFonts w:eastAsia="Times New Roman" w:cs="Arial"/>
          <w:snapToGrid/>
          <w:szCs w:val="22"/>
          <w:lang w:eastAsia="en-US"/>
        </w:rPr>
        <w:t>.</w:t>
      </w:r>
    </w:p>
    <w:p w14:paraId="21547B76" w14:textId="70447184" w:rsidR="00436275" w:rsidRDefault="008871F2" w:rsidP="00436275">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3.</w:t>
      </w:r>
      <w:r>
        <w:rPr>
          <w:rFonts w:eastAsia="Times New Roman" w:cs="Arial"/>
          <w:snapToGrid/>
          <w:szCs w:val="22"/>
          <w:lang w:eastAsia="en-US"/>
        </w:rPr>
        <w:tab/>
      </w:r>
      <w:r w:rsidRPr="008871F2">
        <w:rPr>
          <w:rFonts w:eastAsia="Times New Roman" w:cs="Arial"/>
          <w:snapToGrid/>
          <w:szCs w:val="22"/>
          <w:lang w:eastAsia="en-US"/>
        </w:rPr>
        <w:t xml:space="preserve">Après la présentation </w:t>
      </w:r>
      <w:r>
        <w:rPr>
          <w:rFonts w:eastAsia="Times New Roman" w:cs="Arial"/>
          <w:snapToGrid/>
          <w:szCs w:val="22"/>
          <w:lang w:eastAsia="en-US"/>
        </w:rPr>
        <w:t>de l’édition pilote du</w:t>
      </w:r>
      <w:r w:rsidRPr="008871F2">
        <w:rPr>
          <w:rFonts w:eastAsia="Times New Roman" w:cs="Arial"/>
          <w:snapToGrid/>
          <w:szCs w:val="22"/>
          <w:lang w:eastAsia="en-US"/>
        </w:rPr>
        <w:t xml:space="preserve"> Rapport </w:t>
      </w:r>
      <w:bookmarkStart w:id="2" w:name="_Hlk165373935"/>
      <w:r w:rsidRPr="008871F2">
        <w:rPr>
          <w:rFonts w:eastAsia="Times New Roman" w:cs="Arial"/>
          <w:snapToGrid/>
          <w:szCs w:val="22"/>
          <w:lang w:eastAsia="en-US"/>
        </w:rPr>
        <w:t>sur l’état de l’océan</w:t>
      </w:r>
      <w:r>
        <w:rPr>
          <w:rFonts w:eastAsia="Times New Roman" w:cs="Arial"/>
          <w:snapToGrid/>
          <w:szCs w:val="22"/>
          <w:lang w:eastAsia="en-US"/>
        </w:rPr>
        <w:t xml:space="preserve"> </w:t>
      </w:r>
      <w:bookmarkEnd w:id="2"/>
      <w:r>
        <w:rPr>
          <w:rFonts w:eastAsia="Times New Roman" w:cs="Arial"/>
          <w:snapToGrid/>
          <w:szCs w:val="22"/>
          <w:lang w:eastAsia="en-US"/>
        </w:rPr>
        <w:t>2022</w:t>
      </w:r>
      <w:r w:rsidRPr="008871F2">
        <w:rPr>
          <w:rFonts w:eastAsia="Times New Roman" w:cs="Arial"/>
          <w:snapToGrid/>
          <w:szCs w:val="22"/>
          <w:lang w:eastAsia="en-US"/>
        </w:rPr>
        <w:t>, la note conceptuelle correspondante a fait l</w:t>
      </w:r>
      <w:r w:rsidR="003C328B">
        <w:rPr>
          <w:rFonts w:eastAsia="Times New Roman" w:cs="Arial"/>
          <w:snapToGrid/>
          <w:szCs w:val="22"/>
          <w:lang w:eastAsia="en-US"/>
        </w:rPr>
        <w:t>’</w:t>
      </w:r>
      <w:r w:rsidRPr="008871F2">
        <w:rPr>
          <w:rFonts w:eastAsia="Times New Roman" w:cs="Arial"/>
          <w:snapToGrid/>
          <w:szCs w:val="22"/>
          <w:lang w:eastAsia="en-US"/>
        </w:rPr>
        <w:t>objet d</w:t>
      </w:r>
      <w:r w:rsidR="003C328B">
        <w:rPr>
          <w:rFonts w:eastAsia="Times New Roman" w:cs="Arial"/>
          <w:snapToGrid/>
          <w:szCs w:val="22"/>
          <w:lang w:eastAsia="en-US"/>
        </w:rPr>
        <w:t>’</w:t>
      </w:r>
      <w:r w:rsidRPr="008871F2">
        <w:rPr>
          <w:rFonts w:eastAsia="Times New Roman" w:cs="Arial"/>
          <w:snapToGrid/>
          <w:szCs w:val="22"/>
          <w:lang w:eastAsia="en-US"/>
        </w:rPr>
        <w:t xml:space="preserve">un processus de </w:t>
      </w:r>
      <w:r w:rsidR="003C328B">
        <w:rPr>
          <w:rFonts w:eastAsia="Times New Roman" w:cs="Arial"/>
          <w:snapToGrid/>
          <w:szCs w:val="22"/>
          <w:lang w:eastAsia="en-US"/>
        </w:rPr>
        <w:t>réexamen pendant un</w:t>
      </w:r>
      <w:r w:rsidRPr="008871F2">
        <w:rPr>
          <w:rFonts w:eastAsia="Times New Roman" w:cs="Arial"/>
          <w:snapToGrid/>
          <w:szCs w:val="22"/>
          <w:lang w:eastAsia="en-US"/>
        </w:rPr>
        <w:t xml:space="preserve"> an et demi.</w:t>
      </w:r>
      <w:r w:rsidR="00436275" w:rsidRPr="00436275">
        <w:rPr>
          <w:rFonts w:eastAsia="Times New Roman" w:cs="Arial"/>
          <w:snapToGrid/>
          <w:szCs w:val="22"/>
          <w:lang w:eastAsia="en-US"/>
        </w:rPr>
        <w:t xml:space="preserve"> </w:t>
      </w:r>
      <w:r w:rsidR="003C328B">
        <w:rPr>
          <w:rFonts w:eastAsia="Times New Roman" w:cs="Arial"/>
          <w:snapToGrid/>
          <w:szCs w:val="22"/>
          <w:lang w:eastAsia="en-US"/>
        </w:rPr>
        <w:t>D</w:t>
      </w:r>
      <w:r w:rsidR="003C328B" w:rsidRPr="003C328B">
        <w:rPr>
          <w:rFonts w:eastAsia="Times New Roman" w:cs="Arial"/>
          <w:snapToGrid/>
          <w:szCs w:val="22"/>
          <w:lang w:eastAsia="en-US"/>
        </w:rPr>
        <w:t xml:space="preserve">e nouvelles orientations </w:t>
      </w:r>
      <w:r w:rsidR="003C328B">
        <w:rPr>
          <w:rFonts w:eastAsia="Times New Roman" w:cs="Arial"/>
          <w:snapToGrid/>
          <w:szCs w:val="22"/>
          <w:lang w:eastAsia="en-US"/>
        </w:rPr>
        <w:t xml:space="preserve">ont été formulées par les </w:t>
      </w:r>
      <w:r w:rsidR="003C328B" w:rsidRPr="003C328B">
        <w:rPr>
          <w:rFonts w:eastAsia="Times New Roman" w:cs="Arial"/>
          <w:snapToGrid/>
          <w:szCs w:val="22"/>
          <w:lang w:eastAsia="en-US"/>
        </w:rPr>
        <w:t xml:space="preserve">États membres </w:t>
      </w:r>
      <w:r w:rsidR="003C328B">
        <w:rPr>
          <w:rFonts w:eastAsia="Times New Roman" w:cs="Arial"/>
          <w:snapToGrid/>
          <w:szCs w:val="22"/>
          <w:lang w:eastAsia="en-US"/>
        </w:rPr>
        <w:t>à</w:t>
      </w:r>
      <w:r w:rsidR="003C328B" w:rsidRPr="003C328B">
        <w:rPr>
          <w:rFonts w:eastAsia="Times New Roman" w:cs="Arial"/>
          <w:snapToGrid/>
          <w:szCs w:val="22"/>
          <w:lang w:eastAsia="en-US"/>
        </w:rPr>
        <w:t xml:space="preserve"> la 32</w:t>
      </w:r>
      <w:r w:rsidR="003C328B" w:rsidRPr="003C328B">
        <w:rPr>
          <w:rFonts w:eastAsia="Times New Roman" w:cs="Arial"/>
          <w:snapToGrid/>
          <w:szCs w:val="22"/>
          <w:vertAlign w:val="superscript"/>
          <w:lang w:eastAsia="en-US"/>
        </w:rPr>
        <w:t>e</w:t>
      </w:r>
      <w:r w:rsidR="003C328B">
        <w:rPr>
          <w:rFonts w:eastAsia="Times New Roman" w:cs="Arial"/>
          <w:snapToGrid/>
          <w:szCs w:val="22"/>
          <w:lang w:eastAsia="en-US"/>
        </w:rPr>
        <w:t> </w:t>
      </w:r>
      <w:r w:rsidR="003C328B" w:rsidRPr="003C328B">
        <w:rPr>
          <w:rFonts w:eastAsia="Times New Roman" w:cs="Arial"/>
          <w:snapToGrid/>
          <w:szCs w:val="22"/>
          <w:lang w:eastAsia="en-US"/>
        </w:rPr>
        <w:t>session de l</w:t>
      </w:r>
      <w:r w:rsidR="00F20476">
        <w:rPr>
          <w:rFonts w:eastAsia="Times New Roman" w:cs="Arial"/>
          <w:snapToGrid/>
          <w:szCs w:val="22"/>
          <w:lang w:eastAsia="en-US"/>
        </w:rPr>
        <w:t>’</w:t>
      </w:r>
      <w:r w:rsidR="003C328B" w:rsidRPr="003C328B">
        <w:rPr>
          <w:rFonts w:eastAsia="Times New Roman" w:cs="Arial"/>
          <w:snapToGrid/>
          <w:szCs w:val="22"/>
          <w:lang w:eastAsia="en-US"/>
        </w:rPr>
        <w:t>Assemblée de la COI en juin 2023 (voir</w:t>
      </w:r>
      <w:r w:rsidR="003C328B">
        <w:rPr>
          <w:rFonts w:eastAsia="Times New Roman" w:cs="Arial"/>
          <w:snapToGrid/>
          <w:szCs w:val="22"/>
          <w:lang w:eastAsia="en-US"/>
        </w:rPr>
        <w:t xml:space="preserve"> la </w:t>
      </w:r>
      <w:hyperlink r:id="rId12" w:history="1">
        <w:r w:rsidR="003C328B" w:rsidRPr="00F20476">
          <w:rPr>
            <w:rStyle w:val="Hyperlink"/>
          </w:rPr>
          <w:t>décision</w:t>
        </w:r>
        <w:r w:rsidR="003C328B" w:rsidRPr="00F20476">
          <w:rPr>
            <w:rStyle w:val="Hyperlink"/>
            <w:lang w:eastAsia="en-US"/>
          </w:rPr>
          <w:t xml:space="preserve"> </w:t>
        </w:r>
        <w:r w:rsidR="003C328B" w:rsidRPr="00F20476">
          <w:rPr>
            <w:rStyle w:val="Hyperlink"/>
            <w:rFonts w:eastAsia="Times New Roman" w:cs="Arial"/>
            <w:snapToGrid/>
            <w:szCs w:val="22"/>
            <w:lang w:eastAsia="en-US"/>
          </w:rPr>
          <w:t>A-32/4.2</w:t>
        </w:r>
      </w:hyperlink>
      <w:r w:rsidR="003C328B">
        <w:rPr>
          <w:rFonts w:eastAsia="Times New Roman" w:cs="Arial"/>
          <w:snapToGrid/>
          <w:szCs w:val="22"/>
          <w:lang w:eastAsia="en-US"/>
        </w:rPr>
        <w:t xml:space="preserve"> de la COI</w:t>
      </w:r>
      <w:r w:rsidR="003C328B" w:rsidRPr="003C328B">
        <w:rPr>
          <w:rFonts w:eastAsia="Times New Roman" w:cs="Arial"/>
          <w:snapToGrid/>
          <w:szCs w:val="22"/>
          <w:lang w:eastAsia="en-US"/>
        </w:rPr>
        <w:t>).</w:t>
      </w:r>
    </w:p>
    <w:p w14:paraId="0B4A6625" w14:textId="303171A5" w:rsidR="00436275" w:rsidRDefault="003C328B" w:rsidP="00436275">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4.</w:t>
      </w:r>
      <w:r>
        <w:rPr>
          <w:rFonts w:eastAsia="Times New Roman" w:cs="Arial"/>
          <w:snapToGrid/>
          <w:szCs w:val="22"/>
          <w:lang w:eastAsia="en-US"/>
        </w:rPr>
        <w:tab/>
      </w:r>
      <w:r w:rsidR="00F20476">
        <w:rPr>
          <w:rFonts w:eastAsia="Times New Roman" w:cs="Arial"/>
          <w:snapToGrid/>
          <w:szCs w:val="22"/>
          <w:lang w:eastAsia="en-US"/>
        </w:rPr>
        <w:t xml:space="preserve">Le </w:t>
      </w:r>
      <w:r w:rsidR="00F20476" w:rsidRPr="00F20476">
        <w:rPr>
          <w:rFonts w:eastAsia="Times New Roman" w:cs="Arial"/>
          <w:snapToGrid/>
          <w:szCs w:val="22"/>
          <w:lang w:eastAsia="en-US"/>
        </w:rPr>
        <w:t>Comité consultatif sur le Rapport sur l’état de l’océan a joué un rôle central dans la définition du champ d</w:t>
      </w:r>
      <w:r w:rsidR="00F20476">
        <w:rPr>
          <w:rFonts w:eastAsia="Times New Roman" w:cs="Arial"/>
          <w:snapToGrid/>
          <w:szCs w:val="22"/>
          <w:lang w:eastAsia="en-US"/>
        </w:rPr>
        <w:t>’</w:t>
      </w:r>
      <w:r w:rsidR="00F20476" w:rsidRPr="00F20476">
        <w:rPr>
          <w:rFonts w:eastAsia="Times New Roman" w:cs="Arial"/>
          <w:snapToGrid/>
          <w:szCs w:val="22"/>
          <w:lang w:eastAsia="en-US"/>
        </w:rPr>
        <w:t xml:space="preserve">application, la révision et </w:t>
      </w:r>
      <w:r w:rsidR="00B473FC">
        <w:rPr>
          <w:rFonts w:eastAsia="Times New Roman" w:cs="Arial"/>
          <w:snapToGrid/>
          <w:szCs w:val="22"/>
          <w:lang w:eastAsia="en-US"/>
        </w:rPr>
        <w:t>le contrôle rédactionnel</w:t>
      </w:r>
      <w:r w:rsidR="00F20476" w:rsidRPr="00F20476">
        <w:rPr>
          <w:rFonts w:eastAsia="Times New Roman" w:cs="Arial"/>
          <w:snapToGrid/>
          <w:szCs w:val="22"/>
          <w:lang w:eastAsia="en-US"/>
        </w:rPr>
        <w:t xml:space="preserve"> du </w:t>
      </w:r>
      <w:r w:rsidR="00F20476">
        <w:rPr>
          <w:rFonts w:eastAsia="Times New Roman" w:cs="Arial"/>
          <w:snapToGrid/>
          <w:szCs w:val="22"/>
          <w:lang w:eastAsia="en-US"/>
        </w:rPr>
        <w:t>R</w:t>
      </w:r>
      <w:r w:rsidR="00F20476" w:rsidRPr="00F20476">
        <w:rPr>
          <w:rFonts w:eastAsia="Times New Roman" w:cs="Arial"/>
          <w:snapToGrid/>
          <w:szCs w:val="22"/>
          <w:lang w:eastAsia="en-US"/>
        </w:rPr>
        <w:t>apport depuis la session de l</w:t>
      </w:r>
      <w:r w:rsidR="00F20476">
        <w:rPr>
          <w:rFonts w:eastAsia="Times New Roman" w:cs="Arial"/>
          <w:snapToGrid/>
          <w:szCs w:val="22"/>
          <w:lang w:eastAsia="en-US"/>
        </w:rPr>
        <w:t>’</w:t>
      </w:r>
      <w:r w:rsidR="00F20476" w:rsidRPr="00F20476">
        <w:rPr>
          <w:rFonts w:eastAsia="Times New Roman" w:cs="Arial"/>
          <w:snapToGrid/>
          <w:szCs w:val="22"/>
          <w:lang w:eastAsia="en-US"/>
        </w:rPr>
        <w:t>Assemblée de la COI en juin 2023.</w:t>
      </w:r>
      <w:r w:rsidR="00F20476">
        <w:rPr>
          <w:rFonts w:eastAsia="Times New Roman" w:cs="Arial"/>
          <w:snapToGrid/>
          <w:szCs w:val="22"/>
          <w:lang w:eastAsia="en-US"/>
        </w:rPr>
        <w:t xml:space="preserve"> </w:t>
      </w:r>
      <w:r w:rsidR="00F20476" w:rsidRPr="00F20476">
        <w:rPr>
          <w:rFonts w:eastAsia="Times New Roman" w:cs="Arial"/>
          <w:snapToGrid/>
          <w:szCs w:val="22"/>
          <w:lang w:eastAsia="en-US"/>
        </w:rPr>
        <w:t xml:space="preserve">Le </w:t>
      </w:r>
      <w:r w:rsidR="00F20476">
        <w:rPr>
          <w:rFonts w:eastAsia="Times New Roman" w:cs="Arial"/>
          <w:snapToGrid/>
          <w:szCs w:val="22"/>
          <w:lang w:eastAsia="en-US"/>
        </w:rPr>
        <w:t>Comité</w:t>
      </w:r>
      <w:r w:rsidR="00F20476" w:rsidRPr="00F20476">
        <w:rPr>
          <w:rFonts w:eastAsia="Times New Roman" w:cs="Arial"/>
          <w:snapToGrid/>
          <w:szCs w:val="22"/>
          <w:lang w:eastAsia="en-US"/>
        </w:rPr>
        <w:t xml:space="preserve"> consultatif </w:t>
      </w:r>
      <w:r w:rsidR="00F20476">
        <w:rPr>
          <w:rFonts w:eastAsia="Times New Roman" w:cs="Arial"/>
          <w:snapToGrid/>
          <w:szCs w:val="22"/>
          <w:lang w:eastAsia="en-US"/>
        </w:rPr>
        <w:t>est composé</w:t>
      </w:r>
      <w:r w:rsidR="00F20476" w:rsidRPr="00F20476">
        <w:rPr>
          <w:rFonts w:eastAsia="Times New Roman" w:cs="Arial"/>
          <w:snapToGrid/>
          <w:szCs w:val="22"/>
          <w:lang w:eastAsia="en-US"/>
        </w:rPr>
        <w:t xml:space="preserve"> de représentants de neuf pays.</w:t>
      </w:r>
      <w:r w:rsidR="00F20476">
        <w:rPr>
          <w:rFonts w:eastAsia="Times New Roman" w:cs="Arial"/>
          <w:snapToGrid/>
          <w:szCs w:val="22"/>
          <w:lang w:eastAsia="en-US"/>
        </w:rPr>
        <w:t xml:space="preserve"> A</w:t>
      </w:r>
      <w:r w:rsidR="00F20476" w:rsidRPr="00F20476">
        <w:rPr>
          <w:rFonts w:eastAsia="Times New Roman" w:cs="Arial"/>
          <w:snapToGrid/>
          <w:szCs w:val="22"/>
          <w:lang w:eastAsia="en-US"/>
        </w:rPr>
        <w:t xml:space="preserve">vec </w:t>
      </w:r>
      <w:r w:rsidR="00F20476">
        <w:rPr>
          <w:rFonts w:eastAsia="Times New Roman" w:cs="Arial"/>
          <w:snapToGrid/>
          <w:szCs w:val="22"/>
          <w:lang w:eastAsia="en-US"/>
        </w:rPr>
        <w:t>l’aide du Comité</w:t>
      </w:r>
      <w:r w:rsidR="00F20476" w:rsidRPr="00F20476">
        <w:rPr>
          <w:rFonts w:eastAsia="Times New Roman" w:cs="Arial"/>
          <w:snapToGrid/>
          <w:szCs w:val="22"/>
          <w:lang w:eastAsia="en-US"/>
        </w:rPr>
        <w:t xml:space="preserve"> consultatif</w:t>
      </w:r>
      <w:r w:rsidR="00F20476">
        <w:rPr>
          <w:rFonts w:eastAsia="Times New Roman" w:cs="Arial"/>
          <w:snapToGrid/>
          <w:szCs w:val="22"/>
          <w:lang w:eastAsia="en-US"/>
        </w:rPr>
        <w:t>,</w:t>
      </w:r>
      <w:r w:rsidR="00F20476" w:rsidRPr="00F20476">
        <w:rPr>
          <w:rFonts w:eastAsia="Times New Roman" w:cs="Arial"/>
          <w:snapToGrid/>
          <w:szCs w:val="22"/>
          <w:lang w:eastAsia="en-US"/>
        </w:rPr>
        <w:t xml:space="preserve"> </w:t>
      </w:r>
      <w:r w:rsidR="00F20476">
        <w:rPr>
          <w:rFonts w:eastAsia="Times New Roman" w:cs="Arial"/>
          <w:snapToGrid/>
          <w:szCs w:val="22"/>
          <w:lang w:eastAsia="en-US"/>
        </w:rPr>
        <w:t>l</w:t>
      </w:r>
      <w:r w:rsidR="00F20476" w:rsidRPr="00F20476">
        <w:rPr>
          <w:rFonts w:eastAsia="Times New Roman" w:cs="Arial"/>
          <w:snapToGrid/>
          <w:szCs w:val="22"/>
          <w:lang w:eastAsia="en-US"/>
        </w:rPr>
        <w:t xml:space="preserve">e Secrétariat, a </w:t>
      </w:r>
      <w:r w:rsidR="00F20476">
        <w:rPr>
          <w:rFonts w:eastAsia="Times New Roman" w:cs="Arial"/>
          <w:snapToGrid/>
          <w:szCs w:val="22"/>
          <w:lang w:eastAsia="en-US"/>
        </w:rPr>
        <w:t>actualisé</w:t>
      </w:r>
      <w:r w:rsidR="00F20476" w:rsidRPr="00F20476">
        <w:rPr>
          <w:rFonts w:eastAsia="Times New Roman" w:cs="Arial"/>
          <w:snapToGrid/>
          <w:szCs w:val="22"/>
          <w:lang w:eastAsia="en-US"/>
        </w:rPr>
        <w:t xml:space="preserve"> la note conceptuelle </w:t>
      </w:r>
      <w:r w:rsidR="00F20476">
        <w:rPr>
          <w:rFonts w:eastAsia="Times New Roman" w:cs="Arial"/>
          <w:snapToGrid/>
          <w:szCs w:val="22"/>
          <w:lang w:eastAsia="en-US"/>
        </w:rPr>
        <w:t>en tenant compte</w:t>
      </w:r>
      <w:r w:rsidR="00F20476" w:rsidRPr="00F20476">
        <w:rPr>
          <w:rFonts w:eastAsia="Times New Roman" w:cs="Arial"/>
          <w:snapToGrid/>
          <w:szCs w:val="22"/>
          <w:lang w:eastAsia="en-US"/>
        </w:rPr>
        <w:t xml:space="preserve"> des commentaires reçus lors de l</w:t>
      </w:r>
      <w:r w:rsidR="00F20476">
        <w:rPr>
          <w:rFonts w:eastAsia="Times New Roman" w:cs="Arial"/>
          <w:snapToGrid/>
          <w:szCs w:val="22"/>
          <w:lang w:eastAsia="en-US"/>
        </w:rPr>
        <w:t>’</w:t>
      </w:r>
      <w:r w:rsidR="00F20476" w:rsidRPr="00F20476">
        <w:rPr>
          <w:rFonts w:eastAsia="Times New Roman" w:cs="Arial"/>
          <w:snapToGrid/>
          <w:szCs w:val="22"/>
          <w:lang w:eastAsia="en-US"/>
        </w:rPr>
        <w:t>Assemblée de la COI.</w:t>
      </w:r>
    </w:p>
    <w:p w14:paraId="375822A0" w14:textId="2402B797" w:rsidR="00F20476" w:rsidRDefault="00F20476" w:rsidP="00436275">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5.</w:t>
      </w:r>
      <w:r>
        <w:rPr>
          <w:rFonts w:eastAsia="Times New Roman" w:cs="Arial"/>
          <w:snapToGrid/>
          <w:szCs w:val="22"/>
          <w:lang w:eastAsia="en-US"/>
        </w:rPr>
        <w:tab/>
      </w:r>
      <w:r w:rsidRPr="00F20476">
        <w:rPr>
          <w:rFonts w:eastAsia="Times New Roman" w:cs="Arial"/>
          <w:snapToGrid/>
          <w:szCs w:val="22"/>
          <w:lang w:eastAsia="en-US"/>
        </w:rPr>
        <w:t xml:space="preserve">Les résultats des consultations ont été présentés dans la lettre circulaire de la COI </w:t>
      </w:r>
      <w:r>
        <w:rPr>
          <w:rFonts w:eastAsia="Times New Roman" w:cs="Arial"/>
          <w:snapToGrid/>
          <w:szCs w:val="22"/>
          <w:lang w:eastAsia="en-US"/>
        </w:rPr>
        <w:t>n° </w:t>
      </w:r>
      <w:hyperlink r:id="rId13" w:history="1">
        <w:r w:rsidRPr="00F20476">
          <w:rPr>
            <w:rStyle w:val="Hyperlink"/>
            <w:rFonts w:eastAsia="Times New Roman" w:cs="Arial"/>
            <w:snapToGrid/>
            <w:szCs w:val="22"/>
            <w:lang w:eastAsia="en-US"/>
          </w:rPr>
          <w:t>2963</w:t>
        </w:r>
      </w:hyperlink>
      <w:r w:rsidRPr="00F20476">
        <w:rPr>
          <w:rFonts w:eastAsia="Times New Roman" w:cs="Arial"/>
          <w:snapToGrid/>
          <w:szCs w:val="22"/>
          <w:lang w:eastAsia="en-US"/>
        </w:rPr>
        <w:t>, qui comp</w:t>
      </w:r>
      <w:r>
        <w:rPr>
          <w:rFonts w:eastAsia="Times New Roman" w:cs="Arial"/>
          <w:snapToGrid/>
          <w:szCs w:val="22"/>
          <w:lang w:eastAsia="en-US"/>
        </w:rPr>
        <w:t>ortait</w:t>
      </w:r>
      <w:r w:rsidRPr="00F20476">
        <w:rPr>
          <w:rFonts w:eastAsia="Times New Roman" w:cs="Arial"/>
          <w:snapToGrid/>
          <w:szCs w:val="22"/>
          <w:lang w:eastAsia="en-US"/>
        </w:rPr>
        <w:t xml:space="preserve"> une </w:t>
      </w:r>
      <w:r>
        <w:rPr>
          <w:rFonts w:eastAsia="Times New Roman" w:cs="Arial"/>
          <w:snapToGrid/>
          <w:szCs w:val="22"/>
          <w:lang w:eastAsia="en-US"/>
        </w:rPr>
        <w:t xml:space="preserve">version actualisée de la </w:t>
      </w:r>
      <w:r w:rsidRPr="00F20476">
        <w:rPr>
          <w:rFonts w:eastAsia="Times New Roman" w:cs="Arial"/>
          <w:snapToGrid/>
          <w:szCs w:val="22"/>
          <w:lang w:eastAsia="en-US"/>
        </w:rPr>
        <w:t xml:space="preserve">note conceptuelle </w:t>
      </w:r>
      <w:r>
        <w:rPr>
          <w:rFonts w:eastAsia="Times New Roman" w:cs="Arial"/>
          <w:snapToGrid/>
          <w:szCs w:val="22"/>
          <w:lang w:eastAsia="en-US"/>
        </w:rPr>
        <w:t>sur le Rapport</w:t>
      </w:r>
      <w:r w:rsidRPr="00F20476">
        <w:rPr>
          <w:rFonts w:eastAsia="Times New Roman" w:cs="Arial"/>
          <w:snapToGrid/>
          <w:szCs w:val="22"/>
          <w:lang w:eastAsia="en-US"/>
        </w:rPr>
        <w:t xml:space="preserve"> </w:t>
      </w:r>
      <w:r>
        <w:rPr>
          <w:rFonts w:eastAsia="Times New Roman" w:cs="Arial"/>
          <w:snapToGrid/>
          <w:szCs w:val="22"/>
          <w:lang w:eastAsia="en-US"/>
        </w:rPr>
        <w:t>ainsi qu’</w:t>
      </w:r>
      <w:r w:rsidRPr="00F20476">
        <w:rPr>
          <w:rFonts w:eastAsia="Times New Roman" w:cs="Arial"/>
          <w:snapToGrid/>
          <w:szCs w:val="22"/>
          <w:lang w:eastAsia="en-US"/>
        </w:rPr>
        <w:t xml:space="preserve">un modèle </w:t>
      </w:r>
      <w:r>
        <w:rPr>
          <w:rFonts w:eastAsia="Times New Roman" w:cs="Arial"/>
          <w:snapToGrid/>
          <w:szCs w:val="22"/>
          <w:lang w:eastAsia="en-US"/>
        </w:rPr>
        <w:t>pour les</w:t>
      </w:r>
      <w:r w:rsidRPr="00F20476">
        <w:rPr>
          <w:rFonts w:eastAsia="Times New Roman" w:cs="Arial"/>
          <w:snapToGrid/>
          <w:szCs w:val="22"/>
          <w:lang w:eastAsia="en-US"/>
        </w:rPr>
        <w:t xml:space="preserve"> contribution</w:t>
      </w:r>
      <w:r>
        <w:rPr>
          <w:rFonts w:eastAsia="Times New Roman" w:cs="Arial"/>
          <w:snapToGrid/>
          <w:szCs w:val="22"/>
          <w:lang w:eastAsia="en-US"/>
        </w:rPr>
        <w:t>s</w:t>
      </w:r>
      <w:r w:rsidRPr="00F20476">
        <w:rPr>
          <w:rFonts w:eastAsia="Times New Roman" w:cs="Arial"/>
          <w:snapToGrid/>
          <w:szCs w:val="22"/>
          <w:lang w:eastAsia="en-US"/>
        </w:rPr>
        <w:t>.</w:t>
      </w:r>
      <w:r w:rsidR="00265314" w:rsidRPr="00265314">
        <w:rPr>
          <w:color w:val="333333"/>
          <w:sz w:val="30"/>
          <w:szCs w:val="30"/>
          <w:shd w:val="clear" w:color="auto" w:fill="FFFFFF"/>
        </w:rPr>
        <w:t xml:space="preserve"> </w:t>
      </w:r>
      <w:r w:rsidR="00265314" w:rsidRPr="00265314">
        <w:rPr>
          <w:rFonts w:eastAsia="Times New Roman" w:cs="Arial"/>
          <w:snapToGrid/>
          <w:szCs w:val="22"/>
          <w:lang w:eastAsia="en-US"/>
        </w:rPr>
        <w:t xml:space="preserve">Comme </w:t>
      </w:r>
      <w:r w:rsidR="00265314">
        <w:rPr>
          <w:rFonts w:eastAsia="Times New Roman" w:cs="Arial"/>
          <w:snapToGrid/>
          <w:szCs w:val="22"/>
          <w:lang w:eastAsia="en-US"/>
        </w:rPr>
        <w:t xml:space="preserve">l’a </w:t>
      </w:r>
      <w:r w:rsidR="00265314" w:rsidRPr="00265314">
        <w:rPr>
          <w:rFonts w:eastAsia="Times New Roman" w:cs="Arial"/>
          <w:snapToGrid/>
          <w:szCs w:val="22"/>
          <w:lang w:eastAsia="en-US"/>
        </w:rPr>
        <w:t>demandé l</w:t>
      </w:r>
      <w:r w:rsidR="00265314">
        <w:rPr>
          <w:rFonts w:eastAsia="Times New Roman" w:cs="Arial"/>
          <w:snapToGrid/>
          <w:szCs w:val="22"/>
          <w:lang w:eastAsia="en-US"/>
        </w:rPr>
        <w:t>’</w:t>
      </w:r>
      <w:r w:rsidR="00265314" w:rsidRPr="00265314">
        <w:rPr>
          <w:rFonts w:eastAsia="Times New Roman" w:cs="Arial"/>
          <w:snapToGrid/>
          <w:szCs w:val="22"/>
          <w:lang w:eastAsia="en-US"/>
        </w:rPr>
        <w:t xml:space="preserve">Assemblée, le Secrétariat de la COI a organisé deux ateliers en ligne permettant aux États membres de </w:t>
      </w:r>
      <w:r w:rsidR="00265314">
        <w:rPr>
          <w:rFonts w:eastAsia="Times New Roman" w:cs="Arial"/>
          <w:snapToGrid/>
          <w:szCs w:val="22"/>
          <w:lang w:eastAsia="en-US"/>
        </w:rPr>
        <w:t>formuler</w:t>
      </w:r>
      <w:r w:rsidR="00265314" w:rsidRPr="00265314">
        <w:rPr>
          <w:rFonts w:eastAsia="Times New Roman" w:cs="Arial"/>
          <w:snapToGrid/>
          <w:szCs w:val="22"/>
          <w:lang w:eastAsia="en-US"/>
        </w:rPr>
        <w:t xml:space="preserve"> des </w:t>
      </w:r>
      <w:r w:rsidR="00265314">
        <w:rPr>
          <w:rFonts w:eastAsia="Times New Roman" w:cs="Arial"/>
          <w:snapToGrid/>
          <w:szCs w:val="22"/>
          <w:lang w:eastAsia="en-US"/>
        </w:rPr>
        <w:t>observations</w:t>
      </w:r>
      <w:r w:rsidR="00265314" w:rsidRPr="00265314">
        <w:rPr>
          <w:rFonts w:eastAsia="Times New Roman" w:cs="Arial"/>
          <w:snapToGrid/>
          <w:szCs w:val="22"/>
          <w:lang w:eastAsia="en-US"/>
        </w:rPr>
        <w:t xml:space="preserve"> </w:t>
      </w:r>
      <w:r w:rsidR="00265314">
        <w:rPr>
          <w:rFonts w:eastAsia="Times New Roman" w:cs="Arial"/>
          <w:snapToGrid/>
          <w:szCs w:val="22"/>
          <w:lang w:eastAsia="en-US"/>
        </w:rPr>
        <w:t>com</w:t>
      </w:r>
      <w:r w:rsidR="00265314" w:rsidRPr="00265314">
        <w:rPr>
          <w:rFonts w:eastAsia="Times New Roman" w:cs="Arial"/>
          <w:snapToGrid/>
          <w:szCs w:val="22"/>
          <w:lang w:eastAsia="en-US"/>
        </w:rPr>
        <w:t>plémentaires.</w:t>
      </w:r>
      <w:r w:rsidR="00265314">
        <w:rPr>
          <w:rFonts w:eastAsia="Times New Roman" w:cs="Arial"/>
          <w:snapToGrid/>
          <w:szCs w:val="22"/>
          <w:lang w:eastAsia="en-US"/>
        </w:rPr>
        <w:t xml:space="preserve"> </w:t>
      </w:r>
      <w:r w:rsidR="00265314" w:rsidRPr="00265314">
        <w:rPr>
          <w:rFonts w:eastAsia="Times New Roman" w:cs="Arial"/>
          <w:snapToGrid/>
          <w:szCs w:val="22"/>
          <w:lang w:eastAsia="en-US"/>
        </w:rPr>
        <w:t xml:space="preserve">Les États membres ont accueilli favorablement la note conceptuelle qui a guidé </w:t>
      </w:r>
      <w:r w:rsidR="00265314">
        <w:rPr>
          <w:rFonts w:eastAsia="Times New Roman" w:cs="Arial"/>
          <w:snapToGrid/>
          <w:szCs w:val="22"/>
          <w:lang w:eastAsia="en-US"/>
        </w:rPr>
        <w:t>l’élaboration</w:t>
      </w:r>
      <w:r w:rsidR="00265314" w:rsidRPr="00265314">
        <w:rPr>
          <w:rFonts w:eastAsia="Times New Roman" w:cs="Arial"/>
          <w:snapToGrid/>
          <w:szCs w:val="22"/>
          <w:lang w:eastAsia="en-US"/>
        </w:rPr>
        <w:t xml:space="preserve"> de la deuxième édition </w:t>
      </w:r>
      <w:r w:rsidR="00265314">
        <w:rPr>
          <w:rFonts w:eastAsia="Times New Roman" w:cs="Arial"/>
          <w:snapToGrid/>
          <w:szCs w:val="22"/>
          <w:lang w:eastAsia="en-US"/>
        </w:rPr>
        <w:t>du Rapport</w:t>
      </w:r>
      <w:r w:rsidR="00265314" w:rsidRPr="00265314">
        <w:rPr>
          <w:rFonts w:eastAsia="Times New Roman" w:cs="Arial"/>
          <w:snapToGrid/>
          <w:szCs w:val="22"/>
          <w:lang w:eastAsia="en-US"/>
        </w:rPr>
        <w:t>, publiée dans</w:t>
      </w:r>
      <w:r w:rsidR="00265314">
        <w:rPr>
          <w:rFonts w:eastAsia="Times New Roman" w:cs="Arial"/>
          <w:snapToGrid/>
          <w:szCs w:val="22"/>
          <w:lang w:eastAsia="en-US"/>
        </w:rPr>
        <w:t xml:space="preserve"> le n° </w:t>
      </w:r>
      <w:r w:rsidR="00265314" w:rsidRPr="00265314">
        <w:rPr>
          <w:rFonts w:eastAsia="Times New Roman" w:cs="Arial"/>
          <w:snapToGrid/>
          <w:szCs w:val="22"/>
          <w:lang w:eastAsia="en-US"/>
        </w:rPr>
        <w:t>189</w:t>
      </w:r>
      <w:r w:rsidR="00265314">
        <w:rPr>
          <w:rFonts w:eastAsia="Times New Roman" w:cs="Arial"/>
          <w:snapToGrid/>
          <w:szCs w:val="22"/>
          <w:lang w:eastAsia="en-US"/>
        </w:rPr>
        <w:t xml:space="preserve"> de la </w:t>
      </w:r>
      <w:r w:rsidR="00265314" w:rsidRPr="00265314">
        <w:rPr>
          <w:rFonts w:eastAsia="Times New Roman" w:cs="Arial"/>
          <w:snapToGrid/>
          <w:szCs w:val="22"/>
          <w:lang w:eastAsia="en-US"/>
        </w:rPr>
        <w:t>Série technique de la COI avant la présente session du Conseil exécutif.</w:t>
      </w:r>
    </w:p>
    <w:p w14:paraId="05FA5C6A" w14:textId="4A8A6D4B" w:rsidR="00707C1B" w:rsidRDefault="00707C1B" w:rsidP="00436275">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6.</w:t>
      </w:r>
      <w:r>
        <w:rPr>
          <w:rFonts w:eastAsia="Times New Roman" w:cs="Arial"/>
          <w:snapToGrid/>
          <w:szCs w:val="22"/>
          <w:lang w:eastAsia="en-US"/>
        </w:rPr>
        <w:tab/>
        <w:t>L’édition</w:t>
      </w:r>
      <w:r w:rsidRPr="00707C1B">
        <w:rPr>
          <w:rFonts w:eastAsia="Times New Roman" w:cs="Arial"/>
          <w:snapToGrid/>
          <w:szCs w:val="22"/>
          <w:lang w:eastAsia="en-US"/>
        </w:rPr>
        <w:t xml:space="preserve"> 2024 </w:t>
      </w:r>
      <w:r>
        <w:rPr>
          <w:rFonts w:eastAsia="Times New Roman" w:cs="Arial"/>
          <w:snapToGrid/>
          <w:szCs w:val="22"/>
          <w:lang w:eastAsia="en-US"/>
        </w:rPr>
        <w:t xml:space="preserve">du Rapport </w:t>
      </w:r>
      <w:bookmarkStart w:id="3" w:name="_Hlk165376032"/>
      <w:r w:rsidRPr="00707C1B">
        <w:rPr>
          <w:rFonts w:eastAsia="Times New Roman" w:cs="Arial"/>
          <w:snapToGrid/>
          <w:szCs w:val="22"/>
          <w:lang w:eastAsia="en-US"/>
        </w:rPr>
        <w:t xml:space="preserve">sur l’état de l’océan </w:t>
      </w:r>
      <w:bookmarkEnd w:id="3"/>
      <w:r w:rsidRPr="00707C1B">
        <w:rPr>
          <w:rFonts w:eastAsia="Times New Roman" w:cs="Arial"/>
          <w:snapToGrid/>
          <w:szCs w:val="22"/>
          <w:lang w:eastAsia="en-US"/>
        </w:rPr>
        <w:t xml:space="preserve">bénéficie </w:t>
      </w:r>
      <w:r>
        <w:rPr>
          <w:rFonts w:eastAsia="Times New Roman" w:cs="Arial"/>
          <w:snapToGrid/>
          <w:szCs w:val="22"/>
          <w:lang w:eastAsia="en-US"/>
        </w:rPr>
        <w:t>de l’appui</w:t>
      </w:r>
      <w:r w:rsidRPr="00707C1B">
        <w:rPr>
          <w:rFonts w:eastAsia="Times New Roman" w:cs="Arial"/>
          <w:snapToGrid/>
          <w:szCs w:val="22"/>
          <w:lang w:eastAsia="en-US"/>
        </w:rPr>
        <w:t xml:space="preserve"> financier du </w:t>
      </w:r>
      <w:r>
        <w:rPr>
          <w:rFonts w:eastAsia="Times New Roman" w:cs="Arial"/>
          <w:snapToGrid/>
          <w:szCs w:val="22"/>
          <w:lang w:eastAsia="en-US"/>
        </w:rPr>
        <w:t>G</w:t>
      </w:r>
      <w:r w:rsidRPr="00707C1B">
        <w:rPr>
          <w:rFonts w:eastAsia="Times New Roman" w:cs="Arial"/>
          <w:snapToGrid/>
          <w:szCs w:val="22"/>
          <w:lang w:eastAsia="en-US"/>
        </w:rPr>
        <w:t>ouvernement islandais, de l</w:t>
      </w:r>
      <w:r>
        <w:rPr>
          <w:rFonts w:eastAsia="Times New Roman" w:cs="Arial"/>
          <w:snapToGrid/>
          <w:szCs w:val="22"/>
          <w:lang w:eastAsia="en-US"/>
        </w:rPr>
        <w:t>’</w:t>
      </w:r>
      <w:r w:rsidRPr="00707C1B">
        <w:rPr>
          <w:rFonts w:eastAsia="Times New Roman" w:cs="Arial"/>
          <w:snapToGrid/>
          <w:szCs w:val="22"/>
          <w:lang w:eastAsia="en-US"/>
        </w:rPr>
        <w:t>initiative Back to Blue et de la République de Corée.</w:t>
      </w:r>
    </w:p>
    <w:p w14:paraId="6A8D8AF5" w14:textId="2475AA42" w:rsidR="00707C1B" w:rsidRDefault="00707C1B" w:rsidP="00436275">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7.</w:t>
      </w:r>
      <w:r>
        <w:rPr>
          <w:rFonts w:eastAsia="Times New Roman" w:cs="Arial"/>
          <w:snapToGrid/>
          <w:szCs w:val="22"/>
          <w:lang w:eastAsia="en-US"/>
        </w:rPr>
        <w:tab/>
        <w:t>Le Rapport</w:t>
      </w:r>
      <w:r w:rsidRPr="00707C1B">
        <w:rPr>
          <w:rFonts w:eastAsia="Times New Roman" w:cs="Arial"/>
          <w:snapToGrid/>
          <w:szCs w:val="22"/>
          <w:lang w:eastAsia="en-US"/>
        </w:rPr>
        <w:t xml:space="preserve"> </w:t>
      </w:r>
      <w:r>
        <w:rPr>
          <w:rFonts w:eastAsia="Times New Roman" w:cs="Arial"/>
          <w:snapToGrid/>
          <w:szCs w:val="22"/>
          <w:lang w:eastAsia="en-US"/>
        </w:rPr>
        <w:t>compte</w:t>
      </w:r>
      <w:r w:rsidRPr="00707C1B">
        <w:rPr>
          <w:rFonts w:eastAsia="Times New Roman" w:cs="Arial"/>
          <w:snapToGrid/>
          <w:szCs w:val="22"/>
          <w:lang w:eastAsia="en-US"/>
        </w:rPr>
        <w:t xml:space="preserve"> 21</w:t>
      </w:r>
      <w:r>
        <w:rPr>
          <w:rFonts w:eastAsia="Times New Roman" w:cs="Arial"/>
          <w:snapToGrid/>
          <w:szCs w:val="22"/>
          <w:lang w:eastAsia="en-US"/>
        </w:rPr>
        <w:t> partie</w:t>
      </w:r>
      <w:r w:rsidRPr="00707C1B">
        <w:rPr>
          <w:rFonts w:eastAsia="Times New Roman" w:cs="Arial"/>
          <w:snapToGrid/>
          <w:szCs w:val="22"/>
          <w:lang w:eastAsia="en-US"/>
        </w:rPr>
        <w:t>s rédigées par 101</w:t>
      </w:r>
      <w:r>
        <w:rPr>
          <w:rFonts w:eastAsia="Times New Roman" w:cs="Arial"/>
          <w:snapToGrid/>
          <w:szCs w:val="22"/>
          <w:lang w:eastAsia="en-US"/>
        </w:rPr>
        <w:t> </w:t>
      </w:r>
      <w:r w:rsidRPr="00707C1B">
        <w:rPr>
          <w:rFonts w:eastAsia="Times New Roman" w:cs="Arial"/>
          <w:snapToGrid/>
          <w:szCs w:val="22"/>
          <w:lang w:eastAsia="en-US"/>
        </w:rPr>
        <w:t xml:space="preserve">auteurs </w:t>
      </w:r>
      <w:r>
        <w:rPr>
          <w:rFonts w:eastAsia="Times New Roman" w:cs="Arial"/>
          <w:snapToGrid/>
          <w:szCs w:val="22"/>
          <w:lang w:eastAsia="en-US"/>
        </w:rPr>
        <w:t xml:space="preserve">provenant </w:t>
      </w:r>
      <w:r w:rsidRPr="00707C1B">
        <w:rPr>
          <w:rFonts w:eastAsia="Times New Roman" w:cs="Arial"/>
          <w:snapToGrid/>
          <w:szCs w:val="22"/>
          <w:lang w:eastAsia="en-US"/>
        </w:rPr>
        <w:t>de 28</w:t>
      </w:r>
      <w:r>
        <w:rPr>
          <w:rFonts w:eastAsia="Times New Roman" w:cs="Arial"/>
          <w:snapToGrid/>
          <w:szCs w:val="22"/>
          <w:lang w:eastAsia="en-US"/>
        </w:rPr>
        <w:t> </w:t>
      </w:r>
      <w:r w:rsidRPr="00707C1B">
        <w:rPr>
          <w:rFonts w:eastAsia="Times New Roman" w:cs="Arial"/>
          <w:snapToGrid/>
          <w:szCs w:val="22"/>
          <w:lang w:eastAsia="en-US"/>
        </w:rPr>
        <w:t>pays (46</w:t>
      </w:r>
      <w:r>
        <w:rPr>
          <w:rFonts w:eastAsia="Times New Roman" w:cs="Arial"/>
          <w:snapToGrid/>
          <w:szCs w:val="22"/>
          <w:lang w:eastAsia="en-US"/>
        </w:rPr>
        <w:t> </w:t>
      </w:r>
      <w:r w:rsidRPr="00707C1B">
        <w:rPr>
          <w:rFonts w:eastAsia="Times New Roman" w:cs="Arial"/>
          <w:snapToGrid/>
          <w:szCs w:val="22"/>
          <w:lang w:eastAsia="en-US"/>
        </w:rPr>
        <w:t>% de femmes</w:t>
      </w:r>
      <w:r>
        <w:rPr>
          <w:rFonts w:eastAsia="Times New Roman" w:cs="Arial"/>
          <w:snapToGrid/>
          <w:szCs w:val="22"/>
          <w:lang w:eastAsia="en-US"/>
        </w:rPr>
        <w:t xml:space="preserve"> et</w:t>
      </w:r>
      <w:r w:rsidRPr="00707C1B">
        <w:rPr>
          <w:rFonts w:eastAsia="Times New Roman" w:cs="Arial"/>
          <w:snapToGrid/>
          <w:szCs w:val="22"/>
          <w:lang w:eastAsia="en-US"/>
        </w:rPr>
        <w:t xml:space="preserve"> 54</w:t>
      </w:r>
      <w:r>
        <w:rPr>
          <w:rFonts w:eastAsia="Times New Roman" w:cs="Arial"/>
          <w:snapToGrid/>
          <w:szCs w:val="22"/>
          <w:lang w:eastAsia="en-US"/>
        </w:rPr>
        <w:t> </w:t>
      </w:r>
      <w:r w:rsidRPr="00707C1B">
        <w:rPr>
          <w:rFonts w:eastAsia="Times New Roman" w:cs="Arial"/>
          <w:snapToGrid/>
          <w:szCs w:val="22"/>
          <w:lang w:eastAsia="en-US"/>
        </w:rPr>
        <w:t>% d</w:t>
      </w:r>
      <w:r>
        <w:rPr>
          <w:rFonts w:eastAsia="Times New Roman" w:cs="Arial"/>
          <w:snapToGrid/>
          <w:szCs w:val="22"/>
          <w:lang w:eastAsia="en-US"/>
        </w:rPr>
        <w:t>’</w:t>
      </w:r>
      <w:r w:rsidRPr="00707C1B">
        <w:rPr>
          <w:rFonts w:eastAsia="Times New Roman" w:cs="Arial"/>
          <w:snapToGrid/>
          <w:szCs w:val="22"/>
          <w:lang w:eastAsia="en-US"/>
        </w:rPr>
        <w:t>hommes).</w:t>
      </w:r>
      <w:r>
        <w:rPr>
          <w:rFonts w:eastAsia="Times New Roman" w:cs="Arial"/>
          <w:snapToGrid/>
          <w:szCs w:val="22"/>
          <w:lang w:eastAsia="en-US"/>
        </w:rPr>
        <w:t xml:space="preserve"> Il a fait l’objet d’un examen par des pairs</w:t>
      </w:r>
      <w:r w:rsidRPr="00707C1B">
        <w:rPr>
          <w:rFonts w:eastAsia="Times New Roman" w:cs="Arial"/>
          <w:snapToGrid/>
          <w:szCs w:val="22"/>
          <w:lang w:eastAsia="en-US"/>
        </w:rPr>
        <w:t xml:space="preserve"> </w:t>
      </w:r>
      <w:r>
        <w:rPr>
          <w:rFonts w:eastAsia="Times New Roman" w:cs="Arial"/>
          <w:snapToGrid/>
          <w:szCs w:val="22"/>
          <w:lang w:eastAsia="en-US"/>
        </w:rPr>
        <w:t xml:space="preserve">réalisé </w:t>
      </w:r>
      <w:r w:rsidRPr="00707C1B">
        <w:rPr>
          <w:rFonts w:eastAsia="Times New Roman" w:cs="Arial"/>
          <w:snapToGrid/>
          <w:szCs w:val="22"/>
          <w:lang w:eastAsia="en-US"/>
        </w:rPr>
        <w:t>par plus de 45</w:t>
      </w:r>
      <w:r>
        <w:rPr>
          <w:rFonts w:eastAsia="Times New Roman" w:cs="Arial"/>
          <w:snapToGrid/>
          <w:szCs w:val="22"/>
          <w:lang w:eastAsia="en-US"/>
        </w:rPr>
        <w:t> </w:t>
      </w:r>
      <w:r w:rsidRPr="00707C1B">
        <w:rPr>
          <w:rFonts w:eastAsia="Times New Roman" w:cs="Arial"/>
          <w:snapToGrid/>
          <w:szCs w:val="22"/>
          <w:lang w:eastAsia="en-US"/>
        </w:rPr>
        <w:t>experts internationaux.</w:t>
      </w:r>
    </w:p>
    <w:p w14:paraId="229E7D6F" w14:textId="7EEB0D68" w:rsidR="00707C1B" w:rsidRDefault="00707C1B" w:rsidP="00436275">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8.</w:t>
      </w:r>
      <w:r>
        <w:rPr>
          <w:rFonts w:eastAsia="Times New Roman" w:cs="Arial"/>
          <w:snapToGrid/>
          <w:szCs w:val="22"/>
          <w:lang w:eastAsia="en-US"/>
        </w:rPr>
        <w:tab/>
      </w:r>
      <w:r w:rsidRPr="00707C1B">
        <w:rPr>
          <w:rFonts w:eastAsia="Times New Roman" w:cs="Arial"/>
          <w:snapToGrid/>
          <w:szCs w:val="22"/>
          <w:lang w:eastAsia="en-US"/>
        </w:rPr>
        <w:t xml:space="preserve">La note conceptuelle révisée et approuvée présentée dans </w:t>
      </w:r>
      <w:r>
        <w:rPr>
          <w:rFonts w:eastAsia="Times New Roman" w:cs="Arial"/>
          <w:snapToGrid/>
          <w:szCs w:val="22"/>
          <w:lang w:eastAsia="en-US"/>
        </w:rPr>
        <w:t>le présent</w:t>
      </w:r>
      <w:r w:rsidRPr="00707C1B">
        <w:rPr>
          <w:rFonts w:eastAsia="Times New Roman" w:cs="Arial"/>
          <w:snapToGrid/>
          <w:szCs w:val="22"/>
          <w:lang w:eastAsia="en-US"/>
        </w:rPr>
        <w:t xml:space="preserve"> document indique désormais </w:t>
      </w:r>
      <w:r>
        <w:rPr>
          <w:rFonts w:eastAsia="Times New Roman" w:cs="Arial"/>
          <w:snapToGrid/>
          <w:szCs w:val="22"/>
          <w:lang w:eastAsia="en-US"/>
        </w:rPr>
        <w:t>clairement</w:t>
      </w:r>
      <w:r w:rsidRPr="00707C1B">
        <w:rPr>
          <w:rFonts w:eastAsia="Times New Roman" w:cs="Arial"/>
          <w:snapToGrid/>
          <w:szCs w:val="22"/>
          <w:lang w:eastAsia="en-US"/>
        </w:rPr>
        <w:t xml:space="preserve"> le public cible du </w:t>
      </w:r>
      <w:r>
        <w:rPr>
          <w:rFonts w:eastAsia="Times New Roman" w:cs="Arial"/>
          <w:snapToGrid/>
          <w:szCs w:val="22"/>
          <w:lang w:eastAsia="en-US"/>
        </w:rPr>
        <w:t>Rapport</w:t>
      </w:r>
      <w:r w:rsidRPr="00707C1B">
        <w:rPr>
          <w:rFonts w:eastAsia="Times New Roman" w:cs="Arial"/>
          <w:snapToGrid/>
          <w:szCs w:val="22"/>
          <w:lang w:eastAsia="en-US"/>
        </w:rPr>
        <w:t xml:space="preserve">, </w:t>
      </w:r>
      <w:r>
        <w:rPr>
          <w:rFonts w:eastAsia="Times New Roman" w:cs="Arial"/>
          <w:snapToGrid/>
          <w:szCs w:val="22"/>
          <w:lang w:eastAsia="en-US"/>
        </w:rPr>
        <w:t xml:space="preserve">à savoir </w:t>
      </w:r>
      <w:r w:rsidRPr="00707C1B">
        <w:rPr>
          <w:rFonts w:eastAsia="Times New Roman" w:cs="Arial"/>
          <w:snapToGrid/>
          <w:szCs w:val="22"/>
          <w:lang w:eastAsia="en-US"/>
        </w:rPr>
        <w:t xml:space="preserve">principalement </w:t>
      </w:r>
      <w:r>
        <w:rPr>
          <w:rFonts w:eastAsia="Times New Roman" w:cs="Arial"/>
          <w:snapToGrid/>
          <w:szCs w:val="22"/>
          <w:lang w:eastAsia="en-US"/>
        </w:rPr>
        <w:t>des</w:t>
      </w:r>
      <w:r w:rsidRPr="00707C1B">
        <w:rPr>
          <w:rFonts w:eastAsia="Times New Roman" w:cs="Arial"/>
          <w:snapToGrid/>
          <w:szCs w:val="22"/>
          <w:lang w:eastAsia="en-US"/>
        </w:rPr>
        <w:t xml:space="preserve"> décideurs, </w:t>
      </w:r>
      <w:r>
        <w:rPr>
          <w:rFonts w:eastAsia="Times New Roman" w:cs="Arial"/>
          <w:snapToGrid/>
          <w:szCs w:val="22"/>
          <w:lang w:eastAsia="en-US"/>
        </w:rPr>
        <w:t>même si</w:t>
      </w:r>
      <w:r w:rsidRPr="00707C1B">
        <w:rPr>
          <w:rFonts w:eastAsia="Times New Roman" w:cs="Arial"/>
          <w:snapToGrid/>
          <w:szCs w:val="22"/>
          <w:lang w:eastAsia="en-US"/>
        </w:rPr>
        <w:t xml:space="preserve"> les informations </w:t>
      </w:r>
      <w:r>
        <w:rPr>
          <w:rFonts w:eastAsia="Times New Roman" w:cs="Arial"/>
          <w:snapToGrid/>
          <w:szCs w:val="22"/>
          <w:lang w:eastAsia="en-US"/>
        </w:rPr>
        <w:t>fournies</w:t>
      </w:r>
      <w:r w:rsidRPr="00707C1B">
        <w:rPr>
          <w:rFonts w:eastAsia="Times New Roman" w:cs="Arial"/>
          <w:snapToGrid/>
          <w:szCs w:val="22"/>
          <w:lang w:eastAsia="en-US"/>
        </w:rPr>
        <w:t xml:space="preserve"> peuvent également servir de source d</w:t>
      </w:r>
      <w:r w:rsidR="00E72FD7">
        <w:rPr>
          <w:rFonts w:eastAsia="Times New Roman" w:cs="Arial"/>
          <w:snapToGrid/>
          <w:szCs w:val="22"/>
          <w:lang w:eastAsia="en-US"/>
        </w:rPr>
        <w:t>’i</w:t>
      </w:r>
      <w:r w:rsidRPr="00707C1B">
        <w:rPr>
          <w:rFonts w:eastAsia="Times New Roman" w:cs="Arial"/>
          <w:snapToGrid/>
          <w:szCs w:val="22"/>
          <w:lang w:eastAsia="en-US"/>
        </w:rPr>
        <w:t>nformation sur l</w:t>
      </w:r>
      <w:r w:rsidR="00E72FD7">
        <w:rPr>
          <w:rFonts w:eastAsia="Times New Roman" w:cs="Arial"/>
          <w:snapToGrid/>
          <w:szCs w:val="22"/>
          <w:lang w:eastAsia="en-US"/>
        </w:rPr>
        <w:t>’</w:t>
      </w:r>
      <w:r w:rsidRPr="00707C1B">
        <w:rPr>
          <w:rFonts w:eastAsia="Times New Roman" w:cs="Arial"/>
          <w:snapToGrid/>
          <w:szCs w:val="22"/>
          <w:lang w:eastAsia="en-US"/>
        </w:rPr>
        <w:t>état de l</w:t>
      </w:r>
      <w:r w:rsidR="00E72FD7">
        <w:rPr>
          <w:rFonts w:eastAsia="Times New Roman" w:cs="Arial"/>
          <w:snapToGrid/>
          <w:szCs w:val="22"/>
          <w:lang w:eastAsia="en-US"/>
        </w:rPr>
        <w:t>’</w:t>
      </w:r>
      <w:r w:rsidRPr="00707C1B">
        <w:rPr>
          <w:rFonts w:eastAsia="Times New Roman" w:cs="Arial"/>
          <w:snapToGrid/>
          <w:szCs w:val="22"/>
          <w:lang w:eastAsia="en-US"/>
        </w:rPr>
        <w:t>océan pour les médias.</w:t>
      </w:r>
      <w:r w:rsidR="00E72FD7">
        <w:rPr>
          <w:rFonts w:eastAsia="Times New Roman" w:cs="Arial"/>
          <w:snapToGrid/>
          <w:szCs w:val="22"/>
          <w:lang w:eastAsia="en-US"/>
        </w:rPr>
        <w:t xml:space="preserve"> Elle identifie l</w:t>
      </w:r>
      <w:r w:rsidR="00E72FD7" w:rsidRPr="00E72FD7">
        <w:rPr>
          <w:rFonts w:eastAsia="Times New Roman" w:cs="Arial"/>
          <w:snapToGrid/>
          <w:szCs w:val="22"/>
          <w:lang w:eastAsia="en-US"/>
        </w:rPr>
        <w:t xml:space="preserve">es programmes de la COI et les projets affiliés comme </w:t>
      </w:r>
      <w:r w:rsidR="00E72FD7">
        <w:rPr>
          <w:rFonts w:eastAsia="Times New Roman" w:cs="Arial"/>
          <w:snapToGrid/>
          <w:szCs w:val="22"/>
          <w:lang w:eastAsia="en-US"/>
        </w:rPr>
        <w:t xml:space="preserve">étant </w:t>
      </w:r>
      <w:r w:rsidR="00E72FD7" w:rsidRPr="00E72FD7">
        <w:rPr>
          <w:rFonts w:eastAsia="Times New Roman" w:cs="Arial"/>
          <w:snapToGrid/>
          <w:szCs w:val="22"/>
          <w:lang w:eastAsia="en-US"/>
        </w:rPr>
        <w:t>la principale source d</w:t>
      </w:r>
      <w:r w:rsidR="00E72FD7">
        <w:rPr>
          <w:rFonts w:eastAsia="Times New Roman" w:cs="Arial"/>
          <w:snapToGrid/>
          <w:szCs w:val="22"/>
          <w:lang w:eastAsia="en-US"/>
        </w:rPr>
        <w:t>’</w:t>
      </w:r>
      <w:r w:rsidR="00E72FD7" w:rsidRPr="00E72FD7">
        <w:rPr>
          <w:rFonts w:eastAsia="Times New Roman" w:cs="Arial"/>
          <w:snapToGrid/>
          <w:szCs w:val="22"/>
          <w:lang w:eastAsia="en-US"/>
        </w:rPr>
        <w:t xml:space="preserve">information, tout en prenant en compte des données complémentaires </w:t>
      </w:r>
      <w:r w:rsidR="00E72FD7">
        <w:rPr>
          <w:rFonts w:eastAsia="Times New Roman" w:cs="Arial"/>
          <w:snapToGrid/>
          <w:szCs w:val="22"/>
          <w:lang w:eastAsia="en-US"/>
        </w:rPr>
        <w:t>issues</w:t>
      </w:r>
      <w:r w:rsidR="00E72FD7" w:rsidRPr="00E72FD7">
        <w:rPr>
          <w:rFonts w:eastAsia="Times New Roman" w:cs="Arial"/>
          <w:snapToGrid/>
          <w:szCs w:val="22"/>
          <w:lang w:eastAsia="en-US"/>
        </w:rPr>
        <w:t xml:space="preserve"> d</w:t>
      </w:r>
      <w:r w:rsidR="00E72FD7">
        <w:rPr>
          <w:rFonts w:eastAsia="Times New Roman" w:cs="Arial"/>
          <w:snapToGrid/>
          <w:szCs w:val="22"/>
          <w:lang w:eastAsia="en-US"/>
        </w:rPr>
        <w:t>’</w:t>
      </w:r>
      <w:r w:rsidR="00E72FD7" w:rsidRPr="00E72FD7">
        <w:rPr>
          <w:rFonts w:eastAsia="Times New Roman" w:cs="Arial"/>
          <w:snapToGrid/>
          <w:szCs w:val="22"/>
          <w:lang w:eastAsia="en-US"/>
        </w:rPr>
        <w:t xml:space="preserve">autres organisations internationales, le cas échéant, afin de </w:t>
      </w:r>
      <w:r w:rsidR="00E72FD7">
        <w:rPr>
          <w:rFonts w:eastAsia="Times New Roman" w:cs="Arial"/>
          <w:snapToGrid/>
          <w:szCs w:val="22"/>
          <w:lang w:eastAsia="en-US"/>
        </w:rPr>
        <w:t>produire</w:t>
      </w:r>
      <w:r w:rsidR="00E72FD7" w:rsidRPr="00E72FD7">
        <w:rPr>
          <w:rFonts w:eastAsia="Times New Roman" w:cs="Arial"/>
          <w:snapToGrid/>
          <w:szCs w:val="22"/>
          <w:lang w:eastAsia="en-US"/>
        </w:rPr>
        <w:t xml:space="preserve"> un </w:t>
      </w:r>
      <w:r w:rsidR="00E72FD7">
        <w:rPr>
          <w:rFonts w:eastAsia="Times New Roman" w:cs="Arial"/>
          <w:snapToGrid/>
          <w:szCs w:val="22"/>
          <w:lang w:eastAsia="en-US"/>
        </w:rPr>
        <w:t>Rapport</w:t>
      </w:r>
      <w:r w:rsidR="00E72FD7" w:rsidRPr="00E72FD7">
        <w:rPr>
          <w:rFonts w:eastAsia="Times New Roman" w:cs="Arial"/>
          <w:snapToGrid/>
          <w:szCs w:val="22"/>
          <w:lang w:eastAsia="en-US"/>
        </w:rPr>
        <w:t xml:space="preserve"> couvrant </w:t>
      </w:r>
      <w:r w:rsidR="00E72FD7">
        <w:rPr>
          <w:rFonts w:eastAsia="Times New Roman" w:cs="Arial"/>
          <w:snapToGrid/>
          <w:szCs w:val="22"/>
          <w:lang w:eastAsia="en-US"/>
        </w:rPr>
        <w:t>l’ensemble des</w:t>
      </w:r>
      <w:r w:rsidR="00E72FD7" w:rsidRPr="00E72FD7">
        <w:rPr>
          <w:rFonts w:eastAsia="Times New Roman" w:cs="Arial"/>
          <w:snapToGrid/>
          <w:szCs w:val="22"/>
          <w:lang w:eastAsia="en-US"/>
        </w:rPr>
        <w:t xml:space="preserve"> </w:t>
      </w:r>
      <w:hyperlink r:id="rId14" w:history="1">
        <w:r w:rsidR="00E72FD7" w:rsidRPr="00E72FD7">
          <w:rPr>
            <w:rStyle w:val="Hyperlink"/>
            <w:rFonts w:eastAsia="Times New Roman" w:cs="Arial"/>
            <w:snapToGrid/>
            <w:szCs w:val="22"/>
            <w:lang w:eastAsia="en-US"/>
          </w:rPr>
          <w:t>résultats de la Décennie de l’Océan</w:t>
        </w:r>
      </w:hyperlink>
      <w:r w:rsidR="00E72FD7" w:rsidRPr="00E72FD7">
        <w:rPr>
          <w:rFonts w:eastAsia="Times New Roman" w:cs="Arial"/>
          <w:snapToGrid/>
          <w:szCs w:val="22"/>
          <w:lang w:eastAsia="en-US"/>
        </w:rPr>
        <w:t>.</w:t>
      </w:r>
      <w:r w:rsidR="00E72FD7">
        <w:rPr>
          <w:rFonts w:eastAsia="Times New Roman" w:cs="Arial"/>
          <w:snapToGrid/>
          <w:szCs w:val="22"/>
          <w:lang w:eastAsia="en-US"/>
        </w:rPr>
        <w:t xml:space="preserve"> </w:t>
      </w:r>
      <w:r w:rsidR="00E72FD7" w:rsidRPr="00E72FD7">
        <w:rPr>
          <w:rFonts w:eastAsia="Times New Roman" w:cs="Arial"/>
          <w:snapToGrid/>
          <w:szCs w:val="22"/>
          <w:lang w:eastAsia="en-US"/>
        </w:rPr>
        <w:t>Il a été convenu que la fréquence devait être régulière</w:t>
      </w:r>
      <w:r w:rsidR="00E72FD7">
        <w:rPr>
          <w:rFonts w:eastAsia="Times New Roman" w:cs="Arial"/>
          <w:snapToGrid/>
          <w:szCs w:val="22"/>
          <w:lang w:eastAsia="en-US"/>
        </w:rPr>
        <w:t>,</w:t>
      </w:r>
      <w:r w:rsidR="00E72FD7" w:rsidRPr="00E72FD7">
        <w:rPr>
          <w:rFonts w:eastAsia="Times New Roman" w:cs="Arial"/>
          <w:snapToGrid/>
          <w:szCs w:val="22"/>
          <w:lang w:eastAsia="en-US"/>
        </w:rPr>
        <w:t xml:space="preserve"> </w:t>
      </w:r>
      <w:r w:rsidR="00E72FD7">
        <w:rPr>
          <w:rFonts w:eastAsia="Times New Roman" w:cs="Arial"/>
          <w:snapToGrid/>
          <w:szCs w:val="22"/>
          <w:lang w:eastAsia="en-US"/>
        </w:rPr>
        <w:t>sous réserve toutefois des</w:t>
      </w:r>
      <w:r w:rsidR="00E72FD7" w:rsidRPr="00E72FD7">
        <w:rPr>
          <w:rFonts w:eastAsia="Times New Roman" w:cs="Arial"/>
          <w:snapToGrid/>
          <w:szCs w:val="22"/>
          <w:lang w:eastAsia="en-US"/>
        </w:rPr>
        <w:t xml:space="preserve"> contraintes </w:t>
      </w:r>
      <w:r w:rsidR="00E72FD7">
        <w:rPr>
          <w:rFonts w:eastAsia="Times New Roman" w:cs="Arial"/>
          <w:snapToGrid/>
          <w:szCs w:val="22"/>
          <w:lang w:eastAsia="en-US"/>
        </w:rPr>
        <w:t>en matière de</w:t>
      </w:r>
      <w:r w:rsidR="00E72FD7" w:rsidRPr="00E72FD7">
        <w:rPr>
          <w:rFonts w:eastAsia="Times New Roman" w:cs="Arial"/>
          <w:snapToGrid/>
          <w:szCs w:val="22"/>
          <w:lang w:eastAsia="en-US"/>
        </w:rPr>
        <w:t xml:space="preserve"> ressources financières et humaines disponibles.</w:t>
      </w:r>
      <w:r w:rsidR="00E72FD7">
        <w:rPr>
          <w:rFonts w:eastAsia="Times New Roman" w:cs="Arial"/>
          <w:snapToGrid/>
          <w:szCs w:val="22"/>
          <w:lang w:eastAsia="en-US"/>
        </w:rPr>
        <w:t xml:space="preserve"> </w:t>
      </w:r>
    </w:p>
    <w:p w14:paraId="097B69A0" w14:textId="514063CA" w:rsidR="00092E0B" w:rsidRPr="00092E0B" w:rsidRDefault="00092E0B" w:rsidP="00436275">
      <w:pPr>
        <w:tabs>
          <w:tab w:val="clear" w:pos="567"/>
        </w:tabs>
        <w:snapToGrid/>
        <w:spacing w:after="240"/>
        <w:jc w:val="both"/>
        <w:rPr>
          <w:rFonts w:eastAsia="Times New Roman" w:cs="Arial"/>
          <w:b/>
          <w:bCs/>
          <w:snapToGrid/>
          <w:spacing w:val="-4"/>
          <w:szCs w:val="22"/>
          <w:lang w:eastAsia="en-US"/>
        </w:rPr>
      </w:pPr>
      <w:r w:rsidRPr="009B513F">
        <w:rPr>
          <w:rFonts w:eastAsia="Times New Roman" w:cs="Arial"/>
          <w:b/>
          <w:bCs/>
          <w:snapToGrid/>
          <w:spacing w:val="-4"/>
          <w:szCs w:val="22"/>
          <w:lang w:eastAsia="en-US"/>
        </w:rPr>
        <w:lastRenderedPageBreak/>
        <w:t>Objectif, structure et fréquence du Rapport</w:t>
      </w:r>
    </w:p>
    <w:p w14:paraId="77A09883" w14:textId="5508B812" w:rsidR="00092E0B" w:rsidRDefault="00092E0B" w:rsidP="00436275">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9.</w:t>
      </w:r>
      <w:r>
        <w:rPr>
          <w:rFonts w:eastAsia="Times New Roman" w:cs="Arial"/>
          <w:snapToGrid/>
          <w:szCs w:val="22"/>
          <w:lang w:eastAsia="en-US"/>
        </w:rPr>
        <w:tab/>
      </w:r>
      <w:r w:rsidR="00BC76D0" w:rsidRPr="009B16C3">
        <w:rPr>
          <w:rFonts w:eastAsia="Times New Roman" w:cs="Arial"/>
          <w:snapToGrid/>
          <w:szCs w:val="22"/>
          <w:lang w:eastAsia="en-US"/>
        </w:rPr>
        <w:t>Le Rap</w:t>
      </w:r>
      <w:r w:rsidR="00BC76D0" w:rsidRPr="00BC76D0">
        <w:rPr>
          <w:rFonts w:eastAsia="Times New Roman" w:cs="Arial"/>
          <w:snapToGrid/>
          <w:szCs w:val="22"/>
          <w:lang w:eastAsia="en-US"/>
        </w:rPr>
        <w:t xml:space="preserve">port sur l’état de l’océan a </w:t>
      </w:r>
      <w:r w:rsidR="00BC76D0">
        <w:rPr>
          <w:rFonts w:eastAsia="Times New Roman" w:cs="Arial"/>
          <w:snapToGrid/>
          <w:szCs w:val="22"/>
          <w:lang w:eastAsia="en-US"/>
        </w:rPr>
        <w:t xml:space="preserve">pour </w:t>
      </w:r>
      <w:r w:rsidR="00BC76D0" w:rsidRPr="00BC76D0">
        <w:rPr>
          <w:rFonts w:eastAsia="Times New Roman" w:cs="Arial"/>
          <w:snapToGrid/>
          <w:szCs w:val="22"/>
          <w:lang w:eastAsia="en-US"/>
        </w:rPr>
        <w:t>ambition</w:t>
      </w:r>
      <w:r w:rsidR="00BC76D0">
        <w:rPr>
          <w:rFonts w:eastAsia="Times New Roman" w:cs="Arial"/>
          <w:snapToGrid/>
          <w:szCs w:val="22"/>
          <w:lang w:eastAsia="en-US"/>
        </w:rPr>
        <w:t> </w:t>
      </w:r>
      <w:r w:rsidR="00BC76D0" w:rsidRPr="00BC76D0">
        <w:rPr>
          <w:rFonts w:eastAsia="Times New Roman" w:cs="Arial"/>
          <w:snapToGrid/>
          <w:szCs w:val="22"/>
          <w:lang w:eastAsia="en-US"/>
        </w:rPr>
        <w:t>:</w:t>
      </w:r>
    </w:p>
    <w:p w14:paraId="65FFC63E" w14:textId="59EB626F" w:rsidR="00BC76D0" w:rsidRDefault="00BC76D0" w:rsidP="00BC76D0">
      <w:pPr>
        <w:tabs>
          <w:tab w:val="clear" w:pos="567"/>
        </w:tabs>
        <w:snapToGrid/>
        <w:spacing w:after="240"/>
        <w:ind w:left="1134" w:hanging="567"/>
        <w:jc w:val="both"/>
        <w:rPr>
          <w:rFonts w:eastAsia="Times New Roman" w:cs="Arial"/>
          <w:snapToGrid/>
          <w:szCs w:val="22"/>
          <w:lang w:eastAsia="en-US"/>
        </w:rPr>
      </w:pPr>
      <w:r>
        <w:rPr>
          <w:rFonts w:eastAsia="Times New Roman" w:cs="Arial"/>
          <w:snapToGrid/>
          <w:szCs w:val="22"/>
          <w:lang w:eastAsia="en-US"/>
        </w:rPr>
        <w:t>(i)</w:t>
      </w:r>
      <w:r>
        <w:rPr>
          <w:rFonts w:eastAsia="Times New Roman" w:cs="Arial"/>
          <w:snapToGrid/>
          <w:szCs w:val="22"/>
          <w:lang w:eastAsia="en-US"/>
        </w:rPr>
        <w:tab/>
        <w:t>d’i</w:t>
      </w:r>
      <w:r w:rsidRPr="00BC76D0">
        <w:rPr>
          <w:rFonts w:eastAsia="Times New Roman" w:cs="Arial"/>
          <w:snapToGrid/>
          <w:szCs w:val="22"/>
          <w:lang w:eastAsia="en-US"/>
        </w:rPr>
        <w:t xml:space="preserve">nformer les décideurs des lacunes dans la mise en œuvre des sept résultats de la Décennie de l’Océan et, à plus long terme, des lacunes sur la voie du bien-être </w:t>
      </w:r>
      <w:r>
        <w:rPr>
          <w:rFonts w:eastAsia="Times New Roman" w:cs="Arial"/>
          <w:snapToGrid/>
          <w:szCs w:val="22"/>
          <w:lang w:eastAsia="en-US"/>
        </w:rPr>
        <w:t>de l’océan</w:t>
      </w:r>
      <w:r w:rsidRPr="00BC76D0">
        <w:rPr>
          <w:rFonts w:eastAsia="Times New Roman" w:cs="Arial"/>
          <w:snapToGrid/>
          <w:szCs w:val="22"/>
          <w:lang w:eastAsia="en-US"/>
        </w:rPr>
        <w:t>.</w:t>
      </w:r>
      <w:r>
        <w:rPr>
          <w:rFonts w:eastAsia="Times New Roman" w:cs="Arial"/>
          <w:snapToGrid/>
          <w:szCs w:val="22"/>
          <w:lang w:eastAsia="en-US"/>
        </w:rPr>
        <w:t xml:space="preserve"> </w:t>
      </w:r>
      <w:r w:rsidRPr="00BC76D0">
        <w:rPr>
          <w:rFonts w:eastAsia="Times New Roman" w:cs="Arial"/>
          <w:snapToGrid/>
          <w:szCs w:val="22"/>
          <w:lang w:eastAsia="en-US"/>
        </w:rPr>
        <w:t xml:space="preserve">Le </w:t>
      </w:r>
      <w:r>
        <w:rPr>
          <w:rFonts w:eastAsia="Times New Roman" w:cs="Arial"/>
          <w:snapToGrid/>
          <w:szCs w:val="22"/>
          <w:lang w:eastAsia="en-US"/>
        </w:rPr>
        <w:t>Rapport servira à éclairer</w:t>
      </w:r>
      <w:r w:rsidRPr="00BC76D0">
        <w:rPr>
          <w:rFonts w:eastAsia="Times New Roman" w:cs="Arial"/>
          <w:snapToGrid/>
          <w:szCs w:val="22"/>
          <w:lang w:eastAsia="en-US"/>
        </w:rPr>
        <w:t xml:space="preserve"> les priorités </w:t>
      </w:r>
      <w:r>
        <w:rPr>
          <w:rFonts w:eastAsia="Times New Roman" w:cs="Arial"/>
          <w:snapToGrid/>
          <w:szCs w:val="22"/>
          <w:lang w:eastAsia="en-US"/>
        </w:rPr>
        <w:t xml:space="preserve">en matière de </w:t>
      </w:r>
      <w:r w:rsidRPr="00BC76D0">
        <w:rPr>
          <w:rFonts w:eastAsia="Times New Roman" w:cs="Arial"/>
          <w:snapToGrid/>
          <w:szCs w:val="22"/>
          <w:lang w:eastAsia="en-US"/>
        </w:rPr>
        <w:t xml:space="preserve">politiques et </w:t>
      </w:r>
      <w:r>
        <w:rPr>
          <w:rFonts w:eastAsia="Times New Roman" w:cs="Arial"/>
          <w:snapToGrid/>
          <w:szCs w:val="22"/>
          <w:lang w:eastAsia="en-US"/>
        </w:rPr>
        <w:t>d’administration, ainsi qu’à</w:t>
      </w:r>
      <w:r w:rsidRPr="00BC76D0">
        <w:rPr>
          <w:rFonts w:eastAsia="Times New Roman" w:cs="Arial"/>
          <w:snapToGrid/>
          <w:szCs w:val="22"/>
          <w:lang w:eastAsia="en-US"/>
        </w:rPr>
        <w:t xml:space="preserve"> identifier les domaines de recherche qui doivent être renforcés ou développés.</w:t>
      </w:r>
    </w:p>
    <w:p w14:paraId="538C243E" w14:textId="3895804F" w:rsidR="00BC76D0" w:rsidRDefault="00BC76D0" w:rsidP="00BC76D0">
      <w:pPr>
        <w:tabs>
          <w:tab w:val="clear" w:pos="567"/>
        </w:tabs>
        <w:snapToGrid/>
        <w:spacing w:after="240"/>
        <w:ind w:left="1134" w:hanging="567"/>
        <w:jc w:val="both"/>
        <w:rPr>
          <w:rFonts w:eastAsia="Times New Roman" w:cs="Arial"/>
          <w:snapToGrid/>
          <w:szCs w:val="22"/>
          <w:lang w:eastAsia="en-US"/>
        </w:rPr>
      </w:pPr>
      <w:r>
        <w:rPr>
          <w:rFonts w:eastAsia="Times New Roman" w:cs="Arial"/>
          <w:snapToGrid/>
          <w:szCs w:val="22"/>
          <w:lang w:eastAsia="en-US"/>
        </w:rPr>
        <w:t>(ii)</w:t>
      </w:r>
      <w:r>
        <w:rPr>
          <w:rFonts w:eastAsia="Times New Roman" w:cs="Arial"/>
          <w:snapToGrid/>
          <w:szCs w:val="22"/>
          <w:lang w:eastAsia="en-US"/>
        </w:rPr>
        <w:tab/>
        <w:t xml:space="preserve">d’informer les responsables des politiques sur l’état de l’océan </w:t>
      </w:r>
      <w:r w:rsidR="001E1961">
        <w:rPr>
          <w:rFonts w:eastAsia="Times New Roman" w:cs="Arial"/>
          <w:snapToGrid/>
          <w:szCs w:val="22"/>
          <w:lang w:eastAsia="en-US"/>
        </w:rPr>
        <w:t xml:space="preserve">afin de stimuler l’action  </w:t>
      </w:r>
      <w:r w:rsidRPr="00BC76D0">
        <w:rPr>
          <w:rFonts w:eastAsia="Times New Roman" w:cs="Arial"/>
          <w:snapToGrid/>
          <w:szCs w:val="22"/>
          <w:lang w:eastAsia="en-US"/>
        </w:rPr>
        <w:t xml:space="preserve">en faveur de « l’océan dont nous avons besoin pour l’avenir que nous voulons », contribuant </w:t>
      </w:r>
      <w:r w:rsidR="00A612F8">
        <w:rPr>
          <w:rFonts w:eastAsia="Times New Roman" w:cs="Arial"/>
          <w:snapToGrid/>
          <w:szCs w:val="22"/>
          <w:lang w:eastAsia="en-US"/>
        </w:rPr>
        <w:t xml:space="preserve">ainsi </w:t>
      </w:r>
      <w:r w:rsidRPr="00BC76D0">
        <w:rPr>
          <w:rFonts w:eastAsia="Times New Roman" w:cs="Arial"/>
          <w:snapToGrid/>
          <w:szCs w:val="22"/>
          <w:lang w:eastAsia="en-US"/>
        </w:rPr>
        <w:t>à la réalisation du Programme 2030, en particulier de l’ODD 14 intitulé « Conserver et exploiter de manière durable les océans, les mers et les ressources marines », ainsi qu’à d’autres processus mondiaux tels que la Convention-cadre des Nations Unies sur les changements climatiques (CCNUCC), la Convention sur la diversité biologique et le Cadre de Sendai pour la réduction des risques de catastrophe.</w:t>
      </w:r>
      <w:r w:rsidR="00A612F8">
        <w:rPr>
          <w:rFonts w:eastAsia="Times New Roman" w:cs="Arial"/>
          <w:snapToGrid/>
          <w:szCs w:val="22"/>
          <w:lang w:eastAsia="en-US"/>
        </w:rPr>
        <w:t xml:space="preserve"> Le Rapport contribuera également</w:t>
      </w:r>
      <w:r w:rsidR="00A612F8" w:rsidRPr="00A612F8">
        <w:rPr>
          <w:rFonts w:eastAsia="Times New Roman" w:cs="Arial"/>
          <w:snapToGrid/>
          <w:szCs w:val="22"/>
          <w:lang w:eastAsia="en-US"/>
        </w:rPr>
        <w:t xml:space="preserve"> à l’établissement de cadres de gouvernance de l’océan plus solides et fondés sur la science aux niveaux national et mondial.</w:t>
      </w:r>
    </w:p>
    <w:p w14:paraId="6B62A10F" w14:textId="09E86D68" w:rsidR="00A612F8" w:rsidRDefault="00A612F8" w:rsidP="00A612F8">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10.</w:t>
      </w:r>
      <w:r>
        <w:rPr>
          <w:rFonts w:eastAsia="Times New Roman" w:cs="Arial"/>
          <w:snapToGrid/>
          <w:szCs w:val="22"/>
          <w:lang w:eastAsia="en-US"/>
        </w:rPr>
        <w:tab/>
      </w:r>
      <w:r w:rsidR="001954CB">
        <w:rPr>
          <w:rFonts w:eastAsia="Times New Roman" w:cs="Arial"/>
          <w:snapToGrid/>
          <w:szCs w:val="22"/>
          <w:lang w:eastAsia="en-US"/>
        </w:rPr>
        <w:t>L</w:t>
      </w:r>
      <w:r w:rsidR="001954CB" w:rsidRPr="001954CB">
        <w:rPr>
          <w:rFonts w:eastAsia="Times New Roman" w:cs="Arial"/>
          <w:snapToGrid/>
          <w:szCs w:val="22"/>
          <w:lang w:eastAsia="en-US"/>
        </w:rPr>
        <w:t>e Rapport présentera les résultats d’activités</w:t>
      </w:r>
      <w:r w:rsidR="001954CB">
        <w:rPr>
          <w:rFonts w:eastAsia="Times New Roman" w:cs="Arial"/>
          <w:snapToGrid/>
          <w:szCs w:val="22"/>
          <w:lang w:eastAsia="en-US"/>
        </w:rPr>
        <w:t xml:space="preserve"> et d’analyses</w:t>
      </w:r>
      <w:r w:rsidR="001954CB" w:rsidRPr="001954CB">
        <w:rPr>
          <w:rFonts w:eastAsia="Times New Roman" w:cs="Arial"/>
          <w:snapToGrid/>
          <w:szCs w:val="22"/>
          <w:lang w:eastAsia="en-US"/>
        </w:rPr>
        <w:t xml:space="preserve"> scientifiques liées à l’océan qui visent à décrire l’état actuel et futur de ce milieu, en se penchant sur des aspects physiques, chimiques, écologiques, socioéconomiques et de gouvernance, avec en ligne de mire les sept résultats de la Décennie de l’Océan</w:t>
      </w:r>
      <w:r w:rsidR="001954CB">
        <w:rPr>
          <w:rFonts w:eastAsia="Times New Roman" w:cs="Arial"/>
          <w:snapToGrid/>
          <w:szCs w:val="22"/>
          <w:lang w:eastAsia="en-US"/>
        </w:rPr>
        <w:t xml:space="preserve">. </w:t>
      </w:r>
    </w:p>
    <w:p w14:paraId="58B9E033" w14:textId="61B509AE" w:rsidR="001954CB" w:rsidRDefault="001954CB" w:rsidP="00A612F8">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11.</w:t>
      </w:r>
      <w:r>
        <w:rPr>
          <w:rFonts w:eastAsia="Times New Roman" w:cs="Arial"/>
          <w:snapToGrid/>
          <w:szCs w:val="22"/>
          <w:lang w:eastAsia="en-US"/>
        </w:rPr>
        <w:tab/>
      </w:r>
      <w:r w:rsidRPr="001954CB">
        <w:rPr>
          <w:rFonts w:eastAsia="Times New Roman" w:cs="Arial"/>
          <w:snapToGrid/>
          <w:szCs w:val="22"/>
          <w:lang w:eastAsia="en-US"/>
        </w:rPr>
        <w:t xml:space="preserve">Les résultats de la Décennie de l’Océan représentent les principales caractéristiques de « l’océan que nous voulons » </w:t>
      </w:r>
      <w:r>
        <w:rPr>
          <w:rFonts w:eastAsia="Times New Roman" w:cs="Arial"/>
          <w:snapToGrid/>
          <w:szCs w:val="22"/>
          <w:lang w:eastAsia="en-US"/>
        </w:rPr>
        <w:t>au terme</w:t>
      </w:r>
      <w:r w:rsidRPr="001954CB">
        <w:rPr>
          <w:rFonts w:eastAsia="Times New Roman" w:cs="Arial"/>
          <w:snapToGrid/>
          <w:szCs w:val="22"/>
          <w:lang w:eastAsia="en-US"/>
        </w:rPr>
        <w:t xml:space="preserve"> de la Décennie</w:t>
      </w:r>
      <w:r>
        <w:rPr>
          <w:rFonts w:eastAsia="Times New Roman" w:cs="Arial"/>
          <w:snapToGrid/>
          <w:szCs w:val="22"/>
          <w:lang w:eastAsia="en-US"/>
        </w:rPr>
        <w:t>, en 2030,</w:t>
      </w:r>
      <w:r w:rsidRPr="001954CB">
        <w:rPr>
          <w:rFonts w:eastAsia="Times New Roman" w:cs="Arial"/>
          <w:snapToGrid/>
          <w:szCs w:val="22"/>
          <w:lang w:eastAsia="en-US"/>
        </w:rPr>
        <w:t xml:space="preserve"> et constituent donc le cadre idéal pour surveiller l’état de l’océan au cours de cette période.</w:t>
      </w:r>
      <w:r>
        <w:rPr>
          <w:rFonts w:eastAsia="Times New Roman" w:cs="Arial"/>
          <w:snapToGrid/>
          <w:szCs w:val="22"/>
          <w:lang w:eastAsia="en-US"/>
        </w:rPr>
        <w:t xml:space="preserve"> Le fait de s</w:t>
      </w:r>
      <w:r w:rsidRPr="001954CB">
        <w:rPr>
          <w:rFonts w:eastAsia="Times New Roman" w:cs="Arial"/>
          <w:snapToGrid/>
          <w:szCs w:val="22"/>
          <w:lang w:eastAsia="en-US"/>
        </w:rPr>
        <w:t xml:space="preserve">tructurer le rapport autour des résultats plutôt que des défis </w:t>
      </w:r>
      <w:r>
        <w:rPr>
          <w:rFonts w:eastAsia="Times New Roman" w:cs="Arial"/>
          <w:snapToGrid/>
          <w:szCs w:val="22"/>
          <w:lang w:eastAsia="en-US"/>
        </w:rPr>
        <w:t xml:space="preserve">de la Décennie </w:t>
      </w:r>
      <w:r w:rsidRPr="001954CB">
        <w:rPr>
          <w:rFonts w:eastAsia="Times New Roman" w:cs="Arial"/>
          <w:snapToGrid/>
          <w:szCs w:val="22"/>
          <w:lang w:eastAsia="en-US"/>
        </w:rPr>
        <w:t>devrait permettre d’améliorer l’assimilation des résultats présentés.</w:t>
      </w:r>
      <w:r>
        <w:rPr>
          <w:rFonts w:eastAsia="Times New Roman" w:cs="Arial"/>
          <w:snapToGrid/>
          <w:szCs w:val="22"/>
          <w:lang w:eastAsia="en-US"/>
        </w:rPr>
        <w:t xml:space="preserve"> Cela devrait également permettre de</w:t>
      </w:r>
      <w:r w:rsidRPr="001954CB">
        <w:rPr>
          <w:rFonts w:eastAsia="Times New Roman" w:cs="Arial"/>
          <w:snapToGrid/>
          <w:szCs w:val="22"/>
          <w:lang w:eastAsia="en-US"/>
        </w:rPr>
        <w:t xml:space="preserve"> compléter parfaitement les autres volets du cadre de suivi et d’évaluation de la Décennie de l’Océan, </w:t>
      </w:r>
      <w:r w:rsidR="001E19D4">
        <w:rPr>
          <w:rFonts w:eastAsia="Times New Roman" w:cs="Arial"/>
          <w:snapToGrid/>
          <w:szCs w:val="22"/>
          <w:lang w:eastAsia="en-US"/>
        </w:rPr>
        <w:t>lesquels sont axés</w:t>
      </w:r>
      <w:r w:rsidRPr="001954CB">
        <w:rPr>
          <w:rFonts w:eastAsia="Times New Roman" w:cs="Arial"/>
          <w:snapToGrid/>
          <w:szCs w:val="22"/>
          <w:lang w:eastAsia="en-US"/>
        </w:rPr>
        <w:t xml:space="preserve"> sur </w:t>
      </w:r>
      <w:r w:rsidR="001E19D4">
        <w:rPr>
          <w:rFonts w:eastAsia="Times New Roman" w:cs="Arial"/>
          <w:snapToGrid/>
          <w:szCs w:val="22"/>
          <w:lang w:eastAsia="en-US"/>
        </w:rPr>
        <w:t>d</w:t>
      </w:r>
      <w:r w:rsidRPr="001954CB">
        <w:rPr>
          <w:rFonts w:eastAsia="Times New Roman" w:cs="Arial"/>
          <w:snapToGrid/>
          <w:szCs w:val="22"/>
          <w:lang w:eastAsia="en-US"/>
        </w:rPr>
        <w:t xml:space="preserve">es </w:t>
      </w:r>
      <w:r w:rsidR="001E19D4">
        <w:rPr>
          <w:rFonts w:eastAsia="Times New Roman" w:cs="Arial"/>
          <w:snapToGrid/>
          <w:szCs w:val="22"/>
          <w:lang w:eastAsia="en-US"/>
        </w:rPr>
        <w:t>activités</w:t>
      </w:r>
      <w:r w:rsidRPr="001954CB">
        <w:rPr>
          <w:rFonts w:eastAsia="Times New Roman" w:cs="Arial"/>
          <w:snapToGrid/>
          <w:szCs w:val="22"/>
          <w:lang w:eastAsia="en-US"/>
        </w:rPr>
        <w:t xml:space="preserve"> orienté</w:t>
      </w:r>
      <w:r w:rsidR="001E19D4">
        <w:rPr>
          <w:rFonts w:eastAsia="Times New Roman" w:cs="Arial"/>
          <w:snapToGrid/>
          <w:szCs w:val="22"/>
          <w:lang w:eastAsia="en-US"/>
        </w:rPr>
        <w:t>e</w:t>
      </w:r>
      <w:r w:rsidRPr="001954CB">
        <w:rPr>
          <w:rFonts w:eastAsia="Times New Roman" w:cs="Arial"/>
          <w:snapToGrid/>
          <w:szCs w:val="22"/>
          <w:lang w:eastAsia="en-US"/>
        </w:rPr>
        <w:t xml:space="preserve">s vers l’action </w:t>
      </w:r>
      <w:r w:rsidR="001E19D4">
        <w:rPr>
          <w:rFonts w:eastAsia="Times New Roman" w:cs="Arial"/>
          <w:snapToGrid/>
          <w:szCs w:val="22"/>
          <w:lang w:eastAsia="en-US"/>
        </w:rPr>
        <w:t>et d’autres</w:t>
      </w:r>
      <w:r w:rsidRPr="001954CB">
        <w:rPr>
          <w:rFonts w:eastAsia="Times New Roman" w:cs="Arial"/>
          <w:snapToGrid/>
          <w:szCs w:val="22"/>
          <w:lang w:eastAsia="en-US"/>
        </w:rPr>
        <w:t xml:space="preserve"> éléments</w:t>
      </w:r>
      <w:r w:rsidR="001E19D4">
        <w:rPr>
          <w:rFonts w:eastAsia="Times New Roman" w:cs="Arial"/>
          <w:snapToGrid/>
          <w:szCs w:val="22"/>
          <w:lang w:eastAsia="en-US"/>
        </w:rPr>
        <w:t xml:space="preserve"> clés</w:t>
      </w:r>
      <w:r w:rsidRPr="001954CB">
        <w:rPr>
          <w:rFonts w:eastAsia="Times New Roman" w:cs="Arial"/>
          <w:snapToGrid/>
          <w:szCs w:val="22"/>
          <w:lang w:eastAsia="en-US"/>
        </w:rPr>
        <w:t xml:space="preserve"> </w:t>
      </w:r>
      <w:r w:rsidR="001E19D4">
        <w:rPr>
          <w:rFonts w:eastAsia="Times New Roman" w:cs="Arial"/>
          <w:snapToGrid/>
          <w:szCs w:val="22"/>
          <w:lang w:eastAsia="en-US"/>
        </w:rPr>
        <w:t xml:space="preserve">pour </w:t>
      </w:r>
      <w:r w:rsidRPr="001954CB">
        <w:rPr>
          <w:rFonts w:eastAsia="Times New Roman" w:cs="Arial"/>
          <w:snapToGrid/>
          <w:szCs w:val="22"/>
          <w:lang w:eastAsia="en-US"/>
        </w:rPr>
        <w:t xml:space="preserve">un environnement propice </w:t>
      </w:r>
      <w:r w:rsidR="001E19D4">
        <w:rPr>
          <w:rFonts w:eastAsia="Times New Roman" w:cs="Arial"/>
          <w:snapToGrid/>
          <w:szCs w:val="22"/>
          <w:lang w:eastAsia="en-US"/>
        </w:rPr>
        <w:t>dans le cadre de</w:t>
      </w:r>
      <w:r w:rsidRPr="001954CB">
        <w:rPr>
          <w:rFonts w:eastAsia="Times New Roman" w:cs="Arial"/>
          <w:snapToGrid/>
          <w:szCs w:val="22"/>
          <w:lang w:eastAsia="en-US"/>
        </w:rPr>
        <w:t xml:space="preserve"> la Décennie.</w:t>
      </w:r>
      <w:r w:rsidR="001E19D4" w:rsidRPr="001E19D4">
        <w:rPr>
          <w:color w:val="333333"/>
          <w:sz w:val="30"/>
          <w:szCs w:val="30"/>
          <w:shd w:val="clear" w:color="auto" w:fill="FFFFFF"/>
        </w:rPr>
        <w:t xml:space="preserve"> </w:t>
      </w:r>
      <w:r w:rsidR="001E19D4" w:rsidRPr="001E19D4">
        <w:rPr>
          <w:rFonts w:eastAsia="Times New Roman" w:cs="Arial"/>
          <w:snapToGrid/>
          <w:szCs w:val="22"/>
          <w:lang w:eastAsia="en-US"/>
        </w:rPr>
        <w:t>Même après la fin de la Décennie de l</w:t>
      </w:r>
      <w:r w:rsidR="001E19D4">
        <w:rPr>
          <w:rFonts w:eastAsia="Times New Roman" w:cs="Arial"/>
          <w:snapToGrid/>
          <w:szCs w:val="22"/>
          <w:lang w:eastAsia="en-US"/>
        </w:rPr>
        <w:t>’O</w:t>
      </w:r>
      <w:r w:rsidR="001E19D4" w:rsidRPr="001E19D4">
        <w:rPr>
          <w:rFonts w:eastAsia="Times New Roman" w:cs="Arial"/>
          <w:snapToGrid/>
          <w:szCs w:val="22"/>
          <w:lang w:eastAsia="en-US"/>
        </w:rPr>
        <w:t xml:space="preserve">céan, ses sept résultats représenteront des priorités générales et mondialement reconnues sur la voie du bien-être </w:t>
      </w:r>
      <w:r w:rsidR="001E19D4">
        <w:rPr>
          <w:rFonts w:eastAsia="Times New Roman" w:cs="Arial"/>
          <w:snapToGrid/>
          <w:szCs w:val="22"/>
          <w:lang w:eastAsia="en-US"/>
        </w:rPr>
        <w:t>de l’océan</w:t>
      </w:r>
      <w:r w:rsidR="001E19D4" w:rsidRPr="001E19D4">
        <w:rPr>
          <w:rFonts w:eastAsia="Times New Roman" w:cs="Arial"/>
          <w:snapToGrid/>
          <w:szCs w:val="22"/>
          <w:lang w:eastAsia="en-US"/>
        </w:rPr>
        <w:t>.</w:t>
      </w:r>
      <w:r w:rsidR="001E19D4">
        <w:rPr>
          <w:rFonts w:eastAsia="Times New Roman" w:cs="Arial"/>
          <w:snapToGrid/>
          <w:szCs w:val="22"/>
          <w:lang w:eastAsia="en-US"/>
        </w:rPr>
        <w:t xml:space="preserve"> </w:t>
      </w:r>
      <w:r w:rsidR="001E19D4" w:rsidRPr="001E19D4">
        <w:rPr>
          <w:rFonts w:eastAsia="Times New Roman" w:cs="Arial"/>
          <w:snapToGrid/>
          <w:szCs w:val="22"/>
          <w:lang w:eastAsia="en-US"/>
        </w:rPr>
        <w:t xml:space="preserve">Cela </w:t>
      </w:r>
      <w:r w:rsidR="001E19D4">
        <w:rPr>
          <w:rFonts w:eastAsia="Times New Roman" w:cs="Arial"/>
          <w:snapToGrid/>
          <w:szCs w:val="22"/>
          <w:lang w:eastAsia="en-US"/>
        </w:rPr>
        <w:t>permettra de faire en sorte</w:t>
      </w:r>
      <w:r w:rsidR="001E19D4" w:rsidRPr="001E19D4">
        <w:rPr>
          <w:rFonts w:eastAsia="Times New Roman" w:cs="Arial"/>
          <w:snapToGrid/>
          <w:szCs w:val="22"/>
          <w:lang w:eastAsia="en-US"/>
        </w:rPr>
        <w:t xml:space="preserve"> que </w:t>
      </w:r>
      <w:r w:rsidR="001E19D4">
        <w:rPr>
          <w:rFonts w:eastAsia="Times New Roman" w:cs="Arial"/>
          <w:snapToGrid/>
          <w:szCs w:val="22"/>
          <w:lang w:eastAsia="en-US"/>
        </w:rPr>
        <w:t>le Rapport</w:t>
      </w:r>
      <w:r w:rsidR="001E19D4" w:rsidRPr="001E19D4">
        <w:rPr>
          <w:rFonts w:eastAsia="Times New Roman" w:cs="Arial"/>
          <w:snapToGrid/>
          <w:szCs w:val="22"/>
          <w:lang w:eastAsia="en-US"/>
        </w:rPr>
        <w:t xml:space="preserve"> </w:t>
      </w:r>
      <w:r w:rsidR="001E19D4">
        <w:rPr>
          <w:rFonts w:eastAsia="Times New Roman" w:cs="Arial"/>
          <w:snapToGrid/>
          <w:szCs w:val="22"/>
          <w:lang w:eastAsia="en-US"/>
        </w:rPr>
        <w:t>propose</w:t>
      </w:r>
      <w:r w:rsidR="001E19D4" w:rsidRPr="001E19D4">
        <w:rPr>
          <w:rFonts w:eastAsia="Times New Roman" w:cs="Arial"/>
          <w:snapToGrid/>
          <w:szCs w:val="22"/>
          <w:lang w:eastAsia="en-US"/>
        </w:rPr>
        <w:t xml:space="preserve"> également une perspective à long terme</w:t>
      </w:r>
      <w:r w:rsidR="001E19D4">
        <w:rPr>
          <w:rFonts w:eastAsia="Times New Roman" w:cs="Arial"/>
          <w:snapToGrid/>
          <w:szCs w:val="22"/>
          <w:lang w:eastAsia="en-US"/>
        </w:rPr>
        <w:t>,</w:t>
      </w:r>
      <w:r w:rsidR="001E19D4" w:rsidRPr="001E19D4">
        <w:rPr>
          <w:rFonts w:eastAsia="Times New Roman" w:cs="Arial"/>
          <w:snapToGrid/>
          <w:szCs w:val="22"/>
          <w:lang w:eastAsia="en-US"/>
        </w:rPr>
        <w:t xml:space="preserve"> au-delà de la Décennie </w:t>
      </w:r>
      <w:r w:rsidR="001E19D4">
        <w:rPr>
          <w:rFonts w:eastAsia="Times New Roman" w:cs="Arial"/>
          <w:snapToGrid/>
          <w:szCs w:val="22"/>
          <w:lang w:eastAsia="en-US"/>
        </w:rPr>
        <w:t>de l’Océan</w:t>
      </w:r>
      <w:r w:rsidR="001E19D4" w:rsidRPr="001E19D4">
        <w:rPr>
          <w:rFonts w:eastAsia="Times New Roman" w:cs="Arial"/>
          <w:snapToGrid/>
          <w:szCs w:val="22"/>
          <w:lang w:eastAsia="en-US"/>
        </w:rPr>
        <w:t xml:space="preserve"> (2021-2030).</w:t>
      </w:r>
    </w:p>
    <w:p w14:paraId="551B8F0A" w14:textId="65E31C8B" w:rsidR="001E19D4" w:rsidRDefault="001E19D4" w:rsidP="00A612F8">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12.</w:t>
      </w:r>
      <w:r>
        <w:rPr>
          <w:rFonts w:eastAsia="Times New Roman" w:cs="Arial"/>
          <w:snapToGrid/>
          <w:szCs w:val="22"/>
          <w:lang w:eastAsia="en-US"/>
        </w:rPr>
        <w:tab/>
      </w:r>
      <w:r w:rsidR="00511D63" w:rsidRPr="00511D63">
        <w:rPr>
          <w:rFonts w:eastAsia="Times New Roman" w:cs="Arial"/>
          <w:snapToGrid/>
          <w:szCs w:val="22"/>
          <w:lang w:eastAsia="en-US"/>
        </w:rPr>
        <w:t xml:space="preserve">Le </w:t>
      </w:r>
      <w:r w:rsidR="00511D63">
        <w:rPr>
          <w:rFonts w:eastAsia="Times New Roman" w:cs="Arial"/>
          <w:snapToGrid/>
          <w:szCs w:val="22"/>
          <w:lang w:eastAsia="en-US"/>
        </w:rPr>
        <w:t>Rapport</w:t>
      </w:r>
      <w:r w:rsidR="00511D63" w:rsidRPr="00511D63">
        <w:rPr>
          <w:rFonts w:eastAsia="Times New Roman" w:cs="Arial"/>
          <w:snapToGrid/>
          <w:szCs w:val="22"/>
          <w:lang w:eastAsia="en-US"/>
        </w:rPr>
        <w:t xml:space="preserve"> </w:t>
      </w:r>
      <w:r w:rsidR="00511D63">
        <w:rPr>
          <w:rFonts w:eastAsia="Times New Roman" w:cs="Arial"/>
          <w:snapToGrid/>
          <w:szCs w:val="22"/>
          <w:lang w:eastAsia="en-US"/>
        </w:rPr>
        <w:t>s’adresse</w:t>
      </w:r>
      <w:r w:rsidR="00511D63" w:rsidRPr="00511D63">
        <w:rPr>
          <w:rFonts w:eastAsia="Times New Roman" w:cs="Arial"/>
          <w:snapToGrid/>
          <w:szCs w:val="22"/>
          <w:lang w:eastAsia="en-US"/>
        </w:rPr>
        <w:t xml:space="preserve"> donc principalement </w:t>
      </w:r>
      <w:r w:rsidR="00511D63">
        <w:rPr>
          <w:rFonts w:eastAsia="Times New Roman" w:cs="Arial"/>
          <w:snapToGrid/>
          <w:szCs w:val="22"/>
          <w:lang w:eastAsia="en-US"/>
        </w:rPr>
        <w:t>aux</w:t>
      </w:r>
      <w:r w:rsidR="00511D63" w:rsidRPr="00511D63">
        <w:rPr>
          <w:rFonts w:eastAsia="Times New Roman" w:cs="Arial"/>
          <w:snapToGrid/>
          <w:szCs w:val="22"/>
          <w:lang w:eastAsia="en-US"/>
        </w:rPr>
        <w:t xml:space="preserve"> </w:t>
      </w:r>
      <w:r w:rsidR="00511D63">
        <w:rPr>
          <w:rFonts w:eastAsia="Times New Roman" w:cs="Arial"/>
          <w:snapToGrid/>
          <w:szCs w:val="22"/>
          <w:lang w:eastAsia="en-US"/>
        </w:rPr>
        <w:t xml:space="preserve">décideurs et </w:t>
      </w:r>
      <w:r w:rsidR="00511D63" w:rsidRPr="00511D63">
        <w:rPr>
          <w:rFonts w:eastAsia="Times New Roman" w:cs="Arial"/>
          <w:snapToGrid/>
          <w:szCs w:val="22"/>
          <w:lang w:eastAsia="en-US"/>
        </w:rPr>
        <w:t xml:space="preserve">responsables </w:t>
      </w:r>
      <w:r w:rsidR="00511D63">
        <w:rPr>
          <w:rFonts w:eastAsia="Times New Roman" w:cs="Arial"/>
          <w:snapToGrid/>
          <w:szCs w:val="22"/>
          <w:lang w:eastAsia="en-US"/>
        </w:rPr>
        <w:t xml:space="preserve">de l’élaboration des </w:t>
      </w:r>
      <w:proofErr w:type="gramStart"/>
      <w:r w:rsidR="00511D63" w:rsidRPr="00511D63">
        <w:rPr>
          <w:rFonts w:eastAsia="Times New Roman" w:cs="Arial"/>
          <w:snapToGrid/>
          <w:szCs w:val="22"/>
          <w:lang w:eastAsia="en-US"/>
        </w:rPr>
        <w:t>politiques</w:t>
      </w:r>
      <w:proofErr w:type="gramEnd"/>
      <w:r w:rsidR="00511D63" w:rsidRPr="00511D63">
        <w:rPr>
          <w:rFonts w:eastAsia="Times New Roman" w:cs="Arial"/>
          <w:snapToGrid/>
          <w:szCs w:val="22"/>
          <w:lang w:eastAsia="en-US"/>
        </w:rPr>
        <w:t xml:space="preserve">, tout en </w:t>
      </w:r>
      <w:r w:rsidR="00511D63">
        <w:rPr>
          <w:rFonts w:eastAsia="Times New Roman" w:cs="Arial"/>
          <w:snapToGrid/>
          <w:szCs w:val="22"/>
          <w:lang w:eastAsia="en-US"/>
        </w:rPr>
        <w:t>constituant</w:t>
      </w:r>
      <w:r w:rsidR="00511D63" w:rsidRPr="00511D63">
        <w:rPr>
          <w:rFonts w:eastAsia="Times New Roman" w:cs="Arial"/>
          <w:snapToGrid/>
          <w:szCs w:val="22"/>
          <w:lang w:eastAsia="en-US"/>
        </w:rPr>
        <w:t xml:space="preserve"> une source potentielle d</w:t>
      </w:r>
      <w:r w:rsidR="00511D63">
        <w:rPr>
          <w:rFonts w:eastAsia="Times New Roman" w:cs="Arial"/>
          <w:snapToGrid/>
          <w:szCs w:val="22"/>
          <w:lang w:eastAsia="en-US"/>
        </w:rPr>
        <w:t>’</w:t>
      </w:r>
      <w:r w:rsidR="00511D63" w:rsidRPr="00511D63">
        <w:rPr>
          <w:rFonts w:eastAsia="Times New Roman" w:cs="Arial"/>
          <w:snapToGrid/>
          <w:szCs w:val="22"/>
          <w:lang w:eastAsia="en-US"/>
        </w:rPr>
        <w:t>informations sur l</w:t>
      </w:r>
      <w:r w:rsidR="00511D63">
        <w:rPr>
          <w:rFonts w:eastAsia="Times New Roman" w:cs="Arial"/>
          <w:snapToGrid/>
          <w:szCs w:val="22"/>
          <w:lang w:eastAsia="en-US"/>
        </w:rPr>
        <w:t>’</w:t>
      </w:r>
      <w:r w:rsidR="00511D63" w:rsidRPr="00511D63">
        <w:rPr>
          <w:rFonts w:eastAsia="Times New Roman" w:cs="Arial"/>
          <w:snapToGrid/>
          <w:szCs w:val="22"/>
          <w:lang w:eastAsia="en-US"/>
        </w:rPr>
        <w:t>état de l</w:t>
      </w:r>
      <w:r w:rsidR="00511D63">
        <w:rPr>
          <w:rFonts w:eastAsia="Times New Roman" w:cs="Arial"/>
          <w:snapToGrid/>
          <w:szCs w:val="22"/>
          <w:lang w:eastAsia="en-US"/>
        </w:rPr>
        <w:t>’</w:t>
      </w:r>
      <w:r w:rsidR="00511D63" w:rsidRPr="00511D63">
        <w:rPr>
          <w:rFonts w:eastAsia="Times New Roman" w:cs="Arial"/>
          <w:snapToGrid/>
          <w:szCs w:val="22"/>
          <w:lang w:eastAsia="en-US"/>
        </w:rPr>
        <w:t>océan pour les médias et le grand public.</w:t>
      </w:r>
    </w:p>
    <w:p w14:paraId="4F5C2658" w14:textId="6E16D84C" w:rsidR="00511D63" w:rsidRDefault="00511D63" w:rsidP="00A612F8">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13.</w:t>
      </w:r>
      <w:r>
        <w:rPr>
          <w:rFonts w:eastAsia="Times New Roman" w:cs="Arial"/>
          <w:snapToGrid/>
          <w:szCs w:val="22"/>
          <w:lang w:eastAsia="en-US"/>
        </w:rPr>
        <w:tab/>
      </w:r>
      <w:r w:rsidRPr="00511D63">
        <w:rPr>
          <w:rFonts w:eastAsia="Times New Roman" w:cs="Arial"/>
          <w:snapToGrid/>
          <w:szCs w:val="22"/>
          <w:lang w:eastAsia="en-US"/>
        </w:rPr>
        <w:t xml:space="preserve">La </w:t>
      </w:r>
      <w:r>
        <w:rPr>
          <w:rFonts w:eastAsia="Times New Roman" w:cs="Arial"/>
          <w:snapToGrid/>
          <w:szCs w:val="22"/>
          <w:lang w:eastAsia="en-US"/>
        </w:rPr>
        <w:t>plupart des différentes</w:t>
      </w:r>
      <w:r w:rsidRPr="00511D63">
        <w:rPr>
          <w:rFonts w:eastAsia="Times New Roman" w:cs="Arial"/>
          <w:snapToGrid/>
          <w:szCs w:val="22"/>
          <w:lang w:eastAsia="en-US"/>
        </w:rPr>
        <w:t xml:space="preserve"> </w:t>
      </w:r>
      <w:r>
        <w:rPr>
          <w:rFonts w:eastAsia="Times New Roman" w:cs="Arial"/>
          <w:snapToGrid/>
          <w:szCs w:val="22"/>
          <w:lang w:eastAsia="en-US"/>
        </w:rPr>
        <w:t>parties du Rapport</w:t>
      </w:r>
      <w:r w:rsidRPr="00511D63">
        <w:rPr>
          <w:rFonts w:eastAsia="Times New Roman" w:cs="Arial"/>
          <w:snapToGrid/>
          <w:szCs w:val="22"/>
          <w:lang w:eastAsia="en-US"/>
        </w:rPr>
        <w:t xml:space="preserve"> </w:t>
      </w:r>
      <w:r w:rsidR="00B3786B">
        <w:rPr>
          <w:rFonts w:eastAsia="Times New Roman" w:cs="Arial"/>
          <w:snapToGrid/>
          <w:szCs w:val="22"/>
          <w:lang w:eastAsia="en-US"/>
        </w:rPr>
        <w:t>proviendront de</w:t>
      </w:r>
      <w:r w:rsidRPr="00511D63">
        <w:rPr>
          <w:rFonts w:eastAsia="Times New Roman" w:cs="Arial"/>
          <w:snapToGrid/>
          <w:szCs w:val="22"/>
          <w:lang w:eastAsia="en-US"/>
        </w:rPr>
        <w:t xml:space="preserve"> groupes de travail </w:t>
      </w:r>
      <w:r w:rsidR="00B3786B" w:rsidRPr="00511D63">
        <w:rPr>
          <w:rFonts w:eastAsia="Times New Roman" w:cs="Arial"/>
          <w:snapToGrid/>
          <w:szCs w:val="22"/>
          <w:lang w:eastAsia="en-US"/>
        </w:rPr>
        <w:t>d</w:t>
      </w:r>
      <w:r w:rsidR="00B3786B">
        <w:rPr>
          <w:rFonts w:eastAsia="Times New Roman" w:cs="Arial"/>
          <w:snapToGrid/>
          <w:szCs w:val="22"/>
          <w:lang w:eastAsia="en-US"/>
        </w:rPr>
        <w:t>’</w:t>
      </w:r>
      <w:r w:rsidR="00B3786B" w:rsidRPr="00511D63">
        <w:rPr>
          <w:rFonts w:eastAsia="Times New Roman" w:cs="Arial"/>
          <w:snapToGrid/>
          <w:szCs w:val="22"/>
          <w:lang w:eastAsia="en-US"/>
        </w:rPr>
        <w:t xml:space="preserve">experts </w:t>
      </w:r>
      <w:r w:rsidRPr="00511D63">
        <w:rPr>
          <w:rFonts w:eastAsia="Times New Roman" w:cs="Arial"/>
          <w:snapToGrid/>
          <w:szCs w:val="22"/>
          <w:lang w:eastAsia="en-US"/>
        </w:rPr>
        <w:t xml:space="preserve">et </w:t>
      </w:r>
      <w:r w:rsidR="00B3786B">
        <w:rPr>
          <w:rFonts w:eastAsia="Times New Roman" w:cs="Arial"/>
          <w:snapToGrid/>
          <w:szCs w:val="22"/>
          <w:lang w:eastAsia="en-US"/>
        </w:rPr>
        <w:t xml:space="preserve">de </w:t>
      </w:r>
      <w:r w:rsidRPr="00511D63">
        <w:rPr>
          <w:rFonts w:eastAsia="Times New Roman" w:cs="Arial"/>
          <w:snapToGrid/>
          <w:szCs w:val="22"/>
          <w:lang w:eastAsia="en-US"/>
        </w:rPr>
        <w:t xml:space="preserve">projets de la COI, </w:t>
      </w:r>
      <w:r w:rsidR="00B3786B">
        <w:rPr>
          <w:rFonts w:eastAsia="Times New Roman" w:cs="Arial"/>
          <w:snapToGrid/>
          <w:szCs w:val="22"/>
          <w:lang w:eastAsia="en-US"/>
        </w:rPr>
        <w:t>d’</w:t>
      </w:r>
      <w:r w:rsidRPr="00511D63">
        <w:rPr>
          <w:rFonts w:eastAsia="Times New Roman" w:cs="Arial"/>
          <w:snapToGrid/>
          <w:szCs w:val="22"/>
          <w:lang w:eastAsia="en-US"/>
        </w:rPr>
        <w:t>activités affiliées à la COI</w:t>
      </w:r>
      <w:r w:rsidR="00B3786B">
        <w:rPr>
          <w:rFonts w:eastAsia="Times New Roman" w:cs="Arial"/>
          <w:snapToGrid/>
          <w:szCs w:val="22"/>
          <w:lang w:eastAsia="en-US"/>
        </w:rPr>
        <w:t xml:space="preserve"> et</w:t>
      </w:r>
      <w:r w:rsidRPr="00511D63">
        <w:rPr>
          <w:rFonts w:eastAsia="Times New Roman" w:cs="Arial"/>
          <w:snapToGrid/>
          <w:szCs w:val="22"/>
          <w:lang w:eastAsia="en-US"/>
        </w:rPr>
        <w:t xml:space="preserve"> de programmes de la Décennie de l</w:t>
      </w:r>
      <w:r w:rsidR="00B3786B">
        <w:rPr>
          <w:rFonts w:eastAsia="Times New Roman" w:cs="Arial"/>
          <w:snapToGrid/>
          <w:szCs w:val="22"/>
          <w:lang w:eastAsia="en-US"/>
        </w:rPr>
        <w:t>’O</w:t>
      </w:r>
      <w:r w:rsidRPr="00511D63">
        <w:rPr>
          <w:rFonts w:eastAsia="Times New Roman" w:cs="Arial"/>
          <w:snapToGrid/>
          <w:szCs w:val="22"/>
          <w:lang w:eastAsia="en-US"/>
        </w:rPr>
        <w:t xml:space="preserve">céan, </w:t>
      </w:r>
      <w:r w:rsidR="00B3786B">
        <w:rPr>
          <w:rFonts w:eastAsia="Times New Roman" w:cs="Arial"/>
          <w:snapToGrid/>
          <w:szCs w:val="22"/>
          <w:lang w:eastAsia="en-US"/>
        </w:rPr>
        <w:t>ainsi que</w:t>
      </w:r>
      <w:r w:rsidRPr="00511D63">
        <w:rPr>
          <w:rFonts w:eastAsia="Times New Roman" w:cs="Arial"/>
          <w:snapToGrid/>
          <w:szCs w:val="22"/>
          <w:lang w:eastAsia="en-US"/>
        </w:rPr>
        <w:t xml:space="preserve"> de collaborations avec d</w:t>
      </w:r>
      <w:r w:rsidR="00B3786B">
        <w:rPr>
          <w:rFonts w:eastAsia="Times New Roman" w:cs="Arial"/>
          <w:snapToGrid/>
          <w:szCs w:val="22"/>
          <w:lang w:eastAsia="en-US"/>
        </w:rPr>
        <w:t>’</w:t>
      </w:r>
      <w:r w:rsidRPr="00511D63">
        <w:rPr>
          <w:rFonts w:eastAsia="Times New Roman" w:cs="Arial"/>
          <w:snapToGrid/>
          <w:szCs w:val="22"/>
          <w:lang w:eastAsia="en-US"/>
        </w:rPr>
        <w:t xml:space="preserve">autres organisations internationales et </w:t>
      </w:r>
      <w:r w:rsidR="00B3786B">
        <w:rPr>
          <w:rFonts w:eastAsia="Times New Roman" w:cs="Arial"/>
          <w:snapToGrid/>
          <w:szCs w:val="22"/>
          <w:lang w:eastAsia="en-US"/>
        </w:rPr>
        <w:t xml:space="preserve">organismes </w:t>
      </w:r>
      <w:r w:rsidRPr="00511D63">
        <w:rPr>
          <w:rFonts w:eastAsia="Times New Roman" w:cs="Arial"/>
          <w:snapToGrid/>
          <w:szCs w:val="22"/>
          <w:lang w:eastAsia="en-US"/>
        </w:rPr>
        <w:t>des Nations Unies.</w:t>
      </w:r>
    </w:p>
    <w:p w14:paraId="4B4FD5F8" w14:textId="17E0C10A" w:rsidR="001A789E" w:rsidRPr="001A789E" w:rsidRDefault="009B16C3" w:rsidP="001A789E">
      <w:pPr>
        <w:tabs>
          <w:tab w:val="clear" w:pos="567"/>
        </w:tabs>
        <w:snapToGrid/>
        <w:spacing w:after="240"/>
        <w:jc w:val="both"/>
        <w:textAlignment w:val="baseline"/>
        <w:rPr>
          <w:rFonts w:asciiTheme="minorBidi" w:eastAsia="Times New Roman" w:hAnsiTheme="minorBidi" w:cstheme="minorBidi"/>
          <w:snapToGrid/>
          <w:color w:val="000000"/>
          <w:szCs w:val="22"/>
          <w:lang w:eastAsia="en-US"/>
        </w:rPr>
      </w:pPr>
      <w:r>
        <w:rPr>
          <w:rFonts w:asciiTheme="minorBidi" w:eastAsia="Times New Roman" w:hAnsiTheme="minorBidi" w:cstheme="minorBidi"/>
          <w:snapToGrid/>
          <w:color w:val="000000"/>
          <w:szCs w:val="22"/>
          <w:lang w:eastAsia="en-US"/>
        </w:rPr>
        <w:t>14</w:t>
      </w:r>
      <w:r w:rsidR="001A789E" w:rsidRPr="001A789E">
        <w:rPr>
          <w:rFonts w:asciiTheme="minorBidi" w:eastAsia="Times New Roman" w:hAnsiTheme="minorBidi" w:cstheme="minorBidi"/>
          <w:snapToGrid/>
          <w:color w:val="000000"/>
          <w:szCs w:val="22"/>
          <w:lang w:eastAsia="en-US"/>
        </w:rPr>
        <w:t>.</w:t>
      </w:r>
      <w:r w:rsidR="001A789E" w:rsidRPr="001A789E">
        <w:rPr>
          <w:rFonts w:asciiTheme="minorBidi" w:eastAsia="Times New Roman" w:hAnsiTheme="minorBidi" w:cstheme="minorBidi"/>
          <w:snapToGrid/>
          <w:color w:val="000000"/>
          <w:szCs w:val="22"/>
          <w:lang w:eastAsia="en-US"/>
        </w:rPr>
        <w:tab/>
        <w:t xml:space="preserve">Il existe déjà plusieurs publications connexes entièrement consacrées à l’océan ou contenant des chapitres sur des thématiques liées à l’océan, qui informent le grand public, les décideurs et les autres acteurs du secteur maritime sur l’importance de ce milieu, telles que l’Évaluation mondiale des océans des Nations Unies, le rapport de l’Organisation météorologique mondiale (OMM) intitulé « État du climat mondial », la Plateforme intergouvernementale scientifique et politique sur la biodiversité et les services écosystémiques (IPBES), le rapport de l’Organisation des Nations Unies pour l’alimentation et l’agriculture (FAO) intitulé « La situation mondiale des pêches et de l’aquaculture » (Sofia, 2022), les rapports du Groupe d’experts intergouvernemental sur l’évolution du climat (GIEC) et le rapport de l’American </w:t>
      </w:r>
      <w:proofErr w:type="spellStart"/>
      <w:r w:rsidR="001A789E" w:rsidRPr="001A789E">
        <w:rPr>
          <w:rFonts w:asciiTheme="minorBidi" w:eastAsia="Times New Roman" w:hAnsiTheme="minorBidi" w:cstheme="minorBidi"/>
          <w:snapToGrid/>
          <w:color w:val="000000"/>
          <w:szCs w:val="22"/>
          <w:lang w:eastAsia="en-US"/>
        </w:rPr>
        <w:t>Meteorological</w:t>
      </w:r>
      <w:proofErr w:type="spellEnd"/>
      <w:r w:rsidR="001A789E" w:rsidRPr="001A789E">
        <w:rPr>
          <w:rFonts w:asciiTheme="minorBidi" w:eastAsia="Times New Roman" w:hAnsiTheme="minorBidi" w:cstheme="minorBidi"/>
          <w:snapToGrid/>
          <w:color w:val="000000"/>
          <w:szCs w:val="22"/>
          <w:lang w:eastAsia="en-US"/>
        </w:rPr>
        <w:t xml:space="preserve"> Society (AMS) sur l’état du climat, entre autres. </w:t>
      </w:r>
    </w:p>
    <w:p w14:paraId="50D06B3A" w14:textId="36FA2B47" w:rsidR="001A789E" w:rsidRPr="001A789E" w:rsidRDefault="009B16C3" w:rsidP="001A789E">
      <w:pPr>
        <w:tabs>
          <w:tab w:val="clear" w:pos="567"/>
        </w:tabs>
        <w:snapToGrid/>
        <w:spacing w:after="240"/>
        <w:jc w:val="both"/>
        <w:textAlignment w:val="baseline"/>
        <w:rPr>
          <w:rFonts w:asciiTheme="minorBidi" w:eastAsia="Times New Roman" w:hAnsiTheme="minorBidi" w:cstheme="minorBidi"/>
          <w:snapToGrid/>
          <w:color w:val="000000"/>
          <w:szCs w:val="22"/>
          <w:lang w:eastAsia="en-US"/>
        </w:rPr>
      </w:pPr>
      <w:r>
        <w:rPr>
          <w:rFonts w:asciiTheme="minorBidi" w:eastAsia="Times New Roman" w:hAnsiTheme="minorBidi" w:cstheme="minorBidi"/>
          <w:snapToGrid/>
          <w:color w:val="000000"/>
          <w:szCs w:val="22"/>
          <w:lang w:eastAsia="en-US"/>
        </w:rPr>
        <w:lastRenderedPageBreak/>
        <w:t>15</w:t>
      </w:r>
      <w:r w:rsidR="001A789E" w:rsidRPr="001A789E">
        <w:rPr>
          <w:rFonts w:asciiTheme="minorBidi" w:eastAsia="Times New Roman" w:hAnsiTheme="minorBidi" w:cstheme="minorBidi"/>
          <w:snapToGrid/>
          <w:color w:val="000000"/>
          <w:szCs w:val="22"/>
          <w:lang w:eastAsia="en-US"/>
        </w:rPr>
        <w:t>.</w:t>
      </w:r>
      <w:r w:rsidR="001A789E" w:rsidRPr="001A789E">
        <w:rPr>
          <w:rFonts w:asciiTheme="minorBidi" w:eastAsia="Times New Roman" w:hAnsiTheme="minorBidi" w:cstheme="minorBidi"/>
          <w:snapToGrid/>
          <w:color w:val="000000"/>
          <w:szCs w:val="22"/>
          <w:lang w:eastAsia="en-US"/>
        </w:rPr>
        <w:tab/>
        <w:t xml:space="preserve">L’élaboration du Rapport sur l’état de l’océan est guidée par un Comité consultatif, dont le mandat est le suivant (annexe à la décision A-32/4.2) :  </w:t>
      </w:r>
    </w:p>
    <w:p w14:paraId="66AE6BA1" w14:textId="77777777" w:rsidR="001A789E" w:rsidRPr="001A789E" w:rsidRDefault="001A789E" w:rsidP="00EF3A55">
      <w:pPr>
        <w:numPr>
          <w:ilvl w:val="0"/>
          <w:numId w:val="34"/>
        </w:numPr>
        <w:tabs>
          <w:tab w:val="clear" w:pos="567"/>
        </w:tabs>
        <w:snapToGrid/>
        <w:spacing w:after="120"/>
        <w:ind w:left="993" w:hanging="426"/>
        <w:jc w:val="both"/>
        <w:textAlignment w:val="baseline"/>
        <w:rPr>
          <w:rFonts w:asciiTheme="minorBidi" w:eastAsia="Times New Roman" w:hAnsiTheme="minorBidi" w:cstheme="minorBidi"/>
          <w:i/>
          <w:iCs/>
          <w:snapToGrid/>
          <w:color w:val="000000"/>
          <w:szCs w:val="22"/>
          <w:lang w:eastAsia="en-US"/>
        </w:rPr>
      </w:pPr>
      <w:r w:rsidRPr="001A789E">
        <w:rPr>
          <w:rFonts w:asciiTheme="minorBidi" w:eastAsia="Times New Roman" w:hAnsiTheme="minorBidi" w:cstheme="minorBidi"/>
          <w:i/>
          <w:iCs/>
          <w:snapToGrid/>
          <w:color w:val="000000"/>
          <w:szCs w:val="22"/>
          <w:lang w:eastAsia="en-US"/>
        </w:rPr>
        <w:t>Guider l’évolution continue de la note conceptuelle sur le Rapport sur l’état de l’océan afin d’affiner l’objet, la fréquence, la portée et le public cible du Rapport ainsi que son niveau de conformité avec les autres rapports d’évaluation des Nations Unies.</w:t>
      </w:r>
    </w:p>
    <w:p w14:paraId="4C63FE57" w14:textId="77777777" w:rsidR="001A789E" w:rsidRPr="001A789E" w:rsidRDefault="001A789E" w:rsidP="00EF3A55">
      <w:pPr>
        <w:numPr>
          <w:ilvl w:val="0"/>
          <w:numId w:val="34"/>
        </w:numPr>
        <w:tabs>
          <w:tab w:val="clear" w:pos="567"/>
        </w:tabs>
        <w:snapToGrid/>
        <w:spacing w:after="120"/>
        <w:ind w:left="993" w:hanging="426"/>
        <w:jc w:val="both"/>
        <w:textAlignment w:val="baseline"/>
        <w:rPr>
          <w:rFonts w:asciiTheme="minorBidi" w:eastAsia="Times New Roman" w:hAnsiTheme="minorBidi" w:cstheme="minorBidi"/>
          <w:i/>
          <w:iCs/>
          <w:snapToGrid/>
          <w:color w:val="000000"/>
          <w:szCs w:val="22"/>
          <w:lang w:eastAsia="en-US"/>
        </w:rPr>
      </w:pPr>
      <w:r w:rsidRPr="001A789E">
        <w:rPr>
          <w:rFonts w:asciiTheme="minorBidi" w:eastAsia="Times New Roman" w:hAnsiTheme="minorBidi" w:cstheme="minorBidi"/>
          <w:i/>
          <w:iCs/>
          <w:snapToGrid/>
          <w:color w:val="000000"/>
          <w:szCs w:val="22"/>
          <w:lang w:eastAsia="en-US"/>
        </w:rPr>
        <w:t>Fournir des conseils au Secrétariat pour appuyer la production du Rapport sur l’état de l’océan, notamment :</w:t>
      </w:r>
    </w:p>
    <w:p w14:paraId="33213D4D" w14:textId="77777777" w:rsidR="001A789E" w:rsidRPr="001A789E" w:rsidRDefault="001A789E" w:rsidP="00EF3A55">
      <w:pPr>
        <w:numPr>
          <w:ilvl w:val="1"/>
          <w:numId w:val="35"/>
        </w:numPr>
        <w:tabs>
          <w:tab w:val="clear" w:pos="567"/>
        </w:tabs>
        <w:snapToGrid/>
        <w:spacing w:after="120"/>
        <w:ind w:left="1560" w:hanging="567"/>
        <w:jc w:val="both"/>
        <w:textAlignment w:val="baseline"/>
        <w:rPr>
          <w:rFonts w:asciiTheme="minorBidi" w:eastAsia="Times New Roman" w:hAnsiTheme="minorBidi" w:cstheme="minorBidi"/>
          <w:i/>
          <w:iCs/>
          <w:snapToGrid/>
          <w:color w:val="000000"/>
          <w:szCs w:val="22"/>
          <w:lang w:eastAsia="en-US"/>
        </w:rPr>
      </w:pPr>
      <w:proofErr w:type="gramStart"/>
      <w:r w:rsidRPr="001A789E">
        <w:rPr>
          <w:rFonts w:asciiTheme="minorBidi" w:eastAsia="Times New Roman" w:hAnsiTheme="minorBidi" w:cstheme="minorBidi"/>
          <w:i/>
          <w:iCs/>
          <w:snapToGrid/>
          <w:color w:val="000000"/>
          <w:szCs w:val="22"/>
          <w:lang w:eastAsia="en-US"/>
        </w:rPr>
        <w:t>définir</w:t>
      </w:r>
      <w:proofErr w:type="gramEnd"/>
      <w:r w:rsidRPr="001A789E">
        <w:rPr>
          <w:rFonts w:asciiTheme="minorBidi" w:eastAsia="Times New Roman" w:hAnsiTheme="minorBidi" w:cstheme="minorBidi"/>
          <w:i/>
          <w:iCs/>
          <w:snapToGrid/>
          <w:color w:val="000000"/>
          <w:szCs w:val="22"/>
          <w:lang w:eastAsia="en-US"/>
        </w:rPr>
        <w:t xml:space="preserve"> des thèmes pertinents pour les différents résultats de la Décennie de l’Océan, </w:t>
      </w:r>
    </w:p>
    <w:p w14:paraId="1D3989D1" w14:textId="77777777" w:rsidR="001A789E" w:rsidRPr="001A789E" w:rsidRDefault="001A789E" w:rsidP="00EF3A55">
      <w:pPr>
        <w:numPr>
          <w:ilvl w:val="1"/>
          <w:numId w:val="35"/>
        </w:numPr>
        <w:tabs>
          <w:tab w:val="clear" w:pos="567"/>
        </w:tabs>
        <w:snapToGrid/>
        <w:spacing w:after="120"/>
        <w:ind w:left="1560" w:hanging="567"/>
        <w:jc w:val="both"/>
        <w:textAlignment w:val="baseline"/>
        <w:rPr>
          <w:rFonts w:asciiTheme="minorBidi" w:eastAsia="Times New Roman" w:hAnsiTheme="minorBidi" w:cstheme="minorBidi"/>
          <w:i/>
          <w:iCs/>
          <w:snapToGrid/>
          <w:color w:val="000000"/>
          <w:szCs w:val="22"/>
          <w:lang w:eastAsia="en-US"/>
        </w:rPr>
      </w:pPr>
      <w:proofErr w:type="gramStart"/>
      <w:r w:rsidRPr="001A789E">
        <w:rPr>
          <w:rFonts w:asciiTheme="minorBidi" w:eastAsia="Times New Roman" w:hAnsiTheme="minorBidi" w:cstheme="minorBidi"/>
          <w:i/>
          <w:iCs/>
          <w:snapToGrid/>
          <w:color w:val="000000"/>
          <w:szCs w:val="22"/>
          <w:lang w:eastAsia="en-US"/>
        </w:rPr>
        <w:t>définir</w:t>
      </w:r>
      <w:proofErr w:type="gramEnd"/>
      <w:r w:rsidRPr="001A789E">
        <w:rPr>
          <w:rFonts w:asciiTheme="minorBidi" w:eastAsia="Times New Roman" w:hAnsiTheme="minorBidi" w:cstheme="minorBidi"/>
          <w:i/>
          <w:iCs/>
          <w:snapToGrid/>
          <w:color w:val="000000"/>
          <w:szCs w:val="22"/>
          <w:lang w:eastAsia="en-US"/>
        </w:rPr>
        <w:t xml:space="preserve"> les thématiques des différentes sections,</w:t>
      </w:r>
    </w:p>
    <w:p w14:paraId="4368DE68" w14:textId="77777777" w:rsidR="001A789E" w:rsidRPr="001A789E" w:rsidRDefault="001A789E" w:rsidP="00EF3A55">
      <w:pPr>
        <w:numPr>
          <w:ilvl w:val="1"/>
          <w:numId w:val="35"/>
        </w:numPr>
        <w:tabs>
          <w:tab w:val="clear" w:pos="567"/>
        </w:tabs>
        <w:snapToGrid/>
        <w:spacing w:after="120"/>
        <w:ind w:left="1560" w:hanging="567"/>
        <w:jc w:val="both"/>
        <w:textAlignment w:val="baseline"/>
        <w:rPr>
          <w:rFonts w:asciiTheme="minorBidi" w:eastAsia="Times New Roman" w:hAnsiTheme="minorBidi" w:cstheme="minorBidi"/>
          <w:i/>
          <w:iCs/>
          <w:snapToGrid/>
          <w:color w:val="000000"/>
          <w:szCs w:val="22"/>
          <w:lang w:eastAsia="en-US"/>
        </w:rPr>
      </w:pPr>
      <w:proofErr w:type="gramStart"/>
      <w:r w:rsidRPr="001A789E">
        <w:rPr>
          <w:rFonts w:asciiTheme="minorBidi" w:eastAsia="Times New Roman" w:hAnsiTheme="minorBidi" w:cstheme="minorBidi"/>
          <w:i/>
          <w:iCs/>
          <w:snapToGrid/>
          <w:color w:val="000000"/>
          <w:szCs w:val="22"/>
          <w:lang w:eastAsia="en-US"/>
        </w:rPr>
        <w:t>désigner</w:t>
      </w:r>
      <w:proofErr w:type="gramEnd"/>
      <w:r w:rsidRPr="001A789E">
        <w:rPr>
          <w:rFonts w:asciiTheme="minorBidi" w:eastAsia="Times New Roman" w:hAnsiTheme="minorBidi" w:cstheme="minorBidi"/>
          <w:i/>
          <w:iCs/>
          <w:snapToGrid/>
          <w:color w:val="000000"/>
          <w:szCs w:val="22"/>
          <w:lang w:eastAsia="en-US"/>
        </w:rPr>
        <w:t>, pour chaque section, des auteurs et des relecteurs présentant une diversité sur le plan de l’expertise, du sexe, de la représentation géographique, du statut professionnel et de l’appartenance aux peuples autochtones et autres communautés côtières.</w:t>
      </w:r>
    </w:p>
    <w:p w14:paraId="29292090" w14:textId="77777777" w:rsidR="001A789E" w:rsidRPr="001A789E" w:rsidRDefault="001A789E" w:rsidP="00EF3A55">
      <w:pPr>
        <w:numPr>
          <w:ilvl w:val="0"/>
          <w:numId w:val="34"/>
        </w:numPr>
        <w:tabs>
          <w:tab w:val="clear" w:pos="567"/>
        </w:tabs>
        <w:snapToGrid/>
        <w:spacing w:after="240"/>
        <w:ind w:left="993" w:hanging="415"/>
        <w:jc w:val="both"/>
        <w:textAlignment w:val="baseline"/>
        <w:rPr>
          <w:rFonts w:asciiTheme="minorBidi" w:eastAsia="Times New Roman" w:hAnsiTheme="minorBidi" w:cstheme="minorBidi"/>
          <w:i/>
          <w:iCs/>
          <w:snapToGrid/>
          <w:color w:val="000000"/>
          <w:szCs w:val="22"/>
          <w:lang w:eastAsia="en-US"/>
        </w:rPr>
      </w:pPr>
      <w:r w:rsidRPr="001A789E">
        <w:rPr>
          <w:rFonts w:asciiTheme="minorBidi" w:eastAsia="Times New Roman" w:hAnsiTheme="minorBidi" w:cstheme="minorBidi"/>
          <w:i/>
          <w:iCs/>
          <w:snapToGrid/>
          <w:color w:val="000000"/>
          <w:szCs w:val="22"/>
          <w:lang w:eastAsia="en-US"/>
        </w:rPr>
        <w:t>Présenter régulièrement aux organes directeurs de la COI des rapports sur le concept et la production du Rapport sur l’état de l'océan.</w:t>
      </w:r>
    </w:p>
    <w:p w14:paraId="29D2F38E" w14:textId="54AFDFCB" w:rsidR="001A789E" w:rsidRPr="001A789E" w:rsidRDefault="009B16C3" w:rsidP="001A789E">
      <w:pPr>
        <w:tabs>
          <w:tab w:val="clear" w:pos="567"/>
        </w:tabs>
        <w:snapToGrid/>
        <w:spacing w:after="240"/>
        <w:jc w:val="both"/>
        <w:textAlignment w:val="baseline"/>
        <w:rPr>
          <w:rFonts w:asciiTheme="minorBidi" w:eastAsia="Times New Roman" w:hAnsiTheme="minorBidi" w:cstheme="minorBidi"/>
          <w:snapToGrid/>
          <w:color w:val="000000"/>
          <w:szCs w:val="22"/>
          <w:lang w:eastAsia="en-US"/>
        </w:rPr>
      </w:pPr>
      <w:r>
        <w:rPr>
          <w:rFonts w:asciiTheme="minorBidi" w:eastAsia="Times New Roman" w:hAnsiTheme="minorBidi" w:cstheme="minorBidi"/>
          <w:snapToGrid/>
          <w:color w:val="000000"/>
          <w:szCs w:val="22"/>
          <w:lang w:eastAsia="en-US"/>
        </w:rPr>
        <w:t>16</w:t>
      </w:r>
      <w:r w:rsidR="001A789E" w:rsidRPr="001A789E">
        <w:rPr>
          <w:rFonts w:asciiTheme="minorBidi" w:eastAsia="Times New Roman" w:hAnsiTheme="minorBidi" w:cstheme="minorBidi"/>
          <w:snapToGrid/>
          <w:color w:val="000000"/>
          <w:szCs w:val="22"/>
          <w:lang w:eastAsia="en-US"/>
        </w:rPr>
        <w:t>.</w:t>
      </w:r>
      <w:r w:rsidR="001A789E" w:rsidRPr="001A789E">
        <w:rPr>
          <w:rFonts w:asciiTheme="minorBidi" w:eastAsia="Times New Roman" w:hAnsiTheme="minorBidi" w:cstheme="minorBidi"/>
          <w:snapToGrid/>
          <w:color w:val="000000"/>
          <w:szCs w:val="22"/>
          <w:lang w:eastAsia="en-US"/>
        </w:rPr>
        <w:tab/>
        <w:t>Le Rapport sur l’état de l’océan devrait être publié régulièrement (tous les deux ans, en fonction des ressources financières et humaines disponibles).</w:t>
      </w:r>
    </w:p>
    <w:p w14:paraId="1CD64DC1" w14:textId="5229B86F" w:rsidR="001A789E" w:rsidRPr="001A789E" w:rsidRDefault="009B16C3" w:rsidP="001A789E">
      <w:pPr>
        <w:tabs>
          <w:tab w:val="clear" w:pos="567"/>
        </w:tabs>
        <w:snapToGrid/>
        <w:spacing w:after="240"/>
        <w:jc w:val="both"/>
        <w:textAlignment w:val="baseline"/>
        <w:rPr>
          <w:rFonts w:asciiTheme="minorBidi" w:eastAsia="Times New Roman" w:hAnsiTheme="minorBidi" w:cstheme="minorBidi"/>
          <w:snapToGrid/>
          <w:color w:val="000000"/>
          <w:szCs w:val="22"/>
          <w:lang w:eastAsia="en-US"/>
        </w:rPr>
      </w:pPr>
      <w:r>
        <w:rPr>
          <w:rFonts w:asciiTheme="minorBidi" w:eastAsia="Times New Roman" w:hAnsiTheme="minorBidi" w:cstheme="minorBidi"/>
          <w:snapToGrid/>
          <w:color w:val="000000"/>
          <w:szCs w:val="22"/>
          <w:lang w:eastAsia="en-US"/>
        </w:rPr>
        <w:t>17</w:t>
      </w:r>
      <w:r w:rsidR="001A789E" w:rsidRPr="001A789E">
        <w:rPr>
          <w:rFonts w:asciiTheme="minorBidi" w:eastAsia="Times New Roman" w:hAnsiTheme="minorBidi" w:cstheme="minorBidi"/>
          <w:snapToGrid/>
          <w:color w:val="000000"/>
          <w:szCs w:val="22"/>
          <w:lang w:eastAsia="en-US"/>
        </w:rPr>
        <w:t>.</w:t>
      </w:r>
      <w:r w:rsidR="001A789E" w:rsidRPr="001A789E">
        <w:rPr>
          <w:rFonts w:asciiTheme="minorBidi" w:eastAsia="Times New Roman" w:hAnsiTheme="minorBidi" w:cstheme="minorBidi"/>
          <w:snapToGrid/>
          <w:color w:val="000000"/>
          <w:szCs w:val="22"/>
          <w:lang w:eastAsia="en-US"/>
        </w:rPr>
        <w:tab/>
        <w:t>Chaque édition comportera plusieurs sections évoquant des thématiques qui font l’objet d’évaluations mondiales liées à chaque résultat de la Décennie de l’Océan.</w:t>
      </w:r>
    </w:p>
    <w:p w14:paraId="64719D4F" w14:textId="6FAC4C95" w:rsidR="001A789E" w:rsidRPr="001A789E" w:rsidRDefault="009B16C3" w:rsidP="001A789E">
      <w:pPr>
        <w:tabs>
          <w:tab w:val="clear" w:pos="567"/>
        </w:tabs>
        <w:snapToGrid/>
        <w:spacing w:after="240"/>
        <w:jc w:val="both"/>
        <w:textAlignment w:val="baseline"/>
        <w:rPr>
          <w:rFonts w:asciiTheme="minorBidi" w:eastAsia="Times New Roman" w:hAnsiTheme="minorBidi" w:cstheme="minorBidi"/>
          <w:snapToGrid/>
          <w:color w:val="000000"/>
          <w:szCs w:val="22"/>
          <w:lang w:eastAsia="en-US"/>
        </w:rPr>
      </w:pPr>
      <w:r>
        <w:rPr>
          <w:rFonts w:asciiTheme="minorBidi" w:eastAsia="Times New Roman" w:hAnsiTheme="minorBidi" w:cstheme="minorBidi"/>
          <w:snapToGrid/>
          <w:color w:val="000000"/>
          <w:szCs w:val="22"/>
          <w:lang w:eastAsia="en-US"/>
        </w:rPr>
        <w:t>18</w:t>
      </w:r>
      <w:r w:rsidR="001A789E" w:rsidRPr="001A789E">
        <w:rPr>
          <w:rFonts w:asciiTheme="minorBidi" w:eastAsia="Times New Roman" w:hAnsiTheme="minorBidi" w:cstheme="minorBidi"/>
          <w:snapToGrid/>
          <w:color w:val="000000"/>
          <w:szCs w:val="22"/>
          <w:lang w:eastAsia="en-US"/>
        </w:rPr>
        <w:t>.</w:t>
      </w:r>
      <w:r w:rsidR="001A789E" w:rsidRPr="001A789E">
        <w:rPr>
          <w:rFonts w:asciiTheme="minorBidi" w:eastAsia="Times New Roman" w:hAnsiTheme="minorBidi" w:cstheme="minorBidi"/>
          <w:snapToGrid/>
          <w:color w:val="000000"/>
          <w:szCs w:val="22"/>
          <w:lang w:eastAsia="en-US"/>
        </w:rPr>
        <w:tab/>
        <w:t xml:space="preserve">Les éditions du Rapport seront exhaustives mais concises et contiendront entre deux et cinq sections par résultat de la Décennie. Une section consiste en une brève description narrative d’un ou de plusieurs paramètres liés au résultat de la Décennie correspondant. </w:t>
      </w:r>
    </w:p>
    <w:p w14:paraId="75ACC260" w14:textId="1EFC0F19" w:rsidR="001A789E" w:rsidRPr="001A789E" w:rsidRDefault="009B16C3" w:rsidP="001A789E">
      <w:pPr>
        <w:tabs>
          <w:tab w:val="clear" w:pos="567"/>
        </w:tabs>
        <w:snapToGrid/>
        <w:spacing w:after="240"/>
        <w:jc w:val="both"/>
        <w:textAlignment w:val="baseline"/>
        <w:rPr>
          <w:rFonts w:asciiTheme="minorBidi" w:eastAsia="Times New Roman" w:hAnsiTheme="minorBidi" w:cstheme="minorBidi"/>
          <w:snapToGrid/>
          <w:color w:val="000000"/>
          <w:szCs w:val="22"/>
          <w:lang w:eastAsia="en-US"/>
        </w:rPr>
      </w:pPr>
      <w:r>
        <w:rPr>
          <w:rFonts w:asciiTheme="minorBidi" w:eastAsia="Times New Roman" w:hAnsiTheme="minorBidi" w:cstheme="minorBidi"/>
          <w:snapToGrid/>
          <w:color w:val="000000"/>
          <w:szCs w:val="22"/>
          <w:lang w:eastAsia="en-US"/>
        </w:rPr>
        <w:t>19</w:t>
      </w:r>
      <w:r w:rsidR="001A789E" w:rsidRPr="001A789E">
        <w:rPr>
          <w:rFonts w:asciiTheme="minorBidi" w:eastAsia="Times New Roman" w:hAnsiTheme="minorBidi" w:cstheme="minorBidi"/>
          <w:snapToGrid/>
          <w:color w:val="000000"/>
          <w:szCs w:val="22"/>
          <w:lang w:eastAsia="en-US"/>
        </w:rPr>
        <w:t>.</w:t>
      </w:r>
      <w:r w:rsidR="001A789E" w:rsidRPr="001A789E">
        <w:rPr>
          <w:rFonts w:asciiTheme="minorBidi" w:eastAsia="Times New Roman" w:hAnsiTheme="minorBidi" w:cstheme="minorBidi"/>
          <w:snapToGrid/>
          <w:color w:val="000000"/>
          <w:szCs w:val="22"/>
          <w:lang w:eastAsia="en-US"/>
        </w:rPr>
        <w:tab/>
        <w:t xml:space="preserve">Le Comité consultatif et l’examen par les États membres guideront la sélection des sujets et des auteurs de chaque section. Les auteurs principaux sont invités à combler les lacunes de la rédaction en termes de diversité sur le plan de l’expertise, du sexe, de la représentation géographique, du statut professionnel et de l’appartenance aux peuples autochtones et autres communautés côtières, le cas échéant.  </w:t>
      </w:r>
    </w:p>
    <w:p w14:paraId="7FA9E58A" w14:textId="01ED77FB" w:rsidR="001A789E" w:rsidRPr="001A789E" w:rsidRDefault="001A789E" w:rsidP="001A789E">
      <w:pPr>
        <w:tabs>
          <w:tab w:val="clear" w:pos="567"/>
        </w:tabs>
        <w:snapToGrid/>
        <w:spacing w:after="240"/>
        <w:jc w:val="both"/>
        <w:textAlignment w:val="baseline"/>
        <w:rPr>
          <w:rFonts w:asciiTheme="minorBidi" w:eastAsia="Times New Roman" w:hAnsiTheme="minorBidi" w:cstheme="minorBidi"/>
          <w:snapToGrid/>
          <w:color w:val="000000"/>
          <w:szCs w:val="22"/>
          <w:lang w:eastAsia="en-US"/>
        </w:rPr>
      </w:pPr>
      <w:r w:rsidRPr="001A789E">
        <w:rPr>
          <w:rFonts w:asciiTheme="minorBidi" w:eastAsia="Times New Roman" w:hAnsiTheme="minorBidi" w:cstheme="minorBidi"/>
          <w:snapToGrid/>
          <w:color w:val="000000"/>
          <w:szCs w:val="22"/>
          <w:lang w:eastAsia="en-US"/>
        </w:rPr>
        <w:t>2</w:t>
      </w:r>
      <w:r w:rsidR="009B16C3">
        <w:rPr>
          <w:rFonts w:asciiTheme="minorBidi" w:eastAsia="Times New Roman" w:hAnsiTheme="minorBidi" w:cstheme="minorBidi"/>
          <w:snapToGrid/>
          <w:color w:val="000000"/>
          <w:szCs w:val="22"/>
          <w:lang w:eastAsia="en-US"/>
        </w:rPr>
        <w:t>0</w:t>
      </w:r>
      <w:r w:rsidRPr="001A789E">
        <w:rPr>
          <w:rFonts w:asciiTheme="minorBidi" w:eastAsia="Times New Roman" w:hAnsiTheme="minorBidi" w:cstheme="minorBidi"/>
          <w:snapToGrid/>
          <w:color w:val="000000"/>
          <w:szCs w:val="22"/>
          <w:lang w:eastAsia="en-US"/>
        </w:rPr>
        <w:t>.</w:t>
      </w:r>
      <w:r w:rsidRPr="001A789E">
        <w:rPr>
          <w:rFonts w:asciiTheme="minorBidi" w:eastAsia="Times New Roman" w:hAnsiTheme="minorBidi" w:cstheme="minorBidi"/>
          <w:snapToGrid/>
          <w:color w:val="000000"/>
          <w:szCs w:val="22"/>
          <w:lang w:eastAsia="en-US"/>
        </w:rPr>
        <w:tab/>
        <w:t xml:space="preserve">Un résumé de deux à trois pages sera inséré avant le corps du texte et organisé autour des sept résultats de la Décennie de l’Océan, afin d’illustrer les principales constatations mises en évidence par les différentes sections.  </w:t>
      </w:r>
    </w:p>
    <w:p w14:paraId="33D7EB53" w14:textId="113EA836" w:rsidR="001A789E" w:rsidRPr="001A789E" w:rsidRDefault="001A789E" w:rsidP="00A45300">
      <w:pPr>
        <w:pStyle w:val="Marge"/>
        <w:rPr>
          <w:snapToGrid/>
        </w:rPr>
      </w:pPr>
      <w:r w:rsidRPr="001A789E">
        <w:rPr>
          <w:snapToGrid/>
        </w:rPr>
        <w:t>2</w:t>
      </w:r>
      <w:r w:rsidR="009B16C3">
        <w:rPr>
          <w:snapToGrid/>
        </w:rPr>
        <w:t>1</w:t>
      </w:r>
      <w:r w:rsidRPr="001A789E">
        <w:rPr>
          <w:snapToGrid/>
        </w:rPr>
        <w:t>.</w:t>
      </w:r>
      <w:r w:rsidRPr="001A789E">
        <w:rPr>
          <w:snapToGrid/>
        </w:rPr>
        <w:tab/>
        <w:t xml:space="preserve">Les auteurs de chaque section doivent fournir une évaluation quantitative liée au sujet, ne dépassant pas trois pages (y compris les figures et les références). Les figures et les graphiques inclus dans la section, une fois mis en forme, seront un outil important pour illustrer les conclusions auprès d’un lectorat profane. Les auteurs sont invités à suivre le modèle de section (voir l’annexe 1) qui donne des indications sur le contenu et le format. Chaque section sera structurée de la façon suivante :   </w:t>
      </w:r>
    </w:p>
    <w:p w14:paraId="7D6BA34B" w14:textId="5B73A9DD" w:rsidR="001A789E" w:rsidRPr="001A789E" w:rsidRDefault="00A45300" w:rsidP="00A45300">
      <w:pPr>
        <w:pStyle w:val="b"/>
        <w:rPr>
          <w:snapToGrid/>
        </w:rPr>
      </w:pPr>
      <w:r>
        <w:rPr>
          <w:snapToGrid/>
        </w:rPr>
        <w:t>(i)</w:t>
      </w:r>
      <w:r>
        <w:rPr>
          <w:snapToGrid/>
        </w:rPr>
        <w:tab/>
      </w:r>
      <w:r w:rsidR="001A789E" w:rsidRPr="001A789E">
        <w:rPr>
          <w:snapToGrid/>
        </w:rPr>
        <w:t>une brève introduction sur le sujet traité et les raisons pour lesquelles il est pertinent pour illustrer le résultat correspondant ;</w:t>
      </w:r>
    </w:p>
    <w:p w14:paraId="256473C7" w14:textId="653EBD9C" w:rsidR="001A789E" w:rsidRPr="001A789E" w:rsidRDefault="00A45300" w:rsidP="00A45300">
      <w:pPr>
        <w:pStyle w:val="b"/>
        <w:rPr>
          <w:snapToGrid/>
        </w:rPr>
      </w:pPr>
      <w:r>
        <w:rPr>
          <w:snapToGrid/>
        </w:rPr>
        <w:t>(ii)</w:t>
      </w:r>
      <w:r>
        <w:rPr>
          <w:snapToGrid/>
        </w:rPr>
        <w:tab/>
      </w:r>
      <w:r w:rsidR="001A789E" w:rsidRPr="001A789E">
        <w:rPr>
          <w:snapToGrid/>
        </w:rPr>
        <w:t>un exposé de l’état actuel des connaissances, assorti d’analyses quantitatives et qualitatives et de conclusions ; et</w:t>
      </w:r>
    </w:p>
    <w:p w14:paraId="19BA52C4" w14:textId="2094A69A" w:rsidR="001A789E" w:rsidRPr="001A789E" w:rsidRDefault="00A45300" w:rsidP="00A45300">
      <w:pPr>
        <w:pStyle w:val="b"/>
        <w:rPr>
          <w:snapToGrid/>
        </w:rPr>
      </w:pPr>
      <w:r w:rsidRPr="00A45300">
        <w:rPr>
          <w:snapToGrid/>
        </w:rPr>
        <w:t>(iii</w:t>
      </w:r>
      <w:r>
        <w:rPr>
          <w:snapToGrid/>
        </w:rPr>
        <w:t>)</w:t>
      </w:r>
      <w:r>
        <w:rPr>
          <w:snapToGrid/>
        </w:rPr>
        <w:tab/>
      </w:r>
      <w:r w:rsidR="001A789E" w:rsidRPr="001A789E">
        <w:rPr>
          <w:snapToGrid/>
        </w:rPr>
        <w:t xml:space="preserve">une description des prochaines étapes nécessaires pour que le résultat de la Décennie correspondant soit atteint dans le domaine abordé. </w:t>
      </w:r>
    </w:p>
    <w:p w14:paraId="1C05E8E5" w14:textId="77777777" w:rsidR="001A789E" w:rsidRPr="001A789E" w:rsidRDefault="001A789E" w:rsidP="001A789E">
      <w:pPr>
        <w:keepNext/>
        <w:keepLines/>
        <w:spacing w:after="240"/>
        <w:outlineLvl w:val="2"/>
        <w:rPr>
          <w:rFonts w:eastAsia="Arial Unicode MS"/>
          <w:b/>
          <w:bCs/>
          <w:szCs w:val="22"/>
          <w:lang w:eastAsia="en-US"/>
        </w:rPr>
      </w:pPr>
      <w:r w:rsidRPr="001A789E">
        <w:rPr>
          <w:rFonts w:eastAsia="Arial Unicode MS"/>
          <w:b/>
          <w:bCs/>
          <w:szCs w:val="22"/>
          <w:lang w:eastAsia="en-US"/>
        </w:rPr>
        <w:lastRenderedPageBreak/>
        <w:t>Incidences financières et administratives</w:t>
      </w:r>
    </w:p>
    <w:p w14:paraId="29C45BCE" w14:textId="7BB7897E" w:rsidR="001A789E" w:rsidRPr="001A789E" w:rsidRDefault="001A789E" w:rsidP="001A789E">
      <w:pPr>
        <w:tabs>
          <w:tab w:val="clear" w:pos="567"/>
        </w:tabs>
        <w:snapToGrid/>
        <w:spacing w:after="240"/>
        <w:jc w:val="both"/>
        <w:textAlignment w:val="baseline"/>
        <w:rPr>
          <w:rFonts w:asciiTheme="minorBidi" w:eastAsia="Times New Roman" w:hAnsiTheme="minorBidi" w:cstheme="minorBidi"/>
          <w:snapToGrid/>
          <w:color w:val="000000"/>
          <w:szCs w:val="22"/>
          <w:lang w:eastAsia="en-US"/>
        </w:rPr>
      </w:pPr>
      <w:r w:rsidRPr="001A789E">
        <w:rPr>
          <w:rFonts w:asciiTheme="minorBidi" w:eastAsia="Times New Roman" w:hAnsiTheme="minorBidi" w:cstheme="minorBidi"/>
          <w:snapToGrid/>
          <w:color w:val="000000"/>
          <w:szCs w:val="22"/>
          <w:lang w:eastAsia="en-US"/>
        </w:rPr>
        <w:t>2</w:t>
      </w:r>
      <w:r w:rsidR="009B16C3">
        <w:rPr>
          <w:rFonts w:asciiTheme="minorBidi" w:eastAsia="Times New Roman" w:hAnsiTheme="minorBidi" w:cstheme="minorBidi"/>
          <w:snapToGrid/>
          <w:color w:val="000000"/>
          <w:szCs w:val="22"/>
          <w:lang w:eastAsia="en-US"/>
        </w:rPr>
        <w:t>2</w:t>
      </w:r>
      <w:r w:rsidRPr="001A789E">
        <w:rPr>
          <w:rFonts w:asciiTheme="minorBidi" w:eastAsia="Times New Roman" w:hAnsiTheme="minorBidi" w:cstheme="minorBidi"/>
          <w:snapToGrid/>
          <w:color w:val="000000"/>
          <w:szCs w:val="22"/>
          <w:lang w:eastAsia="en-US"/>
        </w:rPr>
        <w:t>.</w:t>
      </w:r>
      <w:r w:rsidRPr="001A789E">
        <w:rPr>
          <w:rFonts w:asciiTheme="minorBidi" w:eastAsia="Times New Roman" w:hAnsiTheme="minorBidi" w:cstheme="minorBidi"/>
          <w:snapToGrid/>
          <w:color w:val="000000"/>
          <w:szCs w:val="22"/>
          <w:lang w:eastAsia="en-US"/>
        </w:rPr>
        <w:tab/>
        <w:t>Le Rapport fait partie des activités menées dans le cadre de la Fonction D de la COI : « Soutenir l’évaluation et l’information pour améliorer l’interface entre science et politiques ». Les crédits alloués au titre du budget ordinaire sont insuffisants pour produire le Rapport (plan de travail n°</w:t>
      </w:r>
      <w:r w:rsidRPr="001A789E">
        <w:rPr>
          <w:rFonts w:asciiTheme="minorBidi" w:eastAsia="Times New Roman" w:hAnsiTheme="minorBidi" w:cstheme="minorBidi"/>
          <w:snapToGrid/>
          <w:szCs w:val="22"/>
          <w:lang w:eastAsia="en-US"/>
        </w:rPr>
        <w:t xml:space="preserve"> </w:t>
      </w:r>
      <w:r w:rsidRPr="001A789E">
        <w:rPr>
          <w:rFonts w:asciiTheme="minorBidi" w:eastAsia="Times New Roman" w:hAnsiTheme="minorBidi" w:cstheme="minorBidi"/>
          <w:snapToGrid/>
          <w:color w:val="000000"/>
          <w:szCs w:val="22"/>
          <w:lang w:eastAsia="en-US"/>
        </w:rPr>
        <w:t xml:space="preserve">42001108 du </w:t>
      </w:r>
      <w:r w:rsidR="003442AA">
        <w:rPr>
          <w:rFonts w:asciiTheme="minorBidi" w:eastAsia="Times New Roman" w:hAnsiTheme="minorBidi" w:cstheme="minorBidi"/>
          <w:snapToGrid/>
          <w:color w:val="000000"/>
          <w:szCs w:val="22"/>
          <w:lang w:eastAsia="en-US"/>
        </w:rPr>
        <w:t>Programme</w:t>
      </w:r>
      <w:r w:rsidRPr="001A789E">
        <w:rPr>
          <w:rFonts w:asciiTheme="minorBidi" w:eastAsia="Times New Roman" w:hAnsiTheme="minorBidi" w:cstheme="minorBidi"/>
          <w:snapToGrid/>
          <w:color w:val="000000"/>
          <w:szCs w:val="22"/>
          <w:lang w:eastAsia="en-US"/>
        </w:rPr>
        <w:t xml:space="preserve"> ordinaire 2024-2025 : Suivi des ODD, Évaluation mondiale des océans et </w:t>
      </w:r>
      <w:r w:rsidR="003442AA">
        <w:rPr>
          <w:rFonts w:asciiTheme="minorBidi" w:eastAsia="Times New Roman" w:hAnsiTheme="minorBidi" w:cstheme="minorBidi"/>
          <w:snapToGrid/>
          <w:color w:val="000000"/>
          <w:szCs w:val="22"/>
          <w:lang w:eastAsia="en-US"/>
        </w:rPr>
        <w:t>R</w:t>
      </w:r>
      <w:r w:rsidRPr="001A789E">
        <w:rPr>
          <w:rFonts w:asciiTheme="minorBidi" w:eastAsia="Times New Roman" w:hAnsiTheme="minorBidi" w:cstheme="minorBidi"/>
          <w:snapToGrid/>
          <w:color w:val="000000"/>
          <w:szCs w:val="22"/>
          <w:lang w:eastAsia="en-US"/>
        </w:rPr>
        <w:t xml:space="preserve">apport sur l’état de l’océan). </w:t>
      </w:r>
    </w:p>
    <w:p w14:paraId="6D02B3AB" w14:textId="15A72DB5" w:rsidR="001A789E" w:rsidRDefault="001A789E" w:rsidP="001A789E">
      <w:pPr>
        <w:tabs>
          <w:tab w:val="clear" w:pos="567"/>
        </w:tabs>
        <w:snapToGrid/>
        <w:spacing w:after="240"/>
        <w:jc w:val="both"/>
        <w:textAlignment w:val="baseline"/>
        <w:rPr>
          <w:rFonts w:asciiTheme="minorBidi" w:eastAsia="Times New Roman" w:hAnsiTheme="minorBidi" w:cstheme="minorBidi"/>
          <w:snapToGrid/>
          <w:color w:val="000000"/>
          <w:szCs w:val="22"/>
          <w:lang w:eastAsia="en-US"/>
        </w:rPr>
      </w:pPr>
      <w:r w:rsidRPr="001A789E">
        <w:rPr>
          <w:rFonts w:asciiTheme="minorBidi" w:eastAsia="Times New Roman" w:hAnsiTheme="minorBidi" w:cstheme="minorBidi"/>
          <w:snapToGrid/>
          <w:color w:val="000000"/>
          <w:szCs w:val="22"/>
          <w:lang w:eastAsia="en-US"/>
        </w:rPr>
        <w:t>2</w:t>
      </w:r>
      <w:r w:rsidR="009B16C3">
        <w:rPr>
          <w:rFonts w:asciiTheme="minorBidi" w:eastAsia="Times New Roman" w:hAnsiTheme="minorBidi" w:cstheme="minorBidi"/>
          <w:snapToGrid/>
          <w:color w:val="000000"/>
          <w:szCs w:val="22"/>
          <w:lang w:eastAsia="en-US"/>
        </w:rPr>
        <w:t>3</w:t>
      </w:r>
      <w:r w:rsidRPr="001A789E">
        <w:rPr>
          <w:rFonts w:asciiTheme="minorBidi" w:eastAsia="Times New Roman" w:hAnsiTheme="minorBidi" w:cstheme="minorBidi"/>
          <w:snapToGrid/>
          <w:color w:val="000000"/>
          <w:szCs w:val="22"/>
          <w:lang w:eastAsia="en-US"/>
        </w:rPr>
        <w:t>.</w:t>
      </w:r>
      <w:r w:rsidRPr="001A789E">
        <w:rPr>
          <w:rFonts w:asciiTheme="minorBidi" w:eastAsia="Times New Roman" w:hAnsiTheme="minorBidi" w:cstheme="minorBidi"/>
          <w:snapToGrid/>
          <w:color w:val="000000"/>
          <w:szCs w:val="22"/>
          <w:lang w:eastAsia="en-US"/>
        </w:rPr>
        <w:tab/>
        <w:t>La publication régulière du Rapport nécessitera un appui en ressources humaines et un soutien financier extrabudgétaire de la part des États membres de la COI afin de financer la coordination au niveau du Secrétariat de la COI, le travail éditorial, la traduction, la mise en page, le graphisme, l’impression et la communication.</w:t>
      </w:r>
    </w:p>
    <w:p w14:paraId="57C99553" w14:textId="77777777" w:rsidR="00A16CB1" w:rsidRPr="001A789E" w:rsidRDefault="00A16CB1" w:rsidP="001A789E">
      <w:pPr>
        <w:tabs>
          <w:tab w:val="clear" w:pos="567"/>
        </w:tabs>
        <w:snapToGrid/>
        <w:spacing w:after="240"/>
        <w:jc w:val="both"/>
        <w:textAlignment w:val="baseline"/>
        <w:rPr>
          <w:rFonts w:asciiTheme="minorBidi" w:eastAsia="Times New Roman" w:hAnsiTheme="minorBidi" w:cstheme="minorBidi"/>
          <w:snapToGrid/>
          <w:color w:val="000000"/>
          <w:szCs w:val="22"/>
          <w:lang w:eastAsia="en-US"/>
        </w:rPr>
      </w:pPr>
    </w:p>
    <w:p w14:paraId="0FE69675" w14:textId="77777777" w:rsidR="00A16CB1" w:rsidRDefault="00A16CB1" w:rsidP="00A16CB1">
      <w:pPr>
        <w:pStyle w:val="Marge"/>
        <w:rPr>
          <w:snapToGrid/>
        </w:rPr>
        <w:sectPr w:rsidR="00A16CB1" w:rsidSect="00727624">
          <w:headerReference w:type="even" r:id="rId15"/>
          <w:headerReference w:type="default" r:id="rId16"/>
          <w:headerReference w:type="first" r:id="rId17"/>
          <w:pgSz w:w="11906" w:h="16838" w:code="9"/>
          <w:pgMar w:top="1418" w:right="1134" w:bottom="1134" w:left="1134" w:header="851" w:footer="680" w:gutter="0"/>
          <w:pgNumType w:start="1"/>
          <w:cols w:space="708"/>
          <w:titlePg/>
          <w:docGrid w:linePitch="360"/>
        </w:sectPr>
      </w:pPr>
    </w:p>
    <w:p w14:paraId="1ADCC197" w14:textId="77777777" w:rsidR="001A789E" w:rsidRPr="001A789E" w:rsidRDefault="001A789E" w:rsidP="001A789E">
      <w:pPr>
        <w:keepNext/>
        <w:keepLines/>
        <w:spacing w:after="240"/>
        <w:outlineLvl w:val="2"/>
        <w:rPr>
          <w:rFonts w:eastAsia="Arial Unicode MS"/>
          <w:i/>
          <w:iCs/>
          <w:szCs w:val="22"/>
          <w:lang w:val="en-GB" w:eastAsia="en-US"/>
        </w:rPr>
      </w:pPr>
      <w:r w:rsidRPr="001A789E">
        <w:rPr>
          <w:rFonts w:eastAsia="Arial Unicode MS"/>
          <w:b/>
          <w:bCs/>
          <w:szCs w:val="22"/>
          <w:lang w:val="en-GB" w:eastAsia="en-US"/>
        </w:rPr>
        <w:lastRenderedPageBreak/>
        <w:t xml:space="preserve">Annex 1: The </w:t>
      </w:r>
      <w:proofErr w:type="spellStart"/>
      <w:r w:rsidRPr="001A789E">
        <w:rPr>
          <w:rFonts w:eastAsia="Arial Unicode MS"/>
          <w:b/>
          <w:bCs/>
          <w:szCs w:val="22"/>
          <w:lang w:val="en-GB" w:eastAsia="en-US"/>
        </w:rPr>
        <w:t>StOR</w:t>
      </w:r>
      <w:proofErr w:type="spellEnd"/>
      <w:r w:rsidRPr="001A789E">
        <w:rPr>
          <w:rFonts w:eastAsia="Arial Unicode MS"/>
          <w:b/>
          <w:bCs/>
          <w:szCs w:val="22"/>
          <w:lang w:val="en-GB" w:eastAsia="en-US"/>
        </w:rPr>
        <w:t xml:space="preserve"> Contribution Template </w:t>
      </w:r>
      <w:r w:rsidRPr="001A789E">
        <w:rPr>
          <w:rFonts w:eastAsia="Arial Unicode MS"/>
          <w:i/>
          <w:iCs/>
          <w:szCs w:val="22"/>
          <w:lang w:val="en-GB" w:eastAsia="en-US"/>
        </w:rPr>
        <w:t>(English only)</w:t>
      </w:r>
    </w:p>
    <w:p w14:paraId="21FB7036"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b/>
          <w:bCs/>
          <w:snapToGrid/>
          <w:color w:val="000000"/>
          <w:sz w:val="24"/>
          <w:lang w:val="en-US" w:eastAsia="en-US"/>
        </w:rPr>
        <w:t>Outcome X</w:t>
      </w:r>
    </w:p>
    <w:p w14:paraId="460C7D7E" w14:textId="77777777" w:rsidR="001A789E" w:rsidRPr="001A789E" w:rsidRDefault="001A789E" w:rsidP="001A789E">
      <w:pPr>
        <w:tabs>
          <w:tab w:val="clear" w:pos="567"/>
        </w:tabs>
        <w:snapToGrid/>
        <w:spacing w:before="180"/>
        <w:ind w:left="7" w:right="166"/>
        <w:jc w:val="both"/>
        <w:rPr>
          <w:rFonts w:ascii="Times New Roman" w:eastAsia="Times New Roman" w:hAnsi="Times New Roman"/>
          <w:snapToGrid/>
          <w:sz w:val="24"/>
          <w:lang w:val="en-US" w:eastAsia="en-US"/>
        </w:rPr>
      </w:pPr>
      <w:r w:rsidRPr="001A789E">
        <w:rPr>
          <w:rFonts w:eastAsia="Times New Roman" w:cs="Arial"/>
          <w:b/>
          <w:bCs/>
          <w:i/>
          <w:iCs/>
          <w:snapToGrid/>
          <w:color w:val="000000"/>
          <w:szCs w:val="22"/>
          <w:shd w:val="clear" w:color="auto" w:fill="C0C0C0"/>
          <w:lang w:val="en-US" w:eastAsia="en-US"/>
        </w:rPr>
        <w:t>[Title]</w:t>
      </w:r>
      <w:r w:rsidRPr="001A789E">
        <w:rPr>
          <w:rFonts w:eastAsia="Times New Roman" w:cs="Arial"/>
          <w:b/>
          <w:bCs/>
          <w:i/>
          <w:iCs/>
          <w:snapToGrid/>
          <w:color w:val="000000"/>
          <w:szCs w:val="22"/>
          <w:lang w:val="en-US" w:eastAsia="en-US"/>
        </w:rPr>
        <w:t xml:space="preserve"> </w:t>
      </w:r>
      <w:r w:rsidRPr="001A789E">
        <w:rPr>
          <w:rFonts w:eastAsia="Times New Roman" w:cs="Arial"/>
          <w:snapToGrid/>
          <w:color w:val="000000"/>
          <w:szCs w:val="22"/>
          <w:lang w:val="en-US" w:eastAsia="en-US"/>
        </w:rPr>
        <w:t>maximum 80 characters</w:t>
      </w:r>
    </w:p>
    <w:p w14:paraId="68371540"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snapToGrid/>
          <w:color w:val="000000"/>
          <w:szCs w:val="22"/>
          <w:lang w:val="en-US" w:eastAsia="en-US"/>
        </w:rPr>
        <w:t xml:space="preserve">Authors: </w:t>
      </w:r>
      <w:r w:rsidRPr="001A789E">
        <w:rPr>
          <w:rFonts w:eastAsia="Times New Roman" w:cs="Arial"/>
          <w:snapToGrid/>
          <w:color w:val="000000"/>
          <w:szCs w:val="22"/>
          <w:shd w:val="clear" w:color="auto" w:fill="C0C0C0"/>
          <w:lang w:val="en-US" w:eastAsia="en-US"/>
        </w:rPr>
        <w:t>[name, first name</w:t>
      </w:r>
      <w:r w:rsidRPr="001A789E">
        <w:rPr>
          <w:rFonts w:eastAsia="Times New Roman" w:cs="Arial"/>
          <w:snapToGrid/>
          <w:color w:val="000000"/>
          <w:sz w:val="13"/>
          <w:szCs w:val="13"/>
          <w:shd w:val="clear" w:color="auto" w:fill="C0C0C0"/>
          <w:vertAlign w:val="superscript"/>
          <w:lang w:val="en-US" w:eastAsia="en-US"/>
        </w:rPr>
        <w:t>1</w:t>
      </w:r>
      <w:r w:rsidRPr="001A789E">
        <w:rPr>
          <w:rFonts w:eastAsia="Times New Roman" w:cs="Arial"/>
          <w:snapToGrid/>
          <w:color w:val="000000"/>
          <w:szCs w:val="22"/>
          <w:shd w:val="clear" w:color="auto" w:fill="C0C0C0"/>
          <w:lang w:val="en-US" w:eastAsia="en-US"/>
        </w:rPr>
        <w:t>, name, first name</w:t>
      </w:r>
      <w:r w:rsidRPr="001A789E">
        <w:rPr>
          <w:rFonts w:eastAsia="Times New Roman" w:cs="Arial"/>
          <w:snapToGrid/>
          <w:color w:val="000000"/>
          <w:sz w:val="13"/>
          <w:szCs w:val="13"/>
          <w:shd w:val="clear" w:color="auto" w:fill="C0C0C0"/>
          <w:vertAlign w:val="superscript"/>
          <w:lang w:val="en-US" w:eastAsia="en-US"/>
        </w:rPr>
        <w:t>2</w:t>
      </w:r>
      <w:r w:rsidRPr="001A789E">
        <w:rPr>
          <w:rFonts w:eastAsia="Times New Roman" w:cs="Arial"/>
          <w:snapToGrid/>
          <w:color w:val="000000"/>
          <w:szCs w:val="22"/>
          <w:shd w:val="clear" w:color="auto" w:fill="C0C0C0"/>
          <w:lang w:val="en-US" w:eastAsia="en-US"/>
        </w:rPr>
        <w:t>, ….]</w:t>
      </w:r>
      <w:r w:rsidRPr="001A789E">
        <w:rPr>
          <w:rFonts w:eastAsia="Times New Roman" w:cs="Arial"/>
          <w:snapToGrid/>
          <w:color w:val="000000"/>
          <w:szCs w:val="22"/>
          <w:lang w:val="en-US" w:eastAsia="en-US"/>
        </w:rPr>
        <w:t> </w:t>
      </w:r>
    </w:p>
    <w:p w14:paraId="24372739"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snapToGrid/>
          <w:color w:val="000000"/>
          <w:sz w:val="13"/>
          <w:szCs w:val="13"/>
          <w:vertAlign w:val="superscript"/>
          <w:lang w:val="en-US" w:eastAsia="en-US"/>
        </w:rPr>
        <w:t>1</w:t>
      </w:r>
      <w:r w:rsidRPr="001A789E">
        <w:rPr>
          <w:rFonts w:eastAsia="Times New Roman" w:cs="Arial"/>
          <w:snapToGrid/>
          <w:color w:val="000000"/>
          <w:szCs w:val="22"/>
          <w:lang w:val="en-US" w:eastAsia="en-US"/>
        </w:rPr>
        <w:t xml:space="preserve"> </w:t>
      </w:r>
      <w:r w:rsidRPr="001A789E">
        <w:rPr>
          <w:rFonts w:eastAsia="Times New Roman" w:cs="Arial"/>
          <w:snapToGrid/>
          <w:color w:val="000000"/>
          <w:szCs w:val="22"/>
          <w:shd w:val="clear" w:color="auto" w:fill="C0C0C0"/>
          <w:lang w:val="en-US" w:eastAsia="en-US"/>
        </w:rPr>
        <w:t>[Affiliation, Country, email corresponding author]</w:t>
      </w:r>
    </w:p>
    <w:p w14:paraId="72E8698E"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snapToGrid/>
          <w:color w:val="000000"/>
          <w:sz w:val="13"/>
          <w:szCs w:val="13"/>
          <w:vertAlign w:val="superscript"/>
          <w:lang w:val="en-US" w:eastAsia="en-US"/>
        </w:rPr>
        <w:t>2</w:t>
      </w:r>
      <w:r w:rsidRPr="001A789E">
        <w:rPr>
          <w:rFonts w:eastAsia="Times New Roman" w:cs="Arial"/>
          <w:snapToGrid/>
          <w:color w:val="000000"/>
          <w:szCs w:val="22"/>
          <w:lang w:val="en-US" w:eastAsia="en-US"/>
        </w:rPr>
        <w:t xml:space="preserve"> </w:t>
      </w:r>
      <w:r w:rsidRPr="001A789E">
        <w:rPr>
          <w:rFonts w:eastAsia="Times New Roman" w:cs="Arial"/>
          <w:snapToGrid/>
          <w:color w:val="000000"/>
          <w:szCs w:val="22"/>
          <w:shd w:val="clear" w:color="auto" w:fill="C0C0C0"/>
          <w:lang w:val="en-US" w:eastAsia="en-US"/>
        </w:rPr>
        <w:t>[Affiliation, country]</w:t>
      </w:r>
    </w:p>
    <w:p w14:paraId="59266119" w14:textId="77777777" w:rsidR="001A789E" w:rsidRPr="001A789E" w:rsidRDefault="001A789E" w:rsidP="001A789E">
      <w:pPr>
        <w:tabs>
          <w:tab w:val="clear" w:pos="567"/>
        </w:tabs>
        <w:snapToGrid/>
        <w:spacing w:before="180"/>
        <w:ind w:left="7" w:right="166"/>
        <w:jc w:val="both"/>
        <w:rPr>
          <w:rFonts w:ascii="Times New Roman" w:eastAsia="Times New Roman" w:hAnsi="Times New Roman"/>
          <w:snapToGrid/>
          <w:sz w:val="24"/>
          <w:lang w:val="en-US" w:eastAsia="en-US"/>
        </w:rPr>
      </w:pPr>
      <w:r w:rsidRPr="001A789E">
        <w:rPr>
          <w:rFonts w:eastAsia="Times New Roman" w:cs="Arial"/>
          <w:snapToGrid/>
          <w:color w:val="000000"/>
          <w:szCs w:val="22"/>
          <w:shd w:val="clear" w:color="auto" w:fill="C0C0C0"/>
          <w:lang w:val="en-US" w:eastAsia="en-US"/>
        </w:rPr>
        <w:t xml:space="preserve">[Introductory text including relevance of the topic to the Decade outcome in </w:t>
      </w:r>
      <w:proofErr w:type="gramStart"/>
      <w:r w:rsidRPr="001A789E">
        <w:rPr>
          <w:rFonts w:eastAsia="Times New Roman" w:cs="Arial"/>
          <w:snapToGrid/>
          <w:color w:val="000000"/>
          <w:szCs w:val="22"/>
          <w:shd w:val="clear" w:color="auto" w:fill="C0C0C0"/>
          <w:lang w:val="en-US" w:eastAsia="en-US"/>
        </w:rPr>
        <w:t>question ]</w:t>
      </w:r>
      <w:proofErr w:type="gramEnd"/>
    </w:p>
    <w:p w14:paraId="3067E74E"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snapToGrid/>
          <w:color w:val="000000"/>
          <w:szCs w:val="22"/>
          <w:lang w:val="en-US" w:eastAsia="en-US"/>
        </w:rPr>
        <w:t>150 words maximum</w:t>
      </w:r>
    </w:p>
    <w:p w14:paraId="1D217268" w14:textId="77777777" w:rsidR="001A789E" w:rsidRPr="001A789E" w:rsidRDefault="001A789E" w:rsidP="001A789E">
      <w:pPr>
        <w:tabs>
          <w:tab w:val="clear" w:pos="567"/>
        </w:tabs>
        <w:snapToGrid/>
        <w:spacing w:before="180"/>
        <w:ind w:left="7" w:right="166"/>
        <w:jc w:val="both"/>
        <w:rPr>
          <w:rFonts w:ascii="Times New Roman" w:eastAsia="Times New Roman" w:hAnsi="Times New Roman"/>
          <w:snapToGrid/>
          <w:sz w:val="24"/>
          <w:lang w:val="en-US" w:eastAsia="en-US"/>
        </w:rPr>
      </w:pPr>
      <w:r w:rsidRPr="001A789E">
        <w:rPr>
          <w:rFonts w:eastAsia="Times New Roman" w:cs="Arial"/>
          <w:snapToGrid/>
          <w:color w:val="000000"/>
          <w:szCs w:val="22"/>
          <w:shd w:val="clear" w:color="auto" w:fill="C0C0C0"/>
          <w:lang w:val="en-US" w:eastAsia="en-US"/>
        </w:rPr>
        <w:t>[Description of findings, trends, status</w:t>
      </w:r>
      <w:r w:rsidRPr="001A789E">
        <w:rPr>
          <w:rFonts w:eastAsia="Times New Roman" w:cs="Arial"/>
          <w:snapToGrid/>
          <w:color w:val="000000"/>
          <w:szCs w:val="22"/>
          <w:lang w:val="en-US" w:eastAsia="en-US"/>
        </w:rPr>
        <w:t>]</w:t>
      </w:r>
    </w:p>
    <w:p w14:paraId="272EB5CE"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snapToGrid/>
          <w:color w:val="000000"/>
          <w:szCs w:val="22"/>
          <w:lang w:val="en-US" w:eastAsia="en-US"/>
        </w:rPr>
        <w:t xml:space="preserve">500 </w:t>
      </w:r>
      <w:proofErr w:type="gramStart"/>
      <w:r w:rsidRPr="001A789E">
        <w:rPr>
          <w:rFonts w:eastAsia="Times New Roman" w:cs="Arial"/>
          <w:snapToGrid/>
          <w:color w:val="000000"/>
          <w:szCs w:val="22"/>
          <w:lang w:val="en-US" w:eastAsia="en-US"/>
        </w:rPr>
        <w:t>maximum</w:t>
      </w:r>
      <w:proofErr w:type="gramEnd"/>
    </w:p>
    <w:p w14:paraId="46017840" w14:textId="77777777" w:rsidR="001A789E" w:rsidRPr="001A789E" w:rsidRDefault="001A789E" w:rsidP="001A789E">
      <w:pPr>
        <w:tabs>
          <w:tab w:val="clear" w:pos="567"/>
        </w:tabs>
        <w:snapToGrid/>
        <w:spacing w:before="180"/>
        <w:ind w:left="7" w:right="166"/>
        <w:jc w:val="both"/>
        <w:rPr>
          <w:rFonts w:ascii="Times New Roman" w:eastAsia="Times New Roman" w:hAnsi="Times New Roman"/>
          <w:snapToGrid/>
          <w:sz w:val="24"/>
          <w:lang w:val="en-US" w:eastAsia="en-US"/>
        </w:rPr>
      </w:pPr>
      <w:r w:rsidRPr="001A789E">
        <w:rPr>
          <w:rFonts w:eastAsia="Times New Roman" w:cs="Arial"/>
          <w:snapToGrid/>
          <w:color w:val="000000"/>
          <w:szCs w:val="22"/>
          <w:shd w:val="clear" w:color="auto" w:fill="C0C0C0"/>
          <w:lang w:val="en-US" w:eastAsia="en-US"/>
        </w:rPr>
        <w:t>[Conclusion, next steps]</w:t>
      </w:r>
    </w:p>
    <w:p w14:paraId="416F15FA"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snapToGrid/>
          <w:color w:val="000000"/>
          <w:szCs w:val="22"/>
          <w:lang w:val="en-US" w:eastAsia="en-US"/>
        </w:rPr>
        <w:t>150 words maximum</w:t>
      </w:r>
    </w:p>
    <w:p w14:paraId="5DAAF2C8" w14:textId="77777777" w:rsidR="001A789E" w:rsidRPr="001A789E" w:rsidRDefault="001A789E" w:rsidP="001A789E">
      <w:pPr>
        <w:spacing w:after="240"/>
        <w:rPr>
          <w:rFonts w:eastAsia="Times New Roman"/>
          <w:lang w:val="en-US" w:eastAsia="en-US"/>
        </w:rPr>
      </w:pPr>
    </w:p>
    <w:p w14:paraId="0230D021"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snapToGrid/>
          <w:color w:val="000000"/>
          <w:szCs w:val="22"/>
          <w:lang w:val="en-US" w:eastAsia="en-US"/>
        </w:rPr>
        <w:t xml:space="preserve">Figure </w:t>
      </w:r>
      <w:r w:rsidRPr="001A789E">
        <w:rPr>
          <w:rFonts w:eastAsia="Times New Roman" w:cs="Arial"/>
          <w:snapToGrid/>
          <w:color w:val="000000"/>
          <w:szCs w:val="22"/>
          <w:shd w:val="clear" w:color="auto" w:fill="C0C0C0"/>
          <w:lang w:val="en-US" w:eastAsia="en-US"/>
        </w:rPr>
        <w:t>[X]</w:t>
      </w:r>
      <w:r w:rsidRPr="001A789E">
        <w:rPr>
          <w:rFonts w:eastAsia="Times New Roman" w:cs="Arial"/>
          <w:snapToGrid/>
          <w:color w:val="000000"/>
          <w:szCs w:val="22"/>
          <w:lang w:val="en-US" w:eastAsia="en-US"/>
        </w:rPr>
        <w:t xml:space="preserve">. </w:t>
      </w:r>
      <w:r w:rsidRPr="001A789E">
        <w:rPr>
          <w:rFonts w:eastAsia="Times New Roman" w:cs="Arial"/>
          <w:snapToGrid/>
          <w:color w:val="000000"/>
          <w:szCs w:val="22"/>
          <w:shd w:val="clear" w:color="auto" w:fill="C0C0C0"/>
          <w:lang w:val="en-US" w:eastAsia="en-US"/>
        </w:rPr>
        <w:t>[caption text]</w:t>
      </w:r>
      <w:r w:rsidRPr="001A789E">
        <w:rPr>
          <w:rFonts w:eastAsia="Times New Roman" w:cs="Arial"/>
          <w:snapToGrid/>
          <w:color w:val="000000"/>
          <w:szCs w:val="22"/>
          <w:lang w:val="en-US" w:eastAsia="en-US"/>
        </w:rPr>
        <w:t xml:space="preserve">. </w:t>
      </w:r>
      <w:r w:rsidRPr="001A789E">
        <w:rPr>
          <w:rFonts w:eastAsia="Times New Roman" w:cs="Arial"/>
          <w:i/>
          <w:iCs/>
          <w:snapToGrid/>
          <w:color w:val="000000"/>
          <w:szCs w:val="22"/>
          <w:lang w:val="en-US" w:eastAsia="en-US"/>
        </w:rPr>
        <w:t>Source:</w:t>
      </w:r>
      <w:r w:rsidRPr="001A789E">
        <w:rPr>
          <w:rFonts w:eastAsia="Times New Roman" w:cs="Arial"/>
          <w:snapToGrid/>
          <w:color w:val="000000"/>
          <w:szCs w:val="22"/>
          <w:lang w:val="en-US" w:eastAsia="en-US"/>
        </w:rPr>
        <w:t xml:space="preserve"> </w:t>
      </w:r>
      <w:r w:rsidRPr="001A789E">
        <w:rPr>
          <w:rFonts w:eastAsia="Times New Roman" w:cs="Arial"/>
          <w:snapToGrid/>
          <w:color w:val="000000"/>
          <w:szCs w:val="22"/>
          <w:shd w:val="clear" w:color="auto" w:fill="C0C0C0"/>
          <w:lang w:val="en-US" w:eastAsia="en-US"/>
        </w:rPr>
        <w:t>[text]</w:t>
      </w:r>
      <w:r w:rsidRPr="001A789E">
        <w:rPr>
          <w:rFonts w:eastAsia="Times New Roman" w:cs="Arial"/>
          <w:snapToGrid/>
          <w:color w:val="000000"/>
          <w:szCs w:val="22"/>
          <w:lang w:val="en-US" w:eastAsia="en-US"/>
        </w:rPr>
        <w:t>.</w:t>
      </w:r>
    </w:p>
    <w:p w14:paraId="25AD43ED" w14:textId="77777777" w:rsidR="001A789E" w:rsidRPr="001A789E" w:rsidRDefault="001A789E" w:rsidP="001A789E">
      <w:pPr>
        <w:spacing w:after="240"/>
        <w:rPr>
          <w:rFonts w:eastAsia="Times New Roman"/>
          <w:lang w:val="en-US" w:eastAsia="en-US"/>
        </w:rPr>
      </w:pPr>
    </w:p>
    <w:p w14:paraId="0313AEF3"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i/>
          <w:iCs/>
          <w:snapToGrid/>
          <w:color w:val="000000"/>
          <w:szCs w:val="22"/>
          <w:lang w:val="en-US" w:eastAsia="en-US"/>
        </w:rPr>
        <w:t>References</w:t>
      </w:r>
    </w:p>
    <w:p w14:paraId="252B4E36"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snapToGrid/>
          <w:color w:val="000000"/>
          <w:szCs w:val="22"/>
          <w:lang w:val="en-US" w:eastAsia="en-US"/>
        </w:rPr>
        <w:t>examples, authors are encouraged to focus on the main publications and apply the style below:</w:t>
      </w:r>
    </w:p>
    <w:p w14:paraId="09642E5C" w14:textId="77777777" w:rsidR="001A789E" w:rsidRPr="001A789E" w:rsidRDefault="001A789E" w:rsidP="001A789E">
      <w:pPr>
        <w:rPr>
          <w:rFonts w:eastAsia="Times New Roman"/>
          <w:lang w:val="en-US" w:eastAsia="en-US"/>
        </w:rPr>
      </w:pPr>
    </w:p>
    <w:p w14:paraId="63534780" w14:textId="77777777" w:rsidR="001A789E" w:rsidRPr="001A789E" w:rsidRDefault="001A789E" w:rsidP="001A789E">
      <w:pPr>
        <w:tabs>
          <w:tab w:val="clear" w:pos="567"/>
        </w:tabs>
        <w:snapToGrid/>
        <w:ind w:left="567" w:right="164" w:hanging="561"/>
        <w:jc w:val="both"/>
        <w:rPr>
          <w:rFonts w:ascii="Times New Roman" w:eastAsia="Times New Roman" w:hAnsi="Times New Roman"/>
          <w:snapToGrid/>
          <w:sz w:val="24"/>
          <w:lang w:val="en-US" w:eastAsia="en-US"/>
        </w:rPr>
      </w:pPr>
      <w:r w:rsidRPr="001A789E">
        <w:rPr>
          <w:rFonts w:eastAsia="Times New Roman" w:cs="Arial"/>
          <w:snapToGrid/>
          <w:color w:val="000000"/>
          <w:szCs w:val="22"/>
          <w:shd w:val="clear" w:color="auto" w:fill="C0C0C0"/>
          <w:lang w:val="da-DK" w:eastAsia="en-US"/>
        </w:rPr>
        <w:t>Friedlingstein, P., O’Sullivan, M., Jones, M. W., Andrew, R. M., et al</w:t>
      </w:r>
      <w:r w:rsidRPr="001A789E">
        <w:rPr>
          <w:rFonts w:eastAsia="Times New Roman" w:cs="Arial"/>
          <w:i/>
          <w:iCs/>
          <w:snapToGrid/>
          <w:color w:val="000000"/>
          <w:szCs w:val="22"/>
          <w:shd w:val="clear" w:color="auto" w:fill="C0C0C0"/>
          <w:lang w:val="da-DK" w:eastAsia="en-US"/>
        </w:rPr>
        <w:t>.</w:t>
      </w:r>
      <w:r w:rsidRPr="001A789E">
        <w:rPr>
          <w:rFonts w:eastAsia="Times New Roman" w:cs="Arial"/>
          <w:snapToGrid/>
          <w:color w:val="000000"/>
          <w:szCs w:val="22"/>
          <w:shd w:val="clear" w:color="auto" w:fill="C0C0C0"/>
          <w:lang w:val="da-DK" w:eastAsia="en-US"/>
        </w:rPr>
        <w:t xml:space="preserve"> 2020. </w:t>
      </w:r>
      <w:r w:rsidRPr="001A789E">
        <w:rPr>
          <w:rFonts w:eastAsia="Times New Roman" w:cs="Arial"/>
          <w:snapToGrid/>
          <w:color w:val="000000"/>
          <w:szCs w:val="22"/>
          <w:shd w:val="clear" w:color="auto" w:fill="C0C0C0"/>
          <w:lang w:val="en-US" w:eastAsia="en-US"/>
        </w:rPr>
        <w:t xml:space="preserve">Global Carbon Budget 2020. </w:t>
      </w:r>
      <w:r w:rsidRPr="001A789E">
        <w:rPr>
          <w:rFonts w:eastAsia="Times New Roman" w:cs="Arial"/>
          <w:i/>
          <w:iCs/>
          <w:snapToGrid/>
          <w:color w:val="000000"/>
          <w:szCs w:val="22"/>
          <w:shd w:val="clear" w:color="auto" w:fill="C0C0C0"/>
          <w:lang w:val="en-US" w:eastAsia="en-US"/>
        </w:rPr>
        <w:t>Earth System Science Data</w:t>
      </w:r>
      <w:r w:rsidRPr="001A789E">
        <w:rPr>
          <w:rFonts w:eastAsia="Times New Roman" w:cs="Arial"/>
          <w:snapToGrid/>
          <w:color w:val="000000"/>
          <w:szCs w:val="22"/>
          <w:shd w:val="clear" w:color="auto" w:fill="C0C0C0"/>
          <w:lang w:val="en-US" w:eastAsia="en-US"/>
        </w:rPr>
        <w:t>, Vol</w:t>
      </w:r>
      <w:r w:rsidRPr="001A789E">
        <w:rPr>
          <w:rFonts w:eastAsia="Times New Roman" w:cs="Arial"/>
          <w:i/>
          <w:iCs/>
          <w:snapToGrid/>
          <w:color w:val="000000"/>
          <w:szCs w:val="22"/>
          <w:shd w:val="clear" w:color="auto" w:fill="C0C0C0"/>
          <w:lang w:val="en-US" w:eastAsia="en-US"/>
        </w:rPr>
        <w:t>.</w:t>
      </w:r>
      <w:r w:rsidRPr="001A789E">
        <w:rPr>
          <w:rFonts w:eastAsia="Times New Roman" w:cs="Arial"/>
          <w:snapToGrid/>
          <w:color w:val="000000"/>
          <w:szCs w:val="22"/>
          <w:shd w:val="clear" w:color="auto" w:fill="C0C0C0"/>
          <w:lang w:val="en-US" w:eastAsia="en-US"/>
        </w:rPr>
        <w:t xml:space="preserve"> 12, pp. 3269–3340. </w:t>
      </w:r>
      <w:hyperlink r:id="rId18" w:history="1">
        <w:r w:rsidRPr="001A789E">
          <w:rPr>
            <w:rFonts w:eastAsia="Times New Roman" w:cs="Arial"/>
            <w:snapToGrid/>
            <w:color w:val="0000FF" w:themeColor="hyperlink"/>
            <w:szCs w:val="22"/>
            <w:u w:val="single"/>
            <w:shd w:val="clear" w:color="auto" w:fill="C0C0C0"/>
            <w:lang w:val="en-US" w:eastAsia="en-US"/>
          </w:rPr>
          <w:t>https://doi.org/10.5194/essd-12-3269-2020</w:t>
        </w:r>
      </w:hyperlink>
      <w:r w:rsidRPr="001A789E">
        <w:rPr>
          <w:rFonts w:eastAsia="Times New Roman" w:cs="Arial"/>
          <w:snapToGrid/>
          <w:color w:val="000000"/>
          <w:szCs w:val="22"/>
          <w:shd w:val="clear" w:color="auto" w:fill="C0C0C0"/>
          <w:lang w:val="en-US" w:eastAsia="en-US"/>
        </w:rPr>
        <w:t> </w:t>
      </w:r>
    </w:p>
    <w:p w14:paraId="0CEAEFAA" w14:textId="77777777" w:rsidR="001A789E" w:rsidRPr="001A789E" w:rsidRDefault="001A789E" w:rsidP="001A789E">
      <w:pPr>
        <w:ind w:left="567" w:hanging="561"/>
        <w:rPr>
          <w:rFonts w:eastAsia="Times New Roman"/>
          <w:lang w:val="en-US" w:eastAsia="en-US"/>
        </w:rPr>
      </w:pPr>
    </w:p>
    <w:p w14:paraId="2BF91165" w14:textId="77777777" w:rsidR="001A789E" w:rsidRPr="001A789E" w:rsidRDefault="001A789E" w:rsidP="001A789E">
      <w:pPr>
        <w:tabs>
          <w:tab w:val="clear" w:pos="567"/>
        </w:tabs>
        <w:snapToGrid/>
        <w:ind w:left="567" w:right="164" w:hanging="561"/>
        <w:jc w:val="both"/>
        <w:rPr>
          <w:rFonts w:ascii="Times New Roman" w:eastAsia="Times New Roman" w:hAnsi="Times New Roman"/>
          <w:snapToGrid/>
          <w:sz w:val="24"/>
          <w:lang w:val="en-US" w:eastAsia="en-US"/>
        </w:rPr>
      </w:pPr>
      <w:r w:rsidRPr="001A789E">
        <w:rPr>
          <w:rFonts w:eastAsia="Times New Roman" w:cs="Arial"/>
          <w:snapToGrid/>
          <w:color w:val="000000"/>
          <w:szCs w:val="22"/>
          <w:shd w:val="clear" w:color="auto" w:fill="C0C0C0"/>
          <w:lang w:val="en-US" w:eastAsia="en-US"/>
        </w:rPr>
        <w:t xml:space="preserve">IPCC. 2019. </w:t>
      </w:r>
      <w:r w:rsidRPr="001A789E">
        <w:rPr>
          <w:rFonts w:eastAsia="Times New Roman" w:cs="Arial"/>
          <w:i/>
          <w:iCs/>
          <w:snapToGrid/>
          <w:color w:val="000000"/>
          <w:szCs w:val="22"/>
          <w:shd w:val="clear" w:color="auto" w:fill="C0C0C0"/>
          <w:lang w:val="en-US" w:eastAsia="en-US"/>
        </w:rPr>
        <w:t>IPCC Special Report on the Ocean and Cryosphere in a Changing Climate</w:t>
      </w:r>
      <w:r w:rsidRPr="001A789E">
        <w:rPr>
          <w:rFonts w:eastAsia="Times New Roman" w:cs="Arial"/>
          <w:snapToGrid/>
          <w:color w:val="000000"/>
          <w:szCs w:val="22"/>
          <w:shd w:val="clear" w:color="auto" w:fill="C0C0C0"/>
          <w:lang w:val="en-US" w:eastAsia="en-US"/>
        </w:rPr>
        <w:t xml:space="preserve">. (H.-O. </w:t>
      </w:r>
      <w:proofErr w:type="spellStart"/>
      <w:r w:rsidRPr="001A789E">
        <w:rPr>
          <w:rFonts w:eastAsia="Times New Roman" w:cs="Arial"/>
          <w:snapToGrid/>
          <w:color w:val="000000"/>
          <w:szCs w:val="22"/>
          <w:shd w:val="clear" w:color="auto" w:fill="C0C0C0"/>
          <w:lang w:val="en-US" w:eastAsia="en-US"/>
        </w:rPr>
        <w:t>Pörtner</w:t>
      </w:r>
      <w:proofErr w:type="spellEnd"/>
      <w:r w:rsidRPr="001A789E">
        <w:rPr>
          <w:rFonts w:eastAsia="Times New Roman" w:cs="Arial"/>
          <w:snapToGrid/>
          <w:color w:val="000000"/>
          <w:szCs w:val="22"/>
          <w:shd w:val="clear" w:color="auto" w:fill="C0C0C0"/>
          <w:lang w:val="en-US" w:eastAsia="en-US"/>
        </w:rPr>
        <w:t xml:space="preserve">, D. C. Roberts, V. Masson-Delmotte, P. Zhai, M. Tignor, E. </w:t>
      </w:r>
      <w:proofErr w:type="spellStart"/>
      <w:r w:rsidRPr="001A789E">
        <w:rPr>
          <w:rFonts w:eastAsia="Times New Roman" w:cs="Arial"/>
          <w:snapToGrid/>
          <w:color w:val="000000"/>
          <w:szCs w:val="22"/>
          <w:shd w:val="clear" w:color="auto" w:fill="C0C0C0"/>
          <w:lang w:val="en-US" w:eastAsia="en-US"/>
        </w:rPr>
        <w:t>Poloczanska</w:t>
      </w:r>
      <w:proofErr w:type="spellEnd"/>
      <w:r w:rsidRPr="001A789E">
        <w:rPr>
          <w:rFonts w:eastAsia="Times New Roman" w:cs="Arial"/>
          <w:snapToGrid/>
          <w:color w:val="000000"/>
          <w:szCs w:val="22"/>
          <w:shd w:val="clear" w:color="auto" w:fill="C0C0C0"/>
          <w:lang w:val="en-US" w:eastAsia="en-US"/>
        </w:rPr>
        <w:t xml:space="preserve">, K. </w:t>
      </w:r>
      <w:proofErr w:type="spellStart"/>
      <w:r w:rsidRPr="001A789E">
        <w:rPr>
          <w:rFonts w:eastAsia="Times New Roman" w:cs="Arial"/>
          <w:snapToGrid/>
          <w:color w:val="000000"/>
          <w:szCs w:val="22"/>
          <w:shd w:val="clear" w:color="auto" w:fill="C0C0C0"/>
          <w:lang w:val="en-US" w:eastAsia="en-US"/>
        </w:rPr>
        <w:t>Mintenbeck</w:t>
      </w:r>
      <w:proofErr w:type="spellEnd"/>
      <w:r w:rsidRPr="001A789E">
        <w:rPr>
          <w:rFonts w:eastAsia="Times New Roman" w:cs="Arial"/>
          <w:snapToGrid/>
          <w:color w:val="000000"/>
          <w:szCs w:val="22"/>
          <w:shd w:val="clear" w:color="auto" w:fill="C0C0C0"/>
          <w:lang w:val="en-US" w:eastAsia="en-US"/>
        </w:rPr>
        <w:t xml:space="preserve">, A. Alegría, M. Nicolai, A. </w:t>
      </w:r>
      <w:proofErr w:type="spellStart"/>
      <w:r w:rsidRPr="001A789E">
        <w:rPr>
          <w:rFonts w:eastAsia="Times New Roman" w:cs="Arial"/>
          <w:snapToGrid/>
          <w:color w:val="000000"/>
          <w:szCs w:val="22"/>
          <w:shd w:val="clear" w:color="auto" w:fill="C0C0C0"/>
          <w:lang w:val="en-US" w:eastAsia="en-US"/>
        </w:rPr>
        <w:t>Okem</w:t>
      </w:r>
      <w:proofErr w:type="spellEnd"/>
      <w:r w:rsidRPr="001A789E">
        <w:rPr>
          <w:rFonts w:eastAsia="Times New Roman" w:cs="Arial"/>
          <w:snapToGrid/>
          <w:color w:val="000000"/>
          <w:szCs w:val="22"/>
          <w:shd w:val="clear" w:color="auto" w:fill="C0C0C0"/>
          <w:lang w:val="en-US" w:eastAsia="en-US"/>
        </w:rPr>
        <w:t xml:space="preserve">, J. Petzold, B. Rama and N. M. Weyer (eds.)). In press. </w:t>
      </w:r>
      <w:r w:rsidR="00233B8D">
        <w:fldChar w:fldCharType="begin"/>
      </w:r>
      <w:r w:rsidR="00233B8D" w:rsidRPr="00233B8D">
        <w:rPr>
          <w:lang w:val="en-GB"/>
        </w:rPr>
        <w:instrText>HYPERLINK "https://www.ipcc.ch/srocc/"</w:instrText>
      </w:r>
      <w:r w:rsidR="00233B8D">
        <w:fldChar w:fldCharType="separate"/>
      </w:r>
      <w:r w:rsidRPr="001A789E">
        <w:rPr>
          <w:rFonts w:eastAsia="Times New Roman" w:cs="Arial"/>
          <w:snapToGrid/>
          <w:color w:val="0000FF" w:themeColor="hyperlink"/>
          <w:szCs w:val="22"/>
          <w:u w:val="single"/>
          <w:shd w:val="clear" w:color="auto" w:fill="C0C0C0"/>
          <w:lang w:val="en-US" w:eastAsia="en-US"/>
        </w:rPr>
        <w:t>https://www.ipcc.ch/srocc/</w:t>
      </w:r>
      <w:r w:rsidR="00233B8D">
        <w:rPr>
          <w:rFonts w:eastAsia="Times New Roman" w:cs="Arial"/>
          <w:snapToGrid/>
          <w:color w:val="0000FF" w:themeColor="hyperlink"/>
          <w:szCs w:val="22"/>
          <w:u w:val="single"/>
          <w:shd w:val="clear" w:color="auto" w:fill="C0C0C0"/>
          <w:lang w:val="en-US" w:eastAsia="en-US"/>
        </w:rPr>
        <w:fldChar w:fldCharType="end"/>
      </w:r>
    </w:p>
    <w:p w14:paraId="0D1D11DB" w14:textId="77777777" w:rsidR="001A789E" w:rsidRPr="001A789E" w:rsidRDefault="001A789E" w:rsidP="001A789E">
      <w:pPr>
        <w:spacing w:after="240"/>
        <w:rPr>
          <w:rFonts w:eastAsia="Times New Roman"/>
          <w:lang w:val="en-US" w:eastAsia="en-US"/>
        </w:rPr>
      </w:pPr>
    </w:p>
    <w:p w14:paraId="2F42C0F2"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i/>
          <w:iCs/>
          <w:snapToGrid/>
          <w:color w:val="000000"/>
          <w:szCs w:val="22"/>
          <w:lang w:val="en-US" w:eastAsia="en-US"/>
        </w:rPr>
        <w:t>Additional resources </w:t>
      </w:r>
    </w:p>
    <w:p w14:paraId="2EF0DB35"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snapToGrid/>
          <w:color w:val="000000"/>
          <w:szCs w:val="22"/>
          <w:lang w:val="en-US" w:eastAsia="en-US"/>
        </w:rPr>
        <w:t xml:space="preserve">maximum 3, follow the </w:t>
      </w:r>
      <w:proofErr w:type="gramStart"/>
      <w:r w:rsidRPr="001A789E">
        <w:rPr>
          <w:rFonts w:eastAsia="Times New Roman" w:cs="Arial"/>
          <w:snapToGrid/>
          <w:color w:val="000000"/>
          <w:szCs w:val="22"/>
          <w:lang w:val="en-US" w:eastAsia="en-US"/>
        </w:rPr>
        <w:t>example</w:t>
      </w:r>
      <w:proofErr w:type="gramEnd"/>
    </w:p>
    <w:p w14:paraId="69164B2E"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snapToGrid/>
          <w:color w:val="000000"/>
          <w:szCs w:val="22"/>
          <w:shd w:val="clear" w:color="auto" w:fill="C0C0C0"/>
          <w:lang w:val="en-US" w:eastAsia="en-US"/>
        </w:rPr>
        <w:t xml:space="preserve">IOC SDG 14.3.1 portal </w:t>
      </w:r>
      <w:r w:rsidR="00233B8D">
        <w:fldChar w:fldCharType="begin"/>
      </w:r>
      <w:r w:rsidR="00233B8D" w:rsidRPr="00233B8D">
        <w:rPr>
          <w:lang w:val="en-GB"/>
        </w:rPr>
        <w:instrText>HYPERLINK "http://oa.iode.org"</w:instrText>
      </w:r>
      <w:r w:rsidR="00233B8D">
        <w:fldChar w:fldCharType="separate"/>
      </w:r>
      <w:r w:rsidRPr="001A789E">
        <w:rPr>
          <w:rFonts w:eastAsia="Times New Roman" w:cs="Arial"/>
          <w:snapToGrid/>
          <w:color w:val="0000FF" w:themeColor="hyperlink"/>
          <w:szCs w:val="22"/>
          <w:u w:val="single"/>
          <w:shd w:val="clear" w:color="auto" w:fill="C0C0C0"/>
          <w:lang w:val="en-US" w:eastAsia="en-US"/>
        </w:rPr>
        <w:t>http://oa.iode.org</w:t>
      </w:r>
      <w:r w:rsidR="00233B8D">
        <w:rPr>
          <w:rFonts w:eastAsia="Times New Roman" w:cs="Arial"/>
          <w:snapToGrid/>
          <w:color w:val="0000FF" w:themeColor="hyperlink"/>
          <w:szCs w:val="22"/>
          <w:u w:val="single"/>
          <w:shd w:val="clear" w:color="auto" w:fill="C0C0C0"/>
          <w:lang w:val="en-US" w:eastAsia="en-US"/>
        </w:rPr>
        <w:fldChar w:fldCharType="end"/>
      </w:r>
      <w:r w:rsidRPr="001A789E">
        <w:rPr>
          <w:rFonts w:eastAsia="Times New Roman" w:cs="Arial"/>
          <w:snapToGrid/>
          <w:color w:val="000000"/>
          <w:szCs w:val="22"/>
          <w:shd w:val="clear" w:color="auto" w:fill="C0C0C0"/>
          <w:lang w:val="en-US" w:eastAsia="en-US"/>
        </w:rPr>
        <w:t>  </w:t>
      </w:r>
    </w:p>
    <w:p w14:paraId="174F1621"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snapToGrid/>
          <w:color w:val="000000"/>
          <w:szCs w:val="22"/>
          <w:shd w:val="clear" w:color="auto" w:fill="C0C0C0"/>
          <w:lang w:val="en-US" w:eastAsia="en-US"/>
        </w:rPr>
        <w:t xml:space="preserve">Global Ocean Acidification Observing Network </w:t>
      </w:r>
      <w:hyperlink r:id="rId19" w:history="1">
        <w:r w:rsidRPr="001A789E">
          <w:rPr>
            <w:rFonts w:eastAsia="Times New Roman" w:cs="Arial"/>
            <w:snapToGrid/>
            <w:color w:val="0000FF" w:themeColor="hyperlink"/>
            <w:szCs w:val="22"/>
            <w:u w:val="single"/>
            <w:shd w:val="clear" w:color="auto" w:fill="C0C0C0"/>
            <w:lang w:val="en-US" w:eastAsia="en-US"/>
          </w:rPr>
          <w:t>http://goa-on.org</w:t>
        </w:r>
      </w:hyperlink>
    </w:p>
    <w:p w14:paraId="5010B17A"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val="en-US" w:eastAsia="en-US"/>
        </w:rPr>
      </w:pPr>
      <w:r w:rsidRPr="001A789E">
        <w:rPr>
          <w:rFonts w:eastAsia="Times New Roman" w:cs="Arial"/>
          <w:snapToGrid/>
          <w:color w:val="000000"/>
          <w:szCs w:val="22"/>
          <w:shd w:val="clear" w:color="auto" w:fill="C0C0C0"/>
          <w:lang w:val="en-US" w:eastAsia="en-US"/>
        </w:rPr>
        <w:t xml:space="preserve">Ocean Acidification Research for Sustainability Ocean Decade </w:t>
      </w:r>
      <w:proofErr w:type="spellStart"/>
      <w:r w:rsidRPr="001A789E">
        <w:rPr>
          <w:rFonts w:eastAsia="Times New Roman" w:cs="Arial"/>
          <w:snapToGrid/>
          <w:color w:val="000000"/>
          <w:szCs w:val="22"/>
          <w:shd w:val="clear" w:color="auto" w:fill="C0C0C0"/>
          <w:lang w:val="en-US" w:eastAsia="en-US"/>
        </w:rPr>
        <w:t>Programme</w:t>
      </w:r>
      <w:proofErr w:type="spellEnd"/>
      <w:r w:rsidRPr="001A789E">
        <w:rPr>
          <w:rFonts w:eastAsia="Times New Roman" w:cs="Arial"/>
          <w:snapToGrid/>
          <w:color w:val="000000"/>
          <w:szCs w:val="22"/>
          <w:shd w:val="clear" w:color="auto" w:fill="C0C0C0"/>
          <w:lang w:val="en-US" w:eastAsia="en-US"/>
        </w:rPr>
        <w:t xml:space="preserve"> </w:t>
      </w:r>
      <w:hyperlink r:id="rId20" w:history="1">
        <w:r w:rsidRPr="001A789E">
          <w:rPr>
            <w:rFonts w:eastAsia="Times New Roman" w:cs="Arial"/>
            <w:snapToGrid/>
            <w:color w:val="0000FF" w:themeColor="hyperlink"/>
            <w:szCs w:val="22"/>
            <w:u w:val="single"/>
            <w:shd w:val="clear" w:color="auto" w:fill="C0C0C0"/>
            <w:lang w:val="en-US" w:eastAsia="en-US"/>
          </w:rPr>
          <w:t>http://goa-on.org/oars/overview.php</w:t>
        </w:r>
      </w:hyperlink>
      <w:r w:rsidRPr="001A789E">
        <w:rPr>
          <w:rFonts w:eastAsia="Times New Roman" w:cs="Arial"/>
          <w:snapToGrid/>
          <w:color w:val="000000"/>
          <w:szCs w:val="22"/>
          <w:lang w:val="en-US" w:eastAsia="en-US"/>
        </w:rPr>
        <w:t> </w:t>
      </w:r>
    </w:p>
    <w:p w14:paraId="2B7565B8" w14:textId="77777777" w:rsidR="001A789E" w:rsidRPr="001A789E" w:rsidRDefault="001A789E" w:rsidP="001A789E">
      <w:pPr>
        <w:spacing w:after="240"/>
        <w:rPr>
          <w:rFonts w:eastAsia="Times New Roman"/>
          <w:lang w:val="en-US" w:eastAsia="en-US"/>
        </w:rPr>
      </w:pPr>
    </w:p>
    <w:p w14:paraId="51CC19DC" w14:textId="77777777" w:rsidR="001A789E" w:rsidRPr="001A789E" w:rsidRDefault="001A789E" w:rsidP="001A789E">
      <w:pPr>
        <w:tabs>
          <w:tab w:val="clear" w:pos="567"/>
        </w:tabs>
        <w:snapToGrid/>
        <w:ind w:left="6" w:right="164"/>
        <w:jc w:val="both"/>
        <w:rPr>
          <w:rFonts w:ascii="Times New Roman" w:eastAsia="Times New Roman" w:hAnsi="Times New Roman"/>
          <w:snapToGrid/>
          <w:sz w:val="24"/>
          <w:lang w:eastAsia="en-US"/>
        </w:rPr>
      </w:pPr>
      <w:proofErr w:type="spellStart"/>
      <w:r w:rsidRPr="001A789E">
        <w:rPr>
          <w:rFonts w:eastAsia="Times New Roman" w:cs="Arial"/>
          <w:b/>
          <w:bCs/>
          <w:snapToGrid/>
          <w:color w:val="000000"/>
          <w:szCs w:val="22"/>
          <w:lang w:eastAsia="en-US"/>
        </w:rPr>
        <w:t>Additional</w:t>
      </w:r>
      <w:proofErr w:type="spellEnd"/>
      <w:r w:rsidRPr="001A789E">
        <w:rPr>
          <w:rFonts w:eastAsia="Times New Roman" w:cs="Arial"/>
          <w:b/>
          <w:bCs/>
          <w:snapToGrid/>
          <w:color w:val="000000"/>
          <w:szCs w:val="22"/>
          <w:lang w:eastAsia="en-US"/>
        </w:rPr>
        <w:t xml:space="preserve"> </w:t>
      </w:r>
      <w:proofErr w:type="gramStart"/>
      <w:r w:rsidRPr="001A789E">
        <w:rPr>
          <w:rFonts w:eastAsia="Times New Roman" w:cs="Arial"/>
          <w:b/>
          <w:bCs/>
          <w:snapToGrid/>
          <w:color w:val="000000"/>
          <w:szCs w:val="22"/>
          <w:lang w:eastAsia="en-US"/>
        </w:rPr>
        <w:t>guidance:</w:t>
      </w:r>
      <w:proofErr w:type="gramEnd"/>
      <w:r w:rsidRPr="001A789E">
        <w:rPr>
          <w:rFonts w:eastAsia="Times New Roman" w:cs="Arial"/>
          <w:b/>
          <w:bCs/>
          <w:snapToGrid/>
          <w:color w:val="000000"/>
          <w:szCs w:val="22"/>
          <w:lang w:eastAsia="en-US"/>
        </w:rPr>
        <w:t> </w:t>
      </w:r>
    </w:p>
    <w:p w14:paraId="1E08FAD8" w14:textId="77777777" w:rsidR="001A789E" w:rsidRPr="001A789E" w:rsidRDefault="001A789E" w:rsidP="001A789E">
      <w:pPr>
        <w:numPr>
          <w:ilvl w:val="0"/>
          <w:numId w:val="37"/>
        </w:numPr>
        <w:tabs>
          <w:tab w:val="clear" w:pos="567"/>
        </w:tabs>
        <w:snapToGrid/>
        <w:ind w:left="726" w:right="164"/>
        <w:jc w:val="both"/>
        <w:textAlignment w:val="baseline"/>
        <w:rPr>
          <w:rFonts w:eastAsia="Times New Roman" w:cs="Arial"/>
          <w:snapToGrid/>
          <w:color w:val="000000"/>
          <w:szCs w:val="22"/>
          <w:lang w:eastAsia="en-US"/>
        </w:rPr>
      </w:pPr>
      <w:proofErr w:type="spellStart"/>
      <w:r w:rsidRPr="001A789E">
        <w:rPr>
          <w:rFonts w:eastAsia="Times New Roman" w:cs="Arial"/>
          <w:snapToGrid/>
          <w:color w:val="000000"/>
          <w:szCs w:val="22"/>
          <w:lang w:eastAsia="en-US"/>
        </w:rPr>
        <w:t>Number</w:t>
      </w:r>
      <w:proofErr w:type="spellEnd"/>
      <w:r w:rsidRPr="001A789E">
        <w:rPr>
          <w:rFonts w:eastAsia="Times New Roman" w:cs="Arial"/>
          <w:snapToGrid/>
          <w:color w:val="000000"/>
          <w:szCs w:val="22"/>
          <w:lang w:eastAsia="en-US"/>
        </w:rPr>
        <w:t xml:space="preserve"> of figures maximum 2</w:t>
      </w:r>
    </w:p>
    <w:p w14:paraId="598BF5DA" w14:textId="77777777" w:rsidR="001A789E" w:rsidRPr="001A789E" w:rsidRDefault="001A789E" w:rsidP="001A789E">
      <w:pPr>
        <w:numPr>
          <w:ilvl w:val="0"/>
          <w:numId w:val="37"/>
        </w:numPr>
        <w:tabs>
          <w:tab w:val="clear" w:pos="567"/>
        </w:tabs>
        <w:snapToGrid/>
        <w:ind w:left="726" w:right="164"/>
        <w:jc w:val="both"/>
        <w:textAlignment w:val="baseline"/>
        <w:rPr>
          <w:rFonts w:eastAsia="Times New Roman" w:cs="Arial"/>
          <w:snapToGrid/>
          <w:color w:val="000000"/>
          <w:szCs w:val="22"/>
          <w:lang w:eastAsia="en-US"/>
        </w:rPr>
      </w:pPr>
      <w:proofErr w:type="spellStart"/>
      <w:r w:rsidRPr="001A789E">
        <w:rPr>
          <w:rFonts w:eastAsia="Times New Roman" w:cs="Arial"/>
          <w:snapToGrid/>
          <w:color w:val="000000"/>
          <w:szCs w:val="22"/>
          <w:lang w:eastAsia="en-US"/>
        </w:rPr>
        <w:t>Footnotes</w:t>
      </w:r>
      <w:proofErr w:type="spellEnd"/>
      <w:r w:rsidRPr="001A789E">
        <w:rPr>
          <w:rFonts w:eastAsia="Times New Roman" w:cs="Arial"/>
          <w:snapToGrid/>
          <w:color w:val="000000"/>
          <w:szCs w:val="22"/>
          <w:lang w:eastAsia="en-US"/>
        </w:rPr>
        <w:t xml:space="preserve"> </w:t>
      </w:r>
      <w:proofErr w:type="spellStart"/>
      <w:r w:rsidRPr="001A789E">
        <w:rPr>
          <w:rFonts w:eastAsia="Times New Roman" w:cs="Arial"/>
          <w:snapToGrid/>
          <w:color w:val="000000"/>
          <w:szCs w:val="22"/>
          <w:lang w:eastAsia="en-US"/>
        </w:rPr>
        <w:t>should</w:t>
      </w:r>
      <w:proofErr w:type="spellEnd"/>
      <w:r w:rsidRPr="001A789E">
        <w:rPr>
          <w:rFonts w:eastAsia="Times New Roman" w:cs="Arial"/>
          <w:snapToGrid/>
          <w:color w:val="000000"/>
          <w:szCs w:val="22"/>
          <w:lang w:eastAsia="en-US"/>
        </w:rPr>
        <w:t xml:space="preserve"> </w:t>
      </w:r>
      <w:proofErr w:type="spellStart"/>
      <w:r w:rsidRPr="001A789E">
        <w:rPr>
          <w:rFonts w:eastAsia="Times New Roman" w:cs="Arial"/>
          <w:snapToGrid/>
          <w:color w:val="000000"/>
          <w:szCs w:val="22"/>
          <w:lang w:eastAsia="en-US"/>
        </w:rPr>
        <w:t>be</w:t>
      </w:r>
      <w:proofErr w:type="spellEnd"/>
      <w:r w:rsidRPr="001A789E">
        <w:rPr>
          <w:rFonts w:eastAsia="Times New Roman" w:cs="Arial"/>
          <w:snapToGrid/>
          <w:color w:val="000000"/>
          <w:szCs w:val="22"/>
          <w:lang w:eastAsia="en-US"/>
        </w:rPr>
        <w:t xml:space="preserve"> </w:t>
      </w:r>
      <w:proofErr w:type="spellStart"/>
      <w:r w:rsidRPr="001A789E">
        <w:rPr>
          <w:rFonts w:eastAsia="Times New Roman" w:cs="Arial"/>
          <w:snapToGrid/>
          <w:color w:val="000000"/>
          <w:szCs w:val="22"/>
          <w:lang w:eastAsia="en-US"/>
        </w:rPr>
        <w:t>avoided</w:t>
      </w:r>
      <w:proofErr w:type="spellEnd"/>
    </w:p>
    <w:p w14:paraId="69638DAD" w14:textId="77777777" w:rsidR="001A789E" w:rsidRPr="001A789E" w:rsidRDefault="001A789E" w:rsidP="001A789E">
      <w:pPr>
        <w:tabs>
          <w:tab w:val="clear" w:pos="567"/>
        </w:tabs>
        <w:snapToGrid/>
        <w:spacing w:before="120" w:after="240"/>
        <w:jc w:val="both"/>
        <w:textAlignment w:val="baseline"/>
        <w:rPr>
          <w:rFonts w:eastAsia="Times New Roman" w:cs="Arial"/>
          <w:snapToGrid/>
          <w:color w:val="000000"/>
          <w:szCs w:val="22"/>
          <w:lang w:val="en-US" w:eastAsia="en-US"/>
        </w:rPr>
      </w:pPr>
    </w:p>
    <w:bookmarkEnd w:id="1"/>
    <w:sectPr w:rsidR="001A789E" w:rsidRPr="001A789E" w:rsidSect="00A16CB1">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EA90" w14:textId="77777777" w:rsidR="00727624" w:rsidRDefault="00727624">
      <w:r>
        <w:separator/>
      </w:r>
    </w:p>
  </w:endnote>
  <w:endnote w:type="continuationSeparator" w:id="0">
    <w:p w14:paraId="1477442E" w14:textId="77777777" w:rsidR="00727624" w:rsidRDefault="0072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9E55" w14:textId="77777777" w:rsidR="00A16CB1" w:rsidRDefault="00A16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9BC" w14:textId="77777777" w:rsidR="00A16CB1" w:rsidRDefault="00A16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F346" w14:textId="77777777" w:rsidR="00A16CB1" w:rsidRDefault="00A1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E32F" w14:textId="77777777" w:rsidR="00727624" w:rsidRDefault="00727624">
      <w:r>
        <w:separator/>
      </w:r>
    </w:p>
  </w:footnote>
  <w:footnote w:type="continuationSeparator" w:id="0">
    <w:p w14:paraId="6DDE36FF" w14:textId="77777777" w:rsidR="00727624" w:rsidRDefault="0072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599C" w14:textId="139494EA" w:rsidR="00755CED" w:rsidRPr="00B11A91" w:rsidRDefault="003F3C42" w:rsidP="00B11A91">
    <w:pPr>
      <w:pStyle w:val="Header"/>
      <w:spacing w:after="240"/>
      <w:rPr>
        <w:rFonts w:cs="Arial"/>
        <w:bCs/>
        <w:szCs w:val="22"/>
      </w:rPr>
    </w:pPr>
    <w:r w:rsidRPr="00352423">
      <w:rPr>
        <w:rFonts w:cs="Arial"/>
        <w:bCs/>
        <w:szCs w:val="22"/>
      </w:rPr>
      <w:t>IOC/EC-5</w:t>
    </w:r>
    <w:r w:rsidR="00F60534">
      <w:rPr>
        <w:rFonts w:cs="Arial"/>
        <w:bCs/>
        <w:szCs w:val="22"/>
      </w:rPr>
      <w:t>7</w:t>
    </w:r>
    <w:r w:rsidRPr="00352423">
      <w:rPr>
        <w:rFonts w:cs="Arial"/>
        <w:bCs/>
        <w:szCs w:val="22"/>
      </w:rPr>
      <w:t>/</w:t>
    </w:r>
    <w:r w:rsidR="00562336">
      <w:rPr>
        <w:rFonts w:cs="Arial"/>
        <w:bCs/>
        <w:szCs w:val="22"/>
      </w:rPr>
      <w:t>4</w:t>
    </w:r>
    <w:r w:rsidRPr="00352423">
      <w:rPr>
        <w:rFonts w:cs="Arial"/>
        <w:bCs/>
        <w:szCs w:val="22"/>
      </w:rPr>
      <w:t>.</w:t>
    </w:r>
    <w:proofErr w:type="gramStart"/>
    <w:r w:rsidR="00E94A5D">
      <w:rPr>
        <w:rFonts w:cs="Arial"/>
        <w:bCs/>
        <w:szCs w:val="22"/>
      </w:rPr>
      <w:t>5</w:t>
    </w:r>
    <w:r>
      <w:rPr>
        <w:rFonts w:cs="Arial"/>
        <w:bCs/>
        <w:szCs w:val="22"/>
      </w:rPr>
      <w:t>.</w:t>
    </w:r>
    <w:r w:rsidRPr="00352423">
      <w:rPr>
        <w:rFonts w:cs="Arial"/>
        <w:bCs/>
        <w:szCs w:val="22"/>
      </w:rPr>
      <w:t>Doc</w:t>
    </w:r>
    <w:proofErr w:type="gramEnd"/>
    <w:r w:rsidR="00562336">
      <w:rPr>
        <w:rFonts w:cs="Arial"/>
        <w:bCs/>
        <w:szCs w:val="22"/>
      </w:rPr>
      <w:t>(1)</w:t>
    </w:r>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10D6BF34" w:rsidR="00755CED" w:rsidRPr="00562336" w:rsidRDefault="00562336" w:rsidP="00562336">
    <w:pPr>
      <w:pStyle w:val="Header"/>
      <w:spacing w:after="240"/>
      <w:jc w:val="right"/>
      <w:rPr>
        <w:rFonts w:cs="Arial"/>
        <w:bCs/>
        <w:szCs w:val="22"/>
      </w:rPr>
    </w:pPr>
    <w:r w:rsidRPr="00352423">
      <w:rPr>
        <w:rFonts w:cs="Arial"/>
        <w:bCs/>
        <w:szCs w:val="22"/>
      </w:rPr>
      <w:t>IOC/EC-5</w:t>
    </w:r>
    <w:r>
      <w:rPr>
        <w:rFonts w:cs="Arial"/>
        <w:bCs/>
        <w:szCs w:val="22"/>
      </w:rPr>
      <w:t>7</w:t>
    </w:r>
    <w:r w:rsidRPr="00352423">
      <w:rPr>
        <w:rFonts w:cs="Arial"/>
        <w:bCs/>
        <w:szCs w:val="22"/>
      </w:rPr>
      <w:t>/</w:t>
    </w:r>
    <w:r>
      <w:rPr>
        <w:rFonts w:cs="Arial"/>
        <w:bCs/>
        <w:szCs w:val="22"/>
      </w:rPr>
      <w:t>4</w:t>
    </w:r>
    <w:r w:rsidRPr="00352423">
      <w:rPr>
        <w:rFonts w:cs="Arial"/>
        <w:bCs/>
        <w:szCs w:val="22"/>
      </w:rPr>
      <w:t>.</w:t>
    </w:r>
    <w:proofErr w:type="gramStart"/>
    <w:r w:rsidR="00E94A5D">
      <w:rPr>
        <w:rFonts w:cs="Arial"/>
        <w:bCs/>
        <w:szCs w:val="22"/>
      </w:rPr>
      <w:t>5</w:t>
    </w:r>
    <w:r>
      <w:rPr>
        <w:rFonts w:cs="Arial"/>
        <w:bCs/>
        <w:szCs w:val="22"/>
      </w:rPr>
      <w:t>.</w:t>
    </w:r>
    <w:r w:rsidRPr="00352423">
      <w:rPr>
        <w:rFonts w:cs="Arial"/>
        <w:bCs/>
        <w:szCs w:val="22"/>
      </w:rPr>
      <w:t>Doc</w:t>
    </w:r>
    <w:proofErr w:type="gramEnd"/>
    <w:r>
      <w:rPr>
        <w:rFonts w:cs="Arial"/>
        <w:bCs/>
        <w:szCs w:val="22"/>
      </w:rPr>
      <w:t>(1)</w:t>
    </w:r>
    <w:r w:rsidRPr="00FF54F5">
      <w:rPr>
        <w:rFonts w:cs="Arial"/>
        <w:bCs/>
        <w:szCs w:val="22"/>
      </w:rPr>
      <w:t xml:space="preserve"> – page </w:t>
    </w:r>
    <w:sdt>
      <w:sdtPr>
        <w:rPr>
          <w:rFonts w:cs="Arial"/>
          <w:bCs/>
          <w:szCs w:val="22"/>
        </w:rPr>
        <w:id w:val="-57473948"/>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74D62C4C" w:rsidR="00EB3895" w:rsidRDefault="00562336">
    <w:pPr>
      <w:pStyle w:val="Header"/>
    </w:pPr>
    <w:r>
      <w:rPr>
        <w:noProof/>
      </w:rPr>
      <mc:AlternateContent>
        <mc:Choice Requires="wps">
          <w:drawing>
            <wp:anchor distT="45720" distB="45720" distL="114300" distR="114300" simplePos="0" relativeHeight="251661312" behindDoc="0" locked="0" layoutInCell="1" allowOverlap="1" wp14:anchorId="695F0820" wp14:editId="3E401BEA">
              <wp:simplePos x="0" y="0"/>
              <wp:positionH relativeFrom="column">
                <wp:posOffset>3794760</wp:posOffset>
              </wp:positionH>
              <wp:positionV relativeFrom="paragraph">
                <wp:posOffset>-92710</wp:posOffset>
              </wp:positionV>
              <wp:extent cx="257175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4620"/>
                      </a:xfrm>
                      <a:prstGeom prst="rect">
                        <a:avLst/>
                      </a:prstGeom>
                      <a:noFill/>
                      <a:ln w="9525">
                        <a:noFill/>
                        <a:miter lim="800000"/>
                        <a:headEnd/>
                        <a:tailEnd/>
                      </a:ln>
                    </wps:spPr>
                    <wps:txbx>
                      <w:txbxContent>
                        <w:p w14:paraId="6C6242B4" w14:textId="7F432FDE" w:rsidR="00EB3895" w:rsidRPr="002A5D14" w:rsidRDefault="00EB3895" w:rsidP="00EB3895">
                          <w:pPr>
                            <w:pStyle w:val="Marge"/>
                            <w:tabs>
                              <w:tab w:val="left" w:pos="6237"/>
                              <w:tab w:val="left" w:pos="7088"/>
                            </w:tabs>
                            <w:spacing w:after="0"/>
                            <w:rPr>
                              <w:rFonts w:cs="Arial"/>
                              <w:b/>
                              <w:sz w:val="36"/>
                              <w:szCs w:val="36"/>
                            </w:rPr>
                          </w:pPr>
                          <w:bookmarkStart w:id="4" w:name="_Hlk54263549"/>
                          <w:r w:rsidRPr="002A5D14">
                            <w:rPr>
                              <w:rFonts w:cs="Arial"/>
                              <w:b/>
                              <w:sz w:val="36"/>
                              <w:szCs w:val="36"/>
                            </w:rPr>
                            <w:t>IOC/EC-5</w:t>
                          </w:r>
                          <w:r w:rsidR="00F60534">
                            <w:rPr>
                              <w:rFonts w:cs="Arial"/>
                              <w:b/>
                              <w:sz w:val="36"/>
                              <w:szCs w:val="36"/>
                            </w:rPr>
                            <w:t>7</w:t>
                          </w:r>
                          <w:r w:rsidRPr="002A5D14">
                            <w:rPr>
                              <w:rFonts w:cs="Arial"/>
                              <w:b/>
                              <w:sz w:val="36"/>
                              <w:szCs w:val="36"/>
                            </w:rPr>
                            <w:t>/</w:t>
                          </w:r>
                          <w:r w:rsidR="00562336">
                            <w:rPr>
                              <w:rFonts w:cs="Arial"/>
                              <w:b/>
                              <w:sz w:val="36"/>
                              <w:szCs w:val="36"/>
                            </w:rPr>
                            <w:t>4</w:t>
                          </w:r>
                          <w:r w:rsidRPr="002A5D14">
                            <w:rPr>
                              <w:rFonts w:cs="Arial"/>
                              <w:b/>
                              <w:sz w:val="36"/>
                              <w:szCs w:val="36"/>
                            </w:rPr>
                            <w:t>.</w:t>
                          </w:r>
                          <w:proofErr w:type="gramStart"/>
                          <w:r w:rsidR="001A789E">
                            <w:rPr>
                              <w:rFonts w:cs="Arial"/>
                              <w:b/>
                              <w:sz w:val="36"/>
                              <w:szCs w:val="36"/>
                            </w:rPr>
                            <w:t>5</w:t>
                          </w:r>
                          <w:r w:rsidRPr="002A5D14">
                            <w:rPr>
                              <w:rFonts w:cs="Arial"/>
                              <w:b/>
                              <w:sz w:val="36"/>
                              <w:szCs w:val="36"/>
                            </w:rPr>
                            <w:t>.Doc</w:t>
                          </w:r>
                          <w:bookmarkEnd w:id="4"/>
                          <w:proofErr w:type="gramEnd"/>
                          <w:r w:rsidR="00562336">
                            <w:rPr>
                              <w:rFonts w:cs="Arial"/>
                              <w:b/>
                              <w:sz w:val="36"/>
                              <w:szCs w:val="36"/>
                            </w:rPr>
                            <w:t>(1)</w:t>
                          </w:r>
                        </w:p>
                        <w:p w14:paraId="10A5E3DC" w14:textId="6195FD27"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B94791">
                            <w:rPr>
                              <w:rFonts w:cs="Arial"/>
                              <w:szCs w:val="22"/>
                            </w:rPr>
                            <w:t>26</w:t>
                          </w:r>
                          <w:r w:rsidR="00436275">
                            <w:rPr>
                              <w:rFonts w:cs="Arial"/>
                              <w:szCs w:val="22"/>
                            </w:rPr>
                            <w:t xml:space="preserve"> avril</w:t>
                          </w:r>
                          <w:r w:rsidRPr="002A5D14">
                            <w:rPr>
                              <w:rFonts w:cs="Arial"/>
                              <w:szCs w:val="22"/>
                            </w:rPr>
                            <w:t xml:space="preserve"> 202</w:t>
                          </w:r>
                          <w:r w:rsidR="00F60534">
                            <w:rPr>
                              <w:rFonts w:cs="Arial"/>
                              <w:szCs w:val="22"/>
                            </w:rPr>
                            <w:t>4</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98.8pt;margin-top:-7.3pt;width:2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" filled="f" stroked="f">
              <v:textbox style="mso-fit-shape-to-text:t">
                <w:txbxContent>
                  <w:p w14:paraId="6C6242B4" w14:textId="7F432FDE" w:rsidR="00EB3895" w:rsidRPr="002A5D14" w:rsidRDefault="00EB3895" w:rsidP="00EB3895">
                    <w:pPr>
                      <w:pStyle w:val="Marge"/>
                      <w:tabs>
                        <w:tab w:val="left" w:pos="6237"/>
                        <w:tab w:val="left" w:pos="7088"/>
                      </w:tabs>
                      <w:spacing w:after="0"/>
                      <w:rPr>
                        <w:rFonts w:cs="Arial"/>
                        <w:b/>
                        <w:sz w:val="36"/>
                        <w:szCs w:val="36"/>
                      </w:rPr>
                    </w:pPr>
                    <w:bookmarkStart w:id="5" w:name="_Hlk54263549"/>
                    <w:r w:rsidRPr="002A5D14">
                      <w:rPr>
                        <w:rFonts w:cs="Arial"/>
                        <w:b/>
                        <w:sz w:val="36"/>
                        <w:szCs w:val="36"/>
                      </w:rPr>
                      <w:t>IOC/EC-5</w:t>
                    </w:r>
                    <w:r w:rsidR="00F60534">
                      <w:rPr>
                        <w:rFonts w:cs="Arial"/>
                        <w:b/>
                        <w:sz w:val="36"/>
                        <w:szCs w:val="36"/>
                      </w:rPr>
                      <w:t>7</w:t>
                    </w:r>
                    <w:r w:rsidRPr="002A5D14">
                      <w:rPr>
                        <w:rFonts w:cs="Arial"/>
                        <w:b/>
                        <w:sz w:val="36"/>
                        <w:szCs w:val="36"/>
                      </w:rPr>
                      <w:t>/</w:t>
                    </w:r>
                    <w:r w:rsidR="00562336">
                      <w:rPr>
                        <w:rFonts w:cs="Arial"/>
                        <w:b/>
                        <w:sz w:val="36"/>
                        <w:szCs w:val="36"/>
                      </w:rPr>
                      <w:t>4</w:t>
                    </w:r>
                    <w:r w:rsidRPr="002A5D14">
                      <w:rPr>
                        <w:rFonts w:cs="Arial"/>
                        <w:b/>
                        <w:sz w:val="36"/>
                        <w:szCs w:val="36"/>
                      </w:rPr>
                      <w:t>.</w:t>
                    </w:r>
                    <w:r w:rsidR="001A789E">
                      <w:rPr>
                        <w:rFonts w:cs="Arial"/>
                        <w:b/>
                        <w:sz w:val="36"/>
                        <w:szCs w:val="36"/>
                      </w:rPr>
                      <w:t>5</w:t>
                    </w:r>
                    <w:r w:rsidRPr="002A5D14">
                      <w:rPr>
                        <w:rFonts w:cs="Arial"/>
                        <w:b/>
                        <w:sz w:val="36"/>
                        <w:szCs w:val="36"/>
                      </w:rPr>
                      <w:t>.Doc</w:t>
                    </w:r>
                    <w:bookmarkEnd w:id="5"/>
                    <w:r w:rsidR="00562336">
                      <w:rPr>
                        <w:rFonts w:cs="Arial"/>
                        <w:b/>
                        <w:sz w:val="36"/>
                        <w:szCs w:val="36"/>
                      </w:rPr>
                      <w:t>(1)</w:t>
                    </w:r>
                  </w:p>
                  <w:p w14:paraId="10A5E3DC" w14:textId="6195FD27"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B94791">
                      <w:rPr>
                        <w:rFonts w:cs="Arial"/>
                        <w:szCs w:val="22"/>
                      </w:rPr>
                      <w:t>26</w:t>
                    </w:r>
                    <w:r w:rsidR="00436275">
                      <w:rPr>
                        <w:rFonts w:cs="Arial"/>
                        <w:szCs w:val="22"/>
                      </w:rPr>
                      <w:t xml:space="preserve"> avril</w:t>
                    </w:r>
                    <w:r w:rsidRPr="002A5D14">
                      <w:rPr>
                        <w:rFonts w:cs="Arial"/>
                        <w:szCs w:val="22"/>
                      </w:rPr>
                      <w:t xml:space="preserve"> 202</w:t>
                    </w:r>
                    <w:r w:rsidR="00F60534">
                      <w:rPr>
                        <w:rFonts w:cs="Arial"/>
                        <w:szCs w:val="22"/>
                      </w:rPr>
                      <w:t>4</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074C1DB4">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8862" w14:textId="1299F0FF" w:rsidR="00A16CB1" w:rsidRPr="00A16CB1" w:rsidRDefault="00A16CB1" w:rsidP="00A16C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B6FA" w14:textId="77777777" w:rsidR="00A16CB1" w:rsidRPr="00562336" w:rsidRDefault="00A16CB1" w:rsidP="00562336">
    <w:pPr>
      <w:pStyle w:val="Header"/>
      <w:spacing w:after="240"/>
      <w:jc w:val="right"/>
      <w:rPr>
        <w:rFonts w:cs="Arial"/>
        <w:bCs/>
        <w:szCs w:val="22"/>
      </w:rPr>
    </w:pPr>
    <w:r w:rsidRPr="00352423">
      <w:rPr>
        <w:rFonts w:cs="Arial"/>
        <w:bCs/>
        <w:szCs w:val="22"/>
      </w:rPr>
      <w:t>IOC/EC-5</w:t>
    </w:r>
    <w:r>
      <w:rPr>
        <w:rFonts w:cs="Arial"/>
        <w:bCs/>
        <w:szCs w:val="22"/>
      </w:rPr>
      <w:t>7</w:t>
    </w:r>
    <w:r w:rsidRPr="00352423">
      <w:rPr>
        <w:rFonts w:cs="Arial"/>
        <w:bCs/>
        <w:szCs w:val="22"/>
      </w:rPr>
      <w:t>/</w:t>
    </w:r>
    <w:r>
      <w:rPr>
        <w:rFonts w:cs="Arial"/>
        <w:bCs/>
        <w:szCs w:val="22"/>
      </w:rPr>
      <w:t>4</w:t>
    </w:r>
    <w:r w:rsidRPr="00352423">
      <w:rPr>
        <w:rFonts w:cs="Arial"/>
        <w:bCs/>
        <w:szCs w:val="22"/>
      </w:rPr>
      <w:t>.</w:t>
    </w:r>
    <w:proofErr w:type="gramStart"/>
    <w:r>
      <w:rPr>
        <w:rFonts w:cs="Arial"/>
        <w:bCs/>
        <w:szCs w:val="22"/>
      </w:rPr>
      <w:t>5.</w:t>
    </w:r>
    <w:r w:rsidRPr="00352423">
      <w:rPr>
        <w:rFonts w:cs="Arial"/>
        <w:bCs/>
        <w:szCs w:val="22"/>
      </w:rPr>
      <w:t>Doc</w:t>
    </w:r>
    <w:proofErr w:type="gramEnd"/>
    <w:r>
      <w:rPr>
        <w:rFonts w:cs="Arial"/>
        <w:bCs/>
        <w:szCs w:val="22"/>
      </w:rPr>
      <w:t>(1)</w:t>
    </w:r>
    <w:r w:rsidRPr="00FF54F5">
      <w:rPr>
        <w:rFonts w:cs="Arial"/>
        <w:bCs/>
        <w:szCs w:val="22"/>
      </w:rPr>
      <w:t xml:space="preserve"> – page </w:t>
    </w:r>
    <w:sdt>
      <w:sdtPr>
        <w:rPr>
          <w:rFonts w:cs="Arial"/>
          <w:bCs/>
          <w:szCs w:val="22"/>
        </w:rPr>
        <w:id w:val="2048870186"/>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1617" w14:textId="12AF28DC" w:rsidR="00A16CB1" w:rsidRPr="00A16CB1" w:rsidRDefault="00A16CB1" w:rsidP="00A16CB1">
    <w:pPr>
      <w:pStyle w:val="Header"/>
      <w:spacing w:after="240"/>
      <w:ind w:left="7371"/>
    </w:pPr>
    <w:r w:rsidRPr="00352423">
      <w:rPr>
        <w:rFonts w:cs="Arial"/>
        <w:bCs/>
        <w:szCs w:val="22"/>
      </w:rPr>
      <w:t>IOC/EC-5</w:t>
    </w:r>
    <w:r>
      <w:rPr>
        <w:rFonts w:cs="Arial"/>
        <w:bCs/>
        <w:szCs w:val="22"/>
      </w:rPr>
      <w:t>7</w:t>
    </w:r>
    <w:r w:rsidRPr="00352423">
      <w:rPr>
        <w:rFonts w:cs="Arial"/>
        <w:bCs/>
        <w:szCs w:val="22"/>
      </w:rPr>
      <w:t>/</w:t>
    </w:r>
    <w:r>
      <w:rPr>
        <w:rFonts w:cs="Arial"/>
        <w:bCs/>
        <w:szCs w:val="22"/>
      </w:rPr>
      <w:t>4</w:t>
    </w:r>
    <w:r w:rsidRPr="00352423">
      <w:rPr>
        <w:rFonts w:cs="Arial"/>
        <w:bCs/>
        <w:szCs w:val="22"/>
      </w:rPr>
      <w:t>.</w:t>
    </w:r>
    <w:proofErr w:type="gramStart"/>
    <w:r>
      <w:rPr>
        <w:rFonts w:cs="Arial"/>
        <w:bCs/>
        <w:szCs w:val="22"/>
      </w:rPr>
      <w:t>5.</w:t>
    </w:r>
    <w:r w:rsidRPr="00352423">
      <w:rPr>
        <w:rFonts w:cs="Arial"/>
        <w:bCs/>
        <w:szCs w:val="22"/>
      </w:rPr>
      <w:t>Doc</w:t>
    </w:r>
    <w:proofErr w:type="gramEnd"/>
    <w:r>
      <w:rPr>
        <w:rFonts w:cs="Arial"/>
        <w:bCs/>
        <w:szCs w:val="22"/>
      </w:rPr>
      <w:t>(1)</w:t>
    </w:r>
    <w:r>
      <w:rPr>
        <w:rFonts w:cs="Arial"/>
        <w:bCs/>
        <w:szCs w:val="22"/>
      </w:rPr>
      <w:br/>
      <w:t>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006FE"/>
    <w:multiLevelType w:val="multilevel"/>
    <w:tmpl w:val="F9BAFD2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673778F"/>
    <w:multiLevelType w:val="multilevel"/>
    <w:tmpl w:val="D7C89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0"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D2269"/>
    <w:multiLevelType w:val="hybridMultilevel"/>
    <w:tmpl w:val="BB068D26"/>
    <w:lvl w:ilvl="0" w:tplc="32AC4466">
      <w:start w:val="1"/>
      <w:numFmt w:val="lowerRoman"/>
      <w:lvlText w:val="(%1)"/>
      <w:lvlJc w:val="left"/>
      <w:pPr>
        <w:ind w:left="720" w:hanging="360"/>
      </w:pPr>
      <w:rPr>
        <w:rFonts w:ascii="Arial" w:eastAsia="Times New Roman" w:hAnsi="Arial" w:cs="Times" w:hint="default"/>
        <w:w w:val="99"/>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9"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54081"/>
    <w:multiLevelType w:val="multilevel"/>
    <w:tmpl w:val="902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20902"/>
    <w:multiLevelType w:val="multilevel"/>
    <w:tmpl w:val="9D52BE26"/>
    <w:lvl w:ilvl="0">
      <w:start w:val="1"/>
      <w:numFmt w:val="decimal"/>
      <w:lvlText w:val="%1."/>
      <w:lvlJc w:val="left"/>
      <w:pPr>
        <w:tabs>
          <w:tab w:val="num" w:pos="720"/>
        </w:tabs>
        <w:ind w:left="720" w:hanging="360"/>
      </w:pPr>
    </w:lvl>
    <w:lvl w:ilvl="1">
      <w:start w:val="1"/>
      <w:numFmt w:val="lowerRoman"/>
      <w:lvlText w:val="(%2)"/>
      <w:lvlJc w:val="left"/>
      <w:pPr>
        <w:ind w:left="2770" w:hanging="360"/>
      </w:pPr>
      <w:rPr>
        <w:rFonts w:hint="default"/>
        <w:b w:val="0"/>
        <w:i/>
        <w:iCs w:val="0"/>
        <w:sz w:val="22"/>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8"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679115">
    <w:abstractNumId w:val="9"/>
  </w:num>
  <w:num w:numId="2" w16cid:durableId="1912617826">
    <w:abstractNumId w:val="9"/>
  </w:num>
  <w:num w:numId="3" w16cid:durableId="1882814434">
    <w:abstractNumId w:val="5"/>
  </w:num>
  <w:num w:numId="4" w16cid:durableId="855845934">
    <w:abstractNumId w:val="21"/>
  </w:num>
  <w:num w:numId="5" w16cid:durableId="1469274244">
    <w:abstractNumId w:val="11"/>
  </w:num>
  <w:num w:numId="6" w16cid:durableId="1110856358">
    <w:abstractNumId w:val="14"/>
  </w:num>
  <w:num w:numId="7" w16cid:durableId="1678538405">
    <w:abstractNumId w:val="26"/>
  </w:num>
  <w:num w:numId="8" w16cid:durableId="1203321601">
    <w:abstractNumId w:val="19"/>
  </w:num>
  <w:num w:numId="9" w16cid:durableId="482090277">
    <w:abstractNumId w:val="5"/>
  </w:num>
  <w:num w:numId="10" w16cid:durableId="750273364">
    <w:abstractNumId w:val="5"/>
  </w:num>
  <w:num w:numId="11" w16cid:durableId="135606834">
    <w:abstractNumId w:val="5"/>
  </w:num>
  <w:num w:numId="12" w16cid:durableId="477651858">
    <w:abstractNumId w:val="5"/>
  </w:num>
  <w:num w:numId="13" w16cid:durableId="454371606">
    <w:abstractNumId w:val="16"/>
  </w:num>
  <w:num w:numId="14" w16cid:durableId="41638138">
    <w:abstractNumId w:val="1"/>
  </w:num>
  <w:num w:numId="15" w16cid:durableId="1048645409">
    <w:abstractNumId w:val="15"/>
  </w:num>
  <w:num w:numId="16" w16cid:durableId="585189556">
    <w:abstractNumId w:val="5"/>
  </w:num>
  <w:num w:numId="17" w16cid:durableId="831026069">
    <w:abstractNumId w:val="2"/>
  </w:num>
  <w:num w:numId="18" w16cid:durableId="2123071220">
    <w:abstractNumId w:val="5"/>
  </w:num>
  <w:num w:numId="19" w16cid:durableId="1803887249">
    <w:abstractNumId w:val="0"/>
  </w:num>
  <w:num w:numId="20" w16cid:durableId="2513557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726909">
    <w:abstractNumId w:val="18"/>
  </w:num>
  <w:num w:numId="22" w16cid:durableId="1707096208">
    <w:abstractNumId w:val="7"/>
  </w:num>
  <w:num w:numId="23" w16cid:durableId="6564277">
    <w:abstractNumId w:val="28"/>
  </w:num>
  <w:num w:numId="24" w16cid:durableId="247009484">
    <w:abstractNumId w:val="3"/>
  </w:num>
  <w:num w:numId="25" w16cid:durableId="972752190">
    <w:abstractNumId w:val="24"/>
  </w:num>
  <w:num w:numId="26" w16cid:durableId="304773390">
    <w:abstractNumId w:val="8"/>
  </w:num>
  <w:num w:numId="27" w16cid:durableId="733890571">
    <w:abstractNumId w:val="22"/>
  </w:num>
  <w:num w:numId="28" w16cid:durableId="541597133">
    <w:abstractNumId w:val="12"/>
  </w:num>
  <w:num w:numId="29" w16cid:durableId="2110197955">
    <w:abstractNumId w:val="29"/>
  </w:num>
  <w:num w:numId="30" w16cid:durableId="519009268">
    <w:abstractNumId w:val="17"/>
  </w:num>
  <w:num w:numId="31" w16cid:durableId="1661233601">
    <w:abstractNumId w:val="25"/>
  </w:num>
  <w:num w:numId="32" w16cid:durableId="990329989">
    <w:abstractNumId w:val="10"/>
  </w:num>
  <w:num w:numId="33" w16cid:durableId="1950120245">
    <w:abstractNumId w:val="4"/>
  </w:num>
  <w:num w:numId="34" w16cid:durableId="139083171">
    <w:abstractNumId w:val="6"/>
  </w:num>
  <w:num w:numId="35" w16cid:durableId="984119450">
    <w:abstractNumId w:val="23"/>
  </w:num>
  <w:num w:numId="36" w16cid:durableId="1552225510">
    <w:abstractNumId w:val="13"/>
  </w:num>
  <w:num w:numId="37" w16cid:durableId="14868963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16371"/>
    <w:rsid w:val="000373A7"/>
    <w:rsid w:val="00092A80"/>
    <w:rsid w:val="00092E0B"/>
    <w:rsid w:val="000B0E4E"/>
    <w:rsid w:val="000D39FC"/>
    <w:rsid w:val="000D4E4C"/>
    <w:rsid w:val="000E7AEA"/>
    <w:rsid w:val="000F1DBA"/>
    <w:rsid w:val="000F258B"/>
    <w:rsid w:val="00100A35"/>
    <w:rsid w:val="0011081B"/>
    <w:rsid w:val="0011114C"/>
    <w:rsid w:val="0011169E"/>
    <w:rsid w:val="00177B08"/>
    <w:rsid w:val="001912E2"/>
    <w:rsid w:val="001954CB"/>
    <w:rsid w:val="001A6E27"/>
    <w:rsid w:val="001A789E"/>
    <w:rsid w:val="001C6211"/>
    <w:rsid w:val="001E1961"/>
    <w:rsid w:val="001E19D4"/>
    <w:rsid w:val="001E413E"/>
    <w:rsid w:val="001F1F04"/>
    <w:rsid w:val="001F5D62"/>
    <w:rsid w:val="00201171"/>
    <w:rsid w:val="00213953"/>
    <w:rsid w:val="00226B0D"/>
    <w:rsid w:val="00233B8D"/>
    <w:rsid w:val="00234C33"/>
    <w:rsid w:val="00261E65"/>
    <w:rsid w:val="00265314"/>
    <w:rsid w:val="002750C1"/>
    <w:rsid w:val="002B4B18"/>
    <w:rsid w:val="002D2C1D"/>
    <w:rsid w:val="002E70A1"/>
    <w:rsid w:val="00310E5D"/>
    <w:rsid w:val="00311ECE"/>
    <w:rsid w:val="003210F7"/>
    <w:rsid w:val="0034355C"/>
    <w:rsid w:val="003442AA"/>
    <w:rsid w:val="00346C46"/>
    <w:rsid w:val="003557A8"/>
    <w:rsid w:val="00363D04"/>
    <w:rsid w:val="00365CD2"/>
    <w:rsid w:val="003829C6"/>
    <w:rsid w:val="00397DEC"/>
    <w:rsid w:val="003B58D6"/>
    <w:rsid w:val="003C328B"/>
    <w:rsid w:val="003D46DA"/>
    <w:rsid w:val="003D4875"/>
    <w:rsid w:val="003D675F"/>
    <w:rsid w:val="003E2147"/>
    <w:rsid w:val="003E27AC"/>
    <w:rsid w:val="003F3C42"/>
    <w:rsid w:val="00401C01"/>
    <w:rsid w:val="0041299F"/>
    <w:rsid w:val="004213D0"/>
    <w:rsid w:val="00436275"/>
    <w:rsid w:val="004573F3"/>
    <w:rsid w:val="004618DE"/>
    <w:rsid w:val="00463EA2"/>
    <w:rsid w:val="00484032"/>
    <w:rsid w:val="00494C58"/>
    <w:rsid w:val="004A327F"/>
    <w:rsid w:val="004B08C6"/>
    <w:rsid w:val="004B6DD5"/>
    <w:rsid w:val="004C08D6"/>
    <w:rsid w:val="004C100E"/>
    <w:rsid w:val="004C1526"/>
    <w:rsid w:val="004C1D3F"/>
    <w:rsid w:val="004C3E47"/>
    <w:rsid w:val="004D05D2"/>
    <w:rsid w:val="004D0F08"/>
    <w:rsid w:val="00511D63"/>
    <w:rsid w:val="00513180"/>
    <w:rsid w:val="005169D0"/>
    <w:rsid w:val="00533732"/>
    <w:rsid w:val="00562336"/>
    <w:rsid w:val="00572AC5"/>
    <w:rsid w:val="00596B7E"/>
    <w:rsid w:val="005B5EF5"/>
    <w:rsid w:val="005D54DD"/>
    <w:rsid w:val="00612922"/>
    <w:rsid w:val="00623957"/>
    <w:rsid w:val="006519AE"/>
    <w:rsid w:val="00655725"/>
    <w:rsid w:val="00673F0C"/>
    <w:rsid w:val="006835E4"/>
    <w:rsid w:val="00695BA3"/>
    <w:rsid w:val="0069684F"/>
    <w:rsid w:val="006A3031"/>
    <w:rsid w:val="006C2C65"/>
    <w:rsid w:val="006D052A"/>
    <w:rsid w:val="006D36DB"/>
    <w:rsid w:val="006D6768"/>
    <w:rsid w:val="006E2A83"/>
    <w:rsid w:val="006F1036"/>
    <w:rsid w:val="00707C1B"/>
    <w:rsid w:val="00727624"/>
    <w:rsid w:val="007449EA"/>
    <w:rsid w:val="00753AFA"/>
    <w:rsid w:val="00755CED"/>
    <w:rsid w:val="0076217F"/>
    <w:rsid w:val="007701CE"/>
    <w:rsid w:val="00773D5C"/>
    <w:rsid w:val="00783CE9"/>
    <w:rsid w:val="007A1081"/>
    <w:rsid w:val="007A3E25"/>
    <w:rsid w:val="007A45CC"/>
    <w:rsid w:val="007A49EB"/>
    <w:rsid w:val="007A7EC6"/>
    <w:rsid w:val="007C403E"/>
    <w:rsid w:val="007E6082"/>
    <w:rsid w:val="007F2BA5"/>
    <w:rsid w:val="00807867"/>
    <w:rsid w:val="00814BE9"/>
    <w:rsid w:val="00835BC3"/>
    <w:rsid w:val="0085153D"/>
    <w:rsid w:val="008608E4"/>
    <w:rsid w:val="00863317"/>
    <w:rsid w:val="008735A8"/>
    <w:rsid w:val="00873BED"/>
    <w:rsid w:val="008852E4"/>
    <w:rsid w:val="008871F2"/>
    <w:rsid w:val="008A6802"/>
    <w:rsid w:val="008B33AC"/>
    <w:rsid w:val="008C24D0"/>
    <w:rsid w:val="008C3D95"/>
    <w:rsid w:val="008C59A5"/>
    <w:rsid w:val="00902342"/>
    <w:rsid w:val="00904C98"/>
    <w:rsid w:val="009053BE"/>
    <w:rsid w:val="009063B7"/>
    <w:rsid w:val="00907D3B"/>
    <w:rsid w:val="009173FE"/>
    <w:rsid w:val="00920B40"/>
    <w:rsid w:val="00932970"/>
    <w:rsid w:val="00972BBF"/>
    <w:rsid w:val="0098415A"/>
    <w:rsid w:val="009B16C3"/>
    <w:rsid w:val="009B513F"/>
    <w:rsid w:val="009E53F6"/>
    <w:rsid w:val="009E6CEB"/>
    <w:rsid w:val="00A00B63"/>
    <w:rsid w:val="00A16CB1"/>
    <w:rsid w:val="00A23875"/>
    <w:rsid w:val="00A33021"/>
    <w:rsid w:val="00A36041"/>
    <w:rsid w:val="00A45300"/>
    <w:rsid w:val="00A612F8"/>
    <w:rsid w:val="00A70F48"/>
    <w:rsid w:val="00B11A91"/>
    <w:rsid w:val="00B143FE"/>
    <w:rsid w:val="00B243F2"/>
    <w:rsid w:val="00B2519D"/>
    <w:rsid w:val="00B3786B"/>
    <w:rsid w:val="00B473FC"/>
    <w:rsid w:val="00B54018"/>
    <w:rsid w:val="00B54421"/>
    <w:rsid w:val="00B557FF"/>
    <w:rsid w:val="00B80382"/>
    <w:rsid w:val="00B872CA"/>
    <w:rsid w:val="00B94791"/>
    <w:rsid w:val="00BC1245"/>
    <w:rsid w:val="00BC76D0"/>
    <w:rsid w:val="00BD5A86"/>
    <w:rsid w:val="00BE3F20"/>
    <w:rsid w:val="00BE6632"/>
    <w:rsid w:val="00C05FC8"/>
    <w:rsid w:val="00C108A8"/>
    <w:rsid w:val="00C138E0"/>
    <w:rsid w:val="00C3501E"/>
    <w:rsid w:val="00C41845"/>
    <w:rsid w:val="00C84B6A"/>
    <w:rsid w:val="00C91036"/>
    <w:rsid w:val="00CA1880"/>
    <w:rsid w:val="00CA48CF"/>
    <w:rsid w:val="00CB5521"/>
    <w:rsid w:val="00CC085D"/>
    <w:rsid w:val="00CC3A67"/>
    <w:rsid w:val="00CC501A"/>
    <w:rsid w:val="00CE5093"/>
    <w:rsid w:val="00CE7C2F"/>
    <w:rsid w:val="00D23B0B"/>
    <w:rsid w:val="00D23EDD"/>
    <w:rsid w:val="00D302AD"/>
    <w:rsid w:val="00D4515E"/>
    <w:rsid w:val="00D86646"/>
    <w:rsid w:val="00DA71B9"/>
    <w:rsid w:val="00DC1F0C"/>
    <w:rsid w:val="00DC4341"/>
    <w:rsid w:val="00DC7F96"/>
    <w:rsid w:val="00DD53BA"/>
    <w:rsid w:val="00DD6E32"/>
    <w:rsid w:val="00DF1829"/>
    <w:rsid w:val="00E174A3"/>
    <w:rsid w:val="00E54757"/>
    <w:rsid w:val="00E55EEC"/>
    <w:rsid w:val="00E5717B"/>
    <w:rsid w:val="00E621C7"/>
    <w:rsid w:val="00E62C51"/>
    <w:rsid w:val="00E65D5E"/>
    <w:rsid w:val="00E71F05"/>
    <w:rsid w:val="00E72FD7"/>
    <w:rsid w:val="00E80CF6"/>
    <w:rsid w:val="00E912CA"/>
    <w:rsid w:val="00E94A5D"/>
    <w:rsid w:val="00EB0EBC"/>
    <w:rsid w:val="00EB3895"/>
    <w:rsid w:val="00ED39E0"/>
    <w:rsid w:val="00EF3A55"/>
    <w:rsid w:val="00F017CE"/>
    <w:rsid w:val="00F04FBD"/>
    <w:rsid w:val="00F077E7"/>
    <w:rsid w:val="00F13119"/>
    <w:rsid w:val="00F20476"/>
    <w:rsid w:val="00F60534"/>
    <w:rsid w:val="00F90CD8"/>
    <w:rsid w:val="00F92310"/>
    <w:rsid w:val="00F94805"/>
    <w:rsid w:val="00FB3993"/>
    <w:rsid w:val="00FC7B23"/>
    <w:rsid w:val="00FD078F"/>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uiPriority w:val="99"/>
    <w:pPr>
      <w:ind w:firstLine="0"/>
    </w:pPr>
  </w:style>
  <w:style w:type="paragraph" w:styleId="FootnoteText">
    <w:name w:val="footnote text"/>
    <w:basedOn w:val="Normal"/>
    <w:link w:val="FootnoteTextChar"/>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table" w:customStyle="1" w:styleId="Grilledutableau1">
    <w:name w:val="Grille du tableau1"/>
    <w:basedOn w:val="TableNormal"/>
    <w:next w:val="TableGrid"/>
    <w:rsid w:val="0056233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2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5266.locale=fr" TargetMode="External"/><Relationship Id="rId13" Type="http://schemas.openxmlformats.org/officeDocument/2006/relationships/hyperlink" Target="https://oceanexpert.org/document/33305" TargetMode="External"/><Relationship Id="rId18" Type="http://schemas.openxmlformats.org/officeDocument/2006/relationships/hyperlink" Target="https://doi.org/10.5194/essd-12-3269-202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oceanexpert.org/document/32845"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goa-on.org/oars/overview.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81921.locale=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ceanexpert.org/document/28482" TargetMode="External"/><Relationship Id="rId19" Type="http://schemas.openxmlformats.org/officeDocument/2006/relationships/hyperlink" Target="http://goa-on.org" TargetMode="External"/><Relationship Id="rId4" Type="http://schemas.openxmlformats.org/officeDocument/2006/relationships/settings" Target="settings.xml"/><Relationship Id="rId9" Type="http://schemas.openxmlformats.org/officeDocument/2006/relationships/hyperlink" Target="https://oceanexpert.org/document/28087" TargetMode="External"/><Relationship Id="rId14" Type="http://schemas.openxmlformats.org/officeDocument/2006/relationships/hyperlink" Target="https://oceandecade.org/fr/vision-mission/"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13051</Characters>
  <Application>Microsoft Office Word</Application>
  <DocSecurity>4</DocSecurity>
  <Lines>108</Lines>
  <Paragraphs>30</Paragraphs>
  <ScaleCrop>false</ScaleCrop>
  <HeadingPairs>
    <vt:vector size="2" baseType="variant">
      <vt:variant>
        <vt:lpstr>Titre</vt:lpstr>
      </vt:variant>
      <vt:variant>
        <vt:i4>1</vt:i4>
      </vt:variant>
    </vt:vector>
  </HeadingPairs>
  <TitlesOfParts>
    <vt:vector size="1" baseType="lpstr">
      <vt:lpstr>Commission océanographique intergouvernementale (de l’UNESCO) – Cinquante-septième session du Conseil exécutif – UNESCO, Paris, 25-28 juin 2024 – Point 4.5 de l'ordre du jour provisoire – Rapport sur la deuxième édition du Rapport sur l'état de l'océan (2</vt:lpstr>
    </vt:vector>
  </TitlesOfParts>
  <Company>Unesco</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océanographique intergouvernementale (de l’UNESCO) – Cinquante-septième session du Conseil exécutif – UNESCO, Paris, 25-28 juin 2024 – Point 4.5 de l'ordre du jour provisoire – Rapport sur la deuxième édition du Rapport sur l'état de l'océan (2024) et orientations pour les éditions futures</dc:title>
  <dc:subject>IOC/EC-57/4.5.Doc(1)</dc:subject>
  <dc:creator>as.machu@unesco.org</dc:creator>
  <cp:keywords>18.12F</cp:keywords>
  <dc:description/>
  <cp:lastModifiedBy>Boned, Patrice</cp:lastModifiedBy>
  <cp:revision>2</cp:revision>
  <cp:lastPrinted>2012-08-02T14:52:00Z</cp:lastPrinted>
  <dcterms:created xsi:type="dcterms:W3CDTF">2024-05-02T12:49:00Z</dcterms:created>
  <dcterms:modified xsi:type="dcterms:W3CDTF">2024-05-02T12:49:00Z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202402759</vt:lpwstr>
  </property>
</Properties>
</file>