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ayout w:type="fixed"/>
        <w:tblLook w:val="04A0" w:firstRow="1" w:lastRow="0" w:firstColumn="1" w:lastColumn="0" w:noHBand="0" w:noVBand="1"/>
      </w:tblPr>
      <w:tblGrid>
        <w:gridCol w:w="8359"/>
      </w:tblGrid>
      <w:tr w:rsidR="00FA68D9" w:rsidRPr="00F66F5F" w14:paraId="1709CCC6" w14:textId="77777777" w:rsidTr="00FF0D75">
        <w:trPr>
          <w:trHeight w:val="5617"/>
          <w:jc w:val="center"/>
        </w:trPr>
        <w:tc>
          <w:tcPr>
            <w:tcW w:w="8359" w:type="dxa"/>
          </w:tcPr>
          <w:p w14:paraId="33D8523D" w14:textId="2EFF265F" w:rsidR="001B5075" w:rsidRPr="00F66F5F" w:rsidRDefault="001B5075" w:rsidP="00FF0D75">
            <w:pPr>
              <w:tabs>
                <w:tab w:val="clear" w:pos="567"/>
              </w:tabs>
              <w:snapToGrid/>
              <w:spacing w:before="120" w:after="240"/>
              <w:jc w:val="center"/>
              <w:rPr>
                <w:rFonts w:ascii="Arial" w:hAnsi="Arial" w:cs="Arial"/>
                <w:bCs/>
                <w:sz w:val="22"/>
                <w:szCs w:val="22"/>
                <w:u w:val="single"/>
                <w:lang w:val="es-ES"/>
              </w:rPr>
            </w:pPr>
            <w:r w:rsidRPr="00F66F5F">
              <w:rPr>
                <w:rFonts w:ascii="Arial" w:hAnsi="Arial" w:cs="Arial"/>
                <w:sz w:val="22"/>
                <w:szCs w:val="22"/>
                <w:u w:val="single"/>
                <w:lang w:val="es-ES"/>
              </w:rPr>
              <w:t>Resumen</w:t>
            </w:r>
          </w:p>
          <w:p w14:paraId="562E8283" w14:textId="47774A67" w:rsidR="00FA68D9" w:rsidRPr="00F66F5F" w:rsidRDefault="00FA68D9" w:rsidP="001676B6">
            <w:pPr>
              <w:tabs>
                <w:tab w:val="clear" w:pos="567"/>
              </w:tabs>
              <w:snapToGrid/>
              <w:spacing w:after="200"/>
              <w:jc w:val="both"/>
              <w:rPr>
                <w:rFonts w:ascii="Arial" w:eastAsia="Times New Roman" w:hAnsi="Arial" w:cs="Arial"/>
                <w:sz w:val="22"/>
                <w:szCs w:val="22"/>
                <w:lang w:val="es-ES"/>
              </w:rPr>
            </w:pPr>
            <w:r w:rsidRPr="00F66F5F">
              <w:rPr>
                <w:rFonts w:ascii="Arial" w:hAnsi="Arial" w:cs="Arial"/>
                <w:sz w:val="22"/>
                <w:szCs w:val="22"/>
                <w:lang w:val="es-ES"/>
              </w:rPr>
              <w:t>El informe comienza con una introducción del Secretario Ejecutivo de la COI.</w:t>
            </w:r>
          </w:p>
          <w:p w14:paraId="0CB7C22B" w14:textId="466E24E3" w:rsidR="001B5075" w:rsidRPr="00F66F5F" w:rsidRDefault="007C4C1D" w:rsidP="001676B6">
            <w:pPr>
              <w:tabs>
                <w:tab w:val="clear" w:pos="567"/>
              </w:tabs>
              <w:snapToGrid/>
              <w:spacing w:after="200"/>
              <w:jc w:val="both"/>
              <w:rPr>
                <w:rFonts w:ascii="Arial" w:hAnsi="Arial" w:cs="Arial"/>
                <w:sz w:val="22"/>
                <w:szCs w:val="22"/>
                <w:lang w:val="es-ES"/>
              </w:rPr>
            </w:pPr>
            <w:r w:rsidRPr="00F66F5F">
              <w:rPr>
                <w:rFonts w:ascii="Arial" w:hAnsi="Arial" w:cs="Arial"/>
                <w:sz w:val="22"/>
                <w:szCs w:val="22"/>
                <w:lang w:val="es-ES"/>
              </w:rPr>
              <w:t>A continuación se presentan los aspectos más destacados de la ejecución del programa y la evaluación de los progresos realizados con respecto al marco de resultados de la COI para 2022-2023 en relación con los indicadores de resultados y las metas aprobados.</w:t>
            </w:r>
          </w:p>
          <w:p w14:paraId="39C2A891" w14:textId="0A89FFA5" w:rsidR="007C4C1D" w:rsidRPr="00F66F5F" w:rsidRDefault="00E67743" w:rsidP="001676B6">
            <w:pPr>
              <w:tabs>
                <w:tab w:val="clear" w:pos="567"/>
              </w:tabs>
              <w:snapToGrid/>
              <w:spacing w:after="200"/>
              <w:jc w:val="both"/>
              <w:rPr>
                <w:rFonts w:ascii="Arial" w:eastAsia="Times New Roman" w:hAnsi="Arial" w:cs="Arial"/>
                <w:sz w:val="22"/>
                <w:szCs w:val="22"/>
                <w:lang w:val="es-ES"/>
              </w:rPr>
            </w:pPr>
            <w:r w:rsidRPr="00F66F5F">
              <w:rPr>
                <w:rFonts w:ascii="Arial" w:hAnsi="Arial" w:cs="Arial"/>
                <w:sz w:val="22"/>
                <w:szCs w:val="22"/>
                <w:lang w:val="es-ES"/>
              </w:rPr>
              <w:t>En el addendum del presente documento, disponible únicamente en inglés, se proporciona información actualizada y detallada sobre el trabajo realizado por la COI, función por función, durante el periodo comprendido entre junio de 2023 y mayo de 2024.</w:t>
            </w:r>
          </w:p>
          <w:p w14:paraId="10E6030E" w14:textId="21BCA479" w:rsidR="00FA68D9" w:rsidRPr="00F66F5F" w:rsidRDefault="00FA68D9" w:rsidP="001676B6">
            <w:pPr>
              <w:tabs>
                <w:tab w:val="clear" w:pos="567"/>
              </w:tabs>
              <w:snapToGrid/>
              <w:spacing w:after="200"/>
              <w:jc w:val="both"/>
              <w:rPr>
                <w:rFonts w:ascii="Arial" w:eastAsia="Times New Roman" w:hAnsi="Arial" w:cs="Arial"/>
                <w:sz w:val="22"/>
                <w:szCs w:val="22"/>
                <w:lang w:val="es-ES"/>
              </w:rPr>
            </w:pPr>
            <w:r w:rsidRPr="00F66F5F">
              <w:rPr>
                <w:rFonts w:ascii="Arial" w:hAnsi="Arial" w:cs="Arial"/>
                <w:sz w:val="22"/>
                <w:szCs w:val="22"/>
                <w:lang w:val="es-ES"/>
              </w:rPr>
              <w:t xml:space="preserve">Además, el </w:t>
            </w:r>
            <w:r w:rsidR="001676B6" w:rsidRPr="00F66F5F">
              <w:rPr>
                <w:rFonts w:ascii="Arial" w:hAnsi="Arial" w:cs="Arial"/>
                <w:sz w:val="22"/>
                <w:szCs w:val="22"/>
                <w:lang w:val="es-ES"/>
              </w:rPr>
              <w:t>i</w:t>
            </w:r>
            <w:r w:rsidRPr="00F66F5F">
              <w:rPr>
                <w:rFonts w:ascii="Arial" w:hAnsi="Arial" w:cs="Arial"/>
                <w:sz w:val="22"/>
                <w:szCs w:val="22"/>
                <w:lang w:val="es-ES"/>
              </w:rPr>
              <w:t xml:space="preserve">nforme sobre la ejecución del presupuesto </w:t>
            </w:r>
            <w:r w:rsidR="001676B6" w:rsidRPr="00F66F5F">
              <w:rPr>
                <w:rFonts w:ascii="Arial" w:hAnsi="Arial" w:cs="Arial"/>
                <w:sz w:val="22"/>
                <w:szCs w:val="22"/>
                <w:lang w:val="es-ES"/>
              </w:rPr>
              <w:t xml:space="preserve">(41 C/5) durante </w:t>
            </w:r>
            <w:r w:rsidRPr="00F66F5F">
              <w:rPr>
                <w:rFonts w:ascii="Arial" w:hAnsi="Arial" w:cs="Arial"/>
                <w:sz w:val="22"/>
                <w:szCs w:val="22"/>
                <w:lang w:val="es-ES"/>
              </w:rPr>
              <w:t>2022-2023 a</w:t>
            </w:r>
            <w:r w:rsidR="001676B6" w:rsidRPr="00F66F5F">
              <w:rPr>
                <w:rFonts w:ascii="Arial" w:hAnsi="Arial" w:cs="Arial"/>
                <w:sz w:val="22"/>
                <w:szCs w:val="22"/>
                <w:lang w:val="es-ES"/>
              </w:rPr>
              <w:t>l</w:t>
            </w:r>
            <w:r w:rsidRPr="00F66F5F">
              <w:rPr>
                <w:rFonts w:ascii="Arial" w:hAnsi="Arial" w:cs="Arial"/>
                <w:sz w:val="22"/>
                <w:szCs w:val="22"/>
                <w:lang w:val="es-ES"/>
              </w:rPr>
              <w:t xml:space="preserve"> 31 de diciembre de 2023 (IOC/EC-57/3.1.Doc(2)) y el </w:t>
            </w:r>
            <w:r w:rsidR="001676B6" w:rsidRPr="00F66F5F">
              <w:rPr>
                <w:rFonts w:ascii="Arial" w:hAnsi="Arial" w:cs="Arial"/>
                <w:sz w:val="22"/>
                <w:szCs w:val="22"/>
                <w:lang w:val="es-ES"/>
              </w:rPr>
              <w:t>i</w:t>
            </w:r>
            <w:r w:rsidRPr="00F66F5F">
              <w:rPr>
                <w:rFonts w:ascii="Arial" w:hAnsi="Arial" w:cs="Arial"/>
                <w:sz w:val="22"/>
                <w:szCs w:val="22"/>
                <w:lang w:val="es-ES"/>
              </w:rPr>
              <w:t xml:space="preserve">nforme sobre la situación financiera de la Cuenta Especial de la COI a finales de 2023 y </w:t>
            </w:r>
            <w:r w:rsidR="001676B6" w:rsidRPr="00F66F5F">
              <w:rPr>
                <w:rFonts w:ascii="Arial" w:hAnsi="Arial" w:cs="Arial"/>
                <w:sz w:val="22"/>
                <w:szCs w:val="22"/>
                <w:lang w:val="es-ES"/>
              </w:rPr>
              <w:t xml:space="preserve">la </w:t>
            </w:r>
            <w:r w:rsidRPr="00F66F5F">
              <w:rPr>
                <w:rFonts w:ascii="Arial" w:hAnsi="Arial" w:cs="Arial"/>
                <w:sz w:val="22"/>
                <w:szCs w:val="22"/>
                <w:lang w:val="es-ES"/>
              </w:rPr>
              <w:t>previsión para 2024</w:t>
            </w:r>
            <w:r w:rsidR="001676B6" w:rsidRPr="00F66F5F">
              <w:rPr>
                <w:rFonts w:ascii="Arial" w:hAnsi="Arial" w:cs="Arial"/>
                <w:sz w:val="22"/>
                <w:szCs w:val="22"/>
                <w:lang w:val="es-ES"/>
              </w:rPr>
              <w:noBreakHyphen/>
            </w:r>
            <w:r w:rsidRPr="00F66F5F">
              <w:rPr>
                <w:rFonts w:ascii="Arial" w:hAnsi="Arial" w:cs="Arial"/>
                <w:sz w:val="22"/>
                <w:szCs w:val="22"/>
                <w:lang w:val="es-ES"/>
              </w:rPr>
              <w:t>2025 (IOC/EC-57/3.1.Doc(3)) completan la documentación que respalda la presentación oral del Secretario Ejecutivo ante la sesión plenaria del Consejo Ejecutivo.</w:t>
            </w:r>
          </w:p>
          <w:p w14:paraId="6C050125" w14:textId="262C38A4" w:rsidR="00FA68D9" w:rsidRPr="00F66F5F" w:rsidRDefault="00FA68D9" w:rsidP="001676B6">
            <w:pPr>
              <w:tabs>
                <w:tab w:val="clear" w:pos="567"/>
              </w:tabs>
              <w:snapToGrid/>
              <w:spacing w:after="120"/>
              <w:jc w:val="both"/>
              <w:rPr>
                <w:rFonts w:ascii="Arial" w:hAnsi="Arial" w:cs="Arial"/>
                <w:b/>
                <w:bCs/>
                <w:sz w:val="22"/>
                <w:szCs w:val="22"/>
                <w:lang w:val="es-ES"/>
              </w:rPr>
            </w:pPr>
            <w:r w:rsidRPr="00F66F5F">
              <w:rPr>
                <w:rFonts w:ascii="Arial" w:hAnsi="Arial" w:cs="Arial"/>
                <w:sz w:val="22"/>
                <w:szCs w:val="22"/>
                <w:u w:val="single"/>
                <w:lang w:val="es-ES"/>
              </w:rPr>
              <w:t>Decisión propuesta</w:t>
            </w:r>
            <w:r w:rsidRPr="00F66F5F">
              <w:rPr>
                <w:rFonts w:ascii="Arial" w:hAnsi="Arial" w:cs="Arial"/>
                <w:sz w:val="22"/>
                <w:szCs w:val="22"/>
                <w:lang w:val="es-ES"/>
              </w:rPr>
              <w:t>: se invita al Consejo Ejecutivo a que tome nota del presente informe y examine el proyecto de decisión EC-57/3.1, que figura en el documento de decisión provisional (IOC/EC-57/AP).</w:t>
            </w:r>
          </w:p>
        </w:tc>
      </w:tr>
    </w:tbl>
    <w:p w14:paraId="1E543DEA" w14:textId="4D9DF3BA" w:rsidR="00FA68D9" w:rsidRPr="00F66F5F" w:rsidRDefault="00FA68D9">
      <w:pPr>
        <w:tabs>
          <w:tab w:val="clear" w:pos="567"/>
        </w:tabs>
        <w:snapToGrid/>
        <w:rPr>
          <w:rFonts w:ascii="Arial" w:hAnsi="Arial" w:cs="Arial"/>
          <w:b/>
          <w:bCs/>
          <w:sz w:val="22"/>
          <w:szCs w:val="22"/>
          <w:lang w:val="es-ES"/>
        </w:rPr>
      </w:pPr>
      <w:r w:rsidRPr="00F66F5F">
        <w:rPr>
          <w:rFonts w:ascii="Arial" w:hAnsi="Arial" w:cs="Arial"/>
          <w:b/>
          <w:bCs/>
          <w:sz w:val="22"/>
          <w:szCs w:val="22"/>
          <w:lang w:val="es-ES"/>
        </w:rPr>
        <w:br w:type="page"/>
      </w:r>
    </w:p>
    <w:p w14:paraId="7E71C7D7" w14:textId="72BF6BB3" w:rsidR="00025A88" w:rsidRPr="00F66F5F" w:rsidRDefault="00E67743" w:rsidP="00863C85">
      <w:pPr>
        <w:keepNext/>
        <w:keepLines/>
        <w:widowControl w:val="0"/>
        <w:adjustRightInd w:val="0"/>
        <w:ind w:left="567" w:hanging="567"/>
        <w:jc w:val="both"/>
        <w:textAlignment w:val="baseline"/>
        <w:outlineLvl w:val="1"/>
        <w:rPr>
          <w:rFonts w:asciiTheme="minorBidi" w:eastAsia="Times New Roman" w:hAnsiTheme="minorBidi" w:cstheme="minorBidi"/>
          <w:b/>
          <w:bCs/>
          <w:caps/>
          <w:sz w:val="22"/>
          <w:szCs w:val="22"/>
          <w:lang w:val="es-ES"/>
        </w:rPr>
      </w:pPr>
      <w:r w:rsidRPr="00F66F5F">
        <w:rPr>
          <w:rFonts w:asciiTheme="minorBidi" w:hAnsiTheme="minorBidi" w:cstheme="minorBidi"/>
          <w:b/>
          <w:bCs/>
          <w:sz w:val="22"/>
          <w:szCs w:val="22"/>
          <w:lang w:val="es-ES"/>
        </w:rPr>
        <w:lastRenderedPageBreak/>
        <w:t>Introducción del Secretario Ejecutivo de la COI</w:t>
      </w:r>
    </w:p>
    <w:p w14:paraId="6E0C8A6C" w14:textId="77777777" w:rsidR="00025A88" w:rsidRPr="00F66F5F" w:rsidRDefault="00025A88" w:rsidP="00863C85">
      <w:pPr>
        <w:widowControl w:val="0"/>
        <w:adjustRightInd w:val="0"/>
        <w:jc w:val="both"/>
        <w:textAlignment w:val="baseline"/>
        <w:rPr>
          <w:rFonts w:asciiTheme="minorBidi" w:eastAsia="Times New Roman" w:hAnsiTheme="minorBidi" w:cstheme="minorBidi"/>
          <w:sz w:val="22"/>
          <w:szCs w:val="22"/>
          <w:lang w:val="es-ES" w:eastAsia="en-US"/>
        </w:rPr>
      </w:pPr>
      <w:r w:rsidRPr="00F66F5F">
        <w:rPr>
          <w:rFonts w:asciiTheme="minorBidi" w:eastAsia="Times New Roman" w:hAnsiTheme="minorBidi" w:cstheme="minorBidi"/>
          <w:noProof/>
          <w:snapToGrid/>
          <w:sz w:val="22"/>
          <w:szCs w:val="22"/>
          <w:lang w:val="es-ES" w:eastAsia="fr-FR"/>
        </w:rPr>
        <mc:AlternateContent>
          <mc:Choice Requires="wps">
            <w:drawing>
              <wp:anchor distT="0" distB="0" distL="114300" distR="114300" simplePos="0" relativeHeight="251653632" behindDoc="0" locked="0" layoutInCell="1" allowOverlap="1" wp14:anchorId="7227533B" wp14:editId="72D936BA">
                <wp:simplePos x="0" y="0"/>
                <wp:positionH relativeFrom="column">
                  <wp:posOffset>10243</wp:posOffset>
                </wp:positionH>
                <wp:positionV relativeFrom="paragraph">
                  <wp:posOffset>7694</wp:posOffset>
                </wp:positionV>
                <wp:extent cx="6092042" cy="19050"/>
                <wp:effectExtent l="0" t="0" r="23495" b="19050"/>
                <wp:wrapNone/>
                <wp:docPr id="6" name="Straight Connector 6"/>
                <wp:cNvGraphicFramePr/>
                <a:graphic xmlns:a="http://schemas.openxmlformats.org/drawingml/2006/main">
                  <a:graphicData uri="http://schemas.microsoft.com/office/word/2010/wordprocessingShape">
                    <wps:wsp>
                      <wps:cNvCnPr/>
                      <wps:spPr>
                        <a:xfrm flipV="1">
                          <a:off x="0" y="0"/>
                          <a:ext cx="6092042"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F854569" id="Straight Connector 6"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6pt" to="4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" strokecolor="#4a7ebb"/>
            </w:pict>
          </mc:Fallback>
        </mc:AlternateContent>
      </w:r>
    </w:p>
    <w:p w14:paraId="10497C0B" w14:textId="5484FA04" w:rsidR="00192AAB" w:rsidRPr="00F66F5F" w:rsidRDefault="00192AAB" w:rsidP="00863C85">
      <w:pPr>
        <w:pStyle w:val="ListParagraph"/>
        <w:numPr>
          <w:ilvl w:val="0"/>
          <w:numId w:val="27"/>
        </w:numPr>
        <w:spacing w:after="200"/>
        <w:ind w:left="0" w:firstLine="0"/>
        <w:contextualSpacing w:val="0"/>
        <w:jc w:val="both"/>
        <w:rPr>
          <w:rFonts w:asciiTheme="minorBidi" w:hAnsiTheme="minorBidi" w:cstheme="minorBidi"/>
          <w:color w:val="000000"/>
          <w:sz w:val="22"/>
          <w:szCs w:val="22"/>
          <w:lang w:val="es-ES"/>
        </w:rPr>
      </w:pPr>
      <w:r w:rsidRPr="00F66F5F">
        <w:rPr>
          <w:rFonts w:asciiTheme="minorBidi" w:hAnsiTheme="minorBidi" w:cstheme="minorBidi"/>
          <w:sz w:val="22"/>
          <w:szCs w:val="22"/>
          <w:lang w:val="es-ES"/>
        </w:rPr>
        <w:t xml:space="preserve">El año 2024 abre un nuevo capítulo para nuestra Comisión. Los programas de la COI podrán reforzar la ejecución en todas las funciones y cadenas de valor, prestando especial atención a las observaciones sostenidas a largo plazo y a la gestión de datos e información, así como a los órganos subsidiarios y actividades regionales y al fortalecimiento de las capacidades de los Estados Miembros. </w:t>
      </w:r>
      <w:r w:rsidR="00422ECB" w:rsidRPr="00F66F5F">
        <w:rPr>
          <w:rFonts w:asciiTheme="minorBidi" w:hAnsiTheme="minorBidi" w:cstheme="minorBidi"/>
          <w:sz w:val="22"/>
          <w:szCs w:val="22"/>
          <w:lang w:val="es-ES"/>
        </w:rPr>
        <w:t>Todo ello</w:t>
      </w:r>
      <w:r w:rsidRPr="00F66F5F">
        <w:rPr>
          <w:rFonts w:asciiTheme="minorBidi" w:hAnsiTheme="minorBidi" w:cstheme="minorBidi"/>
          <w:sz w:val="22"/>
          <w:szCs w:val="22"/>
          <w:lang w:val="es-ES"/>
        </w:rPr>
        <w:t xml:space="preserve"> es el resultado del aumento del presupuesto para 2024-2025 aprobado gracias a la implicación y el apoyo de los Estados Miembros de la COI.</w:t>
      </w:r>
    </w:p>
    <w:p w14:paraId="76734B9D" w14:textId="3E9DEAB5" w:rsidR="00D81B40" w:rsidRPr="00F66F5F" w:rsidRDefault="00D81B40" w:rsidP="00863C85">
      <w:pPr>
        <w:pStyle w:val="ListParagraph"/>
        <w:numPr>
          <w:ilvl w:val="0"/>
          <w:numId w:val="27"/>
        </w:numPr>
        <w:spacing w:after="200"/>
        <w:ind w:left="0" w:firstLine="0"/>
        <w:contextualSpacing w:val="0"/>
        <w:jc w:val="both"/>
        <w:rPr>
          <w:rFonts w:asciiTheme="minorBidi" w:hAnsiTheme="minorBidi" w:cstheme="minorBidi"/>
          <w:color w:val="000000"/>
          <w:sz w:val="22"/>
          <w:szCs w:val="22"/>
          <w:lang w:val="es-ES"/>
        </w:rPr>
      </w:pPr>
      <w:r w:rsidRPr="00F66F5F">
        <w:rPr>
          <w:rFonts w:asciiTheme="minorBidi" w:hAnsiTheme="minorBidi" w:cstheme="minorBidi"/>
          <w:sz w:val="22"/>
          <w:szCs w:val="22"/>
          <w:lang w:val="es-ES"/>
        </w:rPr>
        <w:t>A pesar de estos avances, aún queda mucho por hacer para colmar nuestras lagunas colectivas de conocimiento sobre el océano, tanto en lo que se refiere a los conocimientos que nunca hemos tenido como a los nuevos conocimientos necesarios como consecuencia de los cambios drásticos que se están produciendo en los ecosistemas oceánicos. Es necesario construir, ampliar y mantener la infraestructura de observaciones y datos oceánicos, así como introducir cambios estructurales y sistémicos en la forma de financiarla. Est</w:t>
      </w:r>
      <w:r w:rsidR="00422ECB" w:rsidRPr="00F66F5F">
        <w:rPr>
          <w:rFonts w:asciiTheme="minorBidi" w:hAnsiTheme="minorBidi" w:cstheme="minorBidi"/>
          <w:sz w:val="22"/>
          <w:szCs w:val="22"/>
          <w:lang w:val="es-ES"/>
        </w:rPr>
        <w:t>as medidas serán fundamentales</w:t>
      </w:r>
      <w:r w:rsidRPr="00F66F5F">
        <w:rPr>
          <w:rFonts w:asciiTheme="minorBidi" w:hAnsiTheme="minorBidi" w:cstheme="minorBidi"/>
          <w:sz w:val="22"/>
          <w:szCs w:val="22"/>
          <w:lang w:val="es-ES"/>
        </w:rPr>
        <w:t xml:space="preserve"> para la gestión sostenible del océano en el plano nacional y para la aplicación efectiva de acuerdos internacionales como el tratado relativo a la conservación y el uso sostenible de la diversidad biológica marina de las zonas situadas fuera de la jurisdicción nacional. Dada la importancia del océano en términos económicos y sociales, así como las implicaciones a escala planetaria de los cambios que se están produciendo rápidamente en el océano, las observaciones y los datos oceánicos deberían considerarse al mismo nivel que las infraestructuras críticas.</w:t>
      </w:r>
    </w:p>
    <w:p w14:paraId="6E286F5C" w14:textId="33225255" w:rsidR="00192AAB" w:rsidRPr="00F66F5F" w:rsidRDefault="003E08F0" w:rsidP="00863C85">
      <w:pPr>
        <w:pStyle w:val="ListParagraph"/>
        <w:numPr>
          <w:ilvl w:val="0"/>
          <w:numId w:val="27"/>
        </w:numPr>
        <w:spacing w:after="20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Esta fue una de las principales conclusiones resultantes de las deliberaciones mantenidas en la Conferencia del Decenio del Océano</w:t>
      </w:r>
      <w:r w:rsidR="00767C10" w:rsidRPr="00F66F5F">
        <w:rPr>
          <w:rFonts w:asciiTheme="minorBidi" w:hAnsiTheme="minorBidi" w:cstheme="minorBidi"/>
          <w:sz w:val="22"/>
          <w:szCs w:val="22"/>
          <w:lang w:val="es-ES"/>
        </w:rPr>
        <w:t xml:space="preserve"> de</w:t>
      </w:r>
      <w:r w:rsidRPr="00F66F5F">
        <w:rPr>
          <w:rFonts w:asciiTheme="minorBidi" w:hAnsiTheme="minorBidi" w:cstheme="minorBidi"/>
          <w:sz w:val="22"/>
          <w:szCs w:val="22"/>
          <w:lang w:val="es-ES"/>
        </w:rPr>
        <w:t xml:space="preserve"> 2024 (Barcelona, 10-12 de abril), que congregó a la comunidad mundial de la oceanografía para presentar los logros </w:t>
      </w:r>
      <w:r w:rsidR="00422ECB" w:rsidRPr="00F66F5F">
        <w:rPr>
          <w:rFonts w:asciiTheme="minorBidi" w:hAnsiTheme="minorBidi" w:cstheme="minorBidi"/>
          <w:sz w:val="22"/>
          <w:szCs w:val="22"/>
          <w:lang w:val="es-ES"/>
        </w:rPr>
        <w:t>alcanzados en</w:t>
      </w:r>
      <w:r w:rsidRPr="00F66F5F">
        <w:rPr>
          <w:rFonts w:asciiTheme="minorBidi" w:hAnsiTheme="minorBidi" w:cstheme="minorBidi"/>
          <w:sz w:val="22"/>
          <w:szCs w:val="22"/>
          <w:lang w:val="es-ES"/>
        </w:rPr>
        <w:t xml:space="preserve"> los tres últimos años, hacer balance</w:t>
      </w:r>
      <w:r w:rsidR="00422ECB" w:rsidRPr="00F66F5F">
        <w:rPr>
          <w:rFonts w:asciiTheme="minorBidi" w:hAnsiTheme="minorBidi" w:cstheme="minorBidi"/>
          <w:sz w:val="22"/>
          <w:szCs w:val="22"/>
          <w:lang w:val="es-ES"/>
        </w:rPr>
        <w:t xml:space="preserve"> de la situación</w:t>
      </w:r>
      <w:r w:rsidRPr="00F66F5F">
        <w:rPr>
          <w:rFonts w:asciiTheme="minorBidi" w:hAnsiTheme="minorBidi" w:cstheme="minorBidi"/>
          <w:sz w:val="22"/>
          <w:szCs w:val="22"/>
          <w:lang w:val="es-ES"/>
        </w:rPr>
        <w:t xml:space="preserve"> y fijar una visión colectiva de cara a 2030. Más de 1 500 participantes presenciales de 124 países y más de 3 000 participantes virtuales asistieron a este acontecimiento histórico y definieron las prioridades del Decenio del Océano para los próximos años, que se recogen en la </w:t>
      </w:r>
      <w:hyperlink r:id="rId8" w:history="1">
        <w:r w:rsidRPr="00F66F5F">
          <w:rPr>
            <w:rStyle w:val="Hyperlink"/>
            <w:rFonts w:asciiTheme="minorBidi" w:hAnsiTheme="minorBidi" w:cstheme="minorBidi"/>
            <w:sz w:val="22"/>
            <w:szCs w:val="22"/>
            <w:lang w:val="es-ES"/>
          </w:rPr>
          <w:t>Declaración de Barcelona</w:t>
        </w:r>
      </w:hyperlink>
      <w:r w:rsidRPr="00F66F5F">
        <w:rPr>
          <w:rFonts w:asciiTheme="minorBidi" w:hAnsiTheme="minorBidi" w:cstheme="minorBidi"/>
          <w:sz w:val="22"/>
          <w:szCs w:val="22"/>
          <w:lang w:val="es-ES"/>
        </w:rPr>
        <w:t>.</w:t>
      </w:r>
    </w:p>
    <w:p w14:paraId="150C2799" w14:textId="6D1AA572" w:rsidR="00192AAB" w:rsidRPr="00F66F5F" w:rsidRDefault="00192AAB" w:rsidP="00863C85">
      <w:pPr>
        <w:pStyle w:val="ListParagraph"/>
        <w:numPr>
          <w:ilvl w:val="0"/>
          <w:numId w:val="27"/>
        </w:numPr>
        <w:spacing w:after="20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Estas nuevas orientaciones para el Decenio del Océano, además de suponer una importante contribución a la Conferencia de las Naciones Unidas sobre el Océano de 2025, que </w:t>
      </w:r>
      <w:r w:rsidR="0062286C" w:rsidRPr="00F66F5F">
        <w:rPr>
          <w:rFonts w:asciiTheme="minorBidi" w:hAnsiTheme="minorBidi" w:cstheme="minorBidi"/>
          <w:sz w:val="22"/>
          <w:szCs w:val="22"/>
          <w:lang w:val="es-ES"/>
        </w:rPr>
        <w:t>acoge</w:t>
      </w:r>
      <w:r w:rsidRPr="00F66F5F">
        <w:rPr>
          <w:rFonts w:asciiTheme="minorBidi" w:hAnsiTheme="minorBidi" w:cstheme="minorBidi"/>
          <w:sz w:val="22"/>
          <w:szCs w:val="22"/>
          <w:lang w:val="es-ES"/>
        </w:rPr>
        <w:t>rán Francia y Costa Rica, pondrán de relieve los ámbitos en los que será necesario redoblar los esfuerzos nacionales e internacionales para alcanzar el ODS 14.</w:t>
      </w:r>
    </w:p>
    <w:p w14:paraId="52FA78A7" w14:textId="0FF01D9B" w:rsidR="00C67243" w:rsidRPr="00F66F5F" w:rsidRDefault="00251980" w:rsidP="00863C85">
      <w:pPr>
        <w:pStyle w:val="ListParagraph"/>
        <w:numPr>
          <w:ilvl w:val="0"/>
          <w:numId w:val="27"/>
        </w:numPr>
        <w:spacing w:after="20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La Conferencia de Barcelona demostró la manera en que el Decenio del Océano, con su propósito de apoyar el desarrollo sostenible y su movilización de actores de la ciencia, el gobierno, la industria y la filantropía, puede inspirar esfuerzos </w:t>
      </w:r>
      <w:r w:rsidR="0062286C" w:rsidRPr="00F66F5F">
        <w:rPr>
          <w:rFonts w:asciiTheme="minorBidi" w:hAnsiTheme="minorBidi" w:cstheme="minorBidi"/>
          <w:sz w:val="22"/>
          <w:szCs w:val="22"/>
          <w:lang w:val="es-ES"/>
        </w:rPr>
        <w:t xml:space="preserve">encaminados </w:t>
      </w:r>
      <w:r w:rsidRPr="00F66F5F">
        <w:rPr>
          <w:rFonts w:asciiTheme="minorBidi" w:hAnsiTheme="minorBidi" w:cstheme="minorBidi"/>
          <w:sz w:val="22"/>
          <w:szCs w:val="22"/>
          <w:lang w:val="es-ES"/>
        </w:rPr>
        <w:t xml:space="preserve">a fortalecer la capacidad de la COI a largo plazo </w:t>
      </w:r>
      <w:r w:rsidR="0062286C" w:rsidRPr="00F66F5F">
        <w:rPr>
          <w:rFonts w:asciiTheme="minorBidi" w:hAnsiTheme="minorBidi" w:cstheme="minorBidi"/>
          <w:sz w:val="22"/>
          <w:szCs w:val="22"/>
          <w:lang w:val="es-ES"/>
        </w:rPr>
        <w:t>para</w:t>
      </w:r>
      <w:r w:rsidRPr="00F66F5F">
        <w:rPr>
          <w:rFonts w:asciiTheme="minorBidi" w:hAnsiTheme="minorBidi" w:cstheme="minorBidi"/>
          <w:sz w:val="22"/>
          <w:szCs w:val="22"/>
          <w:lang w:val="es-ES"/>
        </w:rPr>
        <w:t xml:space="preserve"> cumplir plenamente su propósito, en particular la aplicación del conocimiento para mejorar la gestión, el desarrollo sostenible, la protección del medio marino y los procesos de adopción de decisiones. En este contexto, la oportuna decisión adoptada por la Asamblea el año pasado de iniciar la nueva fase del proceso de consulta relativo a la COI y el futuro del océano será un ejercicio importante que se pondrá en marcha adecuadamente en el Consejo Ejecutivo.</w:t>
      </w:r>
    </w:p>
    <w:p w14:paraId="317F7819" w14:textId="6E6C1709" w:rsidR="00C67243" w:rsidRPr="00F66F5F" w:rsidRDefault="00C67243" w:rsidP="00863C85">
      <w:pPr>
        <w:pStyle w:val="ListParagraph"/>
        <w:numPr>
          <w:ilvl w:val="0"/>
          <w:numId w:val="27"/>
        </w:numPr>
        <w:spacing w:after="20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En el documento IOC-EC/57.3.1.Doc(4), presentado al Consejo Ejecutivo, se esboza el proceso de consulta propuesto, que consta de tres etapas. </w:t>
      </w:r>
      <w:r w:rsidR="0062286C" w:rsidRPr="00F66F5F">
        <w:rPr>
          <w:rFonts w:asciiTheme="minorBidi" w:hAnsiTheme="minorBidi" w:cstheme="minorBidi"/>
          <w:sz w:val="22"/>
          <w:szCs w:val="22"/>
          <w:lang w:val="es-ES"/>
        </w:rPr>
        <w:t xml:space="preserve">El proceso, que tiene </w:t>
      </w:r>
      <w:r w:rsidRPr="00F66F5F">
        <w:rPr>
          <w:rFonts w:asciiTheme="minorBidi" w:hAnsiTheme="minorBidi" w:cstheme="minorBidi"/>
          <w:sz w:val="22"/>
          <w:szCs w:val="22"/>
          <w:lang w:val="es-ES"/>
        </w:rPr>
        <w:t xml:space="preserve">un amplio alcance temático y </w:t>
      </w:r>
      <w:r w:rsidR="008B07E9" w:rsidRPr="00F66F5F">
        <w:rPr>
          <w:rFonts w:asciiTheme="minorBidi" w:hAnsiTheme="minorBidi" w:cstheme="minorBidi"/>
          <w:sz w:val="22"/>
          <w:szCs w:val="22"/>
          <w:lang w:val="es-ES"/>
        </w:rPr>
        <w:t>que se realizará en</w:t>
      </w:r>
      <w:r w:rsidRPr="00F66F5F">
        <w:rPr>
          <w:rFonts w:asciiTheme="minorBidi" w:hAnsiTheme="minorBidi" w:cstheme="minorBidi"/>
          <w:sz w:val="22"/>
          <w:szCs w:val="22"/>
          <w:lang w:val="es-ES"/>
        </w:rPr>
        <w:t xml:space="preserve"> los planos nacional, regional y mundial, facilitará un compromiso profundo y amplio de las partes interesadas de los Estados Miembros, entre otras cosas aprovechando sistemáticamente los encuentros regionales y mundiales para organizar reuniones de consulta.</w:t>
      </w:r>
    </w:p>
    <w:p w14:paraId="3B59051D" w14:textId="5CE18F3D" w:rsidR="00FC2A2B" w:rsidRPr="00F66F5F" w:rsidRDefault="00067605" w:rsidP="00C37D17">
      <w:pPr>
        <w:pStyle w:val="ListParagraph"/>
        <w:numPr>
          <w:ilvl w:val="0"/>
          <w:numId w:val="27"/>
        </w:numPr>
        <w:tabs>
          <w:tab w:val="clear" w:pos="567"/>
        </w:tabs>
        <w:snapToGrid/>
        <w:spacing w:after="240"/>
        <w:ind w:left="0" w:firstLine="0"/>
        <w:contextualSpacing w:val="0"/>
        <w:jc w:val="both"/>
        <w:rPr>
          <w:rFonts w:asciiTheme="minorBidi" w:hAnsiTheme="minorBidi" w:cstheme="minorBidi"/>
          <w:snapToGrid/>
          <w:color w:val="000000"/>
          <w:sz w:val="22"/>
          <w:szCs w:val="22"/>
          <w:lang w:val="es-ES"/>
        </w:rPr>
      </w:pPr>
      <w:r w:rsidRPr="00F66F5F">
        <w:rPr>
          <w:rFonts w:asciiTheme="minorBidi" w:hAnsiTheme="minorBidi" w:cstheme="minorBidi"/>
          <w:sz w:val="22"/>
          <w:szCs w:val="22"/>
          <w:lang w:val="es-ES"/>
        </w:rPr>
        <w:t xml:space="preserve">En última instancia, el proceso de consulta sentará las bases para las decisiones que adopte la Asamblea de la COI en 2025 y 2027, así como para las orientaciones del Consejo Ejecutivo en los años intermedios. Nuestro próximo programa cuatrienal </w:t>
      </w:r>
      <w:r w:rsidR="008B07E9"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2026-2029</w:t>
      </w:r>
      <w:r w:rsidR="008B07E9"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que </w:t>
      </w:r>
      <w:r w:rsidR="008B07E9" w:rsidRPr="00F66F5F">
        <w:rPr>
          <w:rFonts w:asciiTheme="minorBidi" w:hAnsiTheme="minorBidi" w:cstheme="minorBidi"/>
          <w:sz w:val="22"/>
          <w:szCs w:val="22"/>
          <w:lang w:val="es-ES"/>
        </w:rPr>
        <w:t xml:space="preserve">concluirá </w:t>
      </w:r>
      <w:r w:rsidRPr="00F66F5F">
        <w:rPr>
          <w:rFonts w:asciiTheme="minorBidi" w:hAnsiTheme="minorBidi" w:cstheme="minorBidi"/>
          <w:sz w:val="22"/>
          <w:szCs w:val="22"/>
          <w:lang w:val="es-ES"/>
        </w:rPr>
        <w:t xml:space="preserve">justo antes del Decenio del Océano y de la meta de 2030 fijada para los ODS, deberá elaborarse conjuntamente con un enfoque programático claro y un mecanismo sólido de seguimiento y evaluación y sentar las bases de nuestra próxima </w:t>
      </w:r>
      <w:r w:rsidR="008B07E9" w:rsidRPr="00F66F5F">
        <w:rPr>
          <w:rFonts w:asciiTheme="minorBidi" w:hAnsiTheme="minorBidi" w:cstheme="minorBidi"/>
          <w:sz w:val="22"/>
          <w:szCs w:val="22"/>
          <w:lang w:val="es-ES"/>
        </w:rPr>
        <w:t>e</w:t>
      </w:r>
      <w:r w:rsidRPr="00F66F5F">
        <w:rPr>
          <w:rFonts w:asciiTheme="minorBidi" w:hAnsiTheme="minorBidi" w:cstheme="minorBidi"/>
          <w:sz w:val="22"/>
          <w:szCs w:val="22"/>
          <w:lang w:val="es-ES"/>
        </w:rPr>
        <w:t xml:space="preserve">strategia a </w:t>
      </w:r>
      <w:r w:rsidR="008B07E9" w:rsidRPr="00F66F5F">
        <w:rPr>
          <w:rFonts w:asciiTheme="minorBidi" w:hAnsiTheme="minorBidi" w:cstheme="minorBidi"/>
          <w:sz w:val="22"/>
          <w:szCs w:val="22"/>
          <w:lang w:val="es-ES"/>
        </w:rPr>
        <w:t>p</w:t>
      </w:r>
      <w:r w:rsidRPr="00F66F5F">
        <w:rPr>
          <w:rFonts w:asciiTheme="minorBidi" w:hAnsiTheme="minorBidi" w:cstheme="minorBidi"/>
          <w:sz w:val="22"/>
          <w:szCs w:val="22"/>
          <w:lang w:val="es-ES"/>
        </w:rPr>
        <w:t xml:space="preserve">lazo </w:t>
      </w:r>
      <w:r w:rsidR="008B07E9" w:rsidRPr="00F66F5F">
        <w:rPr>
          <w:rFonts w:asciiTheme="minorBidi" w:hAnsiTheme="minorBidi" w:cstheme="minorBidi"/>
          <w:sz w:val="22"/>
          <w:szCs w:val="22"/>
          <w:lang w:val="es-ES"/>
        </w:rPr>
        <w:t>m</w:t>
      </w:r>
      <w:r w:rsidRPr="00F66F5F">
        <w:rPr>
          <w:rFonts w:asciiTheme="minorBidi" w:hAnsiTheme="minorBidi" w:cstheme="minorBidi"/>
          <w:sz w:val="22"/>
          <w:szCs w:val="22"/>
          <w:lang w:val="es-ES"/>
        </w:rPr>
        <w:t>edio para</w:t>
      </w:r>
      <w:r w:rsidR="008B07E9" w:rsidRPr="00F66F5F">
        <w:rPr>
          <w:rFonts w:asciiTheme="minorBidi" w:hAnsiTheme="minorBidi" w:cstheme="minorBidi"/>
          <w:sz w:val="22"/>
          <w:szCs w:val="22"/>
          <w:lang w:val="es-ES"/>
        </w:rPr>
        <w:t xml:space="preserve"> después de</w:t>
      </w:r>
      <w:r w:rsidRPr="00F66F5F">
        <w:rPr>
          <w:rFonts w:asciiTheme="minorBidi" w:hAnsiTheme="minorBidi" w:cstheme="minorBidi"/>
          <w:sz w:val="22"/>
          <w:szCs w:val="22"/>
          <w:lang w:val="es-ES"/>
        </w:rPr>
        <w:t xml:space="preserve"> 2030.</w:t>
      </w:r>
      <w:r w:rsidR="00FC2A2B" w:rsidRPr="00F66F5F">
        <w:rPr>
          <w:rFonts w:asciiTheme="minorBidi" w:hAnsiTheme="minorBidi" w:cstheme="minorBidi"/>
          <w:snapToGrid/>
          <w:color w:val="000000"/>
          <w:sz w:val="22"/>
          <w:szCs w:val="22"/>
          <w:lang w:val="es-ES"/>
        </w:rPr>
        <w:br w:type="page"/>
      </w:r>
    </w:p>
    <w:p w14:paraId="2E6C35D7" w14:textId="18DA2698" w:rsidR="00F54E57" w:rsidRPr="00F66F5F" w:rsidRDefault="00863C85" w:rsidP="00FC2A2B">
      <w:pPr>
        <w:jc w:val="both"/>
        <w:rPr>
          <w:rFonts w:asciiTheme="minorBidi" w:hAnsiTheme="minorBidi" w:cstheme="minorBidi"/>
          <w:b/>
          <w:bCs/>
          <w:sz w:val="22"/>
          <w:szCs w:val="22"/>
          <w:lang w:val="es-ES"/>
        </w:rPr>
      </w:pPr>
      <w:r w:rsidRPr="00F66F5F">
        <w:rPr>
          <w:rFonts w:asciiTheme="minorBidi" w:eastAsia="Times New Roman" w:hAnsiTheme="minorBidi" w:cstheme="minorBidi"/>
          <w:noProof/>
          <w:snapToGrid/>
          <w:sz w:val="22"/>
          <w:szCs w:val="22"/>
          <w:lang w:val="es-ES" w:eastAsia="fr-FR"/>
        </w:rPr>
        <w:lastRenderedPageBreak/>
        <mc:AlternateContent>
          <mc:Choice Requires="wps">
            <w:drawing>
              <wp:anchor distT="0" distB="0" distL="114300" distR="114300" simplePos="0" relativeHeight="251665920" behindDoc="0" locked="0" layoutInCell="1" allowOverlap="1" wp14:anchorId="5BCEF54C" wp14:editId="04AE46C6">
                <wp:simplePos x="0" y="0"/>
                <wp:positionH relativeFrom="column">
                  <wp:posOffset>-1632</wp:posOffset>
                </wp:positionH>
                <wp:positionV relativeFrom="paragraph">
                  <wp:posOffset>162412</wp:posOffset>
                </wp:positionV>
                <wp:extent cx="6121730" cy="19050"/>
                <wp:effectExtent l="0" t="0" r="31750" b="19050"/>
                <wp:wrapNone/>
                <wp:docPr id="1134668502" name="Straight Connector 1134668502"/>
                <wp:cNvGraphicFramePr/>
                <a:graphic xmlns:a="http://schemas.openxmlformats.org/drawingml/2006/main">
                  <a:graphicData uri="http://schemas.microsoft.com/office/word/2010/wordprocessingShape">
                    <wps:wsp>
                      <wps:cNvCnPr/>
                      <wps:spPr>
                        <a:xfrm flipV="1">
                          <a:off x="0" y="0"/>
                          <a:ext cx="612173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2F0BE9A" id="Straight Connector 1134668502" o:spid="_x0000_s1026" style="position:absolute;flip:y;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8pt" to="481.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" strokecolor="#4a7ebb"/>
            </w:pict>
          </mc:Fallback>
        </mc:AlternateContent>
      </w:r>
      <w:r w:rsidR="00E67743" w:rsidRPr="00F66F5F">
        <w:rPr>
          <w:rFonts w:asciiTheme="minorBidi" w:hAnsiTheme="minorBidi" w:cstheme="minorBidi"/>
          <w:b/>
          <w:bCs/>
          <w:sz w:val="22"/>
          <w:szCs w:val="22"/>
          <w:lang w:val="es-ES"/>
        </w:rPr>
        <w:t>Hechos destacados de la ejecución del programa (junio de 2023-mayo de 2024)</w:t>
      </w:r>
    </w:p>
    <w:p w14:paraId="0C29FFB8" w14:textId="3AA2F693" w:rsidR="00F54E57" w:rsidRPr="00F66F5F" w:rsidRDefault="00F54E57" w:rsidP="00FC2A2B">
      <w:pPr>
        <w:jc w:val="both"/>
        <w:rPr>
          <w:rFonts w:asciiTheme="minorBidi" w:hAnsiTheme="minorBidi" w:cstheme="minorBidi"/>
          <w:sz w:val="22"/>
          <w:szCs w:val="22"/>
          <w:lang w:val="es-ES"/>
        </w:rPr>
      </w:pPr>
    </w:p>
    <w:p w14:paraId="3EB49A4B" w14:textId="03C8B30C" w:rsidR="00FC2A2B" w:rsidRPr="00F66F5F" w:rsidRDefault="0062187D" w:rsidP="00FF0D75">
      <w:pPr>
        <w:pStyle w:val="ListParagraph"/>
        <w:numPr>
          <w:ilvl w:val="0"/>
          <w:numId w:val="27"/>
        </w:numPr>
        <w:spacing w:after="24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El Decenio de las Naciones Unidas de las Ciencias Oceánicas para el Desarrollo Sostenible (2021-2030), que </w:t>
      </w:r>
      <w:r w:rsidR="008B07E9" w:rsidRPr="00F66F5F">
        <w:rPr>
          <w:rFonts w:asciiTheme="minorBidi" w:hAnsiTheme="minorBidi" w:cstheme="minorBidi"/>
          <w:sz w:val="22"/>
          <w:szCs w:val="22"/>
          <w:lang w:val="es-ES"/>
        </w:rPr>
        <w:t xml:space="preserve">la COI </w:t>
      </w:r>
      <w:r w:rsidRPr="00F66F5F">
        <w:rPr>
          <w:rFonts w:asciiTheme="minorBidi" w:hAnsiTheme="minorBidi" w:cstheme="minorBidi"/>
          <w:sz w:val="22"/>
          <w:szCs w:val="22"/>
          <w:lang w:val="es-ES"/>
        </w:rPr>
        <w:t xml:space="preserve">coordina desde 2021 y que constituye la mayor iniciativa mundial de ciencias oceánicas jamás emprendida, cuenta actualmente con 52 programas mundiales </w:t>
      </w:r>
      <w:r w:rsidR="008B07E9" w:rsidRPr="00F66F5F">
        <w:rPr>
          <w:rFonts w:asciiTheme="minorBidi" w:hAnsiTheme="minorBidi" w:cstheme="minorBidi"/>
          <w:sz w:val="22"/>
          <w:szCs w:val="22"/>
          <w:lang w:val="es-ES"/>
        </w:rPr>
        <w:t>aprobados</w:t>
      </w:r>
      <w:r w:rsidRPr="00F66F5F">
        <w:rPr>
          <w:rFonts w:asciiTheme="minorBidi" w:hAnsiTheme="minorBidi" w:cstheme="minorBidi"/>
          <w:sz w:val="22"/>
          <w:szCs w:val="22"/>
          <w:lang w:val="es-ES"/>
        </w:rPr>
        <w:t xml:space="preserve"> y más de 300 proyectos dirigidos por asociados de más de 60 países, y ha recibido cerca de 100</w:t>
      </w:r>
      <w:r w:rsidR="00863C85"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 xml:space="preserve">contribuciones en especie y financieras. Doce estructuras regionales y temáticas de coordinación descentralizada son acogidas por asociados, y 39 países han </w:t>
      </w:r>
      <w:r w:rsidR="00767C10" w:rsidRPr="00F66F5F">
        <w:rPr>
          <w:rFonts w:asciiTheme="minorBidi" w:hAnsiTheme="minorBidi" w:cstheme="minorBidi"/>
          <w:sz w:val="22"/>
          <w:szCs w:val="22"/>
          <w:lang w:val="es-ES"/>
        </w:rPr>
        <w:t>estableci</w:t>
      </w:r>
      <w:r w:rsidRPr="00F66F5F">
        <w:rPr>
          <w:rFonts w:asciiTheme="minorBidi" w:hAnsiTheme="minorBidi" w:cstheme="minorBidi"/>
          <w:sz w:val="22"/>
          <w:szCs w:val="22"/>
          <w:lang w:val="es-ES"/>
        </w:rPr>
        <w:t>do comités nacionales para el Decenio. Más de 150 expertos participaron en los grupos de trabajo que dirigieron la elaboración de los libros blancos sobre la Visión 2030</w:t>
      </w:r>
      <w:r w:rsidR="00767C10" w:rsidRPr="00F66F5F">
        <w:rPr>
          <w:rFonts w:asciiTheme="minorBidi" w:hAnsiTheme="minorBidi" w:cstheme="minorBidi"/>
          <w:sz w:val="22"/>
          <w:szCs w:val="22"/>
          <w:lang w:val="es-ES"/>
        </w:rPr>
        <w:t xml:space="preserve">, </w:t>
      </w:r>
      <w:r w:rsidRPr="00F66F5F">
        <w:rPr>
          <w:rFonts w:asciiTheme="minorBidi" w:hAnsiTheme="minorBidi" w:cstheme="minorBidi"/>
          <w:sz w:val="22"/>
          <w:szCs w:val="22"/>
          <w:lang w:val="es-ES"/>
        </w:rPr>
        <w:t xml:space="preserve">que constituyeron la base del </w:t>
      </w:r>
      <w:r w:rsidR="00767C10" w:rsidRPr="00F66F5F">
        <w:rPr>
          <w:rFonts w:asciiTheme="minorBidi" w:hAnsiTheme="minorBidi" w:cstheme="minorBidi"/>
          <w:sz w:val="22"/>
          <w:szCs w:val="22"/>
          <w:lang w:val="es-ES"/>
        </w:rPr>
        <w:t>i</w:t>
      </w:r>
      <w:r w:rsidRPr="00F66F5F">
        <w:rPr>
          <w:rFonts w:asciiTheme="minorBidi" w:hAnsiTheme="minorBidi" w:cstheme="minorBidi"/>
          <w:sz w:val="22"/>
          <w:szCs w:val="22"/>
          <w:lang w:val="es-ES"/>
        </w:rPr>
        <w:t xml:space="preserve">nforme de </w:t>
      </w:r>
      <w:r w:rsidR="00767C10" w:rsidRPr="00F66F5F">
        <w:rPr>
          <w:rFonts w:asciiTheme="minorBidi" w:hAnsiTheme="minorBidi" w:cstheme="minorBidi"/>
          <w:sz w:val="22"/>
          <w:szCs w:val="22"/>
          <w:lang w:val="es-ES"/>
        </w:rPr>
        <w:t>r</w:t>
      </w:r>
      <w:r w:rsidRPr="00F66F5F">
        <w:rPr>
          <w:rFonts w:asciiTheme="minorBidi" w:hAnsiTheme="minorBidi" w:cstheme="minorBidi"/>
          <w:sz w:val="22"/>
          <w:szCs w:val="22"/>
          <w:lang w:val="es-ES"/>
        </w:rPr>
        <w:t xml:space="preserve">esultados de </w:t>
      </w:r>
      <w:r w:rsidR="00767C10" w:rsidRPr="00F66F5F">
        <w:rPr>
          <w:rFonts w:asciiTheme="minorBidi" w:hAnsiTheme="minorBidi" w:cstheme="minorBidi"/>
          <w:sz w:val="22"/>
          <w:szCs w:val="22"/>
          <w:lang w:val="es-ES"/>
        </w:rPr>
        <w:t xml:space="preserve">la </w:t>
      </w:r>
      <w:r w:rsidRPr="00F66F5F">
        <w:rPr>
          <w:rFonts w:asciiTheme="minorBidi" w:hAnsiTheme="minorBidi" w:cstheme="minorBidi"/>
          <w:sz w:val="22"/>
          <w:szCs w:val="22"/>
          <w:lang w:val="es-ES"/>
        </w:rPr>
        <w:t xml:space="preserve">Visión 2030, que fue fundamental para los debates de la Conferencia del Decenio del Océano </w:t>
      </w:r>
      <w:r w:rsidR="00767C10" w:rsidRPr="00F66F5F">
        <w:rPr>
          <w:rFonts w:asciiTheme="minorBidi" w:hAnsiTheme="minorBidi" w:cstheme="minorBidi"/>
          <w:sz w:val="22"/>
          <w:szCs w:val="22"/>
          <w:lang w:val="es-ES"/>
        </w:rPr>
        <w:t xml:space="preserve">de </w:t>
      </w:r>
      <w:r w:rsidRPr="00F66F5F">
        <w:rPr>
          <w:rFonts w:asciiTheme="minorBidi" w:hAnsiTheme="minorBidi" w:cstheme="minorBidi"/>
          <w:sz w:val="22"/>
          <w:szCs w:val="22"/>
          <w:lang w:val="es-ES"/>
        </w:rPr>
        <w:t>2024.</w:t>
      </w:r>
    </w:p>
    <w:p w14:paraId="78B2DB7F" w14:textId="2475A1E3" w:rsidR="00FC2A2B" w:rsidRPr="00F66F5F" w:rsidRDefault="00FC2A2B" w:rsidP="00FF0D75">
      <w:pPr>
        <w:pStyle w:val="ListParagraph"/>
        <w:numPr>
          <w:ilvl w:val="0"/>
          <w:numId w:val="27"/>
        </w:numPr>
        <w:spacing w:after="240"/>
        <w:ind w:left="0" w:firstLine="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Estos resultados fueron posibles gracias a una movilización sin precedentes de la Secretaría de la COI y sus asociados durante estos tres últimos años. Con el apoyo de los Estados Miembros, en 2023-2024 se alcanzaron los siguientes logros fundamentales:</w:t>
      </w:r>
    </w:p>
    <w:p w14:paraId="125F55DC" w14:textId="3272E61A" w:rsidR="00FC2A2B" w:rsidRPr="00F66F5F" w:rsidRDefault="007967D5"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La edición de 2024 de</w:t>
      </w:r>
      <w:r w:rsidR="003570B3" w:rsidRPr="00F66F5F">
        <w:rPr>
          <w:rFonts w:asciiTheme="minorBidi" w:hAnsiTheme="minorBidi" w:cstheme="minorBidi"/>
          <w:sz w:val="22"/>
          <w:szCs w:val="22"/>
          <w:lang w:val="es-ES"/>
        </w:rPr>
        <w:t xml:space="preserve">l </w:t>
      </w:r>
      <w:r w:rsidR="003570B3" w:rsidRPr="00F66F5F">
        <w:rPr>
          <w:rFonts w:asciiTheme="minorBidi" w:hAnsiTheme="minorBidi" w:cstheme="minorBidi"/>
          <w:i/>
          <w:iCs/>
          <w:sz w:val="22"/>
          <w:szCs w:val="22"/>
          <w:lang w:val="es-ES"/>
        </w:rPr>
        <w:t>Informe sobre el estado del océano</w:t>
      </w:r>
      <w:r w:rsidR="003570B3" w:rsidRPr="00F66F5F">
        <w:rPr>
          <w:rFonts w:asciiTheme="minorBidi" w:hAnsiTheme="minorBidi" w:cstheme="minorBidi"/>
          <w:sz w:val="22"/>
          <w:szCs w:val="22"/>
          <w:lang w:val="es-ES"/>
        </w:rPr>
        <w:t xml:space="preserve"> de la COI se publicó en junio de 2024. En </w:t>
      </w:r>
      <w:r w:rsidRPr="00F66F5F">
        <w:rPr>
          <w:rFonts w:asciiTheme="minorBidi" w:hAnsiTheme="minorBidi" w:cstheme="minorBidi"/>
          <w:sz w:val="22"/>
          <w:szCs w:val="22"/>
          <w:lang w:val="es-ES"/>
        </w:rPr>
        <w:t>ella</w:t>
      </w:r>
      <w:r w:rsidR="003570B3" w:rsidRPr="00F66F5F">
        <w:rPr>
          <w:rFonts w:asciiTheme="minorBidi" w:hAnsiTheme="minorBidi" w:cstheme="minorBidi"/>
          <w:sz w:val="22"/>
          <w:szCs w:val="22"/>
          <w:lang w:val="es-ES"/>
        </w:rPr>
        <w:t xml:space="preserve"> se presentan los resultados de actividades y análisis científicos relacionados con el océano para describir su estado actual y futuro, abordando aspectos físicos, químicos, ecológicos, socioeconómicos y de gobernanza y centrándose en los siete resultados del Decenio de las Naciones Unidas de las Ciencias Oceánicas para el Desarrollo Sostenible.</w:t>
      </w:r>
    </w:p>
    <w:p w14:paraId="6D48C812" w14:textId="2EED682E" w:rsidR="00FC2A2B" w:rsidRPr="00F66F5F" w:rsidRDefault="00FC2A2B"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Durante la Conferencia de las Naciones Unidas sobre el Cambio Climático celebrada en diciembre de 2023 (COP 28), la COI defendió la función crucial que desempeñan las ciencias oceánicas como base para la acción oceánica y climática. Las cuestiones oceánicas avanzaron considerablemente en el </w:t>
      </w:r>
      <w:r w:rsidR="007967D5" w:rsidRPr="00F66F5F">
        <w:rPr>
          <w:rFonts w:asciiTheme="minorBidi" w:hAnsiTheme="minorBidi" w:cstheme="minorBidi"/>
          <w:sz w:val="22"/>
          <w:szCs w:val="22"/>
          <w:lang w:val="es-ES"/>
        </w:rPr>
        <w:t xml:space="preserve">marco del </w:t>
      </w:r>
      <w:r w:rsidRPr="00F66F5F">
        <w:rPr>
          <w:rFonts w:asciiTheme="minorBidi" w:hAnsiTheme="minorBidi" w:cstheme="minorBidi"/>
          <w:sz w:val="22"/>
          <w:szCs w:val="22"/>
          <w:lang w:val="es-ES"/>
        </w:rPr>
        <w:t xml:space="preserve">primer </w:t>
      </w:r>
      <w:hyperlink r:id="rId9" w:history="1">
        <w:r w:rsidRPr="00F66F5F">
          <w:rPr>
            <w:rStyle w:val="Hyperlink"/>
            <w:rFonts w:asciiTheme="minorBidi" w:hAnsiTheme="minorBidi" w:cstheme="minorBidi"/>
            <w:sz w:val="22"/>
            <w:szCs w:val="22"/>
            <w:lang w:val="es-ES"/>
          </w:rPr>
          <w:t>balance mundial</w:t>
        </w:r>
      </w:hyperlink>
      <w:r w:rsidRPr="00F66F5F">
        <w:rPr>
          <w:rFonts w:asciiTheme="minorBidi" w:hAnsiTheme="minorBidi" w:cstheme="minorBidi"/>
          <w:sz w:val="22"/>
          <w:szCs w:val="22"/>
          <w:lang w:val="es-ES"/>
        </w:rPr>
        <w:t xml:space="preserve"> del Acuerdo de París, con un reconocimiento sin precedentes de la necesidad de tener presente el océano al actuar en relación con el cambio climático y de reforzar la acción oceánica sobre la base de la oceanografía más avanzada.</w:t>
      </w:r>
    </w:p>
    <w:p w14:paraId="43718402" w14:textId="48AD49EA" w:rsidR="00F97256" w:rsidRPr="00F66F5F" w:rsidRDefault="00B639E3" w:rsidP="00870F83">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w:t>
      </w:r>
      <w:r w:rsidR="00870F83" w:rsidRPr="00F66F5F">
        <w:rPr>
          <w:rFonts w:asciiTheme="minorBidi" w:hAnsiTheme="minorBidi" w:cstheme="minorBidi"/>
          <w:sz w:val="22"/>
          <w:szCs w:val="22"/>
          <w:lang w:val="es-ES"/>
        </w:rPr>
        <w:t>os</w:t>
      </w:r>
      <w:r w:rsidRPr="00F66F5F">
        <w:rPr>
          <w:rFonts w:asciiTheme="minorBidi" w:hAnsiTheme="minorBidi" w:cstheme="minorBidi"/>
          <w:sz w:val="22"/>
          <w:szCs w:val="22"/>
          <w:lang w:val="es-ES"/>
        </w:rPr>
        <w:t xml:space="preserve"> datos </w:t>
      </w:r>
      <w:r w:rsidR="00870F83" w:rsidRPr="00F66F5F">
        <w:rPr>
          <w:rFonts w:asciiTheme="minorBidi" w:hAnsiTheme="minorBidi" w:cstheme="minorBidi"/>
          <w:sz w:val="22"/>
          <w:szCs w:val="22"/>
          <w:lang w:val="es-ES"/>
        </w:rPr>
        <w:t>presentados por</w:t>
      </w:r>
      <w:r w:rsidRPr="00F66F5F">
        <w:rPr>
          <w:rFonts w:asciiTheme="minorBidi" w:hAnsiTheme="minorBidi" w:cstheme="minorBidi"/>
          <w:sz w:val="22"/>
          <w:szCs w:val="22"/>
          <w:lang w:val="es-ES"/>
        </w:rPr>
        <w:t xml:space="preserve"> la COI en relación con el indicador 3.1 de</w:t>
      </w:r>
      <w:r w:rsidR="00870F83" w:rsidRPr="00F66F5F">
        <w:rPr>
          <w:rFonts w:asciiTheme="minorBidi" w:hAnsiTheme="minorBidi" w:cstheme="minorBidi"/>
          <w:sz w:val="22"/>
          <w:szCs w:val="22"/>
          <w:lang w:val="es-ES"/>
        </w:rPr>
        <w:t>l ODS</w:t>
      </w:r>
      <w:r w:rsidRPr="00F66F5F">
        <w:rPr>
          <w:rFonts w:asciiTheme="minorBidi" w:hAnsiTheme="minorBidi" w:cstheme="minorBidi"/>
          <w:sz w:val="22"/>
          <w:szCs w:val="22"/>
          <w:lang w:val="es-ES"/>
        </w:rPr>
        <w:t xml:space="preserve"> 14</w:t>
      </w:r>
      <w:r w:rsidR="00870F83"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w:t>
      </w:r>
      <w:r w:rsidR="00870F83"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Acidez media del mar (pH) medida en un conjunto convenido de estaciones de muestreo representativas</w:t>
      </w:r>
      <w:r w:rsidR="00870F83"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w:t>
      </w:r>
      <w:r w:rsidR="00870F83" w:rsidRPr="00F66F5F">
        <w:rPr>
          <w:rFonts w:asciiTheme="minorBidi" w:hAnsiTheme="minorBidi" w:cstheme="minorBidi"/>
          <w:sz w:val="22"/>
          <w:szCs w:val="22"/>
          <w:lang w:val="es-ES"/>
        </w:rPr>
        <w:t>se recopilaron en</w:t>
      </w:r>
      <w:r w:rsidRPr="00F66F5F">
        <w:rPr>
          <w:rFonts w:asciiTheme="minorBidi" w:hAnsiTheme="minorBidi" w:cstheme="minorBidi"/>
          <w:sz w:val="22"/>
          <w:szCs w:val="22"/>
          <w:lang w:val="es-ES"/>
        </w:rPr>
        <w:t xml:space="preserve"> un mayor número de países y estaciones (178</w:t>
      </w:r>
      <w:r w:rsidR="00863C85"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estaciones en 2021; 308 en 2022; 539 en 2023; 638 en 2024).</w:t>
      </w:r>
    </w:p>
    <w:p w14:paraId="6EF27170" w14:textId="6D24EC60" w:rsidR="00D81B40" w:rsidRPr="00F66F5F" w:rsidRDefault="00182632"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La red mundial de expertos en acidificación del océano coordinada por la COI cuenta ahora con más de 1 150 miembros de 1</w:t>
      </w:r>
      <w:r w:rsidR="00805F4C" w:rsidRPr="00F66F5F">
        <w:rPr>
          <w:rFonts w:asciiTheme="minorBidi" w:hAnsiTheme="minorBidi" w:cstheme="minorBidi"/>
          <w:sz w:val="22"/>
          <w:szCs w:val="22"/>
          <w:lang w:val="es-ES"/>
        </w:rPr>
        <w:t>1</w:t>
      </w:r>
      <w:r w:rsidRPr="00F66F5F">
        <w:rPr>
          <w:rFonts w:asciiTheme="minorBidi" w:hAnsiTheme="minorBidi" w:cstheme="minorBidi"/>
          <w:sz w:val="22"/>
          <w:szCs w:val="22"/>
          <w:lang w:val="es-ES"/>
        </w:rPr>
        <w:t>5 países (22 de ellos africanos y 23 PEID) y sigue creciendo.</w:t>
      </w:r>
    </w:p>
    <w:p w14:paraId="4BBB45B1" w14:textId="0F7FC110" w:rsidR="001C53DD" w:rsidRPr="00F66F5F" w:rsidRDefault="00BA5602"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El número de asociados de la Alianza Internacional para el Carbono Azul aumentó hasta</w:t>
      </w:r>
      <w:r w:rsidR="006F28A3"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57, de los cuales 18 son Estados Miembros de la COI. Junto con Australia y Francia, la COI organizó el Diálogo 2023 de la Alianza en la Sede de la UNESCO.</w:t>
      </w:r>
    </w:p>
    <w:p w14:paraId="1C3044CB" w14:textId="5D88CE2A" w:rsidR="00FC2A2B" w:rsidRPr="00F66F5F" w:rsidRDefault="00FC2A2B"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El Sistema Mundial de Observación del Océano (GOOS) cuenta actualmente con más de 8 700 plataformas de observación repartidas en 13 redes mundiales de observación</w:t>
      </w:r>
      <w:r w:rsidR="006F28A3"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gestionadas por 84 Estados Miembros (10 de ellos africanos y 9 PEID). </w:t>
      </w:r>
      <w:r w:rsidR="006F28A3" w:rsidRPr="00F66F5F">
        <w:rPr>
          <w:rFonts w:asciiTheme="minorBidi" w:hAnsiTheme="minorBidi" w:cstheme="minorBidi"/>
          <w:sz w:val="22"/>
          <w:szCs w:val="22"/>
          <w:lang w:val="es-ES"/>
        </w:rPr>
        <w:t>M</w:t>
      </w:r>
      <w:r w:rsidRPr="00F66F5F">
        <w:rPr>
          <w:rFonts w:asciiTheme="minorBidi" w:hAnsiTheme="minorBidi" w:cstheme="minorBidi"/>
          <w:sz w:val="22"/>
          <w:szCs w:val="22"/>
          <w:lang w:val="es-ES"/>
        </w:rPr>
        <w:t xml:space="preserve">ás de 100 000 observaciones oceánicas </w:t>
      </w:r>
      <w:r w:rsidR="006F28A3" w:rsidRPr="00F66F5F">
        <w:rPr>
          <w:rFonts w:asciiTheme="minorBidi" w:hAnsiTheme="minorBidi" w:cstheme="minorBidi"/>
          <w:sz w:val="22"/>
          <w:szCs w:val="22"/>
          <w:lang w:val="es-ES"/>
        </w:rPr>
        <w:t xml:space="preserve">son controladas cada día por </w:t>
      </w:r>
      <w:r w:rsidRPr="00F66F5F">
        <w:rPr>
          <w:rFonts w:asciiTheme="minorBidi" w:hAnsiTheme="minorBidi" w:cstheme="minorBidi"/>
          <w:sz w:val="22"/>
          <w:szCs w:val="22"/>
          <w:lang w:val="es-ES"/>
        </w:rPr>
        <w:t>el centro operacional (OceanOPS)</w:t>
      </w:r>
      <w:r w:rsidR="009973C3" w:rsidRPr="00F66F5F">
        <w:rPr>
          <w:rFonts w:asciiTheme="minorBidi" w:hAnsiTheme="minorBidi" w:cstheme="minorBidi"/>
          <w:sz w:val="22"/>
          <w:szCs w:val="22"/>
          <w:lang w:val="es-ES"/>
        </w:rPr>
        <w:t xml:space="preserve"> de la</w:t>
      </w:r>
      <w:r w:rsidRPr="00F66F5F">
        <w:rPr>
          <w:rFonts w:asciiTheme="minorBidi" w:hAnsiTheme="minorBidi" w:cstheme="minorBidi"/>
          <w:sz w:val="22"/>
          <w:szCs w:val="22"/>
          <w:lang w:val="es-ES"/>
        </w:rPr>
        <w:t xml:space="preserve"> </w:t>
      </w:r>
      <w:r w:rsidR="006F28A3" w:rsidRPr="00F66F5F">
        <w:rPr>
          <w:rFonts w:asciiTheme="minorBidi" w:hAnsiTheme="minorBidi" w:cstheme="minorBidi"/>
          <w:sz w:val="22"/>
          <w:szCs w:val="22"/>
          <w:lang w:val="es-ES"/>
        </w:rPr>
        <w:t>COI</w:t>
      </w:r>
      <w:r w:rsidR="009973C3" w:rsidRPr="00F66F5F">
        <w:rPr>
          <w:rFonts w:asciiTheme="minorBidi" w:hAnsiTheme="minorBidi" w:cstheme="minorBidi"/>
          <w:sz w:val="22"/>
          <w:szCs w:val="22"/>
          <w:lang w:val="es-ES"/>
        </w:rPr>
        <w:t xml:space="preserve"> y la Organización Meteorológica Mundial (</w:t>
      </w:r>
      <w:r w:rsidR="006F28A3" w:rsidRPr="00F66F5F">
        <w:rPr>
          <w:rFonts w:asciiTheme="minorBidi" w:hAnsiTheme="minorBidi" w:cstheme="minorBidi"/>
          <w:sz w:val="22"/>
          <w:szCs w:val="22"/>
          <w:lang w:val="es-ES"/>
        </w:rPr>
        <w:t>OMM</w:t>
      </w:r>
      <w:r w:rsidR="009973C3" w:rsidRPr="00F66F5F">
        <w:rPr>
          <w:rFonts w:asciiTheme="minorBidi" w:hAnsiTheme="minorBidi" w:cstheme="minorBidi"/>
          <w:sz w:val="22"/>
          <w:szCs w:val="22"/>
          <w:lang w:val="es-ES"/>
        </w:rPr>
        <w:t>).</w:t>
      </w:r>
      <w:r w:rsidR="006F28A3" w:rsidRPr="00F66F5F">
        <w:rPr>
          <w:rFonts w:asciiTheme="minorBidi" w:hAnsiTheme="minorBidi" w:cstheme="minorBidi"/>
          <w:sz w:val="22"/>
          <w:szCs w:val="22"/>
          <w:lang w:val="es-ES"/>
        </w:rPr>
        <w:t xml:space="preserve"> </w:t>
      </w:r>
      <w:r w:rsidRPr="00F66F5F">
        <w:rPr>
          <w:rFonts w:asciiTheme="minorBidi" w:hAnsiTheme="minorBidi" w:cstheme="minorBidi"/>
          <w:sz w:val="22"/>
          <w:szCs w:val="22"/>
          <w:lang w:val="es-ES"/>
        </w:rPr>
        <w:t>Esta información se presenta en la ficha anual de resultados del sistema de observación del océano del GOOS.</w:t>
      </w:r>
    </w:p>
    <w:p w14:paraId="57BE3499" w14:textId="1BBEA39A" w:rsidR="004B3408" w:rsidRPr="00F66F5F" w:rsidRDefault="004B3408" w:rsidP="00624476">
      <w:pPr>
        <w:numPr>
          <w:ilvl w:val="0"/>
          <w:numId w:val="25"/>
        </w:numPr>
        <w:pBdr>
          <w:top w:val="nil"/>
          <w:left w:val="nil"/>
          <w:bottom w:val="nil"/>
          <w:right w:val="nil"/>
          <w:between w:val="nil"/>
        </w:pBdr>
        <w:tabs>
          <w:tab w:val="clear" w:pos="567"/>
        </w:tabs>
        <w:suppressAutoHyphens/>
        <w:snapToGrid/>
        <w:spacing w:after="240"/>
        <w:ind w:left="851" w:hanging="284"/>
        <w:jc w:val="both"/>
        <w:textDirection w:val="btLr"/>
        <w:textAlignment w:val="top"/>
        <w:outlineLvl w:val="0"/>
        <w:rPr>
          <w:rFonts w:asciiTheme="minorBidi" w:eastAsia="Arial" w:hAnsiTheme="minorBidi" w:cstheme="minorBidi"/>
          <w:sz w:val="22"/>
          <w:szCs w:val="22"/>
          <w:lang w:val="es-ES"/>
        </w:rPr>
      </w:pPr>
      <w:r w:rsidRPr="00F66F5F">
        <w:rPr>
          <w:rFonts w:asciiTheme="minorBidi" w:hAnsiTheme="minorBidi" w:cstheme="minorBidi"/>
          <w:sz w:val="22"/>
          <w:szCs w:val="22"/>
          <w:lang w:val="es-ES"/>
        </w:rPr>
        <w:t xml:space="preserve">Reconociendo que los programas conjuntos entre la COI, las Naciones Unidas y otras organizaciones internacionales son </w:t>
      </w:r>
      <w:r w:rsidR="009973C3" w:rsidRPr="00F66F5F">
        <w:rPr>
          <w:rFonts w:asciiTheme="minorBidi" w:hAnsiTheme="minorBidi" w:cstheme="minorBidi"/>
          <w:sz w:val="22"/>
          <w:szCs w:val="22"/>
          <w:lang w:val="es-ES"/>
        </w:rPr>
        <w:t>medio</w:t>
      </w:r>
      <w:r w:rsidRPr="00F66F5F">
        <w:rPr>
          <w:rFonts w:asciiTheme="minorBidi" w:hAnsiTheme="minorBidi" w:cstheme="minorBidi"/>
          <w:sz w:val="22"/>
          <w:szCs w:val="22"/>
          <w:lang w:val="es-ES"/>
        </w:rPr>
        <w:t xml:space="preserve">s importantes de potenciar y mejorar las actividades de la COI para servir mejor a la sociedad y que estos programas deben sustentarse en acuerdos oportunos y pertinentes, se negoció con la OMM, el Programa de </w:t>
      </w:r>
      <w:r w:rsidRPr="00F66F5F">
        <w:rPr>
          <w:rFonts w:asciiTheme="minorBidi" w:hAnsiTheme="minorBidi" w:cstheme="minorBidi"/>
          <w:sz w:val="22"/>
          <w:szCs w:val="22"/>
          <w:lang w:val="es-ES"/>
        </w:rPr>
        <w:lastRenderedPageBreak/>
        <w:t>las Naciones Unidas para el Medio Ambiente (PNUMA) y el Consejo Internacional de Ciencias un memorando de entendimiento revisado de cuatro años para el Sistema Mundial de Observación del Clima (GCOS).</w:t>
      </w:r>
    </w:p>
    <w:p w14:paraId="7419242C" w14:textId="0CE0398B" w:rsidR="00A7097D" w:rsidRPr="00F66F5F" w:rsidRDefault="000F4909" w:rsidP="00624476">
      <w:pPr>
        <w:numPr>
          <w:ilvl w:val="0"/>
          <w:numId w:val="25"/>
        </w:numPr>
        <w:pBdr>
          <w:top w:val="nil"/>
          <w:left w:val="nil"/>
          <w:bottom w:val="nil"/>
          <w:right w:val="nil"/>
          <w:between w:val="nil"/>
        </w:pBdr>
        <w:tabs>
          <w:tab w:val="clear" w:pos="567"/>
        </w:tabs>
        <w:suppressAutoHyphens/>
        <w:snapToGrid/>
        <w:spacing w:after="240"/>
        <w:ind w:left="851" w:hanging="284"/>
        <w:jc w:val="both"/>
        <w:textDirection w:val="btLr"/>
        <w:textAlignment w:val="top"/>
        <w:outlineLvl w:val="0"/>
        <w:rPr>
          <w:rFonts w:asciiTheme="minorBidi" w:eastAsia="Arial" w:hAnsiTheme="minorBidi" w:cstheme="minorBidi"/>
          <w:sz w:val="22"/>
          <w:szCs w:val="22"/>
          <w:lang w:val="es-ES"/>
        </w:rPr>
      </w:pPr>
      <w:r w:rsidRPr="00F66F5F">
        <w:rPr>
          <w:rFonts w:asciiTheme="minorBidi" w:hAnsiTheme="minorBidi" w:cstheme="minorBidi"/>
          <w:sz w:val="22"/>
          <w:szCs w:val="22"/>
          <w:lang w:val="es-ES"/>
        </w:rPr>
        <w:t>Se completó la autoevaluación del rendimiento de la Junta Mixta de Colaboración OMM</w:t>
      </w:r>
      <w:r w:rsidR="00863C85" w:rsidRPr="00F66F5F">
        <w:rPr>
          <w:rFonts w:asciiTheme="minorBidi" w:hAnsiTheme="minorBidi" w:cstheme="minorBidi"/>
          <w:sz w:val="22"/>
          <w:szCs w:val="22"/>
          <w:lang w:val="es-ES"/>
        </w:rPr>
        <w:noBreakHyphen/>
      </w:r>
      <w:r w:rsidRPr="00F66F5F">
        <w:rPr>
          <w:rFonts w:asciiTheme="minorBidi" w:hAnsiTheme="minorBidi" w:cstheme="minorBidi"/>
          <w:sz w:val="22"/>
          <w:szCs w:val="22"/>
          <w:lang w:val="es-ES"/>
        </w:rPr>
        <w:t>COI.</w:t>
      </w:r>
    </w:p>
    <w:p w14:paraId="02CBCE21" w14:textId="5CEF6BF1" w:rsidR="00FC2A2B" w:rsidRPr="00F66F5F" w:rsidRDefault="00FC2A2B" w:rsidP="00624476">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El Sistema de Datos e Información Oceanográficos (ODIS) comenzó a construir un ecosistema digital sostenible, interoperable e inclusivo para todas las partes interesadas en el océano, con el objetivo de enlazar miles de sistemas de datos en línea en una </w:t>
      </w:r>
      <w:r w:rsidR="001676B6"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internet de datos sobre el océano</w:t>
      </w:r>
      <w:r w:rsidR="001676B6" w:rsidRPr="00F66F5F">
        <w:rPr>
          <w:rFonts w:asciiTheme="minorBidi" w:hAnsiTheme="minorBidi" w:cstheme="minorBidi"/>
          <w:sz w:val="22"/>
          <w:szCs w:val="22"/>
          <w:lang w:val="es-ES"/>
        </w:rPr>
        <w:t>”.</w:t>
      </w:r>
    </w:p>
    <w:p w14:paraId="52CCA17C" w14:textId="3C93A0BD" w:rsidR="002660A1" w:rsidRPr="00F66F5F" w:rsidRDefault="002660A1" w:rsidP="00863C85">
      <w:pPr>
        <w:pStyle w:val="xmsonormal"/>
        <w:numPr>
          <w:ilvl w:val="0"/>
          <w:numId w:val="25"/>
        </w:numPr>
        <w:spacing w:after="240"/>
        <w:ind w:left="851" w:hanging="284"/>
        <w:jc w:val="both"/>
        <w:rPr>
          <w:rFonts w:asciiTheme="minorBidi" w:hAnsiTheme="minorBidi" w:cstheme="minorBidi"/>
          <w:sz w:val="22"/>
          <w:szCs w:val="22"/>
          <w:lang w:val="es-ES"/>
        </w:rPr>
      </w:pPr>
      <w:r w:rsidRPr="00F66F5F">
        <w:rPr>
          <w:rFonts w:asciiTheme="minorBidi" w:hAnsiTheme="minorBidi" w:cstheme="minorBidi"/>
          <w:sz w:val="22"/>
          <w:szCs w:val="22"/>
          <w:lang w:val="es-ES"/>
        </w:rPr>
        <w:t>El Sistema de Información sobre la Biodiversidad del Océano (OBIS) siguió creciendo, recibiendo más de un nuevo conjunto de datos al día y más de un millón de registros al</w:t>
      </w:r>
      <w:r w:rsidR="003B4DBB"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mes.</w:t>
      </w:r>
    </w:p>
    <w:p w14:paraId="2FFECB23" w14:textId="4B2B1FD5" w:rsidR="00B91A3E" w:rsidRPr="00F66F5F" w:rsidRDefault="009A6570" w:rsidP="00BB3B6E">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En el marco de una labor conjunta entre el GOOS y el OBIS</w:t>
      </w:r>
      <w:r w:rsidR="00BB3B6E" w:rsidRPr="00F66F5F">
        <w:rPr>
          <w:rFonts w:asciiTheme="minorBidi" w:hAnsiTheme="minorBidi" w:cstheme="minorBidi"/>
          <w:sz w:val="22"/>
          <w:szCs w:val="22"/>
          <w:lang w:val="es-ES"/>
        </w:rPr>
        <w:t xml:space="preserve"> </w:t>
      </w:r>
      <w:r w:rsidRPr="00F66F5F">
        <w:rPr>
          <w:rFonts w:asciiTheme="minorBidi" w:hAnsiTheme="minorBidi" w:cstheme="minorBidi"/>
          <w:sz w:val="22"/>
          <w:szCs w:val="22"/>
          <w:lang w:val="es-ES"/>
        </w:rPr>
        <w:t xml:space="preserve">del </w:t>
      </w:r>
      <w:r w:rsidR="00BB3B6E" w:rsidRPr="00F66F5F">
        <w:rPr>
          <w:rFonts w:asciiTheme="minorBidi" w:hAnsiTheme="minorBidi" w:cstheme="minorBidi"/>
          <w:sz w:val="22"/>
          <w:szCs w:val="22"/>
          <w:lang w:val="es-ES"/>
        </w:rPr>
        <w:t>Intercambio Internacional de Datos e Información Oceanográficos (</w:t>
      </w:r>
      <w:r w:rsidRPr="00F66F5F">
        <w:rPr>
          <w:rFonts w:asciiTheme="minorBidi" w:hAnsiTheme="minorBidi" w:cstheme="minorBidi"/>
          <w:sz w:val="22"/>
          <w:szCs w:val="22"/>
          <w:lang w:val="es-ES"/>
        </w:rPr>
        <w:t>IODE</w:t>
      </w:r>
      <w:r w:rsidR="00BB3B6E"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se recopiló información de 638 programas de vigilancia biológica activa a largo plazo y se integró en una plataforma de metadatos en línea (portal BioEco) que se conectará al ODIS y se convertirá en la infraestructura de seguimiento del estado del componente biológico marino del GOOS. El OBIS sigue desempeñando una función clave en este sentido al albergar y proporcionar un punto de acceso integrado, normalizado y de calidad controlada a las observaciones biológicas y de los ecosistemas reales necesarias para alimentar los modelos ecosistémicos, los sistemas de alerta temprana y los marcos de indicadores y evaluación.</w:t>
      </w:r>
    </w:p>
    <w:p w14:paraId="299DF2CB" w14:textId="29FE4FBD" w:rsidR="0073314B" w:rsidRPr="00F66F5F" w:rsidRDefault="00113997" w:rsidP="00BB3B6E">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El proyecto de las expediciones de </w:t>
      </w:r>
      <w:r w:rsidR="004E4F2C" w:rsidRPr="00F66F5F">
        <w:rPr>
          <w:rFonts w:asciiTheme="minorBidi" w:hAnsiTheme="minorBidi" w:cstheme="minorBidi"/>
          <w:sz w:val="22"/>
          <w:szCs w:val="22"/>
          <w:lang w:val="es-ES"/>
        </w:rPr>
        <w:t xml:space="preserve">muestreo de </w:t>
      </w:r>
      <w:r w:rsidRPr="00F66F5F">
        <w:rPr>
          <w:rFonts w:asciiTheme="minorBidi" w:hAnsiTheme="minorBidi" w:cstheme="minorBidi"/>
          <w:sz w:val="22"/>
          <w:szCs w:val="22"/>
          <w:lang w:val="es-ES"/>
        </w:rPr>
        <w:t xml:space="preserve">ADN ambiental en sitios marinos del Patrimonio Mundial, financiado por Flandes y ejecutado conjuntamente por la COI y el Centro del Patrimonio Mundial, está finalizando el análisis de más de 400 muestras procedentes de 20 sitios. En junio de 2024 se publicará un resumen para los encargados de formular políticas, que ilustrará la riqueza de la biodiversidad y los descubrimientos únicos </w:t>
      </w:r>
      <w:r w:rsidR="004E4F2C" w:rsidRPr="00F66F5F">
        <w:rPr>
          <w:rFonts w:asciiTheme="minorBidi" w:hAnsiTheme="minorBidi" w:cstheme="minorBidi"/>
          <w:sz w:val="22"/>
          <w:szCs w:val="22"/>
          <w:lang w:val="es-ES"/>
        </w:rPr>
        <w:t>realiz</w:t>
      </w:r>
      <w:r w:rsidRPr="00F66F5F">
        <w:rPr>
          <w:rFonts w:asciiTheme="minorBidi" w:hAnsiTheme="minorBidi" w:cstheme="minorBidi"/>
          <w:sz w:val="22"/>
          <w:szCs w:val="22"/>
          <w:lang w:val="es-ES"/>
        </w:rPr>
        <w:t xml:space="preserve">ados mediante el muestreo de ADN ambiental en el que participaron más de 200 escolares (científicos ciudadanos) y destacará su vulnerabilidad </w:t>
      </w:r>
      <w:r w:rsidR="004E4F2C" w:rsidRPr="00F66F5F">
        <w:rPr>
          <w:rFonts w:asciiTheme="minorBidi" w:hAnsiTheme="minorBidi" w:cstheme="minorBidi"/>
          <w:sz w:val="22"/>
          <w:szCs w:val="22"/>
          <w:lang w:val="es-ES"/>
        </w:rPr>
        <w:t xml:space="preserve">frente </w:t>
      </w:r>
      <w:r w:rsidRPr="00F66F5F">
        <w:rPr>
          <w:rFonts w:asciiTheme="minorBidi" w:hAnsiTheme="minorBidi" w:cstheme="minorBidi"/>
          <w:sz w:val="22"/>
          <w:szCs w:val="22"/>
          <w:lang w:val="es-ES"/>
        </w:rPr>
        <w:t>al calentamiento global en el marco del cambio climático</w:t>
      </w:r>
      <w:r w:rsidR="004E4F2C" w:rsidRPr="00F66F5F">
        <w:rPr>
          <w:rFonts w:asciiTheme="minorBidi" w:hAnsiTheme="minorBidi" w:cstheme="minorBidi"/>
          <w:sz w:val="22"/>
          <w:szCs w:val="22"/>
          <w:lang w:val="es-ES"/>
        </w:rPr>
        <w:t>, así como</w:t>
      </w:r>
      <w:r w:rsidRPr="00F66F5F">
        <w:rPr>
          <w:rFonts w:asciiTheme="minorBidi" w:hAnsiTheme="minorBidi" w:cstheme="minorBidi"/>
          <w:sz w:val="22"/>
          <w:szCs w:val="22"/>
          <w:lang w:val="es-ES"/>
        </w:rPr>
        <w:t xml:space="preserve"> la necesidad de aumentar las observaciones y el intercambio de datos para apoyar los esfuerzos de conservación.</w:t>
      </w:r>
    </w:p>
    <w:p w14:paraId="7BB9D497" w14:textId="5CE40FE9" w:rsidR="00365ED5" w:rsidRPr="00F66F5F" w:rsidRDefault="00855CEB" w:rsidP="00624476">
      <w:pPr>
        <w:pStyle w:val="ListParagraph"/>
        <w:numPr>
          <w:ilvl w:val="0"/>
          <w:numId w:val="25"/>
        </w:numPr>
        <w:spacing w:after="12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El programa de tsunamis siguió centrándose en el desarrollo de capacidades en todas las cuencas oceánicas</w:t>
      </w:r>
      <w:r w:rsidR="004E4F2C" w:rsidRPr="00F66F5F">
        <w:rPr>
          <w:rFonts w:asciiTheme="minorBidi" w:hAnsiTheme="minorBidi" w:cstheme="minorBidi"/>
          <w:sz w:val="22"/>
          <w:szCs w:val="22"/>
          <w:lang w:val="es-ES"/>
        </w:rPr>
        <w:t xml:space="preserve"> c</w:t>
      </w:r>
      <w:r w:rsidRPr="00F66F5F">
        <w:rPr>
          <w:rFonts w:asciiTheme="minorBidi" w:hAnsiTheme="minorBidi" w:cstheme="minorBidi"/>
          <w:sz w:val="22"/>
          <w:szCs w:val="22"/>
          <w:lang w:val="es-ES"/>
        </w:rPr>
        <w:t>on el apoyo activo de los Estados Miembros, como indica la renovación de los acuerdos con:</w:t>
      </w:r>
    </w:p>
    <w:p w14:paraId="3B16B815" w14:textId="0667FE35" w:rsidR="00365ED5" w:rsidRPr="00F66F5F" w:rsidRDefault="00365ED5" w:rsidP="001676B6">
      <w:pPr>
        <w:pStyle w:val="ListParagraph"/>
        <w:numPr>
          <w:ilvl w:val="0"/>
          <w:numId w:val="28"/>
        </w:numPr>
        <w:spacing w:after="12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la Agencia de Meteorología, Climatología y Geofísica de la República de Indonesia</w:t>
      </w:r>
      <w:r w:rsidR="00423AB7" w:rsidRPr="00F66F5F">
        <w:rPr>
          <w:rFonts w:asciiTheme="minorBidi" w:hAnsiTheme="minorBidi" w:cstheme="minorBidi"/>
          <w:sz w:val="22"/>
          <w:szCs w:val="22"/>
          <w:lang w:val="es-ES"/>
        </w:rPr>
        <w:t>, que</w:t>
      </w:r>
      <w:r w:rsidRPr="00F66F5F">
        <w:rPr>
          <w:rFonts w:asciiTheme="minorBidi" w:hAnsiTheme="minorBidi" w:cstheme="minorBidi"/>
          <w:sz w:val="22"/>
          <w:szCs w:val="22"/>
          <w:lang w:val="es-ES"/>
        </w:rPr>
        <w:t xml:space="preserve"> acoge el Centro de Información sobre los Tsunamis en el Océano Índico (IOTIC)</w:t>
      </w:r>
      <w:r w:rsidR="00423AB7"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w:t>
      </w:r>
      <w:r w:rsidR="00423AB7" w:rsidRPr="00F66F5F">
        <w:rPr>
          <w:rFonts w:asciiTheme="minorBidi" w:hAnsiTheme="minorBidi" w:cstheme="minorBidi"/>
          <w:sz w:val="22"/>
          <w:szCs w:val="22"/>
          <w:lang w:val="es-ES"/>
        </w:rPr>
        <w:t xml:space="preserve">durante el periodo </w:t>
      </w:r>
      <w:r w:rsidRPr="00F66F5F">
        <w:rPr>
          <w:rFonts w:asciiTheme="minorBidi" w:hAnsiTheme="minorBidi" w:cstheme="minorBidi"/>
          <w:sz w:val="22"/>
          <w:szCs w:val="22"/>
          <w:lang w:val="es-ES"/>
        </w:rPr>
        <w:t>2023</w:t>
      </w:r>
      <w:r w:rsidR="00423AB7"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2027;</w:t>
      </w:r>
    </w:p>
    <w:p w14:paraId="5547FB33" w14:textId="34DCD4F2" w:rsidR="008A23E5" w:rsidRPr="00F66F5F" w:rsidRDefault="00365ED5" w:rsidP="001676B6">
      <w:pPr>
        <w:pStyle w:val="ListParagraph"/>
        <w:numPr>
          <w:ilvl w:val="0"/>
          <w:numId w:val="28"/>
        </w:numPr>
        <w:spacing w:after="12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la Dependencia de Ordenación de la Zona Costera de Barbados, que alberga el Centro de Información sobre los Tsunamis en el Caribe (CTIC)</w:t>
      </w:r>
      <w:r w:rsidR="00423AB7" w:rsidRPr="00F66F5F">
        <w:rPr>
          <w:rFonts w:asciiTheme="minorBidi" w:hAnsiTheme="minorBidi" w:cstheme="minorBidi"/>
          <w:sz w:val="22"/>
          <w:szCs w:val="22"/>
          <w:lang w:val="es-ES"/>
        </w:rPr>
        <w:t>, durante el periodo</w:t>
      </w:r>
      <w:r w:rsidRPr="00F66F5F">
        <w:rPr>
          <w:rFonts w:asciiTheme="minorBidi" w:hAnsiTheme="minorBidi" w:cstheme="minorBidi"/>
          <w:sz w:val="22"/>
          <w:szCs w:val="22"/>
          <w:lang w:val="es-ES"/>
        </w:rPr>
        <w:t xml:space="preserve"> 2024-2029;</w:t>
      </w:r>
    </w:p>
    <w:p w14:paraId="67C08D00" w14:textId="5AEB0ED6" w:rsidR="008A23E5" w:rsidRPr="00F66F5F" w:rsidRDefault="008A23E5" w:rsidP="001676B6">
      <w:pPr>
        <w:pStyle w:val="ListParagraph"/>
        <w:numPr>
          <w:ilvl w:val="0"/>
          <w:numId w:val="28"/>
        </w:numPr>
        <w:spacing w:after="240"/>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la Oficina de Meteorología de Australia</w:t>
      </w:r>
      <w:r w:rsidR="00423AB7" w:rsidRPr="00F66F5F">
        <w:rPr>
          <w:rFonts w:asciiTheme="minorBidi" w:hAnsiTheme="minorBidi" w:cstheme="minorBidi"/>
          <w:sz w:val="22"/>
          <w:szCs w:val="22"/>
          <w:lang w:val="es-ES"/>
        </w:rPr>
        <w:t>, que</w:t>
      </w:r>
      <w:r w:rsidRPr="00F66F5F">
        <w:rPr>
          <w:rFonts w:asciiTheme="minorBidi" w:hAnsiTheme="minorBidi" w:cstheme="minorBidi"/>
          <w:sz w:val="22"/>
          <w:szCs w:val="22"/>
          <w:lang w:val="es-ES"/>
        </w:rPr>
        <w:t xml:space="preserve"> acoge la oficina del Sistema de Alerta contra los Tsunamis y Atenuación de sus Efectos en el Océano Índico (IOTWMS) en Perth (Australia)</w:t>
      </w:r>
      <w:r w:rsidR="00423AB7" w:rsidRPr="00F66F5F">
        <w:rPr>
          <w:rFonts w:asciiTheme="minorBidi" w:hAnsiTheme="minorBidi" w:cstheme="minorBidi"/>
          <w:sz w:val="22"/>
          <w:szCs w:val="22"/>
          <w:lang w:val="es-ES"/>
        </w:rPr>
        <w:t>, durante el periodo</w:t>
      </w:r>
      <w:r w:rsidRPr="00F66F5F">
        <w:rPr>
          <w:rFonts w:asciiTheme="minorBidi" w:hAnsiTheme="minorBidi" w:cstheme="minorBidi"/>
          <w:sz w:val="22"/>
          <w:szCs w:val="22"/>
          <w:lang w:val="es-ES"/>
        </w:rPr>
        <w:t xml:space="preserve"> 2023-2027.</w:t>
      </w:r>
    </w:p>
    <w:p w14:paraId="06144AE9" w14:textId="2F778F43" w:rsidR="00855CEB" w:rsidRPr="00F66F5F" w:rsidRDefault="00855CEB" w:rsidP="00624476">
      <w:pPr>
        <w:pStyle w:val="ListParagraph"/>
        <w:spacing w:after="240"/>
        <w:ind w:left="851" w:firstLine="3"/>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Se publicó la Colección Técnica de la COI Nº</w:t>
      </w:r>
      <w:r w:rsidR="00863C85"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183 sobre vigilancia y alerta de tsunamis generados por volcanes. El Programa de Reconocimiento Tsunami Ready siguió ampliándose, y ya son más de 50 las comunidades reconocidas, en 24 Estados Miembros.</w:t>
      </w:r>
    </w:p>
    <w:p w14:paraId="56E499A4" w14:textId="389253C5" w:rsidR="00D32A15" w:rsidRPr="00F66F5F" w:rsidRDefault="00D06E64" w:rsidP="00D06E64">
      <w:pPr>
        <w:pStyle w:val="ListParagraph"/>
        <w:numPr>
          <w:ilvl w:val="0"/>
          <w:numId w:val="24"/>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En el marco de una iniciativa conjunta</w:t>
      </w:r>
      <w:r w:rsidR="00D32A15" w:rsidRPr="00F66F5F">
        <w:rPr>
          <w:rFonts w:asciiTheme="minorBidi" w:hAnsiTheme="minorBidi" w:cstheme="minorBidi"/>
          <w:sz w:val="22"/>
          <w:szCs w:val="22"/>
          <w:lang w:val="es-ES"/>
        </w:rPr>
        <w:t xml:space="preserve"> de GlobalHAB y </w:t>
      </w:r>
      <w:r w:rsidRPr="00F66F5F">
        <w:rPr>
          <w:rFonts w:asciiTheme="minorBidi" w:hAnsiTheme="minorBidi" w:cstheme="minorBidi"/>
          <w:sz w:val="22"/>
          <w:szCs w:val="22"/>
          <w:lang w:val="es-ES"/>
        </w:rPr>
        <w:t>el Grupo Mixto de Expertos sobre los Aspectos Científicos de la Protección del Medio Marino (</w:t>
      </w:r>
      <w:r w:rsidR="00D32A15" w:rsidRPr="00F66F5F">
        <w:rPr>
          <w:rFonts w:asciiTheme="minorBidi" w:hAnsiTheme="minorBidi" w:cstheme="minorBidi"/>
          <w:sz w:val="22"/>
          <w:szCs w:val="22"/>
          <w:lang w:val="es-ES"/>
        </w:rPr>
        <w:t>GESAMP</w:t>
      </w:r>
      <w:r w:rsidRPr="00F66F5F">
        <w:rPr>
          <w:rFonts w:asciiTheme="minorBidi" w:hAnsiTheme="minorBidi" w:cstheme="minorBidi"/>
          <w:sz w:val="22"/>
          <w:szCs w:val="22"/>
          <w:lang w:val="es-ES"/>
        </w:rPr>
        <w:t>)</w:t>
      </w:r>
      <w:r w:rsidR="00D32A15" w:rsidRPr="00F66F5F">
        <w:rPr>
          <w:rFonts w:asciiTheme="minorBidi" w:hAnsiTheme="minorBidi" w:cstheme="minorBidi"/>
          <w:sz w:val="22"/>
          <w:szCs w:val="22"/>
          <w:lang w:val="es-ES"/>
        </w:rPr>
        <w:t>, en junio de 2023 se publicó un libro blanco sobre el sargazo. En abril de 2024 se firmó un memorando de entendimiento entre la COI</w:t>
      </w:r>
      <w:r w:rsidR="00527369" w:rsidRPr="00F66F5F">
        <w:rPr>
          <w:rFonts w:asciiTheme="minorBidi" w:hAnsiTheme="minorBidi" w:cstheme="minorBidi"/>
          <w:sz w:val="22"/>
          <w:szCs w:val="22"/>
          <w:lang w:val="es-ES"/>
        </w:rPr>
        <w:t xml:space="preserve"> de la </w:t>
      </w:r>
      <w:r w:rsidR="00D32A15" w:rsidRPr="00F66F5F">
        <w:rPr>
          <w:rFonts w:asciiTheme="minorBidi" w:hAnsiTheme="minorBidi" w:cstheme="minorBidi"/>
          <w:sz w:val="22"/>
          <w:szCs w:val="22"/>
          <w:lang w:val="es-ES"/>
        </w:rPr>
        <w:t xml:space="preserve">UNESCO y la Organización de las Naciones Unidas para </w:t>
      </w:r>
      <w:r w:rsidR="00D32A15" w:rsidRPr="00F66F5F">
        <w:rPr>
          <w:rFonts w:asciiTheme="minorBidi" w:hAnsiTheme="minorBidi" w:cstheme="minorBidi"/>
          <w:sz w:val="22"/>
          <w:szCs w:val="22"/>
          <w:lang w:val="es-ES"/>
        </w:rPr>
        <w:lastRenderedPageBreak/>
        <w:t xml:space="preserve">la Alimentación y la Agricultura (FAO) para </w:t>
      </w:r>
      <w:r w:rsidR="00527369" w:rsidRPr="00F66F5F">
        <w:rPr>
          <w:rFonts w:asciiTheme="minorBidi" w:hAnsiTheme="minorBidi" w:cstheme="minorBidi"/>
          <w:sz w:val="22"/>
          <w:szCs w:val="22"/>
          <w:lang w:val="es-ES"/>
        </w:rPr>
        <w:t>oficia</w:t>
      </w:r>
      <w:r w:rsidR="00D32A15" w:rsidRPr="00F66F5F">
        <w:rPr>
          <w:rFonts w:asciiTheme="minorBidi" w:hAnsiTheme="minorBidi" w:cstheme="minorBidi"/>
          <w:sz w:val="22"/>
          <w:szCs w:val="22"/>
          <w:lang w:val="es-ES"/>
        </w:rPr>
        <w:t xml:space="preserve">lizar una estrecha cooperación </w:t>
      </w:r>
      <w:r w:rsidRPr="00F66F5F">
        <w:rPr>
          <w:rFonts w:asciiTheme="minorBidi" w:hAnsiTheme="minorBidi" w:cstheme="minorBidi"/>
          <w:sz w:val="22"/>
          <w:szCs w:val="22"/>
          <w:lang w:val="es-ES"/>
        </w:rPr>
        <w:t>periódica</w:t>
      </w:r>
      <w:r w:rsidR="00D32A15" w:rsidRPr="00F66F5F">
        <w:rPr>
          <w:rFonts w:asciiTheme="minorBidi" w:hAnsiTheme="minorBidi" w:cstheme="minorBidi"/>
          <w:sz w:val="22"/>
          <w:szCs w:val="22"/>
          <w:lang w:val="es-ES"/>
        </w:rPr>
        <w:t xml:space="preserve"> sobre sistemas de alerta temprana de floraciones de algas nocivas y sobre recopilación e intercambio de datos a escala mundial. A principios de 2024 se aprobó como programa del Decenio un trabajo mundial de colaboración bajo la dirección del Panel Intergubernamental sobre Floraciones de Algas Nocivas (IPHAB) titulado </w:t>
      </w:r>
      <w:r w:rsidR="001676B6"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Soluciones </w:t>
      </w:r>
      <w:r w:rsidR="00D32A15" w:rsidRPr="00F66F5F">
        <w:rPr>
          <w:rFonts w:asciiTheme="minorBidi" w:hAnsiTheme="minorBidi" w:cstheme="minorBidi"/>
          <w:sz w:val="22"/>
          <w:szCs w:val="22"/>
          <w:lang w:val="es-ES"/>
        </w:rPr>
        <w:t>HAB (HAB-S)</w:t>
      </w:r>
      <w:r w:rsidR="001676B6" w:rsidRPr="00F66F5F">
        <w:rPr>
          <w:rFonts w:asciiTheme="minorBidi" w:hAnsiTheme="minorBidi" w:cstheme="minorBidi"/>
          <w:sz w:val="22"/>
          <w:szCs w:val="22"/>
          <w:lang w:val="es-ES"/>
        </w:rPr>
        <w:t>”</w:t>
      </w:r>
      <w:r w:rsidR="00D32A15" w:rsidRPr="00F66F5F">
        <w:rPr>
          <w:rFonts w:asciiTheme="minorBidi" w:hAnsiTheme="minorBidi" w:cstheme="minorBidi"/>
          <w:sz w:val="22"/>
          <w:szCs w:val="22"/>
          <w:lang w:val="es-ES"/>
        </w:rPr>
        <w:t>.</w:t>
      </w:r>
    </w:p>
    <w:p w14:paraId="7611A5AC" w14:textId="6A0949AB" w:rsidR="00D32A15" w:rsidRPr="00F66F5F" w:rsidRDefault="00D32A15" w:rsidP="007B78BC">
      <w:pPr>
        <w:pStyle w:val="ListParagraph"/>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En junio de 2023, la COI aprobó su Estrategia de Desarrollo de Capacidades </w:t>
      </w:r>
      <w:r w:rsidR="007B78BC"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2023</w:t>
      </w:r>
      <w:r w:rsidR="001676B6" w:rsidRPr="00F66F5F">
        <w:rPr>
          <w:rFonts w:asciiTheme="minorBidi" w:hAnsiTheme="minorBidi" w:cstheme="minorBidi"/>
          <w:sz w:val="22"/>
          <w:szCs w:val="22"/>
          <w:lang w:val="es-ES"/>
        </w:rPr>
        <w:noBreakHyphen/>
      </w:r>
      <w:r w:rsidRPr="00F66F5F">
        <w:rPr>
          <w:rFonts w:asciiTheme="minorBidi" w:hAnsiTheme="minorBidi" w:cstheme="minorBidi"/>
          <w:sz w:val="22"/>
          <w:szCs w:val="22"/>
          <w:lang w:val="es-ES"/>
        </w:rPr>
        <w:t>2030</w:t>
      </w:r>
      <w:r w:rsidR="007B78BC"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La Academia Mundial OceanTeacher siguió expandiéndose y ya cuenta con 17 centros de formación. La COI acredita cada año con su certificación ISO</w:t>
      </w:r>
      <w:r w:rsidR="007B78BC" w:rsidRPr="00F66F5F">
        <w:rPr>
          <w:rFonts w:asciiTheme="minorBidi" w:hAnsiTheme="minorBidi" w:cstheme="minorBidi"/>
          <w:sz w:val="22"/>
          <w:szCs w:val="22"/>
          <w:lang w:val="es-ES"/>
        </w:rPr>
        <w:t> </w:t>
      </w:r>
      <w:r w:rsidRPr="00F66F5F">
        <w:rPr>
          <w:rFonts w:asciiTheme="minorBidi" w:hAnsiTheme="minorBidi" w:cstheme="minorBidi"/>
          <w:sz w:val="22"/>
          <w:szCs w:val="22"/>
          <w:lang w:val="es-ES"/>
        </w:rPr>
        <w:t>29990 a cientos de participantes en estos cursos de formación. El Ocean CD-Hub se ha seguido desarrollando como componente del mecanismo de intercambio de información de la COI para la transferencia de tecnología marina.</w:t>
      </w:r>
    </w:p>
    <w:p w14:paraId="0EF67091" w14:textId="33496CDD" w:rsidR="00D32A15" w:rsidRPr="00F66F5F" w:rsidRDefault="004553DC" w:rsidP="004553DC">
      <w:pPr>
        <w:pStyle w:val="ListParagraph"/>
        <w:keepNext/>
        <w:keepLines/>
        <w:numPr>
          <w:ilvl w:val="0"/>
          <w:numId w:val="25"/>
        </w:numPr>
        <w:spacing w:after="240"/>
        <w:ind w:left="851" w:hanging="284"/>
        <w:contextualSpacing w:val="0"/>
        <w:jc w:val="both"/>
        <w:rPr>
          <w:rFonts w:asciiTheme="minorBidi" w:hAnsiTheme="minorBidi" w:cstheme="minorBidi"/>
          <w:snapToGrid/>
          <w:color w:val="000000"/>
          <w:sz w:val="22"/>
          <w:szCs w:val="22"/>
          <w:lang w:val="es-ES"/>
        </w:rPr>
      </w:pPr>
      <w:r w:rsidRPr="00F66F5F">
        <w:rPr>
          <w:rFonts w:asciiTheme="minorBidi" w:hAnsiTheme="minorBidi" w:cstheme="minorBidi"/>
          <w:sz w:val="22"/>
          <w:szCs w:val="22"/>
          <w:lang w:val="es-ES"/>
        </w:rPr>
        <w:t>Gracias a</w:t>
      </w:r>
      <w:r w:rsidR="00D32A15" w:rsidRPr="00F66F5F">
        <w:rPr>
          <w:rFonts w:asciiTheme="minorBidi" w:hAnsiTheme="minorBidi" w:cstheme="minorBidi"/>
          <w:sz w:val="22"/>
          <w:szCs w:val="22"/>
          <w:lang w:val="es-ES"/>
        </w:rPr>
        <w:t xml:space="preserve"> la labor de desarrollo de capacidades de la COI reforzada por la financiación del </w:t>
      </w:r>
      <w:r w:rsidRPr="00F66F5F">
        <w:rPr>
          <w:rFonts w:asciiTheme="minorBidi" w:hAnsiTheme="minorBidi" w:cstheme="minorBidi"/>
          <w:sz w:val="22"/>
          <w:szCs w:val="22"/>
          <w:lang w:val="es-ES"/>
        </w:rPr>
        <w:t>Organismo Noruego de Cooperación para el Desarrollo (</w:t>
      </w:r>
      <w:r w:rsidR="00D32A15" w:rsidRPr="00F66F5F">
        <w:rPr>
          <w:rFonts w:asciiTheme="minorBidi" w:hAnsiTheme="minorBidi" w:cstheme="minorBidi"/>
          <w:sz w:val="22"/>
          <w:szCs w:val="22"/>
          <w:lang w:val="es-ES"/>
        </w:rPr>
        <w:t>NORAD</w:t>
      </w:r>
      <w:r w:rsidRPr="00F66F5F">
        <w:rPr>
          <w:rFonts w:asciiTheme="minorBidi" w:hAnsiTheme="minorBidi" w:cstheme="minorBidi"/>
          <w:sz w:val="22"/>
          <w:szCs w:val="22"/>
          <w:lang w:val="es-ES"/>
        </w:rPr>
        <w:t>)</w:t>
      </w:r>
      <w:r w:rsidR="00D32A15" w:rsidRPr="00F66F5F">
        <w:rPr>
          <w:rFonts w:asciiTheme="minorBidi" w:hAnsiTheme="minorBidi" w:cstheme="minorBidi"/>
          <w:sz w:val="22"/>
          <w:szCs w:val="22"/>
          <w:lang w:val="es-ES"/>
        </w:rPr>
        <w:t xml:space="preserve">, en 2024 se pusieron en marcha cinco actividades, concebidas conjuntamente con órganos subsidiarios regionales y técnicos: i) establecimiento de sistemas de alerta temprana </w:t>
      </w:r>
      <w:r w:rsidRPr="00F66F5F">
        <w:rPr>
          <w:rFonts w:asciiTheme="minorBidi" w:hAnsiTheme="minorBidi" w:cstheme="minorBidi"/>
          <w:sz w:val="22"/>
          <w:szCs w:val="22"/>
          <w:lang w:val="es-ES"/>
        </w:rPr>
        <w:t>frente a las</w:t>
      </w:r>
      <w:r w:rsidR="00D32A15" w:rsidRPr="00F66F5F">
        <w:rPr>
          <w:rFonts w:asciiTheme="minorBidi" w:hAnsiTheme="minorBidi" w:cstheme="minorBidi"/>
          <w:sz w:val="22"/>
          <w:szCs w:val="22"/>
          <w:lang w:val="es-ES"/>
        </w:rPr>
        <w:t xml:space="preserve"> floraciones de algas nocivas en África; ii) GLOSS África (fase 1-África Septentrional); iii) apoyo a la planificación estratégica y el desarrollo de capacidades </w:t>
      </w:r>
      <w:r w:rsidRPr="00F66F5F">
        <w:rPr>
          <w:rFonts w:asciiTheme="minorBidi" w:hAnsiTheme="minorBidi" w:cstheme="minorBidi"/>
          <w:sz w:val="22"/>
          <w:szCs w:val="22"/>
          <w:lang w:val="es-ES"/>
        </w:rPr>
        <w:t>en materia de</w:t>
      </w:r>
      <w:r w:rsidR="00D32A15" w:rsidRPr="00F66F5F">
        <w:rPr>
          <w:rFonts w:asciiTheme="minorBidi" w:hAnsiTheme="minorBidi" w:cstheme="minorBidi"/>
          <w:sz w:val="22"/>
          <w:szCs w:val="22"/>
          <w:lang w:val="es-ES"/>
        </w:rPr>
        <w:t xml:space="preserve"> observaciones oceánicas bajo los auspicios del GOOS-África; iv) Centro de Datos sobre Biodiversidad en Alta Mar; y v) pasantías de OceanTraining para mejorar la capacidad humana mundial relacionada con el mandato de la COI.</w:t>
      </w:r>
    </w:p>
    <w:p w14:paraId="555855D8" w14:textId="683B0DBB" w:rsidR="00D32A15" w:rsidRPr="00F66F5F" w:rsidRDefault="00D32A15" w:rsidP="00863C85">
      <w:pPr>
        <w:pStyle w:val="ListParagraph"/>
        <w:keepNext/>
        <w:keepLines/>
        <w:numPr>
          <w:ilvl w:val="0"/>
          <w:numId w:val="25"/>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La labor </w:t>
      </w:r>
      <w:r w:rsidR="004553DC" w:rsidRPr="00F66F5F">
        <w:rPr>
          <w:rFonts w:asciiTheme="minorBidi" w:hAnsiTheme="minorBidi" w:cstheme="minorBidi"/>
          <w:sz w:val="22"/>
          <w:szCs w:val="22"/>
          <w:lang w:val="es-ES"/>
        </w:rPr>
        <w:t xml:space="preserve">de desarrollo de las capacidades </w:t>
      </w:r>
      <w:r w:rsidRPr="00F66F5F">
        <w:rPr>
          <w:rFonts w:asciiTheme="minorBidi" w:hAnsiTheme="minorBidi" w:cstheme="minorBidi"/>
          <w:sz w:val="22"/>
          <w:szCs w:val="22"/>
          <w:lang w:val="es-ES"/>
        </w:rPr>
        <w:t>programática</w:t>
      </w:r>
      <w:r w:rsidR="004553DC" w:rsidRPr="00F66F5F">
        <w:rPr>
          <w:rFonts w:asciiTheme="minorBidi" w:hAnsiTheme="minorBidi" w:cstheme="minorBidi"/>
          <w:sz w:val="22"/>
          <w:szCs w:val="22"/>
          <w:lang w:val="es-ES"/>
        </w:rPr>
        <w:t>s</w:t>
      </w:r>
      <w:r w:rsidRPr="00F66F5F">
        <w:rPr>
          <w:rFonts w:asciiTheme="minorBidi" w:hAnsiTheme="minorBidi" w:cstheme="minorBidi"/>
          <w:sz w:val="22"/>
          <w:szCs w:val="22"/>
          <w:lang w:val="es-ES"/>
        </w:rPr>
        <w:t xml:space="preserve"> de la COI se complementa con el mecanismo de desarrollo de capacidades del Decenio del Océano, cuyo objetivo es elaborar y ejecutar iniciativas prioritarias de desarrollo de las capacidades en el marco del Decenio del Océano, centrándose en los PEID, los países menos adelantados y los profesionales de los océanos que inician su carrera.</w:t>
      </w:r>
    </w:p>
    <w:p w14:paraId="1A09D06F" w14:textId="6C06C81C" w:rsidR="00F82600" w:rsidRPr="00F66F5F" w:rsidRDefault="00D32A15" w:rsidP="00624476">
      <w:pPr>
        <w:pStyle w:val="ListParagraph"/>
        <w:numPr>
          <w:ilvl w:val="0"/>
          <w:numId w:val="24"/>
        </w:numPr>
        <w:tabs>
          <w:tab w:val="clear" w:pos="567"/>
        </w:tabs>
        <w:autoSpaceDE w:val="0"/>
        <w:autoSpaceDN w:val="0"/>
        <w:adjustRightInd w:val="0"/>
        <w:snapToGrid/>
        <w:spacing w:after="240"/>
        <w:ind w:left="851" w:hanging="284"/>
        <w:contextualSpacing w:val="0"/>
        <w:jc w:val="both"/>
        <w:rPr>
          <w:rFonts w:asciiTheme="minorBidi" w:hAnsiTheme="minorBidi" w:cstheme="minorBidi"/>
          <w:snapToGrid/>
          <w:color w:val="000000" w:themeColor="text1"/>
          <w:sz w:val="22"/>
          <w:szCs w:val="22"/>
          <w:lang w:val="es-ES"/>
        </w:rPr>
      </w:pPr>
      <w:r w:rsidRPr="00F66F5F">
        <w:rPr>
          <w:rFonts w:asciiTheme="minorBidi" w:hAnsiTheme="minorBidi" w:cstheme="minorBidi"/>
          <w:sz w:val="22"/>
          <w:szCs w:val="22"/>
          <w:lang w:val="es-ES"/>
        </w:rPr>
        <w:t>Garantizar la alineación con las prioridades y estrategias nacionales y regionales en evolución es primordial para el éxito de nuestra acción en favor de la prioridad global “África”. El equipo de tareas del Decenio del Océano para África supervisa y promueve la aplicación de la Hoja de Ruta del Decenio del Océano para África, entre otras cosas mediante la elaboración y puesta en marcha de un nuevo programa del Decenio sobre gestión sostenible del océano en África.</w:t>
      </w:r>
    </w:p>
    <w:p w14:paraId="72244FCD" w14:textId="2B55039A" w:rsidR="00C9174B" w:rsidRPr="00F66F5F" w:rsidRDefault="00C9174B" w:rsidP="00624476">
      <w:pPr>
        <w:pStyle w:val="ListParagraph"/>
        <w:numPr>
          <w:ilvl w:val="0"/>
          <w:numId w:val="24"/>
        </w:numPr>
        <w:tabs>
          <w:tab w:val="clear" w:pos="567"/>
        </w:tabs>
        <w:autoSpaceDE w:val="0"/>
        <w:autoSpaceDN w:val="0"/>
        <w:adjustRightInd w:val="0"/>
        <w:snapToGrid/>
        <w:spacing w:after="240"/>
        <w:ind w:left="851" w:hanging="284"/>
        <w:contextualSpacing w:val="0"/>
        <w:jc w:val="both"/>
        <w:rPr>
          <w:rFonts w:asciiTheme="minorBidi" w:hAnsiTheme="minorBidi" w:cstheme="minorBidi"/>
          <w:snapToGrid/>
          <w:color w:val="000000" w:themeColor="text1"/>
          <w:sz w:val="22"/>
          <w:szCs w:val="22"/>
          <w:lang w:val="es-ES"/>
        </w:rPr>
      </w:pPr>
      <w:r w:rsidRPr="00F66F5F">
        <w:rPr>
          <w:rFonts w:asciiTheme="minorBidi" w:hAnsiTheme="minorBidi" w:cstheme="minorBidi"/>
          <w:sz w:val="22"/>
          <w:szCs w:val="22"/>
          <w:lang w:val="es-ES"/>
        </w:rPr>
        <w:t>En la región de</w:t>
      </w:r>
      <w:r w:rsidR="004553DC" w:rsidRPr="00F66F5F">
        <w:rPr>
          <w:rFonts w:asciiTheme="minorBidi" w:hAnsiTheme="minorBidi" w:cstheme="minorBidi"/>
          <w:sz w:val="22"/>
          <w:szCs w:val="22"/>
          <w:lang w:val="es-ES"/>
        </w:rPr>
        <w:t>l Pacífico Occidental s</w:t>
      </w:r>
      <w:r w:rsidRPr="00F66F5F">
        <w:rPr>
          <w:rFonts w:asciiTheme="minorBidi" w:hAnsiTheme="minorBidi" w:cstheme="minorBidi"/>
          <w:sz w:val="22"/>
          <w:szCs w:val="22"/>
          <w:lang w:val="es-ES"/>
        </w:rPr>
        <w:t>e alcanzó un hito con la organización de la Segunda Conferencia Regional del Decenio de las Naciones Unidas de las Ciencias Oceánicas para el Desarrollo Sostenible y la 11ª Conferencia Internacional sobre Ciencias del Mar de</w:t>
      </w:r>
      <w:r w:rsidR="007F6D3E" w:rsidRPr="00F66F5F">
        <w:rPr>
          <w:rFonts w:asciiTheme="minorBidi" w:hAnsiTheme="minorBidi" w:cstheme="minorBidi"/>
          <w:sz w:val="22"/>
          <w:szCs w:val="22"/>
          <w:lang w:val="es-ES"/>
        </w:rPr>
        <w:t xml:space="preserve"> la</w:t>
      </w:r>
      <w:r w:rsidRPr="00F66F5F">
        <w:rPr>
          <w:rFonts w:asciiTheme="minorBidi" w:hAnsiTheme="minorBidi" w:cstheme="minorBidi"/>
          <w:sz w:val="22"/>
          <w:szCs w:val="22"/>
          <w:lang w:val="es-ES"/>
        </w:rPr>
        <w:t xml:space="preserve"> WESTPAC (22-25 de abril de 2024), que reunió a más de 1 000 partes interesadas para debatir sobre la situación actual de los conocimientos sobre el océano, hacer balance de los logros conseguidos durante los tres primeros años del Decenio del Océano en la región y determinar las prioridades futuras, basándose en los resultados del proceso Visión 2030.</w:t>
      </w:r>
    </w:p>
    <w:p w14:paraId="43FE0B4E" w14:textId="41D826D5" w:rsidR="00D32A15" w:rsidRPr="00F66F5F" w:rsidRDefault="00EC68AC" w:rsidP="007F6D3E">
      <w:pPr>
        <w:pStyle w:val="ListParagraph"/>
        <w:numPr>
          <w:ilvl w:val="0"/>
          <w:numId w:val="24"/>
        </w:numPr>
        <w:tabs>
          <w:tab w:val="clear" w:pos="567"/>
        </w:tabs>
        <w:autoSpaceDE w:val="0"/>
        <w:autoSpaceDN w:val="0"/>
        <w:adjustRightInd w:val="0"/>
        <w:snapToGrid/>
        <w:spacing w:after="240"/>
        <w:ind w:left="851" w:hanging="284"/>
        <w:contextualSpacing w:val="0"/>
        <w:jc w:val="both"/>
        <w:rPr>
          <w:rFonts w:asciiTheme="minorBidi" w:hAnsiTheme="minorBidi" w:cstheme="minorBidi"/>
          <w:snapToGrid/>
          <w:color w:val="000000"/>
          <w:sz w:val="22"/>
          <w:szCs w:val="22"/>
          <w:lang w:val="es-ES"/>
        </w:rPr>
      </w:pPr>
      <w:r w:rsidRPr="00F66F5F">
        <w:rPr>
          <w:rFonts w:asciiTheme="minorBidi" w:hAnsiTheme="minorBidi" w:cstheme="minorBidi"/>
          <w:sz w:val="22"/>
          <w:szCs w:val="22"/>
          <w:lang w:val="es-ES"/>
        </w:rPr>
        <w:t xml:space="preserve">Como contribución a la estrategia operacional de la UNESCO sobre los PEID, la COI dirige uno de los seis programas </w:t>
      </w:r>
      <w:r w:rsidR="007F6D3E" w:rsidRPr="00F66F5F">
        <w:rPr>
          <w:rFonts w:asciiTheme="minorBidi" w:hAnsiTheme="minorBidi" w:cstheme="minorBidi"/>
          <w:sz w:val="22"/>
          <w:szCs w:val="22"/>
          <w:lang w:val="es-ES"/>
        </w:rPr>
        <w:t xml:space="preserve">de </w:t>
      </w:r>
      <w:r w:rsidRPr="00F66F5F">
        <w:rPr>
          <w:rFonts w:asciiTheme="minorBidi" w:hAnsiTheme="minorBidi" w:cstheme="minorBidi"/>
          <w:sz w:val="22"/>
          <w:szCs w:val="22"/>
          <w:lang w:val="es-ES"/>
        </w:rPr>
        <w:t>acelera</w:t>
      </w:r>
      <w:r w:rsidR="007F6D3E" w:rsidRPr="00F66F5F">
        <w:rPr>
          <w:rFonts w:asciiTheme="minorBidi" w:hAnsiTheme="minorBidi" w:cstheme="minorBidi"/>
          <w:sz w:val="22"/>
          <w:szCs w:val="22"/>
          <w:lang w:val="es-ES"/>
        </w:rPr>
        <w:t>ción</w:t>
      </w:r>
      <w:r w:rsidRPr="00F66F5F">
        <w:rPr>
          <w:rFonts w:asciiTheme="minorBidi" w:hAnsiTheme="minorBidi" w:cstheme="minorBidi"/>
          <w:sz w:val="22"/>
          <w:szCs w:val="22"/>
          <w:lang w:val="es-ES"/>
        </w:rPr>
        <w:t xml:space="preserve"> intersectoriales</w:t>
      </w:r>
      <w:r w:rsidR="007F6D3E" w:rsidRPr="00F66F5F">
        <w:rPr>
          <w:rFonts w:asciiTheme="minorBidi" w:hAnsiTheme="minorBidi" w:cstheme="minorBidi"/>
          <w:sz w:val="22"/>
          <w:szCs w:val="22"/>
          <w:lang w:val="es-ES"/>
        </w:rPr>
        <w:t>,</w:t>
      </w:r>
      <w:r w:rsidRPr="00F66F5F">
        <w:rPr>
          <w:rFonts w:asciiTheme="minorBidi" w:hAnsiTheme="minorBidi" w:cstheme="minorBidi"/>
          <w:sz w:val="22"/>
          <w:szCs w:val="22"/>
          <w:lang w:val="es-ES"/>
        </w:rPr>
        <w:t xml:space="preserve"> ACE#2: Fortalecer </w:t>
      </w:r>
      <w:r w:rsidR="007F6D3E" w:rsidRPr="00F66F5F">
        <w:rPr>
          <w:rFonts w:asciiTheme="minorBidi" w:hAnsiTheme="minorBidi" w:cstheme="minorBidi"/>
          <w:sz w:val="22"/>
          <w:szCs w:val="22"/>
          <w:lang w:val="es-ES"/>
        </w:rPr>
        <w:t xml:space="preserve">de manera sostenible </w:t>
      </w:r>
      <w:r w:rsidRPr="00F66F5F">
        <w:rPr>
          <w:rFonts w:asciiTheme="minorBidi" w:hAnsiTheme="minorBidi" w:cstheme="minorBidi"/>
          <w:sz w:val="22"/>
          <w:szCs w:val="22"/>
          <w:lang w:val="es-ES"/>
        </w:rPr>
        <w:t xml:space="preserve">el conocimiento del océano, la planificación territorial y las capacidades de gestión del agua de los PEID </w:t>
      </w:r>
      <w:r w:rsidR="007F6D3E" w:rsidRPr="00F66F5F">
        <w:rPr>
          <w:rFonts w:asciiTheme="minorBidi" w:hAnsiTheme="minorBidi" w:cstheme="minorBidi"/>
          <w:sz w:val="22"/>
          <w:szCs w:val="22"/>
          <w:lang w:val="es-ES"/>
        </w:rPr>
        <w:t>para favorecer el</w:t>
      </w:r>
      <w:r w:rsidRPr="00F66F5F">
        <w:rPr>
          <w:rFonts w:asciiTheme="minorBidi" w:hAnsiTheme="minorBidi" w:cstheme="minorBidi"/>
          <w:sz w:val="22"/>
          <w:szCs w:val="22"/>
          <w:lang w:val="es-ES"/>
        </w:rPr>
        <w:t xml:space="preserve"> crecimiento de sus economías azules. Se apoyó un mayor compromiso con los PEID en el marco del Decenio del Océano mediante el establecimiento de un centro de coordinación descentralizado para la región de las islas del Pacífico, albergado por la Comunidad del Pacífico, y la creación de un grupo de tareas para la Región de América Tropical y el Caribe con el fin de supervisar la aplicación del Decenio del Océano en la región.</w:t>
      </w:r>
    </w:p>
    <w:p w14:paraId="49A32E47" w14:textId="709CF9AF" w:rsidR="00EC68AC" w:rsidRPr="00F66F5F" w:rsidRDefault="00EC68AC" w:rsidP="00624476">
      <w:pPr>
        <w:pStyle w:val="ListParagraph"/>
        <w:numPr>
          <w:ilvl w:val="0"/>
          <w:numId w:val="24"/>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La COI intensificó sus esfuerzos en materia de planificación espacial marina (PEM) y </w:t>
      </w:r>
      <w:r w:rsidR="007F6D3E" w:rsidRPr="00F66F5F">
        <w:rPr>
          <w:rFonts w:asciiTheme="minorBidi" w:hAnsiTheme="minorBidi" w:cstheme="minorBidi"/>
          <w:sz w:val="22"/>
          <w:szCs w:val="22"/>
          <w:lang w:val="es-ES"/>
        </w:rPr>
        <w:t>present</w:t>
      </w:r>
      <w:r w:rsidRPr="00F66F5F">
        <w:rPr>
          <w:rFonts w:asciiTheme="minorBidi" w:hAnsiTheme="minorBidi" w:cstheme="minorBidi"/>
          <w:sz w:val="22"/>
          <w:szCs w:val="22"/>
          <w:lang w:val="es-ES"/>
        </w:rPr>
        <w:t>ó en 2022 una hoja de ruta actualizada</w:t>
      </w:r>
      <w:r w:rsidR="007F6D3E" w:rsidRPr="00F66F5F">
        <w:rPr>
          <w:rFonts w:asciiTheme="minorBidi" w:hAnsiTheme="minorBidi" w:cstheme="minorBidi"/>
          <w:sz w:val="22"/>
          <w:szCs w:val="22"/>
          <w:lang w:val="es-ES"/>
        </w:rPr>
        <w:t xml:space="preserve"> sobre la PEM</w:t>
      </w:r>
      <w:r w:rsidRPr="00F66F5F">
        <w:rPr>
          <w:rFonts w:asciiTheme="minorBidi" w:hAnsiTheme="minorBidi" w:cstheme="minorBidi"/>
          <w:sz w:val="22"/>
          <w:szCs w:val="22"/>
          <w:lang w:val="es-ES"/>
        </w:rPr>
        <w:t xml:space="preserve"> conjuntamente con la </w:t>
      </w:r>
      <w:r w:rsidRPr="00F66F5F">
        <w:rPr>
          <w:rFonts w:asciiTheme="minorBidi" w:hAnsiTheme="minorBidi" w:cstheme="minorBidi"/>
          <w:sz w:val="22"/>
          <w:szCs w:val="22"/>
          <w:lang w:val="es-ES"/>
        </w:rPr>
        <w:lastRenderedPageBreak/>
        <w:t xml:space="preserve">Comisión Europea, reanudando posteriormente el proyecto MSPglobal en julio de 2023 con un enfoque regional centrado en la creación de capacidades técnicas en África Occidental y Central, así como en la región del Pacífico Occidental. Además, el proyecto está desarrollando más conocimientos, herramientas y una nueva formación en línea acerca de la Academia Mundial OceanTeacher para ayudar a todos los Estados Miembros a avanzar en sus procesos de PEM. En total, </w:t>
      </w:r>
      <w:r w:rsidR="00BE0ED3" w:rsidRPr="00F66F5F">
        <w:rPr>
          <w:rFonts w:asciiTheme="minorBidi" w:hAnsiTheme="minorBidi" w:cstheme="minorBidi"/>
          <w:sz w:val="22"/>
          <w:szCs w:val="22"/>
          <w:lang w:val="es-ES"/>
        </w:rPr>
        <w:t xml:space="preserve">a mediados de abril de 2024, 867 participantes de 100 países (entre ellos, 32 africanos y 12 PEID) habían tomado parte en </w:t>
      </w:r>
      <w:r w:rsidRPr="00F66F5F">
        <w:rPr>
          <w:rFonts w:asciiTheme="minorBidi" w:hAnsiTheme="minorBidi" w:cstheme="minorBidi"/>
          <w:sz w:val="22"/>
          <w:szCs w:val="22"/>
          <w:lang w:val="es-ES"/>
        </w:rPr>
        <w:t xml:space="preserve">las actividades de MSPglobal 2.0. Entre </w:t>
      </w:r>
      <w:r w:rsidR="00BE0ED3" w:rsidRPr="00F66F5F">
        <w:rPr>
          <w:rFonts w:asciiTheme="minorBidi" w:hAnsiTheme="minorBidi" w:cstheme="minorBidi"/>
          <w:sz w:val="22"/>
          <w:szCs w:val="22"/>
          <w:lang w:val="es-ES"/>
        </w:rPr>
        <w:t>dichas actividades cabe destacar</w:t>
      </w:r>
      <w:r w:rsidRPr="00F66F5F">
        <w:rPr>
          <w:rFonts w:asciiTheme="minorBidi" w:hAnsiTheme="minorBidi" w:cstheme="minorBidi"/>
          <w:sz w:val="22"/>
          <w:szCs w:val="22"/>
          <w:lang w:val="es-ES"/>
        </w:rPr>
        <w:t xml:space="preserve"> principalmente el Foro sobre la PEM para África, cursos de formación para representantes de las autoridades nacionales y talleres mundiales para desarrollar conjuntamente herramientas de PEM con expertos de todos los continentes y océanos. La experiencia de la COI en materia de PEM ha inspirado y aportado contribuciones para establecer un nuevo programa del Decenio sobre planificación sostenible del océano, apoyado por un conjunto de asociados internacionales, que se puso en marcha en la Conferencia de Barcelona.</w:t>
      </w:r>
    </w:p>
    <w:p w14:paraId="2DEC96AC" w14:textId="29166083" w:rsidR="00D32A15" w:rsidRPr="00F66F5F" w:rsidRDefault="00D32A15" w:rsidP="00624476">
      <w:pPr>
        <w:pStyle w:val="ListParagraph"/>
        <w:numPr>
          <w:ilvl w:val="0"/>
          <w:numId w:val="24"/>
        </w:numPr>
        <w:spacing w:after="240"/>
        <w:ind w:left="851" w:hanging="284"/>
        <w:contextualSpacing w:val="0"/>
        <w:jc w:val="both"/>
        <w:rPr>
          <w:rFonts w:asciiTheme="minorBidi" w:hAnsiTheme="minorBidi" w:cstheme="minorBidi"/>
          <w:sz w:val="22"/>
          <w:szCs w:val="22"/>
          <w:lang w:val="es-ES"/>
        </w:rPr>
      </w:pPr>
      <w:r w:rsidRPr="00F66F5F">
        <w:rPr>
          <w:rFonts w:asciiTheme="minorBidi" w:hAnsiTheme="minorBidi" w:cstheme="minorBidi"/>
          <w:sz w:val="22"/>
          <w:szCs w:val="22"/>
          <w:lang w:val="es-ES"/>
        </w:rPr>
        <w:t xml:space="preserve">En el marco del proyecto Sea Beyond de la COI, financiado por el Grupo Prada, más de 600 estudiantes de 20 países han recibido formación sobre cultura oceánica, con recursos de formación disponibles en español, francés e inglés. Diferentes grupos de interesados </w:t>
      </w:r>
      <w:r w:rsidR="00863C85" w:rsidRPr="00F66F5F">
        <w:rPr>
          <w:rFonts w:asciiTheme="minorBidi" w:hAnsiTheme="minorBidi" w:cstheme="minorBidi"/>
          <w:sz w:val="22"/>
          <w:szCs w:val="22"/>
          <w:lang w:val="es-ES"/>
        </w:rPr>
        <w:br/>
      </w:r>
      <w:r w:rsidRPr="00F66F5F">
        <w:rPr>
          <w:rFonts w:asciiTheme="minorBidi" w:hAnsiTheme="minorBidi" w:cstheme="minorBidi"/>
          <w:sz w:val="22"/>
          <w:szCs w:val="22"/>
          <w:lang w:val="es-ES"/>
        </w:rPr>
        <w:t xml:space="preserve">—periodistas, arquitectos y urbanistas, así como expertos en finanzas— recibieron formación sobre cultura oceánica gracias a los cursos de aprendizaje electrónico </w:t>
      </w:r>
      <w:r w:rsidR="00BE0ED3" w:rsidRPr="00F66F5F">
        <w:rPr>
          <w:rFonts w:asciiTheme="minorBidi" w:hAnsiTheme="minorBidi" w:cstheme="minorBidi"/>
          <w:sz w:val="22"/>
          <w:szCs w:val="22"/>
          <w:lang w:val="es-ES"/>
        </w:rPr>
        <w:t>elaborados en colaboración con</w:t>
      </w:r>
      <w:r w:rsidRPr="00F66F5F">
        <w:rPr>
          <w:rFonts w:asciiTheme="minorBidi" w:hAnsiTheme="minorBidi" w:cstheme="minorBidi"/>
          <w:sz w:val="22"/>
          <w:szCs w:val="22"/>
          <w:lang w:val="es-ES"/>
        </w:rPr>
        <w:t xml:space="preserve"> la Academia Mundial OceanTeacher.</w:t>
      </w:r>
    </w:p>
    <w:p w14:paraId="1C27B182" w14:textId="10FAD0AC" w:rsidR="00FC2A2B" w:rsidRPr="00F66F5F" w:rsidRDefault="00FC2A2B" w:rsidP="00FC2A2B">
      <w:pPr>
        <w:rPr>
          <w:rFonts w:asciiTheme="minorBidi" w:hAnsiTheme="minorBidi" w:cstheme="minorBidi"/>
          <w:sz w:val="22"/>
          <w:szCs w:val="22"/>
          <w:lang w:val="es-ES"/>
        </w:rPr>
      </w:pPr>
      <w:r w:rsidRPr="00F66F5F">
        <w:rPr>
          <w:rFonts w:asciiTheme="minorBidi" w:hAnsiTheme="minorBidi" w:cstheme="minorBidi"/>
          <w:sz w:val="22"/>
          <w:szCs w:val="22"/>
          <w:lang w:val="es-ES"/>
        </w:rPr>
        <w:br w:type="page"/>
      </w:r>
    </w:p>
    <w:p w14:paraId="41A522BA" w14:textId="799D75F2" w:rsidR="00EF2790" w:rsidRPr="00F66F5F" w:rsidRDefault="00E67743" w:rsidP="00EF2790">
      <w:pPr>
        <w:keepNext/>
        <w:keepLines/>
        <w:widowControl w:val="0"/>
        <w:adjustRightInd w:val="0"/>
        <w:ind w:left="567" w:hanging="567"/>
        <w:jc w:val="both"/>
        <w:textAlignment w:val="baseline"/>
        <w:outlineLvl w:val="1"/>
        <w:rPr>
          <w:rFonts w:asciiTheme="minorBidi" w:eastAsia="Times New Roman" w:hAnsiTheme="minorBidi" w:cstheme="minorBidi"/>
          <w:b/>
          <w:bCs/>
          <w:caps/>
          <w:sz w:val="22"/>
          <w:szCs w:val="22"/>
          <w:lang w:val="es-ES"/>
        </w:rPr>
      </w:pPr>
      <w:r w:rsidRPr="00F66F5F">
        <w:rPr>
          <w:rFonts w:asciiTheme="minorBidi" w:hAnsiTheme="minorBidi" w:cstheme="minorBidi"/>
          <w:b/>
          <w:bCs/>
          <w:sz w:val="22"/>
          <w:szCs w:val="22"/>
          <w:lang w:val="es-ES"/>
        </w:rPr>
        <w:lastRenderedPageBreak/>
        <w:t>Evaluación de los progresos en relación con el marco de resultados aprobado</w:t>
      </w:r>
    </w:p>
    <w:p w14:paraId="773214AE" w14:textId="77777777" w:rsidR="00EF2790" w:rsidRPr="00F66F5F" w:rsidRDefault="00EF2790" w:rsidP="00EF2790">
      <w:pPr>
        <w:widowControl w:val="0"/>
        <w:adjustRightInd w:val="0"/>
        <w:jc w:val="both"/>
        <w:textAlignment w:val="baseline"/>
        <w:rPr>
          <w:rFonts w:asciiTheme="minorBidi" w:eastAsia="Times New Roman" w:hAnsiTheme="minorBidi" w:cstheme="minorBidi"/>
          <w:sz w:val="22"/>
          <w:szCs w:val="22"/>
          <w:lang w:val="es-ES" w:eastAsia="en-US"/>
        </w:rPr>
      </w:pPr>
      <w:r w:rsidRPr="00F66F5F">
        <w:rPr>
          <w:rFonts w:asciiTheme="minorBidi" w:eastAsia="Times New Roman" w:hAnsiTheme="minorBidi" w:cstheme="minorBidi"/>
          <w:noProof/>
          <w:snapToGrid/>
          <w:sz w:val="22"/>
          <w:szCs w:val="22"/>
          <w:lang w:val="es-ES" w:eastAsia="fr-FR"/>
        </w:rPr>
        <mc:AlternateContent>
          <mc:Choice Requires="wps">
            <w:drawing>
              <wp:anchor distT="0" distB="0" distL="114300" distR="114300" simplePos="0" relativeHeight="251660800"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56FE31" id="Straight Connector 4"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" strokecolor="#4a7ebb"/>
            </w:pict>
          </mc:Fallback>
        </mc:AlternateContent>
      </w:r>
    </w:p>
    <w:p w14:paraId="52B2CC9B" w14:textId="00653A43" w:rsidR="00EF2790" w:rsidRPr="00F66F5F" w:rsidRDefault="00EF2790" w:rsidP="00E04B7F">
      <w:pPr>
        <w:pStyle w:val="Marge"/>
        <w:jc w:val="center"/>
        <w:rPr>
          <w:rFonts w:asciiTheme="minorBidi" w:hAnsiTheme="minorBidi" w:cstheme="minorBidi"/>
          <w:noProof/>
          <w:snapToGrid/>
          <w:sz w:val="22"/>
          <w:szCs w:val="22"/>
          <w:lang w:val="es-ES"/>
        </w:rPr>
      </w:pPr>
      <w:r w:rsidRPr="00F66F5F">
        <w:rPr>
          <w:rFonts w:asciiTheme="minorBidi" w:hAnsiTheme="minorBidi" w:cstheme="minorBidi"/>
          <w:i/>
          <w:iCs/>
          <w:sz w:val="22"/>
          <w:szCs w:val="22"/>
          <w:lang w:val="es-ES"/>
        </w:rPr>
        <w:t>(Extractos del documento</w:t>
      </w:r>
      <w:r w:rsidRPr="00F66F5F">
        <w:rPr>
          <w:rFonts w:asciiTheme="minorBidi" w:hAnsiTheme="minorBidi" w:cstheme="minorBidi"/>
          <w:sz w:val="22"/>
          <w:szCs w:val="22"/>
          <w:lang w:val="es-ES"/>
        </w:rPr>
        <w:t xml:space="preserve"> </w:t>
      </w:r>
      <w:hyperlink r:id="rId10" w:history="1">
        <w:r w:rsidRPr="00F66F5F">
          <w:rPr>
            <w:rStyle w:val="Hyperlink"/>
            <w:rFonts w:asciiTheme="minorBidi" w:hAnsiTheme="minorBidi" w:cstheme="minorBidi"/>
            <w:i/>
            <w:iCs/>
            <w:sz w:val="22"/>
            <w:szCs w:val="22"/>
            <w:lang w:val="es-ES"/>
          </w:rPr>
          <w:t>219</w:t>
        </w:r>
        <w:r w:rsidR="00AF36D9" w:rsidRPr="00F66F5F">
          <w:rPr>
            <w:rStyle w:val="Hyperlink"/>
            <w:rFonts w:asciiTheme="minorBidi" w:hAnsiTheme="minorBidi" w:cstheme="minorBidi"/>
            <w:i/>
            <w:iCs/>
            <w:sz w:val="22"/>
            <w:szCs w:val="22"/>
            <w:lang w:val="es-ES"/>
          </w:rPr>
          <w:t> </w:t>
        </w:r>
        <w:r w:rsidRPr="00F66F5F">
          <w:rPr>
            <w:rStyle w:val="Hyperlink"/>
            <w:rFonts w:asciiTheme="minorBidi" w:hAnsiTheme="minorBidi" w:cstheme="minorBidi"/>
            <w:i/>
            <w:iCs/>
            <w:sz w:val="22"/>
            <w:szCs w:val="22"/>
            <w:lang w:val="es-ES"/>
          </w:rPr>
          <w:t>EX/4.INF</w:t>
        </w:r>
      </w:hyperlink>
      <w:r w:rsidRPr="00F66F5F">
        <w:rPr>
          <w:rFonts w:asciiTheme="minorBidi" w:hAnsiTheme="minorBidi" w:cstheme="minorBidi"/>
          <w:i/>
          <w:iCs/>
          <w:sz w:val="22"/>
          <w:szCs w:val="22"/>
          <w:lang w:val="es-ES"/>
        </w:rPr>
        <w:t>)</w:t>
      </w:r>
    </w:p>
    <w:p w14:paraId="196C6C13" w14:textId="3F4A7519" w:rsidR="00624476" w:rsidRPr="00F66F5F" w:rsidRDefault="00F62B21" w:rsidP="00624476">
      <w:pPr>
        <w:pStyle w:val="Marge"/>
        <w:jc w:val="center"/>
        <w:rPr>
          <w:rFonts w:asciiTheme="minorBidi" w:hAnsiTheme="minorBidi" w:cstheme="minorBidi"/>
          <w:bCs/>
          <w:i/>
          <w:sz w:val="22"/>
          <w:szCs w:val="22"/>
          <w:lang w:val="es-ES"/>
        </w:rPr>
      </w:pPr>
      <w:r w:rsidRPr="00F66F5F">
        <w:rPr>
          <w:rFonts w:asciiTheme="minorBidi" w:hAnsiTheme="minorBidi" w:cstheme="minorBidi"/>
          <w:noProof/>
          <w:snapToGrid/>
          <w:sz w:val="22"/>
          <w:szCs w:val="22"/>
          <w:lang w:val="es-ES"/>
        </w:rPr>
        <w:drawing>
          <wp:inline distT="0" distB="0" distL="0" distR="0" wp14:anchorId="0CA8C50B" wp14:editId="20DE5905">
            <wp:extent cx="6309569" cy="8202440"/>
            <wp:effectExtent l="0" t="0" r="0" b="8255"/>
            <wp:docPr id="1025620619"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0619" name="Picture 1" descr="A screenshot of a report&#10;&#10;Description automatically generated"/>
                    <pic:cNvPicPr/>
                  </pic:nvPicPr>
                  <pic:blipFill>
                    <a:blip r:embed="rId11"/>
                    <a:stretch>
                      <a:fillRect/>
                    </a:stretch>
                  </pic:blipFill>
                  <pic:spPr>
                    <a:xfrm>
                      <a:off x="0" y="0"/>
                      <a:ext cx="6316887" cy="8211954"/>
                    </a:xfrm>
                    <a:prstGeom prst="rect">
                      <a:avLst/>
                    </a:prstGeom>
                  </pic:spPr>
                </pic:pic>
              </a:graphicData>
            </a:graphic>
          </wp:inline>
        </w:drawing>
      </w:r>
      <w:r w:rsidR="00624476" w:rsidRPr="00F66F5F">
        <w:rPr>
          <w:rFonts w:asciiTheme="minorBidi" w:hAnsiTheme="minorBidi" w:cstheme="minorBidi"/>
          <w:bCs/>
          <w:i/>
          <w:sz w:val="22"/>
          <w:szCs w:val="22"/>
          <w:lang w:val="es-ES"/>
        </w:rPr>
        <w:br/>
      </w:r>
      <w:r w:rsidR="00624476" w:rsidRPr="00F66F5F">
        <w:rPr>
          <w:rFonts w:asciiTheme="minorBidi" w:hAnsiTheme="minorBidi" w:cstheme="minorBidi"/>
          <w:bCs/>
          <w:i/>
          <w:sz w:val="22"/>
          <w:szCs w:val="22"/>
          <w:lang w:val="es-ES"/>
        </w:rPr>
        <w:br w:type="page"/>
      </w:r>
    </w:p>
    <w:p w14:paraId="19EB0459" w14:textId="5A9FCB63" w:rsidR="008234DD" w:rsidRPr="00F66F5F" w:rsidRDefault="008234DD" w:rsidP="00E04B7F">
      <w:pPr>
        <w:pStyle w:val="Marge"/>
        <w:jc w:val="center"/>
        <w:rPr>
          <w:rFonts w:asciiTheme="minorBidi" w:hAnsiTheme="minorBidi" w:cstheme="minorBidi"/>
          <w:bCs/>
          <w:i/>
          <w:sz w:val="22"/>
          <w:szCs w:val="22"/>
          <w:lang w:val="es-ES"/>
        </w:rPr>
      </w:pPr>
      <w:r w:rsidRPr="00F66F5F">
        <w:rPr>
          <w:rFonts w:asciiTheme="minorBidi" w:hAnsiTheme="minorBidi" w:cstheme="minorBidi"/>
          <w:noProof/>
          <w:snapToGrid/>
          <w:sz w:val="22"/>
          <w:szCs w:val="22"/>
          <w:lang w:val="es-ES"/>
        </w:rPr>
        <w:lastRenderedPageBreak/>
        <w:drawing>
          <wp:inline distT="0" distB="0" distL="0" distR="0" wp14:anchorId="3C2CD160" wp14:editId="1E69278B">
            <wp:extent cx="5829300" cy="8229600"/>
            <wp:effectExtent l="0" t="0" r="0" b="0"/>
            <wp:docPr id="103391969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9696" name="Picture 1" descr="A document with text and images&#10;&#10;Description automatically generated"/>
                    <pic:cNvPicPr/>
                  </pic:nvPicPr>
                  <pic:blipFill>
                    <a:blip r:embed="rId12"/>
                    <a:stretch>
                      <a:fillRect/>
                    </a:stretch>
                  </pic:blipFill>
                  <pic:spPr>
                    <a:xfrm>
                      <a:off x="0" y="0"/>
                      <a:ext cx="5829300" cy="8229600"/>
                    </a:xfrm>
                    <a:prstGeom prst="rect">
                      <a:avLst/>
                    </a:prstGeom>
                  </pic:spPr>
                </pic:pic>
              </a:graphicData>
            </a:graphic>
          </wp:inline>
        </w:drawing>
      </w:r>
    </w:p>
    <w:p w14:paraId="17E24BAF" w14:textId="77777777" w:rsidR="008234DD" w:rsidRPr="00F66F5F" w:rsidRDefault="008234DD">
      <w:pPr>
        <w:tabs>
          <w:tab w:val="clear" w:pos="567"/>
        </w:tabs>
        <w:snapToGrid/>
        <w:rPr>
          <w:rFonts w:asciiTheme="minorBidi" w:eastAsia="Times New Roman" w:hAnsiTheme="minorBidi" w:cstheme="minorBidi"/>
          <w:bCs/>
          <w:i/>
          <w:sz w:val="22"/>
          <w:szCs w:val="22"/>
          <w:lang w:val="es-ES" w:eastAsia="en-US"/>
        </w:rPr>
      </w:pPr>
      <w:r w:rsidRPr="00F66F5F">
        <w:rPr>
          <w:rFonts w:asciiTheme="minorBidi" w:hAnsiTheme="minorBidi" w:cstheme="minorBidi"/>
          <w:bCs/>
          <w:i/>
          <w:sz w:val="22"/>
          <w:szCs w:val="22"/>
          <w:lang w:val="es-ES"/>
        </w:rPr>
        <w:br w:type="page"/>
      </w:r>
    </w:p>
    <w:p w14:paraId="67FB8229" w14:textId="54D6140A" w:rsidR="00C57ED9" w:rsidRPr="00F66F5F" w:rsidRDefault="00C57ED9" w:rsidP="00E04B7F">
      <w:pPr>
        <w:pStyle w:val="Marge"/>
        <w:jc w:val="center"/>
        <w:rPr>
          <w:rFonts w:asciiTheme="minorBidi" w:hAnsiTheme="minorBidi" w:cstheme="minorBidi"/>
          <w:bCs/>
          <w:i/>
          <w:sz w:val="22"/>
          <w:szCs w:val="22"/>
          <w:lang w:val="es-ES"/>
        </w:rPr>
      </w:pPr>
      <w:r w:rsidRPr="00F66F5F">
        <w:rPr>
          <w:rFonts w:asciiTheme="minorBidi" w:hAnsiTheme="minorBidi" w:cstheme="minorBidi"/>
          <w:noProof/>
          <w:snapToGrid/>
          <w:sz w:val="22"/>
          <w:szCs w:val="22"/>
          <w:lang w:val="es-ES"/>
        </w:rPr>
        <w:lastRenderedPageBreak/>
        <w:drawing>
          <wp:inline distT="0" distB="0" distL="0" distR="0" wp14:anchorId="2A17C827" wp14:editId="5219F04C">
            <wp:extent cx="6120130" cy="8470265"/>
            <wp:effectExtent l="0" t="0" r="0" b="6985"/>
            <wp:docPr id="1894442277"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42277" name="Picture 1" descr="A white rectangular box with black text&#10;&#10;Description automatically generated"/>
                    <pic:cNvPicPr/>
                  </pic:nvPicPr>
                  <pic:blipFill>
                    <a:blip r:embed="rId13"/>
                    <a:stretch>
                      <a:fillRect/>
                    </a:stretch>
                  </pic:blipFill>
                  <pic:spPr>
                    <a:xfrm>
                      <a:off x="0" y="0"/>
                      <a:ext cx="6120130" cy="8470265"/>
                    </a:xfrm>
                    <a:prstGeom prst="rect">
                      <a:avLst/>
                    </a:prstGeom>
                  </pic:spPr>
                </pic:pic>
              </a:graphicData>
            </a:graphic>
          </wp:inline>
        </w:drawing>
      </w:r>
    </w:p>
    <w:p w14:paraId="33CBB53A" w14:textId="77777777" w:rsidR="00C57ED9" w:rsidRPr="00F66F5F" w:rsidRDefault="00C57ED9">
      <w:pPr>
        <w:tabs>
          <w:tab w:val="clear" w:pos="567"/>
        </w:tabs>
        <w:snapToGrid/>
        <w:rPr>
          <w:rFonts w:asciiTheme="minorBidi" w:eastAsia="Times New Roman" w:hAnsiTheme="minorBidi" w:cstheme="minorBidi"/>
          <w:bCs/>
          <w:i/>
          <w:sz w:val="22"/>
          <w:szCs w:val="22"/>
          <w:lang w:val="es-ES" w:eastAsia="en-US"/>
        </w:rPr>
      </w:pPr>
      <w:r w:rsidRPr="00F66F5F">
        <w:rPr>
          <w:rFonts w:asciiTheme="minorBidi" w:hAnsiTheme="minorBidi" w:cstheme="minorBidi"/>
          <w:bCs/>
          <w:i/>
          <w:sz w:val="22"/>
          <w:szCs w:val="22"/>
          <w:lang w:val="es-ES"/>
        </w:rPr>
        <w:br w:type="page"/>
      </w:r>
    </w:p>
    <w:p w14:paraId="3870A77C" w14:textId="45188948" w:rsidR="00F62B21" w:rsidRPr="00F66F5F" w:rsidRDefault="00606699" w:rsidP="00E04B7F">
      <w:pPr>
        <w:pStyle w:val="Marge"/>
        <w:jc w:val="center"/>
        <w:rPr>
          <w:rFonts w:asciiTheme="minorBidi" w:hAnsiTheme="minorBidi" w:cstheme="minorBidi"/>
          <w:bCs/>
          <w:i/>
          <w:sz w:val="22"/>
          <w:szCs w:val="22"/>
          <w:lang w:val="es-ES"/>
        </w:rPr>
      </w:pPr>
      <w:r w:rsidRPr="00F66F5F">
        <w:rPr>
          <w:rFonts w:asciiTheme="minorBidi" w:hAnsiTheme="minorBidi" w:cstheme="minorBidi"/>
          <w:noProof/>
          <w:snapToGrid/>
          <w:sz w:val="22"/>
          <w:szCs w:val="22"/>
          <w:lang w:val="es-ES"/>
        </w:rPr>
        <w:lastRenderedPageBreak/>
        <w:drawing>
          <wp:inline distT="0" distB="0" distL="0" distR="0" wp14:anchorId="595772F6" wp14:editId="0AE21F1D">
            <wp:extent cx="6086475" cy="6981825"/>
            <wp:effectExtent l="0" t="0" r="9525" b="9525"/>
            <wp:docPr id="698954845"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54845" name="Picture 1" descr="A document with text on it&#10;&#10;Description automatically generated"/>
                    <pic:cNvPicPr/>
                  </pic:nvPicPr>
                  <pic:blipFill>
                    <a:blip r:embed="rId14"/>
                    <a:stretch>
                      <a:fillRect/>
                    </a:stretch>
                  </pic:blipFill>
                  <pic:spPr>
                    <a:xfrm>
                      <a:off x="0" y="0"/>
                      <a:ext cx="6086475" cy="6981825"/>
                    </a:xfrm>
                    <a:prstGeom prst="rect">
                      <a:avLst/>
                    </a:prstGeom>
                  </pic:spPr>
                </pic:pic>
              </a:graphicData>
            </a:graphic>
          </wp:inline>
        </w:drawing>
      </w:r>
    </w:p>
    <w:sectPr w:rsidR="00F62B21" w:rsidRPr="00F66F5F" w:rsidSect="00E421C6">
      <w:headerReference w:type="even" r:id="rId15"/>
      <w:headerReference w:type="default" r:id="rId16"/>
      <w:headerReference w:type="first" r:id="rId17"/>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F9B9" w14:textId="77777777" w:rsidR="00E421C6" w:rsidRDefault="00E421C6">
      <w:r>
        <w:separator/>
      </w:r>
    </w:p>
  </w:endnote>
  <w:endnote w:type="continuationSeparator" w:id="0">
    <w:p w14:paraId="7D2D249B" w14:textId="77777777" w:rsidR="00E421C6" w:rsidRDefault="00E421C6">
      <w:r>
        <w:continuationSeparator/>
      </w:r>
    </w:p>
  </w:endnote>
  <w:endnote w:type="continuationNotice" w:id="1">
    <w:p w14:paraId="4ECE3610" w14:textId="77777777" w:rsidR="00E421C6" w:rsidRDefault="00E4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390C" w14:textId="77777777" w:rsidR="00E421C6" w:rsidRDefault="00E421C6">
      <w:r>
        <w:separator/>
      </w:r>
    </w:p>
  </w:footnote>
  <w:footnote w:type="continuationSeparator" w:id="0">
    <w:p w14:paraId="7431A575" w14:textId="77777777" w:rsidR="00E421C6" w:rsidRDefault="00E421C6">
      <w:r>
        <w:continuationSeparator/>
      </w:r>
    </w:p>
  </w:footnote>
  <w:footnote w:type="continuationNotice" w:id="1">
    <w:p w14:paraId="78C2575D" w14:textId="77777777" w:rsidR="00E421C6" w:rsidRDefault="00E4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4097CAD6" w:rsidR="003B6FC5" w:rsidRPr="00FF54F5" w:rsidRDefault="00352423" w:rsidP="00FF54F5">
    <w:pPr>
      <w:pStyle w:val="Header"/>
      <w:rPr>
        <w:rFonts w:ascii="Arial" w:hAnsi="Arial" w:cs="Arial"/>
        <w:bCs/>
        <w:sz w:val="22"/>
        <w:szCs w:val="22"/>
        <w:lang w:val="fr-FR"/>
      </w:rPr>
    </w:pPr>
    <w:r w:rsidRPr="00352423">
      <w:rPr>
        <w:rFonts w:ascii="Arial" w:hAnsi="Arial" w:cs="Arial"/>
        <w:bCs/>
        <w:sz w:val="22"/>
        <w:szCs w:val="22"/>
        <w:lang w:val="fr-FR"/>
      </w:rPr>
      <w:t>IOC/EC-5</w:t>
    </w:r>
    <w:r w:rsidR="00E665DE">
      <w:rPr>
        <w:rFonts w:ascii="Arial" w:hAnsi="Arial" w:cs="Arial"/>
        <w:bCs/>
        <w:sz w:val="22"/>
        <w:szCs w:val="22"/>
        <w:lang w:val="fr-FR"/>
      </w:rPr>
      <w:t>7</w:t>
    </w:r>
    <w:r w:rsidR="00FA68D9">
      <w:rPr>
        <w:rFonts w:ascii="Arial" w:hAnsi="Arial" w:cs="Arial"/>
        <w:bCs/>
        <w:sz w:val="22"/>
        <w:szCs w:val="22"/>
        <w:lang w:val="fr-FR"/>
      </w:rPr>
      <w:t>/3</w:t>
    </w:r>
    <w:r w:rsidRPr="00352423">
      <w:rPr>
        <w:rFonts w:ascii="Arial" w:hAnsi="Arial" w:cs="Arial"/>
        <w:bCs/>
        <w:sz w:val="22"/>
        <w:szCs w:val="22"/>
        <w:lang w:val="fr-FR"/>
      </w:rPr>
      <w:t>.1</w:t>
    </w:r>
    <w:r w:rsidR="00DD3F5E">
      <w:rPr>
        <w:rFonts w:ascii="Arial" w:hAnsi="Arial" w:cs="Arial"/>
        <w:bCs/>
        <w:sz w:val="22"/>
        <w:szCs w:val="22"/>
        <w:lang w:val="fr-FR"/>
      </w:rPr>
      <w:t>.</w:t>
    </w:r>
    <w:r w:rsidRPr="00352423">
      <w:rPr>
        <w:rFonts w:ascii="Arial" w:hAnsi="Arial" w:cs="Arial"/>
        <w:bCs/>
        <w:sz w:val="22"/>
        <w:szCs w:val="22"/>
        <w:lang w:val="fr-FR"/>
      </w:rPr>
      <w:t>Doc</w:t>
    </w:r>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(1)</w:t>
        </w:r>
        <w:r w:rsidR="00BC135C">
          <w:rPr>
            <w:rFonts w:ascii="Arial" w:hAnsi="Arial" w:cs="Arial"/>
            <w:bCs/>
            <w:sz w:val="22"/>
            <w:szCs w:val="22"/>
          </w:rPr>
          <w:t xml:space="preserve"> – p</w:t>
        </w:r>
        <w:r w:rsidR="00587A76">
          <w:rPr>
            <w:rFonts w:ascii="Arial" w:hAnsi="Arial" w:cs="Arial"/>
            <w:bCs/>
            <w:sz w:val="22"/>
            <w:szCs w:val="22"/>
          </w:rPr>
          <w:t>ág.</w:t>
        </w:r>
        <w:r w:rsidR="00BC135C">
          <w:rPr>
            <w:rFonts w:ascii="Arial" w:hAnsi="Arial" w:cs="Arial"/>
            <w:bCs/>
            <w:sz w:val="22"/>
            <w:szCs w:val="22"/>
          </w:rPr>
          <w:t xml:space="preserv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2DA468C3" w:rsidR="00FF54F5" w:rsidRPr="00DD55DA" w:rsidRDefault="00427BD7" w:rsidP="00FF54F5">
    <w:pPr>
      <w:pStyle w:val="Header"/>
      <w:jc w:val="right"/>
      <w:rPr>
        <w:rFonts w:ascii="Arial" w:hAnsi="Arial" w:cs="Arial"/>
        <w:bCs/>
        <w:sz w:val="22"/>
        <w:szCs w:val="22"/>
        <w:lang w:val="fr-FR"/>
      </w:rPr>
    </w:pPr>
    <w:r>
      <w:rPr>
        <w:rFonts w:ascii="Arial" w:hAnsi="Arial" w:cs="Arial"/>
        <w:bCs/>
        <w:sz w:val="22"/>
        <w:szCs w:val="22"/>
        <w:lang w:val="fr-FR"/>
      </w:rPr>
      <w:t>I</w:t>
    </w:r>
    <w:r w:rsidR="00E01FDA" w:rsidRPr="00352423">
      <w:rPr>
        <w:rFonts w:ascii="Arial" w:hAnsi="Arial" w:cs="Arial"/>
        <w:bCs/>
        <w:sz w:val="22"/>
        <w:szCs w:val="22"/>
        <w:lang w:val="fr-FR"/>
      </w:rPr>
      <w:t>OC/EC-5</w:t>
    </w:r>
    <w:r w:rsidR="00BE2EC4">
      <w:rPr>
        <w:rFonts w:ascii="Arial" w:hAnsi="Arial" w:cs="Arial"/>
        <w:bCs/>
        <w:sz w:val="22"/>
        <w:szCs w:val="22"/>
        <w:lang w:val="fr-FR"/>
      </w:rPr>
      <w:t>7</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.1</w:t>
    </w:r>
    <w:r w:rsidR="00E01FDA">
      <w:rPr>
        <w:rFonts w:ascii="Arial" w:hAnsi="Arial" w:cs="Arial"/>
        <w:bCs/>
        <w:sz w:val="22"/>
        <w:szCs w:val="22"/>
        <w:lang w:val="fr-FR"/>
      </w:rPr>
      <w:t>.</w:t>
    </w:r>
    <w:r w:rsidR="00E01FDA" w:rsidRPr="00352423">
      <w:rPr>
        <w:rFonts w:ascii="Arial" w:hAnsi="Arial" w:cs="Arial"/>
        <w:bCs/>
        <w:sz w:val="22"/>
        <w:szCs w:val="22"/>
        <w:lang w:val="fr-FR"/>
      </w:rPr>
      <w:t>Doc</w:t>
    </w:r>
    <w:r w:rsidR="007C4C1D">
      <w:rPr>
        <w:rFonts w:ascii="Arial" w:hAnsi="Arial" w:cs="Arial"/>
        <w:bCs/>
        <w:sz w:val="22"/>
        <w:szCs w:val="22"/>
        <w:lang w:val="fr-FR"/>
      </w:rPr>
      <w:t>(1)</w:t>
    </w:r>
    <w:r w:rsidR="00A14C22">
      <w:rPr>
        <w:rFonts w:ascii="Arial" w:hAnsi="Arial" w:cs="Arial"/>
        <w:bCs/>
        <w:sz w:val="22"/>
        <w:szCs w:val="22"/>
        <w:lang w:val="fr-FR"/>
      </w:rPr>
      <w:t xml:space="preserve"> – p</w:t>
    </w:r>
    <w:r w:rsidR="00863C85">
      <w:rPr>
        <w:rFonts w:ascii="Arial" w:hAnsi="Arial" w:cs="Arial"/>
        <w:bCs/>
        <w:sz w:val="22"/>
        <w:szCs w:val="22"/>
        <w:lang w:val="fr-FR"/>
      </w:rPr>
      <w:t>ág.</w:t>
    </w:r>
    <w:r w:rsidR="00A14C22">
      <w:rPr>
        <w:rFonts w:ascii="Arial" w:hAnsi="Arial" w:cs="Arial"/>
        <w:bCs/>
        <w:sz w:val="22"/>
        <w:szCs w:val="22"/>
        <w:lang w:val="fr-FR"/>
      </w:rPr>
      <w:t xml:space="preserv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p w14:paraId="115C0040" w14:textId="77777777" w:rsidR="00FF54F5" w:rsidRPr="00DD55DA" w:rsidRDefault="00FF54F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6E4EB2EC" w:rsidR="00F62C19" w:rsidRPr="00B15880" w:rsidRDefault="008B77EB" w:rsidP="00705F29">
    <w:pPr>
      <w:pStyle w:val="Marge"/>
      <w:tabs>
        <w:tab w:val="left" w:pos="5921"/>
        <w:tab w:val="left" w:pos="7088"/>
      </w:tabs>
      <w:spacing w:after="0"/>
      <w:rPr>
        <w:rFonts w:ascii="Arial" w:hAnsi="Arial" w:cs="Arial"/>
        <w:b/>
        <w:sz w:val="22"/>
        <w:szCs w:val="22"/>
        <w:lang w:val="es-ES_tradnl"/>
      </w:rPr>
    </w:pPr>
    <w:r w:rsidRPr="00587A76">
      <w:rPr>
        <w:rFonts w:asciiTheme="minorBidi" w:hAnsiTheme="minorBidi" w:cstheme="minorBidi"/>
        <w:sz w:val="22"/>
        <w:szCs w:val="22"/>
        <w:lang w:val="es-ES"/>
      </w:rPr>
      <w:t>Distribución limitada</w:t>
    </w:r>
    <w:r>
      <w:rPr>
        <w:lang w:val="es-ES"/>
      </w:rPr>
      <w:tab/>
    </w:r>
    <w:r w:rsidRPr="00587A76">
      <w:rPr>
        <w:rFonts w:ascii="Arial" w:hAnsi="Arial" w:cs="Arial"/>
        <w:b/>
        <w:bCs/>
        <w:sz w:val="32"/>
        <w:szCs w:val="32"/>
        <w:lang w:val="es-ES"/>
      </w:rPr>
      <w:t>IOC/EC-57/3.1.Doc(1)</w:t>
    </w:r>
    <w:bookmarkStart w:id="0" w:name="_Hlk54263549"/>
    <w:bookmarkEnd w:id="0"/>
  </w:p>
  <w:p w14:paraId="4FD70AD5" w14:textId="619532F2" w:rsidR="004B7754" w:rsidRPr="00B15880" w:rsidRDefault="008B77EB" w:rsidP="00705F29">
    <w:pPr>
      <w:pStyle w:val="Marge"/>
      <w:tabs>
        <w:tab w:val="left" w:pos="5921"/>
      </w:tabs>
      <w:spacing w:after="0"/>
      <w:rPr>
        <w:rFonts w:ascii="Arial" w:hAnsi="Arial" w:cs="Arial"/>
        <w:sz w:val="22"/>
        <w:szCs w:val="22"/>
        <w:lang w:val="es-ES_tradnl"/>
      </w:rPr>
    </w:pPr>
    <w:r w:rsidRPr="00B15880">
      <w:rPr>
        <w:rFonts w:ascii="Arial" w:hAnsi="Arial" w:cs="Arial"/>
        <w:b/>
        <w:noProof/>
        <w:snapToGrid/>
        <w:sz w:val="22"/>
        <w:szCs w:val="22"/>
        <w:lang w:val="es-ES" w:eastAsia="fr-FR"/>
      </w:rPr>
      <w:drawing>
        <wp:anchor distT="0" distB="0" distL="114300" distR="114300" simplePos="0" relativeHeight="25165568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B15880">
      <w:rPr>
        <w:rFonts w:ascii="Arial" w:hAnsi="Arial" w:cs="Arial"/>
        <w:sz w:val="22"/>
        <w:szCs w:val="22"/>
        <w:lang w:val="es-ES"/>
      </w:rPr>
      <w:tab/>
      <w:t>París, 25 de abril de 2024</w:t>
    </w:r>
  </w:p>
  <w:p w14:paraId="07C76426" w14:textId="18A2F05C" w:rsidR="004B7754" w:rsidRPr="00B15880" w:rsidRDefault="004B7754" w:rsidP="00705F29">
    <w:pPr>
      <w:pStyle w:val="Marge"/>
      <w:tabs>
        <w:tab w:val="left" w:pos="5921"/>
      </w:tabs>
      <w:rPr>
        <w:rFonts w:ascii="Arial" w:hAnsi="Arial" w:cs="Arial"/>
        <w:sz w:val="22"/>
        <w:szCs w:val="22"/>
        <w:lang w:val="es-ES_tradnl"/>
      </w:rPr>
    </w:pPr>
    <w:r w:rsidRPr="00B15880">
      <w:rPr>
        <w:rFonts w:ascii="Arial" w:hAnsi="Arial" w:cs="Arial"/>
        <w:sz w:val="22"/>
        <w:szCs w:val="22"/>
        <w:lang w:val="es-ES"/>
      </w:rPr>
      <w:tab/>
      <w:t>Original: inglés</w:t>
    </w:r>
  </w:p>
  <w:p w14:paraId="0759C652" w14:textId="6ACD3015" w:rsidR="004B7754" w:rsidRPr="00B15880"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_tradnl"/>
      </w:rPr>
    </w:pPr>
  </w:p>
  <w:p w14:paraId="5CBA7A2E" w14:textId="7CD94594" w:rsidR="00B17054" w:rsidRPr="00B15880"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_tradnl"/>
      </w:rPr>
    </w:pPr>
  </w:p>
  <w:p w14:paraId="364F293E" w14:textId="4E082054" w:rsidR="00B17054" w:rsidRPr="00B15880"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_tradnl"/>
      </w:rPr>
    </w:pPr>
  </w:p>
  <w:p w14:paraId="28CD0B7C" w14:textId="77777777" w:rsidR="008B77EB" w:rsidRPr="00B15880"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_tradnl"/>
      </w:rPr>
    </w:pPr>
  </w:p>
  <w:p w14:paraId="1D868DB4" w14:textId="77777777" w:rsidR="00B17054" w:rsidRPr="00B15880"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_tradnl"/>
      </w:rPr>
    </w:pPr>
  </w:p>
  <w:p w14:paraId="71A52761" w14:textId="56DB973C" w:rsidR="004B7754" w:rsidRPr="00B15880"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_tradnl"/>
      </w:rPr>
    </w:pPr>
    <w:r w:rsidRPr="00B15880">
      <w:rPr>
        <w:rFonts w:ascii="Arial" w:hAnsi="Arial" w:cs="Arial"/>
        <w:b/>
        <w:bCs/>
        <w:sz w:val="22"/>
        <w:szCs w:val="22"/>
        <w:lang w:val="es-ES"/>
      </w:rPr>
      <w:t>COMISIÓN OCEANOGRÁFICA INTERGUBERNAMENTAL</w:t>
    </w:r>
  </w:p>
  <w:p w14:paraId="67E49D49" w14:textId="77777777" w:rsidR="004B7754" w:rsidRPr="00B15880"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_tradnl"/>
      </w:rPr>
    </w:pPr>
    <w:r w:rsidRPr="00B15880">
      <w:rPr>
        <w:rFonts w:ascii="Arial" w:hAnsi="Arial" w:cs="Arial"/>
        <w:sz w:val="22"/>
        <w:szCs w:val="22"/>
        <w:lang w:val="es-ES"/>
      </w:rPr>
      <w:t>(de la UNESCO)</w:t>
    </w:r>
  </w:p>
  <w:p w14:paraId="4872ECD5" w14:textId="77777777" w:rsidR="004B7754" w:rsidRPr="00B15880"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_tradnl"/>
      </w:rPr>
    </w:pPr>
  </w:p>
  <w:p w14:paraId="7BF4961F" w14:textId="7FAC70AB" w:rsidR="004B7754" w:rsidRPr="00B15880"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_tradnl"/>
      </w:rPr>
    </w:pPr>
    <w:r w:rsidRPr="00B15880">
      <w:rPr>
        <w:rFonts w:ascii="Arial" w:hAnsi="Arial" w:cs="Arial"/>
        <w:b/>
        <w:bCs/>
        <w:sz w:val="22"/>
        <w:szCs w:val="22"/>
        <w:lang w:val="es-ES"/>
      </w:rPr>
      <w:t>57ª reunión del Consejo Ejecutivo</w:t>
    </w:r>
  </w:p>
  <w:p w14:paraId="71300EEE" w14:textId="19D181B4" w:rsidR="004B7754" w:rsidRPr="00B15880"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_tradnl"/>
      </w:rPr>
    </w:pPr>
    <w:r w:rsidRPr="00B15880">
      <w:rPr>
        <w:rFonts w:ascii="Arial" w:hAnsi="Arial" w:cs="Arial"/>
        <w:sz w:val="22"/>
        <w:szCs w:val="22"/>
        <w:lang w:val="es-ES"/>
      </w:rPr>
      <w:t>UNESCO, París, 25-28 de junio de 2024</w:t>
    </w:r>
  </w:p>
  <w:p w14:paraId="5BB9C169" w14:textId="77777777" w:rsidR="004B7754" w:rsidRPr="00B15880"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_tradnl"/>
      </w:rPr>
    </w:pPr>
  </w:p>
  <w:p w14:paraId="003DCA37" w14:textId="77777777" w:rsidR="004B7754" w:rsidRPr="00B15880" w:rsidRDefault="004B7754" w:rsidP="00B17054">
    <w:pPr>
      <w:jc w:val="center"/>
      <w:rPr>
        <w:rFonts w:ascii="Arial" w:hAnsi="Arial" w:cs="Arial"/>
        <w:sz w:val="22"/>
        <w:szCs w:val="22"/>
        <w:lang w:val="es-ES_tradnl"/>
      </w:rPr>
    </w:pPr>
  </w:p>
  <w:p w14:paraId="4AE80372" w14:textId="4CE30030" w:rsidR="00FA68D9" w:rsidRPr="00B15880" w:rsidRDefault="00FA68D9" w:rsidP="00FA68D9">
    <w:pPr>
      <w:keepNext/>
      <w:widowControl w:val="0"/>
      <w:tabs>
        <w:tab w:val="right" w:pos="9540"/>
      </w:tabs>
      <w:adjustRightInd w:val="0"/>
      <w:jc w:val="both"/>
      <w:textAlignment w:val="baseline"/>
      <w:outlineLvl w:val="6"/>
      <w:rPr>
        <w:rFonts w:ascii="Arial" w:eastAsia="Times New Roman" w:hAnsi="Arial" w:cs="Arial"/>
        <w:sz w:val="22"/>
        <w:szCs w:val="22"/>
        <w:lang w:val="es-ES_tradnl"/>
      </w:rPr>
    </w:pPr>
    <w:r w:rsidRPr="00B15880">
      <w:rPr>
        <w:rFonts w:ascii="Arial" w:hAnsi="Arial" w:cs="Arial"/>
        <w:sz w:val="22"/>
        <w:szCs w:val="22"/>
        <w:u w:val="single"/>
        <w:lang w:val="es-ES"/>
      </w:rPr>
      <w:t xml:space="preserve">Punto </w:t>
    </w:r>
    <w:r w:rsidRPr="00B15880">
      <w:rPr>
        <w:rFonts w:ascii="Arial" w:hAnsi="Arial" w:cs="Arial"/>
        <w:b/>
        <w:bCs/>
        <w:sz w:val="22"/>
        <w:szCs w:val="22"/>
        <w:u w:val="single"/>
        <w:lang w:val="es-ES"/>
      </w:rPr>
      <w:t>3.1</w:t>
    </w:r>
    <w:r w:rsidRPr="00B15880">
      <w:rPr>
        <w:rFonts w:ascii="Arial" w:hAnsi="Arial" w:cs="Arial"/>
        <w:sz w:val="22"/>
        <w:szCs w:val="22"/>
        <w:u w:val="single"/>
        <w:lang w:val="es-ES"/>
      </w:rPr>
      <w:t xml:space="preserve"> del orden del día provisional</w:t>
    </w:r>
  </w:p>
  <w:p w14:paraId="5F53C7C4" w14:textId="4F88A037" w:rsidR="004B7754" w:rsidRPr="00B15880" w:rsidRDefault="00FA68D9" w:rsidP="00FF0D75">
    <w:pPr>
      <w:pStyle w:val="b"/>
      <w:spacing w:before="480" w:after="600"/>
      <w:ind w:left="567" w:firstLine="0"/>
      <w:jc w:val="center"/>
      <w:rPr>
        <w:rFonts w:ascii="Arial" w:hAnsi="Arial" w:cs="Arial"/>
        <w:sz w:val="22"/>
        <w:szCs w:val="22"/>
        <w:lang w:val="es-ES_tradnl"/>
      </w:rPr>
    </w:pPr>
    <w:r w:rsidRPr="00B15880">
      <w:rPr>
        <w:rFonts w:ascii="Arial" w:hAnsi="Arial" w:cs="Arial"/>
        <w:b/>
        <w:bCs/>
        <w:sz w:val="22"/>
        <w:szCs w:val="22"/>
        <w:lang w:val="es-ES"/>
      </w:rPr>
      <w:t xml:space="preserve">INFORME DEL SECRETARIO EJECUTIVO SOBRE LA LABOR REALIZADA </w:t>
    </w:r>
    <w:r w:rsidR="00B15880">
      <w:rPr>
        <w:rFonts w:ascii="Arial" w:hAnsi="Arial" w:cs="Arial"/>
        <w:b/>
        <w:bCs/>
        <w:sz w:val="22"/>
        <w:szCs w:val="22"/>
        <w:lang w:val="es-ES"/>
      </w:rPr>
      <w:br/>
    </w:r>
    <w:r w:rsidRPr="00B15880">
      <w:rPr>
        <w:rFonts w:ascii="Arial" w:hAnsi="Arial" w:cs="Arial"/>
        <w:b/>
        <w:bCs/>
        <w:sz w:val="22"/>
        <w:szCs w:val="22"/>
        <w:lang w:val="es-ES"/>
      </w:rPr>
      <w:t>DESDE LA 32ª REUNIÓN DE LA ASAMBLEA (ju</w:t>
    </w:r>
    <w:r w:rsidR="00B15880">
      <w:rPr>
        <w:rFonts w:ascii="Arial" w:hAnsi="Arial" w:cs="Arial"/>
        <w:b/>
        <w:bCs/>
        <w:sz w:val="22"/>
        <w:szCs w:val="22"/>
        <w:lang w:val="es-ES"/>
      </w:rPr>
      <w:t>n</w:t>
    </w:r>
    <w:r w:rsidRPr="00B15880">
      <w:rPr>
        <w:rFonts w:ascii="Arial" w:hAnsi="Arial" w:cs="Arial"/>
        <w:b/>
        <w:bCs/>
        <w:sz w:val="22"/>
        <w:szCs w:val="22"/>
        <w:lang w:val="es-ES"/>
      </w:rPr>
      <w:t>io de 2023-mayo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E4F4CFA"/>
    <w:multiLevelType w:val="hybridMultilevel"/>
    <w:tmpl w:val="1512C806"/>
    <w:lvl w:ilvl="0" w:tplc="30B63798">
      <w:numFmt w:val="bullet"/>
      <w:lvlText w:val="-"/>
      <w:lvlJc w:val="left"/>
      <w:pPr>
        <w:ind w:left="1211" w:hanging="360"/>
      </w:pPr>
      <w:rPr>
        <w:rFonts w:ascii="Arial" w:eastAsia="SimSun" w:hAnsi="Arial" w:cs="Arial" w:hint="default"/>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5"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310506">
    <w:abstractNumId w:val="9"/>
  </w:num>
  <w:num w:numId="2" w16cid:durableId="1085108702">
    <w:abstractNumId w:val="9"/>
  </w:num>
  <w:num w:numId="3" w16cid:durableId="260375341">
    <w:abstractNumId w:val="9"/>
  </w:num>
  <w:num w:numId="4" w16cid:durableId="1106341988">
    <w:abstractNumId w:val="9"/>
  </w:num>
  <w:num w:numId="5" w16cid:durableId="495343918">
    <w:abstractNumId w:val="9"/>
  </w:num>
  <w:num w:numId="6" w16cid:durableId="1561017720">
    <w:abstractNumId w:val="9"/>
  </w:num>
  <w:num w:numId="7" w16cid:durableId="1124153467">
    <w:abstractNumId w:val="9"/>
  </w:num>
  <w:num w:numId="8" w16cid:durableId="465390090">
    <w:abstractNumId w:val="9"/>
  </w:num>
  <w:num w:numId="9" w16cid:durableId="1457599325">
    <w:abstractNumId w:val="9"/>
  </w:num>
  <w:num w:numId="10" w16cid:durableId="421488718">
    <w:abstractNumId w:val="9"/>
  </w:num>
  <w:num w:numId="11" w16cid:durableId="2143844777">
    <w:abstractNumId w:val="16"/>
  </w:num>
  <w:num w:numId="12" w16cid:durableId="17775434">
    <w:abstractNumId w:val="9"/>
  </w:num>
  <w:num w:numId="13" w16cid:durableId="1543207608">
    <w:abstractNumId w:val="5"/>
  </w:num>
  <w:num w:numId="14" w16cid:durableId="559633906">
    <w:abstractNumId w:val="10"/>
  </w:num>
  <w:num w:numId="15" w16cid:durableId="1323388065">
    <w:abstractNumId w:val="4"/>
  </w:num>
  <w:num w:numId="16" w16cid:durableId="1060589360">
    <w:abstractNumId w:val="12"/>
  </w:num>
  <w:num w:numId="17" w16cid:durableId="53816445">
    <w:abstractNumId w:val="8"/>
  </w:num>
  <w:num w:numId="18" w16cid:durableId="1580093580">
    <w:abstractNumId w:val="3"/>
  </w:num>
  <w:num w:numId="19" w16cid:durableId="1162701083">
    <w:abstractNumId w:val="13"/>
  </w:num>
  <w:num w:numId="20" w16cid:durableId="1661425026">
    <w:abstractNumId w:val="15"/>
  </w:num>
  <w:num w:numId="21" w16cid:durableId="1196651110">
    <w:abstractNumId w:val="1"/>
  </w:num>
  <w:num w:numId="22" w16cid:durableId="882133689">
    <w:abstractNumId w:val="2"/>
  </w:num>
  <w:num w:numId="23" w16cid:durableId="1951626247">
    <w:abstractNumId w:val="0"/>
  </w:num>
  <w:num w:numId="24" w16cid:durableId="86267078">
    <w:abstractNumId w:val="17"/>
  </w:num>
  <w:num w:numId="25" w16cid:durableId="1492328046">
    <w:abstractNumId w:val="7"/>
  </w:num>
  <w:num w:numId="26" w16cid:durableId="645748128">
    <w:abstractNumId w:val="6"/>
  </w:num>
  <w:num w:numId="27" w16cid:durableId="2017922584">
    <w:abstractNumId w:val="11"/>
  </w:num>
  <w:num w:numId="28" w16cid:durableId="1330252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7CD"/>
    <w:rsid w:val="00032C8E"/>
    <w:rsid w:val="00033544"/>
    <w:rsid w:val="00034C53"/>
    <w:rsid w:val="00034C70"/>
    <w:rsid w:val="000370E1"/>
    <w:rsid w:val="000431C5"/>
    <w:rsid w:val="000445B8"/>
    <w:rsid w:val="0004582F"/>
    <w:rsid w:val="000540AC"/>
    <w:rsid w:val="00060399"/>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C3BB5"/>
    <w:rsid w:val="000D6EB3"/>
    <w:rsid w:val="000D719C"/>
    <w:rsid w:val="000E0533"/>
    <w:rsid w:val="000E05C8"/>
    <w:rsid w:val="000E188E"/>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2374E"/>
    <w:rsid w:val="00123F7E"/>
    <w:rsid w:val="00131529"/>
    <w:rsid w:val="0013238B"/>
    <w:rsid w:val="00134711"/>
    <w:rsid w:val="0013649D"/>
    <w:rsid w:val="00137882"/>
    <w:rsid w:val="00141A44"/>
    <w:rsid w:val="00142361"/>
    <w:rsid w:val="00143B1A"/>
    <w:rsid w:val="0014529C"/>
    <w:rsid w:val="0015046B"/>
    <w:rsid w:val="001506C7"/>
    <w:rsid w:val="001524A3"/>
    <w:rsid w:val="0015561D"/>
    <w:rsid w:val="001579AB"/>
    <w:rsid w:val="00160284"/>
    <w:rsid w:val="0016592F"/>
    <w:rsid w:val="001659AA"/>
    <w:rsid w:val="00165CBD"/>
    <w:rsid w:val="001676B6"/>
    <w:rsid w:val="0017022A"/>
    <w:rsid w:val="0017604F"/>
    <w:rsid w:val="001766F9"/>
    <w:rsid w:val="00182096"/>
    <w:rsid w:val="0018253D"/>
    <w:rsid w:val="00182632"/>
    <w:rsid w:val="00183FEA"/>
    <w:rsid w:val="00185B54"/>
    <w:rsid w:val="00185D28"/>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6994"/>
    <w:rsid w:val="00207581"/>
    <w:rsid w:val="00215B28"/>
    <w:rsid w:val="00216228"/>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5371"/>
    <w:rsid w:val="00265C91"/>
    <w:rsid w:val="00265E4E"/>
    <w:rsid w:val="002660A1"/>
    <w:rsid w:val="0027043E"/>
    <w:rsid w:val="00272866"/>
    <w:rsid w:val="00273C68"/>
    <w:rsid w:val="00274D0A"/>
    <w:rsid w:val="0028078A"/>
    <w:rsid w:val="00282456"/>
    <w:rsid w:val="00282FBC"/>
    <w:rsid w:val="00283515"/>
    <w:rsid w:val="00283B06"/>
    <w:rsid w:val="002854CA"/>
    <w:rsid w:val="00286B3B"/>
    <w:rsid w:val="002A05D9"/>
    <w:rsid w:val="002A3623"/>
    <w:rsid w:val="002A364B"/>
    <w:rsid w:val="002A3D8C"/>
    <w:rsid w:val="002B0438"/>
    <w:rsid w:val="002B0B65"/>
    <w:rsid w:val="002B2870"/>
    <w:rsid w:val="002B2FB7"/>
    <w:rsid w:val="002B3CB5"/>
    <w:rsid w:val="002B58F5"/>
    <w:rsid w:val="002C6A49"/>
    <w:rsid w:val="002D2062"/>
    <w:rsid w:val="002D41F6"/>
    <w:rsid w:val="002D4B35"/>
    <w:rsid w:val="002E0A07"/>
    <w:rsid w:val="002E3B10"/>
    <w:rsid w:val="002E524A"/>
    <w:rsid w:val="002E558B"/>
    <w:rsid w:val="002E5A7D"/>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3BCB"/>
    <w:rsid w:val="0033582A"/>
    <w:rsid w:val="0033741E"/>
    <w:rsid w:val="00337F0B"/>
    <w:rsid w:val="00341FD0"/>
    <w:rsid w:val="0034392B"/>
    <w:rsid w:val="00344E00"/>
    <w:rsid w:val="003515AD"/>
    <w:rsid w:val="00352423"/>
    <w:rsid w:val="00354A10"/>
    <w:rsid w:val="00355A56"/>
    <w:rsid w:val="003563D2"/>
    <w:rsid w:val="003570B3"/>
    <w:rsid w:val="00360F32"/>
    <w:rsid w:val="00365ED5"/>
    <w:rsid w:val="00366C04"/>
    <w:rsid w:val="003774D6"/>
    <w:rsid w:val="00382463"/>
    <w:rsid w:val="00393704"/>
    <w:rsid w:val="0039512E"/>
    <w:rsid w:val="00395A11"/>
    <w:rsid w:val="003B2CC9"/>
    <w:rsid w:val="003B3349"/>
    <w:rsid w:val="003B390E"/>
    <w:rsid w:val="003B4C5D"/>
    <w:rsid w:val="003B4DBB"/>
    <w:rsid w:val="003B64CB"/>
    <w:rsid w:val="003B6DA1"/>
    <w:rsid w:val="003B6ECA"/>
    <w:rsid w:val="003B6FC5"/>
    <w:rsid w:val="003C15F6"/>
    <w:rsid w:val="003C240D"/>
    <w:rsid w:val="003C309A"/>
    <w:rsid w:val="003C4A99"/>
    <w:rsid w:val="003D27BD"/>
    <w:rsid w:val="003D31F1"/>
    <w:rsid w:val="003D4548"/>
    <w:rsid w:val="003E08F0"/>
    <w:rsid w:val="003E26AB"/>
    <w:rsid w:val="003E331B"/>
    <w:rsid w:val="003E5A89"/>
    <w:rsid w:val="003E5DA0"/>
    <w:rsid w:val="003E7B79"/>
    <w:rsid w:val="003F5299"/>
    <w:rsid w:val="003F74E5"/>
    <w:rsid w:val="003F7D8F"/>
    <w:rsid w:val="004032DB"/>
    <w:rsid w:val="00403EB2"/>
    <w:rsid w:val="004047AA"/>
    <w:rsid w:val="00404945"/>
    <w:rsid w:val="00405201"/>
    <w:rsid w:val="004119A8"/>
    <w:rsid w:val="00416FCE"/>
    <w:rsid w:val="00417106"/>
    <w:rsid w:val="00422ECB"/>
    <w:rsid w:val="00423AB7"/>
    <w:rsid w:val="00425E51"/>
    <w:rsid w:val="0042612F"/>
    <w:rsid w:val="00427BD7"/>
    <w:rsid w:val="00431123"/>
    <w:rsid w:val="004359DF"/>
    <w:rsid w:val="00437DB1"/>
    <w:rsid w:val="004414C3"/>
    <w:rsid w:val="00441F29"/>
    <w:rsid w:val="00441FE3"/>
    <w:rsid w:val="00447262"/>
    <w:rsid w:val="00450AA6"/>
    <w:rsid w:val="00452512"/>
    <w:rsid w:val="00452CFD"/>
    <w:rsid w:val="00453CE0"/>
    <w:rsid w:val="004553DC"/>
    <w:rsid w:val="00455465"/>
    <w:rsid w:val="00463AB2"/>
    <w:rsid w:val="004750C1"/>
    <w:rsid w:val="004768E8"/>
    <w:rsid w:val="00476A0C"/>
    <w:rsid w:val="00477409"/>
    <w:rsid w:val="0048119B"/>
    <w:rsid w:val="00481C77"/>
    <w:rsid w:val="0048289E"/>
    <w:rsid w:val="00485772"/>
    <w:rsid w:val="00485AA9"/>
    <w:rsid w:val="00486080"/>
    <w:rsid w:val="0049319A"/>
    <w:rsid w:val="00494DB3"/>
    <w:rsid w:val="00495A2B"/>
    <w:rsid w:val="00495A69"/>
    <w:rsid w:val="004966AD"/>
    <w:rsid w:val="004A0A6B"/>
    <w:rsid w:val="004A0F6A"/>
    <w:rsid w:val="004A202F"/>
    <w:rsid w:val="004B3408"/>
    <w:rsid w:val="004B389C"/>
    <w:rsid w:val="004B3D01"/>
    <w:rsid w:val="004B5787"/>
    <w:rsid w:val="004B7754"/>
    <w:rsid w:val="004B7E8C"/>
    <w:rsid w:val="004C14DD"/>
    <w:rsid w:val="004C4469"/>
    <w:rsid w:val="004C586B"/>
    <w:rsid w:val="004C6065"/>
    <w:rsid w:val="004C6FFD"/>
    <w:rsid w:val="004C74F4"/>
    <w:rsid w:val="004C78C5"/>
    <w:rsid w:val="004D3AC6"/>
    <w:rsid w:val="004D4484"/>
    <w:rsid w:val="004D5B62"/>
    <w:rsid w:val="004E084D"/>
    <w:rsid w:val="004E2D89"/>
    <w:rsid w:val="004E3446"/>
    <w:rsid w:val="004E4A23"/>
    <w:rsid w:val="004E4F2C"/>
    <w:rsid w:val="004E6B90"/>
    <w:rsid w:val="004F0BEC"/>
    <w:rsid w:val="004F4AC5"/>
    <w:rsid w:val="004F5686"/>
    <w:rsid w:val="005066B5"/>
    <w:rsid w:val="005105CB"/>
    <w:rsid w:val="00514AC0"/>
    <w:rsid w:val="00515020"/>
    <w:rsid w:val="00523B29"/>
    <w:rsid w:val="00523DF2"/>
    <w:rsid w:val="00524D94"/>
    <w:rsid w:val="00527369"/>
    <w:rsid w:val="00530113"/>
    <w:rsid w:val="00534733"/>
    <w:rsid w:val="0053720B"/>
    <w:rsid w:val="005462A1"/>
    <w:rsid w:val="00552D23"/>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87A76"/>
    <w:rsid w:val="00593EC9"/>
    <w:rsid w:val="00594902"/>
    <w:rsid w:val="00596959"/>
    <w:rsid w:val="005A1932"/>
    <w:rsid w:val="005A1B75"/>
    <w:rsid w:val="005A7E87"/>
    <w:rsid w:val="005B0510"/>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313"/>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286C"/>
    <w:rsid w:val="00624476"/>
    <w:rsid w:val="00625EE0"/>
    <w:rsid w:val="00625FE6"/>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48C7"/>
    <w:rsid w:val="006C6875"/>
    <w:rsid w:val="006C6EB1"/>
    <w:rsid w:val="006C7AE8"/>
    <w:rsid w:val="006E0BCF"/>
    <w:rsid w:val="006E33FC"/>
    <w:rsid w:val="006E3403"/>
    <w:rsid w:val="006E3CA0"/>
    <w:rsid w:val="006E5A90"/>
    <w:rsid w:val="006F28A3"/>
    <w:rsid w:val="006F53F4"/>
    <w:rsid w:val="006F6B09"/>
    <w:rsid w:val="0070039C"/>
    <w:rsid w:val="00702EB4"/>
    <w:rsid w:val="007033D9"/>
    <w:rsid w:val="00704AD8"/>
    <w:rsid w:val="00705DFD"/>
    <w:rsid w:val="00705F29"/>
    <w:rsid w:val="007069A8"/>
    <w:rsid w:val="00713AE4"/>
    <w:rsid w:val="007156EF"/>
    <w:rsid w:val="007169AF"/>
    <w:rsid w:val="007206CD"/>
    <w:rsid w:val="00727C74"/>
    <w:rsid w:val="00727EEF"/>
    <w:rsid w:val="00730172"/>
    <w:rsid w:val="00731536"/>
    <w:rsid w:val="00732AF2"/>
    <w:rsid w:val="0073314B"/>
    <w:rsid w:val="007331F8"/>
    <w:rsid w:val="00735534"/>
    <w:rsid w:val="00735E52"/>
    <w:rsid w:val="007443CA"/>
    <w:rsid w:val="00745B9E"/>
    <w:rsid w:val="007464AB"/>
    <w:rsid w:val="00747591"/>
    <w:rsid w:val="00750F05"/>
    <w:rsid w:val="00753BD3"/>
    <w:rsid w:val="0075428B"/>
    <w:rsid w:val="00755DEA"/>
    <w:rsid w:val="00756E80"/>
    <w:rsid w:val="007577B2"/>
    <w:rsid w:val="007628BE"/>
    <w:rsid w:val="00762B2E"/>
    <w:rsid w:val="00766688"/>
    <w:rsid w:val="00767C10"/>
    <w:rsid w:val="00770EC7"/>
    <w:rsid w:val="00771A2C"/>
    <w:rsid w:val="00774083"/>
    <w:rsid w:val="007746A7"/>
    <w:rsid w:val="00774FDF"/>
    <w:rsid w:val="007756DF"/>
    <w:rsid w:val="00782F36"/>
    <w:rsid w:val="007869BC"/>
    <w:rsid w:val="00787155"/>
    <w:rsid w:val="00787C77"/>
    <w:rsid w:val="00787E05"/>
    <w:rsid w:val="00790644"/>
    <w:rsid w:val="0079161F"/>
    <w:rsid w:val="00795D13"/>
    <w:rsid w:val="007967D5"/>
    <w:rsid w:val="007A264F"/>
    <w:rsid w:val="007A4866"/>
    <w:rsid w:val="007B032D"/>
    <w:rsid w:val="007B0677"/>
    <w:rsid w:val="007B267F"/>
    <w:rsid w:val="007B4E4D"/>
    <w:rsid w:val="007B5C46"/>
    <w:rsid w:val="007B70CA"/>
    <w:rsid w:val="007B78BC"/>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D72B0"/>
    <w:rsid w:val="007E331D"/>
    <w:rsid w:val="007E3BE2"/>
    <w:rsid w:val="007E6267"/>
    <w:rsid w:val="007E6585"/>
    <w:rsid w:val="007E6930"/>
    <w:rsid w:val="007F0FB9"/>
    <w:rsid w:val="007F1A39"/>
    <w:rsid w:val="007F6D3E"/>
    <w:rsid w:val="007F77F4"/>
    <w:rsid w:val="00800665"/>
    <w:rsid w:val="00801A83"/>
    <w:rsid w:val="00805F4C"/>
    <w:rsid w:val="00806CD3"/>
    <w:rsid w:val="008074BE"/>
    <w:rsid w:val="00811963"/>
    <w:rsid w:val="0081272A"/>
    <w:rsid w:val="008148FD"/>
    <w:rsid w:val="00821ABA"/>
    <w:rsid w:val="0082240E"/>
    <w:rsid w:val="008234DD"/>
    <w:rsid w:val="00823535"/>
    <w:rsid w:val="00825797"/>
    <w:rsid w:val="0083349A"/>
    <w:rsid w:val="008334C8"/>
    <w:rsid w:val="00835997"/>
    <w:rsid w:val="00835F4D"/>
    <w:rsid w:val="008426CA"/>
    <w:rsid w:val="00843E81"/>
    <w:rsid w:val="00845462"/>
    <w:rsid w:val="008457C1"/>
    <w:rsid w:val="00847517"/>
    <w:rsid w:val="00851937"/>
    <w:rsid w:val="00855825"/>
    <w:rsid w:val="00855CEB"/>
    <w:rsid w:val="00856ABB"/>
    <w:rsid w:val="008608E0"/>
    <w:rsid w:val="00863C85"/>
    <w:rsid w:val="0086422A"/>
    <w:rsid w:val="00864ABF"/>
    <w:rsid w:val="00866274"/>
    <w:rsid w:val="00866366"/>
    <w:rsid w:val="00867B04"/>
    <w:rsid w:val="00870F83"/>
    <w:rsid w:val="0087160D"/>
    <w:rsid w:val="00873AFD"/>
    <w:rsid w:val="00873C36"/>
    <w:rsid w:val="0087409D"/>
    <w:rsid w:val="00876067"/>
    <w:rsid w:val="008840C0"/>
    <w:rsid w:val="008840E6"/>
    <w:rsid w:val="00884332"/>
    <w:rsid w:val="008901AA"/>
    <w:rsid w:val="00890255"/>
    <w:rsid w:val="0089179C"/>
    <w:rsid w:val="00895E0F"/>
    <w:rsid w:val="00896575"/>
    <w:rsid w:val="008967F5"/>
    <w:rsid w:val="008A05D0"/>
    <w:rsid w:val="008A0C1C"/>
    <w:rsid w:val="008A23E5"/>
    <w:rsid w:val="008A6D88"/>
    <w:rsid w:val="008A7D5D"/>
    <w:rsid w:val="008B07E9"/>
    <w:rsid w:val="008B19BD"/>
    <w:rsid w:val="008B4407"/>
    <w:rsid w:val="008B544A"/>
    <w:rsid w:val="008B6773"/>
    <w:rsid w:val="008B77EB"/>
    <w:rsid w:val="008C15AF"/>
    <w:rsid w:val="008C74FA"/>
    <w:rsid w:val="008D5C30"/>
    <w:rsid w:val="008D7D82"/>
    <w:rsid w:val="008E02B7"/>
    <w:rsid w:val="008E0DC5"/>
    <w:rsid w:val="008E24F7"/>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05FF"/>
    <w:rsid w:val="00922194"/>
    <w:rsid w:val="00923FC3"/>
    <w:rsid w:val="009263CA"/>
    <w:rsid w:val="00926737"/>
    <w:rsid w:val="009278CB"/>
    <w:rsid w:val="00930078"/>
    <w:rsid w:val="0093392C"/>
    <w:rsid w:val="00935F8E"/>
    <w:rsid w:val="00940BCB"/>
    <w:rsid w:val="00941FC7"/>
    <w:rsid w:val="00942E2B"/>
    <w:rsid w:val="0094308D"/>
    <w:rsid w:val="00943FAE"/>
    <w:rsid w:val="00945D12"/>
    <w:rsid w:val="00952B4D"/>
    <w:rsid w:val="009531A0"/>
    <w:rsid w:val="009533B4"/>
    <w:rsid w:val="00953F37"/>
    <w:rsid w:val="009541DC"/>
    <w:rsid w:val="00955047"/>
    <w:rsid w:val="00957CB2"/>
    <w:rsid w:val="0096155D"/>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674A"/>
    <w:rsid w:val="00996EE4"/>
    <w:rsid w:val="009973C3"/>
    <w:rsid w:val="009A03DB"/>
    <w:rsid w:val="009A1DDC"/>
    <w:rsid w:val="009A6570"/>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673B"/>
    <w:rsid w:val="00A02887"/>
    <w:rsid w:val="00A02E57"/>
    <w:rsid w:val="00A03BA7"/>
    <w:rsid w:val="00A057C4"/>
    <w:rsid w:val="00A05A4D"/>
    <w:rsid w:val="00A05AB4"/>
    <w:rsid w:val="00A070D7"/>
    <w:rsid w:val="00A126FC"/>
    <w:rsid w:val="00A12E09"/>
    <w:rsid w:val="00A14C22"/>
    <w:rsid w:val="00A25EB2"/>
    <w:rsid w:val="00A265E3"/>
    <w:rsid w:val="00A26DA5"/>
    <w:rsid w:val="00A30AC2"/>
    <w:rsid w:val="00A403AD"/>
    <w:rsid w:val="00A40E60"/>
    <w:rsid w:val="00A45588"/>
    <w:rsid w:val="00A4607A"/>
    <w:rsid w:val="00A529FA"/>
    <w:rsid w:val="00A52B09"/>
    <w:rsid w:val="00A52E04"/>
    <w:rsid w:val="00A54730"/>
    <w:rsid w:val="00A54BD1"/>
    <w:rsid w:val="00A56096"/>
    <w:rsid w:val="00A56440"/>
    <w:rsid w:val="00A62E0B"/>
    <w:rsid w:val="00A63491"/>
    <w:rsid w:val="00A6553E"/>
    <w:rsid w:val="00A7029E"/>
    <w:rsid w:val="00A7062A"/>
    <w:rsid w:val="00A7097D"/>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AF36D9"/>
    <w:rsid w:val="00B00B27"/>
    <w:rsid w:val="00B012D9"/>
    <w:rsid w:val="00B0184D"/>
    <w:rsid w:val="00B02B0A"/>
    <w:rsid w:val="00B046E5"/>
    <w:rsid w:val="00B046EA"/>
    <w:rsid w:val="00B04D6D"/>
    <w:rsid w:val="00B14DDB"/>
    <w:rsid w:val="00B14E7A"/>
    <w:rsid w:val="00B154B8"/>
    <w:rsid w:val="00B15880"/>
    <w:rsid w:val="00B17054"/>
    <w:rsid w:val="00B201CC"/>
    <w:rsid w:val="00B2296C"/>
    <w:rsid w:val="00B24A6D"/>
    <w:rsid w:val="00B25DE6"/>
    <w:rsid w:val="00B26B8D"/>
    <w:rsid w:val="00B302AD"/>
    <w:rsid w:val="00B308C0"/>
    <w:rsid w:val="00B344A6"/>
    <w:rsid w:val="00B35F7A"/>
    <w:rsid w:val="00B36DD4"/>
    <w:rsid w:val="00B40033"/>
    <w:rsid w:val="00B44A64"/>
    <w:rsid w:val="00B45A77"/>
    <w:rsid w:val="00B461D5"/>
    <w:rsid w:val="00B53C2C"/>
    <w:rsid w:val="00B5440A"/>
    <w:rsid w:val="00B6146B"/>
    <w:rsid w:val="00B639E3"/>
    <w:rsid w:val="00B64733"/>
    <w:rsid w:val="00B64CA2"/>
    <w:rsid w:val="00B64DE3"/>
    <w:rsid w:val="00B75F3E"/>
    <w:rsid w:val="00B777B1"/>
    <w:rsid w:val="00B820A7"/>
    <w:rsid w:val="00B84521"/>
    <w:rsid w:val="00B848E4"/>
    <w:rsid w:val="00B87A2E"/>
    <w:rsid w:val="00B905CA"/>
    <w:rsid w:val="00B91A3E"/>
    <w:rsid w:val="00B91EC7"/>
    <w:rsid w:val="00B961F7"/>
    <w:rsid w:val="00BA0180"/>
    <w:rsid w:val="00BA1457"/>
    <w:rsid w:val="00BA3009"/>
    <w:rsid w:val="00BA3846"/>
    <w:rsid w:val="00BA5602"/>
    <w:rsid w:val="00BA6559"/>
    <w:rsid w:val="00BB080A"/>
    <w:rsid w:val="00BB37B9"/>
    <w:rsid w:val="00BB3B6E"/>
    <w:rsid w:val="00BB3C67"/>
    <w:rsid w:val="00BB3D08"/>
    <w:rsid w:val="00BB66E8"/>
    <w:rsid w:val="00BB7EC3"/>
    <w:rsid w:val="00BC07E0"/>
    <w:rsid w:val="00BC135C"/>
    <w:rsid w:val="00BC1D30"/>
    <w:rsid w:val="00BC5A68"/>
    <w:rsid w:val="00BC7AE6"/>
    <w:rsid w:val="00BD1F89"/>
    <w:rsid w:val="00BE0ED3"/>
    <w:rsid w:val="00BE1951"/>
    <w:rsid w:val="00BE2960"/>
    <w:rsid w:val="00BE2EC4"/>
    <w:rsid w:val="00BE4A26"/>
    <w:rsid w:val="00BE76AB"/>
    <w:rsid w:val="00C01CF5"/>
    <w:rsid w:val="00C021AC"/>
    <w:rsid w:val="00C0560F"/>
    <w:rsid w:val="00C073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1DE8"/>
    <w:rsid w:val="00C55047"/>
    <w:rsid w:val="00C571DF"/>
    <w:rsid w:val="00C57455"/>
    <w:rsid w:val="00C57ED9"/>
    <w:rsid w:val="00C6051B"/>
    <w:rsid w:val="00C61B6B"/>
    <w:rsid w:val="00C62EFC"/>
    <w:rsid w:val="00C6503F"/>
    <w:rsid w:val="00C662E9"/>
    <w:rsid w:val="00C67243"/>
    <w:rsid w:val="00C67E4A"/>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EBC"/>
    <w:rsid w:val="00CA69F1"/>
    <w:rsid w:val="00CA7799"/>
    <w:rsid w:val="00CB0125"/>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F2D0C"/>
    <w:rsid w:val="00D02605"/>
    <w:rsid w:val="00D039D9"/>
    <w:rsid w:val="00D06E64"/>
    <w:rsid w:val="00D078CC"/>
    <w:rsid w:val="00D110FE"/>
    <w:rsid w:val="00D12711"/>
    <w:rsid w:val="00D1662F"/>
    <w:rsid w:val="00D204B7"/>
    <w:rsid w:val="00D2050E"/>
    <w:rsid w:val="00D21EBF"/>
    <w:rsid w:val="00D32A15"/>
    <w:rsid w:val="00D36C3E"/>
    <w:rsid w:val="00D42366"/>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1B40"/>
    <w:rsid w:val="00D86D5E"/>
    <w:rsid w:val="00D90453"/>
    <w:rsid w:val="00D91F62"/>
    <w:rsid w:val="00D922B1"/>
    <w:rsid w:val="00D923CC"/>
    <w:rsid w:val="00DA1523"/>
    <w:rsid w:val="00DA5F08"/>
    <w:rsid w:val="00DB22A5"/>
    <w:rsid w:val="00DB7370"/>
    <w:rsid w:val="00DC139D"/>
    <w:rsid w:val="00DC2C8A"/>
    <w:rsid w:val="00DC2FF8"/>
    <w:rsid w:val="00DC4666"/>
    <w:rsid w:val="00DC4D2A"/>
    <w:rsid w:val="00DC571F"/>
    <w:rsid w:val="00DC71F3"/>
    <w:rsid w:val="00DD3F5E"/>
    <w:rsid w:val="00DD4A7E"/>
    <w:rsid w:val="00DD55DA"/>
    <w:rsid w:val="00DD5ADB"/>
    <w:rsid w:val="00DE0399"/>
    <w:rsid w:val="00DE271E"/>
    <w:rsid w:val="00DE569D"/>
    <w:rsid w:val="00DE6571"/>
    <w:rsid w:val="00DE7784"/>
    <w:rsid w:val="00DF0410"/>
    <w:rsid w:val="00DF39D8"/>
    <w:rsid w:val="00DF419A"/>
    <w:rsid w:val="00DF70D6"/>
    <w:rsid w:val="00DF7F7A"/>
    <w:rsid w:val="00E01FDA"/>
    <w:rsid w:val="00E03C5A"/>
    <w:rsid w:val="00E04B7F"/>
    <w:rsid w:val="00E0531A"/>
    <w:rsid w:val="00E10342"/>
    <w:rsid w:val="00E117F3"/>
    <w:rsid w:val="00E13E5B"/>
    <w:rsid w:val="00E14229"/>
    <w:rsid w:val="00E154A0"/>
    <w:rsid w:val="00E15729"/>
    <w:rsid w:val="00E179CF"/>
    <w:rsid w:val="00E202A8"/>
    <w:rsid w:val="00E229C2"/>
    <w:rsid w:val="00E232D1"/>
    <w:rsid w:val="00E2459C"/>
    <w:rsid w:val="00E24C1A"/>
    <w:rsid w:val="00E255B3"/>
    <w:rsid w:val="00E26643"/>
    <w:rsid w:val="00E32C35"/>
    <w:rsid w:val="00E369CE"/>
    <w:rsid w:val="00E417D3"/>
    <w:rsid w:val="00E41948"/>
    <w:rsid w:val="00E421C6"/>
    <w:rsid w:val="00E45331"/>
    <w:rsid w:val="00E45A2F"/>
    <w:rsid w:val="00E46978"/>
    <w:rsid w:val="00E46DA5"/>
    <w:rsid w:val="00E50A52"/>
    <w:rsid w:val="00E50CAC"/>
    <w:rsid w:val="00E564DA"/>
    <w:rsid w:val="00E574F6"/>
    <w:rsid w:val="00E608F3"/>
    <w:rsid w:val="00E60D6A"/>
    <w:rsid w:val="00E60FEA"/>
    <w:rsid w:val="00E63E82"/>
    <w:rsid w:val="00E65FAA"/>
    <w:rsid w:val="00E665DE"/>
    <w:rsid w:val="00E673A2"/>
    <w:rsid w:val="00E67743"/>
    <w:rsid w:val="00E75460"/>
    <w:rsid w:val="00E7594A"/>
    <w:rsid w:val="00E777DA"/>
    <w:rsid w:val="00E7794D"/>
    <w:rsid w:val="00E77BC6"/>
    <w:rsid w:val="00E77DE7"/>
    <w:rsid w:val="00E83E68"/>
    <w:rsid w:val="00E84A3B"/>
    <w:rsid w:val="00E903F8"/>
    <w:rsid w:val="00E913BA"/>
    <w:rsid w:val="00E94F30"/>
    <w:rsid w:val="00E95B86"/>
    <w:rsid w:val="00E95F76"/>
    <w:rsid w:val="00EA4749"/>
    <w:rsid w:val="00EA56D7"/>
    <w:rsid w:val="00EA7FE0"/>
    <w:rsid w:val="00EB362B"/>
    <w:rsid w:val="00EB56CD"/>
    <w:rsid w:val="00EC22AC"/>
    <w:rsid w:val="00EC2B26"/>
    <w:rsid w:val="00EC2ED2"/>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55EB"/>
    <w:rsid w:val="00F3686B"/>
    <w:rsid w:val="00F36D40"/>
    <w:rsid w:val="00F37E9A"/>
    <w:rsid w:val="00F40E3D"/>
    <w:rsid w:val="00F4275D"/>
    <w:rsid w:val="00F450E2"/>
    <w:rsid w:val="00F459B3"/>
    <w:rsid w:val="00F469C0"/>
    <w:rsid w:val="00F51365"/>
    <w:rsid w:val="00F54707"/>
    <w:rsid w:val="00F54E57"/>
    <w:rsid w:val="00F57317"/>
    <w:rsid w:val="00F615EE"/>
    <w:rsid w:val="00F625D4"/>
    <w:rsid w:val="00F62B21"/>
    <w:rsid w:val="00F62C19"/>
    <w:rsid w:val="00F6596B"/>
    <w:rsid w:val="00F65E15"/>
    <w:rsid w:val="00F66F5F"/>
    <w:rsid w:val="00F7261E"/>
    <w:rsid w:val="00F74E91"/>
    <w:rsid w:val="00F76CC9"/>
    <w:rsid w:val="00F77F91"/>
    <w:rsid w:val="00F80390"/>
    <w:rsid w:val="00F82600"/>
    <w:rsid w:val="00F8262B"/>
    <w:rsid w:val="00F83DB4"/>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44DD"/>
    <w:rsid w:val="00FB4EDC"/>
    <w:rsid w:val="00FC2702"/>
    <w:rsid w:val="00FC2A2B"/>
    <w:rsid w:val="00FC2BEC"/>
    <w:rsid w:val="00FC58B3"/>
    <w:rsid w:val="00FC65BB"/>
    <w:rsid w:val="00FD08CC"/>
    <w:rsid w:val="00FD12DC"/>
    <w:rsid w:val="00FD65AE"/>
    <w:rsid w:val="00FE0520"/>
    <w:rsid w:val="00FE33E1"/>
    <w:rsid w:val="00FE6ADA"/>
    <w:rsid w:val="00FF0D75"/>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rsid w:val="008F4611"/>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paragraph" w:styleId="Revision">
    <w:name w:val="Revision"/>
    <w:hidden/>
    <w:uiPriority w:val="99"/>
    <w:semiHidden/>
    <w:rsid w:val="00141A44"/>
    <w:rPr>
      <w:snapToGrid w:val="0"/>
      <w:sz w:val="24"/>
      <w:szCs w:val="24"/>
      <w:lang w:val="en-GB"/>
    </w:rPr>
  </w:style>
  <w:style w:type="character" w:styleId="UnresolvedMention">
    <w:name w:val="Unresolved Mention"/>
    <w:basedOn w:val="DefaultParagraphFont"/>
    <w:uiPriority w:val="99"/>
    <w:semiHidden/>
    <w:unhideWhenUsed/>
    <w:rsid w:val="00730172"/>
    <w:rPr>
      <w:color w:val="605E5C"/>
      <w:shd w:val="clear" w:color="auto" w:fill="E1DFDD"/>
    </w:rPr>
  </w:style>
  <w:style w:type="character" w:customStyle="1" w:styleId="apple-converted-space">
    <w:name w:val="apple-converted-space"/>
    <w:basedOn w:val="DefaultParagraphFon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news/barcelona-statement-identifies-the-priority-areas-of-action-for-the-ocean-decade-in-coming-year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88790_eng.local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fccc.int/topics/global-stocktake/about-the-global-stocktake/frequently-asked-questions-about-the-global-stocktake" TargetMode="Externa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2989</Words>
  <Characters>16273</Characters>
  <Application>Microsoft Office Word</Application>
  <DocSecurity>4</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Executive Secretary on the work accomplished _x000d_
since the thirty-second session of the Assembly (June 2023–May 2024)</vt:lpstr>
      <vt:lpstr>Revised provisional agenda of the forty-seventh session of the Executive Council of the Intergovernmental Oceanographic Commission</vt:lpstr>
    </vt:vector>
  </TitlesOfParts>
  <Company>UNESCO</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Secretario Ejecutivo sobre la labor realizada desde la 32ª reunión de la asamblea (junio de 2023-mayo de 2024)</dc:title>
  <dc:subject>IOC/EC-57/3.1.Doc(1)</dc:subject>
  <dc:creator>UNESCO</dc:creator>
  <cp:keywords>1210.14E</cp:keywords>
  <dc:description/>
  <cp:lastModifiedBy>Boned, Patrice</cp:lastModifiedBy>
  <cp:revision>2</cp:revision>
  <cp:lastPrinted>2020-03-09T11:40:00Z</cp:lastPrinted>
  <dcterms:created xsi:type="dcterms:W3CDTF">2024-05-14T08:31:00Z</dcterms:created>
  <dcterms:modified xsi:type="dcterms:W3CDTF">2024-05-14T08:31:00Z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DCPMS">
    <vt:lpwstr>202402761</vt:lpwstr>
  </property>
  <property fmtid="{D5CDD505-2E9C-101B-9397-08002B2CF9AE}" pid="4" name="TranslatedWith">
    <vt:lpwstr>Mercury</vt:lpwstr>
  </property>
  <property fmtid="{D5CDD505-2E9C-101B-9397-08002B2CF9AE}" pid="5" name="GeneratedBy">
    <vt:lpwstr>pilar.valledor</vt:lpwstr>
  </property>
  <property fmtid="{D5CDD505-2E9C-101B-9397-08002B2CF9AE}" pid="6" name="GeneratedDate">
    <vt:lpwstr>05/07/2024 11:35:55</vt:lpwstr>
  </property>
  <property fmtid="{D5CDD505-2E9C-101B-9397-08002B2CF9AE}" pid="7" name="OriginalDocID">
    <vt:lpwstr>5d684f69-d5fa-4bd6-89ce-9d7907ff8f98</vt:lpwstr>
  </property>
</Properties>
</file>