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text2"/>
  <w:body>
    <w:p w14:paraId="25596D60" w14:textId="75D81D45" w:rsidR="00C62459" w:rsidRPr="00C66383" w:rsidRDefault="00C62459" w:rsidP="00822927">
      <w:pPr>
        <w:rPr>
          <w:color w:val="FFFFFF" w:themeColor="text2"/>
        </w:rPr>
      </w:pPr>
      <w:bookmarkStart w:id="0" w:name="_Toc104978193"/>
    </w:p>
    <w:p w14:paraId="29A4CAAA" w14:textId="5A2B546F" w:rsidR="00C62459" w:rsidRPr="00C66383" w:rsidRDefault="00C62459" w:rsidP="00B65220">
      <w:pPr>
        <w:jc w:val="center"/>
        <w:rPr>
          <w:color w:val="FFFFFF" w:themeColor="text2"/>
        </w:rPr>
      </w:pPr>
    </w:p>
    <w:p w14:paraId="37515E00" w14:textId="4DC1932C" w:rsidR="00C62459" w:rsidRPr="00C66383" w:rsidRDefault="00C62459" w:rsidP="00822927">
      <w:pPr>
        <w:rPr>
          <w:color w:val="FFFFFF" w:themeColor="text2"/>
        </w:rPr>
      </w:pPr>
    </w:p>
    <w:p w14:paraId="152A44FC" w14:textId="0FCBD6DC" w:rsidR="00433CC8" w:rsidRPr="00C66383" w:rsidRDefault="00433CC8" w:rsidP="00822927">
      <w:pPr>
        <w:rPr>
          <w:color w:val="FFFFFF" w:themeColor="text2"/>
        </w:rPr>
      </w:pPr>
    </w:p>
    <w:p w14:paraId="4755A28F" w14:textId="77777777" w:rsidR="00746EFE" w:rsidRPr="00C66383" w:rsidRDefault="00746EFE" w:rsidP="00F10D05">
      <w:pPr>
        <w:rPr>
          <w:color w:val="FFFFFF" w:themeColor="text2"/>
        </w:rPr>
      </w:pPr>
    </w:p>
    <w:p w14:paraId="250D9EEC" w14:textId="77777777" w:rsidR="00746EFE" w:rsidRPr="00C66383" w:rsidRDefault="00746EFE" w:rsidP="00F10D05">
      <w:pPr>
        <w:rPr>
          <w:color w:val="FFFFFF" w:themeColor="text2"/>
        </w:rPr>
      </w:pPr>
    </w:p>
    <w:p w14:paraId="46C3D379" w14:textId="77777777" w:rsidR="007E52C9" w:rsidRDefault="007E52C9" w:rsidP="00482BB1">
      <w:pPr>
        <w:pStyle w:val="Title"/>
        <w:rPr>
          <w:color w:val="FFFFFF" w:themeColor="text2"/>
        </w:rPr>
      </w:pPr>
    </w:p>
    <w:p w14:paraId="6AF71466" w14:textId="77777777" w:rsidR="00B37D12" w:rsidRDefault="00B37D12" w:rsidP="00482BB1">
      <w:pPr>
        <w:pStyle w:val="Title"/>
        <w:rPr>
          <w:color w:val="FFFFFF" w:themeColor="text2"/>
        </w:rPr>
        <w:sectPr w:rsidR="00B37D12" w:rsidSect="0068536B">
          <w:headerReference w:type="even" r:id="rId11"/>
          <w:headerReference w:type="default" r:id="rId12"/>
          <w:footerReference w:type="even" r:id="rId13"/>
          <w:footerReference w:type="default" r:id="rId14"/>
          <w:headerReference w:type="first" r:id="rId15"/>
          <w:footerReference w:type="first" r:id="rId16"/>
          <w:pgSz w:w="11906" w:h="16838"/>
          <w:pgMar w:top="1902" w:right="1440" w:bottom="1440" w:left="1440" w:header="823" w:footer="498" w:gutter="0"/>
          <w:cols w:num="2" w:space="708"/>
          <w:titlePg/>
          <w:docGrid w:linePitch="360"/>
        </w:sectPr>
      </w:pPr>
    </w:p>
    <w:p w14:paraId="23D67150" w14:textId="77777777" w:rsidR="00B37D12" w:rsidRDefault="00746EFE" w:rsidP="00482BB1">
      <w:pPr>
        <w:pStyle w:val="Title"/>
        <w:rPr>
          <w:color w:val="FFFFFF" w:themeColor="text2"/>
        </w:rPr>
        <w:sectPr w:rsidR="00B37D12" w:rsidSect="0068536B">
          <w:type w:val="continuous"/>
          <w:pgSz w:w="11906" w:h="16838"/>
          <w:pgMar w:top="1902" w:right="1440" w:bottom="1440" w:left="1440" w:header="823" w:footer="498" w:gutter="0"/>
          <w:cols w:space="708"/>
          <w:titlePg/>
          <w:docGrid w:linePitch="360"/>
        </w:sectPr>
      </w:pPr>
      <w:r w:rsidRPr="00746EFE">
        <w:rPr>
          <w:noProof/>
          <w:color w:val="FFFFFF" w:themeColor="text2"/>
          <w:sz w:val="22"/>
          <w:szCs w:val="28"/>
        </w:rPr>
        <w:drawing>
          <wp:anchor distT="0" distB="0" distL="114300" distR="114300" simplePos="0" relativeHeight="251658240" behindDoc="1" locked="0" layoutInCell="1" allowOverlap="1" wp14:anchorId="62FCEE0F" wp14:editId="7AB1F6B7">
            <wp:simplePos x="0" y="0"/>
            <wp:positionH relativeFrom="column">
              <wp:posOffset>1206567</wp:posOffset>
            </wp:positionH>
            <wp:positionV relativeFrom="paragraph">
              <wp:posOffset>1807737</wp:posOffset>
            </wp:positionV>
            <wp:extent cx="8132323" cy="8132323"/>
            <wp:effectExtent l="0" t="0" r="0" b="0"/>
            <wp:wrapNone/>
            <wp:docPr id="786646570" name="Picture 78664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6570" name="Graphic 786646570"/>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8132323" cy="8132323"/>
                    </a:xfrm>
                    <a:prstGeom prst="rect">
                      <a:avLst/>
                    </a:prstGeom>
                  </pic:spPr>
                </pic:pic>
              </a:graphicData>
            </a:graphic>
            <wp14:sizeRelH relativeFrom="page">
              <wp14:pctWidth>0</wp14:pctWidth>
            </wp14:sizeRelH>
            <wp14:sizeRelV relativeFrom="page">
              <wp14:pctHeight>0</wp14:pctHeight>
            </wp14:sizeRelV>
          </wp:anchor>
        </w:drawing>
      </w:r>
      <w:r w:rsidR="004A4DA6" w:rsidRPr="004A4DA6">
        <w:rPr>
          <w:color w:val="FFFFFF" w:themeColor="text2"/>
        </w:rPr>
        <w:t xml:space="preserve">Survey </w:t>
      </w:r>
      <w:r w:rsidR="004A4DA6">
        <w:rPr>
          <w:color w:val="FFFFFF" w:themeColor="text2"/>
        </w:rPr>
        <w:t xml:space="preserve">and interviews </w:t>
      </w:r>
      <w:r w:rsidR="004A4DA6" w:rsidRPr="004A4DA6">
        <w:rPr>
          <w:color w:val="FFFFFF" w:themeColor="text2"/>
        </w:rPr>
        <w:t>to inform initiatives on sustainable ocean planning and management</w:t>
      </w:r>
      <w:r w:rsidR="000F188F">
        <w:rPr>
          <w:color w:val="FFFFFF" w:themeColor="text2"/>
        </w:rPr>
        <w:t xml:space="preserve">: </w:t>
      </w:r>
      <w:r w:rsidR="007447F0">
        <w:rPr>
          <w:color w:val="FFFFFF" w:themeColor="text2"/>
        </w:rPr>
        <w:t>Ocean Decade r</w:t>
      </w:r>
      <w:r w:rsidR="000F188F">
        <w:rPr>
          <w:color w:val="FFFFFF" w:themeColor="text2"/>
        </w:rPr>
        <w:t>esults brief</w:t>
      </w:r>
    </w:p>
    <w:p w14:paraId="60C0DA5E" w14:textId="5A1E0D94" w:rsidR="00433CC8" w:rsidRDefault="00433CC8" w:rsidP="00482BB1">
      <w:pPr>
        <w:pStyle w:val="Title"/>
        <w:rPr>
          <w:color w:val="3A4149" w:themeColor="accent1" w:themeShade="BF"/>
          <w:sz w:val="40"/>
          <w:szCs w:val="32"/>
        </w:rPr>
      </w:pPr>
      <w:r>
        <w:br w:type="page"/>
      </w:r>
    </w:p>
    <w:p w14:paraId="6C41C298" w14:textId="77777777" w:rsidR="00A2579B" w:rsidRDefault="00A2579B" w:rsidP="004F3749">
      <w:pPr>
        <w:pStyle w:val="Heading1"/>
      </w:pPr>
      <w:bookmarkStart w:id="2" w:name="_Toc155847178"/>
      <w:r>
        <w:lastRenderedPageBreak/>
        <w:t>Background</w:t>
      </w:r>
      <w:bookmarkEnd w:id="2"/>
    </w:p>
    <w:p w14:paraId="42FF5986" w14:textId="459D47B6" w:rsidR="003A5309" w:rsidRPr="003A5309" w:rsidRDefault="00527AAB" w:rsidP="003A5309">
      <w:pPr>
        <w:rPr>
          <w:lang w:val="en-AU"/>
        </w:rPr>
      </w:pPr>
      <w:r w:rsidRPr="00B0712C">
        <w:rPr>
          <w:lang w:val="en-AU"/>
        </w:rPr>
        <w:t xml:space="preserve">The Intergovernmental Oceanographic Commission of UNESCO (IOC-UNESCO) has initiated a multifaceted approach to stakeholder engagement to </w:t>
      </w:r>
      <w:r w:rsidRPr="007520D7">
        <w:rPr>
          <w:lang w:val="en-AU"/>
        </w:rPr>
        <w:t xml:space="preserve">address the critical global challenge of sustainable ocean management. </w:t>
      </w:r>
      <w:r w:rsidR="005352CD">
        <w:t>T</w:t>
      </w:r>
      <w:r w:rsidRPr="00B0712C">
        <w:t>o uncover the nuanced perspectives and experiences that shape ocean planning and management across diverse regions and contexts</w:t>
      </w:r>
      <w:r w:rsidR="00EB37EC">
        <w:t>,</w:t>
      </w:r>
      <w:r w:rsidR="005352CD">
        <w:t xml:space="preserve"> an </w:t>
      </w:r>
      <w:r w:rsidR="005352CD">
        <w:rPr>
          <w:lang w:val="en-AU"/>
        </w:rPr>
        <w:t>o</w:t>
      </w:r>
      <w:r>
        <w:rPr>
          <w:lang w:val="en-AU"/>
        </w:rPr>
        <w:t xml:space="preserve">nline </w:t>
      </w:r>
      <w:proofErr w:type="gramStart"/>
      <w:r>
        <w:rPr>
          <w:lang w:val="en-AU"/>
        </w:rPr>
        <w:t>survey</w:t>
      </w:r>
      <w:proofErr w:type="gramEnd"/>
      <w:r>
        <w:rPr>
          <w:lang w:val="en-AU"/>
        </w:rPr>
        <w:t xml:space="preserve"> and </w:t>
      </w:r>
      <w:r w:rsidR="005352CD">
        <w:rPr>
          <w:lang w:val="en-AU"/>
        </w:rPr>
        <w:t>i</w:t>
      </w:r>
      <w:r>
        <w:rPr>
          <w:lang w:val="en-AU"/>
        </w:rPr>
        <w:t>ndividual interviews</w:t>
      </w:r>
      <w:r w:rsidR="001D74C4">
        <w:rPr>
          <w:lang w:val="en-AU"/>
        </w:rPr>
        <w:t xml:space="preserve"> were</w:t>
      </w:r>
      <w:r w:rsidR="00D22674">
        <w:rPr>
          <w:lang w:val="en-AU"/>
        </w:rPr>
        <w:t>0</w:t>
      </w:r>
      <w:r w:rsidR="001D74C4">
        <w:rPr>
          <w:lang w:val="en-AU"/>
        </w:rPr>
        <w:t xml:space="preserve"> conducted</w:t>
      </w:r>
      <w:r>
        <w:rPr>
          <w:lang w:val="en-AU"/>
        </w:rPr>
        <w:t xml:space="preserve">. </w:t>
      </w:r>
      <w:r w:rsidR="00081DA5">
        <w:rPr>
          <w:lang w:val="en-AU"/>
        </w:rPr>
        <w:t>This short brief provides a summary of some of the key results from the survey and interviews.</w:t>
      </w:r>
      <w:r w:rsidR="001D74C4">
        <w:rPr>
          <w:lang w:val="en-AU"/>
        </w:rPr>
        <w:t xml:space="preserve"> </w:t>
      </w:r>
      <w:r w:rsidR="00147B01">
        <w:rPr>
          <w:lang w:val="en-AU"/>
        </w:rPr>
        <w:t>From the analysis, there were a number of issues</w:t>
      </w:r>
      <w:r w:rsidR="007F44DE">
        <w:rPr>
          <w:lang w:val="en-AU"/>
        </w:rPr>
        <w:t xml:space="preserve"> that respondents felt could be usefully tackled under </w:t>
      </w:r>
      <w:proofErr w:type="spellStart"/>
      <w:proofErr w:type="gramStart"/>
      <w:r w:rsidR="007F44DE">
        <w:rPr>
          <w:lang w:val="en-AU"/>
        </w:rPr>
        <w:t>a</w:t>
      </w:r>
      <w:proofErr w:type="spellEnd"/>
      <w:proofErr w:type="gramEnd"/>
      <w:r w:rsidR="007F44DE">
        <w:rPr>
          <w:lang w:val="en-AU"/>
        </w:rPr>
        <w:t xml:space="preserve"> Ocean Decade Programme, in brief, some of the highlighted areas were:</w:t>
      </w:r>
    </w:p>
    <w:p w14:paraId="103F0339" w14:textId="22F467C0" w:rsidR="003A5309" w:rsidRPr="007F44DE" w:rsidRDefault="003A5309">
      <w:pPr>
        <w:pStyle w:val="ListParagraph"/>
        <w:numPr>
          <w:ilvl w:val="0"/>
          <w:numId w:val="13"/>
        </w:numPr>
        <w:ind w:left="284" w:hanging="284"/>
        <w:rPr>
          <w:lang w:val="en-AU"/>
        </w:rPr>
      </w:pPr>
      <w:r w:rsidRPr="007F44DE">
        <w:rPr>
          <w:lang w:val="en-AU"/>
        </w:rPr>
        <w:t xml:space="preserve">Data accessibility and </w:t>
      </w:r>
      <w:r w:rsidR="00AE70C8" w:rsidRPr="007F44DE">
        <w:rPr>
          <w:lang w:val="en-AU"/>
        </w:rPr>
        <w:t>integration</w:t>
      </w:r>
      <w:r w:rsidR="001833C3" w:rsidRPr="00B37D12">
        <w:rPr>
          <w:lang w:val="en-AU"/>
        </w:rPr>
        <w:t xml:space="preserve"> into national </w:t>
      </w:r>
      <w:proofErr w:type="gramStart"/>
      <w:r w:rsidR="001833C3" w:rsidRPr="00B37D12">
        <w:rPr>
          <w:lang w:val="en-AU"/>
        </w:rPr>
        <w:t>decision making</w:t>
      </w:r>
      <w:proofErr w:type="gramEnd"/>
      <w:r w:rsidR="001833C3" w:rsidRPr="00B37D12">
        <w:rPr>
          <w:lang w:val="en-AU"/>
        </w:rPr>
        <w:t xml:space="preserve"> processes</w:t>
      </w:r>
      <w:r w:rsidRPr="007F44DE">
        <w:rPr>
          <w:lang w:val="en-AU"/>
        </w:rPr>
        <w:t>.</w:t>
      </w:r>
    </w:p>
    <w:p w14:paraId="24AEF208" w14:textId="5C3A54AC" w:rsidR="003A5309" w:rsidRPr="007F44DE" w:rsidRDefault="003A5309">
      <w:pPr>
        <w:pStyle w:val="ListParagraph"/>
        <w:numPr>
          <w:ilvl w:val="0"/>
          <w:numId w:val="13"/>
        </w:numPr>
        <w:ind w:left="284" w:hanging="284"/>
        <w:rPr>
          <w:lang w:val="en-AU"/>
        </w:rPr>
      </w:pPr>
      <w:r w:rsidRPr="007F44DE">
        <w:rPr>
          <w:lang w:val="en-AU"/>
        </w:rPr>
        <w:t>Integration of indigenous and local knowledge</w:t>
      </w:r>
      <w:r w:rsidR="001833C3" w:rsidRPr="00B37D12">
        <w:rPr>
          <w:lang w:val="en-AU"/>
        </w:rPr>
        <w:t xml:space="preserve"> and ability to </w:t>
      </w:r>
      <w:r w:rsidR="00AE70C8" w:rsidRPr="00B37D12">
        <w:rPr>
          <w:lang w:val="en-AU"/>
        </w:rPr>
        <w:t>appropriately</w:t>
      </w:r>
      <w:r w:rsidR="001833C3" w:rsidRPr="00B37D12">
        <w:rPr>
          <w:lang w:val="en-AU"/>
        </w:rPr>
        <w:t xml:space="preserve"> hand</w:t>
      </w:r>
      <w:r w:rsidR="007F44DE" w:rsidRPr="00B37D12">
        <w:rPr>
          <w:lang w:val="en-AU"/>
        </w:rPr>
        <w:t>le</w:t>
      </w:r>
      <w:r w:rsidR="001833C3" w:rsidRPr="00B37D12">
        <w:rPr>
          <w:lang w:val="en-AU"/>
        </w:rPr>
        <w:t xml:space="preserve"> </w:t>
      </w:r>
      <w:r w:rsidR="007F44DE" w:rsidRPr="00B37D12">
        <w:rPr>
          <w:lang w:val="en-AU"/>
        </w:rPr>
        <w:t>these</w:t>
      </w:r>
      <w:r w:rsidR="001833C3" w:rsidRPr="00B37D12">
        <w:rPr>
          <w:lang w:val="en-AU"/>
        </w:rPr>
        <w:t xml:space="preserve"> data</w:t>
      </w:r>
      <w:r w:rsidR="00CD5272">
        <w:rPr>
          <w:lang w:val="en-AU"/>
        </w:rPr>
        <w:t xml:space="preserve"> for ocean planning</w:t>
      </w:r>
      <w:r w:rsidR="001D74C4" w:rsidRPr="007F44DE">
        <w:rPr>
          <w:lang w:val="en-AU"/>
        </w:rPr>
        <w:t>.</w:t>
      </w:r>
    </w:p>
    <w:p w14:paraId="3F4798DD" w14:textId="512385A1" w:rsidR="001D74C4" w:rsidRPr="00B37D12" w:rsidRDefault="001D74C4">
      <w:pPr>
        <w:pStyle w:val="ListParagraph"/>
        <w:numPr>
          <w:ilvl w:val="0"/>
          <w:numId w:val="13"/>
        </w:numPr>
        <w:ind w:left="284" w:hanging="284"/>
        <w:rPr>
          <w:lang w:val="en-AU"/>
        </w:rPr>
      </w:pPr>
      <w:r w:rsidRPr="007F44DE">
        <w:rPr>
          <w:lang w:val="en-AU"/>
        </w:rPr>
        <w:t xml:space="preserve">Transboundary </w:t>
      </w:r>
      <w:r w:rsidR="007F44DE" w:rsidRPr="00B37D12">
        <w:rPr>
          <w:lang w:val="en-AU"/>
        </w:rPr>
        <w:t>issues</w:t>
      </w:r>
      <w:r w:rsidR="007F44DE">
        <w:rPr>
          <w:lang w:val="en-AU"/>
        </w:rPr>
        <w:t xml:space="preserve">, </w:t>
      </w:r>
      <w:proofErr w:type="gramStart"/>
      <w:r w:rsidRPr="007F44DE">
        <w:rPr>
          <w:lang w:val="en-AU"/>
        </w:rPr>
        <w:t>approaches</w:t>
      </w:r>
      <w:proofErr w:type="gramEnd"/>
      <w:r w:rsidR="007F44DE">
        <w:rPr>
          <w:lang w:val="en-AU"/>
        </w:rPr>
        <w:t xml:space="preserve"> and solutions</w:t>
      </w:r>
      <w:r w:rsidRPr="007F44DE">
        <w:rPr>
          <w:lang w:val="en-AU"/>
        </w:rPr>
        <w:t>.</w:t>
      </w:r>
    </w:p>
    <w:p w14:paraId="07DF78F6" w14:textId="282BC778" w:rsidR="001833C3" w:rsidRPr="00B37D12" w:rsidRDefault="001833C3">
      <w:pPr>
        <w:pStyle w:val="ListParagraph"/>
        <w:numPr>
          <w:ilvl w:val="0"/>
          <w:numId w:val="13"/>
        </w:numPr>
        <w:ind w:left="284" w:hanging="284"/>
        <w:rPr>
          <w:lang w:val="en-AU"/>
        </w:rPr>
      </w:pPr>
      <w:r w:rsidRPr="00B37D12">
        <w:rPr>
          <w:lang w:val="en-AU"/>
        </w:rPr>
        <w:t xml:space="preserve">Financing to support the </w:t>
      </w:r>
      <w:r w:rsidR="00AE70C8" w:rsidRPr="00B37D12">
        <w:rPr>
          <w:lang w:val="en-AU"/>
        </w:rPr>
        <w:t>implementation</w:t>
      </w:r>
      <w:r w:rsidRPr="00B37D12">
        <w:rPr>
          <w:lang w:val="en-AU"/>
        </w:rPr>
        <w:t xml:space="preserve"> of sustainable ocean planning and management </w:t>
      </w:r>
      <w:r w:rsidR="007F44DE">
        <w:rPr>
          <w:lang w:val="en-AU"/>
        </w:rPr>
        <w:t xml:space="preserve">analysis and </w:t>
      </w:r>
      <w:r w:rsidRPr="00B37D12">
        <w:rPr>
          <w:lang w:val="en-AU"/>
        </w:rPr>
        <w:t>approaches.</w:t>
      </w:r>
    </w:p>
    <w:p w14:paraId="3963BB60" w14:textId="5CFFC217" w:rsidR="001833C3" w:rsidRDefault="001833C3">
      <w:pPr>
        <w:pStyle w:val="ListParagraph"/>
        <w:numPr>
          <w:ilvl w:val="0"/>
          <w:numId w:val="13"/>
        </w:numPr>
        <w:ind w:left="284" w:hanging="284"/>
        <w:rPr>
          <w:lang w:val="en-AU"/>
        </w:rPr>
      </w:pPr>
      <w:r w:rsidRPr="00B37D12">
        <w:rPr>
          <w:lang w:val="en-AU"/>
        </w:rPr>
        <w:t xml:space="preserve">Cross sector cooperation and </w:t>
      </w:r>
      <w:r w:rsidR="00AE70C8" w:rsidRPr="00B37D12">
        <w:rPr>
          <w:lang w:val="en-AU"/>
        </w:rPr>
        <w:t>implementation</w:t>
      </w:r>
      <w:r w:rsidRPr="00B37D12">
        <w:rPr>
          <w:lang w:val="en-AU"/>
        </w:rPr>
        <w:t>.</w:t>
      </w:r>
    </w:p>
    <w:p w14:paraId="0F543146" w14:textId="3D720BD8" w:rsidR="004B098F" w:rsidRPr="004B098F" w:rsidRDefault="004B098F" w:rsidP="004B098F">
      <w:pPr>
        <w:rPr>
          <w:lang w:val="en-AU"/>
        </w:rPr>
      </w:pPr>
      <w:r>
        <w:rPr>
          <w:lang w:val="en-AU"/>
        </w:rPr>
        <w:t>All data discussed in this brief is summarised graphically in the supplementary information document, available on request.</w:t>
      </w:r>
    </w:p>
    <w:p w14:paraId="447A3A2E" w14:textId="2F3BA339" w:rsidR="001D74C4" w:rsidRDefault="007F44DE" w:rsidP="001D74C4">
      <w:pPr>
        <w:pStyle w:val="Heading2"/>
      </w:pPr>
      <w:r>
        <w:t>Respondent</w:t>
      </w:r>
      <w:r w:rsidR="001D74C4">
        <w:t xml:space="preserve"> profile</w:t>
      </w:r>
    </w:p>
    <w:p w14:paraId="28E664E5" w14:textId="5F906583" w:rsidR="001D74C4" w:rsidRDefault="001D74C4" w:rsidP="00B37D12">
      <w:pPr>
        <w:pStyle w:val="Bullet-shortparagraph-3pt"/>
        <w:numPr>
          <w:ilvl w:val="0"/>
          <w:numId w:val="0"/>
        </w:numPr>
      </w:pPr>
      <w:r>
        <w:t>The survey received 47 responses, predominantly from national government representatives (3</w:t>
      </w:r>
      <w:r w:rsidR="00CD5272">
        <w:t>5</w:t>
      </w:r>
      <w:r>
        <w:t>%), researchers (20%), and international/regional organisations (18%).</w:t>
      </w:r>
      <w:r w:rsidRPr="006B437E">
        <w:t xml:space="preserve"> </w:t>
      </w:r>
      <w:r>
        <w:t>Participants were primarily from Europe</w:t>
      </w:r>
      <w:r w:rsidR="000904D1">
        <w:t xml:space="preserve">, </w:t>
      </w:r>
      <w:proofErr w:type="gramStart"/>
      <w:r>
        <w:t>Africa</w:t>
      </w:r>
      <w:proofErr w:type="gramEnd"/>
      <w:r w:rsidR="000904D1">
        <w:t xml:space="preserve"> and Caribbean</w:t>
      </w:r>
      <w:r>
        <w:t xml:space="preserve"> with </w:t>
      </w:r>
      <w:r w:rsidR="000904D1">
        <w:t>more limited participation from other regions</w:t>
      </w:r>
      <w:r>
        <w:t xml:space="preserve">. </w:t>
      </w:r>
    </w:p>
    <w:p w14:paraId="29B95B37" w14:textId="7CC27F5E" w:rsidR="001D74C4" w:rsidRDefault="001D74C4" w:rsidP="00B37D12">
      <w:pPr>
        <w:pStyle w:val="Bullet-shortparagraph-3pt"/>
        <w:numPr>
          <w:ilvl w:val="0"/>
          <w:numId w:val="0"/>
        </w:numPr>
      </w:pPr>
      <w:r>
        <w:t xml:space="preserve">The main area of expertise </w:t>
      </w:r>
      <w:r w:rsidR="007F44DE">
        <w:t>were</w:t>
      </w:r>
      <w:r>
        <w:t xml:space="preserve"> ocean planning and management (67%), natural sciences (4</w:t>
      </w:r>
      <w:r w:rsidR="00CD5272">
        <w:t>1</w:t>
      </w:r>
      <w:r>
        <w:t>%), conservation and biodiversity (3</w:t>
      </w:r>
      <w:r w:rsidR="00CD5272">
        <w:t>7</w:t>
      </w:r>
      <w:r>
        <w:t>%), and education (</w:t>
      </w:r>
      <w:r w:rsidR="00CD5272">
        <w:t>3</w:t>
      </w:r>
      <w:r>
        <w:t>3%).</w:t>
      </w:r>
    </w:p>
    <w:p w14:paraId="0DC439AE" w14:textId="74536FAA" w:rsidR="001D74C4" w:rsidRDefault="001D74C4" w:rsidP="001D74C4">
      <w:r>
        <w:t xml:space="preserve">The in-depth interviews were conducted with 16 key stakeholders </w:t>
      </w:r>
      <w:r w:rsidR="00AE70C8">
        <w:t>identified</w:t>
      </w:r>
      <w:r>
        <w:t xml:space="preserve"> by IOC-UNESCO as integral part of a multifaceted approach to understanding SOPM's seascape. </w:t>
      </w:r>
    </w:p>
    <w:p w14:paraId="5D3D8DB4" w14:textId="403AFD4E" w:rsidR="001D74C4" w:rsidRDefault="001D74C4" w:rsidP="001D74C4">
      <w:pPr>
        <w:pStyle w:val="Heading2"/>
      </w:pPr>
      <w:r>
        <w:t>Results</w:t>
      </w:r>
    </w:p>
    <w:p w14:paraId="4257BD41" w14:textId="6B8302F6" w:rsidR="000904D1" w:rsidRDefault="00CD5272" w:rsidP="000904D1">
      <w:pPr>
        <w:rPr>
          <w:lang w:val="en-AU"/>
        </w:rPr>
      </w:pPr>
      <w:r>
        <w:rPr>
          <w:lang w:val="en-AU"/>
        </w:rPr>
        <w:t xml:space="preserve">To </w:t>
      </w:r>
      <w:r w:rsidR="00AE70C8">
        <w:rPr>
          <w:lang w:val="en-AU"/>
        </w:rPr>
        <w:t>achieve</w:t>
      </w:r>
      <w:r>
        <w:rPr>
          <w:lang w:val="en-AU"/>
        </w:rPr>
        <w:t xml:space="preserve"> SOPM, the</w:t>
      </w:r>
      <w:r w:rsidR="000904D1" w:rsidRPr="00F93464">
        <w:rPr>
          <w:lang w:val="en-AU"/>
        </w:rPr>
        <w:t xml:space="preserve"> majority of organi</w:t>
      </w:r>
      <w:r w:rsidR="000904D1">
        <w:rPr>
          <w:lang w:val="en-AU"/>
        </w:rPr>
        <w:t>s</w:t>
      </w:r>
      <w:r w:rsidR="000904D1" w:rsidRPr="00F93464">
        <w:rPr>
          <w:lang w:val="en-AU"/>
        </w:rPr>
        <w:t>ations, 7</w:t>
      </w:r>
      <w:r>
        <w:rPr>
          <w:lang w:val="en-AU"/>
        </w:rPr>
        <w:t>9</w:t>
      </w:r>
      <w:r w:rsidR="000904D1" w:rsidRPr="00F93464">
        <w:rPr>
          <w:lang w:val="en-AU"/>
        </w:rPr>
        <w:t>%, are utili</w:t>
      </w:r>
      <w:r w:rsidR="000904D1">
        <w:rPr>
          <w:lang w:val="en-AU"/>
        </w:rPr>
        <w:t>s</w:t>
      </w:r>
      <w:r w:rsidR="000904D1" w:rsidRPr="00F93464">
        <w:rPr>
          <w:lang w:val="en-AU"/>
        </w:rPr>
        <w:t xml:space="preserve">ing </w:t>
      </w:r>
      <w:proofErr w:type="gramStart"/>
      <w:r w:rsidR="007F44DE">
        <w:rPr>
          <w:lang w:val="en-AU"/>
        </w:rPr>
        <w:t>e</w:t>
      </w:r>
      <w:r w:rsidR="000904D1">
        <w:rPr>
          <w:lang w:val="en-AU"/>
        </w:rPr>
        <w:t>cosystem based</w:t>
      </w:r>
      <w:proofErr w:type="gramEnd"/>
      <w:r w:rsidR="000904D1">
        <w:rPr>
          <w:lang w:val="en-AU"/>
        </w:rPr>
        <w:t xml:space="preserve"> management </w:t>
      </w:r>
      <w:r w:rsidR="007F44DE">
        <w:rPr>
          <w:lang w:val="en-AU"/>
        </w:rPr>
        <w:t xml:space="preserve">(EBM) </w:t>
      </w:r>
      <w:r w:rsidR="000904D1">
        <w:rPr>
          <w:lang w:val="en-AU"/>
        </w:rPr>
        <w:t>approaches</w:t>
      </w:r>
      <w:r w:rsidR="000904D1" w:rsidRPr="00F93464">
        <w:rPr>
          <w:lang w:val="en-AU"/>
        </w:rPr>
        <w:t xml:space="preserve">, 72% </w:t>
      </w:r>
      <w:r w:rsidR="007F44DE">
        <w:rPr>
          <w:lang w:val="en-AU"/>
        </w:rPr>
        <w:t>focused on the use of B</w:t>
      </w:r>
      <w:r w:rsidR="000904D1" w:rsidRPr="00F93464">
        <w:rPr>
          <w:lang w:val="en-AU"/>
        </w:rPr>
        <w:t xml:space="preserve">lue Economy strategies and 70% </w:t>
      </w:r>
      <w:r>
        <w:rPr>
          <w:lang w:val="en-AU"/>
        </w:rPr>
        <w:t xml:space="preserve">were </w:t>
      </w:r>
      <w:r w:rsidR="000904D1" w:rsidRPr="00F93464">
        <w:rPr>
          <w:lang w:val="en-AU"/>
        </w:rPr>
        <w:t xml:space="preserve">employing </w:t>
      </w:r>
      <w:r w:rsidR="000904D1">
        <w:rPr>
          <w:lang w:val="en-AU"/>
        </w:rPr>
        <w:t>m</w:t>
      </w:r>
      <w:r w:rsidR="000904D1" w:rsidRPr="00F93464">
        <w:rPr>
          <w:lang w:val="en-AU"/>
        </w:rPr>
        <w:t xml:space="preserve">arine </w:t>
      </w:r>
      <w:r w:rsidR="000904D1">
        <w:rPr>
          <w:lang w:val="en-AU"/>
        </w:rPr>
        <w:t>s</w:t>
      </w:r>
      <w:r w:rsidR="000904D1" w:rsidRPr="00F93464">
        <w:rPr>
          <w:lang w:val="en-AU"/>
        </w:rPr>
        <w:t xml:space="preserve">patial </w:t>
      </w:r>
      <w:r w:rsidR="000904D1">
        <w:rPr>
          <w:lang w:val="en-AU"/>
        </w:rPr>
        <w:t>p</w:t>
      </w:r>
      <w:r w:rsidR="000904D1" w:rsidRPr="00F93464">
        <w:rPr>
          <w:lang w:val="en-AU"/>
        </w:rPr>
        <w:t>lanning (MSP)</w:t>
      </w:r>
      <w:r>
        <w:rPr>
          <w:lang w:val="en-AU"/>
        </w:rPr>
        <w:t xml:space="preserve"> approaches</w:t>
      </w:r>
      <w:r w:rsidR="000904D1">
        <w:rPr>
          <w:lang w:val="en-AU"/>
        </w:rPr>
        <w:t>. O</w:t>
      </w:r>
      <w:r w:rsidR="000904D1" w:rsidRPr="00F93464">
        <w:rPr>
          <w:lang w:val="en-AU"/>
        </w:rPr>
        <w:t>nly a quarter of the respondents reported using Sustainable Ocean Plans</w:t>
      </w:r>
      <w:r w:rsidR="000904D1">
        <w:rPr>
          <w:lang w:val="en-AU"/>
        </w:rPr>
        <w:t>.</w:t>
      </w:r>
    </w:p>
    <w:p w14:paraId="1849B6A4" w14:textId="6EB93D2D" w:rsidR="000904D1" w:rsidRDefault="000904D1" w:rsidP="000904D1">
      <w:pPr>
        <w:rPr>
          <w:lang w:val="en-AU"/>
        </w:rPr>
      </w:pPr>
      <w:r w:rsidRPr="0089710E">
        <w:rPr>
          <w:lang w:val="en-AU"/>
        </w:rPr>
        <w:t xml:space="preserve">Northern Europe shows a strong preference for </w:t>
      </w:r>
      <w:r>
        <w:rPr>
          <w:lang w:val="en-AU"/>
        </w:rPr>
        <w:t>blue economy strategies that align</w:t>
      </w:r>
      <w:r w:rsidRPr="0089710E">
        <w:rPr>
          <w:lang w:val="en-AU"/>
        </w:rPr>
        <w:t xml:space="preserve"> economic development with environmental sustainability. In contrast, both Sub-Saharan Africa and Southern Europe demonstrate a balanced use of Blue Economy and EBM, suggesting a holistic approach to ocean planning in these areas. While MSP is employed in several regions, it is not as predominant as EBM or Blue Economy</w:t>
      </w:r>
      <w:r>
        <w:rPr>
          <w:lang w:val="en-AU"/>
        </w:rPr>
        <w:t xml:space="preserve"> approaches.</w:t>
      </w:r>
    </w:p>
    <w:p w14:paraId="502626CA" w14:textId="38C0A10C" w:rsidR="000904D1" w:rsidRDefault="000904D1" w:rsidP="000904D1">
      <w:pPr>
        <w:rPr>
          <w:lang w:val="en-AU"/>
        </w:rPr>
      </w:pPr>
      <w:r>
        <w:rPr>
          <w:lang w:val="en-AU"/>
        </w:rPr>
        <w:t xml:space="preserve">Questions on how decisions are made in relation to ocean planning and management revealed that </w:t>
      </w:r>
      <w:r w:rsidRPr="003933DB">
        <w:rPr>
          <w:lang w:val="en-AU"/>
        </w:rPr>
        <w:t>the most prevalent approaches are active engagement with stakeholders for inclusive decision-making (</w:t>
      </w:r>
      <w:r w:rsidR="00CD5272">
        <w:rPr>
          <w:lang w:val="en-AU"/>
        </w:rPr>
        <w:t>70</w:t>
      </w:r>
      <w:r w:rsidRPr="003933DB">
        <w:rPr>
          <w:lang w:val="en-AU"/>
        </w:rPr>
        <w:t>%), analysis and interpretation of data, research findings, and relevant information (6</w:t>
      </w:r>
      <w:r w:rsidR="00CD5272">
        <w:rPr>
          <w:lang w:val="en-AU"/>
        </w:rPr>
        <w:t>3</w:t>
      </w:r>
      <w:r w:rsidRPr="003933DB">
        <w:rPr>
          <w:lang w:val="en-AU"/>
        </w:rPr>
        <w:t>%), and adherence to existing policies, legal frameworks, and governance structures (5</w:t>
      </w:r>
      <w:r w:rsidR="00CD5272">
        <w:rPr>
          <w:lang w:val="en-AU"/>
        </w:rPr>
        <w:t>4%</w:t>
      </w:r>
      <w:r w:rsidRPr="003933DB">
        <w:rPr>
          <w:lang w:val="en-AU"/>
        </w:rPr>
        <w:t>)</w:t>
      </w:r>
      <w:r>
        <w:rPr>
          <w:lang w:val="en-AU"/>
        </w:rPr>
        <w:t>.</w:t>
      </w:r>
    </w:p>
    <w:p w14:paraId="5AAD40D6" w14:textId="1C2F030F" w:rsidR="00DC44FD" w:rsidRDefault="00DC44FD" w:rsidP="00DC44FD">
      <w:pPr>
        <w:pStyle w:val="Bullet-paragraph-6pt"/>
        <w:numPr>
          <w:ilvl w:val="0"/>
          <w:numId w:val="0"/>
        </w:numPr>
      </w:pPr>
      <w:r>
        <w:t xml:space="preserve">75% of respondents believed their organisations had a </w:t>
      </w:r>
      <w:proofErr w:type="gramStart"/>
      <w:r>
        <w:t>higher than average</w:t>
      </w:r>
      <w:proofErr w:type="gramEnd"/>
      <w:r>
        <w:t xml:space="preserve"> capacity to engage with stakeholders and nearly 70% indicated that their organisation </w:t>
      </w:r>
      <w:r w:rsidR="00AE70C8">
        <w:t>often</w:t>
      </w:r>
      <w:r>
        <w:t xml:space="preserve"> or very regularly did so. However, despite </w:t>
      </w:r>
      <w:r w:rsidR="00CD5272">
        <w:t xml:space="preserve">this </w:t>
      </w:r>
      <w:r>
        <w:t xml:space="preserve">only 15% of respondents said that </w:t>
      </w:r>
      <w:r w:rsidR="00CD5272">
        <w:t>indigenous and local knowledge (</w:t>
      </w:r>
      <w:r>
        <w:t>ILK</w:t>
      </w:r>
      <w:r w:rsidR="00CD5272">
        <w:t>)</w:t>
      </w:r>
      <w:r>
        <w:t xml:space="preserve"> was fully </w:t>
      </w:r>
      <w:r w:rsidR="00AE70C8">
        <w:t>integrated</w:t>
      </w:r>
      <w:r>
        <w:t xml:space="preserve"> into ocean planning and management processes. </w:t>
      </w:r>
      <w:r w:rsidRPr="00DC44FD">
        <w:t>The</w:t>
      </w:r>
      <w:r>
        <w:t>re was</w:t>
      </w:r>
      <w:r w:rsidRPr="00DC44FD">
        <w:t xml:space="preserve"> unanimous support for establishing multi-stakeholder platforms and including indigenous peoples and local communities (IPLCs) </w:t>
      </w:r>
      <w:r>
        <w:t>i</w:t>
      </w:r>
      <w:r w:rsidRPr="00DC44FD">
        <w:t>n decision-making processes</w:t>
      </w:r>
      <w:r>
        <w:t xml:space="preserve"> and </w:t>
      </w:r>
      <w:proofErr w:type="gramStart"/>
      <w:r>
        <w:t>an</w:t>
      </w:r>
      <w:proofErr w:type="gramEnd"/>
      <w:r>
        <w:t xml:space="preserve"> </w:t>
      </w:r>
      <w:r>
        <w:lastRenderedPageBreak/>
        <w:t xml:space="preserve">need to </w:t>
      </w:r>
      <w:r w:rsidR="00CD5272">
        <w:t xml:space="preserve">increase </w:t>
      </w:r>
      <w:r>
        <w:t>resources to enable better engagement.</w:t>
      </w:r>
    </w:p>
    <w:p w14:paraId="2CC8D6CB" w14:textId="74CBCDA0" w:rsidR="00DB4446" w:rsidRDefault="00DB4446" w:rsidP="00DC44FD">
      <w:pPr>
        <w:pStyle w:val="Bullet-paragraph-6pt"/>
        <w:numPr>
          <w:ilvl w:val="0"/>
          <w:numId w:val="0"/>
        </w:numPr>
      </w:pPr>
      <w:r>
        <w:rPr>
          <w:rFonts w:cs="Arial"/>
          <w:color w:val="000000"/>
          <w:szCs w:val="20"/>
        </w:rPr>
        <w:t>The challenges in integrating ILK are multifaceted. Participants identified issues such as bias and resistance within specific stakeholders, entrenchment in traditional marine research practices, and a lack of capacity for effective local engagement. Additionally, there are difficulties in translating ILK into data that can enhance existing datasets, further complicating its integration into SOPM.</w:t>
      </w:r>
    </w:p>
    <w:p w14:paraId="5222639F" w14:textId="3EFA691C" w:rsidR="00DB4446" w:rsidRPr="00DC44FD" w:rsidRDefault="000D4A3E" w:rsidP="00DC44FD">
      <w:r>
        <w:rPr>
          <w:color w:val="000000"/>
          <w:szCs w:val="20"/>
        </w:rPr>
        <w:t xml:space="preserve">SOPM implementation was at an advanced stage in most of </w:t>
      </w:r>
      <w:proofErr w:type="gramStart"/>
      <w:r>
        <w:rPr>
          <w:color w:val="000000"/>
          <w:szCs w:val="20"/>
        </w:rPr>
        <w:t>respondents</w:t>
      </w:r>
      <w:proofErr w:type="gramEnd"/>
      <w:r>
        <w:rPr>
          <w:color w:val="000000"/>
          <w:szCs w:val="20"/>
        </w:rPr>
        <w:t xml:space="preserve"> countries; nearly 20% are implementing measures, 30% completed the planning but yet to implement measures and a further 25% </w:t>
      </w:r>
      <w:r w:rsidR="00CD5272">
        <w:rPr>
          <w:color w:val="000000"/>
          <w:szCs w:val="20"/>
        </w:rPr>
        <w:t>had</w:t>
      </w:r>
      <w:r>
        <w:rPr>
          <w:color w:val="000000"/>
          <w:szCs w:val="20"/>
        </w:rPr>
        <w:t xml:space="preserve"> plans in progress</w:t>
      </w:r>
      <w:r>
        <w:rPr>
          <w:rStyle w:val="FootnoteReference"/>
          <w:color w:val="000000"/>
          <w:szCs w:val="20"/>
        </w:rPr>
        <w:footnoteReference w:id="2"/>
      </w:r>
      <w:r>
        <w:rPr>
          <w:color w:val="000000"/>
          <w:szCs w:val="20"/>
        </w:rPr>
        <w:t xml:space="preserve">. However, transboundary cooperation was highlighted by </w:t>
      </w:r>
      <w:r w:rsidR="00DB4446">
        <w:rPr>
          <w:color w:val="000000"/>
          <w:szCs w:val="20"/>
        </w:rPr>
        <w:t xml:space="preserve">nearly 75% of </w:t>
      </w:r>
      <w:r>
        <w:rPr>
          <w:color w:val="000000"/>
          <w:szCs w:val="20"/>
        </w:rPr>
        <w:t>respondents</w:t>
      </w:r>
      <w:r w:rsidR="00DB4446">
        <w:rPr>
          <w:color w:val="000000"/>
          <w:szCs w:val="20"/>
        </w:rPr>
        <w:t xml:space="preserve"> </w:t>
      </w:r>
      <w:r>
        <w:rPr>
          <w:color w:val="000000"/>
          <w:szCs w:val="20"/>
        </w:rPr>
        <w:t>as a significant challenge</w:t>
      </w:r>
      <w:r w:rsidR="00CD5272">
        <w:rPr>
          <w:color w:val="000000"/>
          <w:szCs w:val="20"/>
        </w:rPr>
        <w:t xml:space="preserve"> to implementing measures and </w:t>
      </w:r>
      <w:r w:rsidR="00AE70C8">
        <w:rPr>
          <w:color w:val="000000"/>
          <w:szCs w:val="20"/>
        </w:rPr>
        <w:t>appropriate</w:t>
      </w:r>
      <w:r w:rsidR="00CD5272">
        <w:rPr>
          <w:color w:val="000000"/>
          <w:szCs w:val="20"/>
        </w:rPr>
        <w:t xml:space="preserve"> planning</w:t>
      </w:r>
      <w:r>
        <w:rPr>
          <w:color w:val="000000"/>
          <w:szCs w:val="20"/>
        </w:rPr>
        <w:t xml:space="preserve">. </w:t>
      </w:r>
    </w:p>
    <w:p w14:paraId="48706B27" w14:textId="55EC7338" w:rsidR="000D4A3E" w:rsidRPr="00B37D12" w:rsidRDefault="000D4A3E" w:rsidP="000904D1">
      <w:pPr>
        <w:rPr>
          <w:b/>
          <w:bCs/>
          <w:color w:val="000000"/>
          <w:szCs w:val="20"/>
        </w:rPr>
      </w:pPr>
      <w:r w:rsidRPr="00B37D12">
        <w:rPr>
          <w:b/>
          <w:bCs/>
          <w:color w:val="000000"/>
          <w:szCs w:val="20"/>
        </w:rPr>
        <w:t>Resource</w:t>
      </w:r>
      <w:r w:rsidR="00EB2B1B">
        <w:rPr>
          <w:b/>
          <w:bCs/>
          <w:color w:val="000000"/>
          <w:szCs w:val="20"/>
        </w:rPr>
        <w:t>s</w:t>
      </w:r>
      <w:r w:rsidRPr="00B37D12">
        <w:rPr>
          <w:b/>
          <w:bCs/>
          <w:color w:val="000000"/>
          <w:szCs w:val="20"/>
        </w:rPr>
        <w:t xml:space="preserve"> for SOPM</w:t>
      </w:r>
    </w:p>
    <w:p w14:paraId="2FEF9641" w14:textId="2CE151C9" w:rsidR="000D4A3E" w:rsidRDefault="000D4A3E" w:rsidP="000D4A3E">
      <w:pPr>
        <w:rPr>
          <w:color w:val="000000"/>
          <w:szCs w:val="20"/>
        </w:rPr>
      </w:pPr>
      <w:r>
        <w:rPr>
          <w:color w:val="000000"/>
          <w:szCs w:val="20"/>
        </w:rPr>
        <w:t>A significant majority of participants reported having adequate access to knowledgeable personnel in critical areas such as marine natural sciences (67%), marine policies and regulations (61</w:t>
      </w:r>
      <w:r w:rsidR="00CD5272">
        <w:rPr>
          <w:color w:val="000000"/>
          <w:szCs w:val="20"/>
        </w:rPr>
        <w:t>%</w:t>
      </w:r>
      <w:r>
        <w:rPr>
          <w:color w:val="000000"/>
          <w:szCs w:val="20"/>
        </w:rPr>
        <w:t>), and ocean data and tools (5</w:t>
      </w:r>
      <w:r w:rsidR="00CD5272">
        <w:rPr>
          <w:color w:val="000000"/>
          <w:szCs w:val="20"/>
        </w:rPr>
        <w:t>9</w:t>
      </w:r>
      <w:r>
        <w:rPr>
          <w:color w:val="000000"/>
          <w:szCs w:val="20"/>
        </w:rPr>
        <w:t xml:space="preserve">%). </w:t>
      </w:r>
    </w:p>
    <w:p w14:paraId="2FB2E267" w14:textId="1FA6E318" w:rsidR="000D4A3E" w:rsidRDefault="000D4A3E" w:rsidP="000D4A3E">
      <w:r>
        <w:t>Respondents appeared to have reasonable access to spatial tools for marine planning, with GIS being used by more than three quarters of respondents. Spatial tools for social assessments were only highlighted by less than 15% of respondents</w:t>
      </w:r>
      <w:r w:rsidR="00CD5272">
        <w:t xml:space="preserve">, </w:t>
      </w:r>
      <w:r w:rsidR="00AE70C8">
        <w:t>indicating</w:t>
      </w:r>
      <w:r w:rsidR="00CD5272">
        <w:t xml:space="preserve"> a focus on natural environment monitoring and a possible gap in tools to understand dependency and use of the marine environment</w:t>
      </w:r>
      <w:r>
        <w:t>.</w:t>
      </w:r>
    </w:p>
    <w:p w14:paraId="5A0FD0AF" w14:textId="77777777" w:rsidR="00EB2B1B" w:rsidRDefault="00EB2B1B" w:rsidP="00EB2B1B">
      <w:pPr>
        <w:rPr>
          <w:color w:val="000000"/>
          <w:szCs w:val="20"/>
        </w:rPr>
      </w:pPr>
      <w:r>
        <w:rPr>
          <w:color w:val="000000"/>
          <w:szCs w:val="20"/>
        </w:rPr>
        <w:t xml:space="preserve">Other relevant resources available to undertake SOPM highlighted by respondents were; indigenous knowledge, databases </w:t>
      </w:r>
      <w:proofErr w:type="gramStart"/>
      <w:r>
        <w:rPr>
          <w:color w:val="000000"/>
          <w:szCs w:val="20"/>
        </w:rPr>
        <w:t xml:space="preserve">and  </w:t>
      </w:r>
      <w:r>
        <w:rPr>
          <w:color w:val="000000"/>
          <w:szCs w:val="20"/>
        </w:rPr>
        <w:t>capacity</w:t>
      </w:r>
      <w:proofErr w:type="gramEnd"/>
      <w:r>
        <w:rPr>
          <w:color w:val="000000"/>
          <w:szCs w:val="20"/>
        </w:rPr>
        <w:t xml:space="preserve"> building, international training programmes. </w:t>
      </w:r>
    </w:p>
    <w:p w14:paraId="44CEEDAC" w14:textId="344F112F" w:rsidR="00EB2B1B" w:rsidRDefault="00EB2B1B" w:rsidP="00EB2B1B">
      <w:pPr>
        <w:rPr>
          <w:lang w:val="en-AU"/>
        </w:rPr>
      </w:pPr>
      <w:r>
        <w:rPr>
          <w:color w:val="000000"/>
          <w:szCs w:val="20"/>
        </w:rPr>
        <w:t>Participants highlighted cross-sectoral cooperation among ocean-related ministries and government agencies as a particularly relevant component where intergovernmental decision-making plays a critical role in triggering SOPM.</w:t>
      </w:r>
    </w:p>
    <w:p w14:paraId="72B283A2" w14:textId="77B2CBB3" w:rsidR="000D4A3E" w:rsidRDefault="000D4A3E" w:rsidP="000904D1">
      <w:proofErr w:type="gramStart"/>
      <w:r>
        <w:rPr>
          <w:color w:val="000000"/>
          <w:szCs w:val="20"/>
        </w:rPr>
        <w:t>However</w:t>
      </w:r>
      <w:proofErr w:type="gramEnd"/>
      <w:r>
        <w:rPr>
          <w:color w:val="000000"/>
          <w:szCs w:val="20"/>
        </w:rPr>
        <w:t xml:space="preserve"> f</w:t>
      </w:r>
      <w:r>
        <w:t xml:space="preserve">unding, a key enabler for progress, was seen as insufficient or not available to meet priority needs by more than 60% of respondents. Analysis suggested that there was no correlation between development status and </w:t>
      </w:r>
      <w:r w:rsidR="00AE70C8">
        <w:t>availability</w:t>
      </w:r>
      <w:r w:rsidR="00EB2B1B">
        <w:t xml:space="preserve"> of funding for SOPM.</w:t>
      </w:r>
    </w:p>
    <w:p w14:paraId="05B3911E" w14:textId="6C6A9BF4" w:rsidR="00EB2B1B" w:rsidRDefault="00EB2B1B" w:rsidP="00EB2B1B">
      <w:pPr>
        <w:rPr>
          <w:b/>
          <w:bCs/>
        </w:rPr>
      </w:pPr>
      <w:r>
        <w:rPr>
          <w:b/>
          <w:bCs/>
        </w:rPr>
        <w:t xml:space="preserve">SOPM </w:t>
      </w:r>
      <w:r w:rsidR="005669FD">
        <w:rPr>
          <w:b/>
          <w:bCs/>
        </w:rPr>
        <w:t>d</w:t>
      </w:r>
      <w:r>
        <w:rPr>
          <w:b/>
          <w:bCs/>
        </w:rPr>
        <w:t>ata</w:t>
      </w:r>
      <w:r w:rsidR="005669FD">
        <w:rPr>
          <w:b/>
          <w:bCs/>
        </w:rPr>
        <w:t xml:space="preserve"> </w:t>
      </w:r>
      <w:r w:rsidR="00AE70C8">
        <w:rPr>
          <w:b/>
          <w:bCs/>
        </w:rPr>
        <w:t>availability</w:t>
      </w:r>
      <w:r w:rsidR="005669FD">
        <w:rPr>
          <w:b/>
          <w:bCs/>
        </w:rPr>
        <w:t xml:space="preserve"> and accessibility</w:t>
      </w:r>
    </w:p>
    <w:p w14:paraId="1BAB3894" w14:textId="33CD7CFA" w:rsidR="00EB2B1B" w:rsidRDefault="00EB2B1B" w:rsidP="00EB2B1B">
      <w:pPr>
        <w:rPr>
          <w:lang w:val="en-AU"/>
        </w:rPr>
      </w:pPr>
      <w:r w:rsidRPr="008F4979">
        <w:rPr>
          <w:lang w:val="en-AU"/>
        </w:rPr>
        <w:t>Most participant</w:t>
      </w:r>
      <w:r w:rsidR="00CD5272">
        <w:rPr>
          <w:lang w:val="en-AU"/>
        </w:rPr>
        <w:t xml:space="preserve"> (55%)</w:t>
      </w:r>
      <w:r w:rsidRPr="008F4979">
        <w:rPr>
          <w:lang w:val="en-AU"/>
        </w:rPr>
        <w:t xml:space="preserve"> rated the availability and accessibility </w:t>
      </w:r>
      <w:r>
        <w:rPr>
          <w:lang w:val="en-AU"/>
        </w:rPr>
        <w:t xml:space="preserve">of relevant and necessary scientific data </w:t>
      </w:r>
      <w:r w:rsidRPr="008F4979">
        <w:rPr>
          <w:lang w:val="en-AU"/>
        </w:rPr>
        <w:t>as good to excellent, while 20% considered it poor</w:t>
      </w:r>
      <w:r>
        <w:rPr>
          <w:lang w:val="en-AU"/>
        </w:rPr>
        <w:t>.</w:t>
      </w:r>
    </w:p>
    <w:p w14:paraId="02FB17FE" w14:textId="41F58F0A" w:rsidR="009F03FF" w:rsidRPr="00B37D12" w:rsidRDefault="009F03FF" w:rsidP="00EB2B1B">
      <w:r>
        <w:rPr>
          <w:color w:val="000000"/>
          <w:szCs w:val="20"/>
        </w:rPr>
        <w:t xml:space="preserve">The survey responses still indicated a need for improved data governance and management systems, emphasising the significance of data-driven approaches. Additionally, the necessity for enhanced tools and technologies for data analysis and decision-making was identified as a primary requirement by </w:t>
      </w:r>
      <w:proofErr w:type="gramStart"/>
      <w:r>
        <w:rPr>
          <w:color w:val="000000"/>
          <w:szCs w:val="20"/>
        </w:rPr>
        <w:t>the majority of</w:t>
      </w:r>
      <w:proofErr w:type="gramEnd"/>
      <w:r>
        <w:rPr>
          <w:color w:val="000000"/>
          <w:szCs w:val="20"/>
        </w:rPr>
        <w:t xml:space="preserve"> respondents.</w:t>
      </w:r>
      <w:r w:rsidR="00CD5272">
        <w:rPr>
          <w:color w:val="000000"/>
          <w:szCs w:val="20"/>
        </w:rPr>
        <w:t xml:space="preserve"> Interestingly, data production was not considered the major challenge.</w:t>
      </w:r>
    </w:p>
    <w:p w14:paraId="1F89BA2E" w14:textId="6D3C115D" w:rsidR="000D4A3E" w:rsidRDefault="00EB2B1B" w:rsidP="000904D1">
      <w:pPr>
        <w:rPr>
          <w:color w:val="000000"/>
          <w:szCs w:val="20"/>
        </w:rPr>
      </w:pPr>
      <w:r>
        <w:rPr>
          <w:lang w:val="en-AU"/>
        </w:rPr>
        <w:t>Respondents identified</w:t>
      </w:r>
      <w:r w:rsidRPr="008F4979">
        <w:rPr>
          <w:lang w:val="en-AU"/>
        </w:rPr>
        <w:t xml:space="preserve"> several challenges </w:t>
      </w:r>
      <w:r>
        <w:rPr>
          <w:lang w:val="en-AU"/>
        </w:rPr>
        <w:t>to data</w:t>
      </w:r>
      <w:r w:rsidRPr="008F4979">
        <w:rPr>
          <w:lang w:val="en-AU"/>
        </w:rPr>
        <w:t>, including siloed data</w:t>
      </w:r>
      <w:r>
        <w:rPr>
          <w:lang w:val="en-AU"/>
        </w:rPr>
        <w:t xml:space="preserve">, sharing, </w:t>
      </w:r>
      <w:r w:rsidRPr="008F4979">
        <w:rPr>
          <w:lang w:val="en-AU"/>
        </w:rPr>
        <w:t xml:space="preserve">and access issues, the lack of FAIR (Findable, Accessible, Interoperable, and Reusable) data, </w:t>
      </w:r>
      <w:r>
        <w:rPr>
          <w:lang w:val="en-AU"/>
        </w:rPr>
        <w:t xml:space="preserve">the </w:t>
      </w:r>
      <w:r w:rsidRPr="008F4979">
        <w:rPr>
          <w:lang w:val="en-AU"/>
        </w:rPr>
        <w:t>absence of centrali</w:t>
      </w:r>
      <w:r>
        <w:rPr>
          <w:lang w:val="en-AU"/>
        </w:rPr>
        <w:t>s</w:t>
      </w:r>
      <w:r w:rsidRPr="008F4979">
        <w:rPr>
          <w:lang w:val="en-AU"/>
        </w:rPr>
        <w:t xml:space="preserve">ed systems for data, and </w:t>
      </w:r>
      <w:r>
        <w:rPr>
          <w:lang w:val="en-AU"/>
        </w:rPr>
        <w:t>problem</w:t>
      </w:r>
      <w:r w:rsidRPr="008F4979">
        <w:rPr>
          <w:lang w:val="en-AU"/>
        </w:rPr>
        <w:t xml:space="preserve">s with data integration, resolution, and actionability. </w:t>
      </w:r>
      <w:r>
        <w:rPr>
          <w:lang w:val="en-AU"/>
        </w:rPr>
        <w:t>Multiple challenges related to data fit for purpose were raised, including</w:t>
      </w:r>
      <w:r w:rsidRPr="008F4979">
        <w:rPr>
          <w:lang w:val="en-AU"/>
        </w:rPr>
        <w:t xml:space="preserve"> </w:t>
      </w:r>
      <w:r>
        <w:rPr>
          <w:lang w:val="en-AU"/>
        </w:rPr>
        <w:t xml:space="preserve">data </w:t>
      </w:r>
      <w:r w:rsidRPr="008F4979">
        <w:rPr>
          <w:lang w:val="en-AU"/>
        </w:rPr>
        <w:t>fragmentation, challenges in obtaining data at appropriate spatial and temporal scales, and a general lack of continuity</w:t>
      </w:r>
      <w:r>
        <w:rPr>
          <w:lang w:val="en-AU"/>
        </w:rPr>
        <w:t xml:space="preserve"> (i.e., longitudinal data)</w:t>
      </w:r>
      <w:r w:rsidRPr="008F4979">
        <w:rPr>
          <w:lang w:val="en-AU"/>
        </w:rPr>
        <w:t xml:space="preserve">. </w:t>
      </w:r>
      <w:r w:rsidR="004B098F">
        <w:rPr>
          <w:lang w:val="en-AU"/>
        </w:rPr>
        <w:t>This was particularly</w:t>
      </w:r>
      <w:r w:rsidRPr="008F4979">
        <w:rPr>
          <w:lang w:val="en-AU"/>
        </w:rPr>
        <w:t xml:space="preserve"> in developing countries</w:t>
      </w:r>
      <w:r w:rsidR="004B098F">
        <w:rPr>
          <w:lang w:val="en-AU"/>
        </w:rPr>
        <w:t xml:space="preserve"> were a</w:t>
      </w:r>
      <w:r w:rsidRPr="008F4979">
        <w:rPr>
          <w:lang w:val="en-AU"/>
        </w:rPr>
        <w:t xml:space="preserve"> lack of detailed data useful for planning and management</w:t>
      </w:r>
      <w:r w:rsidR="004B098F">
        <w:rPr>
          <w:lang w:val="en-AU"/>
        </w:rPr>
        <w:t xml:space="preserve"> was reported</w:t>
      </w:r>
      <w:r w:rsidRPr="008F4979">
        <w:rPr>
          <w:lang w:val="en-AU"/>
        </w:rPr>
        <w:t xml:space="preserve">. Other challenges include financing and capacity constraints, hindering sustained data </w:t>
      </w:r>
      <w:r w:rsidRPr="008F4979">
        <w:rPr>
          <w:lang w:val="en-AU"/>
        </w:rPr>
        <w:lastRenderedPageBreak/>
        <w:t xml:space="preserve">collection and analysis. These findings underscore the need for improved data </w:t>
      </w:r>
      <w:r>
        <w:rPr>
          <w:lang w:val="en-AU"/>
        </w:rPr>
        <w:t xml:space="preserve">governance and </w:t>
      </w:r>
      <w:r w:rsidRPr="008F4979">
        <w:rPr>
          <w:lang w:val="en-AU"/>
        </w:rPr>
        <w:t>management systems and more collaborative approaches to data sharing and integration in SOPM.</w:t>
      </w:r>
    </w:p>
    <w:p w14:paraId="64E484EA" w14:textId="551A7DA9" w:rsidR="00EB2B1B" w:rsidRPr="00B37D12" w:rsidRDefault="005669FD" w:rsidP="000904D1">
      <w:pPr>
        <w:rPr>
          <w:b/>
          <w:bCs/>
          <w:color w:val="000000"/>
          <w:szCs w:val="20"/>
        </w:rPr>
      </w:pPr>
      <w:r w:rsidRPr="00B37D12">
        <w:rPr>
          <w:b/>
          <w:bCs/>
          <w:color w:val="000000"/>
          <w:szCs w:val="20"/>
        </w:rPr>
        <w:t>SOP</w:t>
      </w:r>
      <w:r>
        <w:rPr>
          <w:b/>
          <w:bCs/>
          <w:color w:val="000000"/>
          <w:szCs w:val="20"/>
        </w:rPr>
        <w:t>M</w:t>
      </w:r>
      <w:r w:rsidRPr="00B37D12">
        <w:rPr>
          <w:b/>
          <w:bCs/>
          <w:color w:val="000000"/>
          <w:szCs w:val="20"/>
        </w:rPr>
        <w:t xml:space="preserve"> needs and </w:t>
      </w:r>
      <w:proofErr w:type="gramStart"/>
      <w:r w:rsidRPr="00B37D12">
        <w:rPr>
          <w:b/>
          <w:bCs/>
          <w:color w:val="000000"/>
          <w:szCs w:val="20"/>
        </w:rPr>
        <w:t>gaps</w:t>
      </w:r>
      <w:proofErr w:type="gramEnd"/>
    </w:p>
    <w:p w14:paraId="6604116A" w14:textId="428A9567" w:rsidR="009F03FF" w:rsidRDefault="009F03FF" w:rsidP="009F03FF">
      <w:pPr>
        <w:rPr>
          <w:color w:val="000000"/>
          <w:szCs w:val="20"/>
        </w:rPr>
      </w:pPr>
      <w:r w:rsidRPr="009F03FF">
        <w:rPr>
          <w:color w:val="000000"/>
          <w:szCs w:val="20"/>
        </w:rPr>
        <w:t>The development of tools and technologies for data analysis and decision-making was the most selected need (8</w:t>
      </w:r>
      <w:r w:rsidR="004B098F">
        <w:rPr>
          <w:color w:val="000000"/>
          <w:szCs w:val="20"/>
        </w:rPr>
        <w:t>5</w:t>
      </w:r>
      <w:r w:rsidRPr="009F03FF">
        <w:rPr>
          <w:color w:val="000000"/>
          <w:szCs w:val="20"/>
        </w:rPr>
        <w:t xml:space="preserve">% of </w:t>
      </w:r>
      <w:r w:rsidR="00B81B83">
        <w:rPr>
          <w:color w:val="000000"/>
          <w:szCs w:val="20"/>
        </w:rPr>
        <w:t>respondents</w:t>
      </w:r>
      <w:r w:rsidRPr="009F03FF">
        <w:rPr>
          <w:color w:val="000000"/>
          <w:szCs w:val="20"/>
        </w:rPr>
        <w:t>), emphasising the importance of data-driven approaches in SOPM. Collaboration with relevant institutions (83%) and stakeholders (81%) were also highlighted, reflecting the need for multi-sectoral cooperation. Other significant needs include</w:t>
      </w:r>
      <w:r w:rsidR="004B098F">
        <w:rPr>
          <w:color w:val="000000"/>
          <w:szCs w:val="20"/>
        </w:rPr>
        <w:t>d</w:t>
      </w:r>
      <w:r w:rsidRPr="009F03FF">
        <w:rPr>
          <w:color w:val="000000"/>
          <w:szCs w:val="20"/>
        </w:rPr>
        <w:t xml:space="preserve"> data collection and management systems, institutional support, capacity development, sustainable financing mechanisms, and communication strategies. </w:t>
      </w:r>
    </w:p>
    <w:p w14:paraId="368CCF44" w14:textId="1AB437AE" w:rsidR="009F03FF" w:rsidRPr="009F03FF" w:rsidRDefault="009F03FF" w:rsidP="009F03FF">
      <w:pPr>
        <w:rPr>
          <w:color w:val="000000"/>
          <w:szCs w:val="20"/>
        </w:rPr>
      </w:pPr>
      <w:r>
        <w:rPr>
          <w:color w:val="000000"/>
          <w:szCs w:val="20"/>
        </w:rPr>
        <w:t>Respondents</w:t>
      </w:r>
      <w:r w:rsidRPr="009F03FF">
        <w:rPr>
          <w:color w:val="000000"/>
          <w:szCs w:val="20"/>
        </w:rPr>
        <w:t xml:space="preserve"> identified several</w:t>
      </w:r>
      <w:r w:rsidR="00B81B83">
        <w:rPr>
          <w:color w:val="000000"/>
          <w:szCs w:val="20"/>
        </w:rPr>
        <w:t xml:space="preserve"> other</w:t>
      </w:r>
      <w:r w:rsidRPr="009F03FF">
        <w:rPr>
          <w:color w:val="000000"/>
          <w:szCs w:val="20"/>
        </w:rPr>
        <w:t xml:space="preserve"> specific knowledge gaps:</w:t>
      </w:r>
    </w:p>
    <w:p w14:paraId="52F84077" w14:textId="725E871D" w:rsidR="009F03FF" w:rsidRPr="009F03FF" w:rsidRDefault="009F03FF">
      <w:pPr>
        <w:numPr>
          <w:ilvl w:val="0"/>
          <w:numId w:val="12"/>
        </w:numPr>
        <w:tabs>
          <w:tab w:val="clear" w:pos="720"/>
          <w:tab w:val="num" w:pos="426"/>
        </w:tabs>
        <w:spacing w:after="60"/>
        <w:ind w:left="284" w:hanging="284"/>
        <w:rPr>
          <w:color w:val="000000"/>
          <w:szCs w:val="20"/>
        </w:rPr>
      </w:pPr>
      <w:r w:rsidRPr="009F03FF">
        <w:rPr>
          <w:color w:val="000000"/>
          <w:szCs w:val="20"/>
        </w:rPr>
        <w:t xml:space="preserve">Improve the understanding of ecosystem functioning and </w:t>
      </w:r>
      <w:r w:rsidR="00AE70C8" w:rsidRPr="009F03FF">
        <w:rPr>
          <w:color w:val="000000"/>
          <w:szCs w:val="20"/>
        </w:rPr>
        <w:t>food webs</w:t>
      </w:r>
      <w:r w:rsidRPr="009F03FF">
        <w:rPr>
          <w:color w:val="000000"/>
          <w:szCs w:val="20"/>
        </w:rPr>
        <w:t xml:space="preserve"> dynamics.</w:t>
      </w:r>
    </w:p>
    <w:p w14:paraId="18CDEA20" w14:textId="31F48A54" w:rsidR="009F03FF" w:rsidRPr="009F03FF" w:rsidRDefault="009F03FF">
      <w:pPr>
        <w:numPr>
          <w:ilvl w:val="0"/>
          <w:numId w:val="12"/>
        </w:numPr>
        <w:tabs>
          <w:tab w:val="clear" w:pos="720"/>
          <w:tab w:val="num" w:pos="426"/>
        </w:tabs>
        <w:spacing w:after="60"/>
        <w:ind w:left="284" w:hanging="284"/>
        <w:rPr>
          <w:color w:val="000000"/>
          <w:szCs w:val="20"/>
        </w:rPr>
      </w:pPr>
      <w:r w:rsidRPr="009F03FF">
        <w:rPr>
          <w:color w:val="000000"/>
          <w:szCs w:val="20"/>
        </w:rPr>
        <w:t xml:space="preserve">Better understand and measure threats, pressures, impacts and dependencies. </w:t>
      </w:r>
    </w:p>
    <w:p w14:paraId="2E9B9FBF" w14:textId="77777777" w:rsidR="009F03FF" w:rsidRPr="009F03FF" w:rsidRDefault="009F03FF">
      <w:pPr>
        <w:numPr>
          <w:ilvl w:val="0"/>
          <w:numId w:val="12"/>
        </w:numPr>
        <w:tabs>
          <w:tab w:val="clear" w:pos="720"/>
          <w:tab w:val="num" w:pos="426"/>
        </w:tabs>
        <w:spacing w:after="60"/>
        <w:ind w:left="284" w:hanging="284"/>
        <w:rPr>
          <w:color w:val="000000"/>
          <w:szCs w:val="20"/>
        </w:rPr>
      </w:pPr>
      <w:r w:rsidRPr="009F03FF">
        <w:rPr>
          <w:color w:val="000000"/>
          <w:szCs w:val="20"/>
        </w:rPr>
        <w:t>Advance modelling and forecasting techniques.</w:t>
      </w:r>
    </w:p>
    <w:p w14:paraId="504F8058" w14:textId="77777777" w:rsidR="00B81B83" w:rsidRDefault="009F03FF">
      <w:pPr>
        <w:numPr>
          <w:ilvl w:val="0"/>
          <w:numId w:val="12"/>
        </w:numPr>
        <w:tabs>
          <w:tab w:val="clear" w:pos="720"/>
          <w:tab w:val="num" w:pos="426"/>
        </w:tabs>
        <w:spacing w:after="60"/>
        <w:ind w:left="284" w:hanging="284"/>
        <w:rPr>
          <w:color w:val="000000"/>
          <w:szCs w:val="20"/>
        </w:rPr>
      </w:pPr>
      <w:r w:rsidRPr="009F03FF">
        <w:rPr>
          <w:color w:val="000000"/>
          <w:szCs w:val="20"/>
        </w:rPr>
        <w:t xml:space="preserve">Streamline the science-policy interface and the dialogue between scientists and decision-makers. </w:t>
      </w:r>
    </w:p>
    <w:p w14:paraId="234C3F3A" w14:textId="5D342146" w:rsidR="009F03FF" w:rsidRPr="009F03FF" w:rsidRDefault="00B81B83">
      <w:pPr>
        <w:numPr>
          <w:ilvl w:val="0"/>
          <w:numId w:val="12"/>
        </w:numPr>
        <w:tabs>
          <w:tab w:val="clear" w:pos="720"/>
          <w:tab w:val="num" w:pos="426"/>
        </w:tabs>
        <w:spacing w:after="60"/>
        <w:ind w:left="284" w:hanging="284"/>
        <w:rPr>
          <w:color w:val="000000"/>
          <w:szCs w:val="20"/>
        </w:rPr>
      </w:pPr>
      <w:r>
        <w:rPr>
          <w:color w:val="000000"/>
          <w:szCs w:val="20"/>
        </w:rPr>
        <w:t>E</w:t>
      </w:r>
      <w:r w:rsidR="009F03FF" w:rsidRPr="009F03FF">
        <w:rPr>
          <w:color w:val="000000"/>
          <w:szCs w:val="20"/>
        </w:rPr>
        <w:t>nsure that the data collected is useful and applicable for policy development and decision-making.</w:t>
      </w:r>
    </w:p>
    <w:p w14:paraId="202FA8B9" w14:textId="77777777" w:rsidR="00B81B83" w:rsidRPr="009F03FF" w:rsidRDefault="00B81B83">
      <w:pPr>
        <w:numPr>
          <w:ilvl w:val="0"/>
          <w:numId w:val="12"/>
        </w:numPr>
        <w:tabs>
          <w:tab w:val="clear" w:pos="720"/>
          <w:tab w:val="num" w:pos="426"/>
        </w:tabs>
        <w:spacing w:after="60"/>
        <w:ind w:left="284" w:hanging="284"/>
        <w:rPr>
          <w:color w:val="000000"/>
          <w:szCs w:val="20"/>
        </w:rPr>
      </w:pPr>
      <w:r w:rsidRPr="009F03FF">
        <w:rPr>
          <w:color w:val="000000"/>
          <w:szCs w:val="20"/>
        </w:rPr>
        <w:t xml:space="preserve">Implement </w:t>
      </w:r>
      <w:r>
        <w:rPr>
          <w:color w:val="000000"/>
          <w:szCs w:val="20"/>
        </w:rPr>
        <w:t>natural capital accounting</w:t>
      </w:r>
      <w:r w:rsidRPr="009F03FF">
        <w:rPr>
          <w:color w:val="000000"/>
          <w:szCs w:val="20"/>
        </w:rPr>
        <w:t xml:space="preserve"> as an approach to mainstream nature's contribution to the economy and well-being.</w:t>
      </w:r>
    </w:p>
    <w:p w14:paraId="216D340B" w14:textId="71052C7B" w:rsidR="009F03FF" w:rsidRPr="00B81B83" w:rsidRDefault="009F03FF">
      <w:pPr>
        <w:numPr>
          <w:ilvl w:val="0"/>
          <w:numId w:val="12"/>
        </w:numPr>
        <w:tabs>
          <w:tab w:val="clear" w:pos="720"/>
          <w:tab w:val="num" w:pos="426"/>
        </w:tabs>
        <w:spacing w:after="60"/>
        <w:ind w:left="284" w:hanging="284"/>
        <w:rPr>
          <w:color w:val="000000"/>
          <w:szCs w:val="20"/>
        </w:rPr>
      </w:pPr>
      <w:r w:rsidRPr="009F03FF">
        <w:rPr>
          <w:color w:val="000000"/>
          <w:szCs w:val="20"/>
        </w:rPr>
        <w:t>Advance the engagement with local communities and guarantee the co-design of any decision-making plans with local stakeholders.</w:t>
      </w:r>
    </w:p>
    <w:p w14:paraId="757240D7" w14:textId="77777777" w:rsidR="009F03FF" w:rsidRPr="009F03FF" w:rsidRDefault="009F03FF">
      <w:pPr>
        <w:numPr>
          <w:ilvl w:val="0"/>
          <w:numId w:val="12"/>
        </w:numPr>
        <w:tabs>
          <w:tab w:val="clear" w:pos="720"/>
          <w:tab w:val="num" w:pos="426"/>
        </w:tabs>
        <w:spacing w:after="60"/>
        <w:ind w:left="284" w:hanging="284"/>
        <w:rPr>
          <w:color w:val="000000"/>
          <w:szCs w:val="20"/>
        </w:rPr>
      </w:pPr>
      <w:r w:rsidRPr="009F03FF">
        <w:rPr>
          <w:color w:val="000000"/>
          <w:szCs w:val="20"/>
        </w:rPr>
        <w:t>Secure financing/funding resources for long-term monitoring programs to ensure the collection of baseline and time-series data (i.e. longitudinal data). </w:t>
      </w:r>
    </w:p>
    <w:p w14:paraId="3B2E76CF" w14:textId="77777777" w:rsidR="009F03FF" w:rsidRDefault="009F03FF">
      <w:pPr>
        <w:numPr>
          <w:ilvl w:val="0"/>
          <w:numId w:val="12"/>
        </w:numPr>
        <w:tabs>
          <w:tab w:val="clear" w:pos="720"/>
          <w:tab w:val="num" w:pos="284"/>
        </w:tabs>
        <w:spacing w:after="60"/>
        <w:ind w:left="284" w:hanging="284"/>
        <w:rPr>
          <w:color w:val="000000"/>
          <w:szCs w:val="20"/>
        </w:rPr>
      </w:pPr>
      <w:r w:rsidRPr="009F03FF">
        <w:rPr>
          <w:color w:val="000000"/>
          <w:szCs w:val="20"/>
        </w:rPr>
        <w:t>Incentivise transdisciplinary research.</w:t>
      </w:r>
    </w:p>
    <w:p w14:paraId="56434A47" w14:textId="77777777" w:rsidR="004B098F" w:rsidRDefault="004B098F" w:rsidP="004B098F">
      <w:pPr>
        <w:spacing w:after="60"/>
        <w:rPr>
          <w:color w:val="000000"/>
          <w:szCs w:val="20"/>
        </w:rPr>
      </w:pPr>
    </w:p>
    <w:p w14:paraId="61C48A3A" w14:textId="77777777" w:rsidR="00CD5272" w:rsidRPr="00B37D12" w:rsidRDefault="00CD5272" w:rsidP="00B37D12">
      <w:pPr>
        <w:rPr>
          <w:b/>
          <w:bCs/>
        </w:rPr>
      </w:pPr>
      <w:r w:rsidRPr="00B37D12">
        <w:rPr>
          <w:b/>
          <w:bCs/>
        </w:rPr>
        <w:t>IOC-UNESCO and SOPM</w:t>
      </w:r>
    </w:p>
    <w:p w14:paraId="4BF7C423" w14:textId="2B28140F" w:rsidR="00CD5272" w:rsidRPr="00CD5272" w:rsidRDefault="00CD5272" w:rsidP="00B37D12">
      <w:pPr>
        <w:rPr>
          <w:lang w:val="en-AU"/>
        </w:rPr>
      </w:pPr>
      <w:r>
        <w:rPr>
          <w:lang w:val="en-AU"/>
        </w:rPr>
        <w:t>I</w:t>
      </w:r>
      <w:r w:rsidRPr="00CD5272">
        <w:rPr>
          <w:lang w:val="en-AU"/>
        </w:rPr>
        <w:t>OC-UNESCO has been instrumental in advancing SOPM through a variety of initiatives and programmes. According to the survey results, the most important initiatives for supporting SOPM are the Global Ocean Observing System (GOOS) and the Marine Spatial Planning programme, each cited by 6</w:t>
      </w:r>
      <w:r w:rsidR="004B098F">
        <w:rPr>
          <w:lang w:val="en-AU"/>
        </w:rPr>
        <w:t>9</w:t>
      </w:r>
      <w:r w:rsidRPr="00CD5272">
        <w:rPr>
          <w:lang w:val="en-AU"/>
        </w:rPr>
        <w:t xml:space="preserve">% of </w:t>
      </w:r>
      <w:r w:rsidR="00AE70C8" w:rsidRPr="00CD5272">
        <w:rPr>
          <w:lang w:val="en-AU"/>
        </w:rPr>
        <w:t>respondents</w:t>
      </w:r>
      <w:r w:rsidRPr="00CD5272">
        <w:rPr>
          <w:lang w:val="en-AU"/>
        </w:rPr>
        <w:t xml:space="preserve">. 64% mentioned the International Oceanographic Data and Information Exchange (IODE). A further 56% of respondents highlighted the State of the Ocean report, and interestingly the Ocean Literacy Programme was also highlighted by 53% of respondents. There are obviously many more relevant IOC-UNESCO programmes highlighted by respondents, interested readers are </w:t>
      </w:r>
      <w:r w:rsidR="00AE70C8">
        <w:rPr>
          <w:lang w:val="en-AU"/>
        </w:rPr>
        <w:t>directed</w:t>
      </w:r>
      <w:r w:rsidRPr="00CD5272">
        <w:rPr>
          <w:lang w:val="en-AU"/>
        </w:rPr>
        <w:t xml:space="preserve"> to the supplementary material Figure 15.</w:t>
      </w:r>
    </w:p>
    <w:p w14:paraId="4E8DB4C7" w14:textId="20A93188" w:rsidR="00B81B83" w:rsidRDefault="00AE70C8" w:rsidP="00B81B83">
      <w:pPr>
        <w:rPr>
          <w:b/>
          <w:bCs/>
          <w:color w:val="000000"/>
          <w:szCs w:val="20"/>
        </w:rPr>
      </w:pPr>
      <w:r>
        <w:rPr>
          <w:b/>
          <w:bCs/>
          <w:color w:val="000000"/>
          <w:szCs w:val="20"/>
        </w:rPr>
        <w:t>Ocean</w:t>
      </w:r>
      <w:r w:rsidR="00B81B83">
        <w:rPr>
          <w:b/>
          <w:bCs/>
          <w:color w:val="000000"/>
          <w:szCs w:val="20"/>
        </w:rPr>
        <w:t xml:space="preserve"> Decade Programme</w:t>
      </w:r>
    </w:p>
    <w:p w14:paraId="194921DA" w14:textId="127E0B78" w:rsidR="00B81B83" w:rsidRDefault="00B81B83" w:rsidP="00B81B83">
      <w:pPr>
        <w:rPr>
          <w:color w:val="000000"/>
          <w:szCs w:val="20"/>
        </w:rPr>
      </w:pPr>
      <w:r>
        <w:rPr>
          <w:color w:val="000000"/>
          <w:szCs w:val="20"/>
        </w:rPr>
        <w:t xml:space="preserve">Specific questions were asked to respondents about what a SOPM Decade Programme should address. </w:t>
      </w:r>
    </w:p>
    <w:p w14:paraId="18B7C491" w14:textId="77F4A495" w:rsidR="00B81B83" w:rsidRDefault="00B81B83" w:rsidP="00B81B83">
      <w:pPr>
        <w:rPr>
          <w:color w:val="000000"/>
          <w:szCs w:val="20"/>
        </w:rPr>
      </w:pPr>
      <w:r>
        <w:rPr>
          <w:color w:val="000000"/>
          <w:szCs w:val="20"/>
        </w:rPr>
        <w:t>63% of participants emphasised the development and implementation of Sustainable Ocean Plans, alongside the need to develop user-driven knowledge, skills, and capacities, which 46.7% of respondents consider highly important.</w:t>
      </w:r>
    </w:p>
    <w:p w14:paraId="75BAF498" w14:textId="77777777" w:rsidR="00B81B83" w:rsidRPr="00B81B83" w:rsidRDefault="00B81B83" w:rsidP="00B37D12">
      <w:pPr>
        <w:rPr>
          <w:color w:val="000000"/>
          <w:szCs w:val="20"/>
        </w:rPr>
      </w:pPr>
      <w:r w:rsidRPr="00B81B83">
        <w:rPr>
          <w:color w:val="000000"/>
          <w:szCs w:val="20"/>
        </w:rPr>
        <w:t>Transforming science into actionable strategies for sustainable development and ocean planning is a significant priority, coupled with the suggestion to include data governance platforms and tools for data visualisation, modelling, and forecasting.</w:t>
      </w:r>
    </w:p>
    <w:p w14:paraId="204662BB" w14:textId="77777777" w:rsidR="00B81B83" w:rsidRPr="00B81B83" w:rsidRDefault="00B81B83" w:rsidP="00B37D12">
      <w:pPr>
        <w:rPr>
          <w:color w:val="000000"/>
          <w:szCs w:val="20"/>
        </w:rPr>
      </w:pPr>
      <w:r w:rsidRPr="00B81B83">
        <w:rPr>
          <w:color w:val="000000"/>
          <w:szCs w:val="20"/>
        </w:rPr>
        <w:t>Collaboration and networking are highlighted as essential, with participants advocating for sharing best practices, capacity development, and securing financing while also emphasising the integration of the programme with existing frameworks like MSP, BBNJ, and regional sea conventions.</w:t>
      </w:r>
    </w:p>
    <w:p w14:paraId="47466EFC" w14:textId="77777777" w:rsidR="00B81B83" w:rsidRPr="00B81B83" w:rsidRDefault="00B81B83" w:rsidP="00B37D12">
      <w:pPr>
        <w:rPr>
          <w:color w:val="000000"/>
          <w:szCs w:val="20"/>
        </w:rPr>
      </w:pPr>
      <w:r w:rsidRPr="00B81B83">
        <w:rPr>
          <w:color w:val="000000"/>
          <w:szCs w:val="20"/>
        </w:rPr>
        <w:t xml:space="preserve">The top prioritised challenge, as identified by 72% of participants, is to protect and restore ecosystems and biodiversity, followed by the </w:t>
      </w:r>
      <w:r w:rsidRPr="00B81B83">
        <w:rPr>
          <w:color w:val="000000"/>
          <w:szCs w:val="20"/>
        </w:rPr>
        <w:lastRenderedPageBreak/>
        <w:t>development of a sustainable and equitable ocean economy, chosen by 56.5% of respondents.</w:t>
      </w:r>
    </w:p>
    <w:p w14:paraId="741C8539" w14:textId="77777777" w:rsidR="00B81B83" w:rsidRDefault="00B81B83" w:rsidP="00B81B83">
      <w:pPr>
        <w:rPr>
          <w:color w:val="000000"/>
          <w:szCs w:val="20"/>
        </w:rPr>
      </w:pPr>
      <w:r w:rsidRPr="00B81B83">
        <w:rPr>
          <w:color w:val="000000"/>
          <w:szCs w:val="20"/>
        </w:rPr>
        <w:t>Inclusivity and equity in community engagement are stressed, with suggestions for incorporating climate considerations into national ocean planning initiatives and addressing safety, security, and environmental pressures on ocean ecosystems.</w:t>
      </w:r>
    </w:p>
    <w:p w14:paraId="663A6AAD" w14:textId="61B4CE16" w:rsidR="00B81B83" w:rsidRDefault="00AE70C8" w:rsidP="00B81B83">
      <w:pPr>
        <w:rPr>
          <w:b/>
          <w:bCs/>
          <w:color w:val="000000"/>
          <w:szCs w:val="20"/>
        </w:rPr>
      </w:pPr>
      <w:r w:rsidRPr="00B37D12">
        <w:rPr>
          <w:b/>
          <w:bCs/>
          <w:color w:val="000000"/>
          <w:szCs w:val="20"/>
        </w:rPr>
        <w:t>Specific</w:t>
      </w:r>
      <w:r w:rsidR="00B81B83" w:rsidRPr="00B37D12">
        <w:rPr>
          <w:b/>
          <w:bCs/>
          <w:color w:val="000000"/>
          <w:szCs w:val="20"/>
        </w:rPr>
        <w:t xml:space="preserve"> findings from the interviews</w:t>
      </w:r>
    </w:p>
    <w:p w14:paraId="02D8D5A5" w14:textId="4518B2CF" w:rsidR="00B81B83" w:rsidRPr="00147B01" w:rsidRDefault="00B81B83" w:rsidP="00B37D12">
      <w:pPr>
        <w:rPr>
          <w:color w:val="000000"/>
          <w:szCs w:val="20"/>
        </w:rPr>
      </w:pPr>
      <w:r w:rsidRPr="00147B01">
        <w:rPr>
          <w:color w:val="000000"/>
          <w:szCs w:val="20"/>
        </w:rPr>
        <w:t xml:space="preserve">Interviews highlighted </w:t>
      </w:r>
      <w:r w:rsidRPr="00B37D12">
        <w:rPr>
          <w:color w:val="000000"/>
          <w:szCs w:val="20"/>
        </w:rPr>
        <w:t>IOC's strengths</w:t>
      </w:r>
      <w:r w:rsidRPr="00147B01">
        <w:rPr>
          <w:color w:val="000000"/>
          <w:szCs w:val="20"/>
        </w:rPr>
        <w:t xml:space="preserve"> in leveraging networks, technical capabilities, and expertise in ocean science-policy interface and MSP</w:t>
      </w:r>
      <w:r w:rsidR="00147B01" w:rsidRPr="00147B01">
        <w:rPr>
          <w:color w:val="000000"/>
          <w:szCs w:val="20"/>
        </w:rPr>
        <w:t xml:space="preserve">. Interviewees made suggestions </w:t>
      </w:r>
      <w:r w:rsidRPr="00147B01">
        <w:rPr>
          <w:color w:val="000000"/>
          <w:szCs w:val="20"/>
        </w:rPr>
        <w:t>integrating them into national development plans and focusing on practical application, including socio-economic, resilience, and climate considerations.</w:t>
      </w:r>
    </w:p>
    <w:p w14:paraId="5C26280E" w14:textId="3FA171DB" w:rsidR="00147B01" w:rsidRPr="00147B01" w:rsidRDefault="00147B01" w:rsidP="00147B01">
      <w:pPr>
        <w:rPr>
          <w:color w:val="000000"/>
          <w:szCs w:val="20"/>
        </w:rPr>
      </w:pPr>
      <w:r w:rsidRPr="00147B01">
        <w:rPr>
          <w:color w:val="000000"/>
          <w:szCs w:val="20"/>
        </w:rPr>
        <w:t xml:space="preserve">Priority areas for the Ocean Decade Framework identified were addressing </w:t>
      </w:r>
      <w:r w:rsidRPr="00B37D12">
        <w:rPr>
          <w:color w:val="000000"/>
          <w:szCs w:val="20"/>
        </w:rPr>
        <w:t>pressures</w:t>
      </w:r>
      <w:r w:rsidRPr="00147B01">
        <w:rPr>
          <w:color w:val="000000"/>
          <w:szCs w:val="20"/>
        </w:rPr>
        <w:t xml:space="preserve"> </w:t>
      </w:r>
      <w:r>
        <w:rPr>
          <w:color w:val="000000"/>
          <w:szCs w:val="20"/>
        </w:rPr>
        <w:t>such as</w:t>
      </w:r>
      <w:r w:rsidRPr="00147B01">
        <w:rPr>
          <w:color w:val="000000"/>
          <w:szCs w:val="20"/>
        </w:rPr>
        <w:t xml:space="preserve"> pollution and climate change, focusing on data and information, creating </w:t>
      </w:r>
      <w:r w:rsidRPr="00B37D12">
        <w:rPr>
          <w:color w:val="000000"/>
          <w:szCs w:val="20"/>
        </w:rPr>
        <w:t>actionable indicators</w:t>
      </w:r>
      <w:r w:rsidRPr="00147B01">
        <w:rPr>
          <w:color w:val="000000"/>
          <w:szCs w:val="20"/>
        </w:rPr>
        <w:t xml:space="preserve">, supporting </w:t>
      </w:r>
      <w:r w:rsidRPr="00B37D12">
        <w:rPr>
          <w:color w:val="000000"/>
          <w:szCs w:val="20"/>
        </w:rPr>
        <w:t>science-based planning</w:t>
      </w:r>
      <w:r w:rsidRPr="00147B01">
        <w:rPr>
          <w:color w:val="000000"/>
          <w:szCs w:val="20"/>
        </w:rPr>
        <w:t>, managing open ocean areas, collaborative knowledge gathering, and data accessibility</w:t>
      </w:r>
      <w:r>
        <w:rPr>
          <w:color w:val="000000"/>
          <w:szCs w:val="20"/>
        </w:rPr>
        <w:t xml:space="preserve">. </w:t>
      </w:r>
      <w:r w:rsidR="00AE70C8">
        <w:rPr>
          <w:color w:val="000000"/>
          <w:szCs w:val="20"/>
        </w:rPr>
        <w:t>With</w:t>
      </w:r>
      <w:r>
        <w:rPr>
          <w:color w:val="000000"/>
          <w:szCs w:val="20"/>
        </w:rPr>
        <w:t xml:space="preserve"> outcomes </w:t>
      </w:r>
      <w:r w:rsidRPr="00147B01">
        <w:rPr>
          <w:color w:val="000000"/>
          <w:szCs w:val="20"/>
        </w:rPr>
        <w:t>supported by activities such as capacity building, data management, cross-sectoral collaboration, financing, stakeholder engagement, and ecosystem protection.</w:t>
      </w:r>
    </w:p>
    <w:p w14:paraId="26E479D9" w14:textId="36350851" w:rsidR="00147B01" w:rsidRPr="00147B01" w:rsidRDefault="00147B01" w:rsidP="00B37D12">
      <w:pPr>
        <w:rPr>
          <w:color w:val="000000"/>
          <w:szCs w:val="20"/>
        </w:rPr>
      </w:pPr>
      <w:r w:rsidRPr="00147B01">
        <w:rPr>
          <w:color w:val="000000"/>
          <w:szCs w:val="20"/>
        </w:rPr>
        <w:t xml:space="preserve">The focal areas for IOC-UNESCO should be enhancing </w:t>
      </w:r>
      <w:r w:rsidRPr="00B37D12">
        <w:rPr>
          <w:color w:val="000000"/>
          <w:szCs w:val="20"/>
        </w:rPr>
        <w:t>data accessibility and management</w:t>
      </w:r>
      <w:r w:rsidRPr="00147B01">
        <w:rPr>
          <w:color w:val="000000"/>
          <w:szCs w:val="20"/>
        </w:rPr>
        <w:t xml:space="preserve">, </w:t>
      </w:r>
      <w:r w:rsidRPr="00B37D12">
        <w:rPr>
          <w:color w:val="000000"/>
          <w:szCs w:val="20"/>
        </w:rPr>
        <w:t>capacity building</w:t>
      </w:r>
      <w:r w:rsidRPr="00147B01">
        <w:rPr>
          <w:color w:val="000000"/>
          <w:szCs w:val="20"/>
        </w:rPr>
        <w:t xml:space="preserve">, </w:t>
      </w:r>
      <w:r w:rsidRPr="00B37D12">
        <w:rPr>
          <w:color w:val="000000"/>
          <w:szCs w:val="20"/>
        </w:rPr>
        <w:t>collaboration</w:t>
      </w:r>
      <w:r w:rsidRPr="00147B01">
        <w:rPr>
          <w:color w:val="000000"/>
          <w:szCs w:val="20"/>
        </w:rPr>
        <w:t xml:space="preserve"> and </w:t>
      </w:r>
      <w:r w:rsidRPr="00B37D12">
        <w:rPr>
          <w:color w:val="000000"/>
          <w:szCs w:val="20"/>
        </w:rPr>
        <w:t>communication</w:t>
      </w:r>
      <w:r w:rsidRPr="00147B01">
        <w:rPr>
          <w:color w:val="000000"/>
          <w:szCs w:val="20"/>
        </w:rPr>
        <w:t xml:space="preserve">, </w:t>
      </w:r>
      <w:r w:rsidRPr="00B37D12">
        <w:rPr>
          <w:color w:val="000000"/>
          <w:szCs w:val="20"/>
        </w:rPr>
        <w:t>regional engagement</w:t>
      </w:r>
      <w:r w:rsidRPr="00147B01">
        <w:rPr>
          <w:color w:val="000000"/>
          <w:szCs w:val="20"/>
        </w:rPr>
        <w:t xml:space="preserve">, and </w:t>
      </w:r>
      <w:r w:rsidRPr="00B37D12">
        <w:rPr>
          <w:color w:val="000000"/>
          <w:szCs w:val="20"/>
        </w:rPr>
        <w:t>integration and innovation</w:t>
      </w:r>
      <w:r w:rsidRPr="00147B01">
        <w:rPr>
          <w:color w:val="000000"/>
          <w:szCs w:val="20"/>
        </w:rPr>
        <w:t>, with crucial outcomes being regular evaluation, baseline development, data standardisation, sustainable resource use, enhanced collaboration, and improved ocean health, supported by activities like capacity building, cross-sectoral planning, technical support, monitoring, and international cooperation.</w:t>
      </w:r>
    </w:p>
    <w:p w14:paraId="26233BB2" w14:textId="3F936F3E" w:rsidR="00147B01" w:rsidRPr="00147B01" w:rsidRDefault="00147B01" w:rsidP="00B37D12">
      <w:pPr>
        <w:rPr>
          <w:color w:val="000000"/>
          <w:szCs w:val="20"/>
        </w:rPr>
      </w:pPr>
      <w:r w:rsidRPr="00147B01">
        <w:rPr>
          <w:color w:val="000000"/>
          <w:szCs w:val="20"/>
        </w:rPr>
        <w:t xml:space="preserve">Existing gaps in current SOP frameworks identified </w:t>
      </w:r>
      <w:r w:rsidR="001833C3">
        <w:rPr>
          <w:color w:val="000000"/>
          <w:szCs w:val="20"/>
        </w:rPr>
        <w:t xml:space="preserve">in reference to a potential </w:t>
      </w:r>
      <w:r w:rsidRPr="00147B01">
        <w:rPr>
          <w:color w:val="000000"/>
          <w:szCs w:val="20"/>
        </w:rPr>
        <w:t xml:space="preserve">Ocean Decade Programmatic Framework include data challenges, capacity and coordination </w:t>
      </w:r>
      <w:r w:rsidRPr="00147B01">
        <w:rPr>
          <w:color w:val="000000"/>
          <w:szCs w:val="20"/>
        </w:rPr>
        <w:t>issues, local engagement needs, and strategic framework requirements</w:t>
      </w:r>
      <w:r w:rsidR="001833C3">
        <w:rPr>
          <w:color w:val="000000"/>
          <w:szCs w:val="20"/>
        </w:rPr>
        <w:t>.</w:t>
      </w:r>
    </w:p>
    <w:p w14:paraId="4DA6DDE8" w14:textId="77777777" w:rsidR="00147B01" w:rsidRPr="00147B01" w:rsidRDefault="00147B01" w:rsidP="00B37D12">
      <w:pPr>
        <w:rPr>
          <w:color w:val="000000"/>
          <w:szCs w:val="20"/>
        </w:rPr>
      </w:pPr>
      <w:r w:rsidRPr="00147B01">
        <w:rPr>
          <w:color w:val="000000"/>
          <w:szCs w:val="20"/>
        </w:rPr>
        <w:t>Recommendations for the Programmatic Framework include incorporating monitoring and evaluation, cross-sectoral collaboration, adaptive management, international cooperation, regional integration, stakeholder engagement, holistic framework development, local engagement, financing, and utilisation of existing efforts to optimise the framework's impact.</w:t>
      </w:r>
    </w:p>
    <w:p w14:paraId="02AC398B" w14:textId="77777777" w:rsidR="00B81B83" w:rsidRDefault="00B81B83" w:rsidP="00B81B83">
      <w:pPr>
        <w:rPr>
          <w:color w:val="000000"/>
          <w:szCs w:val="20"/>
        </w:rPr>
      </w:pPr>
    </w:p>
    <w:p w14:paraId="556328EA" w14:textId="77777777" w:rsidR="00B81B83" w:rsidRDefault="00B81B83" w:rsidP="00B81B83">
      <w:pPr>
        <w:rPr>
          <w:color w:val="000000"/>
          <w:szCs w:val="20"/>
        </w:rPr>
      </w:pPr>
    </w:p>
    <w:p w14:paraId="2FD07F36" w14:textId="77777777" w:rsidR="00B81B83" w:rsidRDefault="00B81B83" w:rsidP="00B81B83">
      <w:pPr>
        <w:rPr>
          <w:color w:val="000000"/>
          <w:szCs w:val="20"/>
        </w:rPr>
      </w:pPr>
    </w:p>
    <w:p w14:paraId="0FF55F0B" w14:textId="77777777" w:rsidR="00EB2B1B" w:rsidRDefault="00EB2B1B" w:rsidP="000904D1">
      <w:pPr>
        <w:rPr>
          <w:color w:val="000000"/>
          <w:szCs w:val="20"/>
        </w:rPr>
      </w:pPr>
    </w:p>
    <w:p w14:paraId="0FA84B5A" w14:textId="77777777" w:rsidR="00147B01" w:rsidRDefault="00147B01" w:rsidP="000904D1">
      <w:pPr>
        <w:rPr>
          <w:color w:val="000000"/>
          <w:szCs w:val="20"/>
        </w:rPr>
      </w:pPr>
    </w:p>
    <w:p w14:paraId="7D4FD30A" w14:textId="77777777" w:rsidR="00147B01" w:rsidRDefault="00147B01" w:rsidP="000904D1">
      <w:pPr>
        <w:rPr>
          <w:color w:val="000000"/>
          <w:szCs w:val="20"/>
        </w:rPr>
      </w:pPr>
    </w:p>
    <w:p w14:paraId="785EB311" w14:textId="77777777" w:rsidR="005669FD" w:rsidRDefault="005669FD" w:rsidP="000904D1">
      <w:pPr>
        <w:rPr>
          <w:color w:val="000000"/>
          <w:szCs w:val="20"/>
        </w:rPr>
      </w:pPr>
    </w:p>
    <w:p w14:paraId="3658B570" w14:textId="77777777" w:rsidR="005669FD" w:rsidRDefault="005669FD" w:rsidP="000904D1">
      <w:pPr>
        <w:rPr>
          <w:color w:val="000000"/>
          <w:szCs w:val="20"/>
        </w:rPr>
      </w:pPr>
    </w:p>
    <w:p w14:paraId="0E6858E7" w14:textId="77777777" w:rsidR="005669FD" w:rsidRDefault="005669FD" w:rsidP="000904D1">
      <w:pPr>
        <w:rPr>
          <w:color w:val="000000"/>
          <w:szCs w:val="20"/>
        </w:rPr>
      </w:pPr>
    </w:p>
    <w:p w14:paraId="05DDAF56" w14:textId="77777777" w:rsidR="005669FD" w:rsidRDefault="005669FD" w:rsidP="000904D1">
      <w:pPr>
        <w:rPr>
          <w:color w:val="000000"/>
          <w:szCs w:val="20"/>
        </w:rPr>
      </w:pPr>
    </w:p>
    <w:p w14:paraId="2AEFA4B7" w14:textId="77777777" w:rsidR="00147B01" w:rsidRDefault="00147B01" w:rsidP="000904D1">
      <w:pPr>
        <w:rPr>
          <w:color w:val="000000"/>
          <w:szCs w:val="20"/>
        </w:rPr>
      </w:pPr>
    </w:p>
    <w:p w14:paraId="5351A197" w14:textId="77777777" w:rsidR="00147B01" w:rsidRDefault="00147B01" w:rsidP="000904D1">
      <w:pPr>
        <w:rPr>
          <w:color w:val="000000"/>
          <w:szCs w:val="20"/>
        </w:rPr>
      </w:pPr>
    </w:p>
    <w:p w14:paraId="51923E08" w14:textId="77777777" w:rsidR="00147B01" w:rsidRDefault="00147B01" w:rsidP="000904D1">
      <w:pPr>
        <w:rPr>
          <w:color w:val="000000"/>
          <w:szCs w:val="20"/>
        </w:rPr>
      </w:pPr>
    </w:p>
    <w:p w14:paraId="4B6DB201" w14:textId="77777777" w:rsidR="00147B01" w:rsidRDefault="00147B01" w:rsidP="000904D1">
      <w:pPr>
        <w:rPr>
          <w:color w:val="000000"/>
          <w:szCs w:val="20"/>
        </w:rPr>
      </w:pPr>
    </w:p>
    <w:p w14:paraId="3F83FEB6" w14:textId="77777777" w:rsidR="00147B01" w:rsidRDefault="00147B01" w:rsidP="000904D1">
      <w:pPr>
        <w:rPr>
          <w:color w:val="000000"/>
          <w:szCs w:val="20"/>
        </w:rPr>
      </w:pPr>
    </w:p>
    <w:p w14:paraId="4241E5C2" w14:textId="77777777" w:rsidR="00147B01" w:rsidRDefault="00147B01" w:rsidP="000904D1">
      <w:pPr>
        <w:rPr>
          <w:color w:val="000000"/>
          <w:szCs w:val="20"/>
        </w:rPr>
      </w:pPr>
    </w:p>
    <w:p w14:paraId="3BB8E09D" w14:textId="77777777" w:rsidR="00147B01" w:rsidRDefault="00147B01" w:rsidP="000904D1">
      <w:pPr>
        <w:rPr>
          <w:color w:val="000000"/>
          <w:szCs w:val="20"/>
        </w:rPr>
      </w:pPr>
    </w:p>
    <w:p w14:paraId="3260BE6C" w14:textId="77777777" w:rsidR="00147B01" w:rsidRDefault="00147B01" w:rsidP="000904D1">
      <w:pPr>
        <w:rPr>
          <w:color w:val="000000"/>
          <w:szCs w:val="20"/>
        </w:rPr>
      </w:pPr>
    </w:p>
    <w:p w14:paraId="3BBA2D7A" w14:textId="77777777" w:rsidR="00147B01" w:rsidRDefault="00147B01" w:rsidP="000904D1">
      <w:pPr>
        <w:rPr>
          <w:color w:val="000000"/>
          <w:szCs w:val="20"/>
        </w:rPr>
      </w:pPr>
    </w:p>
    <w:p w14:paraId="57946AAC" w14:textId="77777777" w:rsidR="00147B01" w:rsidRDefault="00147B01" w:rsidP="000904D1">
      <w:pPr>
        <w:rPr>
          <w:color w:val="000000"/>
          <w:szCs w:val="20"/>
        </w:rPr>
      </w:pPr>
    </w:p>
    <w:p w14:paraId="6893B548" w14:textId="77777777" w:rsidR="00147B01" w:rsidRDefault="00147B01" w:rsidP="000904D1">
      <w:pPr>
        <w:rPr>
          <w:color w:val="000000"/>
          <w:szCs w:val="20"/>
        </w:rPr>
      </w:pPr>
    </w:p>
    <w:bookmarkEnd w:id="0"/>
    <w:p w14:paraId="52F0B815" w14:textId="6295B701" w:rsidR="00DD59BF" w:rsidRPr="00DD59BF" w:rsidRDefault="00DD59BF" w:rsidP="00B37D12">
      <w:pPr>
        <w:rPr>
          <w:lang w:val="en-AU"/>
        </w:rPr>
      </w:pPr>
    </w:p>
    <w:sectPr w:rsidR="00DD59BF" w:rsidRPr="00DD59BF" w:rsidSect="0068536B">
      <w:type w:val="continuous"/>
      <w:pgSz w:w="11906" w:h="16838"/>
      <w:pgMar w:top="1902" w:right="1440" w:bottom="1440" w:left="1440" w:header="823" w:footer="49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74AD" w14:textId="77777777" w:rsidR="008B4469" w:rsidRDefault="008B4469" w:rsidP="004F3749">
      <w:pPr>
        <w:spacing w:after="0" w:line="240" w:lineRule="auto"/>
      </w:pPr>
      <w:r>
        <w:separator/>
      </w:r>
    </w:p>
  </w:endnote>
  <w:endnote w:type="continuationSeparator" w:id="0">
    <w:p w14:paraId="593D3BE3" w14:textId="77777777" w:rsidR="008B4469" w:rsidRDefault="008B4469" w:rsidP="004F3749">
      <w:pPr>
        <w:spacing w:after="0" w:line="240" w:lineRule="auto"/>
      </w:pPr>
      <w:r>
        <w:continuationSeparator/>
      </w:r>
    </w:p>
  </w:endnote>
  <w:endnote w:type="continuationNotice" w:id="1">
    <w:p w14:paraId="39EC4410" w14:textId="77777777" w:rsidR="008B4469" w:rsidRDefault="008B4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Hoofdtekst CS)">
    <w:altName w:val="Times New Roman"/>
    <w:charset w:val="00"/>
    <w:family w:val="roman"/>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2243004"/>
      <w:docPartObj>
        <w:docPartGallery w:val="Page Numbers (Bottom of Page)"/>
        <w:docPartUnique/>
      </w:docPartObj>
    </w:sdtPr>
    <w:sdtEndPr>
      <w:rPr>
        <w:rStyle w:val="PageNumber"/>
      </w:rPr>
    </w:sdtEndPr>
    <w:sdtContent>
      <w:p w14:paraId="512967FC" w14:textId="715950AE" w:rsidR="00A20C1B" w:rsidRDefault="00A20C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A2A812" w14:textId="77777777" w:rsidR="00A20C1B" w:rsidRDefault="00A20C1B" w:rsidP="00A20C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8247278"/>
      <w:docPartObj>
        <w:docPartGallery w:val="Page Numbers (Bottom of Page)"/>
        <w:docPartUnique/>
      </w:docPartObj>
    </w:sdtPr>
    <w:sdtEndPr>
      <w:rPr>
        <w:rStyle w:val="PageNumber"/>
        <w:color w:val="535353" w:themeColor="text1"/>
      </w:rPr>
    </w:sdtEndPr>
    <w:sdtContent>
      <w:p w14:paraId="0A792211" w14:textId="1D705DBA" w:rsidR="00A20C1B" w:rsidRDefault="00A20C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00DCD02" w14:textId="77777777" w:rsidR="00A20C1B" w:rsidRDefault="00A20C1B" w:rsidP="00A20C1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04C8" w14:textId="77777777" w:rsidR="00DC44FD" w:rsidRDefault="00DC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B343" w14:textId="77777777" w:rsidR="008B4469" w:rsidRDefault="008B4469" w:rsidP="004F3749">
      <w:pPr>
        <w:spacing w:after="0" w:line="240" w:lineRule="auto"/>
      </w:pPr>
      <w:r>
        <w:separator/>
      </w:r>
    </w:p>
  </w:footnote>
  <w:footnote w:type="continuationSeparator" w:id="0">
    <w:p w14:paraId="07BF25E2" w14:textId="77777777" w:rsidR="008B4469" w:rsidRDefault="008B4469" w:rsidP="004F3749">
      <w:pPr>
        <w:spacing w:after="0" w:line="240" w:lineRule="auto"/>
      </w:pPr>
      <w:r>
        <w:continuationSeparator/>
      </w:r>
    </w:p>
  </w:footnote>
  <w:footnote w:type="continuationNotice" w:id="1">
    <w:p w14:paraId="34884776" w14:textId="77777777" w:rsidR="008B4469" w:rsidRDefault="008B4469">
      <w:pPr>
        <w:spacing w:after="0" w:line="240" w:lineRule="auto"/>
      </w:pPr>
    </w:p>
  </w:footnote>
  <w:footnote w:id="2">
    <w:p w14:paraId="40B50EC3" w14:textId="553E70B1" w:rsidR="000D4A3E" w:rsidRPr="00B37D12" w:rsidRDefault="000D4A3E">
      <w:pPr>
        <w:pStyle w:val="FootnoteText"/>
        <w:rPr>
          <w:lang w:val="en-US"/>
        </w:rPr>
      </w:pPr>
      <w:r>
        <w:rPr>
          <w:rStyle w:val="FootnoteReference"/>
        </w:rPr>
        <w:footnoteRef/>
      </w:r>
      <w:r>
        <w:t xml:space="preserve"> </w:t>
      </w:r>
      <w:r>
        <w:rPr>
          <w:lang w:val="en-US"/>
        </w:rPr>
        <w:t>It is worth noting the geographically spread of respondents and that most are from developed countries.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F27C" w14:textId="77777777" w:rsidR="00763E41" w:rsidRDefault="00763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C0C7" w14:textId="3B412EA4" w:rsidR="001B5CCD" w:rsidRPr="00542CC8" w:rsidRDefault="001B5CCD" w:rsidP="00542CC8">
    <w:pPr>
      <w:rPr>
        <w:color w:val="ACACAC" w:themeColor="background2" w:themeShade="BF"/>
        <w:lang w:val="en-US"/>
      </w:rPr>
    </w:pPr>
    <w:r w:rsidRPr="00542CC8">
      <w:rPr>
        <w:noProof/>
        <w:color w:val="ACACAC" w:themeColor="background2" w:themeShade="BF"/>
        <w:sz w:val="16"/>
        <w:szCs w:val="16"/>
        <w:lang w:val="en-US"/>
      </w:rPr>
      <w:drawing>
        <wp:anchor distT="0" distB="0" distL="114300" distR="114300" simplePos="0" relativeHeight="251658241" behindDoc="0" locked="0" layoutInCell="1" allowOverlap="1" wp14:anchorId="30D2B191" wp14:editId="30CF59E7">
          <wp:simplePos x="0" y="0"/>
          <wp:positionH relativeFrom="column">
            <wp:posOffset>5367655</wp:posOffset>
          </wp:positionH>
          <wp:positionV relativeFrom="paragraph">
            <wp:posOffset>-132171</wp:posOffset>
          </wp:positionV>
          <wp:extent cx="379730" cy="379730"/>
          <wp:effectExtent l="0" t="0" r="1270" b="1270"/>
          <wp:wrapSquare wrapText="bothSides"/>
          <wp:docPr id="433797602" name="Picture 187338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98221" name="Graphic 12573982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9730" cy="379730"/>
                  </a:xfrm>
                  <a:prstGeom prst="rect">
                    <a:avLst/>
                  </a:prstGeom>
                </pic:spPr>
              </pic:pic>
            </a:graphicData>
          </a:graphic>
          <wp14:sizeRelH relativeFrom="page">
            <wp14:pctWidth>0</wp14:pctWidth>
          </wp14:sizeRelH>
          <wp14:sizeRelV relativeFrom="page">
            <wp14:pctHeight>0</wp14:pctHeight>
          </wp14:sizeRelV>
        </wp:anchor>
      </w:drawing>
    </w:r>
    <w:r w:rsidR="00EF590B">
      <w:rPr>
        <w:color w:val="ACACAC" w:themeColor="background2" w:themeShade="BF"/>
        <w:sz w:val="16"/>
        <w:szCs w:val="16"/>
        <w:lang w:val="en-US"/>
      </w:rPr>
      <w:t xml:space="preserve">Stakeholder engagement </w:t>
    </w:r>
    <w:r w:rsidR="00DC44FD">
      <w:rPr>
        <w:color w:val="ACACAC" w:themeColor="background2" w:themeShade="BF"/>
        <w:sz w:val="16"/>
        <w:szCs w:val="16"/>
        <w:lang w:val="en-US"/>
      </w:rPr>
      <w:t>results brief</w:t>
    </w:r>
    <w:r w:rsidR="00DC44FD" w:rsidRPr="00542CC8">
      <w:rPr>
        <w:color w:val="ACACAC" w:themeColor="background2" w:themeShade="BF"/>
        <w:sz w:val="16"/>
        <w:szCs w:val="16"/>
        <w:lang w:val="en-US"/>
      </w:rPr>
      <w:t xml:space="preserve"> </w:t>
    </w:r>
    <w:r w:rsidRPr="00542CC8">
      <w:rPr>
        <w:color w:val="ACACAC" w:themeColor="background2" w:themeShade="BF"/>
        <w:sz w:val="16"/>
        <w:szCs w:val="16"/>
        <w:lang w:val="en-US"/>
      </w:rPr>
      <w:t xml:space="preserve">| </w:t>
    </w:r>
    <w:r w:rsidR="00AE70C8">
      <w:rPr>
        <w:color w:val="ACACAC" w:themeColor="background2" w:themeShade="BF"/>
        <w:sz w:val="16"/>
        <w:szCs w:val="16"/>
        <w:lang w:val="en-US"/>
      </w:rPr>
      <w:t>February</w:t>
    </w:r>
    <w:r w:rsidRPr="00542CC8">
      <w:rPr>
        <w:color w:val="ACACAC" w:themeColor="background2" w:themeShade="BF"/>
        <w:sz w:val="16"/>
        <w:szCs w:val="16"/>
        <w:lang w:val="en-US"/>
      </w:rPr>
      <w:t xml:space="preserve"> 202</w:t>
    </w:r>
    <w:r w:rsidR="00EF590B">
      <w:rPr>
        <w:color w:val="ACACAC" w:themeColor="background2" w:themeShade="BF"/>
        <w:sz w:val="16"/>
        <w:szCs w:val="16"/>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CCC" w14:textId="151B74F5" w:rsidR="007E52C9" w:rsidRDefault="007E52C9" w:rsidP="00C62459">
    <w:pPr>
      <w:ind w:left="2552"/>
      <w:jc w:val="right"/>
      <w:rPr>
        <w:b/>
        <w:bCs/>
        <w:color w:val="FFFFFF" w:themeColor="text2"/>
        <w:sz w:val="16"/>
        <w:szCs w:val="21"/>
      </w:rPr>
    </w:pPr>
    <w:r w:rsidRPr="00746EFE">
      <w:rPr>
        <w:noProof/>
        <w:color w:val="FFFFFF" w:themeColor="text2"/>
        <w:sz w:val="18"/>
        <w:szCs w:val="21"/>
      </w:rPr>
      <w:drawing>
        <wp:anchor distT="0" distB="0" distL="114300" distR="114300" simplePos="0" relativeHeight="251658242" behindDoc="1" locked="0" layoutInCell="1" allowOverlap="1" wp14:anchorId="08C0A49E" wp14:editId="5B5DEE4E">
          <wp:simplePos x="0" y="0"/>
          <wp:positionH relativeFrom="column">
            <wp:posOffset>0</wp:posOffset>
          </wp:positionH>
          <wp:positionV relativeFrom="paragraph">
            <wp:posOffset>-24039</wp:posOffset>
          </wp:positionV>
          <wp:extent cx="1353185" cy="396875"/>
          <wp:effectExtent l="0" t="0" r="5715" b="0"/>
          <wp:wrapNone/>
          <wp:docPr id="1517769904" name="Picture 1845228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070472" name="Graphic 189207047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53185" cy="396875"/>
                  </a:xfrm>
                  <a:prstGeom prst="rect">
                    <a:avLst/>
                  </a:prstGeom>
                </pic:spPr>
              </pic:pic>
            </a:graphicData>
          </a:graphic>
          <wp14:sizeRelH relativeFrom="page">
            <wp14:pctWidth>0</wp14:pctWidth>
          </wp14:sizeRelH>
          <wp14:sizeRelV relativeFrom="page">
            <wp14:pctHeight>0</wp14:pctHeight>
          </wp14:sizeRelV>
        </wp:anchor>
      </w:drawing>
    </w:r>
    <w:r w:rsidRPr="00746EFE">
      <w:rPr>
        <w:noProof/>
        <w:color w:val="FFFFFF" w:themeColor="text2"/>
      </w:rPr>
      <mc:AlternateContent>
        <mc:Choice Requires="wps">
          <w:drawing>
            <wp:anchor distT="0" distB="0" distL="114300" distR="114300" simplePos="0" relativeHeight="251658240" behindDoc="1" locked="0" layoutInCell="1" allowOverlap="1" wp14:anchorId="67C2A883" wp14:editId="32FDF68D">
              <wp:simplePos x="0" y="0"/>
              <wp:positionH relativeFrom="column">
                <wp:posOffset>-1089025</wp:posOffset>
              </wp:positionH>
              <wp:positionV relativeFrom="paragraph">
                <wp:posOffset>-525418</wp:posOffset>
              </wp:positionV>
              <wp:extent cx="7975843" cy="10894533"/>
              <wp:effectExtent l="0" t="0" r="0" b="2540"/>
              <wp:wrapNone/>
              <wp:docPr id="848955134" name="Rectangle 848955134"/>
              <wp:cNvGraphicFramePr/>
              <a:graphic xmlns:a="http://schemas.openxmlformats.org/drawingml/2006/main">
                <a:graphicData uri="http://schemas.microsoft.com/office/word/2010/wordprocessingShape">
                  <wps:wsp>
                    <wps:cNvSpPr/>
                    <wps:spPr>
                      <a:xfrm>
                        <a:off x="0" y="0"/>
                        <a:ext cx="7975843" cy="1089453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svg="http://schemas.microsoft.com/office/drawing/2016/SVG/main" xmlns:arto="http://schemas.microsoft.com/office/word/2006/arto">
          <w:pict>
            <v:rect id="Rectangle 848955134" style="position:absolute;margin-left:-85.75pt;margin-top:-41.35pt;width:628pt;height:85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e5763 [3204]" stroked="f" strokeweight="1pt" w14:anchorId="2B0FF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"/>
          </w:pict>
        </mc:Fallback>
      </mc:AlternateContent>
    </w:r>
  </w:p>
  <w:p w14:paraId="37AFE8B6" w14:textId="7B58B4C2" w:rsidR="007E52C9" w:rsidRDefault="007E52C9" w:rsidP="00C62459">
    <w:pPr>
      <w:ind w:left="2552"/>
      <w:jc w:val="right"/>
      <w:rPr>
        <w:b/>
        <w:bCs/>
        <w:color w:val="FFFFFF" w:themeColor="text2"/>
        <w:sz w:val="16"/>
        <w:szCs w:val="21"/>
      </w:rPr>
    </w:pPr>
    <w:bookmarkStart w:id="1" w:name="_Toc98399110"/>
    <w:r w:rsidRPr="007E52C9">
      <w:rPr>
        <w:b/>
        <w:bCs/>
        <w:color w:val="FFFFFF" w:themeColor="text2"/>
        <w:sz w:val="16"/>
        <w:szCs w:val="21"/>
      </w:rPr>
      <w:t>UNSW SDR Hub</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611"/>
    <w:multiLevelType w:val="multilevel"/>
    <w:tmpl w:val="193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2820"/>
    <w:multiLevelType w:val="multilevel"/>
    <w:tmpl w:val="6E5E8FA6"/>
    <w:styleLink w:val="CurrentList3"/>
    <w:lvl w:ilvl="0">
      <w:start w:val="1"/>
      <w:numFmt w:val="bullet"/>
      <w:lvlText w:val="o"/>
      <w:lvlJc w:val="left"/>
      <w:pPr>
        <w:ind w:left="1359" w:hanging="227"/>
      </w:pPr>
      <w:rPr>
        <w:rFonts w:ascii="Courier New" w:hAnsi="Courier New" w:hint="default"/>
        <w:color w:val="535353" w:themeColor="text1"/>
        <w:u w:val="none"/>
      </w:rPr>
    </w:lvl>
    <w:lvl w:ilvl="1">
      <w:start w:val="1"/>
      <w:numFmt w:val="bullet"/>
      <w:lvlText w:val="o"/>
      <w:lvlJc w:val="left"/>
      <w:pPr>
        <w:ind w:left="1304" w:firstLine="0"/>
      </w:pPr>
      <w:rPr>
        <w:rFonts w:ascii="Courier New" w:hAnsi="Courier New" w:hint="default"/>
        <w:color w:val="535353" w:themeColor="text1"/>
        <w:sz w:val="18"/>
      </w:rPr>
    </w:lvl>
    <w:lvl w:ilvl="2">
      <w:start w:val="1"/>
      <w:numFmt w:val="bullet"/>
      <w:lvlText w:val="o"/>
      <w:lvlJc w:val="left"/>
      <w:pPr>
        <w:ind w:left="2040" w:hanging="227"/>
      </w:pPr>
      <w:rPr>
        <w:rFonts w:ascii="Courier New" w:hAnsi="Courier New" w:hint="default"/>
        <w:color w:val="535353" w:themeColor="text1"/>
      </w:rPr>
    </w:lvl>
    <w:lvl w:ilvl="3">
      <w:start w:val="1"/>
      <w:numFmt w:val="bullet"/>
      <w:lvlText w:val="o"/>
      <w:lvlJc w:val="left"/>
      <w:pPr>
        <w:ind w:left="2380" w:hanging="227"/>
      </w:pPr>
      <w:rPr>
        <w:rFonts w:ascii="Courier New" w:hAnsi="Courier New" w:hint="default"/>
        <w:color w:val="E6E6E6" w:themeColor="background2"/>
      </w:rPr>
    </w:lvl>
    <w:lvl w:ilvl="4">
      <w:start w:val="1"/>
      <w:numFmt w:val="bullet"/>
      <w:lvlText w:val=""/>
      <w:lvlJc w:val="left"/>
      <w:pPr>
        <w:ind w:left="2720" w:hanging="227"/>
      </w:pPr>
      <w:rPr>
        <w:rFonts w:ascii="Wingdings" w:hAnsi="Wingdings" w:hint="default"/>
        <w:color w:val="E6E6E6" w:themeColor="background2"/>
        <w:sz w:val="44"/>
      </w:rPr>
    </w:lvl>
    <w:lvl w:ilvl="5">
      <w:start w:val="1"/>
      <w:numFmt w:val="bullet"/>
      <w:lvlText w:val=""/>
      <w:lvlJc w:val="left"/>
      <w:pPr>
        <w:ind w:left="3060" w:hanging="227"/>
      </w:pPr>
      <w:rPr>
        <w:rFonts w:ascii="Wingdings" w:hAnsi="Wingdings" w:hint="default"/>
        <w:color w:val="E6E6E6" w:themeColor="background2"/>
      </w:rPr>
    </w:lvl>
    <w:lvl w:ilvl="6">
      <w:start w:val="1"/>
      <w:numFmt w:val="bullet"/>
      <w:lvlText w:val="§"/>
      <w:lvlJc w:val="left"/>
      <w:pPr>
        <w:ind w:left="3400" w:hanging="226"/>
      </w:pPr>
      <w:rPr>
        <w:rFonts w:ascii="Wingdings" w:hAnsi="Wingdings" w:hint="default"/>
        <w:color w:val="E6E6E6" w:themeColor="background2"/>
      </w:rPr>
    </w:lvl>
    <w:lvl w:ilvl="7">
      <w:start w:val="1"/>
      <w:numFmt w:val="bullet"/>
      <w:lvlText w:val="§"/>
      <w:lvlJc w:val="left"/>
      <w:pPr>
        <w:ind w:left="3741" w:hanging="227"/>
      </w:pPr>
      <w:rPr>
        <w:rFonts w:ascii="Wingdings" w:hAnsi="Wingdings" w:hint="default"/>
        <w:color w:val="E6E6E6" w:themeColor="background2"/>
      </w:rPr>
    </w:lvl>
    <w:lvl w:ilvl="8">
      <w:start w:val="1"/>
      <w:numFmt w:val="bullet"/>
      <w:lvlText w:val="§"/>
      <w:lvlJc w:val="left"/>
      <w:pPr>
        <w:ind w:left="4081" w:hanging="227"/>
      </w:pPr>
      <w:rPr>
        <w:rFonts w:ascii="Wingdings" w:hAnsi="Wingdings" w:hint="default"/>
        <w:color w:val="E6E6E6" w:themeColor="background2"/>
      </w:rPr>
    </w:lvl>
  </w:abstractNum>
  <w:abstractNum w:abstractNumId="2" w15:restartNumberingAfterBreak="0">
    <w:nsid w:val="1EE446D4"/>
    <w:multiLevelType w:val="multilevel"/>
    <w:tmpl w:val="962EDFD2"/>
    <w:styleLink w:val="CurrentList1"/>
    <w:lvl w:ilvl="0">
      <w:start w:val="1"/>
      <w:numFmt w:val="bullet"/>
      <w:lvlText w:val=""/>
      <w:lvlJc w:val="left"/>
      <w:pPr>
        <w:ind w:left="340" w:hanging="227"/>
      </w:pPr>
      <w:rPr>
        <w:rFonts w:ascii="Wingdings" w:hAnsi="Wingdings" w:hint="default"/>
        <w:color w:val="E6E6E6" w:themeColor="background2"/>
        <w:u w:val="none"/>
      </w:rPr>
    </w:lvl>
    <w:lvl w:ilvl="1">
      <w:start w:val="1"/>
      <w:numFmt w:val="bullet"/>
      <w:lvlText w:val="§"/>
      <w:lvlJc w:val="left"/>
      <w:pPr>
        <w:ind w:left="680" w:hanging="226"/>
      </w:pPr>
      <w:rPr>
        <w:rFonts w:ascii="Wingdings" w:hAnsi="Wingdings" w:hint="default"/>
        <w:color w:val="E6E6E6" w:themeColor="background2"/>
        <w:sz w:val="18"/>
      </w:rPr>
    </w:lvl>
    <w:lvl w:ilvl="2">
      <w:start w:val="1"/>
      <w:numFmt w:val="bullet"/>
      <w:lvlText w:val=""/>
      <w:lvlJc w:val="left"/>
      <w:pPr>
        <w:ind w:left="1021" w:hanging="227"/>
      </w:pPr>
      <w:rPr>
        <w:rFonts w:ascii="Wingdings" w:hAnsi="Wingdings" w:hint="default"/>
        <w:color w:val="E6E6E6" w:themeColor="background2"/>
      </w:rPr>
    </w:lvl>
    <w:lvl w:ilvl="3">
      <w:start w:val="1"/>
      <w:numFmt w:val="bullet"/>
      <w:lvlText w:val="§"/>
      <w:lvlJc w:val="left"/>
      <w:pPr>
        <w:ind w:left="1361" w:hanging="227"/>
      </w:pPr>
      <w:rPr>
        <w:rFonts w:ascii="Wingdings" w:hAnsi="Wingdings" w:hint="default"/>
        <w:color w:val="E6E6E6" w:themeColor="background2"/>
      </w:rPr>
    </w:lvl>
    <w:lvl w:ilvl="4">
      <w:start w:val="1"/>
      <w:numFmt w:val="bullet"/>
      <w:lvlText w:val="§"/>
      <w:lvlJc w:val="left"/>
      <w:pPr>
        <w:ind w:left="1701" w:hanging="227"/>
      </w:pPr>
      <w:rPr>
        <w:rFonts w:ascii="Wingdings" w:hAnsi="Wingdings" w:hint="default"/>
        <w:color w:val="E6E6E6" w:themeColor="background2"/>
        <w:sz w:val="44"/>
      </w:rPr>
    </w:lvl>
    <w:lvl w:ilvl="5">
      <w:start w:val="1"/>
      <w:numFmt w:val="bullet"/>
      <w:lvlText w:val=""/>
      <w:lvlJc w:val="left"/>
      <w:pPr>
        <w:ind w:left="2041" w:hanging="227"/>
      </w:pPr>
      <w:rPr>
        <w:rFonts w:ascii="Wingdings" w:hAnsi="Wingdings" w:hint="default"/>
        <w:color w:val="E6E6E6" w:themeColor="background2"/>
      </w:rPr>
    </w:lvl>
    <w:lvl w:ilvl="6">
      <w:start w:val="1"/>
      <w:numFmt w:val="bullet"/>
      <w:lvlText w:val="§"/>
      <w:lvlJc w:val="left"/>
      <w:pPr>
        <w:ind w:left="2381" w:hanging="226"/>
      </w:pPr>
      <w:rPr>
        <w:rFonts w:ascii="Wingdings" w:hAnsi="Wingdings" w:hint="default"/>
        <w:color w:val="E6E6E6" w:themeColor="background2"/>
      </w:rPr>
    </w:lvl>
    <w:lvl w:ilvl="7">
      <w:start w:val="1"/>
      <w:numFmt w:val="bullet"/>
      <w:lvlText w:val="§"/>
      <w:lvlJc w:val="left"/>
      <w:pPr>
        <w:ind w:left="2722" w:hanging="227"/>
      </w:pPr>
      <w:rPr>
        <w:rFonts w:ascii="Wingdings" w:hAnsi="Wingdings" w:hint="default"/>
        <w:color w:val="E6E6E6" w:themeColor="background2"/>
      </w:rPr>
    </w:lvl>
    <w:lvl w:ilvl="8">
      <w:start w:val="1"/>
      <w:numFmt w:val="bullet"/>
      <w:lvlText w:val="§"/>
      <w:lvlJc w:val="left"/>
      <w:pPr>
        <w:ind w:left="3062" w:hanging="227"/>
      </w:pPr>
      <w:rPr>
        <w:rFonts w:ascii="Wingdings" w:hAnsi="Wingdings" w:hint="default"/>
        <w:color w:val="E6E6E6" w:themeColor="background2"/>
      </w:rPr>
    </w:lvl>
  </w:abstractNum>
  <w:abstractNum w:abstractNumId="3" w15:restartNumberingAfterBreak="0">
    <w:nsid w:val="22BD6D9D"/>
    <w:multiLevelType w:val="multilevel"/>
    <w:tmpl w:val="B18CF504"/>
    <w:lvl w:ilvl="0">
      <w:start w:val="1"/>
      <w:numFmt w:val="decimal"/>
      <w:pStyle w:val="Numberedlist-6pt"/>
      <w:lvlText w:val="%1."/>
      <w:lvlJc w:val="left"/>
      <w:pPr>
        <w:ind w:left="360" w:hanging="360"/>
      </w:pPr>
      <w:rPr>
        <w:rFonts w:cs="Times New Roman (Body CS)"/>
        <w:color w:val="718C9B" w:themeColor="accent2"/>
      </w:rPr>
    </w:lvl>
    <w:lvl w:ilvl="1">
      <w:start w:val="1"/>
      <w:numFmt w:val="decimal"/>
      <w:lvlText w:val="%1.%2."/>
      <w:lvlJc w:val="left"/>
      <w:pPr>
        <w:ind w:left="792" w:hanging="432"/>
      </w:pPr>
      <w:rPr>
        <w:rFonts w:cs="Times New Roman (Body CS)"/>
        <w:color w:val="718C9B" w:themeColor="accent2"/>
      </w:rPr>
    </w:lvl>
    <w:lvl w:ilvl="2">
      <w:start w:val="1"/>
      <w:numFmt w:val="decimal"/>
      <w:lvlText w:val="%1.%2.%3."/>
      <w:lvlJc w:val="left"/>
      <w:pPr>
        <w:ind w:left="1224" w:hanging="504"/>
      </w:pPr>
      <w:rPr>
        <w:rFonts w:cs="Times New Roman (Body CS)"/>
        <w:color w:val="718C9B" w:themeColor="accent2"/>
      </w:rPr>
    </w:lvl>
    <w:lvl w:ilvl="3">
      <w:start w:val="1"/>
      <w:numFmt w:val="decimal"/>
      <w:lvlText w:val="%1.%2.%3.%4."/>
      <w:lvlJc w:val="left"/>
      <w:pPr>
        <w:ind w:left="1728" w:hanging="648"/>
      </w:pPr>
      <w:rPr>
        <w:color w:val="E6E6E6" w:themeColor="background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4D7D9A"/>
    <w:multiLevelType w:val="multilevel"/>
    <w:tmpl w:val="E83E2A38"/>
    <w:styleLink w:val="Stijl1"/>
    <w:lvl w:ilvl="0">
      <w:start w:val="1"/>
      <w:numFmt w:val="decimal"/>
      <w:pStyle w:val="List"/>
      <w:lvlText w:val="%1."/>
      <w:lvlJc w:val="left"/>
      <w:pPr>
        <w:ind w:left="360" w:hanging="360"/>
      </w:pPr>
      <w:rPr>
        <w:rFonts w:hint="default"/>
        <w:color w:val="718C9B" w:themeColor="accent2"/>
      </w:rPr>
    </w:lvl>
    <w:lvl w:ilvl="1">
      <w:start w:val="1"/>
      <w:numFmt w:val="lowerLetter"/>
      <w:lvlText w:val="%2."/>
      <w:lvlJc w:val="left"/>
      <w:pPr>
        <w:ind w:left="720" w:hanging="360"/>
      </w:pPr>
      <w:rPr>
        <w:rFonts w:hint="default"/>
        <w:color w:val="718C9B" w:themeColor="accent2"/>
      </w:rPr>
    </w:lvl>
    <w:lvl w:ilvl="2">
      <w:start w:val="1"/>
      <w:numFmt w:val="lowerRoman"/>
      <w:lvlText w:val="%3."/>
      <w:lvlJc w:val="left"/>
      <w:pPr>
        <w:ind w:left="1080" w:hanging="360"/>
      </w:pPr>
      <w:rPr>
        <w:rFonts w:hint="default"/>
        <w:color w:val="718C9B" w:themeColor="accent2"/>
      </w:rPr>
    </w:lvl>
    <w:lvl w:ilvl="3">
      <w:start w:val="1"/>
      <w:numFmt w:val="decimal"/>
      <w:lvlText w:val="%4."/>
      <w:lvlJc w:val="left"/>
      <w:pPr>
        <w:ind w:left="1440" w:hanging="360"/>
      </w:pPr>
      <w:rPr>
        <w:rFonts w:hint="default"/>
        <w:color w:val="718C9B" w:themeColor="accent2"/>
      </w:rPr>
    </w:lvl>
    <w:lvl w:ilvl="4">
      <w:start w:val="1"/>
      <w:numFmt w:val="lowerLetter"/>
      <w:lvlText w:val="%5."/>
      <w:lvlJc w:val="left"/>
      <w:pPr>
        <w:ind w:left="1800" w:hanging="360"/>
      </w:pPr>
      <w:rPr>
        <w:rFonts w:hint="default"/>
        <w:color w:val="718C9B" w:themeColor="accent2"/>
      </w:rPr>
    </w:lvl>
    <w:lvl w:ilvl="5">
      <w:start w:val="1"/>
      <w:numFmt w:val="lowerRoman"/>
      <w:lvlText w:val="(%6)"/>
      <w:lvlJc w:val="left"/>
      <w:pPr>
        <w:ind w:left="2160" w:hanging="360"/>
      </w:pPr>
      <w:rPr>
        <w:rFonts w:hint="default"/>
        <w:color w:val="E6E6E6" w:themeColor="background2"/>
      </w:rPr>
    </w:lvl>
    <w:lvl w:ilvl="6">
      <w:start w:val="1"/>
      <w:numFmt w:val="decimal"/>
      <w:lvlText w:val="%7."/>
      <w:lvlJc w:val="left"/>
      <w:pPr>
        <w:ind w:left="2520" w:hanging="360"/>
      </w:pPr>
      <w:rPr>
        <w:rFonts w:hint="default"/>
        <w:color w:val="E6E6E6" w:themeColor="background2"/>
      </w:rPr>
    </w:lvl>
    <w:lvl w:ilvl="7">
      <w:start w:val="1"/>
      <w:numFmt w:val="lowerLetter"/>
      <w:lvlText w:val="%8."/>
      <w:lvlJc w:val="left"/>
      <w:pPr>
        <w:ind w:left="2880" w:hanging="360"/>
      </w:pPr>
      <w:rPr>
        <w:rFonts w:hint="default"/>
        <w:color w:val="E6E6E6" w:themeColor="background2"/>
      </w:rPr>
    </w:lvl>
    <w:lvl w:ilvl="8">
      <w:start w:val="1"/>
      <w:numFmt w:val="lowerRoman"/>
      <w:lvlText w:val="%9."/>
      <w:lvlJc w:val="left"/>
      <w:pPr>
        <w:ind w:left="3240" w:hanging="360"/>
      </w:pPr>
      <w:rPr>
        <w:rFonts w:hint="default"/>
        <w:color w:val="E6E6E6" w:themeColor="background2"/>
      </w:rPr>
    </w:lvl>
  </w:abstractNum>
  <w:abstractNum w:abstractNumId="5" w15:restartNumberingAfterBreak="0">
    <w:nsid w:val="2D8D40D0"/>
    <w:multiLevelType w:val="multilevel"/>
    <w:tmpl w:val="86F4A312"/>
    <w:styleLink w:val="CurrentList5"/>
    <w:lvl w:ilvl="0">
      <w:start w:val="1"/>
      <w:numFmt w:val="bullet"/>
      <w:lvlText w:val="o"/>
      <w:lvlJc w:val="left"/>
      <w:pPr>
        <w:ind w:left="1359" w:hanging="227"/>
      </w:pPr>
      <w:rPr>
        <w:rFonts w:ascii="Courier New" w:hAnsi="Courier New" w:hint="default"/>
        <w:color w:val="535353" w:themeColor="text1"/>
        <w:u w:val="none"/>
      </w:rPr>
    </w:lvl>
    <w:lvl w:ilvl="1">
      <w:start w:val="1"/>
      <w:numFmt w:val="bullet"/>
      <w:lvlText w:val="o"/>
      <w:lvlJc w:val="left"/>
      <w:pPr>
        <w:ind w:left="907" w:hanging="340"/>
      </w:pPr>
      <w:rPr>
        <w:rFonts w:ascii="Courier New" w:hAnsi="Courier New" w:hint="default"/>
        <w:color w:val="535353" w:themeColor="text1"/>
        <w:sz w:val="18"/>
      </w:rPr>
    </w:lvl>
    <w:lvl w:ilvl="2">
      <w:start w:val="1"/>
      <w:numFmt w:val="bullet"/>
      <w:lvlText w:val="o"/>
      <w:lvlJc w:val="left"/>
      <w:pPr>
        <w:ind w:left="1361" w:hanging="454"/>
      </w:pPr>
      <w:rPr>
        <w:rFonts w:ascii="Courier New" w:hAnsi="Courier New" w:hint="default"/>
        <w:color w:val="535353" w:themeColor="text1"/>
      </w:rPr>
    </w:lvl>
    <w:lvl w:ilvl="3">
      <w:start w:val="1"/>
      <w:numFmt w:val="bullet"/>
      <w:lvlText w:val="o"/>
      <w:lvlJc w:val="left"/>
      <w:pPr>
        <w:ind w:left="2380" w:hanging="227"/>
      </w:pPr>
      <w:rPr>
        <w:rFonts w:ascii="Courier New" w:hAnsi="Courier New" w:hint="default"/>
        <w:color w:val="E6E6E6" w:themeColor="background2"/>
      </w:rPr>
    </w:lvl>
    <w:lvl w:ilvl="4">
      <w:start w:val="1"/>
      <w:numFmt w:val="bullet"/>
      <w:lvlText w:val=""/>
      <w:lvlJc w:val="left"/>
      <w:pPr>
        <w:ind w:left="2720" w:hanging="227"/>
      </w:pPr>
      <w:rPr>
        <w:rFonts w:ascii="Wingdings" w:hAnsi="Wingdings" w:hint="default"/>
        <w:color w:val="E6E6E6" w:themeColor="background2"/>
        <w:sz w:val="44"/>
      </w:rPr>
    </w:lvl>
    <w:lvl w:ilvl="5">
      <w:start w:val="1"/>
      <w:numFmt w:val="bullet"/>
      <w:lvlText w:val=""/>
      <w:lvlJc w:val="left"/>
      <w:pPr>
        <w:ind w:left="3060" w:hanging="227"/>
      </w:pPr>
      <w:rPr>
        <w:rFonts w:ascii="Wingdings" w:hAnsi="Wingdings" w:hint="default"/>
        <w:color w:val="E6E6E6" w:themeColor="background2"/>
      </w:rPr>
    </w:lvl>
    <w:lvl w:ilvl="6">
      <w:start w:val="1"/>
      <w:numFmt w:val="bullet"/>
      <w:lvlText w:val="§"/>
      <w:lvlJc w:val="left"/>
      <w:pPr>
        <w:ind w:left="3400" w:hanging="226"/>
      </w:pPr>
      <w:rPr>
        <w:rFonts w:ascii="Wingdings" w:hAnsi="Wingdings" w:hint="default"/>
        <w:color w:val="E6E6E6" w:themeColor="background2"/>
      </w:rPr>
    </w:lvl>
    <w:lvl w:ilvl="7">
      <w:start w:val="1"/>
      <w:numFmt w:val="bullet"/>
      <w:lvlText w:val="§"/>
      <w:lvlJc w:val="left"/>
      <w:pPr>
        <w:ind w:left="3741" w:hanging="227"/>
      </w:pPr>
      <w:rPr>
        <w:rFonts w:ascii="Wingdings" w:hAnsi="Wingdings" w:hint="default"/>
        <w:color w:val="E6E6E6" w:themeColor="background2"/>
      </w:rPr>
    </w:lvl>
    <w:lvl w:ilvl="8">
      <w:start w:val="1"/>
      <w:numFmt w:val="bullet"/>
      <w:lvlText w:val="§"/>
      <w:lvlJc w:val="left"/>
      <w:pPr>
        <w:ind w:left="4081" w:hanging="227"/>
      </w:pPr>
      <w:rPr>
        <w:rFonts w:ascii="Wingdings" w:hAnsi="Wingdings" w:hint="default"/>
        <w:color w:val="E6E6E6" w:themeColor="background2"/>
      </w:rPr>
    </w:lvl>
  </w:abstractNum>
  <w:abstractNum w:abstractNumId="6" w15:restartNumberingAfterBreak="0">
    <w:nsid w:val="2F4D4C54"/>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390DC7"/>
    <w:multiLevelType w:val="multilevel"/>
    <w:tmpl w:val="471C7472"/>
    <w:lvl w:ilvl="0">
      <w:start w:val="1"/>
      <w:numFmt w:val="bullet"/>
      <w:pStyle w:val="Bullet-shortparagraph-3pt"/>
      <w:lvlText w:val="o"/>
      <w:lvlJc w:val="left"/>
      <w:pPr>
        <w:ind w:left="227" w:hanging="227"/>
      </w:pPr>
      <w:rPr>
        <w:rFonts w:ascii="Courier New" w:hAnsi="Courier New" w:hint="default"/>
        <w:color w:val="535353" w:themeColor="text1"/>
        <w:u w:val="none"/>
      </w:rPr>
    </w:lvl>
    <w:lvl w:ilvl="1">
      <w:start w:val="1"/>
      <w:numFmt w:val="bullet"/>
      <w:lvlText w:val="o"/>
      <w:lvlJc w:val="left"/>
      <w:pPr>
        <w:ind w:left="-225" w:hanging="340"/>
      </w:pPr>
      <w:rPr>
        <w:rFonts w:ascii="Courier New" w:hAnsi="Courier New" w:hint="default"/>
        <w:color w:val="535353" w:themeColor="text1"/>
        <w:sz w:val="18"/>
      </w:rPr>
    </w:lvl>
    <w:lvl w:ilvl="2">
      <w:start w:val="1"/>
      <w:numFmt w:val="bullet"/>
      <w:lvlText w:val="o"/>
      <w:lvlJc w:val="left"/>
      <w:pPr>
        <w:ind w:left="229" w:hanging="454"/>
      </w:pPr>
      <w:rPr>
        <w:rFonts w:ascii="Courier New" w:hAnsi="Courier New" w:hint="default"/>
        <w:color w:val="535353" w:themeColor="text1"/>
      </w:rPr>
    </w:lvl>
    <w:lvl w:ilvl="3">
      <w:start w:val="1"/>
      <w:numFmt w:val="bullet"/>
      <w:lvlText w:val="o"/>
      <w:lvlJc w:val="left"/>
      <w:pPr>
        <w:ind w:left="1248" w:hanging="227"/>
      </w:pPr>
      <w:rPr>
        <w:rFonts w:ascii="Courier New" w:hAnsi="Courier New" w:hint="default"/>
        <w:color w:val="E6E6E6" w:themeColor="background2"/>
      </w:rPr>
    </w:lvl>
    <w:lvl w:ilvl="4">
      <w:start w:val="1"/>
      <w:numFmt w:val="bullet"/>
      <w:lvlText w:val=""/>
      <w:lvlJc w:val="left"/>
      <w:pPr>
        <w:ind w:left="1588" w:hanging="227"/>
      </w:pPr>
      <w:rPr>
        <w:rFonts w:ascii="Wingdings" w:hAnsi="Wingdings" w:hint="default"/>
        <w:color w:val="E6E6E6" w:themeColor="background2"/>
        <w:sz w:val="44"/>
      </w:rPr>
    </w:lvl>
    <w:lvl w:ilvl="5">
      <w:start w:val="1"/>
      <w:numFmt w:val="bullet"/>
      <w:lvlText w:val=""/>
      <w:lvlJc w:val="left"/>
      <w:pPr>
        <w:ind w:left="1928" w:hanging="227"/>
      </w:pPr>
      <w:rPr>
        <w:rFonts w:ascii="Wingdings" w:hAnsi="Wingdings" w:hint="default"/>
        <w:color w:val="E6E6E6" w:themeColor="background2"/>
      </w:rPr>
    </w:lvl>
    <w:lvl w:ilvl="6">
      <w:start w:val="1"/>
      <w:numFmt w:val="bullet"/>
      <w:lvlText w:val="§"/>
      <w:lvlJc w:val="left"/>
      <w:pPr>
        <w:ind w:left="2268" w:hanging="226"/>
      </w:pPr>
      <w:rPr>
        <w:rFonts w:ascii="Wingdings" w:hAnsi="Wingdings" w:hint="default"/>
        <w:color w:val="E6E6E6" w:themeColor="background2"/>
      </w:rPr>
    </w:lvl>
    <w:lvl w:ilvl="7">
      <w:start w:val="1"/>
      <w:numFmt w:val="bullet"/>
      <w:lvlText w:val="§"/>
      <w:lvlJc w:val="left"/>
      <w:pPr>
        <w:ind w:left="2609" w:hanging="227"/>
      </w:pPr>
      <w:rPr>
        <w:rFonts w:ascii="Wingdings" w:hAnsi="Wingdings" w:hint="default"/>
        <w:color w:val="E6E6E6" w:themeColor="background2"/>
      </w:rPr>
    </w:lvl>
    <w:lvl w:ilvl="8">
      <w:start w:val="1"/>
      <w:numFmt w:val="bullet"/>
      <w:lvlText w:val="§"/>
      <w:lvlJc w:val="left"/>
      <w:pPr>
        <w:ind w:left="2949" w:hanging="227"/>
      </w:pPr>
      <w:rPr>
        <w:rFonts w:ascii="Wingdings" w:hAnsi="Wingdings" w:hint="default"/>
        <w:color w:val="E6E6E6" w:themeColor="background2"/>
      </w:rPr>
    </w:lvl>
  </w:abstractNum>
  <w:abstractNum w:abstractNumId="8" w15:restartNumberingAfterBreak="0">
    <w:nsid w:val="3AE40A8B"/>
    <w:multiLevelType w:val="multilevel"/>
    <w:tmpl w:val="0413001F"/>
    <w:styleLink w:val="111111"/>
    <w:lvl w:ilvl="0">
      <w:start w:val="1"/>
      <w:numFmt w:val="decimal"/>
      <w:lvlText w:val="%1."/>
      <w:lvlJc w:val="left"/>
      <w:pPr>
        <w:ind w:left="360" w:hanging="360"/>
      </w:pPr>
      <w:rPr>
        <w:color w:val="718C9B" w:themeColor="accent2"/>
      </w:rPr>
    </w:lvl>
    <w:lvl w:ilvl="1">
      <w:start w:val="1"/>
      <w:numFmt w:val="decimal"/>
      <w:lvlText w:val="%1.%2."/>
      <w:lvlJc w:val="left"/>
      <w:pPr>
        <w:ind w:left="792" w:hanging="432"/>
      </w:pPr>
      <w:rPr>
        <w:rFonts w:ascii="Arial" w:hAnsi="Arial"/>
        <w:color w:val="718C9B" w:themeColor="accent2"/>
      </w:rPr>
    </w:lvl>
    <w:lvl w:ilvl="2">
      <w:start w:val="1"/>
      <w:numFmt w:val="decimal"/>
      <w:lvlText w:val="%1.%2.%3."/>
      <w:lvlJc w:val="left"/>
      <w:pPr>
        <w:ind w:left="1224" w:hanging="504"/>
      </w:pPr>
      <w:rPr>
        <w:rFonts w:ascii="Arial" w:hAnsi="Arial"/>
        <w:color w:val="718C9B" w:themeColor="accent2"/>
      </w:rPr>
    </w:lvl>
    <w:lvl w:ilvl="3">
      <w:start w:val="1"/>
      <w:numFmt w:val="decimal"/>
      <w:lvlText w:val="%1.%2.%3.%4."/>
      <w:lvlJc w:val="left"/>
      <w:pPr>
        <w:ind w:left="1728" w:hanging="648"/>
      </w:pPr>
      <w:rPr>
        <w:rFonts w:ascii="Arial" w:hAnsi="Arial"/>
        <w:color w:val="718C9B" w:themeColor="accent2"/>
      </w:rPr>
    </w:lvl>
    <w:lvl w:ilvl="4">
      <w:start w:val="1"/>
      <w:numFmt w:val="decimal"/>
      <w:lvlText w:val="%1.%2.%3.%4.%5."/>
      <w:lvlJc w:val="left"/>
      <w:pPr>
        <w:ind w:left="2232" w:hanging="792"/>
      </w:pPr>
      <w:rPr>
        <w:rFonts w:ascii="Arial" w:hAnsi="Arial"/>
        <w:color w:val="718C9B" w:themeColor="accent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FB6B8F"/>
    <w:multiLevelType w:val="multilevel"/>
    <w:tmpl w:val="E83E2A38"/>
    <w:numStyleLink w:val="Stijl1"/>
  </w:abstractNum>
  <w:abstractNum w:abstractNumId="10" w15:restartNumberingAfterBreak="0">
    <w:nsid w:val="4CE06273"/>
    <w:multiLevelType w:val="multilevel"/>
    <w:tmpl w:val="BC7EE0A8"/>
    <w:styleLink w:val="CurrentList4"/>
    <w:lvl w:ilvl="0">
      <w:start w:val="1"/>
      <w:numFmt w:val="bullet"/>
      <w:lvlText w:val="o"/>
      <w:lvlJc w:val="left"/>
      <w:pPr>
        <w:ind w:left="1359" w:hanging="227"/>
      </w:pPr>
      <w:rPr>
        <w:rFonts w:ascii="Courier New" w:hAnsi="Courier New" w:hint="default"/>
        <w:color w:val="535353" w:themeColor="text1"/>
        <w:u w:val="none"/>
      </w:rPr>
    </w:lvl>
    <w:lvl w:ilvl="1">
      <w:start w:val="1"/>
      <w:numFmt w:val="bullet"/>
      <w:lvlText w:val="o"/>
      <w:lvlJc w:val="left"/>
      <w:pPr>
        <w:ind w:left="907" w:hanging="340"/>
      </w:pPr>
      <w:rPr>
        <w:rFonts w:ascii="Courier New" w:hAnsi="Courier New" w:hint="default"/>
        <w:color w:val="535353" w:themeColor="text1"/>
        <w:sz w:val="18"/>
      </w:rPr>
    </w:lvl>
    <w:lvl w:ilvl="2">
      <w:start w:val="1"/>
      <w:numFmt w:val="bullet"/>
      <w:lvlText w:val="o"/>
      <w:lvlJc w:val="left"/>
      <w:pPr>
        <w:ind w:left="2040" w:hanging="227"/>
      </w:pPr>
      <w:rPr>
        <w:rFonts w:ascii="Courier New" w:hAnsi="Courier New" w:hint="default"/>
        <w:color w:val="535353" w:themeColor="text1"/>
      </w:rPr>
    </w:lvl>
    <w:lvl w:ilvl="3">
      <w:start w:val="1"/>
      <w:numFmt w:val="bullet"/>
      <w:lvlText w:val="o"/>
      <w:lvlJc w:val="left"/>
      <w:pPr>
        <w:ind w:left="2380" w:hanging="227"/>
      </w:pPr>
      <w:rPr>
        <w:rFonts w:ascii="Courier New" w:hAnsi="Courier New" w:hint="default"/>
        <w:color w:val="E6E6E6" w:themeColor="background2"/>
      </w:rPr>
    </w:lvl>
    <w:lvl w:ilvl="4">
      <w:start w:val="1"/>
      <w:numFmt w:val="bullet"/>
      <w:lvlText w:val=""/>
      <w:lvlJc w:val="left"/>
      <w:pPr>
        <w:ind w:left="2720" w:hanging="227"/>
      </w:pPr>
      <w:rPr>
        <w:rFonts w:ascii="Wingdings" w:hAnsi="Wingdings" w:hint="default"/>
        <w:color w:val="E6E6E6" w:themeColor="background2"/>
        <w:sz w:val="44"/>
      </w:rPr>
    </w:lvl>
    <w:lvl w:ilvl="5">
      <w:start w:val="1"/>
      <w:numFmt w:val="bullet"/>
      <w:lvlText w:val=""/>
      <w:lvlJc w:val="left"/>
      <w:pPr>
        <w:ind w:left="3060" w:hanging="227"/>
      </w:pPr>
      <w:rPr>
        <w:rFonts w:ascii="Wingdings" w:hAnsi="Wingdings" w:hint="default"/>
        <w:color w:val="E6E6E6" w:themeColor="background2"/>
      </w:rPr>
    </w:lvl>
    <w:lvl w:ilvl="6">
      <w:start w:val="1"/>
      <w:numFmt w:val="bullet"/>
      <w:lvlText w:val="§"/>
      <w:lvlJc w:val="left"/>
      <w:pPr>
        <w:ind w:left="3400" w:hanging="226"/>
      </w:pPr>
      <w:rPr>
        <w:rFonts w:ascii="Wingdings" w:hAnsi="Wingdings" w:hint="default"/>
        <w:color w:val="E6E6E6" w:themeColor="background2"/>
      </w:rPr>
    </w:lvl>
    <w:lvl w:ilvl="7">
      <w:start w:val="1"/>
      <w:numFmt w:val="bullet"/>
      <w:lvlText w:val="§"/>
      <w:lvlJc w:val="left"/>
      <w:pPr>
        <w:ind w:left="3741" w:hanging="227"/>
      </w:pPr>
      <w:rPr>
        <w:rFonts w:ascii="Wingdings" w:hAnsi="Wingdings" w:hint="default"/>
        <w:color w:val="E6E6E6" w:themeColor="background2"/>
      </w:rPr>
    </w:lvl>
    <w:lvl w:ilvl="8">
      <w:start w:val="1"/>
      <w:numFmt w:val="bullet"/>
      <w:lvlText w:val="§"/>
      <w:lvlJc w:val="left"/>
      <w:pPr>
        <w:ind w:left="4081" w:hanging="227"/>
      </w:pPr>
      <w:rPr>
        <w:rFonts w:ascii="Wingdings" w:hAnsi="Wingdings" w:hint="default"/>
        <w:color w:val="E6E6E6" w:themeColor="background2"/>
      </w:rPr>
    </w:lvl>
  </w:abstractNum>
  <w:abstractNum w:abstractNumId="11" w15:restartNumberingAfterBreak="0">
    <w:nsid w:val="645E34AF"/>
    <w:multiLevelType w:val="multilevel"/>
    <w:tmpl w:val="1AD8567E"/>
    <w:styleLink w:val="CurrentList2"/>
    <w:lvl w:ilvl="0">
      <w:start w:val="1"/>
      <w:numFmt w:val="bullet"/>
      <w:lvlText w:val="o"/>
      <w:lvlJc w:val="left"/>
      <w:pPr>
        <w:ind w:left="1359" w:hanging="227"/>
      </w:pPr>
      <w:rPr>
        <w:rFonts w:ascii="Courier New" w:hAnsi="Courier New" w:hint="default"/>
        <w:color w:val="E6E6E6" w:themeColor="background2"/>
        <w:u w:val="none"/>
      </w:rPr>
    </w:lvl>
    <w:lvl w:ilvl="1">
      <w:start w:val="1"/>
      <w:numFmt w:val="bullet"/>
      <w:lvlText w:val="o"/>
      <w:lvlJc w:val="left"/>
      <w:pPr>
        <w:ind w:left="1699" w:hanging="226"/>
      </w:pPr>
      <w:rPr>
        <w:rFonts w:ascii="Courier New" w:hAnsi="Courier New" w:hint="default"/>
        <w:color w:val="E6E6E6" w:themeColor="background2"/>
        <w:sz w:val="18"/>
      </w:rPr>
    </w:lvl>
    <w:lvl w:ilvl="2">
      <w:start w:val="1"/>
      <w:numFmt w:val="bullet"/>
      <w:lvlText w:val="o"/>
      <w:lvlJc w:val="left"/>
      <w:pPr>
        <w:ind w:left="2040" w:hanging="227"/>
      </w:pPr>
      <w:rPr>
        <w:rFonts w:ascii="Courier New" w:hAnsi="Courier New" w:hint="default"/>
        <w:color w:val="E6E6E6" w:themeColor="background2"/>
      </w:rPr>
    </w:lvl>
    <w:lvl w:ilvl="3">
      <w:start w:val="1"/>
      <w:numFmt w:val="bullet"/>
      <w:lvlText w:val="o"/>
      <w:lvlJc w:val="left"/>
      <w:pPr>
        <w:ind w:left="2380" w:hanging="227"/>
      </w:pPr>
      <w:rPr>
        <w:rFonts w:ascii="Courier New" w:hAnsi="Courier New" w:hint="default"/>
        <w:color w:val="E6E6E6" w:themeColor="background2"/>
      </w:rPr>
    </w:lvl>
    <w:lvl w:ilvl="4">
      <w:start w:val="1"/>
      <w:numFmt w:val="bullet"/>
      <w:lvlText w:val=""/>
      <w:lvlJc w:val="left"/>
      <w:pPr>
        <w:ind w:left="2720" w:hanging="227"/>
      </w:pPr>
      <w:rPr>
        <w:rFonts w:ascii="Wingdings" w:hAnsi="Wingdings" w:hint="default"/>
        <w:color w:val="E6E6E6" w:themeColor="background2"/>
        <w:sz w:val="44"/>
      </w:rPr>
    </w:lvl>
    <w:lvl w:ilvl="5">
      <w:start w:val="1"/>
      <w:numFmt w:val="bullet"/>
      <w:lvlText w:val=""/>
      <w:lvlJc w:val="left"/>
      <w:pPr>
        <w:ind w:left="3060" w:hanging="227"/>
      </w:pPr>
      <w:rPr>
        <w:rFonts w:ascii="Wingdings" w:hAnsi="Wingdings" w:hint="default"/>
        <w:color w:val="E6E6E6" w:themeColor="background2"/>
      </w:rPr>
    </w:lvl>
    <w:lvl w:ilvl="6">
      <w:start w:val="1"/>
      <w:numFmt w:val="bullet"/>
      <w:lvlText w:val="§"/>
      <w:lvlJc w:val="left"/>
      <w:pPr>
        <w:ind w:left="3400" w:hanging="226"/>
      </w:pPr>
      <w:rPr>
        <w:rFonts w:ascii="Wingdings" w:hAnsi="Wingdings" w:hint="default"/>
        <w:color w:val="E6E6E6" w:themeColor="background2"/>
      </w:rPr>
    </w:lvl>
    <w:lvl w:ilvl="7">
      <w:start w:val="1"/>
      <w:numFmt w:val="bullet"/>
      <w:lvlText w:val="§"/>
      <w:lvlJc w:val="left"/>
      <w:pPr>
        <w:ind w:left="3741" w:hanging="227"/>
      </w:pPr>
      <w:rPr>
        <w:rFonts w:ascii="Wingdings" w:hAnsi="Wingdings" w:hint="default"/>
        <w:color w:val="E6E6E6" w:themeColor="background2"/>
      </w:rPr>
    </w:lvl>
    <w:lvl w:ilvl="8">
      <w:start w:val="1"/>
      <w:numFmt w:val="bullet"/>
      <w:lvlText w:val="§"/>
      <w:lvlJc w:val="left"/>
      <w:pPr>
        <w:ind w:left="4081" w:hanging="227"/>
      </w:pPr>
      <w:rPr>
        <w:rFonts w:ascii="Wingdings" w:hAnsi="Wingdings" w:hint="default"/>
        <w:color w:val="E6E6E6" w:themeColor="background2"/>
      </w:rPr>
    </w:lvl>
  </w:abstractNum>
  <w:abstractNum w:abstractNumId="12" w15:restartNumberingAfterBreak="0">
    <w:nsid w:val="7FE30813"/>
    <w:multiLevelType w:val="hybridMultilevel"/>
    <w:tmpl w:val="540EF5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7302001">
    <w:abstractNumId w:val="8"/>
  </w:num>
  <w:num w:numId="2" w16cid:durableId="1069621708">
    <w:abstractNumId w:val="7"/>
  </w:num>
  <w:num w:numId="3" w16cid:durableId="1153643674">
    <w:abstractNumId w:val="4"/>
  </w:num>
  <w:num w:numId="4" w16cid:durableId="1970473632">
    <w:abstractNumId w:val="2"/>
  </w:num>
  <w:num w:numId="5" w16cid:durableId="1345132684">
    <w:abstractNumId w:val="11"/>
  </w:num>
  <w:num w:numId="6" w16cid:durableId="547493137">
    <w:abstractNumId w:val="1"/>
  </w:num>
  <w:num w:numId="7" w16cid:durableId="681514091">
    <w:abstractNumId w:val="10"/>
  </w:num>
  <w:num w:numId="8" w16cid:durableId="1139031968">
    <w:abstractNumId w:val="6"/>
  </w:num>
  <w:num w:numId="9" w16cid:durableId="1302928370">
    <w:abstractNumId w:val="3"/>
  </w:num>
  <w:num w:numId="10" w16cid:durableId="682129129">
    <w:abstractNumId w:val="5"/>
  </w:num>
  <w:num w:numId="11" w16cid:durableId="1239557940">
    <w:abstractNumId w:val="9"/>
  </w:num>
  <w:num w:numId="12" w16cid:durableId="875851878">
    <w:abstractNumId w:val="0"/>
  </w:num>
  <w:num w:numId="13" w16cid:durableId="205792772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MDI0NzEzNTO2NDdV0lEKTi0uzszPAymwqAUAgMmhzCwAAAA="/>
  </w:docVars>
  <w:rsids>
    <w:rsidRoot w:val="004F3749"/>
    <w:rsid w:val="00001DD7"/>
    <w:rsid w:val="00012420"/>
    <w:rsid w:val="000139F3"/>
    <w:rsid w:val="00017946"/>
    <w:rsid w:val="000223FC"/>
    <w:rsid w:val="0002526A"/>
    <w:rsid w:val="00034A95"/>
    <w:rsid w:val="000411C2"/>
    <w:rsid w:val="00041B57"/>
    <w:rsid w:val="00046175"/>
    <w:rsid w:val="00047A96"/>
    <w:rsid w:val="0005332C"/>
    <w:rsid w:val="00055154"/>
    <w:rsid w:val="00056C36"/>
    <w:rsid w:val="00056EB5"/>
    <w:rsid w:val="00061CBF"/>
    <w:rsid w:val="00065018"/>
    <w:rsid w:val="0006590E"/>
    <w:rsid w:val="00073A16"/>
    <w:rsid w:val="00073DD8"/>
    <w:rsid w:val="000753A4"/>
    <w:rsid w:val="0008174A"/>
    <w:rsid w:val="00081DA5"/>
    <w:rsid w:val="00081F37"/>
    <w:rsid w:val="0008487A"/>
    <w:rsid w:val="000858B2"/>
    <w:rsid w:val="00086464"/>
    <w:rsid w:val="00086F15"/>
    <w:rsid w:val="00087993"/>
    <w:rsid w:val="000904D1"/>
    <w:rsid w:val="00092919"/>
    <w:rsid w:val="000A5806"/>
    <w:rsid w:val="000A70B4"/>
    <w:rsid w:val="000A7603"/>
    <w:rsid w:val="000B18B2"/>
    <w:rsid w:val="000B2008"/>
    <w:rsid w:val="000B40FD"/>
    <w:rsid w:val="000B7C8F"/>
    <w:rsid w:val="000C0007"/>
    <w:rsid w:val="000C14FE"/>
    <w:rsid w:val="000C1B6E"/>
    <w:rsid w:val="000C272A"/>
    <w:rsid w:val="000C3707"/>
    <w:rsid w:val="000C535E"/>
    <w:rsid w:val="000C5742"/>
    <w:rsid w:val="000C6AA2"/>
    <w:rsid w:val="000D2D27"/>
    <w:rsid w:val="000D4A3E"/>
    <w:rsid w:val="000D4AC3"/>
    <w:rsid w:val="000D53FD"/>
    <w:rsid w:val="000D5A24"/>
    <w:rsid w:val="000D6031"/>
    <w:rsid w:val="000F02C3"/>
    <w:rsid w:val="000F188F"/>
    <w:rsid w:val="000F282C"/>
    <w:rsid w:val="000F2B04"/>
    <w:rsid w:val="000F4E75"/>
    <w:rsid w:val="000F6689"/>
    <w:rsid w:val="000F719D"/>
    <w:rsid w:val="00100EDB"/>
    <w:rsid w:val="0010633F"/>
    <w:rsid w:val="00107030"/>
    <w:rsid w:val="00110C3E"/>
    <w:rsid w:val="00112BEB"/>
    <w:rsid w:val="00116F4E"/>
    <w:rsid w:val="0012359C"/>
    <w:rsid w:val="00125CBA"/>
    <w:rsid w:val="0012713F"/>
    <w:rsid w:val="001321B6"/>
    <w:rsid w:val="001348CE"/>
    <w:rsid w:val="00135C46"/>
    <w:rsid w:val="001400D3"/>
    <w:rsid w:val="00147B01"/>
    <w:rsid w:val="00147D85"/>
    <w:rsid w:val="0016051E"/>
    <w:rsid w:val="00161002"/>
    <w:rsid w:val="00161C83"/>
    <w:rsid w:val="001652DB"/>
    <w:rsid w:val="00165EFE"/>
    <w:rsid w:val="001727DB"/>
    <w:rsid w:val="00177442"/>
    <w:rsid w:val="001833C3"/>
    <w:rsid w:val="00185D27"/>
    <w:rsid w:val="001909E3"/>
    <w:rsid w:val="00194388"/>
    <w:rsid w:val="0019447C"/>
    <w:rsid w:val="001A03B2"/>
    <w:rsid w:val="001A4194"/>
    <w:rsid w:val="001A4FBD"/>
    <w:rsid w:val="001A6348"/>
    <w:rsid w:val="001A6EC7"/>
    <w:rsid w:val="001B0E9F"/>
    <w:rsid w:val="001B2524"/>
    <w:rsid w:val="001B5CCD"/>
    <w:rsid w:val="001C1111"/>
    <w:rsid w:val="001C416C"/>
    <w:rsid w:val="001C6555"/>
    <w:rsid w:val="001C6937"/>
    <w:rsid w:val="001D0A94"/>
    <w:rsid w:val="001D19BD"/>
    <w:rsid w:val="001D2BA8"/>
    <w:rsid w:val="001D74C4"/>
    <w:rsid w:val="001E160B"/>
    <w:rsid w:val="001E17A0"/>
    <w:rsid w:val="001E260D"/>
    <w:rsid w:val="001E2A4F"/>
    <w:rsid w:val="001E30AD"/>
    <w:rsid w:val="001E699E"/>
    <w:rsid w:val="001F066E"/>
    <w:rsid w:val="001F3C08"/>
    <w:rsid w:val="001F5B00"/>
    <w:rsid w:val="001F5F72"/>
    <w:rsid w:val="00206442"/>
    <w:rsid w:val="002067B2"/>
    <w:rsid w:val="0022036D"/>
    <w:rsid w:val="002257EC"/>
    <w:rsid w:val="00227457"/>
    <w:rsid w:val="00230194"/>
    <w:rsid w:val="0023157A"/>
    <w:rsid w:val="0023437D"/>
    <w:rsid w:val="00234408"/>
    <w:rsid w:val="0023633F"/>
    <w:rsid w:val="00236D54"/>
    <w:rsid w:val="00241FE8"/>
    <w:rsid w:val="002420AE"/>
    <w:rsid w:val="00245195"/>
    <w:rsid w:val="00247B5F"/>
    <w:rsid w:val="00251297"/>
    <w:rsid w:val="00252848"/>
    <w:rsid w:val="00252D7F"/>
    <w:rsid w:val="00260ECD"/>
    <w:rsid w:val="00261280"/>
    <w:rsid w:val="00262ACD"/>
    <w:rsid w:val="00262F9E"/>
    <w:rsid w:val="002637B7"/>
    <w:rsid w:val="002713E3"/>
    <w:rsid w:val="00273240"/>
    <w:rsid w:val="002739F3"/>
    <w:rsid w:val="00273D6E"/>
    <w:rsid w:val="0027572B"/>
    <w:rsid w:val="00287361"/>
    <w:rsid w:val="0029674B"/>
    <w:rsid w:val="002A0AD5"/>
    <w:rsid w:val="002A1F54"/>
    <w:rsid w:val="002A4FAA"/>
    <w:rsid w:val="002A5A19"/>
    <w:rsid w:val="002B59AA"/>
    <w:rsid w:val="002B5CE6"/>
    <w:rsid w:val="002B7192"/>
    <w:rsid w:val="002C262B"/>
    <w:rsid w:val="002C45DA"/>
    <w:rsid w:val="002C7AA4"/>
    <w:rsid w:val="002C7BD2"/>
    <w:rsid w:val="002C7EE6"/>
    <w:rsid w:val="002D3D6A"/>
    <w:rsid w:val="002D56AF"/>
    <w:rsid w:val="002E1484"/>
    <w:rsid w:val="002E229A"/>
    <w:rsid w:val="002E2F6A"/>
    <w:rsid w:val="002E5728"/>
    <w:rsid w:val="002E6312"/>
    <w:rsid w:val="002E6C06"/>
    <w:rsid w:val="003058DA"/>
    <w:rsid w:val="00306D73"/>
    <w:rsid w:val="003074BB"/>
    <w:rsid w:val="003079B6"/>
    <w:rsid w:val="00312593"/>
    <w:rsid w:val="0033148F"/>
    <w:rsid w:val="00331CF4"/>
    <w:rsid w:val="00333F45"/>
    <w:rsid w:val="00334C94"/>
    <w:rsid w:val="00340D08"/>
    <w:rsid w:val="00341BF0"/>
    <w:rsid w:val="00343752"/>
    <w:rsid w:val="00347587"/>
    <w:rsid w:val="0035016F"/>
    <w:rsid w:val="00351B68"/>
    <w:rsid w:val="003560B1"/>
    <w:rsid w:val="003572F6"/>
    <w:rsid w:val="00357737"/>
    <w:rsid w:val="00362BC8"/>
    <w:rsid w:val="00364B66"/>
    <w:rsid w:val="00381F7B"/>
    <w:rsid w:val="00382872"/>
    <w:rsid w:val="00385E4D"/>
    <w:rsid w:val="00387FEF"/>
    <w:rsid w:val="00391F1C"/>
    <w:rsid w:val="0039213B"/>
    <w:rsid w:val="003933DB"/>
    <w:rsid w:val="003941A1"/>
    <w:rsid w:val="003A0B93"/>
    <w:rsid w:val="003A3F99"/>
    <w:rsid w:val="003A5309"/>
    <w:rsid w:val="003B7AC4"/>
    <w:rsid w:val="003C189F"/>
    <w:rsid w:val="003C290D"/>
    <w:rsid w:val="003C2E52"/>
    <w:rsid w:val="003C4B9D"/>
    <w:rsid w:val="003C5103"/>
    <w:rsid w:val="003C6ECE"/>
    <w:rsid w:val="003D15A6"/>
    <w:rsid w:val="003D1DF4"/>
    <w:rsid w:val="003D4691"/>
    <w:rsid w:val="003D5834"/>
    <w:rsid w:val="003D5A12"/>
    <w:rsid w:val="003E3C16"/>
    <w:rsid w:val="003E6803"/>
    <w:rsid w:val="003F2C17"/>
    <w:rsid w:val="003F3866"/>
    <w:rsid w:val="003F3CA3"/>
    <w:rsid w:val="004027FB"/>
    <w:rsid w:val="00403BDF"/>
    <w:rsid w:val="00405710"/>
    <w:rsid w:val="0041120B"/>
    <w:rsid w:val="0041371F"/>
    <w:rsid w:val="00414BF7"/>
    <w:rsid w:val="00414C8B"/>
    <w:rsid w:val="00416F9C"/>
    <w:rsid w:val="00423265"/>
    <w:rsid w:val="00424FA9"/>
    <w:rsid w:val="00433278"/>
    <w:rsid w:val="00433CC8"/>
    <w:rsid w:val="00434FDB"/>
    <w:rsid w:val="004358BF"/>
    <w:rsid w:val="004426C0"/>
    <w:rsid w:val="00443D8E"/>
    <w:rsid w:val="00446916"/>
    <w:rsid w:val="00451B7D"/>
    <w:rsid w:val="00453433"/>
    <w:rsid w:val="00454BFD"/>
    <w:rsid w:val="00464E29"/>
    <w:rsid w:val="004669C1"/>
    <w:rsid w:val="00474769"/>
    <w:rsid w:val="00480BC0"/>
    <w:rsid w:val="00482BB1"/>
    <w:rsid w:val="004836E9"/>
    <w:rsid w:val="00485FEF"/>
    <w:rsid w:val="0049506D"/>
    <w:rsid w:val="00497C99"/>
    <w:rsid w:val="004A1D05"/>
    <w:rsid w:val="004A43EB"/>
    <w:rsid w:val="004A4DA6"/>
    <w:rsid w:val="004B098F"/>
    <w:rsid w:val="004B0AF4"/>
    <w:rsid w:val="004B3ECF"/>
    <w:rsid w:val="004C7D74"/>
    <w:rsid w:val="004D3EBA"/>
    <w:rsid w:val="004E3001"/>
    <w:rsid w:val="004E3022"/>
    <w:rsid w:val="004E39C5"/>
    <w:rsid w:val="004E3B5F"/>
    <w:rsid w:val="004E44ED"/>
    <w:rsid w:val="004E51F8"/>
    <w:rsid w:val="004E5A41"/>
    <w:rsid w:val="004E5DAB"/>
    <w:rsid w:val="004E62CE"/>
    <w:rsid w:val="004E72A0"/>
    <w:rsid w:val="004F066D"/>
    <w:rsid w:val="004F2983"/>
    <w:rsid w:val="004F3749"/>
    <w:rsid w:val="004F76A8"/>
    <w:rsid w:val="00503006"/>
    <w:rsid w:val="00505F8B"/>
    <w:rsid w:val="0050788F"/>
    <w:rsid w:val="00511E53"/>
    <w:rsid w:val="00512A18"/>
    <w:rsid w:val="0051522F"/>
    <w:rsid w:val="0051760A"/>
    <w:rsid w:val="00525DDB"/>
    <w:rsid w:val="00527AAB"/>
    <w:rsid w:val="00530385"/>
    <w:rsid w:val="00533C79"/>
    <w:rsid w:val="005352CD"/>
    <w:rsid w:val="00537C71"/>
    <w:rsid w:val="0054002F"/>
    <w:rsid w:val="00540A23"/>
    <w:rsid w:val="00542CC8"/>
    <w:rsid w:val="00543C28"/>
    <w:rsid w:val="00544E28"/>
    <w:rsid w:val="00550404"/>
    <w:rsid w:val="005555BD"/>
    <w:rsid w:val="00560B86"/>
    <w:rsid w:val="005669FD"/>
    <w:rsid w:val="005672CF"/>
    <w:rsid w:val="0057104C"/>
    <w:rsid w:val="00572995"/>
    <w:rsid w:val="00573039"/>
    <w:rsid w:val="00573FE8"/>
    <w:rsid w:val="0057729F"/>
    <w:rsid w:val="0058266C"/>
    <w:rsid w:val="00582DED"/>
    <w:rsid w:val="00583741"/>
    <w:rsid w:val="00583F6B"/>
    <w:rsid w:val="00585DB3"/>
    <w:rsid w:val="005875C8"/>
    <w:rsid w:val="005A1827"/>
    <w:rsid w:val="005A35D9"/>
    <w:rsid w:val="005A4067"/>
    <w:rsid w:val="005B1764"/>
    <w:rsid w:val="005B3EEA"/>
    <w:rsid w:val="005B4790"/>
    <w:rsid w:val="005C0EA4"/>
    <w:rsid w:val="005C1F73"/>
    <w:rsid w:val="005C3CAD"/>
    <w:rsid w:val="005C4405"/>
    <w:rsid w:val="005D212E"/>
    <w:rsid w:val="005D4D06"/>
    <w:rsid w:val="005E0BAC"/>
    <w:rsid w:val="005E0E6E"/>
    <w:rsid w:val="005E3744"/>
    <w:rsid w:val="005E4CC5"/>
    <w:rsid w:val="005F01AA"/>
    <w:rsid w:val="005F3F5A"/>
    <w:rsid w:val="005F5ABE"/>
    <w:rsid w:val="005F69E7"/>
    <w:rsid w:val="005F6A6D"/>
    <w:rsid w:val="006001E3"/>
    <w:rsid w:val="00600646"/>
    <w:rsid w:val="00600EAB"/>
    <w:rsid w:val="00600F28"/>
    <w:rsid w:val="006027FD"/>
    <w:rsid w:val="0060306E"/>
    <w:rsid w:val="00606873"/>
    <w:rsid w:val="00617B2D"/>
    <w:rsid w:val="00622E86"/>
    <w:rsid w:val="006310CB"/>
    <w:rsid w:val="006361AD"/>
    <w:rsid w:val="00637151"/>
    <w:rsid w:val="00637E65"/>
    <w:rsid w:val="00640F98"/>
    <w:rsid w:val="00647568"/>
    <w:rsid w:val="006500E8"/>
    <w:rsid w:val="00651A27"/>
    <w:rsid w:val="00656C2B"/>
    <w:rsid w:val="0066235B"/>
    <w:rsid w:val="00665125"/>
    <w:rsid w:val="00671283"/>
    <w:rsid w:val="00673DC9"/>
    <w:rsid w:val="0067480F"/>
    <w:rsid w:val="00674F3C"/>
    <w:rsid w:val="00681576"/>
    <w:rsid w:val="006817D8"/>
    <w:rsid w:val="006818B8"/>
    <w:rsid w:val="0068536B"/>
    <w:rsid w:val="006865EC"/>
    <w:rsid w:val="006900FB"/>
    <w:rsid w:val="00694B3D"/>
    <w:rsid w:val="00696BBA"/>
    <w:rsid w:val="006A15D8"/>
    <w:rsid w:val="006A242A"/>
    <w:rsid w:val="006B4174"/>
    <w:rsid w:val="006B437E"/>
    <w:rsid w:val="006B447E"/>
    <w:rsid w:val="006B487D"/>
    <w:rsid w:val="006B6667"/>
    <w:rsid w:val="006C3D43"/>
    <w:rsid w:val="006C58A5"/>
    <w:rsid w:val="006D0328"/>
    <w:rsid w:val="006D231A"/>
    <w:rsid w:val="006D665D"/>
    <w:rsid w:val="006E04B2"/>
    <w:rsid w:val="006E182D"/>
    <w:rsid w:val="006E1A64"/>
    <w:rsid w:val="006E6320"/>
    <w:rsid w:val="006E6AF8"/>
    <w:rsid w:val="006F300E"/>
    <w:rsid w:val="006F48E0"/>
    <w:rsid w:val="007023F1"/>
    <w:rsid w:val="007026B5"/>
    <w:rsid w:val="00704D42"/>
    <w:rsid w:val="007139AD"/>
    <w:rsid w:val="007178A2"/>
    <w:rsid w:val="0072319B"/>
    <w:rsid w:val="00725F39"/>
    <w:rsid w:val="00725F5E"/>
    <w:rsid w:val="00726C57"/>
    <w:rsid w:val="00730F3C"/>
    <w:rsid w:val="00732358"/>
    <w:rsid w:val="0073267B"/>
    <w:rsid w:val="007334F2"/>
    <w:rsid w:val="00736125"/>
    <w:rsid w:val="00737373"/>
    <w:rsid w:val="00743A83"/>
    <w:rsid w:val="00743ED4"/>
    <w:rsid w:val="007447F0"/>
    <w:rsid w:val="00744891"/>
    <w:rsid w:val="00745B71"/>
    <w:rsid w:val="00746EFE"/>
    <w:rsid w:val="00751181"/>
    <w:rsid w:val="00752A43"/>
    <w:rsid w:val="00754221"/>
    <w:rsid w:val="007578A2"/>
    <w:rsid w:val="00762F9C"/>
    <w:rsid w:val="00763E41"/>
    <w:rsid w:val="00765B94"/>
    <w:rsid w:val="00770B9A"/>
    <w:rsid w:val="00772E05"/>
    <w:rsid w:val="007732DB"/>
    <w:rsid w:val="00777B79"/>
    <w:rsid w:val="00777FD5"/>
    <w:rsid w:val="00782E6B"/>
    <w:rsid w:val="00782EA0"/>
    <w:rsid w:val="007903B4"/>
    <w:rsid w:val="00790EBC"/>
    <w:rsid w:val="00792488"/>
    <w:rsid w:val="007933F3"/>
    <w:rsid w:val="00794BB8"/>
    <w:rsid w:val="00797EF1"/>
    <w:rsid w:val="007A1A5E"/>
    <w:rsid w:val="007A2847"/>
    <w:rsid w:val="007A4A35"/>
    <w:rsid w:val="007A564D"/>
    <w:rsid w:val="007B3F9F"/>
    <w:rsid w:val="007C1C87"/>
    <w:rsid w:val="007C1EDF"/>
    <w:rsid w:val="007C5517"/>
    <w:rsid w:val="007C78B3"/>
    <w:rsid w:val="007D01BE"/>
    <w:rsid w:val="007D11FA"/>
    <w:rsid w:val="007D3893"/>
    <w:rsid w:val="007D5053"/>
    <w:rsid w:val="007D508E"/>
    <w:rsid w:val="007D723A"/>
    <w:rsid w:val="007E22CF"/>
    <w:rsid w:val="007E2B69"/>
    <w:rsid w:val="007E52C9"/>
    <w:rsid w:val="007E5CF5"/>
    <w:rsid w:val="007F44DE"/>
    <w:rsid w:val="007F5870"/>
    <w:rsid w:val="008008E3"/>
    <w:rsid w:val="008057C2"/>
    <w:rsid w:val="00807A5E"/>
    <w:rsid w:val="00810826"/>
    <w:rsid w:val="00820244"/>
    <w:rsid w:val="00822927"/>
    <w:rsid w:val="00824BBB"/>
    <w:rsid w:val="00825954"/>
    <w:rsid w:val="00825E7B"/>
    <w:rsid w:val="00830D9F"/>
    <w:rsid w:val="008372AB"/>
    <w:rsid w:val="00845E07"/>
    <w:rsid w:val="008475FE"/>
    <w:rsid w:val="00853493"/>
    <w:rsid w:val="0085410D"/>
    <w:rsid w:val="00856847"/>
    <w:rsid w:val="00861F0C"/>
    <w:rsid w:val="0086643D"/>
    <w:rsid w:val="008705F2"/>
    <w:rsid w:val="008738BF"/>
    <w:rsid w:val="008754F6"/>
    <w:rsid w:val="0088037F"/>
    <w:rsid w:val="00894D59"/>
    <w:rsid w:val="0089710E"/>
    <w:rsid w:val="008A0C55"/>
    <w:rsid w:val="008A1835"/>
    <w:rsid w:val="008A2CDF"/>
    <w:rsid w:val="008A3A0A"/>
    <w:rsid w:val="008A5583"/>
    <w:rsid w:val="008A57E8"/>
    <w:rsid w:val="008B4469"/>
    <w:rsid w:val="008C032D"/>
    <w:rsid w:val="008C2389"/>
    <w:rsid w:val="008C7387"/>
    <w:rsid w:val="008D057E"/>
    <w:rsid w:val="008D2098"/>
    <w:rsid w:val="008D2B71"/>
    <w:rsid w:val="008E171C"/>
    <w:rsid w:val="008E3C28"/>
    <w:rsid w:val="008E44DA"/>
    <w:rsid w:val="008E4640"/>
    <w:rsid w:val="008E5917"/>
    <w:rsid w:val="008F1A1D"/>
    <w:rsid w:val="008F4979"/>
    <w:rsid w:val="00907A46"/>
    <w:rsid w:val="00910F8F"/>
    <w:rsid w:val="00912D64"/>
    <w:rsid w:val="009130D7"/>
    <w:rsid w:val="00917C1B"/>
    <w:rsid w:val="00917DC9"/>
    <w:rsid w:val="0092017A"/>
    <w:rsid w:val="009236E6"/>
    <w:rsid w:val="00923B53"/>
    <w:rsid w:val="0092569F"/>
    <w:rsid w:val="009270C8"/>
    <w:rsid w:val="0093672E"/>
    <w:rsid w:val="0093697A"/>
    <w:rsid w:val="009451DD"/>
    <w:rsid w:val="00946E64"/>
    <w:rsid w:val="00955DC0"/>
    <w:rsid w:val="00962DDD"/>
    <w:rsid w:val="00965BCB"/>
    <w:rsid w:val="00965CDF"/>
    <w:rsid w:val="00965ECF"/>
    <w:rsid w:val="00971A78"/>
    <w:rsid w:val="0097208E"/>
    <w:rsid w:val="00975746"/>
    <w:rsid w:val="00975836"/>
    <w:rsid w:val="00976323"/>
    <w:rsid w:val="009803B6"/>
    <w:rsid w:val="0098416E"/>
    <w:rsid w:val="00986AF4"/>
    <w:rsid w:val="00996D56"/>
    <w:rsid w:val="009A0BFD"/>
    <w:rsid w:val="009A0EED"/>
    <w:rsid w:val="009A1CE6"/>
    <w:rsid w:val="009A2030"/>
    <w:rsid w:val="009A3265"/>
    <w:rsid w:val="009A358B"/>
    <w:rsid w:val="009A41A1"/>
    <w:rsid w:val="009A424D"/>
    <w:rsid w:val="009A43FD"/>
    <w:rsid w:val="009B14A2"/>
    <w:rsid w:val="009B38E6"/>
    <w:rsid w:val="009B417C"/>
    <w:rsid w:val="009B6B53"/>
    <w:rsid w:val="009B7AB8"/>
    <w:rsid w:val="009C3E14"/>
    <w:rsid w:val="009D00AE"/>
    <w:rsid w:val="009D2D1A"/>
    <w:rsid w:val="009D3D67"/>
    <w:rsid w:val="009D4738"/>
    <w:rsid w:val="009D78C5"/>
    <w:rsid w:val="009E07AE"/>
    <w:rsid w:val="009E0D4B"/>
    <w:rsid w:val="009E100E"/>
    <w:rsid w:val="009F03FF"/>
    <w:rsid w:val="009F2178"/>
    <w:rsid w:val="009F2668"/>
    <w:rsid w:val="009F38B7"/>
    <w:rsid w:val="00A00AF7"/>
    <w:rsid w:val="00A04FD7"/>
    <w:rsid w:val="00A06306"/>
    <w:rsid w:val="00A073D0"/>
    <w:rsid w:val="00A12C02"/>
    <w:rsid w:val="00A1627F"/>
    <w:rsid w:val="00A17EE4"/>
    <w:rsid w:val="00A20C1B"/>
    <w:rsid w:val="00A2579B"/>
    <w:rsid w:val="00A2687B"/>
    <w:rsid w:val="00A310A9"/>
    <w:rsid w:val="00A32303"/>
    <w:rsid w:val="00A36C7D"/>
    <w:rsid w:val="00A443E4"/>
    <w:rsid w:val="00A44C65"/>
    <w:rsid w:val="00A477FC"/>
    <w:rsid w:val="00A50476"/>
    <w:rsid w:val="00A50CEA"/>
    <w:rsid w:val="00A5113B"/>
    <w:rsid w:val="00A51E90"/>
    <w:rsid w:val="00A558CA"/>
    <w:rsid w:val="00A55C7C"/>
    <w:rsid w:val="00A60D80"/>
    <w:rsid w:val="00A612DC"/>
    <w:rsid w:val="00A63D86"/>
    <w:rsid w:val="00A64971"/>
    <w:rsid w:val="00A65F4B"/>
    <w:rsid w:val="00A737FE"/>
    <w:rsid w:val="00A73EB1"/>
    <w:rsid w:val="00A77AD3"/>
    <w:rsid w:val="00A803B1"/>
    <w:rsid w:val="00A820D7"/>
    <w:rsid w:val="00A84663"/>
    <w:rsid w:val="00A86B36"/>
    <w:rsid w:val="00AA07E1"/>
    <w:rsid w:val="00AA3142"/>
    <w:rsid w:val="00AA4DD9"/>
    <w:rsid w:val="00AA6910"/>
    <w:rsid w:val="00AA71CD"/>
    <w:rsid w:val="00AA7276"/>
    <w:rsid w:val="00AB0508"/>
    <w:rsid w:val="00AB465D"/>
    <w:rsid w:val="00AB4E2D"/>
    <w:rsid w:val="00AB6C0E"/>
    <w:rsid w:val="00AD2745"/>
    <w:rsid w:val="00AD2A64"/>
    <w:rsid w:val="00AD636E"/>
    <w:rsid w:val="00AD7F57"/>
    <w:rsid w:val="00AE05EE"/>
    <w:rsid w:val="00AE1C31"/>
    <w:rsid w:val="00AE2274"/>
    <w:rsid w:val="00AE6A84"/>
    <w:rsid w:val="00AE70C8"/>
    <w:rsid w:val="00AE79E4"/>
    <w:rsid w:val="00AF0AB4"/>
    <w:rsid w:val="00AF0BD1"/>
    <w:rsid w:val="00AF2E24"/>
    <w:rsid w:val="00AF643F"/>
    <w:rsid w:val="00AF6FFE"/>
    <w:rsid w:val="00AF7542"/>
    <w:rsid w:val="00AF7646"/>
    <w:rsid w:val="00AF7DD8"/>
    <w:rsid w:val="00B01337"/>
    <w:rsid w:val="00B0169C"/>
    <w:rsid w:val="00B02D25"/>
    <w:rsid w:val="00B06292"/>
    <w:rsid w:val="00B127C8"/>
    <w:rsid w:val="00B15F5E"/>
    <w:rsid w:val="00B167E2"/>
    <w:rsid w:val="00B17480"/>
    <w:rsid w:val="00B24D3F"/>
    <w:rsid w:val="00B24FF2"/>
    <w:rsid w:val="00B30B07"/>
    <w:rsid w:val="00B32317"/>
    <w:rsid w:val="00B35580"/>
    <w:rsid w:val="00B37D12"/>
    <w:rsid w:val="00B40EDD"/>
    <w:rsid w:val="00B46740"/>
    <w:rsid w:val="00B54649"/>
    <w:rsid w:val="00B61B2C"/>
    <w:rsid w:val="00B6404C"/>
    <w:rsid w:val="00B65220"/>
    <w:rsid w:val="00B73C87"/>
    <w:rsid w:val="00B744E1"/>
    <w:rsid w:val="00B75B98"/>
    <w:rsid w:val="00B81B83"/>
    <w:rsid w:val="00B829CC"/>
    <w:rsid w:val="00B8303D"/>
    <w:rsid w:val="00B86AA4"/>
    <w:rsid w:val="00B919AF"/>
    <w:rsid w:val="00B96184"/>
    <w:rsid w:val="00B96CA3"/>
    <w:rsid w:val="00BC0F80"/>
    <w:rsid w:val="00BC35B7"/>
    <w:rsid w:val="00BC6468"/>
    <w:rsid w:val="00BD040D"/>
    <w:rsid w:val="00BD46A3"/>
    <w:rsid w:val="00BE2207"/>
    <w:rsid w:val="00BE444C"/>
    <w:rsid w:val="00BE7F20"/>
    <w:rsid w:val="00BF1335"/>
    <w:rsid w:val="00BF4A3A"/>
    <w:rsid w:val="00C11E8D"/>
    <w:rsid w:val="00C13671"/>
    <w:rsid w:val="00C1408C"/>
    <w:rsid w:val="00C20ABA"/>
    <w:rsid w:val="00C22F42"/>
    <w:rsid w:val="00C2302B"/>
    <w:rsid w:val="00C2476B"/>
    <w:rsid w:val="00C2550A"/>
    <w:rsid w:val="00C34E00"/>
    <w:rsid w:val="00C3560B"/>
    <w:rsid w:val="00C443BA"/>
    <w:rsid w:val="00C444A7"/>
    <w:rsid w:val="00C47D58"/>
    <w:rsid w:val="00C50191"/>
    <w:rsid w:val="00C51CB1"/>
    <w:rsid w:val="00C54778"/>
    <w:rsid w:val="00C55B48"/>
    <w:rsid w:val="00C56448"/>
    <w:rsid w:val="00C61488"/>
    <w:rsid w:val="00C62459"/>
    <w:rsid w:val="00C62E20"/>
    <w:rsid w:val="00C63A18"/>
    <w:rsid w:val="00C6481B"/>
    <w:rsid w:val="00C66383"/>
    <w:rsid w:val="00C6748D"/>
    <w:rsid w:val="00C67EFF"/>
    <w:rsid w:val="00C72C31"/>
    <w:rsid w:val="00C73DC8"/>
    <w:rsid w:val="00C81978"/>
    <w:rsid w:val="00C81AE5"/>
    <w:rsid w:val="00C92AE5"/>
    <w:rsid w:val="00C95FB8"/>
    <w:rsid w:val="00C97C94"/>
    <w:rsid w:val="00CA38D6"/>
    <w:rsid w:val="00CB00F0"/>
    <w:rsid w:val="00CB0EB6"/>
    <w:rsid w:val="00CB6531"/>
    <w:rsid w:val="00CB7745"/>
    <w:rsid w:val="00CC0648"/>
    <w:rsid w:val="00CC6134"/>
    <w:rsid w:val="00CC69C7"/>
    <w:rsid w:val="00CD1817"/>
    <w:rsid w:val="00CD1DE2"/>
    <w:rsid w:val="00CD5272"/>
    <w:rsid w:val="00CD73A8"/>
    <w:rsid w:val="00CE525D"/>
    <w:rsid w:val="00CE7EB4"/>
    <w:rsid w:val="00CF2D1A"/>
    <w:rsid w:val="00CF4207"/>
    <w:rsid w:val="00CF51EB"/>
    <w:rsid w:val="00CF5F04"/>
    <w:rsid w:val="00D0262C"/>
    <w:rsid w:val="00D049A5"/>
    <w:rsid w:val="00D05200"/>
    <w:rsid w:val="00D11D26"/>
    <w:rsid w:val="00D208D3"/>
    <w:rsid w:val="00D20929"/>
    <w:rsid w:val="00D22674"/>
    <w:rsid w:val="00D25E67"/>
    <w:rsid w:val="00D3558E"/>
    <w:rsid w:val="00D475DB"/>
    <w:rsid w:val="00D54863"/>
    <w:rsid w:val="00D55022"/>
    <w:rsid w:val="00D57900"/>
    <w:rsid w:val="00D61E9B"/>
    <w:rsid w:val="00D61F5A"/>
    <w:rsid w:val="00D6376E"/>
    <w:rsid w:val="00D73B5F"/>
    <w:rsid w:val="00D7476E"/>
    <w:rsid w:val="00D7739E"/>
    <w:rsid w:val="00D80A03"/>
    <w:rsid w:val="00D8201F"/>
    <w:rsid w:val="00D82320"/>
    <w:rsid w:val="00D8288C"/>
    <w:rsid w:val="00D84525"/>
    <w:rsid w:val="00D93AEA"/>
    <w:rsid w:val="00D9491B"/>
    <w:rsid w:val="00D9556A"/>
    <w:rsid w:val="00DA0FD2"/>
    <w:rsid w:val="00DA1809"/>
    <w:rsid w:val="00DA4F06"/>
    <w:rsid w:val="00DA6995"/>
    <w:rsid w:val="00DB1219"/>
    <w:rsid w:val="00DB4446"/>
    <w:rsid w:val="00DC44FD"/>
    <w:rsid w:val="00DC5B5F"/>
    <w:rsid w:val="00DC79DA"/>
    <w:rsid w:val="00DD5661"/>
    <w:rsid w:val="00DD59BF"/>
    <w:rsid w:val="00DD5F94"/>
    <w:rsid w:val="00DD64BE"/>
    <w:rsid w:val="00DD7881"/>
    <w:rsid w:val="00DE0B65"/>
    <w:rsid w:val="00DE239B"/>
    <w:rsid w:val="00DE38B8"/>
    <w:rsid w:val="00DF33A6"/>
    <w:rsid w:val="00DF3A8C"/>
    <w:rsid w:val="00DF7C5B"/>
    <w:rsid w:val="00E06200"/>
    <w:rsid w:val="00E14737"/>
    <w:rsid w:val="00E15F72"/>
    <w:rsid w:val="00E16D06"/>
    <w:rsid w:val="00E17E82"/>
    <w:rsid w:val="00E2080E"/>
    <w:rsid w:val="00E217F1"/>
    <w:rsid w:val="00E23EB2"/>
    <w:rsid w:val="00E3228C"/>
    <w:rsid w:val="00E35295"/>
    <w:rsid w:val="00E40EF3"/>
    <w:rsid w:val="00E43750"/>
    <w:rsid w:val="00E5354F"/>
    <w:rsid w:val="00E53E02"/>
    <w:rsid w:val="00E5576B"/>
    <w:rsid w:val="00E614D8"/>
    <w:rsid w:val="00E627CE"/>
    <w:rsid w:val="00E62C9D"/>
    <w:rsid w:val="00E6505F"/>
    <w:rsid w:val="00E67C8A"/>
    <w:rsid w:val="00E73713"/>
    <w:rsid w:val="00E740E3"/>
    <w:rsid w:val="00E7466B"/>
    <w:rsid w:val="00E75AEE"/>
    <w:rsid w:val="00E814AF"/>
    <w:rsid w:val="00E84330"/>
    <w:rsid w:val="00E8557E"/>
    <w:rsid w:val="00E85FF9"/>
    <w:rsid w:val="00E87A88"/>
    <w:rsid w:val="00E90019"/>
    <w:rsid w:val="00E94708"/>
    <w:rsid w:val="00EA01A3"/>
    <w:rsid w:val="00EA5D18"/>
    <w:rsid w:val="00EB0C16"/>
    <w:rsid w:val="00EB0F81"/>
    <w:rsid w:val="00EB1E06"/>
    <w:rsid w:val="00EB2B1B"/>
    <w:rsid w:val="00EB37EC"/>
    <w:rsid w:val="00EB3D1D"/>
    <w:rsid w:val="00EB62DC"/>
    <w:rsid w:val="00EC5D87"/>
    <w:rsid w:val="00ED0110"/>
    <w:rsid w:val="00ED05EF"/>
    <w:rsid w:val="00ED7978"/>
    <w:rsid w:val="00EE2CC2"/>
    <w:rsid w:val="00EE39F4"/>
    <w:rsid w:val="00EE7C28"/>
    <w:rsid w:val="00EF590B"/>
    <w:rsid w:val="00F022D7"/>
    <w:rsid w:val="00F0235F"/>
    <w:rsid w:val="00F065BA"/>
    <w:rsid w:val="00F10D05"/>
    <w:rsid w:val="00F25AAF"/>
    <w:rsid w:val="00F27736"/>
    <w:rsid w:val="00F30144"/>
    <w:rsid w:val="00F301C6"/>
    <w:rsid w:val="00F337A1"/>
    <w:rsid w:val="00F33F0C"/>
    <w:rsid w:val="00F356F8"/>
    <w:rsid w:val="00F40A01"/>
    <w:rsid w:val="00F44546"/>
    <w:rsid w:val="00F45AE4"/>
    <w:rsid w:val="00F50E98"/>
    <w:rsid w:val="00F60101"/>
    <w:rsid w:val="00F6399C"/>
    <w:rsid w:val="00F6409C"/>
    <w:rsid w:val="00F64697"/>
    <w:rsid w:val="00F70E30"/>
    <w:rsid w:val="00F7541E"/>
    <w:rsid w:val="00F76323"/>
    <w:rsid w:val="00F77986"/>
    <w:rsid w:val="00F77B53"/>
    <w:rsid w:val="00F84720"/>
    <w:rsid w:val="00F848C6"/>
    <w:rsid w:val="00F852CC"/>
    <w:rsid w:val="00F86455"/>
    <w:rsid w:val="00F870D4"/>
    <w:rsid w:val="00F873E7"/>
    <w:rsid w:val="00F93464"/>
    <w:rsid w:val="00F97810"/>
    <w:rsid w:val="00F97936"/>
    <w:rsid w:val="00FA7D5B"/>
    <w:rsid w:val="00FB4116"/>
    <w:rsid w:val="00FD35FB"/>
    <w:rsid w:val="00FE38FD"/>
    <w:rsid w:val="00FE3F16"/>
    <w:rsid w:val="00FF0BE6"/>
    <w:rsid w:val="00FF3E6F"/>
    <w:rsid w:val="00FF59DD"/>
    <w:rsid w:val="00FF5AB6"/>
    <w:rsid w:val="01DCFB1B"/>
    <w:rsid w:val="02848477"/>
    <w:rsid w:val="0A915425"/>
    <w:rsid w:val="0E102F30"/>
    <w:rsid w:val="14C30829"/>
    <w:rsid w:val="1AD71D87"/>
    <w:rsid w:val="44E62C7A"/>
    <w:rsid w:val="676CBFA4"/>
    <w:rsid w:val="679F0C35"/>
    <w:rsid w:val="754698FE"/>
    <w:rsid w:val="7571F70F"/>
    <w:rsid w:val="7C7DB7EB"/>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808E7"/>
  <w15:chartTrackingRefBased/>
  <w15:docId w15:val="{8CF4BF62-579B-4B4B-BEDA-3B8A1E49F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D3"/>
    <w:rPr>
      <w:rFonts w:ascii="Arial" w:hAnsi="Arial" w:cs="Arial"/>
      <w:sz w:val="20"/>
      <w:szCs w:val="22"/>
      <w:lang w:val="en-GB"/>
    </w:rPr>
  </w:style>
  <w:style w:type="paragraph" w:styleId="Heading1">
    <w:name w:val="heading 1"/>
    <w:basedOn w:val="Normal"/>
    <w:next w:val="Normal"/>
    <w:link w:val="Heading1Char"/>
    <w:uiPriority w:val="9"/>
    <w:qFormat/>
    <w:rsid w:val="001E17A0"/>
    <w:pPr>
      <w:keepNext/>
      <w:keepLines/>
      <w:spacing w:before="240" w:after="0"/>
      <w:outlineLvl w:val="0"/>
    </w:pPr>
    <w:rPr>
      <w:rFonts w:asciiTheme="majorHAnsi" w:eastAsiaTheme="majorEastAsia" w:hAnsiTheme="majorHAnsi" w:cstheme="majorBidi"/>
      <w:color w:val="000000" w:themeColor="background1"/>
      <w:sz w:val="40"/>
      <w:szCs w:val="32"/>
    </w:rPr>
  </w:style>
  <w:style w:type="paragraph" w:styleId="Heading2">
    <w:name w:val="heading 2"/>
    <w:basedOn w:val="Normal"/>
    <w:next w:val="Normal"/>
    <w:link w:val="Heading2Char"/>
    <w:uiPriority w:val="9"/>
    <w:unhideWhenUsed/>
    <w:qFormat/>
    <w:rsid w:val="001E17A0"/>
    <w:pPr>
      <w:keepNext/>
      <w:keepLines/>
      <w:spacing w:before="40" w:after="0"/>
      <w:outlineLvl w:val="1"/>
    </w:pPr>
    <w:rPr>
      <w:rFonts w:asciiTheme="majorHAnsi" w:eastAsiaTheme="majorEastAsia" w:hAnsiTheme="majorHAnsi" w:cstheme="majorBidi"/>
      <w:color w:val="000000" w:themeColor="background1"/>
      <w:sz w:val="36"/>
      <w:szCs w:val="26"/>
    </w:rPr>
  </w:style>
  <w:style w:type="paragraph" w:styleId="Heading3">
    <w:name w:val="heading 3"/>
    <w:basedOn w:val="Normal"/>
    <w:next w:val="Normal"/>
    <w:link w:val="Heading3Char"/>
    <w:uiPriority w:val="9"/>
    <w:unhideWhenUsed/>
    <w:qFormat/>
    <w:rsid w:val="001E17A0"/>
    <w:pPr>
      <w:keepNext/>
      <w:keepLines/>
      <w:spacing w:before="40" w:after="0"/>
      <w:outlineLvl w:val="2"/>
    </w:pPr>
    <w:rPr>
      <w:rFonts w:asciiTheme="majorHAnsi" w:eastAsiaTheme="majorEastAsia" w:hAnsiTheme="majorHAnsi" w:cstheme="majorBidi"/>
      <w:color w:val="000000" w:themeColor="background1"/>
      <w:sz w:val="32"/>
      <w:szCs w:val="24"/>
    </w:rPr>
  </w:style>
  <w:style w:type="paragraph" w:styleId="Heading4">
    <w:name w:val="heading 4"/>
    <w:basedOn w:val="Normal"/>
    <w:next w:val="Normal"/>
    <w:link w:val="Heading4Char"/>
    <w:uiPriority w:val="9"/>
    <w:unhideWhenUsed/>
    <w:qFormat/>
    <w:rsid w:val="001E17A0"/>
    <w:pPr>
      <w:keepNext/>
      <w:keepLines/>
      <w:spacing w:before="40" w:after="0"/>
      <w:outlineLvl w:val="3"/>
    </w:pPr>
    <w:rPr>
      <w:rFonts w:asciiTheme="majorHAnsi" w:eastAsiaTheme="majorEastAsia" w:hAnsiTheme="majorHAnsi" w:cstheme="majorBidi"/>
      <w:i/>
      <w:iCs/>
      <w:color w:val="000000" w:themeColor="background1"/>
      <w:sz w:val="28"/>
    </w:rPr>
  </w:style>
  <w:style w:type="paragraph" w:styleId="Heading6">
    <w:name w:val="heading 6"/>
    <w:basedOn w:val="Normal"/>
    <w:next w:val="Normal"/>
    <w:link w:val="Heading6Char"/>
    <w:uiPriority w:val="9"/>
    <w:semiHidden/>
    <w:unhideWhenUsed/>
    <w:qFormat/>
    <w:rsid w:val="001E17A0"/>
    <w:pPr>
      <w:keepNext/>
      <w:keepLines/>
      <w:spacing w:before="40" w:after="0"/>
      <w:outlineLvl w:val="5"/>
    </w:pPr>
    <w:rPr>
      <w:rFonts w:asciiTheme="majorHAnsi" w:eastAsiaTheme="majorEastAsia" w:hAnsiTheme="majorHAnsi" w:cstheme="majorBidi"/>
      <w:color w:val="000000" w:themeColor="background1"/>
    </w:rPr>
  </w:style>
  <w:style w:type="paragraph" w:styleId="Heading7">
    <w:name w:val="heading 7"/>
    <w:basedOn w:val="Normal"/>
    <w:next w:val="Normal"/>
    <w:link w:val="Heading7Char"/>
    <w:uiPriority w:val="9"/>
    <w:semiHidden/>
    <w:unhideWhenUsed/>
    <w:qFormat/>
    <w:rsid w:val="001E17A0"/>
    <w:pPr>
      <w:keepNext/>
      <w:keepLines/>
      <w:spacing w:before="40" w:after="0"/>
      <w:outlineLvl w:val="6"/>
    </w:pPr>
    <w:rPr>
      <w:rFonts w:asciiTheme="majorHAnsi" w:eastAsiaTheme="majorEastAsia" w:hAnsiTheme="majorHAnsi" w:cstheme="majorBidi"/>
      <w:i/>
      <w:iCs/>
      <w:color w:val="000000"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over page"/>
    <w:basedOn w:val="Normal"/>
    <w:next w:val="Normal"/>
    <w:link w:val="TitleChar"/>
    <w:uiPriority w:val="10"/>
    <w:qFormat/>
    <w:rsid w:val="00F10D05"/>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aliases w:val="Title cover page Char"/>
    <w:basedOn w:val="DefaultParagraphFont"/>
    <w:link w:val="Title"/>
    <w:uiPriority w:val="10"/>
    <w:rsid w:val="00F10D05"/>
    <w:rPr>
      <w:rFonts w:asciiTheme="majorHAnsi" w:eastAsiaTheme="majorEastAsia" w:hAnsiTheme="majorHAnsi" w:cstheme="majorBidi"/>
      <w:b w:val="0"/>
      <w:i w:val="0"/>
      <w:spacing w:val="-10"/>
      <w:kern w:val="28"/>
      <w:sz w:val="44"/>
      <w:szCs w:val="56"/>
    </w:rPr>
  </w:style>
  <w:style w:type="character" w:customStyle="1" w:styleId="Heading1Char">
    <w:name w:val="Heading 1 Char"/>
    <w:basedOn w:val="DefaultParagraphFont"/>
    <w:link w:val="Heading1"/>
    <w:uiPriority w:val="9"/>
    <w:rsid w:val="001E17A0"/>
    <w:rPr>
      <w:rFonts w:asciiTheme="majorHAnsi" w:eastAsiaTheme="majorEastAsia" w:hAnsiTheme="majorHAnsi" w:cstheme="majorBidi"/>
      <w:b w:val="0"/>
      <w:i w:val="0"/>
      <w:color w:val="000000" w:themeColor="background1"/>
      <w:sz w:val="40"/>
      <w:szCs w:val="32"/>
    </w:rPr>
  </w:style>
  <w:style w:type="character" w:styleId="Strong">
    <w:name w:val="Strong"/>
    <w:aliases w:val="Bold"/>
    <w:uiPriority w:val="22"/>
    <w:qFormat/>
    <w:rsid w:val="004F3749"/>
    <w:rPr>
      <w:rFonts w:ascii="Arial" w:hAnsi="Arial"/>
      <w:b/>
      <w:bCs/>
      <w:i w:val="0"/>
    </w:rPr>
  </w:style>
  <w:style w:type="character" w:customStyle="1" w:styleId="Heading2Char">
    <w:name w:val="Heading 2 Char"/>
    <w:basedOn w:val="DefaultParagraphFont"/>
    <w:link w:val="Heading2"/>
    <w:uiPriority w:val="9"/>
    <w:rsid w:val="001E17A0"/>
    <w:rPr>
      <w:rFonts w:asciiTheme="majorHAnsi" w:eastAsiaTheme="majorEastAsia" w:hAnsiTheme="majorHAnsi" w:cstheme="majorBidi"/>
      <w:b w:val="0"/>
      <w:i w:val="0"/>
      <w:color w:val="000000" w:themeColor="background1"/>
      <w:sz w:val="36"/>
      <w:szCs w:val="26"/>
    </w:rPr>
  </w:style>
  <w:style w:type="character" w:customStyle="1" w:styleId="Heading3Char">
    <w:name w:val="Heading 3 Char"/>
    <w:basedOn w:val="DefaultParagraphFont"/>
    <w:link w:val="Heading3"/>
    <w:uiPriority w:val="9"/>
    <w:rsid w:val="001E17A0"/>
    <w:rPr>
      <w:rFonts w:asciiTheme="majorHAnsi" w:eastAsiaTheme="majorEastAsia" w:hAnsiTheme="majorHAnsi" w:cstheme="majorBidi"/>
      <w:b w:val="0"/>
      <w:i w:val="0"/>
      <w:color w:val="000000" w:themeColor="background1"/>
      <w:sz w:val="32"/>
    </w:rPr>
  </w:style>
  <w:style w:type="character" w:customStyle="1" w:styleId="Heading4Char">
    <w:name w:val="Heading 4 Char"/>
    <w:basedOn w:val="DefaultParagraphFont"/>
    <w:link w:val="Heading4"/>
    <w:uiPriority w:val="9"/>
    <w:rsid w:val="001E17A0"/>
    <w:rPr>
      <w:rFonts w:asciiTheme="majorHAnsi" w:eastAsiaTheme="majorEastAsia" w:hAnsiTheme="majorHAnsi" w:cstheme="majorBidi"/>
      <w:b w:val="0"/>
      <w:i/>
      <w:iCs/>
      <w:color w:val="000000" w:themeColor="background1"/>
      <w:sz w:val="28"/>
      <w:szCs w:val="22"/>
    </w:rPr>
  </w:style>
  <w:style w:type="paragraph" w:styleId="Subtitle">
    <w:name w:val="Subtitle"/>
    <w:aliases w:val="heading 5"/>
    <w:basedOn w:val="Normal"/>
    <w:next w:val="Normal"/>
    <w:link w:val="SubtitleChar"/>
    <w:uiPriority w:val="11"/>
    <w:qFormat/>
    <w:rsid w:val="0027572B"/>
    <w:pPr>
      <w:numPr>
        <w:ilvl w:val="1"/>
      </w:numPr>
      <w:spacing w:after="120"/>
    </w:pPr>
    <w:rPr>
      <w:rFonts w:asciiTheme="minorHAnsi" w:eastAsiaTheme="minorEastAsia" w:hAnsiTheme="minorHAnsi" w:cs="Times New Roman (Hoofdtekst CS)"/>
      <w:color w:val="000000" w:themeColor="background1"/>
      <w:kern w:val="0"/>
      <w:sz w:val="28"/>
      <w:lang w:val="en-US"/>
      <w14:ligatures w14:val="none"/>
    </w:rPr>
  </w:style>
  <w:style w:type="character" w:customStyle="1" w:styleId="SubtitleChar">
    <w:name w:val="Subtitle Char"/>
    <w:aliases w:val="heading 5 Char"/>
    <w:basedOn w:val="DefaultParagraphFont"/>
    <w:link w:val="Subtitle"/>
    <w:uiPriority w:val="11"/>
    <w:rsid w:val="0027572B"/>
    <w:rPr>
      <w:rFonts w:eastAsiaTheme="minorEastAsia" w:cs="Times New Roman (Hoofdtekst CS)"/>
      <w:color w:val="000000" w:themeColor="background1"/>
      <w:kern w:val="0"/>
      <w:sz w:val="28"/>
      <w:szCs w:val="22"/>
      <w:lang w:val="en-US"/>
      <w14:ligatures w14:val="none"/>
    </w:rPr>
  </w:style>
  <w:style w:type="character" w:styleId="SubtleEmphasis">
    <w:name w:val="Subtle Emphasis"/>
    <w:aliases w:val="Quote"/>
    <w:basedOn w:val="DefaultParagraphFont"/>
    <w:uiPriority w:val="19"/>
    <w:rsid w:val="004F3749"/>
    <w:rPr>
      <w:rFonts w:ascii="Arial" w:hAnsi="Arial"/>
      <w:b w:val="0"/>
      <w:i/>
      <w:iCs/>
      <w:color w:val="E6E6E6" w:themeColor="background2"/>
      <w:sz w:val="20"/>
    </w:rPr>
  </w:style>
  <w:style w:type="character" w:styleId="Emphasis">
    <w:name w:val="Emphasis"/>
    <w:aliases w:val="Italic"/>
    <w:uiPriority w:val="20"/>
    <w:qFormat/>
    <w:rsid w:val="00AB6C0E"/>
    <w:rPr>
      <w:rFonts w:ascii="Arial" w:eastAsia="Times New Roman" w:hAnsi="Arial" w:cs="Open Sans"/>
      <w:b w:val="0"/>
      <w:i/>
      <w:iCs/>
      <w:color w:val="718C9B" w:themeColor="accent2"/>
      <w:sz w:val="20"/>
      <w:szCs w:val="20"/>
      <w:shd w:val="clear" w:color="auto" w:fill="FFFFFF"/>
      <w:lang w:val="en-US" w:eastAsia="nl-NL"/>
    </w:rPr>
  </w:style>
  <w:style w:type="paragraph" w:styleId="Footer">
    <w:name w:val="footer"/>
    <w:aliases w:val="Footnote"/>
    <w:basedOn w:val="Normal"/>
    <w:link w:val="FooterChar"/>
    <w:uiPriority w:val="99"/>
    <w:unhideWhenUsed/>
    <w:rsid w:val="000F6689"/>
    <w:pPr>
      <w:tabs>
        <w:tab w:val="center" w:pos="4536"/>
        <w:tab w:val="right" w:pos="9072"/>
      </w:tabs>
      <w:spacing w:after="120" w:line="240" w:lineRule="auto"/>
    </w:pPr>
    <w:rPr>
      <w:rFonts w:cstheme="minorBidi"/>
      <w:color w:val="737373" w:themeColor="background2" w:themeShade="80"/>
      <w:kern w:val="0"/>
      <w:sz w:val="16"/>
      <w:szCs w:val="24"/>
      <w14:ligatures w14:val="none"/>
    </w:rPr>
  </w:style>
  <w:style w:type="character" w:customStyle="1" w:styleId="FooterChar">
    <w:name w:val="Footer Char"/>
    <w:aliases w:val="Footnote Char"/>
    <w:basedOn w:val="DefaultParagraphFont"/>
    <w:link w:val="Footer"/>
    <w:uiPriority w:val="99"/>
    <w:rsid w:val="000F6689"/>
    <w:rPr>
      <w:rFonts w:ascii="Arial" w:hAnsi="Arial"/>
      <w:b w:val="0"/>
      <w:i w:val="0"/>
      <w:color w:val="737373" w:themeColor="background2" w:themeShade="80"/>
      <w:kern w:val="0"/>
      <w:sz w:val="16"/>
      <w:lang w:val="en-GB"/>
      <w14:ligatures w14:val="none"/>
    </w:rPr>
  </w:style>
  <w:style w:type="character" w:styleId="Hyperlink">
    <w:name w:val="Hyperlink"/>
    <w:basedOn w:val="DefaultParagraphFont"/>
    <w:uiPriority w:val="99"/>
    <w:unhideWhenUsed/>
    <w:rsid w:val="001B5CCD"/>
    <w:rPr>
      <w:rFonts w:ascii="Arial" w:hAnsi="Arial"/>
      <w:b w:val="0"/>
      <w:i w:val="0"/>
      <w:color w:val="718C9B" w:themeColor="accent2"/>
      <w:u w:val="single"/>
    </w:rPr>
  </w:style>
  <w:style w:type="character" w:styleId="FootnoteReference">
    <w:name w:val="footnote reference"/>
    <w:basedOn w:val="DefaultParagraphFont"/>
    <w:uiPriority w:val="99"/>
    <w:semiHidden/>
    <w:unhideWhenUsed/>
    <w:rsid w:val="004F3749"/>
    <w:rPr>
      <w:rFonts w:ascii="Arial" w:hAnsi="Arial"/>
      <w:b w:val="0"/>
      <w:i w:val="0"/>
      <w:vertAlign w:val="superscript"/>
    </w:rPr>
  </w:style>
  <w:style w:type="paragraph" w:styleId="Quote">
    <w:name w:val="Quote"/>
    <w:basedOn w:val="Normal"/>
    <w:next w:val="Normal"/>
    <w:link w:val="QuoteChar"/>
    <w:uiPriority w:val="29"/>
    <w:qFormat/>
    <w:rsid w:val="00D208D3"/>
    <w:rPr>
      <w:i/>
      <w:iCs/>
      <w:color w:val="535353" w:themeColor="text1"/>
    </w:rPr>
  </w:style>
  <w:style w:type="character" w:customStyle="1" w:styleId="QuoteChar">
    <w:name w:val="Quote Char"/>
    <w:basedOn w:val="DefaultParagraphFont"/>
    <w:link w:val="Quote"/>
    <w:uiPriority w:val="29"/>
    <w:rsid w:val="00D208D3"/>
    <w:rPr>
      <w:rFonts w:ascii="Arial" w:hAnsi="Arial" w:cs="Arial"/>
      <w:b w:val="0"/>
      <w:i/>
      <w:iCs/>
      <w:color w:val="535353" w:themeColor="text1"/>
      <w:sz w:val="20"/>
      <w:szCs w:val="22"/>
    </w:rPr>
  </w:style>
  <w:style w:type="paragraph" w:styleId="Header">
    <w:name w:val="header"/>
    <w:basedOn w:val="Normal"/>
    <w:link w:val="HeaderChar"/>
    <w:uiPriority w:val="99"/>
    <w:unhideWhenUsed/>
    <w:rsid w:val="0082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927"/>
    <w:rPr>
      <w:rFonts w:ascii="Arial" w:hAnsi="Arial" w:cs="Arial"/>
      <w:sz w:val="20"/>
      <w:szCs w:val="22"/>
      <w:lang w:val="en-GB"/>
    </w:rPr>
  </w:style>
  <w:style w:type="numbering" w:styleId="111111">
    <w:name w:val="Outline List 2"/>
    <w:basedOn w:val="NoList"/>
    <w:uiPriority w:val="99"/>
    <w:semiHidden/>
    <w:unhideWhenUsed/>
    <w:rsid w:val="0008487A"/>
    <w:pPr>
      <w:numPr>
        <w:numId w:val="1"/>
      </w:numPr>
    </w:pPr>
  </w:style>
  <w:style w:type="numbering" w:customStyle="1" w:styleId="Stijl1">
    <w:name w:val="Stijl1"/>
    <w:uiPriority w:val="99"/>
    <w:rsid w:val="008475FE"/>
    <w:pPr>
      <w:numPr>
        <w:numId w:val="3"/>
      </w:numPr>
    </w:pPr>
  </w:style>
  <w:style w:type="paragraph" w:styleId="ListNumber">
    <w:name w:val="List Number"/>
    <w:aliases w:val="Numbered list - short list"/>
    <w:basedOn w:val="ListParagraph"/>
    <w:uiPriority w:val="99"/>
    <w:unhideWhenUsed/>
    <w:qFormat/>
    <w:rsid w:val="000F6689"/>
    <w:pPr>
      <w:spacing w:after="120"/>
      <w:ind w:left="360" w:hanging="360"/>
    </w:pPr>
    <w:rPr>
      <w:rFonts w:cstheme="minorBidi"/>
      <w:color w:val="000000" w:themeColor="background1"/>
      <w:kern w:val="0"/>
      <w:szCs w:val="24"/>
      <w14:ligatures w14:val="none"/>
    </w:rPr>
  </w:style>
  <w:style w:type="paragraph" w:styleId="List">
    <w:name w:val="List"/>
    <w:aliases w:val="List (1,a,i)"/>
    <w:basedOn w:val="ListParagraph"/>
    <w:uiPriority w:val="99"/>
    <w:unhideWhenUsed/>
    <w:qFormat/>
    <w:rsid w:val="008475FE"/>
    <w:pPr>
      <w:numPr>
        <w:numId w:val="11"/>
      </w:numPr>
      <w:spacing w:after="120"/>
    </w:pPr>
    <w:rPr>
      <w:rFonts w:cstheme="minorBidi"/>
      <w:color w:val="000000" w:themeColor="background1"/>
      <w:kern w:val="0"/>
      <w:szCs w:val="24"/>
      <w14:ligatures w14:val="none"/>
    </w:rPr>
  </w:style>
  <w:style w:type="paragraph" w:styleId="ListBullet">
    <w:name w:val="List Bullet"/>
    <w:aliases w:val="Bullets"/>
    <w:basedOn w:val="ListParagraph"/>
    <w:uiPriority w:val="99"/>
    <w:unhideWhenUsed/>
    <w:qFormat/>
    <w:rsid w:val="005C3CAD"/>
    <w:pPr>
      <w:spacing w:after="120"/>
      <w:ind w:left="340" w:hanging="227"/>
    </w:pPr>
    <w:rPr>
      <w:rFonts w:cstheme="minorBidi"/>
      <w:color w:val="000000" w:themeColor="background1"/>
      <w:kern w:val="0"/>
      <w:szCs w:val="24"/>
      <w14:ligatures w14:val="none"/>
    </w:rPr>
  </w:style>
  <w:style w:type="paragraph" w:styleId="ListParagraph">
    <w:name w:val="List Paragraph"/>
    <w:basedOn w:val="Normal"/>
    <w:uiPriority w:val="34"/>
    <w:qFormat/>
    <w:rsid w:val="0008487A"/>
    <w:pPr>
      <w:ind w:left="720"/>
      <w:contextualSpacing/>
    </w:pPr>
  </w:style>
  <w:style w:type="character" w:customStyle="1" w:styleId="Heading6Char">
    <w:name w:val="Heading 6 Char"/>
    <w:basedOn w:val="DefaultParagraphFont"/>
    <w:link w:val="Heading6"/>
    <w:uiPriority w:val="9"/>
    <w:semiHidden/>
    <w:rsid w:val="001E17A0"/>
    <w:rPr>
      <w:rFonts w:asciiTheme="majorHAnsi" w:eastAsiaTheme="majorEastAsia" w:hAnsiTheme="majorHAnsi" w:cstheme="majorBidi"/>
      <w:b w:val="0"/>
      <w:i w:val="0"/>
      <w:color w:val="000000" w:themeColor="background1"/>
      <w:sz w:val="20"/>
      <w:szCs w:val="22"/>
    </w:rPr>
  </w:style>
  <w:style w:type="numbering" w:customStyle="1" w:styleId="CurrentList1">
    <w:name w:val="Current List1"/>
    <w:uiPriority w:val="99"/>
    <w:rsid w:val="00AB6C0E"/>
    <w:pPr>
      <w:numPr>
        <w:numId w:val="4"/>
      </w:numPr>
    </w:pPr>
  </w:style>
  <w:style w:type="numbering" w:customStyle="1" w:styleId="CurrentList2">
    <w:name w:val="Current List2"/>
    <w:uiPriority w:val="99"/>
    <w:rsid w:val="00AB6C0E"/>
    <w:pPr>
      <w:numPr>
        <w:numId w:val="5"/>
      </w:numPr>
    </w:pPr>
  </w:style>
  <w:style w:type="numbering" w:customStyle="1" w:styleId="CurrentList3">
    <w:name w:val="Current List3"/>
    <w:uiPriority w:val="99"/>
    <w:rsid w:val="00AB6C0E"/>
    <w:pPr>
      <w:numPr>
        <w:numId w:val="6"/>
      </w:numPr>
    </w:pPr>
  </w:style>
  <w:style w:type="numbering" w:customStyle="1" w:styleId="CurrentList4">
    <w:name w:val="Current List4"/>
    <w:uiPriority w:val="99"/>
    <w:rsid w:val="00AB6C0E"/>
    <w:pPr>
      <w:numPr>
        <w:numId w:val="7"/>
      </w:numPr>
    </w:pPr>
  </w:style>
  <w:style w:type="character" w:customStyle="1" w:styleId="Heading7Char">
    <w:name w:val="Heading 7 Char"/>
    <w:basedOn w:val="DefaultParagraphFont"/>
    <w:link w:val="Heading7"/>
    <w:uiPriority w:val="9"/>
    <w:semiHidden/>
    <w:rsid w:val="001E17A0"/>
    <w:rPr>
      <w:rFonts w:asciiTheme="majorHAnsi" w:eastAsiaTheme="majorEastAsia" w:hAnsiTheme="majorHAnsi" w:cstheme="majorBidi"/>
      <w:b w:val="0"/>
      <w:i/>
      <w:iCs/>
      <w:color w:val="000000" w:themeColor="background1"/>
      <w:sz w:val="20"/>
      <w:szCs w:val="22"/>
    </w:rPr>
  </w:style>
  <w:style w:type="paragraph" w:customStyle="1" w:styleId="Bullet-shortparagraph-3pt">
    <w:name w:val="Bullet - short paragraph - 3pt"/>
    <w:basedOn w:val="Normal"/>
    <w:qFormat/>
    <w:rsid w:val="005C3CAD"/>
    <w:pPr>
      <w:numPr>
        <w:numId w:val="2"/>
      </w:numPr>
      <w:spacing w:before="120" w:after="120"/>
    </w:pPr>
    <w:rPr>
      <w:rFonts w:cstheme="minorBidi"/>
      <w:color w:val="000000" w:themeColor="background1"/>
      <w:kern w:val="0"/>
      <w:szCs w:val="24"/>
      <w14:ligatures w14:val="none"/>
    </w:rPr>
  </w:style>
  <w:style w:type="paragraph" w:customStyle="1" w:styleId="Bullet-paragraph-6pt">
    <w:name w:val="Bullet - paragraph - 6pt"/>
    <w:basedOn w:val="Bullet-shortparagraph-3pt"/>
    <w:qFormat/>
    <w:rsid w:val="005C3CAD"/>
    <w:pPr>
      <w:spacing w:before="240" w:after="240"/>
    </w:pPr>
  </w:style>
  <w:style w:type="paragraph" w:customStyle="1" w:styleId="Numberedlist-3pt">
    <w:name w:val="Numbered list - 3pt"/>
    <w:basedOn w:val="ListNumber"/>
    <w:qFormat/>
    <w:rsid w:val="00D25E67"/>
    <w:pPr>
      <w:spacing w:before="120"/>
      <w:contextualSpacing w:val="0"/>
    </w:pPr>
  </w:style>
  <w:style w:type="paragraph" w:customStyle="1" w:styleId="Numberedlist-6pt">
    <w:name w:val="Numbered list - 6pt"/>
    <w:basedOn w:val="Numberedlist-3pt"/>
    <w:qFormat/>
    <w:rsid w:val="005A1827"/>
    <w:pPr>
      <w:numPr>
        <w:numId w:val="9"/>
      </w:numPr>
      <w:spacing w:before="240" w:after="240"/>
    </w:pPr>
  </w:style>
  <w:style w:type="numbering" w:styleId="1ai">
    <w:name w:val="Outline List 1"/>
    <w:basedOn w:val="NoList"/>
    <w:uiPriority w:val="99"/>
    <w:semiHidden/>
    <w:unhideWhenUsed/>
    <w:rsid w:val="007023F1"/>
    <w:pPr>
      <w:numPr>
        <w:numId w:val="8"/>
      </w:numPr>
    </w:pPr>
  </w:style>
  <w:style w:type="table" w:styleId="TableGrid">
    <w:name w:val="Table Grid"/>
    <w:basedOn w:val="TableNormal"/>
    <w:uiPriority w:val="39"/>
    <w:rsid w:val="00C55B48"/>
    <w:pPr>
      <w:spacing w:after="0" w:line="240" w:lineRule="auto"/>
    </w:pPr>
    <w:rPr>
      <w:kern w:val="0"/>
      <w:sz w:val="20"/>
      <w:lang w:val="nl-NL"/>
      <w14:ligatures w14:val="none"/>
    </w:rPr>
    <w:tblPr>
      <w:tblBorders>
        <w:insideH w:val="single" w:sz="6" w:space="0" w:color="4E5763" w:themeColor="accent1"/>
        <w:insideV w:val="single" w:sz="6" w:space="0" w:color="4E5763" w:themeColor="accent1"/>
      </w:tblBorders>
    </w:tblPr>
    <w:tcPr>
      <w:shd w:val="clear" w:color="auto" w:fill="auto"/>
    </w:tcPr>
  </w:style>
  <w:style w:type="character" w:styleId="BookTitle">
    <w:name w:val="Book Title"/>
    <w:aliases w:val="Figure Caption"/>
    <w:uiPriority w:val="33"/>
    <w:qFormat/>
    <w:rsid w:val="00C55B48"/>
    <w:rPr>
      <w:rFonts w:ascii="Arial" w:hAnsi="Arial"/>
      <w:b w:val="0"/>
      <w:i/>
      <w:color w:val="4E5763" w:themeColor="accent1"/>
      <w:sz w:val="16"/>
    </w:rPr>
  </w:style>
  <w:style w:type="paragraph" w:customStyle="1" w:styleId="Figure">
    <w:name w:val="Figure"/>
    <w:basedOn w:val="Normal"/>
    <w:autoRedefine/>
    <w:rsid w:val="00C55B48"/>
    <w:pPr>
      <w:spacing w:after="120" w:line="360" w:lineRule="auto"/>
    </w:pPr>
    <w:rPr>
      <w:rFonts w:asciiTheme="minorHAnsi" w:hAnsiTheme="minorHAnsi" w:cstheme="minorBidi"/>
      <w:i/>
      <w:iCs/>
      <w:color w:val="A5A198" w:themeColor="accent5"/>
      <w:kern w:val="0"/>
      <w:sz w:val="16"/>
      <w:szCs w:val="16"/>
      <w:lang w:val="en-US"/>
      <w14:ligatures w14:val="none"/>
    </w:rPr>
  </w:style>
  <w:style w:type="paragraph" w:styleId="Caption">
    <w:name w:val="caption"/>
    <w:aliases w:val="Figure Caption - Title bold"/>
    <w:basedOn w:val="Normal"/>
    <w:next w:val="Normal"/>
    <w:uiPriority w:val="35"/>
    <w:unhideWhenUsed/>
    <w:qFormat/>
    <w:rsid w:val="00C55B48"/>
    <w:rPr>
      <w:rFonts w:cstheme="minorBidi"/>
      <w:b/>
      <w:iCs/>
      <w:color w:val="4E5763" w:themeColor="accent1"/>
      <w:kern w:val="0"/>
      <w:sz w:val="16"/>
      <w:szCs w:val="18"/>
      <w14:ligatures w14:val="none"/>
    </w:rPr>
  </w:style>
  <w:style w:type="paragraph" w:customStyle="1" w:styleId="TableCaption-titlebold">
    <w:name w:val="Table Caption - title bold"/>
    <w:basedOn w:val="Caption"/>
    <w:qFormat/>
    <w:rsid w:val="005A1827"/>
    <w:pPr>
      <w:keepNext/>
    </w:pPr>
  </w:style>
  <w:style w:type="paragraph" w:customStyle="1" w:styleId="TableCaptionitalic">
    <w:name w:val="Table Caption italic"/>
    <w:basedOn w:val="TableCaption-titlebold"/>
    <w:qFormat/>
    <w:rsid w:val="005A1827"/>
    <w:rPr>
      <w:b w:val="0"/>
      <w:bCs/>
      <w:i/>
      <w:iCs w:val="0"/>
    </w:rPr>
  </w:style>
  <w:style w:type="numbering" w:customStyle="1" w:styleId="CurrentList5">
    <w:name w:val="Current List5"/>
    <w:uiPriority w:val="99"/>
    <w:rsid w:val="005A1827"/>
    <w:pPr>
      <w:numPr>
        <w:numId w:val="10"/>
      </w:numPr>
    </w:pPr>
  </w:style>
  <w:style w:type="character" w:styleId="FollowedHyperlink">
    <w:name w:val="FollowedHyperlink"/>
    <w:basedOn w:val="DefaultParagraphFont"/>
    <w:uiPriority w:val="99"/>
    <w:semiHidden/>
    <w:unhideWhenUsed/>
    <w:rsid w:val="00D20929"/>
    <w:rPr>
      <w:color w:val="954F72" w:themeColor="followedHyperlink"/>
      <w:u w:val="single"/>
    </w:rPr>
  </w:style>
  <w:style w:type="character" w:styleId="UnresolvedMention">
    <w:name w:val="Unresolved Mention"/>
    <w:basedOn w:val="DefaultParagraphFont"/>
    <w:uiPriority w:val="99"/>
    <w:semiHidden/>
    <w:unhideWhenUsed/>
    <w:rsid w:val="00D20929"/>
    <w:rPr>
      <w:color w:val="605E5C"/>
      <w:shd w:val="clear" w:color="auto" w:fill="E1DFDD"/>
    </w:rPr>
  </w:style>
  <w:style w:type="paragraph" w:styleId="TOCHeading">
    <w:name w:val="TOC Heading"/>
    <w:basedOn w:val="Heading1"/>
    <w:next w:val="Normal"/>
    <w:uiPriority w:val="39"/>
    <w:unhideWhenUsed/>
    <w:rsid w:val="0035016F"/>
    <w:pPr>
      <w:spacing w:before="480"/>
      <w:outlineLvl w:val="9"/>
    </w:pPr>
    <w:rPr>
      <w:bCs/>
      <w:kern w:val="0"/>
      <w:sz w:val="36"/>
      <w:szCs w:val="28"/>
      <w:lang w:val="en-US"/>
      <w14:ligatures w14:val="none"/>
    </w:rPr>
  </w:style>
  <w:style w:type="paragraph" w:styleId="TOC1">
    <w:name w:val="toc 1"/>
    <w:basedOn w:val="Normal"/>
    <w:next w:val="Normal"/>
    <w:autoRedefine/>
    <w:uiPriority w:val="39"/>
    <w:unhideWhenUsed/>
    <w:rsid w:val="0035016F"/>
    <w:pPr>
      <w:spacing w:before="240" w:after="120"/>
    </w:pPr>
    <w:rPr>
      <w:b/>
      <w:bCs/>
      <w:szCs w:val="20"/>
    </w:rPr>
  </w:style>
  <w:style w:type="paragraph" w:styleId="TOC2">
    <w:name w:val="toc 2"/>
    <w:basedOn w:val="Normal"/>
    <w:next w:val="Normal"/>
    <w:autoRedefine/>
    <w:uiPriority w:val="39"/>
    <w:unhideWhenUsed/>
    <w:rsid w:val="0035016F"/>
    <w:pPr>
      <w:spacing w:before="120" w:after="0"/>
      <w:ind w:left="200"/>
    </w:pPr>
    <w:rPr>
      <w:i/>
      <w:iCs/>
      <w:szCs w:val="20"/>
    </w:rPr>
  </w:style>
  <w:style w:type="paragraph" w:styleId="TOC3">
    <w:name w:val="toc 3"/>
    <w:basedOn w:val="Normal"/>
    <w:next w:val="Normal"/>
    <w:autoRedefine/>
    <w:uiPriority w:val="39"/>
    <w:unhideWhenUsed/>
    <w:rsid w:val="0035016F"/>
    <w:pPr>
      <w:spacing w:after="0"/>
      <w:ind w:left="400"/>
    </w:pPr>
    <w:rPr>
      <w:szCs w:val="20"/>
    </w:rPr>
  </w:style>
  <w:style w:type="paragraph" w:styleId="TOC4">
    <w:name w:val="toc 4"/>
    <w:basedOn w:val="Normal"/>
    <w:next w:val="Normal"/>
    <w:autoRedefine/>
    <w:uiPriority w:val="39"/>
    <w:semiHidden/>
    <w:unhideWhenUsed/>
    <w:rsid w:val="00443D8E"/>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443D8E"/>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443D8E"/>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443D8E"/>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443D8E"/>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443D8E"/>
    <w:pPr>
      <w:spacing w:after="0"/>
      <w:ind w:left="1600"/>
    </w:pPr>
    <w:rPr>
      <w:rFonts w:asciiTheme="minorHAnsi" w:hAnsiTheme="minorHAnsi"/>
      <w:szCs w:val="20"/>
    </w:rPr>
  </w:style>
  <w:style w:type="paragraph" w:styleId="TableofFigures">
    <w:name w:val="table of figures"/>
    <w:aliases w:val="List with images"/>
    <w:basedOn w:val="Normal"/>
    <w:next w:val="Normal"/>
    <w:uiPriority w:val="99"/>
    <w:unhideWhenUsed/>
    <w:qFormat/>
    <w:rsid w:val="00822927"/>
    <w:pPr>
      <w:spacing w:after="120"/>
    </w:pPr>
    <w:rPr>
      <w:rFonts w:cstheme="minorHAnsi"/>
      <w:bCs/>
      <w:color w:val="000000" w:themeColor="background1"/>
      <w:kern w:val="0"/>
      <w:szCs w:val="20"/>
      <w14:ligatures w14:val="none"/>
    </w:rPr>
  </w:style>
  <w:style w:type="paragraph" w:customStyle="1" w:styleId="Quote-plaintext">
    <w:name w:val="Quote - plain text"/>
    <w:basedOn w:val="Normal"/>
    <w:qFormat/>
    <w:rsid w:val="0035016F"/>
    <w:rPr>
      <w:i/>
      <w:color w:val="535353" w:themeColor="text1"/>
      <w:lang w:val="en-US"/>
    </w:rPr>
  </w:style>
  <w:style w:type="character" w:styleId="PageNumber">
    <w:name w:val="page number"/>
    <w:basedOn w:val="DefaultParagraphFont"/>
    <w:uiPriority w:val="99"/>
    <w:semiHidden/>
    <w:unhideWhenUsed/>
    <w:rsid w:val="00A20C1B"/>
  </w:style>
  <w:style w:type="paragraph" w:styleId="Revision">
    <w:name w:val="Revision"/>
    <w:hidden/>
    <w:uiPriority w:val="99"/>
    <w:semiHidden/>
    <w:rsid w:val="00656C2B"/>
    <w:pPr>
      <w:spacing w:after="0" w:line="240" w:lineRule="auto"/>
    </w:pPr>
    <w:rPr>
      <w:rFonts w:ascii="Arial" w:hAnsi="Arial" w:cs="Arial"/>
      <w:sz w:val="20"/>
      <w:szCs w:val="22"/>
      <w:lang w:val="en-GB"/>
    </w:rPr>
  </w:style>
  <w:style w:type="table" w:styleId="GridTable1Light-Accent3">
    <w:name w:val="Grid Table 1 Light Accent 3"/>
    <w:basedOn w:val="TableNormal"/>
    <w:uiPriority w:val="46"/>
    <w:rsid w:val="008475FE"/>
    <w:pPr>
      <w:spacing w:after="0" w:line="240" w:lineRule="auto"/>
    </w:pPr>
    <w:tblPr>
      <w:tblStyleRowBandSize w:val="1"/>
      <w:tblStyleColBandSize w:val="1"/>
      <w:tblBorders>
        <w:top w:val="single" w:sz="4" w:space="0" w:color="9CCECC" w:themeColor="accent3" w:themeTint="66"/>
        <w:left w:val="single" w:sz="4" w:space="0" w:color="9CCECC" w:themeColor="accent3" w:themeTint="66"/>
        <w:bottom w:val="single" w:sz="4" w:space="0" w:color="9CCECC" w:themeColor="accent3" w:themeTint="66"/>
        <w:right w:val="single" w:sz="4" w:space="0" w:color="9CCECC" w:themeColor="accent3" w:themeTint="66"/>
        <w:insideH w:val="single" w:sz="4" w:space="0" w:color="9CCECC" w:themeColor="accent3" w:themeTint="66"/>
        <w:insideV w:val="single" w:sz="4" w:space="0" w:color="9CCECC" w:themeColor="accent3" w:themeTint="66"/>
      </w:tblBorders>
    </w:tblPr>
    <w:tblStylePr w:type="firstRow">
      <w:rPr>
        <w:b/>
        <w:bCs/>
      </w:rPr>
      <w:tblPr/>
      <w:tcPr>
        <w:tcBorders>
          <w:bottom w:val="single" w:sz="12" w:space="0" w:color="6BB6B2" w:themeColor="accent3" w:themeTint="99"/>
        </w:tcBorders>
      </w:tcPr>
    </w:tblStylePr>
    <w:tblStylePr w:type="lastRow">
      <w:rPr>
        <w:b/>
        <w:bCs/>
      </w:rPr>
      <w:tblPr/>
      <w:tcPr>
        <w:tcBorders>
          <w:top w:val="double" w:sz="2" w:space="0" w:color="6BB6B2" w:themeColor="accent3" w:themeTint="99"/>
        </w:tcBorders>
      </w:tcPr>
    </w:tblStylePr>
    <w:tblStylePr w:type="firstCol">
      <w:rPr>
        <w:b/>
        <w:bCs/>
      </w:rPr>
    </w:tblStylePr>
    <w:tblStylePr w:type="lastCol">
      <w:rPr>
        <w:b/>
        <w:bCs/>
      </w:rPr>
    </w:tblStylePr>
  </w:style>
  <w:style w:type="table" w:styleId="ListTable1Light-Accent4">
    <w:name w:val="List Table 1 Light Accent 4"/>
    <w:basedOn w:val="TableNormal"/>
    <w:uiPriority w:val="46"/>
    <w:rsid w:val="008475FE"/>
    <w:pPr>
      <w:spacing w:after="0" w:line="240" w:lineRule="auto"/>
    </w:pPr>
    <w:tblPr>
      <w:tblStyleRowBandSize w:val="1"/>
      <w:tblStyleColBandSize w:val="1"/>
    </w:tblPr>
    <w:tblStylePr w:type="firstRow">
      <w:rPr>
        <w:b/>
        <w:bCs/>
      </w:rPr>
      <w:tblPr/>
      <w:tcPr>
        <w:tcBorders>
          <w:bottom w:val="single" w:sz="4" w:space="0" w:color="D1A890" w:themeColor="accent4" w:themeTint="99"/>
        </w:tcBorders>
      </w:tcPr>
    </w:tblStylePr>
    <w:tblStylePr w:type="lastRow">
      <w:rPr>
        <w:b/>
        <w:bCs/>
      </w:rPr>
      <w:tblPr/>
      <w:tcPr>
        <w:tcBorders>
          <w:top w:val="single" w:sz="4" w:space="0" w:color="D1A890" w:themeColor="accent4" w:themeTint="99"/>
        </w:tcBorders>
      </w:tcPr>
    </w:tblStylePr>
    <w:tblStylePr w:type="firstCol">
      <w:rPr>
        <w:b/>
        <w:bCs/>
      </w:rPr>
    </w:tblStylePr>
    <w:tblStylePr w:type="lastCol">
      <w:rPr>
        <w:b/>
        <w:bCs/>
      </w:rPr>
    </w:tblStylePr>
    <w:tblStylePr w:type="band1Vert">
      <w:tblPr/>
      <w:tcPr>
        <w:shd w:val="clear" w:color="auto" w:fill="F0E1DA" w:themeFill="accent4" w:themeFillTint="33"/>
      </w:tcPr>
    </w:tblStylePr>
    <w:tblStylePr w:type="band1Horz">
      <w:tblPr/>
      <w:tcPr>
        <w:shd w:val="clear" w:color="auto" w:fill="F0E1DA" w:themeFill="accent4" w:themeFillTint="33"/>
      </w:tcPr>
    </w:tblStylePr>
  </w:style>
  <w:style w:type="table" w:styleId="ListTable2-Accent1">
    <w:name w:val="List Table 2 Accent 1"/>
    <w:basedOn w:val="TableNormal"/>
    <w:uiPriority w:val="47"/>
    <w:rsid w:val="009451DD"/>
    <w:pPr>
      <w:spacing w:after="0" w:line="240" w:lineRule="auto"/>
    </w:pPr>
    <w:tblPr>
      <w:tblStyleRowBandSize w:val="1"/>
      <w:tblStyleColBandSize w:val="1"/>
      <w:tblBorders>
        <w:top w:val="single" w:sz="4" w:space="0" w:color="8F99A6" w:themeColor="accent1" w:themeTint="99"/>
        <w:bottom w:val="single" w:sz="4" w:space="0" w:color="8F99A6" w:themeColor="accent1" w:themeTint="99"/>
        <w:insideH w:val="single" w:sz="4" w:space="0" w:color="8F99A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DE1" w:themeFill="accent1" w:themeFillTint="33"/>
      </w:tcPr>
    </w:tblStylePr>
    <w:tblStylePr w:type="band1Horz">
      <w:tblPr/>
      <w:tcPr>
        <w:shd w:val="clear" w:color="auto" w:fill="D9DDE1" w:themeFill="accent1" w:themeFillTint="33"/>
      </w:tcPr>
    </w:tblStylePr>
  </w:style>
  <w:style w:type="table" w:styleId="ListTable2-Accent4">
    <w:name w:val="List Table 2 Accent 4"/>
    <w:basedOn w:val="TableNormal"/>
    <w:uiPriority w:val="47"/>
    <w:rsid w:val="009451DD"/>
    <w:pPr>
      <w:spacing w:after="0" w:line="240" w:lineRule="auto"/>
    </w:pPr>
    <w:tblPr>
      <w:tblStyleRowBandSize w:val="1"/>
      <w:tblStyleColBandSize w:val="1"/>
      <w:tblBorders>
        <w:top w:val="single" w:sz="4" w:space="0" w:color="D1A890" w:themeColor="accent4" w:themeTint="99"/>
        <w:bottom w:val="single" w:sz="4" w:space="0" w:color="D1A890" w:themeColor="accent4" w:themeTint="99"/>
        <w:insideH w:val="single" w:sz="4" w:space="0" w:color="D1A89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1DA" w:themeFill="accent4" w:themeFillTint="33"/>
      </w:tcPr>
    </w:tblStylePr>
    <w:tblStylePr w:type="band1Horz">
      <w:tblPr/>
      <w:tcPr>
        <w:shd w:val="clear" w:color="auto" w:fill="F0E1DA" w:themeFill="accent4" w:themeFillTint="33"/>
      </w:tcPr>
    </w:tblStylePr>
  </w:style>
  <w:style w:type="table" w:styleId="ListTable2-Accent5">
    <w:name w:val="List Table 2 Accent 5"/>
    <w:basedOn w:val="TableNormal"/>
    <w:uiPriority w:val="47"/>
    <w:rsid w:val="009451DD"/>
    <w:pPr>
      <w:spacing w:after="0" w:line="240" w:lineRule="auto"/>
    </w:pPr>
    <w:tblPr>
      <w:tblStyleRowBandSize w:val="1"/>
      <w:tblStyleColBandSize w:val="1"/>
      <w:tblBorders>
        <w:top w:val="single" w:sz="4" w:space="0" w:color="C9C6C1" w:themeColor="accent5" w:themeTint="99"/>
        <w:bottom w:val="single" w:sz="4" w:space="0" w:color="C9C6C1" w:themeColor="accent5" w:themeTint="99"/>
        <w:insideH w:val="single" w:sz="4" w:space="0" w:color="C9C6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CEA" w:themeFill="accent5" w:themeFillTint="33"/>
      </w:tcPr>
    </w:tblStylePr>
    <w:tblStylePr w:type="band1Horz">
      <w:tblPr/>
      <w:tcPr>
        <w:shd w:val="clear" w:color="auto" w:fill="EDECEA" w:themeFill="accent5" w:themeFillTint="33"/>
      </w:tcPr>
    </w:tblStylePr>
  </w:style>
  <w:style w:type="table" w:styleId="ListTable1Light-Accent3">
    <w:name w:val="List Table 1 Light Accent 3"/>
    <w:basedOn w:val="TableNormal"/>
    <w:uiPriority w:val="46"/>
    <w:rsid w:val="009451DD"/>
    <w:pPr>
      <w:spacing w:after="0" w:line="240" w:lineRule="auto"/>
    </w:pPr>
    <w:tblPr>
      <w:tblStyleRowBandSize w:val="1"/>
      <w:tblStyleColBandSize w:val="1"/>
    </w:tblPr>
    <w:tblStylePr w:type="firstRow">
      <w:rPr>
        <w:b/>
        <w:bCs/>
      </w:rPr>
      <w:tblPr/>
      <w:tcPr>
        <w:tcBorders>
          <w:bottom w:val="single" w:sz="4" w:space="0" w:color="6BB6B2" w:themeColor="accent3" w:themeTint="99"/>
        </w:tcBorders>
      </w:tcPr>
    </w:tblStylePr>
    <w:tblStylePr w:type="lastRow">
      <w:rPr>
        <w:b/>
        <w:bCs/>
      </w:rPr>
      <w:tblPr/>
      <w:tcPr>
        <w:tcBorders>
          <w:top w:val="single" w:sz="4" w:space="0" w:color="6BB6B2" w:themeColor="accent3" w:themeTint="99"/>
        </w:tcBorders>
      </w:tcPr>
    </w:tblStylePr>
    <w:tblStylePr w:type="firstCol">
      <w:rPr>
        <w:b/>
        <w:bCs/>
      </w:rPr>
    </w:tblStylePr>
    <w:tblStylePr w:type="lastCol">
      <w:rPr>
        <w:b/>
        <w:bCs/>
      </w:rPr>
    </w:tblStylePr>
    <w:tblStylePr w:type="band1Vert">
      <w:tblPr/>
      <w:tcPr>
        <w:shd w:val="clear" w:color="auto" w:fill="CDE6E5" w:themeFill="accent3" w:themeFillTint="33"/>
      </w:tcPr>
    </w:tblStylePr>
    <w:tblStylePr w:type="band1Horz">
      <w:tblPr/>
      <w:tcPr>
        <w:shd w:val="clear" w:color="auto" w:fill="CDE6E5" w:themeFill="accent3" w:themeFillTint="33"/>
      </w:tcPr>
    </w:tblStylePr>
  </w:style>
  <w:style w:type="table" w:styleId="ListTable1Light-Accent1">
    <w:name w:val="List Table 1 Light Accent 1"/>
    <w:basedOn w:val="TableNormal"/>
    <w:uiPriority w:val="46"/>
    <w:rsid w:val="009451DD"/>
    <w:pPr>
      <w:spacing w:after="0" w:line="240" w:lineRule="auto"/>
    </w:pPr>
    <w:tblPr>
      <w:tblStyleRowBandSize w:val="1"/>
      <w:tblStyleColBandSize w:val="1"/>
    </w:tblPr>
    <w:tblStylePr w:type="firstRow">
      <w:rPr>
        <w:b/>
        <w:bCs/>
      </w:rPr>
      <w:tblPr/>
      <w:tcPr>
        <w:tcBorders>
          <w:bottom w:val="single" w:sz="4" w:space="0" w:color="8F99A6" w:themeColor="accent1" w:themeTint="99"/>
        </w:tcBorders>
      </w:tcPr>
    </w:tblStylePr>
    <w:tblStylePr w:type="lastRow">
      <w:rPr>
        <w:b/>
        <w:bCs/>
      </w:rPr>
      <w:tblPr/>
      <w:tcPr>
        <w:tcBorders>
          <w:top w:val="single" w:sz="4" w:space="0" w:color="8F99A6" w:themeColor="accent1" w:themeTint="99"/>
        </w:tcBorders>
      </w:tcPr>
    </w:tblStylePr>
    <w:tblStylePr w:type="firstCol">
      <w:rPr>
        <w:b/>
        <w:bCs/>
      </w:rPr>
    </w:tblStylePr>
    <w:tblStylePr w:type="lastCol">
      <w:rPr>
        <w:b/>
        <w:bCs/>
      </w:rPr>
    </w:tblStylePr>
    <w:tblStylePr w:type="band1Vert">
      <w:tblPr/>
      <w:tcPr>
        <w:shd w:val="clear" w:color="auto" w:fill="D9DDE1" w:themeFill="accent1" w:themeFillTint="33"/>
      </w:tcPr>
    </w:tblStylePr>
    <w:tblStylePr w:type="band1Horz">
      <w:tblPr/>
      <w:tcPr>
        <w:shd w:val="clear" w:color="auto" w:fill="D9DDE1" w:themeFill="accent1" w:themeFillTint="33"/>
      </w:tcPr>
    </w:tblStylePr>
  </w:style>
  <w:style w:type="table" w:styleId="GridTable4-Accent6">
    <w:name w:val="Grid Table 4 Accent 6"/>
    <w:basedOn w:val="TableNormal"/>
    <w:uiPriority w:val="49"/>
    <w:rsid w:val="009451DD"/>
    <w:pPr>
      <w:spacing w:after="0" w:line="240" w:lineRule="auto"/>
    </w:pPr>
    <w:tblPr>
      <w:tblStyleRowBandSize w:val="1"/>
      <w:tblStyleColBandSize w:val="1"/>
      <w:tblBorders>
        <w:top w:val="single" w:sz="4" w:space="0" w:color="E4E3E0" w:themeColor="accent6" w:themeTint="99"/>
        <w:left w:val="single" w:sz="4" w:space="0" w:color="E4E3E0" w:themeColor="accent6" w:themeTint="99"/>
        <w:bottom w:val="single" w:sz="4" w:space="0" w:color="E4E3E0" w:themeColor="accent6" w:themeTint="99"/>
        <w:right w:val="single" w:sz="4" w:space="0" w:color="E4E3E0" w:themeColor="accent6" w:themeTint="99"/>
        <w:insideH w:val="single" w:sz="4" w:space="0" w:color="E4E3E0" w:themeColor="accent6" w:themeTint="99"/>
        <w:insideV w:val="single" w:sz="4" w:space="0" w:color="E4E3E0" w:themeColor="accent6" w:themeTint="99"/>
      </w:tblBorders>
    </w:tblPr>
    <w:tblStylePr w:type="firstRow">
      <w:rPr>
        <w:b/>
        <w:bCs/>
        <w:color w:val="000000" w:themeColor="background1"/>
      </w:rPr>
      <w:tblPr/>
      <w:tcPr>
        <w:tcBorders>
          <w:top w:val="single" w:sz="4" w:space="0" w:color="D3D1CC" w:themeColor="accent6"/>
          <w:left w:val="single" w:sz="4" w:space="0" w:color="D3D1CC" w:themeColor="accent6"/>
          <w:bottom w:val="single" w:sz="4" w:space="0" w:color="D3D1CC" w:themeColor="accent6"/>
          <w:right w:val="single" w:sz="4" w:space="0" w:color="D3D1CC" w:themeColor="accent6"/>
          <w:insideH w:val="nil"/>
          <w:insideV w:val="nil"/>
        </w:tcBorders>
        <w:shd w:val="clear" w:color="auto" w:fill="D3D1CC" w:themeFill="accent6"/>
      </w:tcPr>
    </w:tblStylePr>
    <w:tblStylePr w:type="lastRow">
      <w:rPr>
        <w:b/>
        <w:bCs/>
      </w:rPr>
      <w:tblPr/>
      <w:tcPr>
        <w:tcBorders>
          <w:top w:val="double" w:sz="4" w:space="0" w:color="D3D1CC" w:themeColor="accent6"/>
        </w:tcBorders>
      </w:tcPr>
    </w:tblStylePr>
    <w:tblStylePr w:type="firstCol">
      <w:rPr>
        <w:b/>
        <w:bCs/>
      </w:rPr>
    </w:tblStylePr>
    <w:tblStylePr w:type="lastCol">
      <w:rPr>
        <w:b/>
        <w:bCs/>
      </w:rPr>
    </w:tblStylePr>
    <w:tblStylePr w:type="band1Vert">
      <w:tblPr/>
      <w:tcPr>
        <w:shd w:val="clear" w:color="auto" w:fill="F6F5F4" w:themeFill="accent6" w:themeFillTint="33"/>
      </w:tcPr>
    </w:tblStylePr>
    <w:tblStylePr w:type="band1Horz">
      <w:tblPr/>
      <w:tcPr>
        <w:shd w:val="clear" w:color="auto" w:fill="F6F5F4" w:themeFill="accent6" w:themeFillTint="33"/>
      </w:tcPr>
    </w:tblStylePr>
  </w:style>
  <w:style w:type="table" w:styleId="GridTable4-Accent2">
    <w:name w:val="Grid Table 4 Accent 2"/>
    <w:basedOn w:val="TableNormal"/>
    <w:uiPriority w:val="49"/>
    <w:rsid w:val="009451DD"/>
    <w:pPr>
      <w:spacing w:after="0" w:line="240" w:lineRule="auto"/>
    </w:pPr>
    <w:tblPr>
      <w:tblStyleRowBandSize w:val="1"/>
      <w:tblStyleColBandSize w:val="1"/>
      <w:tblBorders>
        <w:top w:val="single" w:sz="4" w:space="0" w:color="A9B9C3" w:themeColor="accent2" w:themeTint="99"/>
        <w:left w:val="single" w:sz="4" w:space="0" w:color="A9B9C3" w:themeColor="accent2" w:themeTint="99"/>
        <w:bottom w:val="single" w:sz="4" w:space="0" w:color="A9B9C3" w:themeColor="accent2" w:themeTint="99"/>
        <w:right w:val="single" w:sz="4" w:space="0" w:color="A9B9C3" w:themeColor="accent2" w:themeTint="99"/>
        <w:insideH w:val="single" w:sz="4" w:space="0" w:color="A9B9C3" w:themeColor="accent2" w:themeTint="99"/>
        <w:insideV w:val="single" w:sz="4" w:space="0" w:color="A9B9C3" w:themeColor="accent2" w:themeTint="99"/>
      </w:tblBorders>
    </w:tblPr>
    <w:tblStylePr w:type="firstRow">
      <w:rPr>
        <w:b/>
        <w:bCs/>
        <w:color w:val="000000" w:themeColor="background1"/>
      </w:rPr>
      <w:tblPr/>
      <w:tcPr>
        <w:tcBorders>
          <w:top w:val="single" w:sz="4" w:space="0" w:color="718C9B" w:themeColor="accent2"/>
          <w:left w:val="single" w:sz="4" w:space="0" w:color="718C9B" w:themeColor="accent2"/>
          <w:bottom w:val="single" w:sz="4" w:space="0" w:color="718C9B" w:themeColor="accent2"/>
          <w:right w:val="single" w:sz="4" w:space="0" w:color="718C9B" w:themeColor="accent2"/>
          <w:insideH w:val="nil"/>
          <w:insideV w:val="nil"/>
        </w:tcBorders>
        <w:shd w:val="clear" w:color="auto" w:fill="718C9B" w:themeFill="accent2"/>
      </w:tcPr>
    </w:tblStylePr>
    <w:tblStylePr w:type="lastRow">
      <w:rPr>
        <w:b/>
        <w:bCs/>
      </w:rPr>
      <w:tblPr/>
      <w:tcPr>
        <w:tcBorders>
          <w:top w:val="double" w:sz="4" w:space="0" w:color="718C9B" w:themeColor="accent2"/>
        </w:tcBorders>
      </w:tcPr>
    </w:tblStylePr>
    <w:tblStylePr w:type="firstCol">
      <w:rPr>
        <w:b/>
        <w:bCs/>
      </w:rPr>
    </w:tblStylePr>
    <w:tblStylePr w:type="lastCol">
      <w:rPr>
        <w:b/>
        <w:bCs/>
      </w:rPr>
    </w:tblStylePr>
    <w:tblStylePr w:type="band1Vert">
      <w:tblPr/>
      <w:tcPr>
        <w:shd w:val="clear" w:color="auto" w:fill="E2E7EB" w:themeFill="accent2" w:themeFillTint="33"/>
      </w:tcPr>
    </w:tblStylePr>
    <w:tblStylePr w:type="band1Horz">
      <w:tblPr/>
      <w:tcPr>
        <w:shd w:val="clear" w:color="auto" w:fill="E2E7EB" w:themeFill="accent2" w:themeFillTint="33"/>
      </w:tcPr>
    </w:tblStylePr>
  </w:style>
  <w:style w:type="table" w:styleId="ListTable2-Accent2">
    <w:name w:val="List Table 2 Accent 2"/>
    <w:basedOn w:val="TableNormal"/>
    <w:uiPriority w:val="47"/>
    <w:rsid w:val="009451DD"/>
    <w:pPr>
      <w:spacing w:after="0" w:line="240" w:lineRule="auto"/>
    </w:pPr>
    <w:tblPr>
      <w:tblStyleRowBandSize w:val="1"/>
      <w:tblStyleColBandSize w:val="1"/>
      <w:tblBorders>
        <w:top w:val="single" w:sz="4" w:space="0" w:color="A9B9C3" w:themeColor="accent2" w:themeTint="99"/>
        <w:bottom w:val="single" w:sz="4" w:space="0" w:color="A9B9C3" w:themeColor="accent2" w:themeTint="99"/>
        <w:insideH w:val="single" w:sz="4" w:space="0" w:color="A9B9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7EB" w:themeFill="accent2" w:themeFillTint="33"/>
      </w:tcPr>
    </w:tblStylePr>
    <w:tblStylePr w:type="band1Horz">
      <w:tblPr/>
      <w:tcPr>
        <w:shd w:val="clear" w:color="auto" w:fill="E2E7EB" w:themeFill="accent2" w:themeFillTint="33"/>
      </w:tcPr>
    </w:tblStylePr>
  </w:style>
  <w:style w:type="table" w:styleId="ListTable1Light-Accent2">
    <w:name w:val="List Table 1 Light Accent 2"/>
    <w:basedOn w:val="TableNormal"/>
    <w:uiPriority w:val="46"/>
    <w:rsid w:val="009451DD"/>
    <w:pPr>
      <w:spacing w:after="0" w:line="240" w:lineRule="auto"/>
    </w:pPr>
    <w:tblPr>
      <w:tblStyleRowBandSize w:val="1"/>
      <w:tblStyleColBandSize w:val="1"/>
    </w:tblPr>
    <w:tblStylePr w:type="firstRow">
      <w:rPr>
        <w:b/>
        <w:bCs/>
      </w:rPr>
      <w:tblPr/>
      <w:tcPr>
        <w:tcBorders>
          <w:bottom w:val="single" w:sz="4" w:space="0" w:color="A9B9C3" w:themeColor="accent2" w:themeTint="99"/>
        </w:tcBorders>
      </w:tcPr>
    </w:tblStylePr>
    <w:tblStylePr w:type="lastRow">
      <w:rPr>
        <w:b/>
        <w:bCs/>
      </w:rPr>
      <w:tblPr/>
      <w:tcPr>
        <w:tcBorders>
          <w:top w:val="single" w:sz="4" w:space="0" w:color="A9B9C3" w:themeColor="accent2" w:themeTint="99"/>
        </w:tcBorders>
      </w:tcPr>
    </w:tblStylePr>
    <w:tblStylePr w:type="firstCol">
      <w:rPr>
        <w:b/>
        <w:bCs/>
      </w:rPr>
    </w:tblStylePr>
    <w:tblStylePr w:type="lastCol">
      <w:rPr>
        <w:b/>
        <w:bCs/>
      </w:rPr>
    </w:tblStylePr>
    <w:tblStylePr w:type="band1Vert">
      <w:tblPr/>
      <w:tcPr>
        <w:shd w:val="clear" w:color="auto" w:fill="E2E7EB" w:themeFill="accent2" w:themeFillTint="33"/>
      </w:tcPr>
    </w:tblStylePr>
    <w:tblStylePr w:type="band1Horz">
      <w:tblPr/>
      <w:tcPr>
        <w:shd w:val="clear" w:color="auto" w:fill="E2E7EB" w:themeFill="accent2" w:themeFillTint="33"/>
      </w:tcPr>
    </w:tblStylePr>
  </w:style>
  <w:style w:type="table" w:styleId="ListTable2">
    <w:name w:val="List Table 2"/>
    <w:basedOn w:val="TableNormal"/>
    <w:uiPriority w:val="47"/>
    <w:rsid w:val="009451DD"/>
    <w:pPr>
      <w:spacing w:after="0" w:line="240" w:lineRule="auto"/>
    </w:pPr>
    <w:tblPr>
      <w:tblStyleRowBandSize w:val="1"/>
      <w:tblStyleColBandSize w:val="1"/>
      <w:tblBorders>
        <w:top w:val="single" w:sz="4" w:space="0" w:color="979797" w:themeColor="text1" w:themeTint="99"/>
        <w:bottom w:val="single" w:sz="4" w:space="0" w:color="979797" w:themeColor="text1" w:themeTint="99"/>
        <w:insideH w:val="single" w:sz="4" w:space="0" w:color="97979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1Light-Accent5">
    <w:name w:val="List Table 1 Light Accent 5"/>
    <w:basedOn w:val="TableNormal"/>
    <w:uiPriority w:val="46"/>
    <w:rsid w:val="009451DD"/>
    <w:pPr>
      <w:spacing w:after="0" w:line="240" w:lineRule="auto"/>
    </w:pPr>
    <w:tblPr>
      <w:tblStyleRowBandSize w:val="1"/>
      <w:tblStyleColBandSize w:val="1"/>
    </w:tblPr>
    <w:tblStylePr w:type="firstRow">
      <w:rPr>
        <w:b/>
        <w:bCs/>
      </w:rPr>
      <w:tblPr/>
      <w:tcPr>
        <w:tcBorders>
          <w:bottom w:val="single" w:sz="4" w:space="0" w:color="C9C6C1" w:themeColor="accent5" w:themeTint="99"/>
        </w:tcBorders>
      </w:tcPr>
    </w:tblStylePr>
    <w:tblStylePr w:type="lastRow">
      <w:rPr>
        <w:b/>
        <w:bCs/>
      </w:rPr>
      <w:tblPr/>
      <w:tcPr>
        <w:tcBorders>
          <w:top w:val="single" w:sz="4" w:space="0" w:color="C9C6C1" w:themeColor="accent5" w:themeTint="99"/>
        </w:tcBorders>
      </w:tcPr>
    </w:tblStylePr>
    <w:tblStylePr w:type="firstCol">
      <w:rPr>
        <w:b/>
        <w:bCs/>
      </w:rPr>
    </w:tblStylePr>
    <w:tblStylePr w:type="lastCol">
      <w:rPr>
        <w:b/>
        <w:bCs/>
      </w:rPr>
    </w:tblStylePr>
    <w:tblStylePr w:type="band1Vert">
      <w:tblPr/>
      <w:tcPr>
        <w:shd w:val="clear" w:color="auto" w:fill="EDECEA" w:themeFill="accent5" w:themeFillTint="33"/>
      </w:tcPr>
    </w:tblStylePr>
    <w:tblStylePr w:type="band1Horz">
      <w:tblPr/>
      <w:tcPr>
        <w:shd w:val="clear" w:color="auto" w:fill="EDECEA" w:themeFill="accent5" w:themeFillTint="33"/>
      </w:tcPr>
    </w:tblStylePr>
  </w:style>
  <w:style w:type="table" w:styleId="ListTable1Light">
    <w:name w:val="List Table 1 Light"/>
    <w:basedOn w:val="TableNormal"/>
    <w:uiPriority w:val="46"/>
    <w:rsid w:val="009451DD"/>
    <w:pPr>
      <w:spacing w:after="0" w:line="240" w:lineRule="auto"/>
    </w:pPr>
    <w:tblPr>
      <w:tblStyleRowBandSize w:val="1"/>
      <w:tblStyleColBandSize w:val="1"/>
    </w:tblPr>
    <w:tblStylePr w:type="firstRow">
      <w:rPr>
        <w:b/>
        <w:bCs/>
      </w:rPr>
      <w:tblPr/>
      <w:tcPr>
        <w:tcBorders>
          <w:bottom w:val="single" w:sz="4" w:space="0" w:color="979797" w:themeColor="text1" w:themeTint="99"/>
        </w:tcBorders>
      </w:tcPr>
    </w:tblStylePr>
    <w:tblStylePr w:type="lastRow">
      <w:rPr>
        <w:b/>
        <w:bCs/>
      </w:rPr>
      <w:tblPr/>
      <w:tcPr>
        <w:tcBorders>
          <w:top w:val="single" w:sz="4" w:space="0" w:color="979797"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6Colorful">
    <w:name w:val="List Table 6 Colorful"/>
    <w:basedOn w:val="TableNormal"/>
    <w:uiPriority w:val="51"/>
    <w:rsid w:val="009451DD"/>
    <w:pPr>
      <w:spacing w:after="0" w:line="240" w:lineRule="auto"/>
    </w:pPr>
    <w:rPr>
      <w:color w:val="535353" w:themeColor="text1"/>
    </w:rPr>
    <w:tblPr>
      <w:tblStyleRowBandSize w:val="1"/>
      <w:tblStyleColBandSize w:val="1"/>
      <w:tblBorders>
        <w:top w:val="single" w:sz="4" w:space="0" w:color="535353" w:themeColor="text1"/>
        <w:bottom w:val="single" w:sz="4" w:space="0" w:color="535353" w:themeColor="text1"/>
      </w:tblBorders>
    </w:tblPr>
    <w:tblStylePr w:type="firstRow">
      <w:rPr>
        <w:b/>
        <w:bCs/>
      </w:rPr>
      <w:tblPr/>
      <w:tcPr>
        <w:tcBorders>
          <w:bottom w:val="single" w:sz="4" w:space="0" w:color="535353" w:themeColor="text1"/>
        </w:tcBorders>
      </w:tcPr>
    </w:tblStylePr>
    <w:tblStylePr w:type="lastRow">
      <w:rPr>
        <w:b/>
        <w:bCs/>
      </w:rPr>
      <w:tblPr/>
      <w:tcPr>
        <w:tcBorders>
          <w:top w:val="double" w:sz="4" w:space="0" w:color="535353"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GridTable5Dark-Accent4">
    <w:name w:val="Grid Table 5 Dark Accent 4"/>
    <w:basedOn w:val="TableNormal"/>
    <w:uiPriority w:val="50"/>
    <w:rsid w:val="00454BFD"/>
    <w:pPr>
      <w:spacing w:after="0" w:line="240" w:lineRule="auto"/>
    </w:pPr>
    <w:tblPr>
      <w:tblStyleRowBandSize w:val="1"/>
      <w:tblStyleColBandSize w:val="1"/>
      <w:tblBorders>
        <w:top w:val="single" w:sz="4" w:space="0" w:color="000000" w:themeColor="background1"/>
        <w:left w:val="single" w:sz="4" w:space="0" w:color="000000" w:themeColor="background1"/>
        <w:bottom w:val="single" w:sz="4" w:space="0" w:color="000000" w:themeColor="background1"/>
        <w:right w:val="single" w:sz="4" w:space="0" w:color="000000" w:themeColor="background1"/>
        <w:insideH w:val="single" w:sz="4" w:space="0" w:color="000000" w:themeColor="background1"/>
        <w:insideV w:val="single" w:sz="4" w:space="0" w:color="000000" w:themeColor="background1"/>
      </w:tblBorders>
    </w:tblPr>
    <w:tcPr>
      <w:shd w:val="clear" w:color="auto" w:fill="F0E1DA" w:themeFill="accent4" w:themeFillTint="33"/>
    </w:tcPr>
    <w:tblStylePr w:type="firstRow">
      <w:rPr>
        <w:b/>
        <w:bCs/>
        <w:color w:val="000000" w:themeColor="background1"/>
      </w:rPr>
      <w:tblPr/>
      <w:tcPr>
        <w:tcBorders>
          <w:top w:val="single" w:sz="4" w:space="0" w:color="000000" w:themeColor="background1"/>
          <w:left w:val="single" w:sz="4" w:space="0" w:color="000000" w:themeColor="background1"/>
          <w:right w:val="single" w:sz="4" w:space="0" w:color="000000" w:themeColor="background1"/>
          <w:insideH w:val="nil"/>
          <w:insideV w:val="nil"/>
        </w:tcBorders>
        <w:shd w:val="clear" w:color="auto" w:fill="B26F49" w:themeFill="accent4"/>
      </w:tcPr>
    </w:tblStylePr>
    <w:tblStylePr w:type="lastRow">
      <w:rPr>
        <w:b/>
        <w:bCs/>
        <w:color w:val="000000" w:themeColor="background1"/>
      </w:rPr>
      <w:tblPr/>
      <w:tcPr>
        <w:tcBorders>
          <w:left w:val="single" w:sz="4" w:space="0" w:color="000000" w:themeColor="background1"/>
          <w:bottom w:val="single" w:sz="4" w:space="0" w:color="000000" w:themeColor="background1"/>
          <w:right w:val="single" w:sz="4" w:space="0" w:color="000000" w:themeColor="background1"/>
          <w:insideH w:val="nil"/>
          <w:insideV w:val="nil"/>
        </w:tcBorders>
        <w:shd w:val="clear" w:color="auto" w:fill="B26F49" w:themeFill="accent4"/>
      </w:tcPr>
    </w:tblStylePr>
    <w:tblStylePr w:type="firstCol">
      <w:rPr>
        <w:b/>
        <w:bCs/>
        <w:color w:val="000000" w:themeColor="background1"/>
      </w:rPr>
      <w:tblPr/>
      <w:tcPr>
        <w:tcBorders>
          <w:top w:val="single" w:sz="4" w:space="0" w:color="000000" w:themeColor="background1"/>
          <w:left w:val="single" w:sz="4" w:space="0" w:color="000000" w:themeColor="background1"/>
          <w:bottom w:val="single" w:sz="4" w:space="0" w:color="000000" w:themeColor="background1"/>
          <w:insideV w:val="nil"/>
        </w:tcBorders>
        <w:shd w:val="clear" w:color="auto" w:fill="B26F49" w:themeFill="accent4"/>
      </w:tcPr>
    </w:tblStylePr>
    <w:tblStylePr w:type="lastCol">
      <w:rPr>
        <w:b/>
        <w:bCs/>
        <w:color w:val="000000" w:themeColor="background1"/>
      </w:rPr>
      <w:tblPr/>
      <w:tcPr>
        <w:tcBorders>
          <w:top w:val="single" w:sz="4" w:space="0" w:color="000000" w:themeColor="background1"/>
          <w:bottom w:val="single" w:sz="4" w:space="0" w:color="000000" w:themeColor="background1"/>
          <w:right w:val="single" w:sz="4" w:space="0" w:color="000000" w:themeColor="background1"/>
          <w:insideV w:val="nil"/>
        </w:tcBorders>
        <w:shd w:val="clear" w:color="auto" w:fill="B26F49" w:themeFill="accent4"/>
      </w:tcPr>
    </w:tblStylePr>
    <w:tblStylePr w:type="band1Vert">
      <w:tblPr/>
      <w:tcPr>
        <w:shd w:val="clear" w:color="auto" w:fill="E1C5B5" w:themeFill="accent4" w:themeFillTint="66"/>
      </w:tcPr>
    </w:tblStylePr>
    <w:tblStylePr w:type="band1Horz">
      <w:tblPr/>
      <w:tcPr>
        <w:shd w:val="clear" w:color="auto" w:fill="E1C5B5" w:themeFill="accent4" w:themeFillTint="66"/>
      </w:tcPr>
    </w:tblStylePr>
  </w:style>
  <w:style w:type="paragraph" w:styleId="FootnoteText">
    <w:name w:val="footnote text"/>
    <w:basedOn w:val="Normal"/>
    <w:link w:val="FootnoteTextChar"/>
    <w:uiPriority w:val="99"/>
    <w:semiHidden/>
    <w:unhideWhenUsed/>
    <w:rsid w:val="00DD5F94"/>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DD5F94"/>
    <w:rPr>
      <w:rFonts w:ascii="Arial" w:hAnsi="Arial" w:cs="Arial"/>
      <w:sz w:val="16"/>
      <w:szCs w:val="20"/>
      <w:lang w:val="en-GB"/>
    </w:rPr>
  </w:style>
  <w:style w:type="character" w:styleId="CommentReference">
    <w:name w:val="annotation reference"/>
    <w:basedOn w:val="DefaultParagraphFont"/>
    <w:uiPriority w:val="99"/>
    <w:semiHidden/>
    <w:unhideWhenUsed/>
    <w:rsid w:val="00B0169C"/>
    <w:rPr>
      <w:sz w:val="16"/>
      <w:szCs w:val="16"/>
    </w:rPr>
  </w:style>
  <w:style w:type="paragraph" w:styleId="CommentText">
    <w:name w:val="annotation text"/>
    <w:basedOn w:val="Normal"/>
    <w:link w:val="CommentTextChar"/>
    <w:uiPriority w:val="99"/>
    <w:unhideWhenUsed/>
    <w:rsid w:val="00B0169C"/>
    <w:pPr>
      <w:spacing w:after="160" w:line="240" w:lineRule="auto"/>
    </w:pPr>
    <w:rPr>
      <w:rFonts w:asciiTheme="minorHAnsi" w:hAnsiTheme="minorHAnsi" w:cstheme="minorBidi"/>
      <w:szCs w:val="20"/>
      <w:lang w:val="en-ZA"/>
    </w:rPr>
  </w:style>
  <w:style w:type="character" w:customStyle="1" w:styleId="CommentTextChar">
    <w:name w:val="Comment Text Char"/>
    <w:basedOn w:val="DefaultParagraphFont"/>
    <w:link w:val="CommentText"/>
    <w:uiPriority w:val="99"/>
    <w:rsid w:val="00B0169C"/>
    <w:rPr>
      <w:sz w:val="20"/>
      <w:szCs w:val="20"/>
      <w:lang w:val="en-ZA"/>
    </w:rPr>
  </w:style>
  <w:style w:type="paragraph" w:styleId="CommentSubject">
    <w:name w:val="annotation subject"/>
    <w:basedOn w:val="CommentText"/>
    <w:next w:val="CommentText"/>
    <w:link w:val="CommentSubjectChar"/>
    <w:uiPriority w:val="99"/>
    <w:semiHidden/>
    <w:unhideWhenUsed/>
    <w:rsid w:val="00B0169C"/>
    <w:rPr>
      <w:b/>
      <w:bCs/>
    </w:rPr>
  </w:style>
  <w:style w:type="character" w:customStyle="1" w:styleId="CommentSubjectChar">
    <w:name w:val="Comment Subject Char"/>
    <w:basedOn w:val="CommentTextChar"/>
    <w:link w:val="CommentSubject"/>
    <w:uiPriority w:val="99"/>
    <w:semiHidden/>
    <w:rsid w:val="00B0169C"/>
    <w:rPr>
      <w:b/>
      <w:bCs/>
      <w:sz w:val="20"/>
      <w:szCs w:val="20"/>
      <w:lang w:val="en-ZA"/>
    </w:rPr>
  </w:style>
  <w:style w:type="paragraph" w:styleId="NormalWeb">
    <w:name w:val="Normal (Web)"/>
    <w:basedOn w:val="Normal"/>
    <w:uiPriority w:val="99"/>
    <w:semiHidden/>
    <w:unhideWhenUsed/>
    <w:rsid w:val="00B81B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7428">
      <w:bodyDiv w:val="1"/>
      <w:marLeft w:val="0"/>
      <w:marRight w:val="0"/>
      <w:marTop w:val="0"/>
      <w:marBottom w:val="0"/>
      <w:divBdr>
        <w:top w:val="none" w:sz="0" w:space="0" w:color="auto"/>
        <w:left w:val="none" w:sz="0" w:space="0" w:color="auto"/>
        <w:bottom w:val="none" w:sz="0" w:space="0" w:color="auto"/>
        <w:right w:val="none" w:sz="0" w:space="0" w:color="auto"/>
      </w:divBdr>
    </w:div>
    <w:div w:id="463281929">
      <w:bodyDiv w:val="1"/>
      <w:marLeft w:val="0"/>
      <w:marRight w:val="0"/>
      <w:marTop w:val="0"/>
      <w:marBottom w:val="0"/>
      <w:divBdr>
        <w:top w:val="none" w:sz="0" w:space="0" w:color="auto"/>
        <w:left w:val="none" w:sz="0" w:space="0" w:color="auto"/>
        <w:bottom w:val="none" w:sz="0" w:space="0" w:color="auto"/>
        <w:right w:val="none" w:sz="0" w:space="0" w:color="auto"/>
      </w:divBdr>
    </w:div>
    <w:div w:id="528568052">
      <w:bodyDiv w:val="1"/>
      <w:marLeft w:val="0"/>
      <w:marRight w:val="0"/>
      <w:marTop w:val="0"/>
      <w:marBottom w:val="0"/>
      <w:divBdr>
        <w:top w:val="none" w:sz="0" w:space="0" w:color="auto"/>
        <w:left w:val="none" w:sz="0" w:space="0" w:color="auto"/>
        <w:bottom w:val="none" w:sz="0" w:space="0" w:color="auto"/>
        <w:right w:val="none" w:sz="0" w:space="0" w:color="auto"/>
      </w:divBdr>
    </w:div>
    <w:div w:id="581067563">
      <w:bodyDiv w:val="1"/>
      <w:marLeft w:val="0"/>
      <w:marRight w:val="0"/>
      <w:marTop w:val="0"/>
      <w:marBottom w:val="0"/>
      <w:divBdr>
        <w:top w:val="none" w:sz="0" w:space="0" w:color="auto"/>
        <w:left w:val="none" w:sz="0" w:space="0" w:color="auto"/>
        <w:bottom w:val="none" w:sz="0" w:space="0" w:color="auto"/>
        <w:right w:val="none" w:sz="0" w:space="0" w:color="auto"/>
      </w:divBdr>
    </w:div>
    <w:div w:id="650060076">
      <w:bodyDiv w:val="1"/>
      <w:marLeft w:val="0"/>
      <w:marRight w:val="0"/>
      <w:marTop w:val="0"/>
      <w:marBottom w:val="0"/>
      <w:divBdr>
        <w:top w:val="none" w:sz="0" w:space="0" w:color="auto"/>
        <w:left w:val="none" w:sz="0" w:space="0" w:color="auto"/>
        <w:bottom w:val="none" w:sz="0" w:space="0" w:color="auto"/>
        <w:right w:val="none" w:sz="0" w:space="0" w:color="auto"/>
      </w:divBdr>
    </w:div>
    <w:div w:id="1013796987">
      <w:bodyDiv w:val="1"/>
      <w:marLeft w:val="0"/>
      <w:marRight w:val="0"/>
      <w:marTop w:val="0"/>
      <w:marBottom w:val="0"/>
      <w:divBdr>
        <w:top w:val="none" w:sz="0" w:space="0" w:color="auto"/>
        <w:left w:val="none" w:sz="0" w:space="0" w:color="auto"/>
        <w:bottom w:val="none" w:sz="0" w:space="0" w:color="auto"/>
        <w:right w:val="none" w:sz="0" w:space="0" w:color="auto"/>
      </w:divBdr>
    </w:div>
    <w:div w:id="1109619701">
      <w:bodyDiv w:val="1"/>
      <w:marLeft w:val="0"/>
      <w:marRight w:val="0"/>
      <w:marTop w:val="0"/>
      <w:marBottom w:val="0"/>
      <w:divBdr>
        <w:top w:val="none" w:sz="0" w:space="0" w:color="auto"/>
        <w:left w:val="none" w:sz="0" w:space="0" w:color="auto"/>
        <w:bottom w:val="none" w:sz="0" w:space="0" w:color="auto"/>
        <w:right w:val="none" w:sz="0" w:space="0" w:color="auto"/>
      </w:divBdr>
    </w:div>
    <w:div w:id="1375352423">
      <w:bodyDiv w:val="1"/>
      <w:marLeft w:val="0"/>
      <w:marRight w:val="0"/>
      <w:marTop w:val="0"/>
      <w:marBottom w:val="0"/>
      <w:divBdr>
        <w:top w:val="none" w:sz="0" w:space="0" w:color="auto"/>
        <w:left w:val="none" w:sz="0" w:space="0" w:color="auto"/>
        <w:bottom w:val="none" w:sz="0" w:space="0" w:color="auto"/>
        <w:right w:val="none" w:sz="0" w:space="0" w:color="auto"/>
      </w:divBdr>
    </w:div>
    <w:div w:id="1470786120">
      <w:bodyDiv w:val="1"/>
      <w:marLeft w:val="0"/>
      <w:marRight w:val="0"/>
      <w:marTop w:val="0"/>
      <w:marBottom w:val="0"/>
      <w:divBdr>
        <w:top w:val="none" w:sz="0" w:space="0" w:color="auto"/>
        <w:left w:val="none" w:sz="0" w:space="0" w:color="auto"/>
        <w:bottom w:val="none" w:sz="0" w:space="0" w:color="auto"/>
        <w:right w:val="none" w:sz="0" w:space="0" w:color="auto"/>
      </w:divBdr>
    </w:div>
    <w:div w:id="1588467226">
      <w:bodyDiv w:val="1"/>
      <w:marLeft w:val="0"/>
      <w:marRight w:val="0"/>
      <w:marTop w:val="0"/>
      <w:marBottom w:val="0"/>
      <w:divBdr>
        <w:top w:val="none" w:sz="0" w:space="0" w:color="auto"/>
        <w:left w:val="none" w:sz="0" w:space="0" w:color="auto"/>
        <w:bottom w:val="none" w:sz="0" w:space="0" w:color="auto"/>
        <w:right w:val="none" w:sz="0" w:space="0" w:color="auto"/>
      </w:divBdr>
    </w:div>
    <w:div w:id="187669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SDR">
  <a:themeElements>
    <a:clrScheme name="SDR Hub final">
      <a:dk1>
        <a:srgbClr val="535353"/>
      </a:dk1>
      <a:lt1>
        <a:srgbClr val="000000"/>
      </a:lt1>
      <a:dk2>
        <a:srgbClr val="FFFFFF"/>
      </a:dk2>
      <a:lt2>
        <a:srgbClr val="E6E6E6"/>
      </a:lt2>
      <a:accent1>
        <a:srgbClr val="4E5763"/>
      </a:accent1>
      <a:accent2>
        <a:srgbClr val="718C9B"/>
      </a:accent2>
      <a:accent3>
        <a:srgbClr val="2F5F5D"/>
      </a:accent3>
      <a:accent4>
        <a:srgbClr val="B26F49"/>
      </a:accent4>
      <a:accent5>
        <a:srgbClr val="A5A198"/>
      </a:accent5>
      <a:accent6>
        <a:srgbClr val="D3D1CC"/>
      </a:accent6>
      <a:hlink>
        <a:srgbClr val="718C9B"/>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DR" id="{C396BC00-7F58-3B4B-8EAA-3D91EA1B32B7}" vid="{443819C8-5216-7E47-84AE-AC0BB8BDCBB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289dc8-d0c9-47c1-9240-66a74fc3f87d">
      <Terms xmlns="http://schemas.microsoft.com/office/infopath/2007/PartnerControls"/>
    </lcf76f155ced4ddcb4097134ff3c332f>
    <Audience xmlns="37289dc8-d0c9-47c1-9240-66a74fc3f87d" xsi:nil="true"/>
    <Partner xmlns="37289dc8-d0c9-47c1-9240-66a74fc3f87d">
      <Value>SDR Hub Internal</Value>
      <Value>UNESCO</Value>
    </Partner>
    <DocumentType xmlns="37289dc8-d0c9-47c1-9240-66a74fc3f87d">Technical Report</DocumentType>
    <TaxCatchAll xmlns="953775bb-7f87-4052-b16f-b02ba07db91b" xsi:nil="true"/>
    <Comments xmlns="37289dc8-d0c9-47c1-9240-66a74fc3f87d" xsi:nil="true"/>
    <Project xmlns="37289dc8-d0c9-47c1-9240-66a74fc3f87d">UNESCO</Proje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33914A86DDA4ABCCCFF07E8C0D63B" ma:contentTypeVersion="24" ma:contentTypeDescription="Create a new document." ma:contentTypeScope="" ma:versionID="296d7c2c2e4ff19a2a39579498d45a6f">
  <xsd:schema xmlns:xsd="http://www.w3.org/2001/XMLSchema" xmlns:xs="http://www.w3.org/2001/XMLSchema" xmlns:p="http://schemas.microsoft.com/office/2006/metadata/properties" xmlns:ns2="37289dc8-d0c9-47c1-9240-66a74fc3f87d" xmlns:ns3="953775bb-7f87-4052-b16f-b02ba07db91b" targetNamespace="http://schemas.microsoft.com/office/2006/metadata/properties" ma:root="true" ma:fieldsID="b898dcef32ad51fbafb3e15c50d349a0" ns2:_="" ns3:_="">
    <xsd:import namespace="37289dc8-d0c9-47c1-9240-66a74fc3f87d"/>
    <xsd:import namespace="953775bb-7f87-4052-b16f-b02ba07db91b"/>
    <xsd:element name="properties">
      <xsd:complexType>
        <xsd:sequence>
          <xsd:element name="documentManagement">
            <xsd:complexType>
              <xsd:all>
                <xsd:element ref="ns2:Partner" minOccurs="0"/>
                <xsd:element ref="ns2:DocumentType"/>
                <xsd:element ref="ns3:SharedWithUsers" minOccurs="0"/>
                <xsd:element ref="ns3:SharedWithDetail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Audience" minOccurs="0"/>
                <xsd:element ref="ns2:MediaServiceObjectDetectorVersions" minOccurs="0"/>
                <xsd:element ref="ns2:Comments" minOccurs="0"/>
                <xsd:element ref="ns2:Proje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89dc8-d0c9-47c1-9240-66a74fc3f87d" elementFormDefault="qualified">
    <xsd:import namespace="http://schemas.microsoft.com/office/2006/documentManagement/types"/>
    <xsd:import namespace="http://schemas.microsoft.com/office/infopath/2007/PartnerControls"/>
    <xsd:element name="Partner" ma:index="2" nillable="true" ma:displayName="Partner" ma:default="SDR Hub Internal" ma:format="Dropdown" ma:internalName="Partner"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UNESCO"/>
                        <xsd:enumeration value="SDR Hub Internal"/>
                        <xsd:enumeration value="Ocean Panel"/>
                        <xsd:enumeration value="PBSP"/>
                        <xsd:enumeration value="GOAP"/>
                      </xsd:restriction>
                    </xsd:simpleType>
                  </xsd:union>
                </xsd:simpleType>
              </xsd:element>
            </xsd:sequence>
          </xsd:extension>
        </xsd:complexContent>
      </xsd:complexType>
    </xsd:element>
    <xsd:element name="DocumentType" ma:index="3" ma:displayName="Document Type" ma:format="Dropdown" ma:internalName="DocumentType">
      <xsd:simpleType>
        <xsd:restriction base="dms:Choice">
          <xsd:enumeration value="Concept Note"/>
          <xsd:enumeration value="Meeting Report"/>
          <xsd:enumeration value="Technical Note"/>
          <xsd:enumeration value="Technical Report"/>
          <xsd:enumeration value="Journal Article"/>
          <xsd:enumeration value="Briefing Paper"/>
          <xsd:enumeration value="Information sheet"/>
          <xsd:enumeration value="Event agenda"/>
          <xsd:enumeration value="Presentation"/>
          <xsd:enumeration value="Correspondence"/>
          <xsd:enumeration value="Internal Note"/>
          <xsd:enumeration value="Internal Proposal"/>
          <xsd:enumeration value="Blog post"/>
          <xsd:enumeration value="Visual Asset"/>
          <xsd:enumeration value="Codebase"/>
          <xsd:enumeration value="ML Training Data"/>
          <xsd:enumeration value="Knowledge"/>
          <xsd:enumeration value="Contract documentation"/>
          <xsd:enumeration value="External proposal"/>
          <xsd:enumeration value="Newsletter draft"/>
          <xsd:enumeration value="Comms Brief"/>
          <xsd:enumeration value="Invitation"/>
          <xsd:enumeration value="Invoice"/>
          <xsd:enumeration value="Budge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hidden="true"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udience" ma:index="21" nillable="true" ma:displayName="Audience" ma:format="Dropdown" ma:hidden="true" ma:internalName="Audience" ma:readOnly="false">
      <xsd:complexType>
        <xsd:complexContent>
          <xsd:extension base="dms:MultiChoiceFillIn">
            <xsd:sequence>
              <xsd:element name="Value" maxOccurs="unbounded" minOccurs="0" nillable="true">
                <xsd:simpleType>
                  <xsd:union memberTypes="dms:Text">
                    <xsd:simpleType>
                      <xsd:restriction base="dms:Choice">
                        <xsd:enumeration value="PBSP"/>
                        <xsd:enumeration value="GOAP"/>
                        <xsd:enumeration value="UNSW"/>
                      </xsd:restriction>
                    </xsd:simpleType>
                  </xsd:union>
                </xsd:simple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Comments" ma:index="25" nillable="true" ma:displayName="Comments" ma:format="Dropdown" ma:internalName="Comments">
      <xsd:simpleType>
        <xsd:restriction base="dms:Text">
          <xsd:maxLength value="255"/>
        </xsd:restriction>
      </xsd:simpleType>
    </xsd:element>
    <xsd:element name="Project" ma:index="26" ma:displayName="Project" ma:description="Use this column to specify a specific project, event or content theme" ma:format="Dropdown" ma:internalName="Project">
      <xsd:simpleType>
        <xsd:union memberTypes="dms:Text">
          <xsd:simpleType>
            <xsd:restriction base="dms:Choice">
              <xsd:enumeration value="Membership"/>
              <xsd:enumeration value="4th GD"/>
              <xsd:enumeration value="5th GD"/>
              <xsd:enumeration value="Communications"/>
              <xsd:enumeration value="SEEA Ocean WG"/>
              <xsd:enumeration value="Our Ocean 23"/>
              <xsd:enumeration value="Internal operations"/>
              <xsd:enumeration value="BPF"/>
              <xsd:enumeration value="BCAF"/>
              <xsd:enumeration value="Maldive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53775bb-7f87-4052-b16f-b02ba07db91b"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04a3f4cd-7e24-43e3-bee0-c075c828180e}" ma:internalName="TaxCatchAll" ma:readOnly="false" ma:showField="CatchAllData" ma:web="953775bb-7f87-4052-b16f-b02ba07db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D41C4-199A-8C4A-B039-1A35E914E09D}">
  <ds:schemaRefs>
    <ds:schemaRef ds:uri="http://schemas.openxmlformats.org/officeDocument/2006/bibliography"/>
  </ds:schemaRefs>
</ds:datastoreItem>
</file>

<file path=customXml/itemProps2.xml><?xml version="1.0" encoding="utf-8"?>
<ds:datastoreItem xmlns:ds="http://schemas.openxmlformats.org/officeDocument/2006/customXml" ds:itemID="{81559C7C-C624-4446-8E30-356161D12C28}">
  <ds:schemaRefs>
    <ds:schemaRef ds:uri="http://schemas.microsoft.com/office/2006/metadata/properties"/>
    <ds:schemaRef ds:uri="http://schemas.microsoft.com/office/infopath/2007/PartnerControls"/>
    <ds:schemaRef ds:uri="37289dc8-d0c9-47c1-9240-66a74fc3f87d"/>
    <ds:schemaRef ds:uri="953775bb-7f87-4052-b16f-b02ba07db91b"/>
  </ds:schemaRefs>
</ds:datastoreItem>
</file>

<file path=customXml/itemProps3.xml><?xml version="1.0" encoding="utf-8"?>
<ds:datastoreItem xmlns:ds="http://schemas.openxmlformats.org/officeDocument/2006/customXml" ds:itemID="{47C500D4-0235-4906-ADDE-14735A50F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89dc8-d0c9-47c1-9240-66a74fc3f87d"/>
    <ds:schemaRef ds:uri="953775bb-7f87-4052-b16f-b02ba07d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518BF4-E1BB-4A1E-B70F-AFA26EEC810F}">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1891</Words>
  <Characters>10784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Pethke</dc:creator>
  <cp:keywords/>
  <dc:description/>
  <cp:lastModifiedBy>Boned, Patrice</cp:lastModifiedBy>
  <cp:revision>2</cp:revision>
  <cp:lastPrinted>2024-01-04T00:40:00Z</cp:lastPrinted>
  <dcterms:created xsi:type="dcterms:W3CDTF">2024-05-17T12:45:00Z</dcterms:created>
  <dcterms:modified xsi:type="dcterms:W3CDTF">2024-05-17T12:45:00Z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0x01010071133914A86DDA4ABCCCFF07E8C0D63B</vt:lpwstr>
  </property>
  <property fmtid="{D5CDD505-2E9C-101B-9397-08002B2CF9AE}" pid="3" name="MediaServiceImageTags">
    <vt:lpwstr/>
  </property>
</Properties>
</file>