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EB3895">
      <w:pPr>
        <w:pStyle w:val="Titre1"/>
        <w:spacing w:before="480"/>
        <w:jc w:val="left"/>
      </w:pPr>
    </w:p>
    <w:p w14:paraId="748272EF" w14:textId="435004E9" w:rsidR="00EB3895" w:rsidRPr="00EB3895" w:rsidRDefault="00EB3895" w:rsidP="00FD078F">
      <w:pPr>
        <w:pStyle w:val="Titre1"/>
        <w:spacing w:before="1680" w:after="0"/>
      </w:pPr>
      <w:r w:rsidRPr="00EB3895">
        <w:t xml:space="preserve">COMMISSION OCÉANOGRAPHIQUE </w:t>
      </w:r>
      <w:r w:rsidR="00DA71B9">
        <w:t>I</w:t>
      </w:r>
      <w:r w:rsidRPr="00EB3895">
        <w:t>NTERGOUVERNEMENTALE</w:t>
      </w:r>
    </w:p>
    <w:p w14:paraId="0F1DC779" w14:textId="0A54CC80" w:rsidR="00EB3895" w:rsidRPr="00EB3895" w:rsidRDefault="00EB3895" w:rsidP="00EB3895">
      <w:pPr>
        <w:jc w:val="center"/>
        <w:rPr>
          <w:bCs/>
        </w:rPr>
      </w:pPr>
      <w:r w:rsidRPr="00EB3895">
        <w:rPr>
          <w:bCs/>
        </w:rPr>
        <w:t>(de l</w:t>
      </w:r>
      <w:r w:rsidR="00BE6632">
        <w:rPr>
          <w:bCs/>
        </w:rPr>
        <w:t>’</w:t>
      </w:r>
      <w:r w:rsidRPr="00EB3895">
        <w:rPr>
          <w:bCs/>
        </w:rPr>
        <w:t>UNESCO)</w:t>
      </w:r>
    </w:p>
    <w:p w14:paraId="5B0D4193" w14:textId="1AEEC740" w:rsidR="00EB3895" w:rsidRPr="00EB3895" w:rsidRDefault="00EB3895" w:rsidP="00562336">
      <w:pPr>
        <w:spacing w:before="240" w:after="600"/>
        <w:jc w:val="center"/>
        <w:rPr>
          <w:b/>
        </w:rPr>
      </w:pPr>
      <w:r w:rsidRPr="00EB3895">
        <w:rPr>
          <w:b/>
        </w:rPr>
        <w:t>Cinquante-</w:t>
      </w:r>
      <w:r w:rsidR="00F60534">
        <w:rPr>
          <w:b/>
        </w:rPr>
        <w:t>septième</w:t>
      </w:r>
      <w:r w:rsidRPr="00EB3895">
        <w:rPr>
          <w:b/>
        </w:rPr>
        <w:t xml:space="preserve"> session du Conseil exécutif</w:t>
      </w:r>
      <w:r>
        <w:rPr>
          <w:b/>
        </w:rPr>
        <w:br/>
      </w:r>
      <w:r w:rsidRPr="00EB3895">
        <w:rPr>
          <w:bCs/>
        </w:rPr>
        <w:t xml:space="preserve">UNESCO, Paris, </w:t>
      </w:r>
      <w:r w:rsidR="00F60534">
        <w:rPr>
          <w:bCs/>
        </w:rPr>
        <w:t>25-28</w:t>
      </w:r>
      <w:r w:rsidRPr="00EB3895">
        <w:rPr>
          <w:bCs/>
        </w:rPr>
        <w:t xml:space="preserve"> juin 202</w:t>
      </w:r>
      <w:r w:rsidR="00F60534">
        <w:rPr>
          <w:bCs/>
        </w:rPr>
        <w:t>4</w:t>
      </w:r>
      <w:r w:rsidR="006519AE">
        <w:rPr>
          <w:bCs/>
        </w:rPr>
        <w:t xml:space="preserve"> </w:t>
      </w:r>
    </w:p>
    <w:p w14:paraId="607D1C93" w14:textId="4CB511E8" w:rsidR="00EB3895" w:rsidRPr="00E54757" w:rsidRDefault="00E54757" w:rsidP="00562336">
      <w:pPr>
        <w:pStyle w:val="Marge"/>
        <w:spacing w:after="600"/>
        <w:rPr>
          <w:u w:val="single"/>
        </w:rPr>
      </w:pPr>
      <w:r w:rsidRPr="00E54757">
        <w:rPr>
          <w:u w:val="single"/>
        </w:rPr>
        <w:t xml:space="preserve">Point </w:t>
      </w:r>
      <w:r w:rsidRPr="00E54757">
        <w:rPr>
          <w:b/>
          <w:bCs/>
          <w:u w:val="single"/>
        </w:rPr>
        <w:t>4.</w:t>
      </w:r>
      <w:r w:rsidR="00030118">
        <w:rPr>
          <w:b/>
          <w:bCs/>
          <w:u w:val="single"/>
        </w:rPr>
        <w:t>2</w:t>
      </w:r>
      <w:r w:rsidRPr="00E54757">
        <w:rPr>
          <w:u w:val="single"/>
        </w:rPr>
        <w:t xml:space="preserve"> de l’ordre du jour provisoire</w:t>
      </w:r>
    </w:p>
    <w:p w14:paraId="4D532EDB" w14:textId="76C0126C" w:rsidR="00B2519D" w:rsidRDefault="00030118" w:rsidP="00562336">
      <w:pPr>
        <w:pStyle w:val="Titre1"/>
        <w:spacing w:after="360"/>
      </w:pPr>
      <w:r w:rsidRPr="00030118">
        <w:t>RAPPORT D’ÉTAPE DU GROUPE DE TRAVAIL INTERSESSIONS AD HOC DE LA COI</w:t>
      </w:r>
      <w:r>
        <w:br/>
      </w:r>
      <w:r w:rsidRPr="00030118">
        <w:t xml:space="preserve">SUR LES OBSERVATIONS OCÉANIQUES DANS LES ZONES RELEVANT </w:t>
      </w:r>
      <w:r>
        <w:br/>
      </w:r>
      <w:r w:rsidRPr="00030118">
        <w:t>DE LA JURIDICTION NATIONALE</w:t>
      </w:r>
    </w:p>
    <w:tbl>
      <w:tblPr>
        <w:tblStyle w:val="Grilledutableau1"/>
        <w:tblW w:w="6799" w:type="dxa"/>
        <w:jc w:val="center"/>
        <w:tblLayout w:type="fixed"/>
        <w:tblLook w:val="04A0" w:firstRow="1" w:lastRow="0" w:firstColumn="1" w:lastColumn="0" w:noHBand="0" w:noVBand="1"/>
      </w:tblPr>
      <w:tblGrid>
        <w:gridCol w:w="6799"/>
      </w:tblGrid>
      <w:tr w:rsidR="00562336" w:rsidRPr="00562336" w14:paraId="39DE0B67" w14:textId="77777777" w:rsidTr="007C73D7">
        <w:trPr>
          <w:trHeight w:val="4350"/>
          <w:jc w:val="center"/>
        </w:trPr>
        <w:tc>
          <w:tcPr>
            <w:tcW w:w="6799" w:type="dxa"/>
          </w:tcPr>
          <w:p w14:paraId="754BC36C" w14:textId="77777777" w:rsidR="00562336" w:rsidRPr="00562336" w:rsidRDefault="00562336" w:rsidP="00562336">
            <w:pPr>
              <w:tabs>
                <w:tab w:val="clear" w:pos="567"/>
              </w:tabs>
              <w:snapToGrid/>
              <w:spacing w:before="120" w:after="240"/>
              <w:jc w:val="center"/>
              <w:rPr>
                <w:rFonts w:cs="Arial"/>
                <w:bCs/>
                <w:szCs w:val="22"/>
                <w:u w:val="single"/>
                <w:lang w:eastAsia="en-US"/>
              </w:rPr>
            </w:pPr>
            <w:r w:rsidRPr="00562336">
              <w:rPr>
                <w:u w:val="single"/>
                <w:lang w:eastAsia="en-US"/>
              </w:rPr>
              <w:t>Résumé</w:t>
            </w:r>
          </w:p>
          <w:p w14:paraId="5D5E2D30" w14:textId="25E632D0" w:rsidR="00562336" w:rsidRPr="00A16CB1" w:rsidRDefault="00B94791" w:rsidP="00030118">
            <w:pPr>
              <w:tabs>
                <w:tab w:val="clear" w:pos="567"/>
              </w:tabs>
              <w:snapToGrid/>
              <w:spacing w:after="240"/>
              <w:ind w:left="283" w:right="283"/>
              <w:jc w:val="both"/>
              <w:rPr>
                <w:rFonts w:cs="Arial"/>
                <w:szCs w:val="22"/>
                <w:lang w:eastAsia="en-US"/>
              </w:rPr>
            </w:pPr>
            <w:r w:rsidRPr="00B94791">
              <w:rPr>
                <w:rFonts w:cs="Arial"/>
                <w:szCs w:val="22"/>
                <w:lang w:eastAsia="en-US"/>
              </w:rPr>
              <w:t xml:space="preserve">Le présent </w:t>
            </w:r>
            <w:r w:rsidR="00030118">
              <w:rPr>
                <w:rFonts w:cs="Arial"/>
                <w:szCs w:val="22"/>
                <w:lang w:eastAsia="en-US"/>
              </w:rPr>
              <w:t xml:space="preserve">rapport d’étape est soumis en application de la décision A-32/4.8.2 </w:t>
            </w:r>
            <w:r w:rsidR="00A11434">
              <w:rPr>
                <w:rFonts w:cs="Arial"/>
                <w:szCs w:val="22"/>
                <w:lang w:eastAsia="en-US"/>
              </w:rPr>
              <w:t>de</w:t>
            </w:r>
            <w:r w:rsidR="00030118">
              <w:rPr>
                <w:rFonts w:cs="Arial"/>
                <w:szCs w:val="22"/>
                <w:lang w:eastAsia="en-US"/>
              </w:rPr>
              <w:t xml:space="preserve"> l’Assemblée de la COI </w:t>
            </w:r>
            <w:r w:rsidR="00A11434">
              <w:rPr>
                <w:rFonts w:cs="Arial"/>
                <w:szCs w:val="22"/>
                <w:lang w:eastAsia="en-US"/>
              </w:rPr>
              <w:t xml:space="preserve">visant à </w:t>
            </w:r>
            <w:r w:rsidR="00F90FAD">
              <w:rPr>
                <w:rFonts w:cs="Arial"/>
                <w:szCs w:val="22"/>
                <w:lang w:eastAsia="en-US"/>
              </w:rPr>
              <w:t>établir</w:t>
            </w:r>
            <w:r w:rsidR="00030118">
              <w:rPr>
                <w:rFonts w:cs="Arial"/>
                <w:szCs w:val="22"/>
                <w:lang w:eastAsia="en-US"/>
              </w:rPr>
              <w:t xml:space="preserve"> un Groupe de travail sur</w:t>
            </w:r>
            <w:r w:rsidR="00F90FAD">
              <w:rPr>
                <w:rFonts w:cs="Arial"/>
                <w:szCs w:val="22"/>
                <w:lang w:eastAsia="en-US"/>
              </w:rPr>
              <w:t xml:space="preserve"> les observations océaniques dans les zones relevant de la juridiction nationale.</w:t>
            </w:r>
            <w:r w:rsidRPr="00B94791">
              <w:rPr>
                <w:rFonts w:cs="Arial"/>
                <w:szCs w:val="22"/>
                <w:lang w:eastAsia="en-US"/>
              </w:rPr>
              <w:t xml:space="preserve"> </w:t>
            </w:r>
          </w:p>
          <w:p w14:paraId="7D092ED5" w14:textId="42294A1E" w:rsidR="00E94A5D" w:rsidRPr="00807867" w:rsidRDefault="001E73FE" w:rsidP="00562336">
            <w:pPr>
              <w:tabs>
                <w:tab w:val="clear" w:pos="567"/>
              </w:tabs>
              <w:snapToGrid/>
              <w:spacing w:after="240"/>
              <w:ind w:left="283" w:right="283"/>
              <w:jc w:val="both"/>
              <w:rPr>
                <w:rFonts w:cs="Arial"/>
                <w:szCs w:val="22"/>
                <w:lang w:eastAsia="en-US"/>
              </w:rPr>
            </w:pPr>
            <w:r>
              <w:rPr>
                <w:rFonts w:cs="Arial"/>
                <w:szCs w:val="22"/>
                <w:lang w:eastAsia="en-US"/>
              </w:rPr>
              <w:t>Il</w:t>
            </w:r>
            <w:r w:rsidR="00F90FAD">
              <w:rPr>
                <w:rFonts w:cs="Arial"/>
                <w:szCs w:val="22"/>
                <w:lang w:eastAsia="en-US"/>
              </w:rPr>
              <w:t xml:space="preserve"> rend compte des activités menées par le Groupe depuis décembre 2023</w:t>
            </w:r>
            <w:r w:rsidR="002E427B">
              <w:rPr>
                <w:rFonts w:cs="Arial"/>
                <w:szCs w:val="22"/>
                <w:lang w:eastAsia="en-US"/>
              </w:rPr>
              <w:t>,</w:t>
            </w:r>
            <w:r w:rsidR="00F90FAD">
              <w:rPr>
                <w:rFonts w:cs="Arial"/>
                <w:szCs w:val="22"/>
                <w:lang w:eastAsia="en-US"/>
              </w:rPr>
              <w:t xml:space="preserve"> afin de présenter un rapport détaillé </w:t>
            </w:r>
            <w:r>
              <w:rPr>
                <w:rFonts w:cs="Arial"/>
                <w:szCs w:val="22"/>
                <w:lang w:eastAsia="en-US"/>
              </w:rPr>
              <w:t>sur</w:t>
            </w:r>
            <w:r w:rsidR="00F90FAD">
              <w:rPr>
                <w:rFonts w:cs="Arial"/>
                <w:szCs w:val="22"/>
                <w:lang w:eastAsia="en-US"/>
              </w:rPr>
              <w:t xml:space="preserve"> la consultation des États membres </w:t>
            </w:r>
            <w:r w:rsidR="002E427B">
              <w:rPr>
                <w:rFonts w:cs="Arial"/>
                <w:szCs w:val="22"/>
                <w:lang w:eastAsia="en-US"/>
              </w:rPr>
              <w:t xml:space="preserve">et des réseaux du Système mondial d’observation de l’océan </w:t>
            </w:r>
            <w:r>
              <w:rPr>
                <w:rFonts w:cs="Arial"/>
                <w:szCs w:val="22"/>
                <w:lang w:eastAsia="en-US"/>
              </w:rPr>
              <w:t>concernant</w:t>
            </w:r>
            <w:r w:rsidR="00F90FAD">
              <w:rPr>
                <w:rFonts w:cs="Arial"/>
                <w:szCs w:val="22"/>
                <w:lang w:eastAsia="en-US"/>
              </w:rPr>
              <w:t xml:space="preserve"> la question des observations océaniques dans les zones relevant de la juridiction nationale à la prochaine session de l’Assemblée de la COI, en 2025</w:t>
            </w:r>
            <w:r w:rsidR="00E94A5D" w:rsidRPr="00A16CB1">
              <w:rPr>
                <w:rFonts w:cs="Arial"/>
                <w:szCs w:val="22"/>
                <w:lang w:eastAsia="en-US"/>
              </w:rPr>
              <w:t>.</w:t>
            </w:r>
          </w:p>
          <w:p w14:paraId="2DF562DA" w14:textId="43ED142B" w:rsidR="00562336" w:rsidRPr="00562336" w:rsidRDefault="00562336" w:rsidP="00562336">
            <w:pPr>
              <w:tabs>
                <w:tab w:val="clear" w:pos="567"/>
              </w:tabs>
              <w:snapToGrid/>
              <w:spacing w:after="240"/>
              <w:ind w:left="283" w:right="283"/>
              <w:jc w:val="both"/>
              <w:rPr>
                <w:rFonts w:cs="Arial"/>
                <w:b/>
                <w:bCs/>
                <w:spacing w:val="-3"/>
                <w:szCs w:val="22"/>
                <w:lang w:eastAsia="en-US"/>
              </w:rPr>
            </w:pPr>
            <w:r w:rsidRPr="00562336">
              <w:rPr>
                <w:rFonts w:cs="Arial"/>
                <w:spacing w:val="-3"/>
                <w:szCs w:val="22"/>
                <w:lang w:eastAsia="en-US"/>
              </w:rPr>
              <w:t xml:space="preserve">La </w:t>
            </w:r>
            <w:r w:rsidRPr="00562336">
              <w:rPr>
                <w:rFonts w:cs="Arial"/>
                <w:spacing w:val="-3"/>
                <w:szCs w:val="22"/>
                <w:u w:val="single"/>
                <w:lang w:eastAsia="en-US"/>
              </w:rPr>
              <w:t>décision proposée</w:t>
            </w:r>
            <w:r w:rsidRPr="00562336">
              <w:rPr>
                <w:rFonts w:cs="Arial"/>
                <w:spacing w:val="-3"/>
                <w:szCs w:val="22"/>
                <w:lang w:eastAsia="en-US"/>
              </w:rPr>
              <w:t xml:space="preserve"> porte la cote EC-57/4.</w:t>
            </w:r>
            <w:r w:rsidR="00030118">
              <w:rPr>
                <w:rFonts w:cs="Arial"/>
                <w:spacing w:val="-3"/>
                <w:szCs w:val="22"/>
                <w:lang w:eastAsia="en-US"/>
              </w:rPr>
              <w:t>2</w:t>
            </w:r>
            <w:r w:rsidRPr="00562336">
              <w:rPr>
                <w:rFonts w:cs="Arial"/>
                <w:spacing w:val="-3"/>
                <w:szCs w:val="22"/>
                <w:lang w:eastAsia="en-US"/>
              </w:rPr>
              <w:t xml:space="preserve"> dans le Document relatif aux décisions à adopter (document IOC/EC</w:t>
            </w:r>
            <w:r w:rsidRPr="00562336">
              <w:rPr>
                <w:rFonts w:cs="Arial"/>
                <w:spacing w:val="-3"/>
                <w:szCs w:val="22"/>
                <w:lang w:eastAsia="en-US"/>
              </w:rPr>
              <w:noBreakHyphen/>
              <w:t>57/AP</w:t>
            </w:r>
            <w:r w:rsidR="00E94A5D">
              <w:rPr>
                <w:rFonts w:cs="Arial"/>
                <w:spacing w:val="-3"/>
                <w:szCs w:val="22"/>
                <w:lang w:eastAsia="en-US"/>
              </w:rPr>
              <w:t xml:space="preserve"> Prov.</w:t>
            </w:r>
            <w:r w:rsidRPr="00562336">
              <w:rPr>
                <w:rFonts w:cs="Arial"/>
                <w:spacing w:val="-3"/>
                <w:szCs w:val="22"/>
                <w:lang w:eastAsia="en-US"/>
              </w:rPr>
              <w:t>).</w:t>
            </w:r>
          </w:p>
        </w:tc>
      </w:tr>
    </w:tbl>
    <w:p w14:paraId="5C238DF7" w14:textId="77777777" w:rsidR="00E54757" w:rsidRDefault="00E54757" w:rsidP="00E54757">
      <w:pPr>
        <w:pStyle w:val="Marge"/>
      </w:pPr>
    </w:p>
    <w:p w14:paraId="2E979F20" w14:textId="4FADF084" w:rsidR="00436275" w:rsidRDefault="00436275">
      <w:pPr>
        <w:tabs>
          <w:tab w:val="clear" w:pos="567"/>
        </w:tabs>
        <w:snapToGrid/>
        <w:rPr>
          <w:rFonts w:eastAsia="Times New Roman"/>
          <w:lang w:eastAsia="en-US"/>
        </w:rPr>
      </w:pPr>
      <w:r>
        <w:br w:type="page"/>
      </w:r>
    </w:p>
    <w:p w14:paraId="4FEF1063" w14:textId="5D793204" w:rsidR="00436275" w:rsidRPr="00807867" w:rsidRDefault="00030118" w:rsidP="00436275">
      <w:pPr>
        <w:tabs>
          <w:tab w:val="clear" w:pos="567"/>
        </w:tabs>
        <w:snapToGrid/>
        <w:spacing w:after="240"/>
        <w:jc w:val="both"/>
        <w:rPr>
          <w:rFonts w:cs="Arial"/>
          <w:szCs w:val="22"/>
          <w:lang w:eastAsia="en-US"/>
        </w:rPr>
      </w:pPr>
      <w:bookmarkStart w:id="0" w:name="_Toc163216996"/>
      <w:bookmarkStart w:id="1" w:name="_Toc130909576"/>
      <w:bookmarkEnd w:id="0"/>
      <w:r>
        <w:rPr>
          <w:rFonts w:eastAsia="Times New Roman" w:cs="Arial"/>
          <w:b/>
          <w:bCs/>
          <w:snapToGrid/>
          <w:szCs w:val="22"/>
          <w:lang w:eastAsia="en-US"/>
        </w:rPr>
        <w:lastRenderedPageBreak/>
        <w:t>Contexte</w:t>
      </w:r>
    </w:p>
    <w:p w14:paraId="500C8397" w14:textId="45AA50EF" w:rsidR="004B6DD5" w:rsidRDefault="00436275" w:rsidP="0026619D">
      <w:pPr>
        <w:tabs>
          <w:tab w:val="clear" w:pos="567"/>
        </w:tabs>
        <w:snapToGrid/>
        <w:spacing w:after="240"/>
        <w:jc w:val="both"/>
        <w:rPr>
          <w:rFonts w:eastAsia="Times New Roman" w:cs="Arial"/>
          <w:snapToGrid/>
          <w:szCs w:val="22"/>
          <w:lang w:eastAsia="en-US"/>
        </w:rPr>
      </w:pPr>
      <w:r w:rsidRPr="00436275">
        <w:rPr>
          <w:rFonts w:eastAsia="Times New Roman" w:cs="Arial"/>
          <w:snapToGrid/>
          <w:szCs w:val="22"/>
          <w:lang w:eastAsia="en-US"/>
        </w:rPr>
        <w:t>1.</w:t>
      </w:r>
      <w:r w:rsidRPr="00436275">
        <w:rPr>
          <w:rFonts w:eastAsia="Times New Roman" w:cs="Arial"/>
          <w:snapToGrid/>
          <w:szCs w:val="22"/>
          <w:lang w:eastAsia="en-US"/>
        </w:rPr>
        <w:tab/>
      </w:r>
      <w:r w:rsidR="00030118">
        <w:rPr>
          <w:rFonts w:eastAsia="Times New Roman" w:cs="Arial"/>
          <w:snapToGrid/>
          <w:szCs w:val="22"/>
          <w:lang w:eastAsia="en-US"/>
        </w:rPr>
        <w:t xml:space="preserve">Au cours de la </w:t>
      </w:r>
      <w:r w:rsidR="002E427B">
        <w:rPr>
          <w:rFonts w:eastAsia="Times New Roman" w:cs="Arial"/>
          <w:snapToGrid/>
          <w:szCs w:val="22"/>
          <w:lang w:eastAsia="en-US"/>
        </w:rPr>
        <w:t>55</w:t>
      </w:r>
      <w:r w:rsidR="002E427B" w:rsidRPr="002E427B">
        <w:rPr>
          <w:rFonts w:eastAsia="Times New Roman" w:cs="Arial"/>
          <w:snapToGrid/>
          <w:szCs w:val="22"/>
          <w:vertAlign w:val="superscript"/>
          <w:lang w:eastAsia="en-US"/>
        </w:rPr>
        <w:t>e</w:t>
      </w:r>
      <w:r w:rsidR="004B6DD5" w:rsidRPr="004B6DD5">
        <w:rPr>
          <w:rFonts w:eastAsia="Times New Roman" w:cs="Arial"/>
          <w:snapToGrid/>
          <w:szCs w:val="22"/>
          <w:lang w:eastAsia="en-US"/>
        </w:rPr>
        <w:t> </w:t>
      </w:r>
      <w:r w:rsidR="002E427B">
        <w:rPr>
          <w:rFonts w:eastAsia="Times New Roman" w:cs="Arial"/>
          <w:snapToGrid/>
          <w:szCs w:val="22"/>
          <w:lang w:eastAsia="en-US"/>
        </w:rPr>
        <w:t xml:space="preserve">session du Conseil exécutif de la COI (EC-55), en juin 2022, le </w:t>
      </w:r>
      <w:r w:rsidR="0089608C">
        <w:rPr>
          <w:rFonts w:eastAsia="Times New Roman" w:cs="Arial"/>
          <w:snapToGrid/>
          <w:szCs w:val="22"/>
          <w:lang w:eastAsia="en-US"/>
        </w:rPr>
        <w:t>Système mondial d’observation de l’océan (</w:t>
      </w:r>
      <w:r w:rsidR="002E427B">
        <w:rPr>
          <w:rFonts w:eastAsia="Times New Roman" w:cs="Arial"/>
          <w:snapToGrid/>
          <w:szCs w:val="22"/>
          <w:lang w:eastAsia="en-US"/>
        </w:rPr>
        <w:t>GOOS</w:t>
      </w:r>
      <w:r w:rsidR="0089608C">
        <w:rPr>
          <w:rFonts w:eastAsia="Times New Roman" w:cs="Arial"/>
          <w:snapToGrid/>
          <w:szCs w:val="22"/>
          <w:lang w:eastAsia="en-US"/>
        </w:rPr>
        <w:t>)</w:t>
      </w:r>
      <w:r w:rsidR="002E427B">
        <w:rPr>
          <w:rFonts w:eastAsia="Times New Roman" w:cs="Arial"/>
          <w:snapToGrid/>
          <w:szCs w:val="22"/>
          <w:lang w:eastAsia="en-US"/>
        </w:rPr>
        <w:t xml:space="preserve"> a rappelé </w:t>
      </w:r>
      <w:r w:rsidR="00995CE0">
        <w:rPr>
          <w:rFonts w:eastAsia="Times New Roman" w:cs="Arial"/>
          <w:snapToGrid/>
          <w:szCs w:val="22"/>
          <w:lang w:eastAsia="en-US"/>
        </w:rPr>
        <w:t>le rôle de</w:t>
      </w:r>
      <w:r w:rsidR="002E427B">
        <w:rPr>
          <w:rFonts w:eastAsia="Times New Roman" w:cs="Arial"/>
          <w:snapToGrid/>
          <w:szCs w:val="22"/>
          <w:lang w:eastAsia="en-US"/>
        </w:rPr>
        <w:t xml:space="preserve"> la COI </w:t>
      </w:r>
      <w:r w:rsidR="00995CE0">
        <w:rPr>
          <w:rFonts w:eastAsia="Times New Roman" w:cs="Arial"/>
          <w:snapToGrid/>
          <w:szCs w:val="22"/>
          <w:lang w:eastAsia="en-US"/>
        </w:rPr>
        <w:t>dans la création</w:t>
      </w:r>
      <w:r w:rsidR="002E427B">
        <w:rPr>
          <w:rFonts w:eastAsia="Times New Roman" w:cs="Arial"/>
          <w:snapToGrid/>
          <w:szCs w:val="22"/>
          <w:lang w:eastAsia="en-US"/>
        </w:rPr>
        <w:t xml:space="preserve"> </w:t>
      </w:r>
      <w:r w:rsidR="00995CE0">
        <w:rPr>
          <w:rFonts w:eastAsia="Times New Roman" w:cs="Arial"/>
          <w:snapToGrid/>
          <w:szCs w:val="22"/>
          <w:lang w:eastAsia="en-US"/>
        </w:rPr>
        <w:t>d’</w:t>
      </w:r>
      <w:r w:rsidR="002E427B">
        <w:rPr>
          <w:rFonts w:eastAsia="Times New Roman" w:cs="Arial"/>
          <w:snapToGrid/>
          <w:szCs w:val="22"/>
          <w:lang w:eastAsia="en-US"/>
        </w:rPr>
        <w:t>un mécanisme de notification approuvé par les États membre</w:t>
      </w:r>
      <w:r w:rsidR="002E427B" w:rsidRPr="00105D33">
        <w:rPr>
          <w:rFonts w:eastAsia="Times New Roman" w:cs="Arial"/>
          <w:snapToGrid/>
          <w:szCs w:val="22"/>
          <w:lang w:eastAsia="en-US"/>
        </w:rPr>
        <w:t>s</w:t>
      </w:r>
      <w:r w:rsidR="00995CE0" w:rsidRPr="00105D33">
        <w:rPr>
          <w:rFonts w:eastAsia="Times New Roman" w:cs="Arial"/>
          <w:snapToGrid/>
          <w:szCs w:val="22"/>
          <w:lang w:eastAsia="en-US"/>
        </w:rPr>
        <w:t xml:space="preserve"> et</w:t>
      </w:r>
      <w:r w:rsidR="002E427B" w:rsidRPr="00105D33">
        <w:rPr>
          <w:rFonts w:eastAsia="Times New Roman" w:cs="Arial"/>
          <w:snapToGrid/>
          <w:szCs w:val="22"/>
          <w:lang w:eastAsia="en-US"/>
        </w:rPr>
        <w:t xml:space="preserve"> conform</w:t>
      </w:r>
      <w:r w:rsidR="00995CE0" w:rsidRPr="00105D33">
        <w:rPr>
          <w:rFonts w:eastAsia="Times New Roman" w:cs="Arial"/>
          <w:snapToGrid/>
          <w:szCs w:val="22"/>
          <w:lang w:eastAsia="en-US"/>
        </w:rPr>
        <w:t>e</w:t>
      </w:r>
      <w:r w:rsidR="002E427B" w:rsidRPr="00105D33">
        <w:rPr>
          <w:rFonts w:eastAsia="Times New Roman" w:cs="Arial"/>
          <w:snapToGrid/>
          <w:szCs w:val="22"/>
          <w:lang w:eastAsia="en-US"/>
        </w:rPr>
        <w:t xml:space="preserve"> à la Convention</w:t>
      </w:r>
      <w:r w:rsidR="008425F5" w:rsidRPr="00105D33">
        <w:rPr>
          <w:rFonts w:eastAsia="Times New Roman" w:cs="Arial"/>
          <w:snapToGrid/>
          <w:szCs w:val="22"/>
          <w:lang w:eastAsia="en-US"/>
        </w:rPr>
        <w:t xml:space="preserve"> des Nations</w:t>
      </w:r>
      <w:r w:rsidR="00105D33">
        <w:rPr>
          <w:rFonts w:eastAsia="Times New Roman" w:cs="Arial"/>
          <w:snapToGrid/>
          <w:szCs w:val="22"/>
          <w:lang w:eastAsia="en-US"/>
        </w:rPr>
        <w:t> </w:t>
      </w:r>
      <w:r w:rsidR="008425F5" w:rsidRPr="00105D33">
        <w:rPr>
          <w:rFonts w:eastAsia="Times New Roman" w:cs="Arial"/>
          <w:snapToGrid/>
          <w:szCs w:val="22"/>
          <w:lang w:eastAsia="en-US"/>
        </w:rPr>
        <w:t xml:space="preserve">Unies sur le droit de la mer (UNCLOS), </w:t>
      </w:r>
      <w:r w:rsidR="0089608C" w:rsidRPr="00105D33">
        <w:rPr>
          <w:rFonts w:eastAsia="Times New Roman" w:cs="Arial"/>
          <w:snapToGrid/>
          <w:szCs w:val="22"/>
          <w:lang w:eastAsia="en-US"/>
        </w:rPr>
        <w:t>qui serait</w:t>
      </w:r>
      <w:r w:rsidR="008425F5" w:rsidRPr="00105D33">
        <w:rPr>
          <w:rFonts w:eastAsia="Times New Roman" w:cs="Arial"/>
          <w:snapToGrid/>
          <w:szCs w:val="22"/>
          <w:lang w:eastAsia="en-US"/>
        </w:rPr>
        <w:t xml:space="preserve"> appliqu</w:t>
      </w:r>
      <w:r w:rsidR="0089608C" w:rsidRPr="00105D33">
        <w:rPr>
          <w:rFonts w:eastAsia="Times New Roman" w:cs="Arial"/>
          <w:snapToGrid/>
          <w:szCs w:val="22"/>
          <w:lang w:eastAsia="en-US"/>
        </w:rPr>
        <w:t>é</w:t>
      </w:r>
      <w:r w:rsidR="008425F5" w:rsidRPr="00105D33">
        <w:rPr>
          <w:rFonts w:eastAsia="Times New Roman" w:cs="Arial"/>
          <w:snapToGrid/>
          <w:szCs w:val="22"/>
          <w:lang w:eastAsia="en-US"/>
        </w:rPr>
        <w:t xml:space="preserve"> aux flotteurs profil</w:t>
      </w:r>
      <w:r w:rsidR="0005569A" w:rsidRPr="00105D33">
        <w:rPr>
          <w:rFonts w:eastAsia="Times New Roman" w:cs="Arial"/>
          <w:snapToGrid/>
          <w:szCs w:val="22"/>
          <w:lang w:eastAsia="en-US"/>
        </w:rPr>
        <w:t>eur</w:t>
      </w:r>
      <w:r w:rsidR="008425F5" w:rsidRPr="00105D33">
        <w:rPr>
          <w:rFonts w:eastAsia="Times New Roman" w:cs="Arial"/>
          <w:snapToGrid/>
          <w:szCs w:val="22"/>
          <w:lang w:eastAsia="en-US"/>
        </w:rPr>
        <w:t>s du Programme</w:t>
      </w:r>
      <w:r w:rsidR="00105D33">
        <w:rPr>
          <w:rFonts w:eastAsia="Times New Roman" w:cs="Arial"/>
          <w:snapToGrid/>
          <w:szCs w:val="22"/>
          <w:lang w:eastAsia="en-US"/>
        </w:rPr>
        <w:t> </w:t>
      </w:r>
      <w:r w:rsidR="008425F5" w:rsidRPr="00105D33">
        <w:rPr>
          <w:rFonts w:eastAsia="Times New Roman" w:cs="Arial"/>
          <w:snapToGrid/>
          <w:szCs w:val="22"/>
          <w:lang w:eastAsia="en-US"/>
        </w:rPr>
        <w:t>Argo</w:t>
      </w:r>
      <w:r w:rsidR="0005569A" w:rsidRPr="00105D33">
        <w:rPr>
          <w:rFonts w:eastAsia="Times New Roman" w:cs="Arial"/>
          <w:snapToGrid/>
          <w:szCs w:val="22"/>
          <w:lang w:eastAsia="en-US"/>
        </w:rPr>
        <w:t xml:space="preserve"> </w:t>
      </w:r>
      <w:r w:rsidR="00995CE0" w:rsidRPr="00105D33">
        <w:rPr>
          <w:rFonts w:eastAsia="Times New Roman" w:cs="Arial"/>
          <w:snapToGrid/>
          <w:szCs w:val="22"/>
          <w:lang w:eastAsia="en-US"/>
        </w:rPr>
        <w:t>dérivant</w:t>
      </w:r>
      <w:r w:rsidR="0005569A" w:rsidRPr="00105D33">
        <w:rPr>
          <w:rFonts w:eastAsia="Times New Roman" w:cs="Arial"/>
          <w:snapToGrid/>
          <w:szCs w:val="22"/>
          <w:lang w:eastAsia="en-US"/>
        </w:rPr>
        <w:t xml:space="preserve"> dans les</w:t>
      </w:r>
      <w:r w:rsidR="00105D33" w:rsidRPr="00105D33">
        <w:rPr>
          <w:rFonts w:eastAsia="Times New Roman" w:cs="Arial"/>
          <w:snapToGrid/>
          <w:szCs w:val="22"/>
          <w:lang w:eastAsia="en-US"/>
        </w:rPr>
        <w:t xml:space="preserve"> </w:t>
      </w:r>
      <w:r w:rsidR="00105D33" w:rsidRPr="00105D33">
        <w:rPr>
          <w:rFonts w:eastAsia="Times New Roman" w:cs="Arial"/>
          <w:snapToGrid/>
          <w:szCs w:val="22"/>
          <w:lang w:eastAsia="en-US"/>
        </w:rPr>
        <w:t>zones économiques exclusives</w:t>
      </w:r>
      <w:r w:rsidR="00105D33" w:rsidRPr="00105D33">
        <w:rPr>
          <w:rFonts w:eastAsia="Times New Roman" w:cs="Arial"/>
          <w:snapToGrid/>
          <w:szCs w:val="22"/>
          <w:lang w:eastAsia="en-US"/>
        </w:rPr>
        <w:t xml:space="preserve"> (</w:t>
      </w:r>
      <w:r w:rsidR="0005569A" w:rsidRPr="00105D33">
        <w:rPr>
          <w:rFonts w:eastAsia="Times New Roman" w:cs="Arial"/>
          <w:snapToGrid/>
          <w:szCs w:val="22"/>
          <w:lang w:eastAsia="en-US"/>
        </w:rPr>
        <w:t>ZEE</w:t>
      </w:r>
      <w:r w:rsidR="00105D33" w:rsidRPr="00105D33">
        <w:rPr>
          <w:rFonts w:eastAsia="Times New Roman" w:cs="Arial"/>
          <w:snapToGrid/>
          <w:szCs w:val="22"/>
          <w:lang w:eastAsia="en-US"/>
        </w:rPr>
        <w:t>)</w:t>
      </w:r>
      <w:r w:rsidR="0005569A" w:rsidRPr="00105D33">
        <w:rPr>
          <w:rFonts w:eastAsia="Times New Roman" w:cs="Arial"/>
          <w:snapToGrid/>
          <w:szCs w:val="22"/>
          <w:lang w:eastAsia="en-US"/>
        </w:rPr>
        <w:t xml:space="preserve"> (voir le document </w:t>
      </w:r>
      <w:hyperlink r:id="rId8" w:history="1">
        <w:r w:rsidR="0005569A" w:rsidRPr="00105D33">
          <w:rPr>
            <w:rStyle w:val="Lienhypertexte"/>
            <w:rFonts w:eastAsia="Times New Roman" w:cs="Arial"/>
            <w:snapToGrid/>
            <w:szCs w:val="22"/>
            <w:lang w:eastAsia="en-US"/>
          </w:rPr>
          <w:t>IOC/EC</w:t>
        </w:r>
        <w:r w:rsidR="00105D33">
          <w:rPr>
            <w:rStyle w:val="Lienhypertexte"/>
            <w:rFonts w:eastAsia="Times New Roman" w:cs="Arial"/>
            <w:snapToGrid/>
            <w:szCs w:val="22"/>
            <w:lang w:eastAsia="en-US"/>
          </w:rPr>
          <w:noBreakHyphen/>
        </w:r>
        <w:r w:rsidR="0005569A" w:rsidRPr="00105D33">
          <w:rPr>
            <w:rStyle w:val="Lienhypertexte"/>
            <w:rFonts w:eastAsia="Times New Roman" w:cs="Arial"/>
            <w:snapToGrid/>
            <w:szCs w:val="22"/>
            <w:lang w:eastAsia="en-US"/>
          </w:rPr>
          <w:t>55</w:t>
        </w:r>
        <w:r w:rsidR="0005569A" w:rsidRPr="00105D33">
          <w:rPr>
            <w:rStyle w:val="Lienhypertexte"/>
            <w:rFonts w:eastAsia="Times New Roman" w:cs="Arial"/>
            <w:snapToGrid/>
            <w:szCs w:val="22"/>
            <w:lang w:eastAsia="en-US"/>
          </w:rPr>
          <w:t>/</w:t>
        </w:r>
        <w:r w:rsidR="0005569A" w:rsidRPr="00105D33">
          <w:rPr>
            <w:rStyle w:val="Lienhypertexte"/>
            <w:rFonts w:eastAsia="Times New Roman" w:cs="Arial"/>
            <w:snapToGrid/>
            <w:szCs w:val="22"/>
            <w:lang w:eastAsia="en-US"/>
          </w:rPr>
          <w:t>3.4.Doc(1)</w:t>
        </w:r>
      </w:hyperlink>
      <w:r w:rsidR="0005569A" w:rsidRPr="00105D33">
        <w:rPr>
          <w:rFonts w:eastAsia="Times New Roman" w:cs="Arial"/>
          <w:snapToGrid/>
          <w:szCs w:val="22"/>
          <w:lang w:eastAsia="en-US"/>
        </w:rPr>
        <w:t xml:space="preserve"> : </w:t>
      </w:r>
      <w:r w:rsidR="0026619D" w:rsidRPr="00105D33">
        <w:rPr>
          <w:rFonts w:eastAsia="Times New Roman" w:cs="Arial"/>
          <w:i/>
          <w:iCs/>
          <w:snapToGrid/>
          <w:szCs w:val="22"/>
          <w:lang w:eastAsia="en-US"/>
        </w:rPr>
        <w:t>Difficultés et solutions pour améliorer l’observation</w:t>
      </w:r>
      <w:r w:rsidR="0026619D" w:rsidRPr="0026619D">
        <w:rPr>
          <w:rFonts w:eastAsia="Times New Roman" w:cs="Arial"/>
          <w:i/>
          <w:iCs/>
          <w:snapToGrid/>
          <w:szCs w:val="22"/>
          <w:lang w:eastAsia="en-US"/>
        </w:rPr>
        <w:t xml:space="preserve"> continue des océans dans les zones relevant de la juridiction nationale, et rôle de la </w:t>
      </w:r>
      <w:r w:rsidR="0026619D">
        <w:rPr>
          <w:rFonts w:eastAsia="Times New Roman" w:cs="Arial"/>
          <w:i/>
          <w:iCs/>
          <w:snapToGrid/>
          <w:szCs w:val="22"/>
          <w:lang w:eastAsia="en-US"/>
        </w:rPr>
        <w:t>COI</w:t>
      </w:r>
      <w:r w:rsidR="0026619D" w:rsidRPr="0026619D">
        <w:rPr>
          <w:rFonts w:eastAsia="Times New Roman" w:cs="Arial"/>
          <w:i/>
          <w:iCs/>
          <w:snapToGrid/>
          <w:szCs w:val="22"/>
          <w:lang w:eastAsia="en-US"/>
        </w:rPr>
        <w:t>, de l’</w:t>
      </w:r>
      <w:r w:rsidR="0026619D">
        <w:rPr>
          <w:rFonts w:eastAsia="Times New Roman" w:cs="Arial"/>
          <w:i/>
          <w:iCs/>
          <w:snapToGrid/>
          <w:szCs w:val="22"/>
          <w:lang w:eastAsia="en-US"/>
        </w:rPr>
        <w:t xml:space="preserve">OMM </w:t>
      </w:r>
      <w:r w:rsidR="0026619D" w:rsidRPr="0026619D">
        <w:rPr>
          <w:rFonts w:eastAsia="Times New Roman" w:cs="Arial"/>
          <w:i/>
          <w:iCs/>
          <w:snapToGrid/>
          <w:szCs w:val="22"/>
          <w:lang w:eastAsia="en-US"/>
        </w:rPr>
        <w:t xml:space="preserve">et de la </w:t>
      </w:r>
      <w:r w:rsidR="0026619D">
        <w:rPr>
          <w:rFonts w:eastAsia="Times New Roman" w:cs="Arial"/>
          <w:i/>
          <w:iCs/>
          <w:snapToGrid/>
          <w:szCs w:val="22"/>
          <w:lang w:eastAsia="en-US"/>
        </w:rPr>
        <w:t>D</w:t>
      </w:r>
      <w:r w:rsidR="0026619D" w:rsidRPr="0026619D">
        <w:rPr>
          <w:rFonts w:eastAsia="Times New Roman" w:cs="Arial"/>
          <w:i/>
          <w:iCs/>
          <w:snapToGrid/>
          <w:szCs w:val="22"/>
          <w:lang w:eastAsia="en-US"/>
        </w:rPr>
        <w:t>ivision des affaires maritimes et du droit de la mer</w:t>
      </w:r>
      <w:r w:rsidR="0089608C">
        <w:rPr>
          <w:rFonts w:eastAsia="Times New Roman" w:cs="Arial"/>
          <w:snapToGrid/>
          <w:szCs w:val="22"/>
          <w:lang w:eastAsia="en-US"/>
        </w:rPr>
        <w:t>)</w:t>
      </w:r>
      <w:r w:rsidR="004B6DD5" w:rsidRPr="004B6DD5">
        <w:rPr>
          <w:rFonts w:eastAsia="Times New Roman" w:cs="Arial"/>
          <w:snapToGrid/>
          <w:szCs w:val="22"/>
          <w:lang w:eastAsia="en-US"/>
        </w:rPr>
        <w:t>.</w:t>
      </w:r>
    </w:p>
    <w:p w14:paraId="5123B3CE" w14:textId="1E8031C3" w:rsidR="008871F2" w:rsidRDefault="004B6DD5" w:rsidP="007F05DA">
      <w:pPr>
        <w:pStyle w:val="Marge"/>
        <w:rPr>
          <w:snapToGrid/>
        </w:rPr>
      </w:pPr>
      <w:r>
        <w:rPr>
          <w:snapToGrid/>
        </w:rPr>
        <w:t>2.</w:t>
      </w:r>
      <w:r>
        <w:rPr>
          <w:snapToGrid/>
        </w:rPr>
        <w:tab/>
      </w:r>
      <w:r w:rsidR="00030118">
        <w:rPr>
          <w:snapToGrid/>
        </w:rPr>
        <w:t xml:space="preserve">En février 2020, </w:t>
      </w:r>
      <w:r w:rsidR="0089608C">
        <w:rPr>
          <w:snapToGrid/>
        </w:rPr>
        <w:t xml:space="preserve">le GOOS a organisé un atelier d’experts relatif aux observations océaniques dans les zones relevant de la juridiction nationale (OONJ, </w:t>
      </w:r>
      <w:hyperlink r:id="rId9" w:history="1">
        <w:r w:rsidR="0089608C" w:rsidRPr="0026619D">
          <w:rPr>
            <w:rStyle w:val="Lienhypertexte"/>
            <w:rFonts w:cs="Arial"/>
            <w:snapToGrid/>
            <w:szCs w:val="22"/>
          </w:rPr>
          <w:t>GOOS</w:t>
        </w:r>
        <w:r w:rsidR="0026619D" w:rsidRPr="0026619D">
          <w:rPr>
            <w:rStyle w:val="Lienhypertexte"/>
            <w:rFonts w:cs="Arial"/>
            <w:snapToGrid/>
            <w:szCs w:val="22"/>
          </w:rPr>
          <w:t xml:space="preserve"> Reports,</w:t>
        </w:r>
        <w:r w:rsidR="001A6C83" w:rsidRPr="0026619D">
          <w:rPr>
            <w:rStyle w:val="Lienhypertexte"/>
            <w:rFonts w:cs="Arial"/>
            <w:snapToGrid/>
            <w:szCs w:val="22"/>
          </w:rPr>
          <w:t xml:space="preserve"> 246</w:t>
        </w:r>
      </w:hyperlink>
      <w:r w:rsidR="001A6C83">
        <w:rPr>
          <w:snapToGrid/>
        </w:rPr>
        <w:t>)</w:t>
      </w:r>
      <w:r w:rsidR="0026619D">
        <w:rPr>
          <w:snapToGrid/>
        </w:rPr>
        <w:t>, à la suite d’un certain nombre de demandes émanant des responsables de la mise en œuvre des réseaux mondiaux d’observation océaniques, dans le but d’examiner les nombreux défis liés aux observations océaniques dans les ZEE</w:t>
      </w:r>
      <w:r w:rsidRPr="004B6DD5">
        <w:rPr>
          <w:snapToGrid/>
        </w:rPr>
        <w:t>.</w:t>
      </w:r>
      <w:r w:rsidR="0026619D">
        <w:rPr>
          <w:snapToGrid/>
        </w:rPr>
        <w:t xml:space="preserve"> </w:t>
      </w:r>
      <w:r w:rsidR="00F50BF5">
        <w:rPr>
          <w:snapToGrid/>
        </w:rPr>
        <w:t xml:space="preserve">L’atelier s’est penché sur plusieurs problèmes auxquels les réseaux mondiaux d’observation océanique sont confrontés lorsqu’ils entreprennent des observations dans des zones relevant de la juridiction nationale, en particulier au sein des ZEE des États côtiers. </w:t>
      </w:r>
      <w:r w:rsidR="00F50BF5" w:rsidRPr="00F50BF5">
        <w:rPr>
          <w:snapToGrid/>
        </w:rPr>
        <w:t xml:space="preserve">Il a également </w:t>
      </w:r>
      <w:r w:rsidR="00F50BF5">
        <w:rPr>
          <w:snapToGrid/>
        </w:rPr>
        <w:t>examiné</w:t>
      </w:r>
      <w:r w:rsidR="00F50BF5" w:rsidRPr="00F50BF5">
        <w:rPr>
          <w:snapToGrid/>
        </w:rPr>
        <w:t xml:space="preserve"> l’intérêt que </w:t>
      </w:r>
      <w:r w:rsidR="00AC5B09" w:rsidRPr="00F50BF5">
        <w:rPr>
          <w:snapToGrid/>
        </w:rPr>
        <w:t xml:space="preserve">présentent </w:t>
      </w:r>
      <w:r w:rsidR="00F50BF5" w:rsidRPr="00F50BF5">
        <w:rPr>
          <w:snapToGrid/>
        </w:rPr>
        <w:t>les observations pour les États côtiers et les éventuelles préoccupations de ces derniers quant aux observations océaniques continues effectuées dans les zones relevant de leur juridiction nationale</w:t>
      </w:r>
      <w:r w:rsidR="00995CE0">
        <w:rPr>
          <w:snapToGrid/>
        </w:rPr>
        <w:t>.</w:t>
      </w:r>
    </w:p>
    <w:p w14:paraId="21547B76" w14:textId="1A83BA15" w:rsidR="00436275" w:rsidRDefault="008871F2" w:rsidP="004B3D31">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3.</w:t>
      </w:r>
      <w:r>
        <w:rPr>
          <w:rFonts w:eastAsia="Times New Roman" w:cs="Arial"/>
          <w:snapToGrid/>
          <w:szCs w:val="22"/>
          <w:lang w:eastAsia="en-US"/>
        </w:rPr>
        <w:tab/>
      </w:r>
      <w:r w:rsidR="00F50BF5">
        <w:rPr>
          <w:rFonts w:eastAsia="Times New Roman" w:cs="Arial"/>
          <w:snapToGrid/>
          <w:szCs w:val="22"/>
          <w:lang w:eastAsia="en-US"/>
        </w:rPr>
        <w:t xml:space="preserve">Les experts ont proposé plusieurs solutions pratiques </w:t>
      </w:r>
      <w:r w:rsidR="00995CE0">
        <w:rPr>
          <w:rFonts w:eastAsia="Times New Roman" w:cs="Arial"/>
          <w:snapToGrid/>
          <w:szCs w:val="22"/>
          <w:lang w:eastAsia="en-US"/>
        </w:rPr>
        <w:t>possibles</w:t>
      </w:r>
      <w:r w:rsidR="00F50BF5">
        <w:rPr>
          <w:rFonts w:eastAsia="Times New Roman" w:cs="Arial"/>
          <w:snapToGrid/>
          <w:szCs w:val="22"/>
          <w:lang w:eastAsia="en-US"/>
        </w:rPr>
        <w:t xml:space="preserve"> dans le cadre de l</w:t>
      </w:r>
      <w:r w:rsidR="002D148D">
        <w:rPr>
          <w:rFonts w:eastAsia="Times New Roman" w:cs="Arial"/>
          <w:snapToGrid/>
          <w:szCs w:val="22"/>
          <w:lang w:eastAsia="en-US"/>
        </w:rPr>
        <w:t>’UNCLOS</w:t>
      </w:r>
      <w:r w:rsidR="00F50BF5">
        <w:rPr>
          <w:rFonts w:eastAsia="Times New Roman" w:cs="Arial"/>
          <w:snapToGrid/>
          <w:szCs w:val="22"/>
          <w:lang w:eastAsia="en-US"/>
        </w:rPr>
        <w:t xml:space="preserve">, qui pourraient être </w:t>
      </w:r>
      <w:r w:rsidR="00AC5B09">
        <w:rPr>
          <w:rFonts w:eastAsia="Times New Roman" w:cs="Arial"/>
          <w:snapToGrid/>
          <w:szCs w:val="22"/>
          <w:lang w:eastAsia="en-US"/>
        </w:rPr>
        <w:t xml:space="preserve">mises en œuvre grâce à </w:t>
      </w:r>
      <w:r w:rsidR="00F50BF5">
        <w:rPr>
          <w:rFonts w:eastAsia="Times New Roman" w:cs="Arial"/>
          <w:snapToGrid/>
          <w:szCs w:val="22"/>
          <w:lang w:eastAsia="en-US"/>
        </w:rPr>
        <w:t>une collaboration entre l’UNESCO, l’</w:t>
      </w:r>
      <w:r w:rsidR="00AC5B09">
        <w:rPr>
          <w:rFonts w:eastAsia="Times New Roman" w:cs="Arial"/>
          <w:snapToGrid/>
          <w:szCs w:val="22"/>
          <w:lang w:eastAsia="en-US"/>
        </w:rPr>
        <w:t>Organisation météorologique mondiale (</w:t>
      </w:r>
      <w:r w:rsidR="00F50BF5">
        <w:rPr>
          <w:rFonts w:eastAsia="Times New Roman" w:cs="Arial"/>
          <w:snapToGrid/>
          <w:szCs w:val="22"/>
          <w:lang w:eastAsia="en-US"/>
        </w:rPr>
        <w:t>OMM</w:t>
      </w:r>
      <w:r w:rsidR="00AC5B09">
        <w:rPr>
          <w:rFonts w:eastAsia="Times New Roman" w:cs="Arial"/>
          <w:snapToGrid/>
          <w:szCs w:val="22"/>
          <w:lang w:eastAsia="en-US"/>
        </w:rPr>
        <w:t>)</w:t>
      </w:r>
      <w:r w:rsidR="00F50BF5">
        <w:rPr>
          <w:rFonts w:eastAsia="Times New Roman" w:cs="Arial"/>
          <w:snapToGrid/>
          <w:szCs w:val="22"/>
          <w:lang w:eastAsia="en-US"/>
        </w:rPr>
        <w:t xml:space="preserve"> et le Bureau</w:t>
      </w:r>
      <w:r w:rsidR="002D148D">
        <w:rPr>
          <w:rFonts w:eastAsia="Times New Roman" w:cs="Arial"/>
          <w:snapToGrid/>
          <w:szCs w:val="22"/>
          <w:lang w:eastAsia="en-US"/>
        </w:rPr>
        <w:t xml:space="preserve"> des affaires juridiques du Secrétariat de l’ONU,</w:t>
      </w:r>
      <w:r w:rsidR="00F50BF5">
        <w:rPr>
          <w:rFonts w:eastAsia="Times New Roman" w:cs="Arial"/>
          <w:snapToGrid/>
          <w:szCs w:val="22"/>
          <w:lang w:eastAsia="en-US"/>
        </w:rPr>
        <w:t xml:space="preserve"> </w:t>
      </w:r>
      <w:r w:rsidR="002D148D">
        <w:rPr>
          <w:rFonts w:eastAsia="Times New Roman" w:cs="Arial"/>
          <w:snapToGrid/>
          <w:szCs w:val="22"/>
          <w:lang w:eastAsia="en-US"/>
        </w:rPr>
        <w:t xml:space="preserve">par le biais </w:t>
      </w:r>
      <w:r w:rsidR="00F50BF5">
        <w:rPr>
          <w:rFonts w:eastAsia="Times New Roman" w:cs="Arial"/>
          <w:snapToGrid/>
          <w:szCs w:val="22"/>
          <w:lang w:eastAsia="en-US"/>
        </w:rPr>
        <w:t xml:space="preserve">de </w:t>
      </w:r>
      <w:r w:rsidR="00B10D0E">
        <w:rPr>
          <w:rFonts w:eastAsia="Times New Roman" w:cs="Arial"/>
          <w:snapToGrid/>
          <w:szCs w:val="22"/>
          <w:lang w:eastAsia="en-US"/>
        </w:rPr>
        <w:t>s</w:t>
      </w:r>
      <w:r w:rsidR="00F50BF5">
        <w:rPr>
          <w:rFonts w:eastAsia="Times New Roman" w:cs="Arial"/>
          <w:snapToGrid/>
          <w:szCs w:val="22"/>
          <w:lang w:eastAsia="en-US"/>
        </w:rPr>
        <w:t>a Division des affaires maritimes et du droit de la mer (DOALOS).</w:t>
      </w:r>
    </w:p>
    <w:p w14:paraId="229E7D6F" w14:textId="0AB142CC" w:rsidR="00707C1B" w:rsidRDefault="003C328B" w:rsidP="00030118">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4.</w:t>
      </w:r>
      <w:r>
        <w:rPr>
          <w:rFonts w:eastAsia="Times New Roman" w:cs="Arial"/>
          <w:snapToGrid/>
          <w:szCs w:val="22"/>
          <w:lang w:eastAsia="en-US"/>
        </w:rPr>
        <w:tab/>
      </w:r>
      <w:r w:rsidR="00B10D0E">
        <w:rPr>
          <w:rFonts w:eastAsia="Times New Roman" w:cs="Arial"/>
          <w:snapToGrid/>
          <w:szCs w:val="22"/>
          <w:lang w:eastAsia="en-US"/>
        </w:rPr>
        <w:t>Les résultats issus de l’atelier</w:t>
      </w:r>
      <w:r w:rsidR="00232429">
        <w:rPr>
          <w:rFonts w:eastAsia="Times New Roman" w:cs="Arial"/>
          <w:snapToGrid/>
          <w:szCs w:val="22"/>
          <w:lang w:eastAsia="en-US"/>
        </w:rPr>
        <w:t>,</w:t>
      </w:r>
      <w:r w:rsidR="00B10D0E">
        <w:rPr>
          <w:rFonts w:eastAsia="Times New Roman" w:cs="Arial"/>
          <w:snapToGrid/>
          <w:szCs w:val="22"/>
          <w:lang w:eastAsia="en-US"/>
        </w:rPr>
        <w:t xml:space="preserve"> </w:t>
      </w:r>
      <w:r w:rsidR="00AC5B09">
        <w:rPr>
          <w:rFonts w:eastAsia="Times New Roman" w:cs="Arial"/>
          <w:snapToGrid/>
          <w:szCs w:val="22"/>
          <w:lang w:eastAsia="en-US"/>
        </w:rPr>
        <w:t>ainsi que ceux d’une enquête menée auprès des États membres (voir la Lettre circulaire de la COI n° </w:t>
      </w:r>
      <w:hyperlink r:id="rId10" w:history="1">
        <w:r w:rsidR="00AC5B09" w:rsidRPr="00AC5B09">
          <w:rPr>
            <w:rStyle w:val="Lienhypertexte"/>
            <w:rFonts w:eastAsia="Times New Roman" w:cs="Arial"/>
            <w:snapToGrid/>
            <w:szCs w:val="22"/>
            <w:lang w:eastAsia="en-US"/>
          </w:rPr>
          <w:t>2938</w:t>
        </w:r>
      </w:hyperlink>
      <w:r w:rsidR="00AC5B09">
        <w:rPr>
          <w:rFonts w:eastAsia="Times New Roman" w:cs="Arial"/>
          <w:snapToGrid/>
          <w:szCs w:val="22"/>
          <w:lang w:eastAsia="en-US"/>
        </w:rPr>
        <w:t xml:space="preserve">) </w:t>
      </w:r>
      <w:r w:rsidR="00232429">
        <w:rPr>
          <w:rFonts w:eastAsia="Times New Roman" w:cs="Arial"/>
          <w:snapToGrid/>
          <w:szCs w:val="22"/>
          <w:lang w:eastAsia="en-US"/>
        </w:rPr>
        <w:t>et ayant recueilli un faible nombre de réponses, ont été présentés à l’Assemblée de la COI à sa 32</w:t>
      </w:r>
      <w:r w:rsidR="00232429" w:rsidRPr="00232429">
        <w:rPr>
          <w:rFonts w:eastAsia="Times New Roman" w:cs="Arial"/>
          <w:snapToGrid/>
          <w:szCs w:val="22"/>
          <w:vertAlign w:val="superscript"/>
          <w:lang w:eastAsia="en-US"/>
        </w:rPr>
        <w:t>e</w:t>
      </w:r>
      <w:r w:rsidR="007C73D7">
        <w:rPr>
          <w:rFonts w:eastAsia="Times New Roman" w:cs="Arial"/>
          <w:snapToGrid/>
          <w:szCs w:val="22"/>
          <w:lang w:eastAsia="en-US"/>
        </w:rPr>
        <w:t> </w:t>
      </w:r>
      <w:r w:rsidR="00232429">
        <w:rPr>
          <w:rFonts w:eastAsia="Times New Roman" w:cs="Arial"/>
          <w:snapToGrid/>
          <w:szCs w:val="22"/>
          <w:lang w:eastAsia="en-US"/>
        </w:rPr>
        <w:t>session (A-32)</w:t>
      </w:r>
      <w:r w:rsidR="005E6087">
        <w:rPr>
          <w:rFonts w:eastAsia="Times New Roman" w:cs="Arial"/>
          <w:snapToGrid/>
          <w:szCs w:val="22"/>
          <w:lang w:eastAsia="en-US"/>
        </w:rPr>
        <w:t>,</w:t>
      </w:r>
      <w:r w:rsidR="00232429">
        <w:rPr>
          <w:rFonts w:eastAsia="Times New Roman" w:cs="Arial"/>
          <w:snapToGrid/>
          <w:szCs w:val="22"/>
          <w:lang w:eastAsia="en-US"/>
        </w:rPr>
        <w:t xml:space="preserve"> en juin 2023.</w:t>
      </w:r>
      <w:r w:rsidR="00C13094">
        <w:rPr>
          <w:rFonts w:eastAsia="Times New Roman" w:cs="Arial"/>
          <w:snapToGrid/>
          <w:szCs w:val="22"/>
          <w:lang w:eastAsia="en-US"/>
        </w:rPr>
        <w:t xml:space="preserve"> Par sa décision A-32/4.8.2, l’Assemblée a décidé « </w:t>
      </w:r>
      <w:r w:rsidR="00C13094" w:rsidRPr="00C13094">
        <w:rPr>
          <w:rFonts w:eastAsia="Times New Roman" w:cs="Arial"/>
          <w:i/>
          <w:iCs/>
          <w:snapToGrid/>
          <w:szCs w:val="22"/>
          <w:lang w:eastAsia="en-US"/>
        </w:rPr>
        <w:t>de créer un groupe de travail intersessions ad hoc sur les observations océaniques dans les zones relevant de la juridiction nationale, dont le mandat figure en annexe de la présente décision</w:t>
      </w:r>
      <w:r w:rsidR="00C13094">
        <w:rPr>
          <w:rFonts w:eastAsia="Times New Roman" w:cs="Arial"/>
          <w:snapToGrid/>
          <w:szCs w:val="22"/>
          <w:lang w:eastAsia="en-US"/>
        </w:rPr>
        <w:t> ». Le Groupe de travail sur les observations océaniques dans les zones relevant de la juridiction nationale a été établi en décembre 2023, à la suite de l’invitation adressée aux États membres par la Lettre circulaire de la COI n° </w:t>
      </w:r>
      <w:hyperlink r:id="rId11" w:history="1">
        <w:r w:rsidR="00C13094" w:rsidRPr="00C13094">
          <w:rPr>
            <w:rStyle w:val="Lienhypertexte"/>
            <w:rFonts w:eastAsia="Times New Roman" w:cs="Arial"/>
            <w:snapToGrid/>
            <w:szCs w:val="22"/>
            <w:lang w:eastAsia="en-US"/>
          </w:rPr>
          <w:t>297</w:t>
        </w:r>
        <w:r w:rsidR="00C13094" w:rsidRPr="00C13094">
          <w:rPr>
            <w:rStyle w:val="Lienhypertexte"/>
            <w:rFonts w:eastAsia="Times New Roman" w:cs="Arial"/>
            <w:snapToGrid/>
            <w:szCs w:val="22"/>
            <w:lang w:eastAsia="en-US"/>
          </w:rPr>
          <w:t>1</w:t>
        </w:r>
      </w:hyperlink>
      <w:r w:rsidR="00C13094">
        <w:rPr>
          <w:rFonts w:eastAsia="Times New Roman" w:cs="Arial"/>
          <w:snapToGrid/>
          <w:szCs w:val="22"/>
          <w:lang w:eastAsia="en-US"/>
        </w:rPr>
        <w:t xml:space="preserve"> les priant de désigner des experts pour faire partie du Groupe de travail.</w:t>
      </w:r>
      <w:r w:rsidR="005F3C7D">
        <w:rPr>
          <w:rFonts w:eastAsia="Times New Roman" w:cs="Arial"/>
          <w:snapToGrid/>
          <w:szCs w:val="22"/>
          <w:lang w:eastAsia="en-US"/>
        </w:rPr>
        <w:t xml:space="preserve"> Le Groupe de travail a été prié de présenter un rapport à l’Assemblée de la COI, à sa 33</w:t>
      </w:r>
      <w:r w:rsidR="005F3C7D" w:rsidRPr="005F3C7D">
        <w:rPr>
          <w:rFonts w:eastAsia="Times New Roman" w:cs="Arial"/>
          <w:snapToGrid/>
          <w:szCs w:val="22"/>
          <w:vertAlign w:val="superscript"/>
          <w:lang w:eastAsia="en-US"/>
        </w:rPr>
        <w:t>e</w:t>
      </w:r>
      <w:r w:rsidR="007C73D7">
        <w:rPr>
          <w:rFonts w:eastAsia="Times New Roman" w:cs="Arial"/>
          <w:snapToGrid/>
          <w:szCs w:val="22"/>
          <w:lang w:eastAsia="en-US"/>
        </w:rPr>
        <w:t> </w:t>
      </w:r>
      <w:r w:rsidR="005F3C7D">
        <w:rPr>
          <w:rFonts w:eastAsia="Times New Roman" w:cs="Arial"/>
          <w:snapToGrid/>
          <w:szCs w:val="22"/>
          <w:lang w:eastAsia="en-US"/>
        </w:rPr>
        <w:t>session (2025), et de soumettre un rapport d’étape au Conseil exécutif à la présente session.</w:t>
      </w:r>
    </w:p>
    <w:p w14:paraId="6611050D" w14:textId="0486D937" w:rsidR="005F3C7D" w:rsidRPr="005F3C7D" w:rsidRDefault="005F3C7D" w:rsidP="00030118">
      <w:pPr>
        <w:tabs>
          <w:tab w:val="clear" w:pos="567"/>
        </w:tabs>
        <w:snapToGrid/>
        <w:spacing w:after="240"/>
        <w:jc w:val="both"/>
        <w:rPr>
          <w:rFonts w:eastAsia="Times New Roman" w:cs="Arial"/>
          <w:b/>
          <w:bCs/>
          <w:snapToGrid/>
          <w:szCs w:val="22"/>
          <w:lang w:eastAsia="en-US"/>
        </w:rPr>
      </w:pPr>
      <w:r w:rsidRPr="005F3C7D">
        <w:rPr>
          <w:rFonts w:eastAsia="Times New Roman" w:cs="Arial"/>
          <w:b/>
          <w:bCs/>
          <w:snapToGrid/>
          <w:szCs w:val="22"/>
          <w:lang w:eastAsia="en-US"/>
        </w:rPr>
        <w:t>Progrès accomplis</w:t>
      </w:r>
      <w:r w:rsidR="00526ED1">
        <w:rPr>
          <w:rFonts w:eastAsia="Times New Roman" w:cs="Arial"/>
          <w:b/>
          <w:bCs/>
          <w:snapToGrid/>
          <w:szCs w:val="22"/>
          <w:lang w:eastAsia="en-US"/>
        </w:rPr>
        <w:t xml:space="preserve"> </w:t>
      </w:r>
    </w:p>
    <w:p w14:paraId="186B23F9" w14:textId="463F587F" w:rsidR="005F3C7D" w:rsidRDefault="005F3C7D" w:rsidP="005F3C7D">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5.</w:t>
      </w:r>
      <w:r>
        <w:rPr>
          <w:rFonts w:eastAsia="Times New Roman" w:cs="Arial"/>
          <w:snapToGrid/>
          <w:szCs w:val="22"/>
          <w:lang w:eastAsia="en-US"/>
        </w:rPr>
        <w:tab/>
        <w:t>Le Groupe de travail se compose de 25</w:t>
      </w:r>
      <w:r w:rsidR="007C73D7">
        <w:rPr>
          <w:rFonts w:eastAsia="Times New Roman" w:cs="Arial"/>
          <w:snapToGrid/>
          <w:szCs w:val="22"/>
          <w:lang w:eastAsia="en-US"/>
        </w:rPr>
        <w:t> </w:t>
      </w:r>
      <w:r>
        <w:rPr>
          <w:rFonts w:eastAsia="Times New Roman" w:cs="Arial"/>
          <w:snapToGrid/>
          <w:szCs w:val="22"/>
          <w:lang w:eastAsia="en-US"/>
        </w:rPr>
        <w:t xml:space="preserve">États membres de la COI et s’est réuni à six reprises. Il a été décidé </w:t>
      </w:r>
      <w:r w:rsidR="003561FB">
        <w:rPr>
          <w:rFonts w:eastAsia="Times New Roman" w:cs="Arial"/>
          <w:snapToGrid/>
          <w:szCs w:val="22"/>
          <w:lang w:eastAsia="en-US"/>
        </w:rPr>
        <w:t>lors</w:t>
      </w:r>
      <w:r>
        <w:rPr>
          <w:rFonts w:eastAsia="Times New Roman" w:cs="Arial"/>
          <w:snapToGrid/>
          <w:szCs w:val="22"/>
          <w:lang w:eastAsia="en-US"/>
        </w:rPr>
        <w:t xml:space="preserve"> la première réunion, qui s’est tenue le 7</w:t>
      </w:r>
      <w:r w:rsidR="007C73D7">
        <w:rPr>
          <w:rFonts w:eastAsia="Times New Roman" w:cs="Arial"/>
          <w:snapToGrid/>
          <w:szCs w:val="22"/>
          <w:lang w:eastAsia="en-US"/>
        </w:rPr>
        <w:t> </w:t>
      </w:r>
      <w:r>
        <w:rPr>
          <w:rFonts w:eastAsia="Times New Roman" w:cs="Arial"/>
          <w:snapToGrid/>
          <w:szCs w:val="22"/>
          <w:lang w:eastAsia="en-US"/>
        </w:rPr>
        <w:t>décembre 2023, de se réunir tous les mois jusqu’à la 33</w:t>
      </w:r>
      <w:r w:rsidRPr="005F3C7D">
        <w:rPr>
          <w:rFonts w:eastAsia="Times New Roman" w:cs="Arial"/>
          <w:snapToGrid/>
          <w:szCs w:val="22"/>
          <w:vertAlign w:val="superscript"/>
          <w:lang w:eastAsia="en-US"/>
        </w:rPr>
        <w:t>e</w:t>
      </w:r>
      <w:r>
        <w:rPr>
          <w:rFonts w:eastAsia="Times New Roman" w:cs="Arial"/>
          <w:snapToGrid/>
          <w:szCs w:val="22"/>
          <w:lang w:eastAsia="en-US"/>
        </w:rPr>
        <w:t> session de l’Assemblée de la COI, en juin 2025.</w:t>
      </w:r>
    </w:p>
    <w:p w14:paraId="27614A6A" w14:textId="68F5D502" w:rsidR="005F3C7D" w:rsidRDefault="005F3C7D" w:rsidP="005F3C7D">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6.</w:t>
      </w:r>
      <w:r>
        <w:rPr>
          <w:rFonts w:eastAsia="Times New Roman" w:cs="Arial"/>
          <w:snapToGrid/>
          <w:szCs w:val="22"/>
          <w:lang w:eastAsia="en-US"/>
        </w:rPr>
        <w:tab/>
        <w:t xml:space="preserve">Les réunions mensuelles </w:t>
      </w:r>
      <w:r w:rsidR="003561FB">
        <w:rPr>
          <w:rFonts w:eastAsia="Times New Roman" w:cs="Arial"/>
          <w:snapToGrid/>
          <w:szCs w:val="22"/>
          <w:lang w:eastAsia="en-US"/>
        </w:rPr>
        <w:t>se sont déroulées</w:t>
      </w:r>
      <w:r>
        <w:rPr>
          <w:rFonts w:eastAsia="Times New Roman" w:cs="Arial"/>
          <w:snapToGrid/>
          <w:szCs w:val="22"/>
          <w:lang w:eastAsia="en-US"/>
        </w:rPr>
        <w:t xml:space="preserve"> </w:t>
      </w:r>
      <w:r w:rsidR="003561FB">
        <w:rPr>
          <w:rFonts w:eastAsia="Times New Roman" w:cs="Arial"/>
          <w:snapToGrid/>
          <w:szCs w:val="22"/>
          <w:lang w:eastAsia="en-US"/>
        </w:rPr>
        <w:t>sous forme de séances de deux heures, selon des modalités virtuelles.</w:t>
      </w:r>
      <w:r w:rsidR="003A7B88">
        <w:rPr>
          <w:rFonts w:eastAsia="Times New Roman" w:cs="Arial"/>
          <w:snapToGrid/>
          <w:szCs w:val="22"/>
          <w:lang w:eastAsia="en-US"/>
        </w:rPr>
        <w:t xml:space="preserve"> </w:t>
      </w:r>
    </w:p>
    <w:p w14:paraId="7D178942" w14:textId="3C3C619A" w:rsidR="003561FB" w:rsidRDefault="003561FB" w:rsidP="005F3C7D">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7.</w:t>
      </w:r>
      <w:r>
        <w:rPr>
          <w:rFonts w:eastAsia="Times New Roman" w:cs="Arial"/>
          <w:snapToGrid/>
          <w:szCs w:val="22"/>
          <w:lang w:eastAsia="en-US"/>
        </w:rPr>
        <w:tab/>
      </w:r>
      <w:r w:rsidR="007C2EE6">
        <w:rPr>
          <w:rFonts w:eastAsia="Times New Roman" w:cs="Arial"/>
          <w:snapToGrid/>
          <w:szCs w:val="22"/>
          <w:lang w:eastAsia="en-US"/>
        </w:rPr>
        <w:t>Au cours de l</w:t>
      </w:r>
      <w:r>
        <w:rPr>
          <w:rFonts w:eastAsia="Times New Roman" w:cs="Arial"/>
          <w:snapToGrid/>
          <w:szCs w:val="22"/>
          <w:lang w:eastAsia="en-US"/>
        </w:rPr>
        <w:t>a première réunion</w:t>
      </w:r>
      <w:r w:rsidR="007C2EE6">
        <w:rPr>
          <w:rFonts w:eastAsia="Times New Roman" w:cs="Arial"/>
          <w:snapToGrid/>
          <w:szCs w:val="22"/>
          <w:lang w:eastAsia="en-US"/>
        </w:rPr>
        <w:t>,</w:t>
      </w:r>
      <w:r>
        <w:rPr>
          <w:rFonts w:eastAsia="Times New Roman" w:cs="Arial"/>
          <w:snapToGrid/>
          <w:szCs w:val="22"/>
          <w:lang w:eastAsia="en-US"/>
        </w:rPr>
        <w:t xml:space="preserve"> le Secrétariat</w:t>
      </w:r>
      <w:r w:rsidR="007C2EE6">
        <w:rPr>
          <w:rFonts w:eastAsia="Times New Roman" w:cs="Arial"/>
          <w:snapToGrid/>
          <w:szCs w:val="22"/>
          <w:lang w:eastAsia="en-US"/>
        </w:rPr>
        <w:t xml:space="preserve"> est revenu brièvement sur</w:t>
      </w:r>
      <w:r>
        <w:rPr>
          <w:rFonts w:eastAsia="Times New Roman" w:cs="Arial"/>
          <w:snapToGrid/>
          <w:szCs w:val="22"/>
          <w:lang w:eastAsia="en-US"/>
        </w:rPr>
        <w:t xml:space="preserve"> l</w:t>
      </w:r>
      <w:r w:rsidR="007C2EE6">
        <w:rPr>
          <w:rFonts w:eastAsia="Times New Roman" w:cs="Arial"/>
          <w:snapToGrid/>
          <w:szCs w:val="22"/>
          <w:lang w:eastAsia="en-US"/>
        </w:rPr>
        <w:t>’historique de la création du Groupe de travail, puis les débats ont porté sur le processus de nomination et d’élection des co</w:t>
      </w:r>
      <w:r w:rsidR="00D05907">
        <w:rPr>
          <w:rFonts w:eastAsia="Times New Roman" w:cs="Arial"/>
          <w:snapToGrid/>
          <w:szCs w:val="22"/>
          <w:lang w:eastAsia="en-US"/>
        </w:rPr>
        <w:noBreakHyphen/>
        <w:t>p</w:t>
      </w:r>
      <w:r w:rsidR="007C2EE6">
        <w:rPr>
          <w:rFonts w:eastAsia="Times New Roman" w:cs="Arial"/>
          <w:snapToGrid/>
          <w:szCs w:val="22"/>
          <w:lang w:eastAsia="en-US"/>
        </w:rPr>
        <w:t>résidents du Groupe de travail, Ariel Troisi (Argentine) et Suzan El Gharabawy (Égypte).</w:t>
      </w:r>
    </w:p>
    <w:p w14:paraId="6E15D207" w14:textId="612AD26A" w:rsidR="003561FB" w:rsidRDefault="003561FB" w:rsidP="005F3C7D">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8.</w:t>
      </w:r>
      <w:r>
        <w:rPr>
          <w:rFonts w:eastAsia="Times New Roman" w:cs="Arial"/>
          <w:snapToGrid/>
          <w:szCs w:val="22"/>
          <w:lang w:eastAsia="en-US"/>
        </w:rPr>
        <w:tab/>
        <w:t>La deuxième réunion a débuté par l’élection des co-présidents, suivie par l’examen du mandat du groupe de travail (décision A-32/4.8.2).</w:t>
      </w:r>
      <w:r w:rsidR="007C2EE6">
        <w:rPr>
          <w:rFonts w:eastAsia="Times New Roman" w:cs="Arial"/>
          <w:snapToGrid/>
          <w:szCs w:val="22"/>
          <w:lang w:eastAsia="en-US"/>
        </w:rPr>
        <w:t xml:space="preserve"> Une discussion approfondie a eu lieu afin de préciser le mandat et la façon de l’appliquer.</w:t>
      </w:r>
    </w:p>
    <w:p w14:paraId="50125F5F" w14:textId="268A2A53" w:rsidR="007C2EE6" w:rsidRDefault="007C2EE6" w:rsidP="005F3C7D">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lastRenderedPageBreak/>
        <w:t>9.</w:t>
      </w:r>
      <w:r>
        <w:rPr>
          <w:rFonts w:eastAsia="Times New Roman" w:cs="Arial"/>
          <w:snapToGrid/>
          <w:szCs w:val="22"/>
          <w:lang w:eastAsia="en-US"/>
        </w:rPr>
        <w:tab/>
        <w:t>La troisième réunion a été l’occasion pour le Groupe d’examiner les documents de travail suivants : le rapport de l’atelier</w:t>
      </w:r>
      <w:r w:rsidR="007A1A92">
        <w:rPr>
          <w:rFonts w:eastAsia="Times New Roman" w:cs="Arial"/>
          <w:snapToGrid/>
          <w:szCs w:val="22"/>
          <w:lang w:eastAsia="en-US"/>
        </w:rPr>
        <w:t xml:space="preserve"> d’experts</w:t>
      </w:r>
      <w:r>
        <w:rPr>
          <w:rFonts w:eastAsia="Times New Roman" w:cs="Arial"/>
          <w:snapToGrid/>
          <w:szCs w:val="22"/>
          <w:lang w:eastAsia="en-US"/>
        </w:rPr>
        <w:t xml:space="preserve"> relatif aux observations océaniques dans les zones relevant de la juridiction nationale</w:t>
      </w:r>
      <w:r w:rsidR="007A1A92">
        <w:rPr>
          <w:rFonts w:eastAsia="Times New Roman" w:cs="Arial"/>
          <w:snapToGrid/>
          <w:szCs w:val="22"/>
          <w:lang w:eastAsia="en-US"/>
        </w:rPr>
        <w:t xml:space="preserve"> ; </w:t>
      </w:r>
      <w:r w:rsidR="00AA0893">
        <w:rPr>
          <w:rFonts w:eastAsia="Times New Roman" w:cs="Arial"/>
          <w:snapToGrid/>
          <w:szCs w:val="22"/>
          <w:lang w:eastAsia="en-US"/>
        </w:rPr>
        <w:t xml:space="preserve">le document IOC/INF-1431 : </w:t>
      </w:r>
      <w:r w:rsidR="007A1A92" w:rsidRPr="007A1A92">
        <w:rPr>
          <w:rFonts w:eastAsia="Times New Roman" w:cs="Arial"/>
          <w:i/>
          <w:iCs/>
          <w:snapToGrid/>
          <w:szCs w:val="22"/>
          <w:lang w:eastAsia="en-US"/>
        </w:rPr>
        <w:t>Details on the results from the 2023 survey to global ocean observing networks on ocean observations in areas under national jurisdiction</w:t>
      </w:r>
      <w:r w:rsidR="007A1A92">
        <w:rPr>
          <w:rFonts w:eastAsia="Times New Roman" w:cs="Arial"/>
          <w:snapToGrid/>
          <w:szCs w:val="22"/>
          <w:lang w:eastAsia="en-US"/>
        </w:rPr>
        <w:t xml:space="preserve"> (</w:t>
      </w:r>
      <w:r w:rsidR="002D312F">
        <w:rPr>
          <w:rFonts w:eastAsia="Times New Roman" w:cs="Arial"/>
          <w:snapToGrid/>
          <w:szCs w:val="22"/>
          <w:lang w:eastAsia="en-US"/>
        </w:rPr>
        <w:t>« Informations détaillées sur les résultats de l’enquête menée en</w:t>
      </w:r>
      <w:r w:rsidR="007C73D7">
        <w:rPr>
          <w:rFonts w:eastAsia="Times New Roman" w:cs="Arial"/>
          <w:snapToGrid/>
          <w:szCs w:val="22"/>
          <w:lang w:eastAsia="en-US"/>
        </w:rPr>
        <w:t> </w:t>
      </w:r>
      <w:r w:rsidR="002D312F">
        <w:rPr>
          <w:rFonts w:eastAsia="Times New Roman" w:cs="Arial"/>
          <w:snapToGrid/>
          <w:szCs w:val="22"/>
          <w:lang w:eastAsia="en-US"/>
        </w:rPr>
        <w:t>2023 auprès des réseaux mondiaux d’observation de l’océan sur les observations océaniques dans les zones relevant de la juridiction nationale »</w:t>
      </w:r>
      <w:r w:rsidR="00AA0893">
        <w:rPr>
          <w:rFonts w:eastAsia="Times New Roman" w:cs="Arial"/>
          <w:snapToGrid/>
          <w:szCs w:val="22"/>
          <w:lang w:eastAsia="en-US"/>
        </w:rPr>
        <w:t>)</w:t>
      </w:r>
      <w:r w:rsidR="002D312F">
        <w:rPr>
          <w:rFonts w:eastAsia="Times New Roman" w:cs="Arial"/>
          <w:snapToGrid/>
          <w:szCs w:val="22"/>
          <w:lang w:eastAsia="en-US"/>
        </w:rPr>
        <w:t> ; les résultats de l’enquête présentés à la 32</w:t>
      </w:r>
      <w:r w:rsidR="002D312F" w:rsidRPr="002D312F">
        <w:rPr>
          <w:rFonts w:eastAsia="Times New Roman" w:cs="Arial"/>
          <w:snapToGrid/>
          <w:szCs w:val="22"/>
          <w:vertAlign w:val="superscript"/>
          <w:lang w:eastAsia="en-US"/>
        </w:rPr>
        <w:t>e</w:t>
      </w:r>
      <w:r w:rsidR="007C73D7">
        <w:rPr>
          <w:rFonts w:eastAsia="Times New Roman" w:cs="Arial"/>
          <w:snapToGrid/>
          <w:szCs w:val="22"/>
          <w:lang w:eastAsia="en-US"/>
        </w:rPr>
        <w:t> </w:t>
      </w:r>
      <w:r w:rsidR="002D312F">
        <w:rPr>
          <w:rFonts w:eastAsia="Times New Roman" w:cs="Arial"/>
          <w:snapToGrid/>
          <w:szCs w:val="22"/>
          <w:lang w:eastAsia="en-US"/>
        </w:rPr>
        <w:t>session de l’Assemblée de la</w:t>
      </w:r>
      <w:r w:rsidR="007C73D7">
        <w:rPr>
          <w:rFonts w:eastAsia="Times New Roman" w:cs="Arial"/>
          <w:snapToGrid/>
          <w:szCs w:val="22"/>
          <w:lang w:eastAsia="en-US"/>
        </w:rPr>
        <w:t> </w:t>
      </w:r>
      <w:r w:rsidR="002D312F">
        <w:rPr>
          <w:rFonts w:eastAsia="Times New Roman" w:cs="Arial"/>
          <w:snapToGrid/>
          <w:szCs w:val="22"/>
          <w:lang w:eastAsia="en-US"/>
        </w:rPr>
        <w:t>COI ; et les notes de discussion sur les observations océaniques dans les zones relevant de la</w:t>
      </w:r>
      <w:r w:rsidR="007C73D7">
        <w:rPr>
          <w:rFonts w:eastAsia="Times New Roman" w:cs="Arial"/>
          <w:snapToGrid/>
          <w:szCs w:val="22"/>
          <w:lang w:eastAsia="en-US"/>
        </w:rPr>
        <w:t> </w:t>
      </w:r>
      <w:r w:rsidR="002D312F">
        <w:rPr>
          <w:rFonts w:eastAsia="Times New Roman" w:cs="Arial"/>
          <w:snapToGrid/>
          <w:szCs w:val="22"/>
          <w:lang w:eastAsia="en-US"/>
        </w:rPr>
        <w:t xml:space="preserve">juridiction nationale figurant dans le rapport </w:t>
      </w:r>
      <w:r w:rsidR="00D032AC">
        <w:rPr>
          <w:rFonts w:eastAsia="Times New Roman" w:cs="Arial"/>
          <w:snapToGrid/>
          <w:szCs w:val="22"/>
          <w:lang w:eastAsia="en-US"/>
        </w:rPr>
        <w:t>de la 32</w:t>
      </w:r>
      <w:r w:rsidR="00D032AC" w:rsidRPr="00D032AC">
        <w:rPr>
          <w:rFonts w:eastAsia="Times New Roman" w:cs="Arial"/>
          <w:snapToGrid/>
          <w:szCs w:val="22"/>
          <w:vertAlign w:val="superscript"/>
          <w:lang w:eastAsia="en-US"/>
        </w:rPr>
        <w:t>e</w:t>
      </w:r>
      <w:r w:rsidR="00D032AC">
        <w:rPr>
          <w:rFonts w:eastAsia="Times New Roman" w:cs="Arial"/>
          <w:snapToGrid/>
          <w:szCs w:val="22"/>
          <w:lang w:eastAsia="en-US"/>
        </w:rPr>
        <w:t xml:space="preserve"> session de l’Assemblée </w:t>
      </w:r>
      <w:r w:rsidR="002D312F">
        <w:rPr>
          <w:rFonts w:eastAsia="Times New Roman" w:cs="Arial"/>
          <w:snapToGrid/>
          <w:szCs w:val="22"/>
          <w:lang w:eastAsia="en-US"/>
        </w:rPr>
        <w:t>(pages</w:t>
      </w:r>
      <w:r w:rsidR="007C73D7">
        <w:rPr>
          <w:rFonts w:eastAsia="Times New Roman" w:cs="Arial"/>
          <w:snapToGrid/>
          <w:szCs w:val="22"/>
          <w:lang w:eastAsia="en-US"/>
        </w:rPr>
        <w:t> </w:t>
      </w:r>
      <w:r w:rsidR="002D312F">
        <w:rPr>
          <w:rFonts w:eastAsia="Times New Roman" w:cs="Arial"/>
          <w:snapToGrid/>
          <w:szCs w:val="22"/>
          <w:lang w:eastAsia="en-US"/>
        </w:rPr>
        <w:t>32-34).</w:t>
      </w:r>
      <w:r w:rsidR="00D032AC">
        <w:rPr>
          <w:rFonts w:eastAsia="Times New Roman" w:cs="Arial"/>
          <w:snapToGrid/>
          <w:szCs w:val="22"/>
          <w:lang w:eastAsia="en-US"/>
        </w:rPr>
        <w:t xml:space="preserve"> Le</w:t>
      </w:r>
      <w:r w:rsidR="007C73D7">
        <w:rPr>
          <w:rFonts w:eastAsia="Times New Roman" w:cs="Arial"/>
          <w:snapToGrid/>
          <w:szCs w:val="22"/>
          <w:lang w:eastAsia="en-US"/>
        </w:rPr>
        <w:t> </w:t>
      </w:r>
      <w:r w:rsidR="00D032AC">
        <w:rPr>
          <w:rFonts w:eastAsia="Times New Roman" w:cs="Arial"/>
          <w:snapToGrid/>
          <w:szCs w:val="22"/>
          <w:lang w:eastAsia="en-US"/>
        </w:rPr>
        <w:t xml:space="preserve">Groupe de travail a également pu consulter les enquêtes soumises par les réseaux du Système mondial d’observation de l’océan et certains États membres (seuls quelques États membres ont autorisé le Groupe de travail à consulter leurs enquêtes). Au cours de cette réunion, il a été </w:t>
      </w:r>
      <w:r w:rsidR="00EC2B4A">
        <w:rPr>
          <w:rFonts w:eastAsia="Times New Roman" w:cs="Arial"/>
          <w:snapToGrid/>
          <w:szCs w:val="22"/>
          <w:lang w:eastAsia="en-US"/>
        </w:rPr>
        <w:t>admis</w:t>
      </w:r>
      <w:r w:rsidR="00D032AC">
        <w:rPr>
          <w:rFonts w:eastAsia="Times New Roman" w:cs="Arial"/>
          <w:snapToGrid/>
          <w:szCs w:val="22"/>
          <w:lang w:eastAsia="en-US"/>
        </w:rPr>
        <w:t xml:space="preserve"> </w:t>
      </w:r>
      <w:r w:rsidR="00AA0893">
        <w:rPr>
          <w:rFonts w:eastAsia="Times New Roman" w:cs="Arial"/>
          <w:snapToGrid/>
          <w:szCs w:val="22"/>
          <w:lang w:eastAsia="en-US"/>
        </w:rPr>
        <w:t xml:space="preserve">qu’il serait utile </w:t>
      </w:r>
      <w:r w:rsidR="00D032AC">
        <w:rPr>
          <w:rFonts w:eastAsia="Times New Roman" w:cs="Arial"/>
          <w:snapToGrid/>
          <w:szCs w:val="22"/>
          <w:lang w:eastAsia="en-US"/>
        </w:rPr>
        <w:t xml:space="preserve">que le Groupe de travail </w:t>
      </w:r>
      <w:r w:rsidR="00AA0893">
        <w:rPr>
          <w:rFonts w:eastAsia="Times New Roman" w:cs="Arial"/>
          <w:snapToGrid/>
          <w:szCs w:val="22"/>
          <w:lang w:eastAsia="en-US"/>
        </w:rPr>
        <w:t>reçoivent</w:t>
      </w:r>
      <w:r w:rsidR="00D032AC">
        <w:rPr>
          <w:rFonts w:eastAsia="Times New Roman" w:cs="Arial"/>
          <w:snapToGrid/>
          <w:szCs w:val="22"/>
          <w:lang w:eastAsia="en-US"/>
        </w:rPr>
        <w:t xml:space="preserve"> </w:t>
      </w:r>
      <w:r w:rsidR="00AA0893">
        <w:rPr>
          <w:rFonts w:eastAsia="Times New Roman" w:cs="Arial"/>
          <w:snapToGrid/>
          <w:szCs w:val="22"/>
          <w:lang w:eastAsia="en-US"/>
        </w:rPr>
        <w:t>davantage de</w:t>
      </w:r>
      <w:r w:rsidR="00D032AC">
        <w:rPr>
          <w:rFonts w:eastAsia="Times New Roman" w:cs="Arial"/>
          <w:snapToGrid/>
          <w:szCs w:val="22"/>
          <w:lang w:eastAsia="en-US"/>
        </w:rPr>
        <w:t xml:space="preserve"> réponses d’États membres à l’enquête de mars 2023. Le Secrétariat a</w:t>
      </w:r>
      <w:r w:rsidR="00EC2B4A">
        <w:rPr>
          <w:rFonts w:eastAsia="Times New Roman" w:cs="Arial"/>
          <w:snapToGrid/>
          <w:szCs w:val="22"/>
          <w:lang w:eastAsia="en-US"/>
        </w:rPr>
        <w:t xml:space="preserve"> donc republié la Lettre circulaire n° 2938 pour inviter des États membres supplémentaires à répondre à l’enquête.</w:t>
      </w:r>
    </w:p>
    <w:p w14:paraId="537F2E21" w14:textId="0F094511" w:rsidR="00EC2B4A" w:rsidRDefault="00EC2B4A" w:rsidP="005F3C7D">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10.</w:t>
      </w:r>
      <w:r>
        <w:rPr>
          <w:rFonts w:eastAsia="Times New Roman" w:cs="Arial"/>
          <w:snapToGrid/>
          <w:szCs w:val="22"/>
          <w:lang w:eastAsia="en-US"/>
        </w:rPr>
        <w:tab/>
      </w:r>
      <w:r w:rsidR="00975664">
        <w:rPr>
          <w:rFonts w:eastAsia="Times New Roman" w:cs="Arial"/>
          <w:snapToGrid/>
          <w:szCs w:val="22"/>
          <w:lang w:eastAsia="en-US"/>
        </w:rPr>
        <w:t>La</w:t>
      </w:r>
      <w:r w:rsidR="00074EA3">
        <w:rPr>
          <w:rFonts w:eastAsia="Times New Roman" w:cs="Arial"/>
          <w:snapToGrid/>
          <w:szCs w:val="22"/>
          <w:lang w:eastAsia="en-US"/>
        </w:rPr>
        <w:t xml:space="preserve"> quatrième réunion</w:t>
      </w:r>
      <w:r w:rsidR="00975664">
        <w:rPr>
          <w:rFonts w:eastAsia="Times New Roman" w:cs="Arial"/>
          <w:snapToGrid/>
          <w:szCs w:val="22"/>
          <w:lang w:eastAsia="en-US"/>
        </w:rPr>
        <w:t xml:space="preserve"> a permis d’élaborer</w:t>
      </w:r>
      <w:r w:rsidR="00074EA3">
        <w:rPr>
          <w:rFonts w:eastAsia="Times New Roman" w:cs="Arial"/>
          <w:snapToGrid/>
          <w:szCs w:val="22"/>
          <w:lang w:eastAsia="en-US"/>
        </w:rPr>
        <w:t xml:space="preserve"> une matrice </w:t>
      </w:r>
      <w:r w:rsidR="00975664">
        <w:rPr>
          <w:rFonts w:eastAsia="Times New Roman" w:cs="Arial"/>
          <w:snapToGrid/>
          <w:szCs w:val="22"/>
          <w:lang w:eastAsia="en-US"/>
        </w:rPr>
        <w:t>afin d’</w:t>
      </w:r>
      <w:r w:rsidR="00074EA3">
        <w:rPr>
          <w:rFonts w:eastAsia="Times New Roman" w:cs="Arial"/>
          <w:snapToGrid/>
          <w:szCs w:val="22"/>
          <w:lang w:eastAsia="en-US"/>
        </w:rPr>
        <w:t>analyser et d’</w:t>
      </w:r>
      <w:r w:rsidR="00975664">
        <w:rPr>
          <w:rFonts w:eastAsia="Times New Roman" w:cs="Arial"/>
          <w:snapToGrid/>
          <w:szCs w:val="22"/>
          <w:lang w:eastAsia="en-US"/>
        </w:rPr>
        <w:t>examiner</w:t>
      </w:r>
      <w:r w:rsidR="00074EA3">
        <w:rPr>
          <w:rFonts w:eastAsia="Times New Roman" w:cs="Arial"/>
          <w:snapToGrid/>
          <w:szCs w:val="22"/>
          <w:lang w:eastAsia="en-US"/>
        </w:rPr>
        <w:t xml:space="preserve"> les points communs entre les </w:t>
      </w:r>
      <w:r w:rsidR="00975664">
        <w:rPr>
          <w:rFonts w:eastAsia="Times New Roman" w:cs="Arial"/>
          <w:snapToGrid/>
          <w:szCs w:val="22"/>
          <w:lang w:eastAsia="en-US"/>
        </w:rPr>
        <w:t>questions recensées par les réseaux du GOOS et par les États membres ayant répondu et autorisé l’accès à l’enquête. Le Groupe de travail a estimé que</w:t>
      </w:r>
      <w:r w:rsidR="002370FD">
        <w:rPr>
          <w:rFonts w:eastAsia="Times New Roman" w:cs="Arial"/>
          <w:snapToGrid/>
          <w:szCs w:val="22"/>
          <w:lang w:eastAsia="en-US"/>
        </w:rPr>
        <w:t xml:space="preserve"> les réseaux du GOOS devaient fournir</w:t>
      </w:r>
      <w:r w:rsidR="00975664">
        <w:rPr>
          <w:rFonts w:eastAsia="Times New Roman" w:cs="Arial"/>
          <w:snapToGrid/>
          <w:szCs w:val="22"/>
          <w:lang w:eastAsia="en-US"/>
        </w:rPr>
        <w:t xml:space="preserve"> des informations complément</w:t>
      </w:r>
      <w:r w:rsidR="002370FD">
        <w:rPr>
          <w:rFonts w:eastAsia="Times New Roman" w:cs="Arial"/>
          <w:snapToGrid/>
          <w:szCs w:val="22"/>
          <w:lang w:eastAsia="en-US"/>
        </w:rPr>
        <w:t>a</w:t>
      </w:r>
      <w:r w:rsidR="00975664">
        <w:rPr>
          <w:rFonts w:eastAsia="Times New Roman" w:cs="Arial"/>
          <w:snapToGrid/>
          <w:szCs w:val="22"/>
          <w:lang w:eastAsia="en-US"/>
        </w:rPr>
        <w:t>ires</w:t>
      </w:r>
      <w:r w:rsidR="002370FD">
        <w:rPr>
          <w:rFonts w:eastAsia="Times New Roman" w:cs="Arial"/>
          <w:snapToGrid/>
          <w:szCs w:val="22"/>
          <w:lang w:eastAsia="en-US"/>
        </w:rPr>
        <w:t>, notamment des éclaircissements sur les impacts du GOOS, afin de pouvoir réaliser de</w:t>
      </w:r>
      <w:r w:rsidR="00AA0893">
        <w:rPr>
          <w:rFonts w:eastAsia="Times New Roman" w:cs="Arial"/>
          <w:snapToGrid/>
          <w:szCs w:val="22"/>
          <w:lang w:eastAsia="en-US"/>
        </w:rPr>
        <w:t xml:space="preserve"> nouveaux</w:t>
      </w:r>
      <w:r w:rsidR="002370FD">
        <w:rPr>
          <w:rFonts w:eastAsia="Times New Roman" w:cs="Arial"/>
          <w:snapToGrid/>
          <w:szCs w:val="22"/>
          <w:lang w:eastAsia="en-US"/>
        </w:rPr>
        <w:t xml:space="preserve"> progrès.</w:t>
      </w:r>
    </w:p>
    <w:p w14:paraId="2121EF23" w14:textId="04247DA4" w:rsidR="002370FD" w:rsidRDefault="002370FD" w:rsidP="005F3C7D">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11.</w:t>
      </w:r>
      <w:r>
        <w:rPr>
          <w:rFonts w:eastAsia="Times New Roman" w:cs="Arial"/>
          <w:snapToGrid/>
          <w:szCs w:val="22"/>
          <w:lang w:eastAsia="en-US"/>
        </w:rPr>
        <w:tab/>
      </w:r>
      <w:r w:rsidR="00F067C8">
        <w:rPr>
          <w:rFonts w:eastAsia="Times New Roman" w:cs="Arial"/>
          <w:snapToGrid/>
          <w:szCs w:val="22"/>
          <w:lang w:eastAsia="en-US"/>
        </w:rPr>
        <w:t>La cinquième réunion a porté sur la structure et le contenu du présent rapport d’étape en vue du Conseil exécutif de la COI (juin 2024)</w:t>
      </w:r>
      <w:r w:rsidR="008A680A">
        <w:rPr>
          <w:rFonts w:eastAsia="Times New Roman" w:cs="Arial"/>
          <w:snapToGrid/>
          <w:szCs w:val="22"/>
          <w:lang w:eastAsia="en-US"/>
        </w:rPr>
        <w:t>.</w:t>
      </w:r>
    </w:p>
    <w:p w14:paraId="71529A71" w14:textId="1345CE26" w:rsidR="008A680A" w:rsidRDefault="008A680A" w:rsidP="005F3C7D">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12.</w:t>
      </w:r>
      <w:r>
        <w:rPr>
          <w:rFonts w:eastAsia="Times New Roman" w:cs="Arial"/>
          <w:snapToGrid/>
          <w:szCs w:val="22"/>
          <w:lang w:eastAsia="en-US"/>
        </w:rPr>
        <w:tab/>
        <w:t xml:space="preserve">La sixième réunion du Groupe de travail a </w:t>
      </w:r>
      <w:r w:rsidR="00EE44EE">
        <w:rPr>
          <w:rFonts w:eastAsia="Times New Roman" w:cs="Arial"/>
          <w:snapToGrid/>
          <w:szCs w:val="22"/>
          <w:lang w:eastAsia="en-US"/>
        </w:rPr>
        <w:t>permis d’</w:t>
      </w:r>
      <w:r>
        <w:rPr>
          <w:rFonts w:eastAsia="Times New Roman" w:cs="Arial"/>
          <w:snapToGrid/>
          <w:szCs w:val="22"/>
          <w:lang w:eastAsia="en-US"/>
        </w:rPr>
        <w:t>établi</w:t>
      </w:r>
      <w:r w:rsidR="00EE44EE">
        <w:rPr>
          <w:rFonts w:eastAsia="Times New Roman" w:cs="Arial"/>
          <w:snapToGrid/>
          <w:szCs w:val="22"/>
          <w:lang w:eastAsia="en-US"/>
        </w:rPr>
        <w:t>r</w:t>
      </w:r>
      <w:r>
        <w:rPr>
          <w:rFonts w:eastAsia="Times New Roman" w:cs="Arial"/>
          <w:snapToGrid/>
          <w:szCs w:val="22"/>
          <w:lang w:eastAsia="en-US"/>
        </w:rPr>
        <w:t xml:space="preserve"> la version finale du présent rapport d’étape. Le Groupe de travail a invité un représentant du Programme Argo à apporter des précisions sur les problèmes recensés par le réseau Argo et leur impact sur le GOOS, </w:t>
      </w:r>
      <w:r w:rsidR="00AA0893">
        <w:rPr>
          <w:rFonts w:eastAsia="Times New Roman" w:cs="Arial"/>
          <w:snapToGrid/>
          <w:szCs w:val="22"/>
          <w:lang w:eastAsia="en-US"/>
        </w:rPr>
        <w:t>afin d’</w:t>
      </w:r>
      <w:r>
        <w:rPr>
          <w:rFonts w:eastAsia="Times New Roman" w:cs="Arial"/>
          <w:snapToGrid/>
          <w:szCs w:val="22"/>
          <w:lang w:eastAsia="en-US"/>
        </w:rPr>
        <w:t>en débattre.</w:t>
      </w:r>
    </w:p>
    <w:p w14:paraId="20727EFF" w14:textId="75935935" w:rsidR="00EE44EE" w:rsidRPr="00EE44EE" w:rsidRDefault="00EE44EE" w:rsidP="005F3C7D">
      <w:pPr>
        <w:tabs>
          <w:tab w:val="clear" w:pos="567"/>
        </w:tabs>
        <w:snapToGrid/>
        <w:spacing w:after="240"/>
        <w:jc w:val="both"/>
        <w:rPr>
          <w:rFonts w:eastAsia="Times New Roman" w:cs="Arial"/>
          <w:b/>
          <w:bCs/>
          <w:snapToGrid/>
          <w:szCs w:val="22"/>
          <w:lang w:eastAsia="en-US"/>
        </w:rPr>
      </w:pPr>
      <w:r w:rsidRPr="00EE44EE">
        <w:rPr>
          <w:rFonts w:eastAsia="Times New Roman" w:cs="Arial"/>
          <w:b/>
          <w:bCs/>
          <w:snapToGrid/>
          <w:szCs w:val="22"/>
          <w:lang w:eastAsia="en-US"/>
        </w:rPr>
        <w:t>Prochaines étapes</w:t>
      </w:r>
    </w:p>
    <w:p w14:paraId="0EDFDD14" w14:textId="4B81FA4B" w:rsidR="00EE44EE" w:rsidRDefault="00EE44EE" w:rsidP="005F3C7D">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13.</w:t>
      </w:r>
      <w:r>
        <w:rPr>
          <w:rFonts w:eastAsia="Times New Roman" w:cs="Arial"/>
          <w:snapToGrid/>
          <w:szCs w:val="22"/>
          <w:lang w:eastAsia="en-US"/>
        </w:rPr>
        <w:tab/>
        <w:t>Le Groupe de travail a demandé au Secrétariat</w:t>
      </w:r>
      <w:r w:rsidR="003705A5">
        <w:rPr>
          <w:rFonts w:eastAsia="Times New Roman" w:cs="Arial"/>
          <w:snapToGrid/>
          <w:szCs w:val="22"/>
          <w:lang w:eastAsia="en-US"/>
        </w:rPr>
        <w:t xml:space="preserve"> d’inviter d’autres représentants de réseaux d’observation aux prochaines réunions du Groupe afin d’obtenir des éclaircissements concernant les difficultés rencontrées et le</w:t>
      </w:r>
      <w:r w:rsidR="00A660D7">
        <w:rPr>
          <w:rFonts w:eastAsia="Times New Roman" w:cs="Arial"/>
          <w:snapToGrid/>
          <w:szCs w:val="22"/>
          <w:lang w:eastAsia="en-US"/>
        </w:rPr>
        <w:t>ur</w:t>
      </w:r>
      <w:r w:rsidR="003705A5">
        <w:rPr>
          <w:rFonts w:eastAsia="Times New Roman" w:cs="Arial"/>
          <w:snapToGrid/>
          <w:szCs w:val="22"/>
          <w:lang w:eastAsia="en-US"/>
        </w:rPr>
        <w:t xml:space="preserve">s impacts </w:t>
      </w:r>
      <w:r w:rsidR="00A660D7">
        <w:rPr>
          <w:rFonts w:eastAsia="Times New Roman" w:cs="Arial"/>
          <w:snapToGrid/>
          <w:szCs w:val="22"/>
          <w:lang w:eastAsia="en-US"/>
        </w:rPr>
        <w:t>sur le</w:t>
      </w:r>
      <w:r w:rsidR="003705A5">
        <w:rPr>
          <w:rFonts w:eastAsia="Times New Roman" w:cs="Arial"/>
          <w:snapToGrid/>
          <w:szCs w:val="22"/>
          <w:lang w:eastAsia="en-US"/>
        </w:rPr>
        <w:t xml:space="preserve"> GOOS</w:t>
      </w:r>
      <w:r w:rsidR="00A660D7">
        <w:rPr>
          <w:rFonts w:eastAsia="Times New Roman" w:cs="Arial"/>
          <w:snapToGrid/>
          <w:szCs w:val="22"/>
          <w:lang w:eastAsia="en-US"/>
        </w:rPr>
        <w:t>,</w:t>
      </w:r>
      <w:r w:rsidR="003705A5">
        <w:rPr>
          <w:rFonts w:eastAsia="Times New Roman" w:cs="Arial"/>
          <w:snapToGrid/>
          <w:szCs w:val="22"/>
          <w:lang w:eastAsia="en-US"/>
        </w:rPr>
        <w:t xml:space="preserve"> et d’aider à les comprendre. Ces discussions permettront </w:t>
      </w:r>
      <w:r w:rsidR="00A660D7">
        <w:rPr>
          <w:rFonts w:eastAsia="Times New Roman" w:cs="Arial"/>
          <w:snapToGrid/>
          <w:szCs w:val="22"/>
          <w:lang w:eastAsia="en-US"/>
        </w:rPr>
        <w:t>ensuite</w:t>
      </w:r>
      <w:r w:rsidR="003705A5">
        <w:rPr>
          <w:rFonts w:eastAsia="Times New Roman" w:cs="Arial"/>
          <w:snapToGrid/>
          <w:szCs w:val="22"/>
          <w:lang w:eastAsia="en-US"/>
        </w:rPr>
        <w:t xml:space="preserve"> au Groupe de travail de recenser et de documenter des exemples concrets de problèmes ou de difficultés qu’il conviendra de porter à l’attention de l’Assemblée</w:t>
      </w:r>
      <w:r w:rsidR="00A660D7">
        <w:rPr>
          <w:rFonts w:eastAsia="Times New Roman" w:cs="Arial"/>
          <w:snapToGrid/>
          <w:szCs w:val="22"/>
          <w:lang w:eastAsia="en-US"/>
        </w:rPr>
        <w:t>,</w:t>
      </w:r>
      <w:r w:rsidR="003705A5">
        <w:rPr>
          <w:rFonts w:eastAsia="Times New Roman" w:cs="Arial"/>
          <w:snapToGrid/>
          <w:szCs w:val="22"/>
          <w:lang w:eastAsia="en-US"/>
        </w:rPr>
        <w:t xml:space="preserve"> en</w:t>
      </w:r>
      <w:r w:rsidR="007C73D7">
        <w:rPr>
          <w:rFonts w:eastAsia="Times New Roman" w:cs="Arial"/>
          <w:snapToGrid/>
          <w:szCs w:val="22"/>
          <w:lang w:eastAsia="en-US"/>
        </w:rPr>
        <w:t> </w:t>
      </w:r>
      <w:r w:rsidR="003705A5">
        <w:rPr>
          <w:rFonts w:eastAsia="Times New Roman" w:cs="Arial"/>
          <w:snapToGrid/>
          <w:szCs w:val="22"/>
          <w:lang w:eastAsia="en-US"/>
        </w:rPr>
        <w:t>2025.</w:t>
      </w:r>
    </w:p>
    <w:bookmarkEnd w:id="1"/>
    <w:p w14:paraId="69638DAD" w14:textId="77777777" w:rsidR="001A789E" w:rsidRPr="001A789E" w:rsidRDefault="001A789E" w:rsidP="001A789E">
      <w:pPr>
        <w:tabs>
          <w:tab w:val="clear" w:pos="567"/>
        </w:tabs>
        <w:snapToGrid/>
        <w:spacing w:before="120" w:after="240"/>
        <w:jc w:val="both"/>
        <w:textAlignment w:val="baseline"/>
        <w:rPr>
          <w:rFonts w:eastAsia="Times New Roman" w:cs="Arial"/>
          <w:snapToGrid/>
          <w:color w:val="000000"/>
          <w:szCs w:val="22"/>
          <w:lang w:val="en-US" w:eastAsia="en-US"/>
        </w:rPr>
      </w:pPr>
    </w:p>
    <w:sectPr w:rsidR="001A789E" w:rsidRPr="001A789E" w:rsidSect="00A16CB1">
      <w:headerReference w:type="even" r:id="rId12"/>
      <w:headerReference w:type="default" r:id="rId13"/>
      <w:headerReference w:type="first" r:id="rId14"/>
      <w:type w:val="oddPage"/>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CEBC7" w14:textId="77777777" w:rsidR="002D374B" w:rsidRDefault="002D374B">
      <w:r>
        <w:separator/>
      </w:r>
    </w:p>
  </w:endnote>
  <w:endnote w:type="continuationSeparator" w:id="0">
    <w:p w14:paraId="5B7DCE11" w14:textId="77777777" w:rsidR="002D374B" w:rsidRDefault="002D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36AA" w14:textId="77777777" w:rsidR="002D374B" w:rsidRDefault="002D374B">
      <w:r>
        <w:separator/>
      </w:r>
    </w:p>
  </w:footnote>
  <w:footnote w:type="continuationSeparator" w:id="0">
    <w:p w14:paraId="0039D016" w14:textId="77777777" w:rsidR="002D374B" w:rsidRDefault="002D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DA69" w14:textId="4B4E152A" w:rsidR="004B3D31" w:rsidRPr="004B3D31" w:rsidRDefault="004B3D31" w:rsidP="004B3D31">
    <w:pPr>
      <w:pStyle w:val="En-tte"/>
      <w:spacing w:after="240"/>
      <w:rPr>
        <w:rFonts w:cs="Arial"/>
        <w:bCs/>
        <w:szCs w:val="22"/>
      </w:rPr>
    </w:pPr>
    <w:r w:rsidRPr="00352423">
      <w:rPr>
        <w:rFonts w:cs="Arial"/>
        <w:bCs/>
        <w:szCs w:val="22"/>
      </w:rPr>
      <w:t>IOC/EC-5</w:t>
    </w:r>
    <w:r>
      <w:rPr>
        <w:rFonts w:cs="Arial"/>
        <w:bCs/>
        <w:szCs w:val="22"/>
      </w:rPr>
      <w:t>7</w:t>
    </w:r>
    <w:r w:rsidRPr="00352423">
      <w:rPr>
        <w:rFonts w:cs="Arial"/>
        <w:bCs/>
        <w:szCs w:val="22"/>
      </w:rPr>
      <w:t>/</w:t>
    </w:r>
    <w:r>
      <w:rPr>
        <w:rFonts w:cs="Arial"/>
        <w:bCs/>
        <w:szCs w:val="22"/>
      </w:rPr>
      <w:t>4</w:t>
    </w:r>
    <w:r w:rsidRPr="00352423">
      <w:rPr>
        <w:rFonts w:cs="Arial"/>
        <w:bCs/>
        <w:szCs w:val="22"/>
      </w:rPr>
      <w:t>.</w:t>
    </w:r>
    <w:r>
      <w:rPr>
        <w:rFonts w:cs="Arial"/>
        <w:bCs/>
        <w:szCs w:val="22"/>
      </w:rPr>
      <w:t>2</w:t>
    </w:r>
    <w:r>
      <w:rPr>
        <w:rFonts w:cs="Arial"/>
        <w:bCs/>
        <w:szCs w:val="22"/>
      </w:rPr>
      <w:t>.</w:t>
    </w:r>
    <w:r w:rsidRPr="00352423">
      <w:rPr>
        <w:rFonts w:cs="Arial"/>
        <w:bCs/>
        <w:szCs w:val="22"/>
      </w:rPr>
      <w:t>Doc</w:t>
    </w:r>
    <w:r>
      <w:rPr>
        <w:rFonts w:cs="Arial"/>
        <w:bCs/>
        <w:szCs w:val="22"/>
      </w:rPr>
      <w:t>(1)</w:t>
    </w:r>
    <w:r w:rsidRPr="00FF54F5">
      <w:rPr>
        <w:rFonts w:cs="Arial"/>
        <w:bCs/>
        <w:szCs w:val="22"/>
      </w:rPr>
      <w:t xml:space="preserve"> – page </w:t>
    </w:r>
    <w:sdt>
      <w:sdtPr>
        <w:rPr>
          <w:rFonts w:cs="Arial"/>
          <w:bCs/>
          <w:szCs w:val="22"/>
        </w:rPr>
        <w:id w:val="563214198"/>
        <w:docPartObj>
          <w:docPartGallery w:val="Page Numbers (Top of Page)"/>
          <w:docPartUnique/>
        </w:docPartObj>
      </w:sdt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3</w:t>
        </w:r>
        <w:r w:rsidRPr="00FF54F5">
          <w:rPr>
            <w:rFonts w:cs="Arial"/>
            <w:bCs/>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B6FA" w14:textId="0E10E964" w:rsidR="00A16CB1" w:rsidRPr="00562336" w:rsidRDefault="00A16CB1" w:rsidP="00562336">
    <w:pPr>
      <w:pStyle w:val="En-tte"/>
      <w:spacing w:after="240"/>
      <w:jc w:val="right"/>
      <w:rPr>
        <w:rFonts w:cs="Arial"/>
        <w:bCs/>
        <w:szCs w:val="22"/>
      </w:rPr>
    </w:pPr>
    <w:r w:rsidRPr="00352423">
      <w:rPr>
        <w:rFonts w:cs="Arial"/>
        <w:bCs/>
        <w:szCs w:val="22"/>
      </w:rPr>
      <w:t>IOC/EC-5</w:t>
    </w:r>
    <w:r>
      <w:rPr>
        <w:rFonts w:cs="Arial"/>
        <w:bCs/>
        <w:szCs w:val="22"/>
      </w:rPr>
      <w:t>7</w:t>
    </w:r>
    <w:r w:rsidRPr="00352423">
      <w:rPr>
        <w:rFonts w:cs="Arial"/>
        <w:bCs/>
        <w:szCs w:val="22"/>
      </w:rPr>
      <w:t>/</w:t>
    </w:r>
    <w:r>
      <w:rPr>
        <w:rFonts w:cs="Arial"/>
        <w:bCs/>
        <w:szCs w:val="22"/>
      </w:rPr>
      <w:t>4</w:t>
    </w:r>
    <w:r w:rsidRPr="00352423">
      <w:rPr>
        <w:rFonts w:cs="Arial"/>
        <w:bCs/>
        <w:szCs w:val="22"/>
      </w:rPr>
      <w:t>.</w:t>
    </w:r>
    <w:r w:rsidR="004B3D31">
      <w:rPr>
        <w:rFonts w:cs="Arial"/>
        <w:bCs/>
        <w:szCs w:val="22"/>
      </w:rPr>
      <w:t>2</w:t>
    </w:r>
    <w:r>
      <w:rPr>
        <w:rFonts w:cs="Arial"/>
        <w:bCs/>
        <w:szCs w:val="22"/>
      </w:rPr>
      <w:t>.</w:t>
    </w:r>
    <w:r w:rsidRPr="00352423">
      <w:rPr>
        <w:rFonts w:cs="Arial"/>
        <w:bCs/>
        <w:szCs w:val="22"/>
      </w:rPr>
      <w:t>Doc</w:t>
    </w:r>
    <w:r>
      <w:rPr>
        <w:rFonts w:cs="Arial"/>
        <w:bCs/>
        <w:szCs w:val="22"/>
      </w:rPr>
      <w:t>(1)</w:t>
    </w:r>
    <w:r w:rsidRPr="00FF54F5">
      <w:rPr>
        <w:rFonts w:cs="Arial"/>
        <w:bCs/>
        <w:szCs w:val="22"/>
      </w:rPr>
      <w:t xml:space="preserve"> – page </w:t>
    </w:r>
    <w:sdt>
      <w:sdtPr>
        <w:rPr>
          <w:rFonts w:cs="Arial"/>
          <w:bCs/>
          <w:szCs w:val="22"/>
        </w:rPr>
        <w:id w:val="2048870186"/>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E75A" w14:textId="77777777" w:rsidR="004B3D31" w:rsidRDefault="004B3D31" w:rsidP="004B3D31">
    <w:pPr>
      <w:pStyle w:val="En-tte"/>
    </w:pPr>
    <w:r>
      <w:rPr>
        <w:noProof/>
      </w:rPr>
      <mc:AlternateContent>
        <mc:Choice Requires="wps">
          <w:drawing>
            <wp:anchor distT="45720" distB="45720" distL="114300" distR="114300" simplePos="0" relativeHeight="251660288" behindDoc="0" locked="0" layoutInCell="1" allowOverlap="1" wp14:anchorId="2EBC1BC6" wp14:editId="018237A0">
              <wp:simplePos x="0" y="0"/>
              <wp:positionH relativeFrom="column">
                <wp:posOffset>3794760</wp:posOffset>
              </wp:positionH>
              <wp:positionV relativeFrom="paragraph">
                <wp:posOffset>-92710</wp:posOffset>
              </wp:positionV>
              <wp:extent cx="257175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4620"/>
                      </a:xfrm>
                      <a:prstGeom prst="rect">
                        <a:avLst/>
                      </a:prstGeom>
                      <a:noFill/>
                      <a:ln w="9525">
                        <a:noFill/>
                        <a:miter lim="800000"/>
                        <a:headEnd/>
                        <a:tailEnd/>
                      </a:ln>
                    </wps:spPr>
                    <wps:txbx>
                      <w:txbxContent>
                        <w:p w14:paraId="7A690059" w14:textId="77777777" w:rsidR="004B3D31" w:rsidRPr="002A5D14" w:rsidRDefault="004B3D31" w:rsidP="004B3D31">
                          <w:pPr>
                            <w:pStyle w:val="Marge"/>
                            <w:tabs>
                              <w:tab w:val="left" w:pos="6237"/>
                              <w:tab w:val="left" w:pos="7088"/>
                            </w:tabs>
                            <w:spacing w:after="0"/>
                            <w:rPr>
                              <w:rFonts w:cs="Arial"/>
                              <w:b/>
                              <w:sz w:val="36"/>
                              <w:szCs w:val="36"/>
                            </w:rPr>
                          </w:pPr>
                          <w:bookmarkStart w:id="2" w:name="_Hlk54263549"/>
                          <w:r w:rsidRPr="002A5D14">
                            <w:rPr>
                              <w:rFonts w:cs="Arial"/>
                              <w:b/>
                              <w:sz w:val="36"/>
                              <w:szCs w:val="36"/>
                            </w:rPr>
                            <w:t>IOC/EC-5</w:t>
                          </w:r>
                          <w:r>
                            <w:rPr>
                              <w:rFonts w:cs="Arial"/>
                              <w:b/>
                              <w:sz w:val="36"/>
                              <w:szCs w:val="36"/>
                            </w:rPr>
                            <w:t>7</w:t>
                          </w:r>
                          <w:r w:rsidRPr="002A5D14">
                            <w:rPr>
                              <w:rFonts w:cs="Arial"/>
                              <w:b/>
                              <w:sz w:val="36"/>
                              <w:szCs w:val="36"/>
                            </w:rPr>
                            <w:t>/</w:t>
                          </w:r>
                          <w:r>
                            <w:rPr>
                              <w:rFonts w:cs="Arial"/>
                              <w:b/>
                              <w:sz w:val="36"/>
                              <w:szCs w:val="36"/>
                            </w:rPr>
                            <w:t>4</w:t>
                          </w:r>
                          <w:r w:rsidRPr="002A5D14">
                            <w:rPr>
                              <w:rFonts w:cs="Arial"/>
                              <w:b/>
                              <w:sz w:val="36"/>
                              <w:szCs w:val="36"/>
                            </w:rPr>
                            <w:t>.</w:t>
                          </w:r>
                          <w:r>
                            <w:rPr>
                              <w:rFonts w:cs="Arial"/>
                              <w:b/>
                              <w:sz w:val="36"/>
                              <w:szCs w:val="36"/>
                            </w:rPr>
                            <w:t>2</w:t>
                          </w:r>
                          <w:r w:rsidRPr="002A5D14">
                            <w:rPr>
                              <w:rFonts w:cs="Arial"/>
                              <w:b/>
                              <w:sz w:val="36"/>
                              <w:szCs w:val="36"/>
                            </w:rPr>
                            <w:t>.Doc</w:t>
                          </w:r>
                          <w:bookmarkEnd w:id="2"/>
                          <w:r>
                            <w:rPr>
                              <w:rFonts w:cs="Arial"/>
                              <w:b/>
                              <w:sz w:val="36"/>
                              <w:szCs w:val="36"/>
                            </w:rPr>
                            <w:t>(1)</w:t>
                          </w:r>
                        </w:p>
                        <w:p w14:paraId="293F617A" w14:textId="77777777" w:rsidR="004B3D31" w:rsidRPr="002A5D14" w:rsidRDefault="004B3D31" w:rsidP="004B3D31">
                          <w:pPr>
                            <w:pStyle w:val="Marge"/>
                            <w:tabs>
                              <w:tab w:val="left" w:pos="6237"/>
                            </w:tabs>
                            <w:spacing w:after="0"/>
                            <w:rPr>
                              <w:rFonts w:cs="Arial"/>
                              <w:szCs w:val="22"/>
                            </w:rPr>
                          </w:pPr>
                          <w:r w:rsidRPr="002A5D14">
                            <w:rPr>
                              <w:rFonts w:cs="Arial"/>
                              <w:szCs w:val="22"/>
                            </w:rPr>
                            <w:t xml:space="preserve">Paris, le </w:t>
                          </w:r>
                          <w:r>
                            <w:rPr>
                              <w:rFonts w:cs="Arial"/>
                              <w:szCs w:val="22"/>
                            </w:rPr>
                            <w:t>8 mai</w:t>
                          </w:r>
                          <w:r w:rsidRPr="002A5D14">
                            <w:rPr>
                              <w:rFonts w:cs="Arial"/>
                              <w:szCs w:val="22"/>
                            </w:rPr>
                            <w:t xml:space="preserve"> 202</w:t>
                          </w:r>
                          <w:r>
                            <w:rPr>
                              <w:rFonts w:cs="Arial"/>
                              <w:szCs w:val="22"/>
                            </w:rPr>
                            <w:t>4</w:t>
                          </w:r>
                          <w:r w:rsidRPr="002A5D14">
                            <w:rPr>
                              <w:rFonts w:cs="Arial"/>
                              <w:szCs w:val="22"/>
                            </w:rPr>
                            <w:t xml:space="preserve"> </w:t>
                          </w:r>
                        </w:p>
                        <w:p w14:paraId="7F8B44A2" w14:textId="77777777" w:rsidR="004B3D31" w:rsidRPr="00EB3895" w:rsidRDefault="004B3D31" w:rsidP="004B3D31">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C1BC6" id="_x0000_t202" coordsize="21600,21600" o:spt="202" path="m,l,21600r21600,l21600,xe">
              <v:stroke joinstyle="miter"/>
              <v:path gradientshapeok="t" o:connecttype="rect"/>
            </v:shapetype>
            <v:shape id="Zone de texte 2" o:spid="_x0000_s1026" type="#_x0000_t202" style="position:absolute;margin-left:298.8pt;margin-top:-7.3pt;width:20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" filled="f" stroked="f">
              <v:textbox style="mso-fit-shape-to-text:t">
                <w:txbxContent>
                  <w:p w14:paraId="7A690059" w14:textId="77777777" w:rsidR="004B3D31" w:rsidRPr="002A5D14" w:rsidRDefault="004B3D31" w:rsidP="004B3D31">
                    <w:pPr>
                      <w:pStyle w:val="Marge"/>
                      <w:tabs>
                        <w:tab w:val="left" w:pos="6237"/>
                        <w:tab w:val="left" w:pos="7088"/>
                      </w:tabs>
                      <w:spacing w:after="0"/>
                      <w:rPr>
                        <w:rFonts w:cs="Arial"/>
                        <w:b/>
                        <w:sz w:val="36"/>
                        <w:szCs w:val="36"/>
                      </w:rPr>
                    </w:pPr>
                    <w:bookmarkStart w:id="3" w:name="_Hlk54263549"/>
                    <w:r w:rsidRPr="002A5D14">
                      <w:rPr>
                        <w:rFonts w:cs="Arial"/>
                        <w:b/>
                        <w:sz w:val="36"/>
                        <w:szCs w:val="36"/>
                      </w:rPr>
                      <w:t>IOC/EC-5</w:t>
                    </w:r>
                    <w:r>
                      <w:rPr>
                        <w:rFonts w:cs="Arial"/>
                        <w:b/>
                        <w:sz w:val="36"/>
                        <w:szCs w:val="36"/>
                      </w:rPr>
                      <w:t>7</w:t>
                    </w:r>
                    <w:r w:rsidRPr="002A5D14">
                      <w:rPr>
                        <w:rFonts w:cs="Arial"/>
                        <w:b/>
                        <w:sz w:val="36"/>
                        <w:szCs w:val="36"/>
                      </w:rPr>
                      <w:t>/</w:t>
                    </w:r>
                    <w:r>
                      <w:rPr>
                        <w:rFonts w:cs="Arial"/>
                        <w:b/>
                        <w:sz w:val="36"/>
                        <w:szCs w:val="36"/>
                      </w:rPr>
                      <w:t>4</w:t>
                    </w:r>
                    <w:r w:rsidRPr="002A5D14">
                      <w:rPr>
                        <w:rFonts w:cs="Arial"/>
                        <w:b/>
                        <w:sz w:val="36"/>
                        <w:szCs w:val="36"/>
                      </w:rPr>
                      <w:t>.</w:t>
                    </w:r>
                    <w:r>
                      <w:rPr>
                        <w:rFonts w:cs="Arial"/>
                        <w:b/>
                        <w:sz w:val="36"/>
                        <w:szCs w:val="36"/>
                      </w:rPr>
                      <w:t>2</w:t>
                    </w:r>
                    <w:r w:rsidRPr="002A5D14">
                      <w:rPr>
                        <w:rFonts w:cs="Arial"/>
                        <w:b/>
                        <w:sz w:val="36"/>
                        <w:szCs w:val="36"/>
                      </w:rPr>
                      <w:t>.Doc</w:t>
                    </w:r>
                    <w:bookmarkEnd w:id="3"/>
                    <w:r>
                      <w:rPr>
                        <w:rFonts w:cs="Arial"/>
                        <w:b/>
                        <w:sz w:val="36"/>
                        <w:szCs w:val="36"/>
                      </w:rPr>
                      <w:t>(1)</w:t>
                    </w:r>
                  </w:p>
                  <w:p w14:paraId="293F617A" w14:textId="77777777" w:rsidR="004B3D31" w:rsidRPr="002A5D14" w:rsidRDefault="004B3D31" w:rsidP="004B3D31">
                    <w:pPr>
                      <w:pStyle w:val="Marge"/>
                      <w:tabs>
                        <w:tab w:val="left" w:pos="6237"/>
                      </w:tabs>
                      <w:spacing w:after="0"/>
                      <w:rPr>
                        <w:rFonts w:cs="Arial"/>
                        <w:szCs w:val="22"/>
                      </w:rPr>
                    </w:pPr>
                    <w:r w:rsidRPr="002A5D14">
                      <w:rPr>
                        <w:rFonts w:cs="Arial"/>
                        <w:szCs w:val="22"/>
                      </w:rPr>
                      <w:t xml:space="preserve">Paris, le </w:t>
                    </w:r>
                    <w:r>
                      <w:rPr>
                        <w:rFonts w:cs="Arial"/>
                        <w:szCs w:val="22"/>
                      </w:rPr>
                      <w:t>8 mai</w:t>
                    </w:r>
                    <w:r w:rsidRPr="002A5D14">
                      <w:rPr>
                        <w:rFonts w:cs="Arial"/>
                        <w:szCs w:val="22"/>
                      </w:rPr>
                      <w:t xml:space="preserve"> 202</w:t>
                    </w:r>
                    <w:r>
                      <w:rPr>
                        <w:rFonts w:cs="Arial"/>
                        <w:szCs w:val="22"/>
                      </w:rPr>
                      <w:t>4</w:t>
                    </w:r>
                    <w:r w:rsidRPr="002A5D14">
                      <w:rPr>
                        <w:rFonts w:cs="Arial"/>
                        <w:szCs w:val="22"/>
                      </w:rPr>
                      <w:t xml:space="preserve"> </w:t>
                    </w:r>
                  </w:p>
                  <w:p w14:paraId="7F8B44A2" w14:textId="77777777" w:rsidR="004B3D31" w:rsidRPr="00EB3895" w:rsidRDefault="004B3D31" w:rsidP="004B3D31">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Pr>
        <w:rFonts w:cs="Arial"/>
        <w:b/>
        <w:noProof/>
        <w:snapToGrid/>
        <w:szCs w:val="22"/>
        <w:lang w:eastAsia="fr-FR"/>
      </w:rPr>
      <w:drawing>
        <wp:anchor distT="0" distB="0" distL="114300" distR="114300" simplePos="0" relativeHeight="251659264" behindDoc="0" locked="0" layoutInCell="1" allowOverlap="1" wp14:anchorId="7B9CAD8B" wp14:editId="44BAA51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t>Distribution limitée</w:t>
    </w:r>
  </w:p>
  <w:p w14:paraId="658F1617" w14:textId="6E55205E" w:rsidR="00A16CB1" w:rsidRPr="00A16CB1" w:rsidRDefault="00A16CB1" w:rsidP="004B3D31">
    <w:pPr>
      <w:pStyle w:val="En-tte"/>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006FE"/>
    <w:multiLevelType w:val="multilevel"/>
    <w:tmpl w:val="F9BAFD2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673778F"/>
    <w:multiLevelType w:val="multilevel"/>
    <w:tmpl w:val="D7C89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0"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D2269"/>
    <w:multiLevelType w:val="hybridMultilevel"/>
    <w:tmpl w:val="BB068D26"/>
    <w:lvl w:ilvl="0" w:tplc="32AC4466">
      <w:start w:val="1"/>
      <w:numFmt w:val="lowerRoman"/>
      <w:lvlText w:val="(%1)"/>
      <w:lvlJc w:val="left"/>
      <w:pPr>
        <w:ind w:left="720" w:hanging="360"/>
      </w:pPr>
      <w:rPr>
        <w:rFonts w:ascii="Arial" w:eastAsia="Times New Roman" w:hAnsi="Arial" w:cs="Times" w:hint="default"/>
        <w:w w:val="99"/>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9"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54081"/>
    <w:multiLevelType w:val="multilevel"/>
    <w:tmpl w:val="902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20902"/>
    <w:multiLevelType w:val="multilevel"/>
    <w:tmpl w:val="9D52BE26"/>
    <w:lvl w:ilvl="0">
      <w:start w:val="1"/>
      <w:numFmt w:val="decimal"/>
      <w:lvlText w:val="%1."/>
      <w:lvlJc w:val="left"/>
      <w:pPr>
        <w:tabs>
          <w:tab w:val="num" w:pos="720"/>
        </w:tabs>
        <w:ind w:left="720" w:hanging="360"/>
      </w:pPr>
    </w:lvl>
    <w:lvl w:ilvl="1">
      <w:start w:val="1"/>
      <w:numFmt w:val="lowerRoman"/>
      <w:lvlText w:val="(%2)"/>
      <w:lvlJc w:val="left"/>
      <w:pPr>
        <w:ind w:left="2770" w:hanging="360"/>
      </w:pPr>
      <w:rPr>
        <w:rFonts w:hint="default"/>
        <w:b w:val="0"/>
        <w:i/>
        <w:iCs w:val="0"/>
        <w:sz w:val="22"/>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8"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460846">
    <w:abstractNumId w:val="9"/>
  </w:num>
  <w:num w:numId="2" w16cid:durableId="1315404125">
    <w:abstractNumId w:val="9"/>
  </w:num>
  <w:num w:numId="3" w16cid:durableId="754399231">
    <w:abstractNumId w:val="5"/>
  </w:num>
  <w:num w:numId="4" w16cid:durableId="1741367044">
    <w:abstractNumId w:val="21"/>
  </w:num>
  <w:num w:numId="5" w16cid:durableId="1246918798">
    <w:abstractNumId w:val="11"/>
  </w:num>
  <w:num w:numId="6" w16cid:durableId="1934245466">
    <w:abstractNumId w:val="14"/>
  </w:num>
  <w:num w:numId="7" w16cid:durableId="463350528">
    <w:abstractNumId w:val="26"/>
  </w:num>
  <w:num w:numId="8" w16cid:durableId="155417251">
    <w:abstractNumId w:val="19"/>
  </w:num>
  <w:num w:numId="9" w16cid:durableId="422452377">
    <w:abstractNumId w:val="5"/>
  </w:num>
  <w:num w:numId="10" w16cid:durableId="1809277739">
    <w:abstractNumId w:val="5"/>
  </w:num>
  <w:num w:numId="11" w16cid:durableId="1283001203">
    <w:abstractNumId w:val="5"/>
  </w:num>
  <w:num w:numId="12" w16cid:durableId="1872258941">
    <w:abstractNumId w:val="5"/>
  </w:num>
  <w:num w:numId="13" w16cid:durableId="378940417">
    <w:abstractNumId w:val="16"/>
  </w:num>
  <w:num w:numId="14" w16cid:durableId="554203729">
    <w:abstractNumId w:val="1"/>
  </w:num>
  <w:num w:numId="15" w16cid:durableId="303703573">
    <w:abstractNumId w:val="15"/>
  </w:num>
  <w:num w:numId="16" w16cid:durableId="721709804">
    <w:abstractNumId w:val="5"/>
  </w:num>
  <w:num w:numId="17" w16cid:durableId="1239633536">
    <w:abstractNumId w:val="2"/>
  </w:num>
  <w:num w:numId="18" w16cid:durableId="114449888">
    <w:abstractNumId w:val="5"/>
  </w:num>
  <w:num w:numId="19" w16cid:durableId="574515621">
    <w:abstractNumId w:val="0"/>
  </w:num>
  <w:num w:numId="20" w16cid:durableId="1091323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0088754">
    <w:abstractNumId w:val="18"/>
  </w:num>
  <w:num w:numId="22" w16cid:durableId="2046521359">
    <w:abstractNumId w:val="7"/>
  </w:num>
  <w:num w:numId="23" w16cid:durableId="109786165">
    <w:abstractNumId w:val="28"/>
  </w:num>
  <w:num w:numId="24" w16cid:durableId="860584544">
    <w:abstractNumId w:val="3"/>
  </w:num>
  <w:num w:numId="25" w16cid:durableId="91777898">
    <w:abstractNumId w:val="24"/>
  </w:num>
  <w:num w:numId="26" w16cid:durableId="1517846380">
    <w:abstractNumId w:val="8"/>
  </w:num>
  <w:num w:numId="27" w16cid:durableId="876699192">
    <w:abstractNumId w:val="22"/>
  </w:num>
  <w:num w:numId="28" w16cid:durableId="1181162069">
    <w:abstractNumId w:val="12"/>
  </w:num>
  <w:num w:numId="29" w16cid:durableId="1726563897">
    <w:abstractNumId w:val="29"/>
  </w:num>
  <w:num w:numId="30" w16cid:durableId="1393624353">
    <w:abstractNumId w:val="17"/>
  </w:num>
  <w:num w:numId="31" w16cid:durableId="1073889335">
    <w:abstractNumId w:val="25"/>
  </w:num>
  <w:num w:numId="32" w16cid:durableId="141318720">
    <w:abstractNumId w:val="10"/>
  </w:num>
  <w:num w:numId="33" w16cid:durableId="1546912314">
    <w:abstractNumId w:val="4"/>
  </w:num>
  <w:num w:numId="34" w16cid:durableId="879824541">
    <w:abstractNumId w:val="6"/>
  </w:num>
  <w:num w:numId="35" w16cid:durableId="1903708010">
    <w:abstractNumId w:val="23"/>
  </w:num>
  <w:num w:numId="36" w16cid:durableId="1569219307">
    <w:abstractNumId w:val="13"/>
  </w:num>
  <w:num w:numId="37" w16cid:durableId="15751194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16371"/>
    <w:rsid w:val="00030118"/>
    <w:rsid w:val="000373A7"/>
    <w:rsid w:val="0005569A"/>
    <w:rsid w:val="00074EA3"/>
    <w:rsid w:val="00092A80"/>
    <w:rsid w:val="00092E0B"/>
    <w:rsid w:val="000B0E4E"/>
    <w:rsid w:val="000D39FC"/>
    <w:rsid w:val="000D4E4C"/>
    <w:rsid w:val="000E7AEA"/>
    <w:rsid w:val="000F1DBA"/>
    <w:rsid w:val="000F258B"/>
    <w:rsid w:val="00100A35"/>
    <w:rsid w:val="00105D33"/>
    <w:rsid w:val="0011081B"/>
    <w:rsid w:val="0011114C"/>
    <w:rsid w:val="0011169E"/>
    <w:rsid w:val="00177B08"/>
    <w:rsid w:val="001912E2"/>
    <w:rsid w:val="001954CB"/>
    <w:rsid w:val="001A6C83"/>
    <w:rsid w:val="001A6E27"/>
    <w:rsid w:val="001A789E"/>
    <w:rsid w:val="001C6211"/>
    <w:rsid w:val="001E1961"/>
    <w:rsid w:val="001E19D4"/>
    <w:rsid w:val="001E413E"/>
    <w:rsid w:val="001E73FE"/>
    <w:rsid w:val="001F1F04"/>
    <w:rsid w:val="001F5D62"/>
    <w:rsid w:val="00201171"/>
    <w:rsid w:val="00213953"/>
    <w:rsid w:val="00226B0D"/>
    <w:rsid w:val="00232429"/>
    <w:rsid w:val="00234C33"/>
    <w:rsid w:val="002370FD"/>
    <w:rsid w:val="00261E65"/>
    <w:rsid w:val="00265314"/>
    <w:rsid w:val="0026619D"/>
    <w:rsid w:val="002750C1"/>
    <w:rsid w:val="002B4B18"/>
    <w:rsid w:val="002D148D"/>
    <w:rsid w:val="002D2C1D"/>
    <w:rsid w:val="002D312F"/>
    <w:rsid w:val="002D374B"/>
    <w:rsid w:val="002E427B"/>
    <w:rsid w:val="002E70A1"/>
    <w:rsid w:val="00310E5D"/>
    <w:rsid w:val="00311ECE"/>
    <w:rsid w:val="003210F7"/>
    <w:rsid w:val="0034355C"/>
    <w:rsid w:val="003442AA"/>
    <w:rsid w:val="00346C46"/>
    <w:rsid w:val="003557A8"/>
    <w:rsid w:val="003561FB"/>
    <w:rsid w:val="00363D04"/>
    <w:rsid w:val="00365CD2"/>
    <w:rsid w:val="003705A5"/>
    <w:rsid w:val="003829C6"/>
    <w:rsid w:val="00397DEC"/>
    <w:rsid w:val="003A7B88"/>
    <w:rsid w:val="003B58D6"/>
    <w:rsid w:val="003C328B"/>
    <w:rsid w:val="003D46DA"/>
    <w:rsid w:val="003D4875"/>
    <w:rsid w:val="003D675F"/>
    <w:rsid w:val="003E2147"/>
    <w:rsid w:val="003E27AC"/>
    <w:rsid w:val="003F3C42"/>
    <w:rsid w:val="00401C01"/>
    <w:rsid w:val="0041299F"/>
    <w:rsid w:val="004213D0"/>
    <w:rsid w:val="00436275"/>
    <w:rsid w:val="004573F3"/>
    <w:rsid w:val="004618DE"/>
    <w:rsid w:val="00463EA2"/>
    <w:rsid w:val="00484032"/>
    <w:rsid w:val="00494C58"/>
    <w:rsid w:val="004A327F"/>
    <w:rsid w:val="004B08C6"/>
    <w:rsid w:val="004B3D31"/>
    <w:rsid w:val="004B6DD5"/>
    <w:rsid w:val="004C08D6"/>
    <w:rsid w:val="004C100E"/>
    <w:rsid w:val="004C1526"/>
    <w:rsid w:val="004C1D3F"/>
    <w:rsid w:val="004C3E47"/>
    <w:rsid w:val="004D05D2"/>
    <w:rsid w:val="004D0F08"/>
    <w:rsid w:val="00511D63"/>
    <w:rsid w:val="00513180"/>
    <w:rsid w:val="005169D0"/>
    <w:rsid w:val="00526ED1"/>
    <w:rsid w:val="00533732"/>
    <w:rsid w:val="00562336"/>
    <w:rsid w:val="00572AC5"/>
    <w:rsid w:val="00596B7E"/>
    <w:rsid w:val="005B5EF5"/>
    <w:rsid w:val="005D54DD"/>
    <w:rsid w:val="005E6087"/>
    <w:rsid w:val="005F3C7D"/>
    <w:rsid w:val="00612922"/>
    <w:rsid w:val="00623957"/>
    <w:rsid w:val="006519AE"/>
    <w:rsid w:val="00655725"/>
    <w:rsid w:val="00673F0C"/>
    <w:rsid w:val="006828F7"/>
    <w:rsid w:val="006835E4"/>
    <w:rsid w:val="00695BA3"/>
    <w:rsid w:val="0069684F"/>
    <w:rsid w:val="006A3031"/>
    <w:rsid w:val="006C2C65"/>
    <w:rsid w:val="006D052A"/>
    <w:rsid w:val="006D36DB"/>
    <w:rsid w:val="006D6768"/>
    <w:rsid w:val="006E2A83"/>
    <w:rsid w:val="006F1036"/>
    <w:rsid w:val="00707C1B"/>
    <w:rsid w:val="00727624"/>
    <w:rsid w:val="007449EA"/>
    <w:rsid w:val="00753AFA"/>
    <w:rsid w:val="00755CED"/>
    <w:rsid w:val="0076217F"/>
    <w:rsid w:val="007701CE"/>
    <w:rsid w:val="00773D5C"/>
    <w:rsid w:val="00783CE9"/>
    <w:rsid w:val="007A1081"/>
    <w:rsid w:val="007A1A92"/>
    <w:rsid w:val="007A3E25"/>
    <w:rsid w:val="007A45CC"/>
    <w:rsid w:val="007A49EB"/>
    <w:rsid w:val="007A7EC6"/>
    <w:rsid w:val="007B5170"/>
    <w:rsid w:val="007C2EE6"/>
    <w:rsid w:val="007C403E"/>
    <w:rsid w:val="007C73D7"/>
    <w:rsid w:val="007E6082"/>
    <w:rsid w:val="007F05DA"/>
    <w:rsid w:val="007F2BA5"/>
    <w:rsid w:val="00807867"/>
    <w:rsid w:val="00814BE9"/>
    <w:rsid w:val="00835BC3"/>
    <w:rsid w:val="008425F5"/>
    <w:rsid w:val="0085153D"/>
    <w:rsid w:val="008608E4"/>
    <w:rsid w:val="00863317"/>
    <w:rsid w:val="008735A8"/>
    <w:rsid w:val="00873BED"/>
    <w:rsid w:val="008852E4"/>
    <w:rsid w:val="008871F2"/>
    <w:rsid w:val="0089608C"/>
    <w:rsid w:val="008A5308"/>
    <w:rsid w:val="008A6802"/>
    <w:rsid w:val="008A680A"/>
    <w:rsid w:val="008B33AC"/>
    <w:rsid w:val="008C24D0"/>
    <w:rsid w:val="008C3D95"/>
    <w:rsid w:val="008C59A5"/>
    <w:rsid w:val="00902342"/>
    <w:rsid w:val="00904C98"/>
    <w:rsid w:val="009053BE"/>
    <w:rsid w:val="009063B7"/>
    <w:rsid w:val="00907D3B"/>
    <w:rsid w:val="009173FE"/>
    <w:rsid w:val="00920B40"/>
    <w:rsid w:val="00932970"/>
    <w:rsid w:val="00972BBF"/>
    <w:rsid w:val="00975664"/>
    <w:rsid w:val="0098415A"/>
    <w:rsid w:val="00995CE0"/>
    <w:rsid w:val="009B16C3"/>
    <w:rsid w:val="009B513F"/>
    <w:rsid w:val="009E53F6"/>
    <w:rsid w:val="009E6CEB"/>
    <w:rsid w:val="00A00B63"/>
    <w:rsid w:val="00A11434"/>
    <w:rsid w:val="00A16CB1"/>
    <w:rsid w:val="00A23875"/>
    <w:rsid w:val="00A33021"/>
    <w:rsid w:val="00A36041"/>
    <w:rsid w:val="00A45300"/>
    <w:rsid w:val="00A612F8"/>
    <w:rsid w:val="00A660D7"/>
    <w:rsid w:val="00A70F48"/>
    <w:rsid w:val="00AA0893"/>
    <w:rsid w:val="00AC5B09"/>
    <w:rsid w:val="00B10D0E"/>
    <w:rsid w:val="00B11A91"/>
    <w:rsid w:val="00B143FE"/>
    <w:rsid w:val="00B243F2"/>
    <w:rsid w:val="00B2519D"/>
    <w:rsid w:val="00B3786B"/>
    <w:rsid w:val="00B473FC"/>
    <w:rsid w:val="00B54018"/>
    <w:rsid w:val="00B54421"/>
    <w:rsid w:val="00B557FF"/>
    <w:rsid w:val="00B80382"/>
    <w:rsid w:val="00B872CA"/>
    <w:rsid w:val="00B94791"/>
    <w:rsid w:val="00BC1245"/>
    <w:rsid w:val="00BC76D0"/>
    <w:rsid w:val="00BD5A86"/>
    <w:rsid w:val="00BE3F20"/>
    <w:rsid w:val="00BE6632"/>
    <w:rsid w:val="00C05FC8"/>
    <w:rsid w:val="00C108A8"/>
    <w:rsid w:val="00C13094"/>
    <w:rsid w:val="00C138E0"/>
    <w:rsid w:val="00C3501E"/>
    <w:rsid w:val="00C41845"/>
    <w:rsid w:val="00C84B6A"/>
    <w:rsid w:val="00C91036"/>
    <w:rsid w:val="00CA1880"/>
    <w:rsid w:val="00CA48CF"/>
    <w:rsid w:val="00CB5521"/>
    <w:rsid w:val="00CC085D"/>
    <w:rsid w:val="00CC3A67"/>
    <w:rsid w:val="00CC501A"/>
    <w:rsid w:val="00CE5093"/>
    <w:rsid w:val="00CE7C2F"/>
    <w:rsid w:val="00CF1763"/>
    <w:rsid w:val="00D032AC"/>
    <w:rsid w:val="00D05907"/>
    <w:rsid w:val="00D23B0B"/>
    <w:rsid w:val="00D23EDD"/>
    <w:rsid w:val="00D302AD"/>
    <w:rsid w:val="00D4515E"/>
    <w:rsid w:val="00D86646"/>
    <w:rsid w:val="00DA71B9"/>
    <w:rsid w:val="00DC1F0C"/>
    <w:rsid w:val="00DC4341"/>
    <w:rsid w:val="00DC7F96"/>
    <w:rsid w:val="00DD53BA"/>
    <w:rsid w:val="00DD6E32"/>
    <w:rsid w:val="00DF1829"/>
    <w:rsid w:val="00E174A3"/>
    <w:rsid w:val="00E54757"/>
    <w:rsid w:val="00E55EEC"/>
    <w:rsid w:val="00E5717B"/>
    <w:rsid w:val="00E621C7"/>
    <w:rsid w:val="00E62C51"/>
    <w:rsid w:val="00E65D5E"/>
    <w:rsid w:val="00E71F05"/>
    <w:rsid w:val="00E72FD7"/>
    <w:rsid w:val="00E80CF6"/>
    <w:rsid w:val="00E912CA"/>
    <w:rsid w:val="00E94A5D"/>
    <w:rsid w:val="00EB0EBC"/>
    <w:rsid w:val="00EB3895"/>
    <w:rsid w:val="00EC2B4A"/>
    <w:rsid w:val="00ED39E0"/>
    <w:rsid w:val="00EE44EE"/>
    <w:rsid w:val="00EF3A55"/>
    <w:rsid w:val="00F017CE"/>
    <w:rsid w:val="00F04FBD"/>
    <w:rsid w:val="00F067C8"/>
    <w:rsid w:val="00F077E7"/>
    <w:rsid w:val="00F13119"/>
    <w:rsid w:val="00F20476"/>
    <w:rsid w:val="00F50BF5"/>
    <w:rsid w:val="00F60534"/>
    <w:rsid w:val="00F90CD8"/>
    <w:rsid w:val="00F90FAD"/>
    <w:rsid w:val="00F92310"/>
    <w:rsid w:val="00F94805"/>
    <w:rsid w:val="00FB3993"/>
    <w:rsid w:val="00FC7B23"/>
    <w:rsid w:val="00FD078F"/>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uiPriority w:val="99"/>
    <w:semiHidden/>
    <w:rPr>
      <w:vertAlign w:val="superscript"/>
    </w:rPr>
  </w:style>
  <w:style w:type="paragraph" w:styleId="En-tte">
    <w:name w:val="header"/>
    <w:basedOn w:val="Normal"/>
    <w:link w:val="En-tte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uiPriority w:val="99"/>
    <w:pPr>
      <w:ind w:firstLine="0"/>
    </w:pPr>
  </w:style>
  <w:style w:type="paragraph" w:styleId="Notedebasdepage">
    <w:name w:val="footnote text"/>
    <w:basedOn w:val="Normal"/>
    <w:link w:val="NotedebasdepageCar"/>
    <w:semiHidden/>
    <w:pPr>
      <w:ind w:left="567" w:hanging="567"/>
    </w:pPr>
    <w:rPr>
      <w:rFonts w:eastAsia="Times New Roman"/>
      <w:sz w:val="20"/>
      <w:szCs w:val="20"/>
      <w:lang w:eastAsia="en-US"/>
    </w:rPr>
  </w:style>
  <w:style w:type="paragraph" w:styleId="Pieddepage">
    <w:name w:val="footer"/>
    <w:basedOn w:val="Normal"/>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uiPriority w:val="99"/>
    <w:rsid w:val="005169D0"/>
    <w:rPr>
      <w:rFonts w:ascii="Arial" w:hAnsi="Arial"/>
      <w:snapToGrid w:val="0"/>
      <w:sz w:val="22"/>
      <w:szCs w:val="24"/>
    </w:rPr>
  </w:style>
  <w:style w:type="paragraph" w:styleId="Paragraphedeliste">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rsid w:val="007A7EC6"/>
    <w:rPr>
      <w:sz w:val="16"/>
      <w:szCs w:val="16"/>
    </w:rPr>
  </w:style>
  <w:style w:type="paragraph" w:styleId="Commentaire">
    <w:name w:val="annotation text"/>
    <w:basedOn w:val="Normal"/>
    <w:link w:val="Commentaire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rsid w:val="007A7EC6"/>
    <w:rPr>
      <w:rFonts w:eastAsia="Times New Roman"/>
      <w:lang w:val="en-US" w:eastAsia="en-US"/>
    </w:rPr>
  </w:style>
  <w:style w:type="paragraph" w:styleId="Objetducommentaire">
    <w:name w:val="annotation subject"/>
    <w:basedOn w:val="Commentaire"/>
    <w:next w:val="Commentaire"/>
    <w:link w:val="ObjetducommentaireCar"/>
    <w:rsid w:val="007A7EC6"/>
    <w:rPr>
      <w:b/>
      <w:bCs/>
      <w:lang w:val="x-none" w:eastAsia="x-none"/>
    </w:rPr>
  </w:style>
  <w:style w:type="character" w:customStyle="1" w:styleId="ObjetducommentaireCar">
    <w:name w:val="Objet du commentaire Car"/>
    <w:basedOn w:val="CommentaireCar"/>
    <w:link w:val="Objetducommentaire"/>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rsid w:val="007A7EC6"/>
    <w:rPr>
      <w:rFonts w:eastAsia="Times New Roman"/>
      <w:lang w:val="en-US" w:eastAsia="en-US"/>
    </w:rPr>
  </w:style>
  <w:style w:type="character" w:styleId="Appeldenotedefin">
    <w:name w:val="endnote reference"/>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table" w:customStyle="1" w:styleId="Grilledutableau1">
    <w:name w:val="Grille du tableau1"/>
    <w:basedOn w:val="TableauNormal"/>
    <w:next w:val="Grilledutableau"/>
    <w:rsid w:val="0056233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62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047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33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ceanexpert.org/document/31942" TargetMode="External"/><Relationship Id="rId4" Type="http://schemas.openxmlformats.org/officeDocument/2006/relationships/settings" Target="settings.xml"/><Relationship Id="rId9" Type="http://schemas.openxmlformats.org/officeDocument/2006/relationships/hyperlink" Target="https://oceanexpert.org/document/30539"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D89F1-CDF5-A444-9CF0-E27D4FE4198F}">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3</Pages>
  <Words>1234</Words>
  <Characters>6744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Commission océanographique intergouvernementale (de l’UNESCO) – Cinquante-septième session du Conseil exécutif – UNESCO, Paris, 25-28 juin 2024 – Point 4.5 de l'ordre du jour provisoire – Rapport sur la deuxième édition du Rapport sur l'état de l'océan (2</vt:lpstr>
    </vt:vector>
  </TitlesOfParts>
  <Company>Unesco</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océanographique intergouvernementale (de l’UNESCO) – Cinquante-septième session du Conseil exécutif – UNESCO, Paris, 25-28 juin 2024 – Point 4.2 de l'ordre du jour provisoire – Rapport d’étape du Groupe de travail intersessions ad hoc de la COI sur les observations océaniques dans les zones relevant de la juridiction nationale_x000d_
</dc:title>
  <dc:subject>IOC/EC-57/4.2.Doc(1)</dc:subject>
  <dc:creator>as.machu@unesco.org</dc:creator>
  <cp:keywords>18.12F</cp:keywords>
  <dc:description/>
  <cp:lastModifiedBy>Machu, Anne-sophie</cp:lastModifiedBy>
  <cp:revision>10</cp:revision>
  <cp:lastPrinted>2012-08-02T14:52:00Z</cp:lastPrinted>
  <dcterms:created xsi:type="dcterms:W3CDTF">2024-05-28T09:38:00Z</dcterms:created>
  <dcterms:modified xsi:type="dcterms:W3CDTF">2024-05-28T10:25:00Z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202402802</vt:lpwstr>
  </property>
</Properties>
</file>