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6F15" w14:textId="77777777" w:rsidR="00EB3895" w:rsidRDefault="00EB3895" w:rsidP="00420597">
      <w:pPr>
        <w:pStyle w:val="Heading1"/>
        <w:spacing w:before="480"/>
        <w:jc w:val="left"/>
      </w:pPr>
    </w:p>
    <w:p w14:paraId="748272EF" w14:textId="435004E9" w:rsidR="00EB3895" w:rsidRPr="00EB3895" w:rsidRDefault="00EB3895" w:rsidP="00420597">
      <w:pPr>
        <w:pStyle w:val="Heading1"/>
        <w:spacing w:before="1680" w:after="0"/>
      </w:pPr>
      <w:r w:rsidRPr="00EB3895">
        <w:t xml:space="preserve">COMMISSION OCÉANOGRAPHIQUE </w:t>
      </w:r>
      <w:r w:rsidR="00DA71B9">
        <w:t>I</w:t>
      </w:r>
      <w:r w:rsidRPr="00EB3895">
        <w:t>NTERGOUVERNEMENTALE</w:t>
      </w:r>
    </w:p>
    <w:p w14:paraId="0F1DC779" w14:textId="0A54CC80" w:rsidR="00EB3895" w:rsidRPr="00EB3895" w:rsidRDefault="00EB3895" w:rsidP="00420597">
      <w:pPr>
        <w:jc w:val="center"/>
        <w:rPr>
          <w:bCs/>
        </w:rPr>
      </w:pPr>
      <w:r w:rsidRPr="00EB3895">
        <w:rPr>
          <w:bCs/>
        </w:rPr>
        <w:t>(de l</w:t>
      </w:r>
      <w:r w:rsidR="00BE6632">
        <w:rPr>
          <w:bCs/>
        </w:rPr>
        <w:t>’</w:t>
      </w:r>
      <w:r w:rsidRPr="00EB3895">
        <w:rPr>
          <w:bCs/>
        </w:rPr>
        <w:t>UNESCO)</w:t>
      </w:r>
    </w:p>
    <w:p w14:paraId="5B0D4193" w14:textId="1AEEC740" w:rsidR="00EB3895" w:rsidRPr="00EB3895" w:rsidRDefault="00EB3895" w:rsidP="00420597">
      <w:pPr>
        <w:spacing w:before="240" w:after="600"/>
        <w:jc w:val="center"/>
        <w:rPr>
          <w:b/>
        </w:rPr>
      </w:pPr>
      <w:r w:rsidRPr="00EB3895">
        <w:rPr>
          <w:b/>
        </w:rPr>
        <w:t>Cinquante-</w:t>
      </w:r>
      <w:r w:rsidR="00F60534">
        <w:rPr>
          <w:b/>
        </w:rPr>
        <w:t>septième</w:t>
      </w:r>
      <w:r w:rsidRPr="00EB3895">
        <w:rPr>
          <w:b/>
        </w:rPr>
        <w:t xml:space="preserve"> session du Conseil exécutif</w:t>
      </w:r>
      <w:r>
        <w:rPr>
          <w:b/>
        </w:rPr>
        <w:br/>
      </w:r>
      <w:r w:rsidRPr="00EB3895">
        <w:rPr>
          <w:bCs/>
        </w:rPr>
        <w:t xml:space="preserve">UNESCO, Paris, </w:t>
      </w:r>
      <w:r w:rsidR="00F60534">
        <w:rPr>
          <w:bCs/>
        </w:rPr>
        <w:t>25-28</w:t>
      </w:r>
      <w:r w:rsidRPr="00EB3895">
        <w:rPr>
          <w:bCs/>
        </w:rPr>
        <w:t xml:space="preserve"> juin 202</w:t>
      </w:r>
      <w:r w:rsidR="00F60534">
        <w:rPr>
          <w:bCs/>
        </w:rPr>
        <w:t>4</w:t>
      </w:r>
      <w:r w:rsidR="006519AE">
        <w:rPr>
          <w:bCs/>
        </w:rPr>
        <w:t xml:space="preserve"> </w:t>
      </w:r>
    </w:p>
    <w:p w14:paraId="607D1C93" w14:textId="51E05821" w:rsidR="00EB3895" w:rsidRPr="00E54757" w:rsidRDefault="00E54757" w:rsidP="00420597">
      <w:pPr>
        <w:pStyle w:val="Marge"/>
        <w:spacing w:after="600"/>
        <w:rPr>
          <w:u w:val="single"/>
        </w:rPr>
      </w:pPr>
      <w:r w:rsidRPr="00E54757">
        <w:rPr>
          <w:u w:val="single"/>
        </w:rPr>
        <w:t xml:space="preserve">Point </w:t>
      </w:r>
      <w:r w:rsidR="00F11ABA">
        <w:rPr>
          <w:b/>
          <w:bCs/>
          <w:u w:val="single"/>
        </w:rPr>
        <w:t>3</w:t>
      </w:r>
      <w:r w:rsidRPr="00E54757">
        <w:rPr>
          <w:b/>
          <w:bCs/>
          <w:u w:val="single"/>
        </w:rPr>
        <w:t>.</w:t>
      </w:r>
      <w:r w:rsidR="00F11ABA">
        <w:rPr>
          <w:b/>
          <w:bCs/>
          <w:u w:val="single"/>
        </w:rPr>
        <w:t>1</w:t>
      </w:r>
      <w:r w:rsidRPr="00E54757">
        <w:rPr>
          <w:u w:val="single"/>
        </w:rPr>
        <w:t xml:space="preserve"> de l’ordre du jour provisoire</w:t>
      </w:r>
    </w:p>
    <w:p w14:paraId="4D532EDB" w14:textId="44625EF8" w:rsidR="00B2519D" w:rsidRDefault="00F11ABA" w:rsidP="00420597">
      <w:pPr>
        <w:pStyle w:val="Heading1"/>
        <w:spacing w:after="360"/>
      </w:pPr>
      <w:r>
        <w:t xml:space="preserve">Processus de consultation – </w:t>
      </w:r>
      <w:r w:rsidRPr="00F11ABA">
        <w:t>La</w:t>
      </w:r>
      <w:r>
        <w:t xml:space="preserve"> </w:t>
      </w:r>
      <w:r w:rsidRPr="00F11ABA">
        <w:t>COI et l’avenir de l’océan</w:t>
      </w:r>
      <w:r>
        <w:t> </w:t>
      </w:r>
      <w:r w:rsidRPr="00F11ABA">
        <w:t xml:space="preserve">: </w:t>
      </w:r>
      <w:r>
        <w:br/>
      </w:r>
      <w:r w:rsidRPr="00F11ABA">
        <w:t>exécution durable</w:t>
      </w:r>
      <w:r>
        <w:t xml:space="preserve"> </w:t>
      </w:r>
      <w:r w:rsidRPr="00F11ABA">
        <w:t>et développement des activités de la COI</w:t>
      </w:r>
    </w:p>
    <w:tbl>
      <w:tblPr>
        <w:tblStyle w:val="Grilledutableau1"/>
        <w:tblW w:w="6934" w:type="dxa"/>
        <w:jc w:val="center"/>
        <w:tblLayout w:type="fixed"/>
        <w:tblLook w:val="04A0" w:firstRow="1" w:lastRow="0" w:firstColumn="1" w:lastColumn="0" w:noHBand="0" w:noVBand="1"/>
      </w:tblPr>
      <w:tblGrid>
        <w:gridCol w:w="6934"/>
      </w:tblGrid>
      <w:tr w:rsidR="00562336" w:rsidRPr="00562336" w14:paraId="39DE0B67" w14:textId="77777777" w:rsidTr="00D5659D">
        <w:trPr>
          <w:trHeight w:val="4037"/>
          <w:jc w:val="center"/>
        </w:trPr>
        <w:tc>
          <w:tcPr>
            <w:tcW w:w="6934" w:type="dxa"/>
          </w:tcPr>
          <w:p w14:paraId="754BC36C" w14:textId="77777777" w:rsidR="00562336" w:rsidRPr="00562336" w:rsidRDefault="00562336" w:rsidP="00420597">
            <w:pPr>
              <w:tabs>
                <w:tab w:val="clear" w:pos="567"/>
              </w:tabs>
              <w:snapToGrid/>
              <w:spacing w:before="120" w:after="240"/>
              <w:jc w:val="center"/>
              <w:rPr>
                <w:rFonts w:cs="Arial"/>
                <w:bCs/>
                <w:szCs w:val="22"/>
                <w:u w:val="single"/>
                <w:lang w:eastAsia="en-US"/>
              </w:rPr>
            </w:pPr>
            <w:r w:rsidRPr="00562336">
              <w:rPr>
                <w:u w:val="single"/>
                <w:lang w:eastAsia="en-US"/>
              </w:rPr>
              <w:t>Résumé</w:t>
            </w:r>
          </w:p>
          <w:p w14:paraId="051DA561" w14:textId="090DA218" w:rsidR="00562336" w:rsidRPr="003359A8" w:rsidRDefault="00F11ABA" w:rsidP="00420597">
            <w:pPr>
              <w:tabs>
                <w:tab w:val="clear" w:pos="567"/>
              </w:tabs>
              <w:snapToGrid/>
              <w:spacing w:after="240"/>
              <w:ind w:left="283" w:right="283"/>
              <w:jc w:val="both"/>
              <w:rPr>
                <w:rFonts w:cs="Arial"/>
                <w:szCs w:val="22"/>
                <w:lang w:eastAsia="en-US"/>
              </w:rPr>
            </w:pPr>
            <w:r>
              <w:rPr>
                <w:rFonts w:cs="Arial"/>
                <w:szCs w:val="22"/>
                <w:lang w:eastAsia="en-US"/>
              </w:rPr>
              <w:t xml:space="preserve">Le présent </w:t>
            </w:r>
            <w:r w:rsidRPr="00F11ABA">
              <w:rPr>
                <w:rFonts w:cs="Arial"/>
                <w:szCs w:val="22"/>
                <w:lang w:eastAsia="en-US"/>
              </w:rPr>
              <w:t xml:space="preserve">document </w:t>
            </w:r>
            <w:r>
              <w:rPr>
                <w:rFonts w:cs="Arial"/>
                <w:szCs w:val="22"/>
                <w:lang w:eastAsia="en-US"/>
              </w:rPr>
              <w:t>a été établi</w:t>
            </w:r>
            <w:r w:rsidRPr="00F11ABA">
              <w:rPr>
                <w:rFonts w:cs="Arial"/>
                <w:szCs w:val="22"/>
                <w:lang w:eastAsia="en-US"/>
              </w:rPr>
              <w:t xml:space="preserve"> en </w:t>
            </w:r>
            <w:r>
              <w:rPr>
                <w:rFonts w:cs="Arial"/>
                <w:szCs w:val="22"/>
                <w:lang w:eastAsia="en-US"/>
              </w:rPr>
              <w:t>application de</w:t>
            </w:r>
            <w:r w:rsidRPr="00F11ABA">
              <w:rPr>
                <w:rFonts w:cs="Arial"/>
                <w:szCs w:val="22"/>
                <w:lang w:eastAsia="en-US"/>
              </w:rPr>
              <w:t xml:space="preserve"> la décision</w:t>
            </w:r>
            <w:r w:rsidR="00D5659D">
              <w:rPr>
                <w:rFonts w:cs="Arial"/>
                <w:szCs w:val="22"/>
                <w:lang w:eastAsia="en-US"/>
              </w:rPr>
              <w:t> </w:t>
            </w:r>
            <w:r w:rsidRPr="00F11ABA">
              <w:rPr>
                <w:rFonts w:cs="Arial"/>
                <w:szCs w:val="22"/>
                <w:lang w:eastAsia="en-US"/>
              </w:rPr>
              <w:t>A</w:t>
            </w:r>
            <w:r>
              <w:rPr>
                <w:rFonts w:cs="Arial"/>
                <w:szCs w:val="22"/>
                <w:lang w:eastAsia="en-US"/>
              </w:rPr>
              <w:noBreakHyphen/>
            </w:r>
            <w:r w:rsidRPr="00F11ABA">
              <w:rPr>
                <w:rFonts w:cs="Arial"/>
                <w:szCs w:val="22"/>
                <w:lang w:eastAsia="en-US"/>
              </w:rPr>
              <w:t>32/5 de la COI qui invitait le Secrétaire exécutif de la COI à lancer la consultation auprès des États membres</w:t>
            </w:r>
            <w:r>
              <w:rPr>
                <w:rFonts w:cs="Arial"/>
                <w:szCs w:val="22"/>
                <w:lang w:eastAsia="en-US"/>
              </w:rPr>
              <w:t xml:space="preserve"> </w:t>
            </w:r>
            <w:r w:rsidRPr="00F11ABA">
              <w:rPr>
                <w:rFonts w:cs="Arial"/>
                <w:szCs w:val="22"/>
                <w:lang w:eastAsia="en-US"/>
              </w:rPr>
              <w:t>ainsi que des parties prenantes concernées.</w:t>
            </w:r>
            <w:r w:rsidR="00562336" w:rsidRPr="00562336">
              <w:rPr>
                <w:rFonts w:cs="Arial"/>
                <w:szCs w:val="22"/>
                <w:lang w:eastAsia="en-US"/>
              </w:rPr>
              <w:t xml:space="preserve"> </w:t>
            </w:r>
          </w:p>
          <w:p w14:paraId="5D5E2D30" w14:textId="654C2DEF" w:rsidR="00562336" w:rsidRPr="003359A8" w:rsidRDefault="00A14CAA" w:rsidP="00420597">
            <w:pPr>
              <w:tabs>
                <w:tab w:val="clear" w:pos="567"/>
              </w:tabs>
              <w:snapToGrid/>
              <w:spacing w:after="240"/>
              <w:ind w:left="283" w:right="283"/>
              <w:jc w:val="both"/>
              <w:rPr>
                <w:rFonts w:cs="Arial"/>
                <w:szCs w:val="22"/>
                <w:lang w:eastAsia="en-US"/>
              </w:rPr>
            </w:pPr>
            <w:r w:rsidRPr="00A14CAA">
              <w:rPr>
                <w:rFonts w:cs="Arial"/>
                <w:szCs w:val="22"/>
                <w:lang w:eastAsia="en-US"/>
              </w:rPr>
              <w:t>Il présente l</w:t>
            </w:r>
            <w:r>
              <w:rPr>
                <w:rFonts w:cs="Arial"/>
                <w:szCs w:val="22"/>
                <w:lang w:eastAsia="en-US"/>
              </w:rPr>
              <w:t>’</w:t>
            </w:r>
            <w:r w:rsidRPr="00A14CAA">
              <w:rPr>
                <w:rFonts w:cs="Arial"/>
                <w:szCs w:val="22"/>
                <w:lang w:eastAsia="en-US"/>
              </w:rPr>
              <w:t xml:space="preserve">analyse du Secrétaire exécutif de la COI sur le contexte et </w:t>
            </w:r>
            <w:r>
              <w:rPr>
                <w:rFonts w:cs="Arial"/>
                <w:szCs w:val="22"/>
                <w:lang w:eastAsia="en-US"/>
              </w:rPr>
              <w:t>le champ</w:t>
            </w:r>
            <w:r w:rsidRPr="00A14CAA">
              <w:rPr>
                <w:rFonts w:cs="Arial"/>
                <w:szCs w:val="22"/>
                <w:lang w:eastAsia="en-US"/>
              </w:rPr>
              <w:t xml:space="preserve"> </w:t>
            </w:r>
            <w:r>
              <w:rPr>
                <w:rFonts w:cs="Arial"/>
                <w:szCs w:val="22"/>
                <w:lang w:eastAsia="en-US"/>
              </w:rPr>
              <w:t xml:space="preserve">d’application </w:t>
            </w:r>
            <w:r w:rsidRPr="00A14CAA">
              <w:rPr>
                <w:rFonts w:cs="Arial"/>
                <w:szCs w:val="22"/>
                <w:lang w:eastAsia="en-US"/>
              </w:rPr>
              <w:t>de la consultation</w:t>
            </w:r>
            <w:r>
              <w:rPr>
                <w:rFonts w:cs="Arial"/>
                <w:szCs w:val="22"/>
                <w:lang w:eastAsia="en-US"/>
              </w:rPr>
              <w:t>,</w:t>
            </w:r>
            <w:r w:rsidRPr="00A14CAA">
              <w:rPr>
                <w:rFonts w:cs="Arial"/>
                <w:szCs w:val="22"/>
                <w:lang w:eastAsia="en-US"/>
              </w:rPr>
              <w:t xml:space="preserve"> tels qu</w:t>
            </w:r>
            <w:r>
              <w:rPr>
                <w:rFonts w:cs="Arial"/>
                <w:szCs w:val="22"/>
                <w:lang w:eastAsia="en-US"/>
              </w:rPr>
              <w:t>’</w:t>
            </w:r>
            <w:r w:rsidRPr="00A14CAA">
              <w:rPr>
                <w:rFonts w:cs="Arial"/>
                <w:szCs w:val="22"/>
                <w:lang w:eastAsia="en-US"/>
              </w:rPr>
              <w:t>ils ont été définis par l</w:t>
            </w:r>
            <w:r>
              <w:rPr>
                <w:rFonts w:cs="Arial"/>
                <w:szCs w:val="22"/>
                <w:lang w:eastAsia="en-US"/>
              </w:rPr>
              <w:t>’</w:t>
            </w:r>
            <w:r w:rsidRPr="00A14CAA">
              <w:rPr>
                <w:rFonts w:cs="Arial"/>
                <w:szCs w:val="22"/>
                <w:lang w:eastAsia="en-US"/>
              </w:rPr>
              <w:t>Assemblée de la COI</w:t>
            </w:r>
            <w:r>
              <w:rPr>
                <w:rFonts w:cs="Arial"/>
                <w:szCs w:val="22"/>
                <w:lang w:eastAsia="en-US"/>
              </w:rPr>
              <w:t>,</w:t>
            </w:r>
            <w:r w:rsidRPr="00A14CAA">
              <w:rPr>
                <w:rFonts w:cs="Arial"/>
                <w:szCs w:val="22"/>
                <w:lang w:eastAsia="en-US"/>
              </w:rPr>
              <w:t xml:space="preserve"> et propose un cadre et un calendrier pour l</w:t>
            </w:r>
            <w:r>
              <w:rPr>
                <w:rFonts w:cs="Arial"/>
                <w:szCs w:val="22"/>
                <w:lang w:eastAsia="en-US"/>
              </w:rPr>
              <w:t>’</w:t>
            </w:r>
            <w:r w:rsidRPr="00A14CAA">
              <w:rPr>
                <w:rFonts w:cs="Arial"/>
                <w:szCs w:val="22"/>
                <w:lang w:eastAsia="en-US"/>
              </w:rPr>
              <w:t>examen par le Conseil exécutif.</w:t>
            </w:r>
          </w:p>
          <w:p w14:paraId="2DF562DA" w14:textId="1FDA3FF3" w:rsidR="00562336" w:rsidRPr="00562336" w:rsidRDefault="00562336" w:rsidP="00420597">
            <w:pPr>
              <w:tabs>
                <w:tab w:val="clear" w:pos="567"/>
              </w:tabs>
              <w:snapToGrid/>
              <w:spacing w:after="240"/>
              <w:ind w:left="283" w:right="283"/>
              <w:jc w:val="both"/>
              <w:rPr>
                <w:rFonts w:cs="Arial"/>
                <w:b/>
                <w:bCs/>
                <w:spacing w:val="-3"/>
                <w:szCs w:val="22"/>
                <w:lang w:eastAsia="en-US"/>
              </w:rPr>
            </w:pPr>
            <w:r w:rsidRPr="00562336">
              <w:rPr>
                <w:rFonts w:cs="Arial"/>
                <w:spacing w:val="-3"/>
                <w:szCs w:val="22"/>
                <w:lang w:eastAsia="en-US"/>
              </w:rPr>
              <w:t xml:space="preserve">La </w:t>
            </w:r>
            <w:r w:rsidRPr="00562336">
              <w:rPr>
                <w:rFonts w:cs="Arial"/>
                <w:spacing w:val="-3"/>
                <w:szCs w:val="22"/>
                <w:u w:val="single"/>
                <w:lang w:eastAsia="en-US"/>
              </w:rPr>
              <w:t>décision proposée</w:t>
            </w:r>
            <w:r w:rsidRPr="00562336">
              <w:rPr>
                <w:rFonts w:cs="Arial"/>
                <w:spacing w:val="-3"/>
                <w:szCs w:val="22"/>
                <w:lang w:eastAsia="en-US"/>
              </w:rPr>
              <w:t xml:space="preserve"> porte la cote EC-57/</w:t>
            </w:r>
            <w:r w:rsidR="00A14CAA">
              <w:rPr>
                <w:rFonts w:cs="Arial"/>
                <w:spacing w:val="-3"/>
                <w:szCs w:val="22"/>
                <w:lang w:eastAsia="en-US"/>
              </w:rPr>
              <w:t>3</w:t>
            </w:r>
            <w:r w:rsidRPr="00562336">
              <w:rPr>
                <w:rFonts w:cs="Arial"/>
                <w:spacing w:val="-3"/>
                <w:szCs w:val="22"/>
                <w:lang w:eastAsia="en-US"/>
              </w:rPr>
              <w:t>.</w:t>
            </w:r>
            <w:r w:rsidR="00A14CAA">
              <w:rPr>
                <w:rFonts w:cs="Arial"/>
                <w:spacing w:val="-3"/>
                <w:szCs w:val="22"/>
                <w:lang w:eastAsia="en-US"/>
              </w:rPr>
              <w:t>1</w:t>
            </w:r>
            <w:r w:rsidRPr="00562336">
              <w:rPr>
                <w:rFonts w:cs="Arial"/>
                <w:spacing w:val="-3"/>
                <w:szCs w:val="22"/>
                <w:lang w:eastAsia="en-US"/>
              </w:rPr>
              <w:t xml:space="preserve"> dans le Document relatif aux décisions à adopter (projet de document IOC/EC</w:t>
            </w:r>
            <w:r w:rsidRPr="00562336">
              <w:rPr>
                <w:rFonts w:cs="Arial"/>
                <w:spacing w:val="-3"/>
                <w:szCs w:val="22"/>
                <w:lang w:eastAsia="en-US"/>
              </w:rPr>
              <w:noBreakHyphen/>
              <w:t>57/AP).</w:t>
            </w:r>
          </w:p>
        </w:tc>
      </w:tr>
    </w:tbl>
    <w:p w14:paraId="5C238DF7" w14:textId="77777777" w:rsidR="00E54757" w:rsidRDefault="00E54757" w:rsidP="00420597">
      <w:pPr>
        <w:pStyle w:val="Marge"/>
      </w:pPr>
    </w:p>
    <w:p w14:paraId="2E979F20" w14:textId="4FADF084" w:rsidR="00436275" w:rsidRDefault="00436275" w:rsidP="00420597">
      <w:pPr>
        <w:tabs>
          <w:tab w:val="clear" w:pos="567"/>
        </w:tabs>
        <w:snapToGrid/>
        <w:rPr>
          <w:rFonts w:eastAsia="Times New Roman"/>
          <w:lang w:eastAsia="en-US"/>
        </w:rPr>
      </w:pPr>
      <w:r>
        <w:br w:type="page"/>
      </w:r>
    </w:p>
    <w:p w14:paraId="4FEF1063" w14:textId="57FCC338" w:rsidR="00436275" w:rsidRPr="003359A8" w:rsidRDefault="00A14CAA" w:rsidP="00420597">
      <w:pPr>
        <w:tabs>
          <w:tab w:val="clear" w:pos="567"/>
        </w:tabs>
        <w:snapToGrid/>
        <w:spacing w:after="240"/>
        <w:jc w:val="both"/>
        <w:rPr>
          <w:rFonts w:cs="Arial"/>
          <w:szCs w:val="22"/>
          <w:lang w:eastAsia="en-US"/>
        </w:rPr>
      </w:pPr>
      <w:r>
        <w:rPr>
          <w:rFonts w:eastAsia="Times New Roman" w:cs="Arial"/>
          <w:b/>
          <w:bCs/>
          <w:snapToGrid/>
          <w:szCs w:val="22"/>
          <w:lang w:eastAsia="en-US"/>
        </w:rPr>
        <w:lastRenderedPageBreak/>
        <w:t>Introduction</w:t>
      </w:r>
      <w:r w:rsidR="00436275" w:rsidRPr="00436275">
        <w:rPr>
          <w:rFonts w:eastAsia="Times New Roman" w:cs="Arial"/>
          <w:snapToGrid/>
          <w:szCs w:val="22"/>
          <w:lang w:eastAsia="en-US"/>
        </w:rPr>
        <w:t xml:space="preserve"> </w:t>
      </w:r>
      <w:bookmarkStart w:id="0" w:name="_Toc163216996"/>
      <w:bookmarkStart w:id="1" w:name="_Toc130909576"/>
      <w:bookmarkEnd w:id="0"/>
    </w:p>
    <w:p w14:paraId="21547B76" w14:textId="56AB77FC" w:rsidR="00436275" w:rsidRDefault="00436275" w:rsidP="00420597">
      <w:pPr>
        <w:tabs>
          <w:tab w:val="clear" w:pos="567"/>
        </w:tabs>
        <w:snapToGrid/>
        <w:spacing w:after="240"/>
        <w:jc w:val="both"/>
        <w:rPr>
          <w:rFonts w:eastAsia="Times New Roman" w:cs="Arial"/>
          <w:snapToGrid/>
          <w:szCs w:val="22"/>
          <w:lang w:eastAsia="en-US"/>
        </w:rPr>
      </w:pPr>
      <w:r w:rsidRPr="00436275">
        <w:rPr>
          <w:rFonts w:eastAsia="Times New Roman" w:cs="Arial"/>
          <w:snapToGrid/>
          <w:szCs w:val="22"/>
          <w:lang w:eastAsia="en-US"/>
        </w:rPr>
        <w:t>1.</w:t>
      </w:r>
      <w:r w:rsidRPr="00436275">
        <w:rPr>
          <w:rFonts w:eastAsia="Times New Roman" w:cs="Arial"/>
          <w:snapToGrid/>
          <w:szCs w:val="22"/>
          <w:lang w:eastAsia="en-US"/>
        </w:rPr>
        <w:tab/>
      </w:r>
      <w:r w:rsidR="00A14CAA">
        <w:rPr>
          <w:rFonts w:eastAsia="Times New Roman" w:cs="Arial"/>
          <w:snapToGrid/>
          <w:szCs w:val="22"/>
          <w:lang w:eastAsia="en-US"/>
        </w:rPr>
        <w:t>À</w:t>
      </w:r>
      <w:r w:rsidR="00A14CAA" w:rsidRPr="00A14CAA">
        <w:rPr>
          <w:rFonts w:eastAsia="Times New Roman" w:cs="Arial"/>
          <w:snapToGrid/>
          <w:szCs w:val="22"/>
          <w:lang w:eastAsia="en-US"/>
        </w:rPr>
        <w:t xml:space="preserve"> sa 32</w:t>
      </w:r>
      <w:r w:rsidR="00A14CAA" w:rsidRPr="00A14CAA">
        <w:rPr>
          <w:rFonts w:eastAsia="Times New Roman" w:cs="Arial"/>
          <w:snapToGrid/>
          <w:szCs w:val="22"/>
          <w:vertAlign w:val="superscript"/>
          <w:lang w:eastAsia="en-US"/>
        </w:rPr>
        <w:t>e</w:t>
      </w:r>
      <w:r w:rsidR="00A14CAA">
        <w:rPr>
          <w:rFonts w:eastAsia="Times New Roman" w:cs="Arial"/>
          <w:snapToGrid/>
          <w:szCs w:val="22"/>
          <w:lang w:eastAsia="en-US"/>
        </w:rPr>
        <w:t> </w:t>
      </w:r>
      <w:r w:rsidR="00A14CAA" w:rsidRPr="00A14CAA">
        <w:rPr>
          <w:rFonts w:eastAsia="Times New Roman" w:cs="Arial"/>
          <w:snapToGrid/>
          <w:szCs w:val="22"/>
          <w:lang w:eastAsia="en-US"/>
        </w:rPr>
        <w:t xml:space="preserve">session (21-30 juin 2023), l'Assemblée de la COI a </w:t>
      </w:r>
      <w:r w:rsidR="00A14CAA">
        <w:rPr>
          <w:rFonts w:eastAsia="Times New Roman" w:cs="Arial"/>
          <w:snapToGrid/>
          <w:szCs w:val="22"/>
          <w:lang w:eastAsia="en-US"/>
        </w:rPr>
        <w:t>examiné</w:t>
      </w:r>
      <w:r w:rsidR="00A14CAA" w:rsidRPr="00A14CAA">
        <w:rPr>
          <w:rFonts w:eastAsia="Times New Roman" w:cs="Arial"/>
          <w:snapToGrid/>
          <w:szCs w:val="22"/>
          <w:lang w:eastAsia="en-US"/>
        </w:rPr>
        <w:t xml:space="preserve"> la viabilité à long terme et </w:t>
      </w:r>
      <w:r w:rsidR="00A14CAA">
        <w:rPr>
          <w:rFonts w:eastAsia="Times New Roman" w:cs="Arial"/>
          <w:snapToGrid/>
          <w:szCs w:val="22"/>
          <w:lang w:eastAsia="en-US"/>
        </w:rPr>
        <w:t>le développement</w:t>
      </w:r>
      <w:r w:rsidR="00A14CAA" w:rsidRPr="00A14CAA">
        <w:rPr>
          <w:rFonts w:eastAsia="Times New Roman" w:cs="Arial"/>
          <w:snapToGrid/>
          <w:szCs w:val="22"/>
          <w:lang w:eastAsia="en-US"/>
        </w:rPr>
        <w:t xml:space="preserve"> de la COI compte tenu de l</w:t>
      </w:r>
      <w:r w:rsidR="00A14CAA">
        <w:rPr>
          <w:rFonts w:eastAsia="Times New Roman" w:cs="Arial"/>
          <w:snapToGrid/>
          <w:szCs w:val="22"/>
          <w:lang w:eastAsia="en-US"/>
        </w:rPr>
        <w:t>’</w:t>
      </w:r>
      <w:r w:rsidR="00A14CAA" w:rsidRPr="00A14CAA">
        <w:rPr>
          <w:rFonts w:eastAsia="Times New Roman" w:cs="Arial"/>
          <w:snapToGrid/>
          <w:szCs w:val="22"/>
          <w:lang w:eastAsia="en-US"/>
        </w:rPr>
        <w:t xml:space="preserve">évolution rapide </w:t>
      </w:r>
      <w:r w:rsidR="00A14CAA">
        <w:rPr>
          <w:rFonts w:eastAsia="Times New Roman" w:cs="Arial"/>
          <w:snapToGrid/>
          <w:szCs w:val="22"/>
          <w:lang w:eastAsia="en-US"/>
        </w:rPr>
        <w:t>des</w:t>
      </w:r>
      <w:r w:rsidR="00A14CAA" w:rsidRPr="00A14CAA">
        <w:rPr>
          <w:rFonts w:eastAsia="Times New Roman" w:cs="Arial"/>
          <w:snapToGrid/>
          <w:szCs w:val="22"/>
          <w:lang w:eastAsia="en-US"/>
        </w:rPr>
        <w:t xml:space="preserve"> science</w:t>
      </w:r>
      <w:r w:rsidR="00A14CAA">
        <w:rPr>
          <w:rFonts w:eastAsia="Times New Roman" w:cs="Arial"/>
          <w:snapToGrid/>
          <w:szCs w:val="22"/>
          <w:lang w:eastAsia="en-US"/>
        </w:rPr>
        <w:t>s</w:t>
      </w:r>
      <w:r w:rsidR="00A14CAA" w:rsidRPr="00A14CAA">
        <w:rPr>
          <w:rFonts w:eastAsia="Times New Roman" w:cs="Arial"/>
          <w:snapToGrid/>
          <w:szCs w:val="22"/>
          <w:lang w:eastAsia="en-US"/>
        </w:rPr>
        <w:t xml:space="preserve"> et de</w:t>
      </w:r>
      <w:r w:rsidR="00A14CAA">
        <w:rPr>
          <w:rFonts w:eastAsia="Times New Roman" w:cs="Arial"/>
          <w:snapToGrid/>
          <w:szCs w:val="22"/>
          <w:lang w:eastAsia="en-US"/>
        </w:rPr>
        <w:t>s</w:t>
      </w:r>
      <w:r w:rsidR="00A14CAA" w:rsidRPr="00A14CAA">
        <w:rPr>
          <w:rFonts w:eastAsia="Times New Roman" w:cs="Arial"/>
          <w:snapToGrid/>
          <w:szCs w:val="22"/>
          <w:lang w:eastAsia="en-US"/>
        </w:rPr>
        <w:t xml:space="preserve"> </w:t>
      </w:r>
      <w:r w:rsidR="00A14CAA">
        <w:rPr>
          <w:rFonts w:eastAsia="Times New Roman" w:cs="Arial"/>
          <w:snapToGrid/>
          <w:szCs w:val="22"/>
          <w:lang w:eastAsia="en-US"/>
        </w:rPr>
        <w:t>activités</w:t>
      </w:r>
      <w:r w:rsidR="00A14CAA" w:rsidRPr="00A14CAA">
        <w:rPr>
          <w:rFonts w:eastAsia="Times New Roman" w:cs="Arial"/>
          <w:snapToGrid/>
          <w:szCs w:val="22"/>
          <w:lang w:eastAsia="en-US"/>
        </w:rPr>
        <w:t xml:space="preserve"> océaniques.</w:t>
      </w:r>
      <w:r w:rsidR="00485AE0" w:rsidRPr="00F16BE8">
        <w:rPr>
          <w:color w:val="333333"/>
          <w:szCs w:val="22"/>
          <w:shd w:val="clear" w:color="auto" w:fill="FFFFFF"/>
        </w:rPr>
        <w:t xml:space="preserve"> </w:t>
      </w:r>
      <w:r w:rsidR="00485AE0" w:rsidRPr="00F16BE8">
        <w:rPr>
          <w:rFonts w:eastAsia="Times New Roman" w:cs="Arial"/>
          <w:snapToGrid/>
          <w:szCs w:val="22"/>
          <w:lang w:eastAsia="en-US"/>
        </w:rPr>
        <w:t>L’A</w:t>
      </w:r>
      <w:r w:rsidR="00485AE0" w:rsidRPr="00485AE0">
        <w:rPr>
          <w:rFonts w:eastAsia="Times New Roman" w:cs="Arial"/>
          <w:snapToGrid/>
          <w:szCs w:val="22"/>
          <w:lang w:eastAsia="en-US"/>
        </w:rPr>
        <w:t xml:space="preserve">ssemblée a </w:t>
      </w:r>
      <w:r w:rsidR="00485AE0">
        <w:rPr>
          <w:rFonts w:eastAsia="Times New Roman" w:cs="Arial"/>
          <w:snapToGrid/>
          <w:szCs w:val="22"/>
          <w:lang w:eastAsia="en-US"/>
        </w:rPr>
        <w:t>appelé à</w:t>
      </w:r>
      <w:r w:rsidR="00485AE0" w:rsidRPr="00485AE0">
        <w:rPr>
          <w:rFonts w:eastAsia="Times New Roman" w:cs="Arial"/>
          <w:snapToGrid/>
          <w:szCs w:val="22"/>
          <w:lang w:eastAsia="en-US"/>
        </w:rPr>
        <w:t xml:space="preserve"> </w:t>
      </w:r>
      <w:r w:rsidR="00485AE0">
        <w:rPr>
          <w:rFonts w:eastAsia="Times New Roman" w:cs="Arial"/>
          <w:snapToGrid/>
          <w:szCs w:val="22"/>
          <w:lang w:eastAsia="en-US"/>
        </w:rPr>
        <w:t>la tenue d’</w:t>
      </w:r>
      <w:r w:rsidR="00485AE0" w:rsidRPr="00485AE0">
        <w:rPr>
          <w:rFonts w:eastAsia="Times New Roman" w:cs="Arial"/>
          <w:snapToGrid/>
          <w:szCs w:val="22"/>
          <w:lang w:eastAsia="en-US"/>
        </w:rPr>
        <w:t>une consultation sur :</w:t>
      </w:r>
      <w:r w:rsidR="00485AE0">
        <w:rPr>
          <w:rFonts w:eastAsia="Times New Roman" w:cs="Arial"/>
          <w:snapToGrid/>
          <w:szCs w:val="22"/>
          <w:lang w:eastAsia="en-US"/>
        </w:rPr>
        <w:t xml:space="preserve"> </w:t>
      </w:r>
    </w:p>
    <w:p w14:paraId="6EDD41E4" w14:textId="13B8825B" w:rsidR="00485AE0" w:rsidRPr="003359A8" w:rsidRDefault="00485AE0" w:rsidP="00420597">
      <w:pPr>
        <w:tabs>
          <w:tab w:val="clear" w:pos="567"/>
        </w:tabs>
        <w:snapToGrid/>
        <w:spacing w:after="240"/>
        <w:ind w:left="567"/>
        <w:jc w:val="both"/>
        <w:rPr>
          <w:rFonts w:eastAsia="Times New Roman" w:cs="Arial"/>
          <w:snapToGrid/>
          <w:szCs w:val="22"/>
          <w:lang w:eastAsia="en-US"/>
        </w:rPr>
      </w:pPr>
      <w:r w:rsidRPr="00485AE0">
        <w:rPr>
          <w:rFonts w:eastAsia="Times New Roman" w:cs="Arial"/>
          <w:i/>
          <w:iCs/>
          <w:snapToGrid/>
          <w:szCs w:val="22"/>
          <w:lang w:eastAsia="en-US"/>
        </w:rPr>
        <w:t>la manière dont la COI pourrait, conformément à la mission définie dans ses Statuts, faciliter de manière optimale les activités des États membres et des autres parties prenantes ayant trait à la planification durable de l’océan fondée sur des données scientifiques, à la contribution des sciences océaniques à la mise en œuvre des conventions et des cadres des Nations Unies relatifs à l’environnement et au développement d’une économie océanique durable</w:t>
      </w:r>
      <w:r w:rsidRPr="00485AE0">
        <w:rPr>
          <w:rFonts w:eastAsia="Times New Roman" w:cs="Arial"/>
          <w:snapToGrid/>
          <w:szCs w:val="22"/>
          <w:lang w:eastAsia="en-US"/>
        </w:rPr>
        <w:t> </w:t>
      </w:r>
      <w:r>
        <w:rPr>
          <w:rFonts w:eastAsia="Times New Roman" w:cs="Arial"/>
          <w:snapToGrid/>
          <w:szCs w:val="22"/>
          <w:lang w:eastAsia="en-US"/>
        </w:rPr>
        <w:t>(d</w:t>
      </w:r>
      <w:r w:rsidRPr="00485AE0">
        <w:rPr>
          <w:rFonts w:eastAsia="Times New Roman" w:cs="Arial"/>
          <w:snapToGrid/>
          <w:szCs w:val="22"/>
          <w:lang w:eastAsia="en-US"/>
        </w:rPr>
        <w:t>écision A-32/5 de la COI</w:t>
      </w:r>
      <w:r>
        <w:rPr>
          <w:rFonts w:eastAsia="Times New Roman" w:cs="Arial"/>
          <w:snapToGrid/>
          <w:szCs w:val="22"/>
          <w:lang w:eastAsia="en-US"/>
        </w:rPr>
        <w:t>).</w:t>
      </w:r>
    </w:p>
    <w:p w14:paraId="5B8E1785" w14:textId="77777777" w:rsidR="00C16290" w:rsidRDefault="00436275" w:rsidP="00420597">
      <w:pPr>
        <w:snapToGrid/>
        <w:spacing w:after="240"/>
        <w:jc w:val="both"/>
        <w:rPr>
          <w:rFonts w:eastAsia="Times New Roman" w:cs="Arial"/>
          <w:snapToGrid/>
          <w:szCs w:val="22"/>
          <w:lang w:eastAsia="en-US"/>
        </w:rPr>
      </w:pPr>
      <w:r w:rsidRPr="00436275">
        <w:rPr>
          <w:rFonts w:eastAsia="Times New Roman" w:cs="Arial"/>
          <w:snapToGrid/>
          <w:szCs w:val="22"/>
          <w:lang w:eastAsia="en-US"/>
        </w:rPr>
        <w:t>2.</w:t>
      </w:r>
      <w:r w:rsidRPr="00436275">
        <w:rPr>
          <w:rFonts w:eastAsia="Times New Roman" w:cs="Arial"/>
          <w:snapToGrid/>
          <w:szCs w:val="22"/>
          <w:lang w:eastAsia="en-US"/>
        </w:rPr>
        <w:tab/>
      </w:r>
      <w:r w:rsidR="00485AE0">
        <w:rPr>
          <w:rFonts w:eastAsia="Times New Roman" w:cs="Arial"/>
          <w:snapToGrid/>
          <w:szCs w:val="22"/>
          <w:lang w:eastAsia="en-US"/>
        </w:rPr>
        <w:t xml:space="preserve">Le Secrétaire exécutif de la COI a été prié de </w:t>
      </w:r>
      <w:r w:rsidR="00C16290" w:rsidRPr="00C16290">
        <w:rPr>
          <w:rFonts w:eastAsia="Times New Roman" w:cs="Arial"/>
          <w:snapToGrid/>
          <w:szCs w:val="22"/>
          <w:lang w:eastAsia="en-US"/>
        </w:rPr>
        <w:t>préparer et de lancer la consultation auprès des États membres, par le biais d’une lettre circulaire, ainsi que des parties prenantes concernées, et d’informer le Conseil exécutif de la COI de son état d’avancement en 2024.</w:t>
      </w:r>
    </w:p>
    <w:p w14:paraId="2BF7299A" w14:textId="77777777" w:rsidR="00F9158E" w:rsidRDefault="00C16290" w:rsidP="00420597">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3.</w:t>
      </w:r>
      <w:r>
        <w:rPr>
          <w:rFonts w:eastAsia="Times New Roman" w:cs="Arial"/>
          <w:snapToGrid/>
          <w:szCs w:val="22"/>
          <w:lang w:eastAsia="en-US"/>
        </w:rPr>
        <w:tab/>
      </w:r>
      <w:r w:rsidR="00043048" w:rsidRPr="00043048">
        <w:rPr>
          <w:rFonts w:eastAsia="Times New Roman" w:cs="Arial"/>
          <w:snapToGrid/>
          <w:szCs w:val="22"/>
          <w:lang w:eastAsia="en-US"/>
        </w:rPr>
        <w:t xml:space="preserve">Il </w:t>
      </w:r>
      <w:r w:rsidR="00043048">
        <w:rPr>
          <w:rFonts w:eastAsia="Times New Roman" w:cs="Arial"/>
          <w:snapToGrid/>
          <w:szCs w:val="22"/>
          <w:lang w:eastAsia="en-US"/>
        </w:rPr>
        <w:t>était</w:t>
      </w:r>
      <w:r w:rsidR="00043048" w:rsidRPr="00043048">
        <w:rPr>
          <w:rFonts w:eastAsia="Times New Roman" w:cs="Arial"/>
          <w:snapToGrid/>
          <w:szCs w:val="22"/>
          <w:lang w:eastAsia="en-US"/>
        </w:rPr>
        <w:t xml:space="preserve"> important de distinguer cette consultation de celle </w:t>
      </w:r>
      <w:r w:rsidR="00043048">
        <w:rPr>
          <w:rFonts w:eastAsia="Times New Roman" w:cs="Arial"/>
          <w:snapToGrid/>
          <w:szCs w:val="22"/>
          <w:lang w:eastAsia="en-US"/>
        </w:rPr>
        <w:t>lancée</w:t>
      </w:r>
      <w:r w:rsidR="00043048" w:rsidRPr="00043048">
        <w:rPr>
          <w:rFonts w:eastAsia="Times New Roman" w:cs="Arial"/>
          <w:snapToGrid/>
          <w:szCs w:val="22"/>
          <w:lang w:eastAsia="en-US"/>
        </w:rPr>
        <w:t xml:space="preserve"> dans le cadre de la stratégie </w:t>
      </w:r>
      <w:r w:rsidR="00043048">
        <w:rPr>
          <w:rFonts w:eastAsia="Times New Roman" w:cs="Arial"/>
          <w:snapToGrid/>
          <w:szCs w:val="22"/>
          <w:lang w:eastAsia="en-US"/>
        </w:rPr>
        <w:t xml:space="preserve">à l’échelle </w:t>
      </w:r>
      <w:r w:rsidR="00043048" w:rsidRPr="00043048">
        <w:rPr>
          <w:rFonts w:eastAsia="Times New Roman" w:cs="Arial"/>
          <w:snapToGrid/>
          <w:szCs w:val="22"/>
          <w:lang w:eastAsia="en-US"/>
        </w:rPr>
        <w:t xml:space="preserve">de la COI sur la planification et la gestion durables de </w:t>
      </w:r>
      <w:r w:rsidR="00043048">
        <w:rPr>
          <w:rFonts w:eastAsia="Times New Roman" w:cs="Arial"/>
          <w:snapToGrid/>
          <w:szCs w:val="22"/>
          <w:lang w:eastAsia="en-US"/>
        </w:rPr>
        <w:t>l’</w:t>
      </w:r>
      <w:r w:rsidR="00043048" w:rsidRPr="00043048">
        <w:rPr>
          <w:rFonts w:eastAsia="Times New Roman" w:cs="Arial"/>
          <w:snapToGrid/>
          <w:szCs w:val="22"/>
          <w:lang w:eastAsia="en-US"/>
        </w:rPr>
        <w:t xml:space="preserve">océan (par le biais de la </w:t>
      </w:r>
      <w:r w:rsidR="00F9158E">
        <w:rPr>
          <w:rFonts w:eastAsia="Times New Roman" w:cs="Arial"/>
          <w:snapToGrid/>
          <w:szCs w:val="22"/>
          <w:lang w:eastAsia="en-US"/>
        </w:rPr>
        <w:t>L</w:t>
      </w:r>
      <w:r w:rsidR="00043048" w:rsidRPr="00043048">
        <w:rPr>
          <w:rFonts w:eastAsia="Times New Roman" w:cs="Arial"/>
          <w:snapToGrid/>
          <w:szCs w:val="22"/>
          <w:lang w:eastAsia="en-US"/>
        </w:rPr>
        <w:t xml:space="preserve">ettre circulaire </w:t>
      </w:r>
      <w:r w:rsidR="00F9158E">
        <w:rPr>
          <w:rFonts w:eastAsia="Times New Roman" w:cs="Arial"/>
          <w:snapToGrid/>
          <w:szCs w:val="22"/>
          <w:lang w:eastAsia="en-US"/>
        </w:rPr>
        <w:t xml:space="preserve">n° </w:t>
      </w:r>
      <w:hyperlink r:id="rId8" w:history="1">
        <w:r w:rsidR="00043048" w:rsidRPr="00F9158E">
          <w:rPr>
            <w:rStyle w:val="Hyperlink"/>
            <w:rFonts w:eastAsia="Times New Roman" w:cs="Arial"/>
            <w:snapToGrid/>
            <w:szCs w:val="22"/>
            <w:lang w:eastAsia="en-US"/>
          </w:rPr>
          <w:t>2968</w:t>
        </w:r>
      </w:hyperlink>
      <w:r w:rsidR="00043048" w:rsidRPr="00043048">
        <w:rPr>
          <w:rFonts w:eastAsia="Times New Roman" w:cs="Arial"/>
          <w:snapToGrid/>
          <w:szCs w:val="22"/>
          <w:lang w:eastAsia="en-US"/>
        </w:rPr>
        <w:t xml:space="preserve"> de la COI)</w:t>
      </w:r>
      <w:r w:rsidR="00043048" w:rsidRPr="00F16BE8">
        <w:rPr>
          <w:rFonts w:eastAsia="Times New Roman" w:cs="Arial"/>
          <w:snapToGrid/>
          <w:szCs w:val="22"/>
          <w:lang w:eastAsia="en-US"/>
        </w:rPr>
        <w:t>.</w:t>
      </w:r>
      <w:r w:rsidR="00F9158E" w:rsidRPr="00F16BE8">
        <w:rPr>
          <w:color w:val="333333"/>
          <w:szCs w:val="22"/>
          <w:shd w:val="clear" w:color="auto" w:fill="FFFFFF"/>
        </w:rPr>
        <w:t xml:space="preserve"> </w:t>
      </w:r>
      <w:r w:rsidR="00F9158E" w:rsidRPr="00F16BE8">
        <w:rPr>
          <w:rFonts w:eastAsia="Times New Roman" w:cs="Arial"/>
          <w:snapToGrid/>
          <w:szCs w:val="22"/>
          <w:lang w:eastAsia="en-US"/>
        </w:rPr>
        <w:t>Il a donc été décidé de laisser du temps et de l’espace entre les deux. En raison du changement de Secrétaire exécutif, qui n’a pris effet que le 1</w:t>
      </w:r>
      <w:r w:rsidR="00F9158E" w:rsidRPr="00F16BE8">
        <w:rPr>
          <w:rFonts w:eastAsia="Times New Roman" w:cs="Arial"/>
          <w:snapToGrid/>
          <w:szCs w:val="22"/>
          <w:vertAlign w:val="superscript"/>
          <w:lang w:eastAsia="en-US"/>
        </w:rPr>
        <w:t>er</w:t>
      </w:r>
      <w:r w:rsidR="00F9158E" w:rsidRPr="00F16BE8">
        <w:rPr>
          <w:rFonts w:eastAsia="Times New Roman" w:cs="Arial"/>
          <w:snapToGrid/>
          <w:szCs w:val="22"/>
          <w:lang w:eastAsia="en-US"/>
        </w:rPr>
        <w:t> mars 2024, et compte tenu de la priorité accordée en mars-avri</w:t>
      </w:r>
      <w:r w:rsidR="00F9158E" w:rsidRPr="00F9158E">
        <w:rPr>
          <w:rFonts w:eastAsia="Times New Roman" w:cs="Arial"/>
          <w:snapToGrid/>
          <w:szCs w:val="22"/>
          <w:lang w:eastAsia="en-US"/>
        </w:rPr>
        <w:t xml:space="preserve">l 2024 à la préparation et </w:t>
      </w:r>
      <w:r w:rsidR="00F9158E">
        <w:rPr>
          <w:rFonts w:eastAsia="Times New Roman" w:cs="Arial"/>
          <w:snapToGrid/>
          <w:szCs w:val="22"/>
          <w:lang w:eastAsia="en-US"/>
        </w:rPr>
        <w:t>au succès</w:t>
      </w:r>
      <w:r w:rsidR="00F9158E" w:rsidRPr="00F9158E">
        <w:rPr>
          <w:rFonts w:eastAsia="Times New Roman" w:cs="Arial"/>
          <w:snapToGrid/>
          <w:szCs w:val="22"/>
          <w:lang w:eastAsia="en-US"/>
        </w:rPr>
        <w:t xml:space="preserve"> de L’édition 2024 de la Conférence internationale de la Décennie de l’Océan à Barcelone, le processus de consultation n</w:t>
      </w:r>
      <w:r w:rsidR="00F9158E">
        <w:rPr>
          <w:rFonts w:eastAsia="Times New Roman" w:cs="Arial"/>
          <w:snapToGrid/>
          <w:szCs w:val="22"/>
          <w:lang w:eastAsia="en-US"/>
        </w:rPr>
        <w:t>’</w:t>
      </w:r>
      <w:r w:rsidR="00F9158E" w:rsidRPr="00F9158E">
        <w:rPr>
          <w:rFonts w:eastAsia="Times New Roman" w:cs="Arial"/>
          <w:snapToGrid/>
          <w:szCs w:val="22"/>
          <w:lang w:eastAsia="en-US"/>
        </w:rPr>
        <w:t>a pas encore été lancé par voie de lettre circulaire.</w:t>
      </w:r>
    </w:p>
    <w:p w14:paraId="41111B02" w14:textId="3879B75E" w:rsidR="00436275" w:rsidRDefault="00F9158E" w:rsidP="00420597">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4.</w:t>
      </w:r>
      <w:r>
        <w:rPr>
          <w:rFonts w:eastAsia="Times New Roman" w:cs="Arial"/>
          <w:snapToGrid/>
          <w:szCs w:val="22"/>
          <w:lang w:eastAsia="en-US"/>
        </w:rPr>
        <w:tab/>
        <w:t>Le présent</w:t>
      </w:r>
      <w:r w:rsidRPr="00F9158E">
        <w:rPr>
          <w:rFonts w:eastAsia="Times New Roman" w:cs="Arial"/>
          <w:snapToGrid/>
          <w:szCs w:val="22"/>
          <w:lang w:eastAsia="en-US"/>
        </w:rPr>
        <w:t xml:space="preserve"> document invite le Conseil exécutif à examiner le cadre et le calendrier proposés pour la consultation et à </w:t>
      </w:r>
      <w:r>
        <w:rPr>
          <w:rFonts w:eastAsia="Times New Roman" w:cs="Arial"/>
          <w:snapToGrid/>
          <w:szCs w:val="22"/>
          <w:lang w:eastAsia="en-US"/>
        </w:rPr>
        <w:t>donner</w:t>
      </w:r>
      <w:r w:rsidRPr="00F9158E">
        <w:rPr>
          <w:rFonts w:eastAsia="Times New Roman" w:cs="Arial"/>
          <w:snapToGrid/>
          <w:szCs w:val="22"/>
          <w:lang w:eastAsia="en-US"/>
        </w:rPr>
        <w:t xml:space="preserve"> des orientations à ce sujet.</w:t>
      </w:r>
      <w:r w:rsidR="00436275" w:rsidRPr="00436275">
        <w:rPr>
          <w:rFonts w:eastAsia="Times New Roman" w:cs="Arial"/>
          <w:snapToGrid/>
          <w:szCs w:val="22"/>
          <w:lang w:eastAsia="en-US"/>
        </w:rPr>
        <w:t xml:space="preserve"> </w:t>
      </w:r>
    </w:p>
    <w:p w14:paraId="2D3B9EF3" w14:textId="3CECFA77" w:rsidR="00F9158E" w:rsidRPr="00F9158E" w:rsidRDefault="00F9158E" w:rsidP="00420597">
      <w:pPr>
        <w:tabs>
          <w:tab w:val="clear" w:pos="567"/>
        </w:tabs>
        <w:snapToGrid/>
        <w:spacing w:after="240"/>
        <w:jc w:val="both"/>
        <w:rPr>
          <w:rFonts w:eastAsia="Times New Roman" w:cs="Arial"/>
          <w:b/>
          <w:bCs/>
          <w:snapToGrid/>
          <w:szCs w:val="22"/>
          <w:lang w:eastAsia="en-US"/>
        </w:rPr>
      </w:pPr>
      <w:r w:rsidRPr="00F9158E">
        <w:rPr>
          <w:rFonts w:eastAsia="Times New Roman" w:cs="Arial"/>
          <w:b/>
          <w:bCs/>
          <w:snapToGrid/>
          <w:szCs w:val="22"/>
          <w:lang w:eastAsia="en-US"/>
        </w:rPr>
        <w:t xml:space="preserve">Vue d’ensemble </w:t>
      </w:r>
    </w:p>
    <w:p w14:paraId="198D4067" w14:textId="16974955" w:rsidR="00F9158E" w:rsidRDefault="00F9158E" w:rsidP="00420597">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5.</w:t>
      </w:r>
      <w:r>
        <w:rPr>
          <w:rFonts w:eastAsia="Times New Roman" w:cs="Arial"/>
          <w:snapToGrid/>
          <w:szCs w:val="22"/>
          <w:lang w:eastAsia="en-US"/>
        </w:rPr>
        <w:tab/>
      </w:r>
      <w:r w:rsidR="001A15D0">
        <w:rPr>
          <w:rFonts w:eastAsia="Times New Roman" w:cs="Arial"/>
          <w:snapToGrid/>
          <w:szCs w:val="22"/>
          <w:lang w:eastAsia="en-US"/>
        </w:rPr>
        <w:t>L</w:t>
      </w:r>
      <w:r w:rsidR="001A15D0" w:rsidRPr="001A15D0">
        <w:rPr>
          <w:rFonts w:eastAsia="Times New Roman" w:cs="Arial"/>
          <w:snapToGrid/>
          <w:szCs w:val="22"/>
          <w:lang w:eastAsia="en-US"/>
        </w:rPr>
        <w:t>a décision de l</w:t>
      </w:r>
      <w:r w:rsidR="001A15D0">
        <w:rPr>
          <w:rFonts w:eastAsia="Times New Roman" w:cs="Arial"/>
          <w:snapToGrid/>
          <w:szCs w:val="22"/>
          <w:lang w:eastAsia="en-US"/>
        </w:rPr>
        <w:t>’</w:t>
      </w:r>
      <w:r w:rsidR="001A15D0" w:rsidRPr="001A15D0">
        <w:rPr>
          <w:rFonts w:eastAsia="Times New Roman" w:cs="Arial"/>
          <w:snapToGrid/>
          <w:szCs w:val="22"/>
          <w:lang w:eastAsia="en-US"/>
        </w:rPr>
        <w:t xml:space="preserve">Assemblée </w:t>
      </w:r>
      <w:r w:rsidR="001A15D0">
        <w:rPr>
          <w:rFonts w:eastAsia="Times New Roman" w:cs="Arial"/>
          <w:snapToGrid/>
          <w:szCs w:val="22"/>
          <w:lang w:eastAsia="en-US"/>
        </w:rPr>
        <w:t>repose sur</w:t>
      </w:r>
      <w:r w:rsidR="001A15D0" w:rsidRPr="001A15D0">
        <w:rPr>
          <w:rFonts w:eastAsia="Times New Roman" w:cs="Arial"/>
          <w:snapToGrid/>
          <w:szCs w:val="22"/>
          <w:lang w:eastAsia="en-US"/>
        </w:rPr>
        <w:t xml:space="preserve"> l</w:t>
      </w:r>
      <w:r w:rsidR="001A15D0">
        <w:rPr>
          <w:rFonts w:eastAsia="Times New Roman" w:cs="Arial"/>
          <w:snapToGrid/>
          <w:szCs w:val="22"/>
          <w:lang w:eastAsia="en-US"/>
        </w:rPr>
        <w:t>’</w:t>
      </w:r>
      <w:r w:rsidR="001A15D0" w:rsidRPr="001A15D0">
        <w:rPr>
          <w:rFonts w:eastAsia="Times New Roman" w:cs="Arial"/>
          <w:snapToGrid/>
          <w:szCs w:val="22"/>
          <w:lang w:eastAsia="en-US"/>
        </w:rPr>
        <w:t xml:space="preserve">objectif de la </w:t>
      </w:r>
      <w:r w:rsidR="001A15D0">
        <w:rPr>
          <w:rFonts w:eastAsia="Times New Roman" w:cs="Arial"/>
          <w:snapToGrid/>
          <w:szCs w:val="22"/>
          <w:lang w:eastAsia="en-US"/>
        </w:rPr>
        <w:t>COI</w:t>
      </w:r>
      <w:r w:rsidR="001A15D0" w:rsidRPr="001A15D0">
        <w:rPr>
          <w:rFonts w:eastAsia="Times New Roman" w:cs="Arial"/>
          <w:snapToGrid/>
          <w:szCs w:val="22"/>
          <w:lang w:eastAsia="en-US"/>
        </w:rPr>
        <w:t xml:space="preserve"> </w:t>
      </w:r>
      <w:r w:rsidR="001A15D0">
        <w:rPr>
          <w:rFonts w:eastAsia="Times New Roman" w:cs="Arial"/>
          <w:snapToGrid/>
          <w:szCs w:val="22"/>
          <w:lang w:eastAsia="en-US"/>
        </w:rPr>
        <w:t xml:space="preserve">tel que </w:t>
      </w:r>
      <w:r w:rsidR="001A15D0" w:rsidRPr="001A15D0">
        <w:rPr>
          <w:rFonts w:eastAsia="Times New Roman" w:cs="Arial"/>
          <w:snapToGrid/>
          <w:szCs w:val="22"/>
          <w:lang w:eastAsia="en-US"/>
        </w:rPr>
        <w:t>défini à l</w:t>
      </w:r>
      <w:r w:rsidR="001A15D0">
        <w:rPr>
          <w:rFonts w:eastAsia="Times New Roman" w:cs="Arial"/>
          <w:snapToGrid/>
          <w:szCs w:val="22"/>
          <w:lang w:eastAsia="en-US"/>
        </w:rPr>
        <w:t>’</w:t>
      </w:r>
      <w:r w:rsidR="001A15D0" w:rsidRPr="001A15D0">
        <w:rPr>
          <w:rFonts w:eastAsia="Times New Roman" w:cs="Arial"/>
          <w:snapToGrid/>
          <w:szCs w:val="22"/>
          <w:lang w:eastAsia="en-US"/>
        </w:rPr>
        <w:t>article</w:t>
      </w:r>
      <w:r w:rsidR="001A15D0">
        <w:rPr>
          <w:rFonts w:eastAsia="Times New Roman" w:cs="Arial"/>
          <w:snapToGrid/>
          <w:szCs w:val="22"/>
          <w:lang w:eastAsia="en-US"/>
        </w:rPr>
        <w:t> </w:t>
      </w:r>
      <w:r w:rsidR="001A15D0" w:rsidRPr="001A15D0">
        <w:rPr>
          <w:rFonts w:eastAsia="Times New Roman" w:cs="Arial"/>
          <w:snapToGrid/>
          <w:szCs w:val="22"/>
          <w:lang w:eastAsia="en-US"/>
        </w:rPr>
        <w:t>2.2 de</w:t>
      </w:r>
      <w:r w:rsidR="001A15D0">
        <w:rPr>
          <w:rFonts w:eastAsia="Times New Roman" w:cs="Arial"/>
          <w:snapToGrid/>
          <w:szCs w:val="22"/>
          <w:lang w:eastAsia="en-US"/>
        </w:rPr>
        <w:t xml:space="preserve"> ses</w:t>
      </w:r>
      <w:r w:rsidR="001A15D0" w:rsidRPr="001A15D0">
        <w:rPr>
          <w:rFonts w:eastAsia="Times New Roman" w:cs="Arial"/>
          <w:snapToGrid/>
          <w:szCs w:val="22"/>
          <w:lang w:eastAsia="en-US"/>
        </w:rPr>
        <w:t xml:space="preserve"> </w:t>
      </w:r>
      <w:r w:rsidR="00F16BE8" w:rsidRPr="001A15D0">
        <w:rPr>
          <w:rFonts w:eastAsia="Times New Roman" w:cs="Arial"/>
          <w:snapToGrid/>
          <w:szCs w:val="22"/>
          <w:lang w:eastAsia="en-US"/>
        </w:rPr>
        <w:t>Statuts</w:t>
      </w:r>
      <w:r w:rsidR="001A15D0">
        <w:rPr>
          <w:rFonts w:eastAsia="Times New Roman" w:cs="Arial"/>
          <w:snapToGrid/>
          <w:szCs w:val="22"/>
          <w:lang w:eastAsia="en-US"/>
        </w:rPr>
        <w:t>, selon lequel la Commission a pour but</w:t>
      </w:r>
      <w:r w:rsidR="001A15D0" w:rsidRPr="001A15D0">
        <w:rPr>
          <w:rFonts w:eastAsia="Times New Roman" w:cs="Arial"/>
          <w:snapToGrid/>
          <w:szCs w:val="22"/>
          <w:lang w:eastAsia="en-US"/>
        </w:rPr>
        <w:t> :</w:t>
      </w:r>
    </w:p>
    <w:p w14:paraId="5B3D3E01" w14:textId="636C6230" w:rsidR="001A15D0" w:rsidRPr="001A15D0" w:rsidRDefault="001A15D0" w:rsidP="00420597">
      <w:pPr>
        <w:tabs>
          <w:tab w:val="clear" w:pos="567"/>
        </w:tabs>
        <w:snapToGrid/>
        <w:spacing w:after="240"/>
        <w:ind w:left="567"/>
        <w:jc w:val="both"/>
        <w:rPr>
          <w:rFonts w:eastAsia="Times New Roman" w:cs="Arial"/>
          <w:i/>
          <w:iCs/>
          <w:snapToGrid/>
          <w:szCs w:val="22"/>
          <w:lang w:eastAsia="en-US"/>
        </w:rPr>
      </w:pPr>
      <w:r w:rsidRPr="001A15D0">
        <w:rPr>
          <w:rFonts w:eastAsia="Times New Roman" w:cs="Arial"/>
          <w:i/>
          <w:iCs/>
          <w:snapToGrid/>
          <w:szCs w:val="22"/>
          <w:lang w:eastAsia="en-US"/>
        </w:rPr>
        <w:t xml:space="preserve">[…] </w:t>
      </w:r>
      <w:r w:rsidRPr="001A15D0">
        <w:rPr>
          <w:rFonts w:eastAsia="Times New Roman" w:cs="Arial"/>
          <w:i/>
          <w:iCs/>
          <w:snapToGrid/>
          <w:szCs w:val="22"/>
          <w:u w:val="single"/>
          <w:lang w:eastAsia="en-US"/>
        </w:rPr>
        <w:t>de promouvoir</w:t>
      </w:r>
      <w:r w:rsidRPr="001A15D0">
        <w:rPr>
          <w:rFonts w:eastAsia="Times New Roman" w:cs="Arial"/>
          <w:i/>
          <w:iCs/>
          <w:snapToGrid/>
          <w:szCs w:val="22"/>
          <w:lang w:eastAsia="en-US"/>
        </w:rPr>
        <w:t xml:space="preserve"> la coopération internationale et de coordonner les programmes de recherche, les services et le renforcement des capacités afin d’accroître les connaissances relatives à la nature et aux ressources des océans et des zones côtières </w:t>
      </w:r>
      <w:r w:rsidRPr="001A15D0">
        <w:rPr>
          <w:rFonts w:eastAsia="Times New Roman" w:cs="Arial"/>
          <w:i/>
          <w:iCs/>
          <w:snapToGrid/>
          <w:szCs w:val="22"/>
          <w:u w:val="single"/>
          <w:lang w:eastAsia="en-US"/>
        </w:rPr>
        <w:t>et d’appliquer</w:t>
      </w:r>
      <w:r w:rsidRPr="001A15D0">
        <w:rPr>
          <w:rFonts w:eastAsia="Times New Roman" w:cs="Arial"/>
          <w:i/>
          <w:iCs/>
          <w:snapToGrid/>
          <w:szCs w:val="22"/>
          <w:lang w:eastAsia="en-US"/>
        </w:rPr>
        <w:t xml:space="preserve"> ces connaissances à l’amélioration de la gestion, au développement durable, à la protection du milieu marin et aux processus de prise de décisions par ses États membres.</w:t>
      </w:r>
    </w:p>
    <w:p w14:paraId="29FB3E55" w14:textId="02E62D05" w:rsidR="001A15D0" w:rsidRDefault="001A15D0" w:rsidP="00420597">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6.</w:t>
      </w:r>
      <w:r>
        <w:rPr>
          <w:rFonts w:eastAsia="Times New Roman" w:cs="Arial"/>
          <w:snapToGrid/>
          <w:szCs w:val="22"/>
          <w:lang w:eastAsia="en-US"/>
        </w:rPr>
        <w:tab/>
      </w:r>
      <w:r w:rsidR="00461AE9" w:rsidRPr="00461AE9">
        <w:rPr>
          <w:rFonts w:eastAsia="Times New Roman" w:cs="Arial"/>
          <w:snapToGrid/>
          <w:szCs w:val="22"/>
          <w:lang w:eastAsia="en-US"/>
        </w:rPr>
        <w:t xml:space="preserve">Depuis sa création, la COI a </w:t>
      </w:r>
      <w:r w:rsidR="00461AE9">
        <w:rPr>
          <w:rFonts w:eastAsia="Times New Roman" w:cs="Arial"/>
          <w:snapToGrid/>
          <w:szCs w:val="22"/>
          <w:lang w:eastAsia="en-US"/>
        </w:rPr>
        <w:t xml:space="preserve">essentiellement </w:t>
      </w:r>
      <w:r w:rsidR="00461AE9" w:rsidRPr="00461AE9">
        <w:rPr>
          <w:rFonts w:eastAsia="Times New Roman" w:cs="Arial"/>
          <w:snapToGrid/>
          <w:szCs w:val="22"/>
          <w:lang w:eastAsia="en-US"/>
        </w:rPr>
        <w:t xml:space="preserve">agi comme un réseau de coopération internationale dans le domaine de la recherche et des services océaniques, </w:t>
      </w:r>
      <w:r w:rsidR="00461AE9">
        <w:rPr>
          <w:rFonts w:eastAsia="Times New Roman" w:cs="Arial"/>
          <w:snapToGrid/>
          <w:szCs w:val="22"/>
          <w:lang w:eastAsia="en-US"/>
        </w:rPr>
        <w:t>remplissant ainsi parfaitement</w:t>
      </w:r>
      <w:r w:rsidR="00461AE9" w:rsidRPr="00461AE9">
        <w:rPr>
          <w:rFonts w:eastAsia="Times New Roman" w:cs="Arial"/>
          <w:snapToGrid/>
          <w:szCs w:val="22"/>
          <w:lang w:eastAsia="en-US"/>
        </w:rPr>
        <w:t xml:space="preserve"> la première moitié de </w:t>
      </w:r>
      <w:r w:rsidR="00461AE9">
        <w:rPr>
          <w:rFonts w:eastAsia="Times New Roman" w:cs="Arial"/>
          <w:snapToGrid/>
          <w:szCs w:val="22"/>
          <w:lang w:eastAsia="en-US"/>
        </w:rPr>
        <w:t>la mission</w:t>
      </w:r>
      <w:r w:rsidR="00461AE9" w:rsidRPr="00461AE9">
        <w:rPr>
          <w:rFonts w:eastAsia="Times New Roman" w:cs="Arial"/>
          <w:snapToGrid/>
          <w:szCs w:val="22"/>
          <w:lang w:eastAsia="en-US"/>
        </w:rPr>
        <w:t xml:space="preserve"> </w:t>
      </w:r>
      <w:r w:rsidR="00461AE9">
        <w:rPr>
          <w:rFonts w:eastAsia="Times New Roman" w:cs="Arial"/>
          <w:snapToGrid/>
          <w:szCs w:val="22"/>
          <w:lang w:eastAsia="en-US"/>
        </w:rPr>
        <w:t xml:space="preserve">qui est la sienne en vertu de ses </w:t>
      </w:r>
      <w:r w:rsidR="00F16BE8">
        <w:rPr>
          <w:rFonts w:eastAsia="Times New Roman" w:cs="Arial"/>
          <w:snapToGrid/>
          <w:szCs w:val="22"/>
          <w:lang w:eastAsia="en-US"/>
        </w:rPr>
        <w:t>Statu</w:t>
      </w:r>
      <w:r w:rsidR="00F16BE8" w:rsidRPr="00F16BE8">
        <w:rPr>
          <w:rFonts w:eastAsia="Times New Roman" w:cs="Arial"/>
          <w:snapToGrid/>
          <w:szCs w:val="22"/>
          <w:lang w:eastAsia="en-US"/>
        </w:rPr>
        <w:t>ts</w:t>
      </w:r>
      <w:r w:rsidR="00461AE9" w:rsidRPr="00F16BE8">
        <w:rPr>
          <w:rFonts w:eastAsia="Times New Roman" w:cs="Arial"/>
          <w:snapToGrid/>
          <w:szCs w:val="22"/>
          <w:lang w:eastAsia="en-US"/>
        </w:rPr>
        <w:t>.</w:t>
      </w:r>
      <w:r w:rsidR="00461AE9" w:rsidRPr="00F16BE8">
        <w:rPr>
          <w:color w:val="333333"/>
          <w:szCs w:val="22"/>
          <w:shd w:val="clear" w:color="auto" w:fill="FFFFFF"/>
        </w:rPr>
        <w:t xml:space="preserve"> </w:t>
      </w:r>
      <w:r w:rsidR="00461AE9" w:rsidRPr="00F16BE8">
        <w:rPr>
          <w:rFonts w:eastAsia="Times New Roman" w:cs="Arial"/>
          <w:snapToGrid/>
          <w:szCs w:val="22"/>
          <w:lang w:eastAsia="en-US"/>
        </w:rPr>
        <w:t xml:space="preserve">Il reste toutefois d’importantes lacunes à combler, tant en ce qui concerne les connaissances que nous n’avons pas encore acquises qu’en ce qui concerne les nouveaux besoins découlant de </w:t>
      </w:r>
      <w:bookmarkStart w:id="2" w:name="_Hlk166571082"/>
      <w:r w:rsidR="00461AE9" w:rsidRPr="00F16BE8">
        <w:rPr>
          <w:rFonts w:eastAsia="Times New Roman" w:cs="Arial"/>
          <w:snapToGrid/>
          <w:szCs w:val="22"/>
          <w:lang w:eastAsia="en-US"/>
        </w:rPr>
        <w:t>l’évoluti</w:t>
      </w:r>
      <w:r w:rsidR="00461AE9" w:rsidRPr="00461AE9">
        <w:rPr>
          <w:rFonts w:eastAsia="Times New Roman" w:cs="Arial"/>
          <w:snapToGrid/>
          <w:szCs w:val="22"/>
          <w:lang w:eastAsia="en-US"/>
        </w:rPr>
        <w:t>on rapide</w:t>
      </w:r>
      <w:bookmarkEnd w:id="2"/>
      <w:r w:rsidR="00461AE9" w:rsidRPr="00461AE9">
        <w:rPr>
          <w:rFonts w:eastAsia="Times New Roman" w:cs="Arial"/>
          <w:snapToGrid/>
          <w:szCs w:val="22"/>
          <w:lang w:eastAsia="en-US"/>
        </w:rPr>
        <w:t xml:space="preserve"> des écosystèmes océaniques.</w:t>
      </w:r>
    </w:p>
    <w:p w14:paraId="3D439A8C" w14:textId="30992D32" w:rsidR="00461AE9" w:rsidRDefault="00461AE9" w:rsidP="00420597">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7.</w:t>
      </w:r>
      <w:r>
        <w:rPr>
          <w:rFonts w:eastAsia="Times New Roman" w:cs="Arial"/>
          <w:snapToGrid/>
          <w:szCs w:val="22"/>
          <w:lang w:eastAsia="en-US"/>
        </w:rPr>
        <w:tab/>
      </w:r>
      <w:r w:rsidR="00E20756" w:rsidRPr="00E20756">
        <w:rPr>
          <w:rFonts w:eastAsia="Times New Roman" w:cs="Arial"/>
          <w:snapToGrid/>
          <w:szCs w:val="22"/>
          <w:lang w:eastAsia="en-US"/>
        </w:rPr>
        <w:t xml:space="preserve">Dans le même temps, </w:t>
      </w:r>
      <w:r w:rsidR="00E20756">
        <w:rPr>
          <w:rFonts w:eastAsia="Times New Roman" w:cs="Arial"/>
          <w:snapToGrid/>
          <w:szCs w:val="22"/>
          <w:lang w:eastAsia="en-US"/>
        </w:rPr>
        <w:t xml:space="preserve">cette </w:t>
      </w:r>
      <w:r w:rsidR="00E20756" w:rsidRPr="00E20756">
        <w:rPr>
          <w:rFonts w:eastAsia="Times New Roman" w:cs="Arial"/>
          <w:snapToGrid/>
          <w:szCs w:val="22"/>
          <w:lang w:eastAsia="en-US"/>
        </w:rPr>
        <w:t>évolution rapide constitue un appel pressant à une application plus systématique, plus ciblée et plus rapide des connaissances aux processus décisionnels dans les secteurs public et privé ainsi que dans les processus multilatéraux.</w:t>
      </w:r>
    </w:p>
    <w:p w14:paraId="4DD37B1D" w14:textId="3D52801F" w:rsidR="00602FC3" w:rsidRDefault="00E412B7" w:rsidP="00420597">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8.</w:t>
      </w:r>
      <w:r>
        <w:rPr>
          <w:rFonts w:eastAsia="Times New Roman" w:cs="Arial"/>
          <w:snapToGrid/>
          <w:szCs w:val="22"/>
          <w:lang w:eastAsia="en-US"/>
        </w:rPr>
        <w:tab/>
        <w:t>Depuis l’existence de la COI</w:t>
      </w:r>
      <w:r w:rsidRPr="00E412B7">
        <w:rPr>
          <w:rFonts w:eastAsia="Times New Roman" w:cs="Arial"/>
          <w:snapToGrid/>
          <w:szCs w:val="22"/>
          <w:lang w:eastAsia="en-US"/>
        </w:rPr>
        <w:t>, nous avons assisté à une accélération spectaculaire de l</w:t>
      </w:r>
      <w:r>
        <w:rPr>
          <w:rFonts w:eastAsia="Times New Roman" w:cs="Arial"/>
          <w:snapToGrid/>
          <w:szCs w:val="22"/>
          <w:lang w:eastAsia="en-US"/>
        </w:rPr>
        <w:t>’</w:t>
      </w:r>
      <w:r w:rsidRPr="00E412B7">
        <w:rPr>
          <w:rFonts w:eastAsia="Times New Roman" w:cs="Arial"/>
          <w:snapToGrid/>
          <w:szCs w:val="22"/>
          <w:lang w:eastAsia="en-US"/>
        </w:rPr>
        <w:t xml:space="preserve">impact de </w:t>
      </w:r>
      <w:r>
        <w:rPr>
          <w:rFonts w:eastAsia="Times New Roman" w:cs="Arial"/>
          <w:snapToGrid/>
          <w:szCs w:val="22"/>
          <w:lang w:eastAsia="en-US"/>
        </w:rPr>
        <w:t>l’activité humaine</w:t>
      </w:r>
      <w:r w:rsidRPr="00E412B7">
        <w:rPr>
          <w:rFonts w:eastAsia="Times New Roman" w:cs="Arial"/>
          <w:snapToGrid/>
          <w:szCs w:val="22"/>
          <w:lang w:eastAsia="en-US"/>
        </w:rPr>
        <w:t xml:space="preserve"> sur l</w:t>
      </w:r>
      <w:r>
        <w:rPr>
          <w:rFonts w:eastAsia="Times New Roman" w:cs="Arial"/>
          <w:snapToGrid/>
          <w:szCs w:val="22"/>
          <w:lang w:eastAsia="en-US"/>
        </w:rPr>
        <w:t>’</w:t>
      </w:r>
      <w:r w:rsidRPr="00E412B7">
        <w:rPr>
          <w:rFonts w:eastAsia="Times New Roman" w:cs="Arial"/>
          <w:snapToGrid/>
          <w:szCs w:val="22"/>
          <w:lang w:eastAsia="en-US"/>
        </w:rPr>
        <w:t xml:space="preserve">océan, parfois appelée </w:t>
      </w:r>
      <w:r>
        <w:rPr>
          <w:rFonts w:eastAsia="Times New Roman" w:cs="Arial"/>
          <w:snapToGrid/>
          <w:szCs w:val="22"/>
          <w:lang w:eastAsia="en-US"/>
        </w:rPr>
        <w:t>« </w:t>
      </w:r>
      <w:r w:rsidRPr="00E412B7">
        <w:rPr>
          <w:rFonts w:eastAsia="Times New Roman" w:cs="Arial"/>
          <w:i/>
          <w:iCs/>
          <w:snapToGrid/>
          <w:szCs w:val="22"/>
          <w:lang w:eastAsia="en-US"/>
        </w:rPr>
        <w:t>accélération bleue</w:t>
      </w:r>
      <w:r>
        <w:rPr>
          <w:rFonts w:eastAsia="Times New Roman" w:cs="Arial"/>
          <w:snapToGrid/>
          <w:szCs w:val="22"/>
          <w:lang w:eastAsia="en-US"/>
        </w:rPr>
        <w:t> »</w:t>
      </w:r>
      <w:r>
        <w:rPr>
          <w:rStyle w:val="FootnoteReference"/>
          <w:rFonts w:eastAsia="Times New Roman" w:cs="Arial"/>
          <w:snapToGrid/>
          <w:szCs w:val="22"/>
          <w:lang w:eastAsia="en-US"/>
        </w:rPr>
        <w:footnoteReference w:id="1"/>
      </w:r>
      <w:r>
        <w:rPr>
          <w:rFonts w:eastAsia="Times New Roman" w:cs="Arial"/>
          <w:snapToGrid/>
          <w:szCs w:val="22"/>
          <w:lang w:eastAsia="en-US"/>
        </w:rPr>
        <w:t>. Depuis une dizaine</w:t>
      </w:r>
      <w:r w:rsidRPr="00E412B7">
        <w:rPr>
          <w:rFonts w:eastAsia="Times New Roman" w:cs="Arial"/>
          <w:snapToGrid/>
          <w:szCs w:val="22"/>
          <w:lang w:eastAsia="en-US"/>
        </w:rPr>
        <w:t xml:space="preserve"> </w:t>
      </w:r>
      <w:r>
        <w:rPr>
          <w:rFonts w:eastAsia="Times New Roman" w:cs="Arial"/>
          <w:snapToGrid/>
          <w:szCs w:val="22"/>
          <w:lang w:eastAsia="en-US"/>
        </w:rPr>
        <w:t>d’années</w:t>
      </w:r>
      <w:r w:rsidRPr="00E412B7">
        <w:rPr>
          <w:rFonts w:eastAsia="Times New Roman" w:cs="Arial"/>
          <w:snapToGrid/>
          <w:szCs w:val="22"/>
          <w:lang w:eastAsia="en-US"/>
        </w:rPr>
        <w:t>, l</w:t>
      </w:r>
      <w:r>
        <w:rPr>
          <w:rFonts w:eastAsia="Times New Roman" w:cs="Arial"/>
          <w:snapToGrid/>
          <w:szCs w:val="22"/>
          <w:lang w:eastAsia="en-US"/>
        </w:rPr>
        <w:t>’</w:t>
      </w:r>
      <w:r w:rsidRPr="00E412B7">
        <w:rPr>
          <w:rFonts w:eastAsia="Times New Roman" w:cs="Arial"/>
          <w:snapToGrid/>
          <w:szCs w:val="22"/>
          <w:lang w:eastAsia="en-US"/>
        </w:rPr>
        <w:t>importance de l</w:t>
      </w:r>
      <w:r>
        <w:rPr>
          <w:rFonts w:eastAsia="Times New Roman" w:cs="Arial"/>
          <w:snapToGrid/>
          <w:szCs w:val="22"/>
          <w:lang w:eastAsia="en-US"/>
        </w:rPr>
        <w:t>’</w:t>
      </w:r>
      <w:r w:rsidRPr="00E412B7">
        <w:rPr>
          <w:rFonts w:eastAsia="Times New Roman" w:cs="Arial"/>
          <w:snapToGrid/>
          <w:szCs w:val="22"/>
          <w:lang w:eastAsia="en-US"/>
        </w:rPr>
        <w:t>océan po</w:t>
      </w:r>
      <w:r w:rsidRPr="00F16BE8">
        <w:rPr>
          <w:rFonts w:eastAsia="Times New Roman" w:cs="Arial"/>
          <w:snapToGrid/>
          <w:szCs w:val="22"/>
          <w:lang w:eastAsia="en-US"/>
        </w:rPr>
        <w:t>ur les économies nationales et mondiale, ainsi que p</w:t>
      </w:r>
      <w:r w:rsidRPr="00E412B7">
        <w:rPr>
          <w:rFonts w:eastAsia="Times New Roman" w:cs="Arial"/>
          <w:snapToGrid/>
          <w:szCs w:val="22"/>
          <w:lang w:eastAsia="en-US"/>
        </w:rPr>
        <w:t>our les processus planétaires</w:t>
      </w:r>
      <w:r>
        <w:rPr>
          <w:rFonts w:eastAsia="Times New Roman" w:cs="Arial"/>
          <w:snapToGrid/>
          <w:szCs w:val="22"/>
          <w:lang w:eastAsia="en-US"/>
        </w:rPr>
        <w:t>,</w:t>
      </w:r>
      <w:r w:rsidRPr="00E412B7">
        <w:rPr>
          <w:rFonts w:eastAsia="Times New Roman" w:cs="Arial"/>
          <w:snapToGrid/>
          <w:szCs w:val="22"/>
          <w:lang w:eastAsia="en-US"/>
        </w:rPr>
        <w:t xml:space="preserve"> </w:t>
      </w:r>
      <w:r w:rsidR="004D4AF7">
        <w:rPr>
          <w:rFonts w:eastAsia="Times New Roman" w:cs="Arial"/>
          <w:snapToGrid/>
          <w:szCs w:val="22"/>
          <w:lang w:eastAsia="en-US"/>
        </w:rPr>
        <w:t>fait l’objet d’une prise de conscience et d’une reconnaissance croissantes</w:t>
      </w:r>
      <w:r w:rsidRPr="00E412B7">
        <w:rPr>
          <w:rFonts w:eastAsia="Times New Roman" w:cs="Arial"/>
          <w:snapToGrid/>
          <w:szCs w:val="22"/>
          <w:lang w:eastAsia="en-US"/>
        </w:rPr>
        <w:t>.</w:t>
      </w:r>
      <w:r w:rsidR="004D4AF7">
        <w:rPr>
          <w:rFonts w:eastAsia="Times New Roman" w:cs="Arial"/>
          <w:snapToGrid/>
          <w:szCs w:val="22"/>
          <w:lang w:eastAsia="en-US"/>
        </w:rPr>
        <w:t xml:space="preserve"> C’est ce que traduisent</w:t>
      </w:r>
      <w:r w:rsidR="004D4AF7" w:rsidRPr="004D4AF7">
        <w:rPr>
          <w:rFonts w:eastAsia="Times New Roman" w:cs="Arial"/>
          <w:snapToGrid/>
          <w:szCs w:val="22"/>
          <w:lang w:eastAsia="en-US"/>
        </w:rPr>
        <w:t xml:space="preserve"> </w:t>
      </w:r>
      <w:r w:rsidR="004D4AF7">
        <w:rPr>
          <w:rFonts w:eastAsia="Times New Roman" w:cs="Arial"/>
          <w:snapToGrid/>
          <w:szCs w:val="22"/>
          <w:lang w:eastAsia="en-US"/>
        </w:rPr>
        <w:t>notamment l’</w:t>
      </w:r>
      <w:r w:rsidR="004D4AF7" w:rsidRPr="004D4AF7">
        <w:rPr>
          <w:rFonts w:eastAsia="Times New Roman" w:cs="Arial"/>
          <w:snapToGrid/>
          <w:szCs w:val="22"/>
          <w:lang w:eastAsia="en-US"/>
        </w:rPr>
        <w:t>ODD</w:t>
      </w:r>
      <w:r w:rsidR="004D4AF7">
        <w:rPr>
          <w:rFonts w:eastAsia="Times New Roman" w:cs="Arial"/>
          <w:snapToGrid/>
          <w:szCs w:val="22"/>
          <w:lang w:eastAsia="en-US"/>
        </w:rPr>
        <w:t> </w:t>
      </w:r>
      <w:r w:rsidR="004D4AF7" w:rsidRPr="004D4AF7">
        <w:rPr>
          <w:rFonts w:eastAsia="Times New Roman" w:cs="Arial"/>
          <w:snapToGrid/>
          <w:szCs w:val="22"/>
          <w:lang w:eastAsia="en-US"/>
        </w:rPr>
        <w:t xml:space="preserve">14 et les </w:t>
      </w:r>
      <w:r w:rsidR="004D4AF7">
        <w:rPr>
          <w:rFonts w:eastAsia="Times New Roman" w:cs="Arial"/>
          <w:snapToGrid/>
          <w:szCs w:val="22"/>
          <w:lang w:eastAsia="en-US"/>
        </w:rPr>
        <w:t>c</w:t>
      </w:r>
      <w:r w:rsidR="004D4AF7" w:rsidRPr="004D4AF7">
        <w:rPr>
          <w:rFonts w:eastAsia="Times New Roman" w:cs="Arial"/>
          <w:snapToGrid/>
          <w:szCs w:val="22"/>
          <w:lang w:eastAsia="en-US"/>
        </w:rPr>
        <w:t xml:space="preserve">onférences </w:t>
      </w:r>
      <w:r w:rsidR="004D4AF7">
        <w:rPr>
          <w:rFonts w:eastAsia="Times New Roman" w:cs="Arial"/>
          <w:snapToGrid/>
          <w:szCs w:val="22"/>
          <w:lang w:eastAsia="en-US"/>
        </w:rPr>
        <w:t>des Nations Unies</w:t>
      </w:r>
      <w:r w:rsidR="004D4AF7" w:rsidRPr="004D4AF7">
        <w:rPr>
          <w:rFonts w:eastAsia="Times New Roman" w:cs="Arial"/>
          <w:snapToGrid/>
          <w:szCs w:val="22"/>
          <w:lang w:eastAsia="en-US"/>
        </w:rPr>
        <w:t xml:space="preserve"> sur </w:t>
      </w:r>
      <w:r w:rsidR="004D4AF7">
        <w:rPr>
          <w:rFonts w:eastAsia="Times New Roman" w:cs="Arial"/>
          <w:snapToGrid/>
          <w:szCs w:val="22"/>
          <w:lang w:eastAsia="en-US"/>
        </w:rPr>
        <w:t>l’o</w:t>
      </w:r>
      <w:r w:rsidR="004D4AF7" w:rsidRPr="004D4AF7">
        <w:rPr>
          <w:rFonts w:eastAsia="Times New Roman" w:cs="Arial"/>
          <w:snapToGrid/>
          <w:szCs w:val="22"/>
          <w:lang w:eastAsia="en-US"/>
        </w:rPr>
        <w:t xml:space="preserve">céan, </w:t>
      </w:r>
      <w:r w:rsidR="004D4AF7">
        <w:rPr>
          <w:rFonts w:eastAsia="Times New Roman" w:cs="Arial"/>
          <w:snapToGrid/>
          <w:szCs w:val="22"/>
          <w:lang w:eastAsia="en-US"/>
        </w:rPr>
        <w:t xml:space="preserve">avec </w:t>
      </w:r>
      <w:r w:rsidR="004D4AF7">
        <w:rPr>
          <w:rFonts w:eastAsia="Times New Roman" w:cs="Arial"/>
          <w:snapToGrid/>
          <w:szCs w:val="22"/>
          <w:lang w:eastAsia="en-US"/>
        </w:rPr>
        <w:lastRenderedPageBreak/>
        <w:t>en point d’orgue</w:t>
      </w:r>
      <w:r w:rsidR="004D4AF7" w:rsidRPr="004D4AF7">
        <w:rPr>
          <w:rFonts w:eastAsia="Times New Roman" w:cs="Arial"/>
          <w:snapToGrid/>
          <w:szCs w:val="22"/>
          <w:lang w:eastAsia="en-US"/>
        </w:rPr>
        <w:t xml:space="preserve"> l</w:t>
      </w:r>
      <w:r w:rsidR="004D4AF7">
        <w:rPr>
          <w:rFonts w:eastAsia="Times New Roman" w:cs="Arial"/>
          <w:snapToGrid/>
          <w:szCs w:val="22"/>
          <w:lang w:eastAsia="en-US"/>
        </w:rPr>
        <w:t>’</w:t>
      </w:r>
      <w:r w:rsidR="004D4AF7" w:rsidRPr="004D4AF7">
        <w:rPr>
          <w:rFonts w:eastAsia="Times New Roman" w:cs="Arial"/>
          <w:snapToGrid/>
          <w:szCs w:val="22"/>
          <w:lang w:eastAsia="en-US"/>
        </w:rPr>
        <w:t>instauration de la Décennie des Nations Unies pour les sciences océaniques au service du développement durable.</w:t>
      </w:r>
      <w:r w:rsidR="004D4AF7">
        <w:rPr>
          <w:rFonts w:eastAsia="Times New Roman" w:cs="Arial"/>
          <w:snapToGrid/>
          <w:szCs w:val="22"/>
          <w:lang w:eastAsia="en-US"/>
        </w:rPr>
        <w:t xml:space="preserve"> </w:t>
      </w:r>
      <w:r w:rsidR="00602FC3">
        <w:rPr>
          <w:rFonts w:eastAsia="Times New Roman" w:cs="Arial"/>
          <w:snapToGrid/>
          <w:szCs w:val="22"/>
          <w:lang w:eastAsia="en-US"/>
        </w:rPr>
        <w:t>En termes d’</w:t>
      </w:r>
      <w:r w:rsidR="00A17A83" w:rsidRPr="00A17A83">
        <w:rPr>
          <w:rFonts w:eastAsia="Times New Roman" w:cs="Arial"/>
          <w:snapToGrid/>
          <w:szCs w:val="22"/>
          <w:lang w:eastAsia="en-US"/>
        </w:rPr>
        <w:t>action nationale, les 18</w:t>
      </w:r>
      <w:r w:rsidR="00F16BE8">
        <w:rPr>
          <w:rFonts w:eastAsia="Times New Roman" w:cs="Arial"/>
          <w:snapToGrid/>
          <w:szCs w:val="22"/>
          <w:lang w:eastAsia="en-US"/>
        </w:rPr>
        <w:t> </w:t>
      </w:r>
      <w:r w:rsidR="00A17A83" w:rsidRPr="00A17A83">
        <w:rPr>
          <w:rFonts w:eastAsia="Times New Roman" w:cs="Arial"/>
          <w:snapToGrid/>
          <w:szCs w:val="22"/>
          <w:lang w:eastAsia="en-US"/>
        </w:rPr>
        <w:t>chefs d</w:t>
      </w:r>
      <w:r w:rsidR="00602FC3">
        <w:rPr>
          <w:rFonts w:eastAsia="Times New Roman" w:cs="Arial"/>
          <w:snapToGrid/>
          <w:szCs w:val="22"/>
          <w:lang w:eastAsia="en-US"/>
        </w:rPr>
        <w:t>’</w:t>
      </w:r>
      <w:r w:rsidR="00A17A83" w:rsidRPr="00A17A83">
        <w:rPr>
          <w:rFonts w:eastAsia="Times New Roman" w:cs="Arial"/>
          <w:snapToGrid/>
          <w:szCs w:val="22"/>
          <w:lang w:eastAsia="en-US"/>
        </w:rPr>
        <w:t xml:space="preserve">État et de gouvernement </w:t>
      </w:r>
      <w:r w:rsidR="00602FC3">
        <w:rPr>
          <w:rFonts w:eastAsia="Times New Roman" w:cs="Arial"/>
          <w:snapToGrid/>
          <w:szCs w:val="22"/>
          <w:lang w:eastAsia="en-US"/>
        </w:rPr>
        <w:t>membres du</w:t>
      </w:r>
      <w:r w:rsidR="00A17A83" w:rsidRPr="00A17A83">
        <w:rPr>
          <w:rFonts w:eastAsia="Times New Roman" w:cs="Arial"/>
          <w:snapToGrid/>
          <w:szCs w:val="22"/>
          <w:lang w:eastAsia="en-US"/>
        </w:rPr>
        <w:t xml:space="preserve"> Groupe de haut niveau pour une économie océanique durable</w:t>
      </w:r>
      <w:r w:rsidR="00602FC3">
        <w:rPr>
          <w:rStyle w:val="FootnoteReference"/>
          <w:rFonts w:eastAsia="Times New Roman" w:cs="Arial"/>
          <w:snapToGrid/>
          <w:szCs w:val="22"/>
          <w:lang w:eastAsia="en-US"/>
        </w:rPr>
        <w:footnoteReference w:id="2"/>
      </w:r>
      <w:r w:rsidR="00A17A83" w:rsidRPr="00A17A83">
        <w:rPr>
          <w:rFonts w:eastAsia="Times New Roman" w:cs="Arial"/>
          <w:snapToGrid/>
          <w:szCs w:val="22"/>
          <w:lang w:eastAsia="en-US"/>
        </w:rPr>
        <w:t xml:space="preserve">, qui représentent plus de la moitié des </w:t>
      </w:r>
      <w:r w:rsidR="00602FC3">
        <w:rPr>
          <w:rFonts w:eastAsia="Times New Roman" w:cs="Arial"/>
          <w:snapToGrid/>
          <w:szCs w:val="22"/>
          <w:lang w:eastAsia="en-US"/>
        </w:rPr>
        <w:t>espaces marins</w:t>
      </w:r>
      <w:r w:rsidR="00A17A83" w:rsidRPr="00A17A83">
        <w:rPr>
          <w:rFonts w:eastAsia="Times New Roman" w:cs="Arial"/>
          <w:snapToGrid/>
          <w:szCs w:val="22"/>
          <w:lang w:eastAsia="en-US"/>
        </w:rPr>
        <w:t xml:space="preserve"> du monde placés sous juridiction nationale, se</w:t>
      </w:r>
      <w:r w:rsidR="00602FC3">
        <w:rPr>
          <w:rFonts w:eastAsia="Times New Roman" w:cs="Arial"/>
          <w:snapToGrid/>
          <w:szCs w:val="22"/>
          <w:lang w:eastAsia="en-US"/>
        </w:rPr>
        <w:t> </w:t>
      </w:r>
      <w:r w:rsidR="00A17A83" w:rsidRPr="00A17A83">
        <w:rPr>
          <w:rFonts w:eastAsia="Times New Roman" w:cs="Arial"/>
          <w:snapToGrid/>
          <w:szCs w:val="22"/>
          <w:lang w:eastAsia="en-US"/>
        </w:rPr>
        <w:t xml:space="preserve">sont engagés </w:t>
      </w:r>
      <w:r w:rsidR="00602FC3">
        <w:rPr>
          <w:rFonts w:eastAsia="Times New Roman" w:cs="Arial"/>
          <w:snapToGrid/>
          <w:szCs w:val="22"/>
          <w:lang w:eastAsia="en-US"/>
        </w:rPr>
        <w:t>en faveur d’une planification durable</w:t>
      </w:r>
      <w:r w:rsidR="00A17A83" w:rsidRPr="00A17A83">
        <w:rPr>
          <w:rFonts w:eastAsia="Times New Roman" w:cs="Arial"/>
          <w:snapToGrid/>
          <w:szCs w:val="22"/>
          <w:lang w:eastAsia="en-US"/>
        </w:rPr>
        <w:t xml:space="preserve"> </w:t>
      </w:r>
      <w:r w:rsidR="00602FC3">
        <w:rPr>
          <w:rFonts w:eastAsia="Times New Roman" w:cs="Arial"/>
          <w:snapToGrid/>
          <w:szCs w:val="22"/>
          <w:lang w:eastAsia="en-US"/>
        </w:rPr>
        <w:t>de l’océan</w:t>
      </w:r>
      <w:r w:rsidR="00A17A83" w:rsidRPr="00A17A83">
        <w:rPr>
          <w:rFonts w:eastAsia="Times New Roman" w:cs="Arial"/>
          <w:snapToGrid/>
          <w:szCs w:val="22"/>
          <w:lang w:eastAsia="en-US"/>
        </w:rPr>
        <w:t xml:space="preserve"> dans ces zones</w:t>
      </w:r>
      <w:r w:rsidR="00602FC3">
        <w:rPr>
          <w:rFonts w:eastAsia="Times New Roman" w:cs="Arial"/>
          <w:snapToGrid/>
          <w:szCs w:val="22"/>
          <w:lang w:eastAsia="en-US"/>
        </w:rPr>
        <w:t>.</w:t>
      </w:r>
    </w:p>
    <w:p w14:paraId="16574534" w14:textId="77777777" w:rsidR="00610E94" w:rsidRDefault="00602FC3" w:rsidP="00420597">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9.</w:t>
      </w:r>
      <w:r>
        <w:rPr>
          <w:rFonts w:eastAsia="Times New Roman" w:cs="Arial"/>
          <w:snapToGrid/>
          <w:szCs w:val="22"/>
          <w:lang w:eastAsia="en-US"/>
        </w:rPr>
        <w:tab/>
      </w:r>
      <w:r w:rsidR="006B571A" w:rsidRPr="006B571A">
        <w:rPr>
          <w:rFonts w:eastAsia="Times New Roman" w:cs="Arial"/>
          <w:snapToGrid/>
          <w:szCs w:val="22"/>
          <w:lang w:eastAsia="en-US"/>
        </w:rPr>
        <w:t xml:space="preserve">Plusieurs processus et instruments multilatéraux liés </w:t>
      </w:r>
      <w:r w:rsidR="006B571A">
        <w:rPr>
          <w:rFonts w:eastAsia="Times New Roman" w:cs="Arial"/>
          <w:snapToGrid/>
          <w:szCs w:val="22"/>
          <w:lang w:eastAsia="en-US"/>
        </w:rPr>
        <w:t xml:space="preserve">à </w:t>
      </w:r>
      <w:r w:rsidR="006B571A" w:rsidRPr="006B571A">
        <w:rPr>
          <w:rFonts w:eastAsia="Times New Roman" w:cs="Arial"/>
          <w:snapToGrid/>
          <w:szCs w:val="22"/>
          <w:lang w:eastAsia="en-US"/>
        </w:rPr>
        <w:t>l</w:t>
      </w:r>
      <w:r w:rsidR="006B571A">
        <w:rPr>
          <w:rFonts w:eastAsia="Times New Roman" w:cs="Arial"/>
          <w:snapToGrid/>
          <w:szCs w:val="22"/>
          <w:lang w:eastAsia="en-US"/>
        </w:rPr>
        <w:t>’</w:t>
      </w:r>
      <w:r w:rsidR="006B571A" w:rsidRPr="006B571A">
        <w:rPr>
          <w:rFonts w:eastAsia="Times New Roman" w:cs="Arial"/>
          <w:snapToGrid/>
          <w:szCs w:val="22"/>
          <w:lang w:eastAsia="en-US"/>
        </w:rPr>
        <w:t xml:space="preserve">océan ou </w:t>
      </w:r>
      <w:r w:rsidR="006B571A">
        <w:rPr>
          <w:rFonts w:eastAsia="Times New Roman" w:cs="Arial"/>
          <w:snapToGrid/>
          <w:szCs w:val="22"/>
          <w:lang w:eastAsia="en-US"/>
        </w:rPr>
        <w:t>qui présentent un intérêt pour l’océan</w:t>
      </w:r>
      <w:r w:rsidR="006B571A" w:rsidRPr="006B571A">
        <w:rPr>
          <w:rFonts w:eastAsia="Times New Roman" w:cs="Arial"/>
          <w:snapToGrid/>
          <w:szCs w:val="22"/>
          <w:lang w:eastAsia="en-US"/>
        </w:rPr>
        <w:t xml:space="preserve"> ont vu le jour, tels que le Cadre de Sendai pour la réduction des risques de catastrophe, l</w:t>
      </w:r>
      <w:r w:rsidR="00262098">
        <w:rPr>
          <w:rFonts w:eastAsia="Times New Roman" w:cs="Arial"/>
          <w:snapToGrid/>
          <w:szCs w:val="22"/>
          <w:lang w:eastAsia="en-US"/>
        </w:rPr>
        <w:t>’</w:t>
      </w:r>
      <w:r w:rsidR="006B571A" w:rsidRPr="006B571A">
        <w:rPr>
          <w:rFonts w:eastAsia="Times New Roman" w:cs="Arial"/>
          <w:snapToGrid/>
          <w:szCs w:val="22"/>
          <w:lang w:eastAsia="en-US"/>
        </w:rPr>
        <w:t>intégration formelle de l</w:t>
      </w:r>
      <w:r w:rsidR="00262098">
        <w:rPr>
          <w:rFonts w:eastAsia="Times New Roman" w:cs="Arial"/>
          <w:snapToGrid/>
          <w:szCs w:val="22"/>
          <w:lang w:eastAsia="en-US"/>
        </w:rPr>
        <w:t>’</w:t>
      </w:r>
      <w:r w:rsidR="006B571A" w:rsidRPr="006B571A">
        <w:rPr>
          <w:rFonts w:eastAsia="Times New Roman" w:cs="Arial"/>
          <w:snapToGrid/>
          <w:szCs w:val="22"/>
          <w:lang w:eastAsia="en-US"/>
        </w:rPr>
        <w:t xml:space="preserve">océan dans </w:t>
      </w:r>
      <w:r w:rsidR="00262098">
        <w:rPr>
          <w:rFonts w:eastAsia="Times New Roman" w:cs="Arial"/>
          <w:snapToGrid/>
          <w:szCs w:val="22"/>
          <w:lang w:eastAsia="en-US"/>
        </w:rPr>
        <w:t xml:space="preserve">la </w:t>
      </w:r>
      <w:r w:rsidR="00262098" w:rsidRPr="00262098">
        <w:rPr>
          <w:rFonts w:eastAsia="Times New Roman" w:cs="Arial"/>
          <w:snapToGrid/>
          <w:szCs w:val="22"/>
          <w:lang w:eastAsia="en-US"/>
        </w:rPr>
        <w:t>Convention-cadre des Nations Unies sur les changements climatiques</w:t>
      </w:r>
      <w:r w:rsidR="006B571A" w:rsidRPr="006B571A">
        <w:rPr>
          <w:rFonts w:eastAsia="Times New Roman" w:cs="Arial"/>
          <w:snapToGrid/>
          <w:szCs w:val="22"/>
          <w:lang w:eastAsia="en-US"/>
        </w:rPr>
        <w:t xml:space="preserve">, le </w:t>
      </w:r>
      <w:r w:rsidR="00262098">
        <w:rPr>
          <w:rFonts w:eastAsia="Times New Roman" w:cs="Arial"/>
          <w:snapToGrid/>
          <w:szCs w:val="22"/>
          <w:lang w:eastAsia="en-US"/>
        </w:rPr>
        <w:t>C</w:t>
      </w:r>
      <w:r w:rsidR="006B571A" w:rsidRPr="006B571A">
        <w:rPr>
          <w:rFonts w:eastAsia="Times New Roman" w:cs="Arial"/>
          <w:snapToGrid/>
          <w:szCs w:val="22"/>
          <w:lang w:eastAsia="en-US"/>
        </w:rPr>
        <w:t xml:space="preserve">adre mondial </w:t>
      </w:r>
      <w:r w:rsidR="00262098">
        <w:rPr>
          <w:rFonts w:eastAsia="Times New Roman" w:cs="Arial"/>
          <w:snapToGrid/>
          <w:szCs w:val="22"/>
          <w:lang w:eastAsia="en-US"/>
        </w:rPr>
        <w:t>de</w:t>
      </w:r>
      <w:r w:rsidR="006B571A" w:rsidRPr="006B571A">
        <w:rPr>
          <w:rFonts w:eastAsia="Times New Roman" w:cs="Arial"/>
          <w:snapToGrid/>
          <w:szCs w:val="22"/>
          <w:lang w:eastAsia="en-US"/>
        </w:rPr>
        <w:t xml:space="preserve"> la biodiversité</w:t>
      </w:r>
      <w:r w:rsidR="00262098">
        <w:rPr>
          <w:rFonts w:eastAsia="Times New Roman" w:cs="Arial"/>
          <w:snapToGrid/>
          <w:szCs w:val="22"/>
          <w:lang w:eastAsia="en-US"/>
        </w:rPr>
        <w:t xml:space="preserve"> (</w:t>
      </w:r>
      <w:r w:rsidR="006B571A" w:rsidRPr="006B571A">
        <w:rPr>
          <w:rFonts w:eastAsia="Times New Roman" w:cs="Arial"/>
          <w:snapToGrid/>
          <w:szCs w:val="22"/>
          <w:lang w:eastAsia="en-US"/>
        </w:rPr>
        <w:t>avec son exigence de protection et de restauration de 30</w:t>
      </w:r>
      <w:r w:rsidR="00262098">
        <w:rPr>
          <w:rFonts w:eastAsia="Times New Roman" w:cs="Arial"/>
          <w:snapToGrid/>
          <w:szCs w:val="22"/>
          <w:lang w:eastAsia="en-US"/>
        </w:rPr>
        <w:t> </w:t>
      </w:r>
      <w:r w:rsidR="006B571A" w:rsidRPr="006B571A">
        <w:rPr>
          <w:rFonts w:eastAsia="Times New Roman" w:cs="Arial"/>
          <w:snapToGrid/>
          <w:szCs w:val="22"/>
          <w:lang w:eastAsia="en-US"/>
        </w:rPr>
        <w:t>%</w:t>
      </w:r>
      <w:r w:rsidR="00262098">
        <w:rPr>
          <w:rFonts w:eastAsia="Times New Roman" w:cs="Arial"/>
          <w:snapToGrid/>
          <w:szCs w:val="22"/>
          <w:lang w:eastAsia="en-US"/>
        </w:rPr>
        <w:t>)</w:t>
      </w:r>
      <w:r w:rsidR="006B571A" w:rsidRPr="006B571A">
        <w:rPr>
          <w:rFonts w:eastAsia="Times New Roman" w:cs="Arial"/>
          <w:snapToGrid/>
          <w:szCs w:val="22"/>
          <w:lang w:eastAsia="en-US"/>
        </w:rPr>
        <w:t>, l</w:t>
      </w:r>
      <w:r w:rsidR="00262098">
        <w:rPr>
          <w:rFonts w:eastAsia="Times New Roman" w:cs="Arial"/>
          <w:snapToGrid/>
          <w:szCs w:val="22"/>
          <w:lang w:eastAsia="en-US"/>
        </w:rPr>
        <w:t>’A</w:t>
      </w:r>
      <w:r w:rsidR="006B571A" w:rsidRPr="006B571A">
        <w:rPr>
          <w:rFonts w:eastAsia="Times New Roman" w:cs="Arial"/>
          <w:snapToGrid/>
          <w:szCs w:val="22"/>
          <w:lang w:eastAsia="en-US"/>
        </w:rPr>
        <w:t>ccord sur les subventions à la pêche</w:t>
      </w:r>
      <w:r w:rsidR="00262098">
        <w:rPr>
          <w:rFonts w:eastAsia="Times New Roman" w:cs="Arial"/>
          <w:snapToGrid/>
          <w:szCs w:val="22"/>
          <w:lang w:eastAsia="en-US"/>
        </w:rPr>
        <w:t xml:space="preserve"> de l’OMC</w:t>
      </w:r>
      <w:r w:rsidR="006B571A" w:rsidRPr="006B571A">
        <w:rPr>
          <w:rFonts w:eastAsia="Times New Roman" w:cs="Arial"/>
          <w:snapToGrid/>
          <w:szCs w:val="22"/>
          <w:lang w:eastAsia="en-US"/>
        </w:rPr>
        <w:t xml:space="preserve">, </w:t>
      </w:r>
      <w:r w:rsidR="00262098">
        <w:rPr>
          <w:rFonts w:eastAsia="Times New Roman" w:cs="Arial"/>
          <w:snapToGrid/>
          <w:szCs w:val="22"/>
          <w:lang w:eastAsia="en-US"/>
        </w:rPr>
        <w:t>l’</w:t>
      </w:r>
      <w:r w:rsidR="00262098" w:rsidRPr="00262098">
        <w:rPr>
          <w:rFonts w:eastAsia="Times New Roman" w:cs="Arial"/>
          <w:snapToGrid/>
          <w:szCs w:val="22"/>
          <w:lang w:eastAsia="en-US"/>
        </w:rPr>
        <w:t>accord sur la biodiversité marine des zones ne relevant pas de la juridiction nationale</w:t>
      </w:r>
      <w:r w:rsidR="006B571A" w:rsidRPr="006B571A">
        <w:rPr>
          <w:rFonts w:eastAsia="Times New Roman" w:cs="Arial"/>
          <w:snapToGrid/>
          <w:szCs w:val="22"/>
          <w:lang w:eastAsia="en-US"/>
        </w:rPr>
        <w:t xml:space="preserve"> et les négociations </w:t>
      </w:r>
      <w:r w:rsidR="00262098">
        <w:rPr>
          <w:rFonts w:eastAsia="Times New Roman" w:cs="Arial"/>
          <w:snapToGrid/>
          <w:szCs w:val="22"/>
          <w:lang w:eastAsia="en-US"/>
        </w:rPr>
        <w:t>en vue d’</w:t>
      </w:r>
      <w:r w:rsidR="006B571A" w:rsidRPr="006B571A">
        <w:rPr>
          <w:rFonts w:eastAsia="Times New Roman" w:cs="Arial"/>
          <w:snapToGrid/>
          <w:szCs w:val="22"/>
          <w:lang w:eastAsia="en-US"/>
        </w:rPr>
        <w:t>un traité relatif à la pollution plastique.</w:t>
      </w:r>
    </w:p>
    <w:p w14:paraId="12F640A6" w14:textId="77777777" w:rsidR="004500B2" w:rsidRDefault="00610E94" w:rsidP="00420597">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10.</w:t>
      </w:r>
      <w:r>
        <w:rPr>
          <w:rFonts w:eastAsia="Times New Roman" w:cs="Arial"/>
          <w:snapToGrid/>
          <w:szCs w:val="22"/>
          <w:lang w:eastAsia="en-US"/>
        </w:rPr>
        <w:tab/>
      </w:r>
      <w:r w:rsidRPr="00610E94">
        <w:rPr>
          <w:rFonts w:eastAsia="Times New Roman" w:cs="Arial"/>
          <w:snapToGrid/>
          <w:szCs w:val="22"/>
          <w:lang w:eastAsia="en-US"/>
        </w:rPr>
        <w:t xml:space="preserve">Malgré ces progrès importants, les mesures fondées sur les connaissances pour arrêter la détérioration </w:t>
      </w:r>
      <w:r>
        <w:rPr>
          <w:rFonts w:eastAsia="Times New Roman" w:cs="Arial"/>
          <w:snapToGrid/>
          <w:szCs w:val="22"/>
          <w:lang w:eastAsia="en-US"/>
        </w:rPr>
        <w:t>de l’océan</w:t>
      </w:r>
      <w:r w:rsidRPr="00610E94">
        <w:rPr>
          <w:rFonts w:eastAsia="Times New Roman" w:cs="Arial"/>
          <w:snapToGrid/>
          <w:szCs w:val="22"/>
          <w:lang w:eastAsia="en-US"/>
        </w:rPr>
        <w:t xml:space="preserve"> et restaurer </w:t>
      </w:r>
      <w:r>
        <w:rPr>
          <w:rFonts w:eastAsia="Times New Roman" w:cs="Arial"/>
          <w:snapToGrid/>
          <w:szCs w:val="22"/>
          <w:lang w:eastAsia="en-US"/>
        </w:rPr>
        <w:t>sa</w:t>
      </w:r>
      <w:r w:rsidRPr="00610E94">
        <w:rPr>
          <w:rFonts w:eastAsia="Times New Roman" w:cs="Arial"/>
          <w:snapToGrid/>
          <w:szCs w:val="22"/>
          <w:lang w:eastAsia="en-US"/>
        </w:rPr>
        <w:t xml:space="preserve"> santé sont largement insuffisantes.</w:t>
      </w:r>
      <w:r>
        <w:rPr>
          <w:rFonts w:eastAsia="Times New Roman" w:cs="Arial"/>
          <w:snapToGrid/>
          <w:szCs w:val="22"/>
          <w:lang w:eastAsia="en-US"/>
        </w:rPr>
        <w:t xml:space="preserve"> L</w:t>
      </w:r>
      <w:r w:rsidRPr="00610E94">
        <w:rPr>
          <w:rFonts w:eastAsia="Times New Roman" w:cs="Arial"/>
          <w:snapToGrid/>
          <w:szCs w:val="22"/>
          <w:lang w:eastAsia="en-US"/>
        </w:rPr>
        <w:t xml:space="preserve">e </w:t>
      </w:r>
      <w:r>
        <w:rPr>
          <w:rFonts w:eastAsia="Times New Roman" w:cs="Arial"/>
          <w:snapToGrid/>
          <w:szCs w:val="22"/>
          <w:lang w:eastAsia="en-US"/>
        </w:rPr>
        <w:t>s</w:t>
      </w:r>
      <w:r w:rsidR="004500B2">
        <w:rPr>
          <w:rFonts w:eastAsia="Times New Roman" w:cs="Arial"/>
          <w:snapToGrid/>
          <w:szCs w:val="22"/>
          <w:lang w:eastAsia="en-US"/>
        </w:rPr>
        <w:t>imple</w:t>
      </w:r>
      <w:r>
        <w:rPr>
          <w:rFonts w:eastAsia="Times New Roman" w:cs="Arial"/>
          <w:snapToGrid/>
          <w:szCs w:val="22"/>
          <w:lang w:eastAsia="en-US"/>
        </w:rPr>
        <w:t xml:space="preserve"> </w:t>
      </w:r>
      <w:r w:rsidRPr="00610E94">
        <w:rPr>
          <w:rFonts w:eastAsia="Times New Roman" w:cs="Arial"/>
          <w:snapToGrid/>
          <w:szCs w:val="22"/>
          <w:lang w:eastAsia="en-US"/>
        </w:rPr>
        <w:t>fait que l</w:t>
      </w:r>
      <w:r>
        <w:rPr>
          <w:rFonts w:eastAsia="Times New Roman" w:cs="Arial"/>
          <w:snapToGrid/>
          <w:szCs w:val="22"/>
          <w:lang w:eastAsia="en-US"/>
        </w:rPr>
        <w:t>’</w:t>
      </w:r>
      <w:r w:rsidRPr="00610E94">
        <w:rPr>
          <w:rFonts w:eastAsia="Times New Roman" w:cs="Arial"/>
          <w:snapToGrid/>
          <w:szCs w:val="22"/>
          <w:lang w:eastAsia="en-US"/>
        </w:rPr>
        <w:t>ODD</w:t>
      </w:r>
      <w:r>
        <w:rPr>
          <w:rFonts w:eastAsia="Times New Roman" w:cs="Arial"/>
          <w:snapToGrid/>
          <w:szCs w:val="22"/>
          <w:lang w:eastAsia="en-US"/>
        </w:rPr>
        <w:t> </w:t>
      </w:r>
      <w:r w:rsidRPr="00610E94">
        <w:rPr>
          <w:rFonts w:eastAsia="Times New Roman" w:cs="Arial"/>
          <w:snapToGrid/>
          <w:szCs w:val="22"/>
          <w:lang w:eastAsia="en-US"/>
        </w:rPr>
        <w:t xml:space="preserve">14 </w:t>
      </w:r>
      <w:r>
        <w:rPr>
          <w:rFonts w:eastAsia="Times New Roman" w:cs="Arial"/>
          <w:snapToGrid/>
          <w:szCs w:val="22"/>
          <w:lang w:eastAsia="en-US"/>
        </w:rPr>
        <w:t>soit</w:t>
      </w:r>
      <w:r w:rsidRPr="00610E94">
        <w:rPr>
          <w:rFonts w:eastAsia="Times New Roman" w:cs="Arial"/>
          <w:snapToGrid/>
          <w:szCs w:val="22"/>
          <w:lang w:eastAsia="en-US"/>
        </w:rPr>
        <w:t xml:space="preserve"> le moins financé des 17</w:t>
      </w:r>
      <w:r>
        <w:rPr>
          <w:rFonts w:eastAsia="Times New Roman" w:cs="Arial"/>
          <w:snapToGrid/>
          <w:szCs w:val="22"/>
          <w:lang w:eastAsia="en-US"/>
        </w:rPr>
        <w:t> </w:t>
      </w:r>
      <w:r w:rsidRPr="00610E94">
        <w:rPr>
          <w:rFonts w:eastAsia="Times New Roman" w:cs="Arial"/>
          <w:snapToGrid/>
          <w:szCs w:val="22"/>
          <w:lang w:eastAsia="en-US"/>
        </w:rPr>
        <w:t>objectifs de développement</w:t>
      </w:r>
      <w:r>
        <w:rPr>
          <w:rFonts w:eastAsia="Times New Roman" w:cs="Arial"/>
          <w:snapToGrid/>
          <w:szCs w:val="22"/>
          <w:lang w:eastAsia="en-US"/>
        </w:rPr>
        <w:t xml:space="preserve"> durable est très révélateur</w:t>
      </w:r>
      <w:r w:rsidR="004500B2">
        <w:rPr>
          <w:rStyle w:val="FootnoteReference"/>
          <w:rFonts w:eastAsia="Times New Roman" w:cs="Arial"/>
          <w:snapToGrid/>
          <w:szCs w:val="22"/>
          <w:lang w:eastAsia="en-US"/>
        </w:rPr>
        <w:footnoteReference w:id="3"/>
      </w:r>
      <w:r>
        <w:rPr>
          <w:rFonts w:eastAsia="Times New Roman" w:cs="Arial"/>
          <w:snapToGrid/>
          <w:szCs w:val="22"/>
          <w:lang w:eastAsia="en-US"/>
        </w:rPr>
        <w:t>.</w:t>
      </w:r>
    </w:p>
    <w:p w14:paraId="4376C039" w14:textId="77777777" w:rsidR="004500B2" w:rsidRPr="00F16BE8" w:rsidRDefault="004500B2" w:rsidP="00420597">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11.</w:t>
      </w:r>
      <w:r>
        <w:rPr>
          <w:rFonts w:eastAsia="Times New Roman" w:cs="Arial"/>
          <w:snapToGrid/>
          <w:szCs w:val="22"/>
          <w:lang w:eastAsia="en-US"/>
        </w:rPr>
        <w:tab/>
      </w:r>
      <w:r w:rsidRPr="00F16BE8">
        <w:rPr>
          <w:rFonts w:eastAsia="Times New Roman" w:cs="Arial"/>
          <w:snapToGrid/>
          <w:szCs w:val="22"/>
          <w:lang w:eastAsia="en-US"/>
        </w:rPr>
        <w:t>Dans ce contexte, les États membres ont toutes les raisons de se réunir dans le cadre d’un processus de réflexion approfondi et systématique sur la meilleure façon d’agir collectivement et à titre individuel, efficacement et rapidement, pour l’océan que nous voulons, sur la base des connaissances dont nous avons besoin. Il est difficile d’imaginer un meilleur cadre que la COI pour un tel processus de réflexion entre les gouvernements, compte tenu de son objectif statutaire, de ses relations étroites, en réseau et de confiance, avec les États membres, ainsi que de</w:t>
      </w:r>
      <w:r w:rsidRPr="00F16BE8">
        <w:rPr>
          <w:color w:val="333333"/>
          <w:szCs w:val="22"/>
          <w:shd w:val="clear" w:color="auto" w:fill="FFFFFF"/>
        </w:rPr>
        <w:t xml:space="preserve"> </w:t>
      </w:r>
      <w:r w:rsidRPr="00F16BE8">
        <w:rPr>
          <w:rFonts w:eastAsia="Times New Roman" w:cs="Arial"/>
          <w:snapToGrid/>
          <w:szCs w:val="22"/>
          <w:lang w:eastAsia="en-US"/>
        </w:rPr>
        <w:t>son rôle de plate-forme centrale pour la Décennie de l’Océan, qui mobilise un large groupe de parties prenantes.</w:t>
      </w:r>
    </w:p>
    <w:p w14:paraId="289AC214" w14:textId="6510E074" w:rsidR="00B40149" w:rsidRDefault="004500B2" w:rsidP="00420597">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12.</w:t>
      </w:r>
      <w:r>
        <w:rPr>
          <w:rFonts w:eastAsia="Times New Roman" w:cs="Arial"/>
          <w:snapToGrid/>
          <w:szCs w:val="22"/>
          <w:lang w:eastAsia="en-US"/>
        </w:rPr>
        <w:tab/>
      </w:r>
      <w:r w:rsidRPr="004500B2">
        <w:rPr>
          <w:rFonts w:eastAsia="Times New Roman" w:cs="Arial"/>
          <w:snapToGrid/>
          <w:szCs w:val="22"/>
          <w:lang w:eastAsia="en-US"/>
        </w:rPr>
        <w:t xml:space="preserve">Les États membres devraient </w:t>
      </w:r>
      <w:r>
        <w:rPr>
          <w:rFonts w:eastAsia="Times New Roman" w:cs="Arial"/>
          <w:snapToGrid/>
          <w:szCs w:val="22"/>
          <w:lang w:eastAsia="en-US"/>
        </w:rPr>
        <w:t>être aux commandes</w:t>
      </w:r>
      <w:r w:rsidRPr="004500B2">
        <w:rPr>
          <w:rFonts w:eastAsia="Times New Roman" w:cs="Arial"/>
          <w:snapToGrid/>
          <w:szCs w:val="22"/>
          <w:lang w:eastAsia="en-US"/>
        </w:rPr>
        <w:t xml:space="preserve"> de </w:t>
      </w:r>
      <w:r>
        <w:rPr>
          <w:rFonts w:eastAsia="Times New Roman" w:cs="Arial"/>
          <w:snapToGrid/>
          <w:szCs w:val="22"/>
          <w:lang w:eastAsia="en-US"/>
        </w:rPr>
        <w:t>cette</w:t>
      </w:r>
      <w:r w:rsidRPr="004500B2">
        <w:rPr>
          <w:rFonts w:eastAsia="Times New Roman" w:cs="Arial"/>
          <w:snapToGrid/>
          <w:szCs w:val="22"/>
          <w:lang w:eastAsia="en-US"/>
        </w:rPr>
        <w:t xml:space="preserve"> consultation.</w:t>
      </w:r>
      <w:r>
        <w:rPr>
          <w:rFonts w:eastAsia="Times New Roman" w:cs="Arial"/>
          <w:snapToGrid/>
          <w:szCs w:val="22"/>
          <w:lang w:eastAsia="en-US"/>
        </w:rPr>
        <w:t xml:space="preserve"> </w:t>
      </w:r>
      <w:r w:rsidR="001047CB" w:rsidRPr="001047CB">
        <w:rPr>
          <w:rFonts w:eastAsia="Times New Roman" w:cs="Arial"/>
          <w:snapToGrid/>
          <w:szCs w:val="22"/>
          <w:lang w:eastAsia="en-US"/>
        </w:rPr>
        <w:t>Il convient donc que le Conseil exécutif prépare le cadre et le calendrier du processus en vue d</w:t>
      </w:r>
      <w:r w:rsidR="001047CB">
        <w:rPr>
          <w:rFonts w:eastAsia="Times New Roman" w:cs="Arial"/>
          <w:snapToGrid/>
          <w:szCs w:val="22"/>
          <w:lang w:eastAsia="en-US"/>
        </w:rPr>
        <w:t>’</w:t>
      </w:r>
      <w:r w:rsidR="001047CB" w:rsidRPr="001047CB">
        <w:rPr>
          <w:rFonts w:eastAsia="Times New Roman" w:cs="Arial"/>
          <w:snapToGrid/>
          <w:szCs w:val="22"/>
          <w:lang w:eastAsia="en-US"/>
        </w:rPr>
        <w:t xml:space="preserve">optimiser </w:t>
      </w:r>
      <w:r w:rsidR="001047CB">
        <w:rPr>
          <w:rFonts w:eastAsia="Times New Roman" w:cs="Arial"/>
          <w:snapToGrid/>
          <w:szCs w:val="22"/>
          <w:lang w:eastAsia="en-US"/>
        </w:rPr>
        <w:t>la mobilisation</w:t>
      </w:r>
      <w:r w:rsidR="001047CB" w:rsidRPr="001047CB">
        <w:rPr>
          <w:rFonts w:eastAsia="Times New Roman" w:cs="Arial"/>
          <w:snapToGrid/>
          <w:szCs w:val="22"/>
          <w:lang w:eastAsia="en-US"/>
        </w:rPr>
        <w:t xml:space="preserve"> des États membres et d</w:t>
      </w:r>
      <w:r w:rsidR="001047CB">
        <w:rPr>
          <w:rFonts w:eastAsia="Times New Roman" w:cs="Arial"/>
          <w:snapToGrid/>
          <w:szCs w:val="22"/>
          <w:lang w:eastAsia="en-US"/>
        </w:rPr>
        <w:t>’</w:t>
      </w:r>
      <w:r w:rsidR="001047CB" w:rsidRPr="001047CB">
        <w:rPr>
          <w:rFonts w:eastAsia="Times New Roman" w:cs="Arial"/>
          <w:snapToGrid/>
          <w:szCs w:val="22"/>
          <w:lang w:eastAsia="en-US"/>
        </w:rPr>
        <w:t>élargir l</w:t>
      </w:r>
      <w:r w:rsidR="001047CB">
        <w:rPr>
          <w:rFonts w:eastAsia="Times New Roman" w:cs="Arial"/>
          <w:snapToGrid/>
          <w:szCs w:val="22"/>
          <w:lang w:eastAsia="en-US"/>
        </w:rPr>
        <w:t>’</w:t>
      </w:r>
      <w:r w:rsidR="001047CB" w:rsidRPr="001047CB">
        <w:rPr>
          <w:rFonts w:eastAsia="Times New Roman" w:cs="Arial"/>
          <w:snapToGrid/>
          <w:szCs w:val="22"/>
          <w:lang w:eastAsia="en-US"/>
        </w:rPr>
        <w:t xml:space="preserve">éventail des parties prenantes nationales </w:t>
      </w:r>
      <w:r w:rsidR="00B40149">
        <w:rPr>
          <w:rFonts w:eastAsia="Times New Roman" w:cs="Arial"/>
          <w:snapToGrid/>
          <w:szCs w:val="22"/>
          <w:lang w:eastAsia="en-US"/>
        </w:rPr>
        <w:t>prenant part aux</w:t>
      </w:r>
      <w:r w:rsidR="001047CB" w:rsidRPr="001047CB">
        <w:rPr>
          <w:rFonts w:eastAsia="Times New Roman" w:cs="Arial"/>
          <w:snapToGrid/>
          <w:szCs w:val="22"/>
          <w:lang w:eastAsia="en-US"/>
        </w:rPr>
        <w:t xml:space="preserve"> activités de la COI.</w:t>
      </w:r>
      <w:r w:rsidR="00B40149">
        <w:rPr>
          <w:rFonts w:eastAsia="Times New Roman" w:cs="Arial"/>
          <w:snapToGrid/>
          <w:szCs w:val="22"/>
          <w:lang w:eastAsia="en-US"/>
        </w:rPr>
        <w:t xml:space="preserve"> Au bout du</w:t>
      </w:r>
      <w:r w:rsidR="00B40149" w:rsidRPr="00B40149">
        <w:rPr>
          <w:rFonts w:eastAsia="Times New Roman" w:cs="Arial"/>
          <w:snapToGrid/>
          <w:szCs w:val="22"/>
          <w:lang w:eastAsia="en-US"/>
        </w:rPr>
        <w:t xml:space="preserve"> compte, toutes les décisions </w:t>
      </w:r>
      <w:r w:rsidR="00B40149">
        <w:rPr>
          <w:rFonts w:eastAsia="Times New Roman" w:cs="Arial"/>
          <w:snapToGrid/>
          <w:szCs w:val="22"/>
          <w:lang w:eastAsia="en-US"/>
        </w:rPr>
        <w:t>essentielles</w:t>
      </w:r>
      <w:r w:rsidR="00B40149" w:rsidRPr="00B40149">
        <w:rPr>
          <w:rFonts w:eastAsia="Times New Roman" w:cs="Arial"/>
          <w:snapToGrid/>
          <w:szCs w:val="22"/>
          <w:lang w:eastAsia="en-US"/>
        </w:rPr>
        <w:t xml:space="preserve"> devraient être prises par l</w:t>
      </w:r>
      <w:r w:rsidR="00B40149">
        <w:rPr>
          <w:rFonts w:eastAsia="Times New Roman" w:cs="Arial"/>
          <w:snapToGrid/>
          <w:szCs w:val="22"/>
          <w:lang w:eastAsia="en-US"/>
        </w:rPr>
        <w:t>’</w:t>
      </w:r>
      <w:r w:rsidR="00B40149" w:rsidRPr="00B40149">
        <w:rPr>
          <w:rFonts w:eastAsia="Times New Roman" w:cs="Arial"/>
          <w:snapToGrid/>
          <w:szCs w:val="22"/>
          <w:lang w:eastAsia="en-US"/>
        </w:rPr>
        <w:t xml:space="preserve">ensemble des membres </w:t>
      </w:r>
      <w:r w:rsidR="00B40149">
        <w:rPr>
          <w:rFonts w:eastAsia="Times New Roman" w:cs="Arial"/>
          <w:snapToGrid/>
          <w:szCs w:val="22"/>
          <w:lang w:eastAsia="en-US"/>
        </w:rPr>
        <w:t>de la COI</w:t>
      </w:r>
      <w:r w:rsidR="00B40149" w:rsidRPr="00B40149">
        <w:rPr>
          <w:rFonts w:eastAsia="Times New Roman" w:cs="Arial"/>
          <w:snapToGrid/>
          <w:szCs w:val="22"/>
          <w:lang w:eastAsia="en-US"/>
        </w:rPr>
        <w:t xml:space="preserve"> </w:t>
      </w:r>
      <w:r w:rsidR="00B40149">
        <w:rPr>
          <w:rFonts w:eastAsia="Times New Roman" w:cs="Arial"/>
          <w:snapToGrid/>
          <w:szCs w:val="22"/>
          <w:lang w:eastAsia="en-US"/>
        </w:rPr>
        <w:t>dans le cadre</w:t>
      </w:r>
      <w:r w:rsidR="00B40149" w:rsidRPr="00B40149">
        <w:rPr>
          <w:rFonts w:eastAsia="Times New Roman" w:cs="Arial"/>
          <w:snapToGrid/>
          <w:szCs w:val="22"/>
          <w:lang w:eastAsia="en-US"/>
        </w:rPr>
        <w:t xml:space="preserve"> de </w:t>
      </w:r>
      <w:r w:rsidR="00B40149">
        <w:rPr>
          <w:rFonts w:eastAsia="Times New Roman" w:cs="Arial"/>
          <w:snapToGrid/>
          <w:szCs w:val="22"/>
          <w:lang w:eastAsia="en-US"/>
        </w:rPr>
        <w:t>son A</w:t>
      </w:r>
      <w:r w:rsidR="00B40149" w:rsidRPr="00B40149">
        <w:rPr>
          <w:rFonts w:eastAsia="Times New Roman" w:cs="Arial"/>
          <w:snapToGrid/>
          <w:szCs w:val="22"/>
          <w:lang w:eastAsia="en-US"/>
        </w:rPr>
        <w:t>ssemblée.</w:t>
      </w:r>
    </w:p>
    <w:p w14:paraId="4BA5AD1F" w14:textId="4638166D" w:rsidR="00072F4A" w:rsidRDefault="00B40149" w:rsidP="00420597">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13.</w:t>
      </w:r>
      <w:r>
        <w:rPr>
          <w:rFonts w:eastAsia="Times New Roman" w:cs="Arial"/>
          <w:snapToGrid/>
          <w:szCs w:val="22"/>
          <w:lang w:eastAsia="en-US"/>
        </w:rPr>
        <w:tab/>
      </w:r>
      <w:r w:rsidRPr="00B40149">
        <w:rPr>
          <w:rFonts w:eastAsia="Times New Roman" w:cs="Arial"/>
          <w:snapToGrid/>
          <w:szCs w:val="22"/>
          <w:lang w:eastAsia="en-US"/>
        </w:rPr>
        <w:t>Les points de vue sur la situation globale sont susceptibles de converger sur certaines questions et de diverger sur d</w:t>
      </w:r>
      <w:r>
        <w:rPr>
          <w:rFonts w:eastAsia="Times New Roman" w:cs="Arial"/>
          <w:snapToGrid/>
          <w:szCs w:val="22"/>
          <w:lang w:eastAsia="en-US"/>
        </w:rPr>
        <w:t>’</w:t>
      </w:r>
      <w:r w:rsidRPr="00B40149">
        <w:rPr>
          <w:rFonts w:eastAsia="Times New Roman" w:cs="Arial"/>
          <w:snapToGrid/>
          <w:szCs w:val="22"/>
          <w:lang w:eastAsia="en-US"/>
        </w:rPr>
        <w:t>autres</w:t>
      </w:r>
      <w:r>
        <w:rPr>
          <w:rFonts w:eastAsia="Times New Roman" w:cs="Arial"/>
          <w:snapToGrid/>
          <w:szCs w:val="22"/>
          <w:lang w:eastAsia="en-US"/>
        </w:rPr>
        <w:t>.</w:t>
      </w:r>
      <w:r w:rsidRPr="00B40149">
        <w:rPr>
          <w:rFonts w:eastAsia="Times New Roman" w:cs="Arial"/>
          <w:snapToGrid/>
          <w:szCs w:val="22"/>
          <w:lang w:eastAsia="en-US"/>
        </w:rPr>
        <w:t xml:space="preserve"> </w:t>
      </w:r>
      <w:r>
        <w:rPr>
          <w:rFonts w:eastAsia="Times New Roman" w:cs="Arial"/>
          <w:snapToGrid/>
          <w:szCs w:val="22"/>
          <w:lang w:eastAsia="en-US"/>
        </w:rPr>
        <w:t>I</w:t>
      </w:r>
      <w:r w:rsidRPr="00B40149">
        <w:rPr>
          <w:rFonts w:eastAsia="Times New Roman" w:cs="Arial"/>
          <w:snapToGrid/>
          <w:szCs w:val="22"/>
          <w:lang w:eastAsia="en-US"/>
        </w:rPr>
        <w:t>l est donc d</w:t>
      </w:r>
      <w:r>
        <w:rPr>
          <w:rFonts w:eastAsia="Times New Roman" w:cs="Arial"/>
          <w:snapToGrid/>
          <w:szCs w:val="22"/>
          <w:lang w:eastAsia="en-US"/>
        </w:rPr>
        <w:t>’</w:t>
      </w:r>
      <w:r w:rsidRPr="00B40149">
        <w:rPr>
          <w:rFonts w:eastAsia="Times New Roman" w:cs="Arial"/>
          <w:snapToGrid/>
          <w:szCs w:val="22"/>
          <w:lang w:eastAsia="en-US"/>
        </w:rPr>
        <w:t xml:space="preserve">autant plus important de </w:t>
      </w:r>
      <w:r>
        <w:rPr>
          <w:rFonts w:eastAsia="Times New Roman" w:cs="Arial"/>
          <w:snapToGrid/>
          <w:szCs w:val="22"/>
          <w:lang w:eastAsia="en-US"/>
        </w:rPr>
        <w:t>recueillir les avis et suggestions concernant le</w:t>
      </w:r>
      <w:r w:rsidRPr="00B40149">
        <w:rPr>
          <w:rFonts w:eastAsia="Times New Roman" w:cs="Arial"/>
          <w:snapToGrid/>
          <w:szCs w:val="22"/>
          <w:lang w:eastAsia="en-US"/>
        </w:rPr>
        <w:t xml:space="preserve"> cadre de </w:t>
      </w:r>
      <w:r>
        <w:rPr>
          <w:rFonts w:eastAsia="Times New Roman" w:cs="Arial"/>
          <w:snapToGrid/>
          <w:szCs w:val="22"/>
          <w:lang w:eastAsia="en-US"/>
        </w:rPr>
        <w:t xml:space="preserve">cette </w:t>
      </w:r>
      <w:r w:rsidRPr="00B40149">
        <w:rPr>
          <w:rFonts w:eastAsia="Times New Roman" w:cs="Arial"/>
          <w:snapToGrid/>
          <w:szCs w:val="22"/>
          <w:lang w:eastAsia="en-US"/>
        </w:rPr>
        <w:t xml:space="preserve">consultation et </w:t>
      </w:r>
      <w:r>
        <w:rPr>
          <w:rFonts w:eastAsia="Times New Roman" w:cs="Arial"/>
          <w:snapToGrid/>
          <w:szCs w:val="22"/>
          <w:lang w:eastAsia="en-US"/>
        </w:rPr>
        <w:t>de mettre à profit</w:t>
      </w:r>
      <w:r w:rsidRPr="00B40149">
        <w:rPr>
          <w:rFonts w:eastAsia="Times New Roman" w:cs="Arial"/>
          <w:snapToGrid/>
          <w:szCs w:val="22"/>
          <w:lang w:eastAsia="en-US"/>
        </w:rPr>
        <w:t xml:space="preserve"> la sagesse collective des parties prenantes des États membres.</w:t>
      </w:r>
      <w:r>
        <w:rPr>
          <w:rFonts w:eastAsia="Times New Roman" w:cs="Arial"/>
          <w:snapToGrid/>
          <w:szCs w:val="22"/>
          <w:lang w:eastAsia="en-US"/>
        </w:rPr>
        <w:t xml:space="preserve"> </w:t>
      </w:r>
      <w:r w:rsidRPr="00B40149">
        <w:rPr>
          <w:rFonts w:eastAsia="Times New Roman" w:cs="Arial"/>
          <w:snapToGrid/>
          <w:szCs w:val="22"/>
          <w:lang w:eastAsia="en-US"/>
        </w:rPr>
        <w:t>Les pressions urgentes qui s</w:t>
      </w:r>
      <w:r>
        <w:rPr>
          <w:rFonts w:eastAsia="Times New Roman" w:cs="Arial"/>
          <w:snapToGrid/>
          <w:szCs w:val="22"/>
          <w:lang w:eastAsia="en-US"/>
        </w:rPr>
        <w:t>’</w:t>
      </w:r>
      <w:r w:rsidRPr="00B40149">
        <w:rPr>
          <w:rFonts w:eastAsia="Times New Roman" w:cs="Arial"/>
          <w:snapToGrid/>
          <w:szCs w:val="22"/>
          <w:lang w:eastAsia="en-US"/>
        </w:rPr>
        <w:t xml:space="preserve">exercent sur </w:t>
      </w:r>
      <w:r>
        <w:rPr>
          <w:rFonts w:eastAsia="Times New Roman" w:cs="Arial"/>
          <w:snapToGrid/>
          <w:szCs w:val="22"/>
          <w:lang w:eastAsia="en-US"/>
        </w:rPr>
        <w:t>l’océan</w:t>
      </w:r>
      <w:r w:rsidRPr="00B40149">
        <w:rPr>
          <w:rFonts w:eastAsia="Times New Roman" w:cs="Arial"/>
          <w:snapToGrid/>
          <w:szCs w:val="22"/>
          <w:lang w:eastAsia="en-US"/>
        </w:rPr>
        <w:t xml:space="preserve"> et la prise de conscience croissante de la nécessité de renforcer l</w:t>
      </w:r>
      <w:r>
        <w:rPr>
          <w:rFonts w:eastAsia="Times New Roman" w:cs="Arial"/>
          <w:snapToGrid/>
          <w:szCs w:val="22"/>
          <w:lang w:eastAsia="en-US"/>
        </w:rPr>
        <w:t>’</w:t>
      </w:r>
      <w:r w:rsidRPr="00B40149">
        <w:rPr>
          <w:rFonts w:eastAsia="Times New Roman" w:cs="Arial"/>
          <w:snapToGrid/>
          <w:szCs w:val="22"/>
          <w:lang w:eastAsia="en-US"/>
        </w:rPr>
        <w:t xml:space="preserve">action en faveur </w:t>
      </w:r>
      <w:r>
        <w:rPr>
          <w:rFonts w:eastAsia="Times New Roman" w:cs="Arial"/>
          <w:snapToGrid/>
          <w:szCs w:val="22"/>
          <w:lang w:eastAsia="en-US"/>
        </w:rPr>
        <w:t>de l’</w:t>
      </w:r>
      <w:r w:rsidRPr="00B40149">
        <w:rPr>
          <w:rFonts w:eastAsia="Times New Roman" w:cs="Arial"/>
          <w:snapToGrid/>
          <w:szCs w:val="22"/>
          <w:lang w:eastAsia="en-US"/>
        </w:rPr>
        <w:t xml:space="preserve">océan </w:t>
      </w:r>
      <w:r>
        <w:rPr>
          <w:rFonts w:eastAsia="Times New Roman" w:cs="Arial"/>
          <w:snapToGrid/>
          <w:szCs w:val="22"/>
          <w:lang w:eastAsia="en-US"/>
        </w:rPr>
        <w:t>appellent</w:t>
      </w:r>
      <w:r w:rsidRPr="00B40149">
        <w:rPr>
          <w:rFonts w:eastAsia="Times New Roman" w:cs="Arial"/>
          <w:snapToGrid/>
          <w:szCs w:val="22"/>
          <w:lang w:eastAsia="en-US"/>
        </w:rPr>
        <w:t xml:space="preserve"> de nouvelles initiatives de la part des États membres et des acteurs multilatéraux.</w:t>
      </w:r>
      <w:r>
        <w:rPr>
          <w:rFonts w:eastAsia="Times New Roman" w:cs="Arial"/>
          <w:snapToGrid/>
          <w:szCs w:val="22"/>
          <w:lang w:eastAsia="en-US"/>
        </w:rPr>
        <w:t xml:space="preserve"> </w:t>
      </w:r>
      <w:r w:rsidRPr="00B40149">
        <w:rPr>
          <w:rFonts w:eastAsia="Times New Roman" w:cs="Arial"/>
          <w:snapToGrid/>
          <w:szCs w:val="22"/>
          <w:lang w:eastAsia="en-US"/>
        </w:rPr>
        <w:t xml:space="preserve">Il est important que les États membres de la COI examinent comment </w:t>
      </w:r>
      <w:r>
        <w:rPr>
          <w:rFonts w:eastAsia="Times New Roman" w:cs="Arial"/>
          <w:snapToGrid/>
          <w:szCs w:val="22"/>
          <w:lang w:eastAsia="en-US"/>
        </w:rPr>
        <w:t>l’</w:t>
      </w:r>
      <w:r w:rsidRPr="00B40149">
        <w:rPr>
          <w:rFonts w:eastAsia="Times New Roman" w:cs="Arial"/>
          <w:snapToGrid/>
          <w:szCs w:val="22"/>
          <w:lang w:eastAsia="en-US"/>
        </w:rPr>
        <w:t xml:space="preserve">efficacité de divers instruments et initiatives peut être optimisée par des efforts concertés, et </w:t>
      </w:r>
      <w:r>
        <w:rPr>
          <w:rFonts w:eastAsia="Times New Roman" w:cs="Arial"/>
          <w:snapToGrid/>
          <w:szCs w:val="22"/>
          <w:lang w:eastAsia="en-US"/>
        </w:rPr>
        <w:t>en quoi</w:t>
      </w:r>
      <w:r w:rsidRPr="00B40149">
        <w:rPr>
          <w:rFonts w:eastAsia="Times New Roman" w:cs="Arial"/>
          <w:snapToGrid/>
          <w:szCs w:val="22"/>
          <w:lang w:eastAsia="en-US"/>
        </w:rPr>
        <w:t xml:space="preserve"> la COI dispose d</w:t>
      </w:r>
      <w:r>
        <w:rPr>
          <w:rFonts w:eastAsia="Times New Roman" w:cs="Arial"/>
          <w:snapToGrid/>
          <w:szCs w:val="22"/>
          <w:lang w:eastAsia="en-US"/>
        </w:rPr>
        <w:t>’</w:t>
      </w:r>
      <w:r w:rsidRPr="00B40149">
        <w:rPr>
          <w:rFonts w:eastAsia="Times New Roman" w:cs="Arial"/>
          <w:snapToGrid/>
          <w:szCs w:val="22"/>
          <w:lang w:eastAsia="en-US"/>
        </w:rPr>
        <w:t>un avantage comparatif à cet</w:t>
      </w:r>
      <w:r w:rsidR="00C67B8B">
        <w:rPr>
          <w:rFonts w:eastAsia="Times New Roman" w:cs="Arial"/>
          <w:snapToGrid/>
          <w:szCs w:val="22"/>
          <w:lang w:eastAsia="en-US"/>
        </w:rPr>
        <w:t> </w:t>
      </w:r>
      <w:r w:rsidRPr="00B40149">
        <w:rPr>
          <w:rFonts w:eastAsia="Times New Roman" w:cs="Arial"/>
          <w:snapToGrid/>
          <w:szCs w:val="22"/>
          <w:lang w:eastAsia="en-US"/>
        </w:rPr>
        <w:t>égard.</w:t>
      </w:r>
    </w:p>
    <w:p w14:paraId="5336020E" w14:textId="77777777" w:rsidR="00072F4A" w:rsidRDefault="00072F4A" w:rsidP="00420597">
      <w:pPr>
        <w:tabs>
          <w:tab w:val="clear" w:pos="567"/>
        </w:tabs>
        <w:snapToGrid/>
        <w:spacing w:after="240"/>
        <w:jc w:val="both"/>
        <w:rPr>
          <w:rFonts w:eastAsia="Times New Roman" w:cs="Arial"/>
          <w:snapToGrid/>
          <w:szCs w:val="22"/>
          <w:lang w:eastAsia="en-US"/>
        </w:rPr>
      </w:pPr>
      <w:r w:rsidRPr="00072F4A">
        <w:rPr>
          <w:rFonts w:eastAsia="Times New Roman" w:cs="Arial"/>
          <w:b/>
          <w:bCs/>
          <w:snapToGrid/>
          <w:szCs w:val="22"/>
          <w:lang w:eastAsia="en-US"/>
        </w:rPr>
        <w:t>Thèmes, étapes et calendrier</w:t>
      </w:r>
    </w:p>
    <w:p w14:paraId="6E52CA0E" w14:textId="3D86DBB9" w:rsidR="002B2BF2" w:rsidRDefault="00072F4A" w:rsidP="00420597">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14.</w:t>
      </w:r>
      <w:r>
        <w:rPr>
          <w:rFonts w:eastAsia="Times New Roman" w:cs="Arial"/>
          <w:snapToGrid/>
          <w:szCs w:val="22"/>
          <w:lang w:eastAsia="en-US"/>
        </w:rPr>
        <w:tab/>
      </w:r>
      <w:r w:rsidR="002B2BF2" w:rsidRPr="002B2BF2">
        <w:rPr>
          <w:rFonts w:eastAsia="Times New Roman" w:cs="Arial"/>
          <w:snapToGrid/>
          <w:szCs w:val="22"/>
          <w:lang w:eastAsia="en-US"/>
        </w:rPr>
        <w:t>La décision A-32/5 de la COI appelle à un processus de consultation pour définir le rôle optimal de la COI à l</w:t>
      </w:r>
      <w:r w:rsidR="002B2BF2">
        <w:rPr>
          <w:rFonts w:eastAsia="Times New Roman" w:cs="Arial"/>
          <w:snapToGrid/>
          <w:szCs w:val="22"/>
          <w:lang w:eastAsia="en-US"/>
        </w:rPr>
        <w:t>’</w:t>
      </w:r>
      <w:r w:rsidR="002B2BF2" w:rsidRPr="002B2BF2">
        <w:rPr>
          <w:rFonts w:eastAsia="Times New Roman" w:cs="Arial"/>
          <w:snapToGrid/>
          <w:szCs w:val="22"/>
          <w:lang w:eastAsia="en-US"/>
        </w:rPr>
        <w:t>appui</w:t>
      </w:r>
      <w:r w:rsidR="00890A62">
        <w:rPr>
          <w:rFonts w:eastAsia="Times New Roman" w:cs="Arial"/>
          <w:snapToGrid/>
          <w:szCs w:val="22"/>
          <w:lang w:eastAsia="en-US"/>
        </w:rPr>
        <w:t xml:space="preserve"> des objectifs suivants</w:t>
      </w:r>
      <w:r w:rsidR="002B2BF2">
        <w:rPr>
          <w:rFonts w:eastAsia="Times New Roman" w:cs="Arial"/>
          <w:snapToGrid/>
          <w:szCs w:val="22"/>
          <w:lang w:eastAsia="en-US"/>
        </w:rPr>
        <w:t> </w:t>
      </w:r>
      <w:r w:rsidR="002B2BF2" w:rsidRPr="002B2BF2">
        <w:rPr>
          <w:rFonts w:eastAsia="Times New Roman" w:cs="Arial"/>
          <w:snapToGrid/>
          <w:szCs w:val="22"/>
          <w:lang w:eastAsia="en-US"/>
        </w:rPr>
        <w:t>:</w:t>
      </w:r>
    </w:p>
    <w:p w14:paraId="4432B0BF" w14:textId="7167BE22" w:rsidR="00E412B7" w:rsidRPr="00890A62" w:rsidRDefault="00890A62" w:rsidP="00420597">
      <w:pPr>
        <w:pStyle w:val="ListParagraph"/>
        <w:numPr>
          <w:ilvl w:val="0"/>
          <w:numId w:val="34"/>
        </w:numPr>
        <w:spacing w:after="240" w:line="240" w:lineRule="auto"/>
        <w:ind w:left="839" w:hanging="272"/>
        <w:contextualSpacing w:val="0"/>
        <w:jc w:val="both"/>
        <w:rPr>
          <w:rFonts w:asciiTheme="minorBidi" w:eastAsia="Times New Roman" w:hAnsiTheme="minorBidi" w:cstheme="minorBidi"/>
          <w:lang w:val="fr-FR" w:eastAsia="en-US"/>
        </w:rPr>
      </w:pPr>
      <w:r w:rsidRPr="00890A62">
        <w:rPr>
          <w:rFonts w:asciiTheme="minorBidi" w:eastAsia="Times New Roman" w:hAnsiTheme="minorBidi" w:cstheme="minorBidi"/>
          <w:lang w:val="fr-FR" w:eastAsia="en-US"/>
        </w:rPr>
        <w:t>planification durable de l’océan fondée sur des données scientifiques ;</w:t>
      </w:r>
    </w:p>
    <w:p w14:paraId="3E4FBF4F" w14:textId="4CC40089" w:rsidR="00890A62" w:rsidRDefault="00890A62" w:rsidP="00420597">
      <w:pPr>
        <w:pStyle w:val="ListParagraph"/>
        <w:numPr>
          <w:ilvl w:val="0"/>
          <w:numId w:val="34"/>
        </w:numPr>
        <w:spacing w:after="240" w:line="240" w:lineRule="auto"/>
        <w:ind w:left="839" w:hanging="272"/>
        <w:contextualSpacing w:val="0"/>
        <w:jc w:val="both"/>
        <w:rPr>
          <w:rFonts w:asciiTheme="minorBidi" w:eastAsia="Times New Roman" w:hAnsiTheme="minorBidi" w:cstheme="minorBidi"/>
          <w:lang w:val="fr-FR" w:eastAsia="en-US"/>
        </w:rPr>
      </w:pPr>
      <w:r w:rsidRPr="00890A62">
        <w:rPr>
          <w:rFonts w:asciiTheme="minorBidi" w:eastAsia="Times New Roman" w:hAnsiTheme="minorBidi" w:cstheme="minorBidi"/>
          <w:lang w:val="fr-FR" w:eastAsia="en-US"/>
        </w:rPr>
        <w:t>contribution des sciences océaniques à la mise en œuvre des conventions et des cadres des Nations Unies relatifs à l’environnement</w:t>
      </w:r>
      <w:r>
        <w:rPr>
          <w:rFonts w:asciiTheme="minorBidi" w:eastAsia="Times New Roman" w:hAnsiTheme="minorBidi" w:cstheme="minorBidi"/>
          <w:lang w:val="fr-FR" w:eastAsia="en-US"/>
        </w:rPr>
        <w:t> ;</w:t>
      </w:r>
    </w:p>
    <w:p w14:paraId="67E428EF" w14:textId="4979F5A7" w:rsidR="00890A62" w:rsidRDefault="00890A62" w:rsidP="00420597">
      <w:pPr>
        <w:pStyle w:val="ListParagraph"/>
        <w:numPr>
          <w:ilvl w:val="0"/>
          <w:numId w:val="34"/>
        </w:numPr>
        <w:spacing w:before="240" w:after="240" w:line="240" w:lineRule="auto"/>
        <w:ind w:left="839" w:hanging="273"/>
        <w:jc w:val="both"/>
        <w:rPr>
          <w:rFonts w:asciiTheme="minorBidi" w:eastAsia="Times New Roman" w:hAnsiTheme="minorBidi" w:cstheme="minorBidi"/>
          <w:lang w:val="fr-FR" w:eastAsia="en-US"/>
        </w:rPr>
      </w:pPr>
      <w:r w:rsidRPr="00890A62">
        <w:rPr>
          <w:rFonts w:asciiTheme="minorBidi" w:eastAsia="Times New Roman" w:hAnsiTheme="minorBidi" w:cstheme="minorBidi"/>
          <w:lang w:val="fr-FR" w:eastAsia="en-US"/>
        </w:rPr>
        <w:t>développement d’une économie océanique durable</w:t>
      </w:r>
      <w:r>
        <w:rPr>
          <w:rFonts w:asciiTheme="minorBidi" w:eastAsia="Times New Roman" w:hAnsiTheme="minorBidi" w:cstheme="minorBidi"/>
          <w:lang w:val="fr-FR" w:eastAsia="en-US"/>
        </w:rPr>
        <w:t>.</w:t>
      </w:r>
    </w:p>
    <w:p w14:paraId="51534893" w14:textId="47E08E04" w:rsidR="00890A62" w:rsidRDefault="00890A62" w:rsidP="00420597">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lastRenderedPageBreak/>
        <w:t>15.</w:t>
      </w:r>
      <w:r>
        <w:rPr>
          <w:rFonts w:eastAsia="Times New Roman" w:cs="Arial"/>
          <w:snapToGrid/>
          <w:szCs w:val="22"/>
          <w:lang w:eastAsia="en-US"/>
        </w:rPr>
        <w:tab/>
      </w:r>
      <w:r w:rsidRPr="00890A62">
        <w:rPr>
          <w:rFonts w:eastAsia="Times New Roman" w:cs="Arial"/>
          <w:snapToGrid/>
          <w:szCs w:val="22"/>
          <w:lang w:eastAsia="en-US"/>
        </w:rPr>
        <w:t>Il s</w:t>
      </w:r>
      <w:r>
        <w:rPr>
          <w:rFonts w:eastAsia="Times New Roman" w:cs="Arial"/>
          <w:snapToGrid/>
          <w:szCs w:val="22"/>
          <w:lang w:eastAsia="en-US"/>
        </w:rPr>
        <w:t>’</w:t>
      </w:r>
      <w:r w:rsidRPr="00890A62">
        <w:rPr>
          <w:rFonts w:eastAsia="Times New Roman" w:cs="Arial"/>
          <w:snapToGrid/>
          <w:szCs w:val="22"/>
          <w:lang w:eastAsia="en-US"/>
        </w:rPr>
        <w:t>agit d</w:t>
      </w:r>
      <w:r>
        <w:rPr>
          <w:rFonts w:eastAsia="Times New Roman" w:cs="Arial"/>
          <w:snapToGrid/>
          <w:szCs w:val="22"/>
          <w:lang w:eastAsia="en-US"/>
        </w:rPr>
        <w:t>’</w:t>
      </w:r>
      <w:r w:rsidRPr="00890A62">
        <w:rPr>
          <w:rFonts w:eastAsia="Times New Roman" w:cs="Arial"/>
          <w:snapToGrid/>
          <w:szCs w:val="22"/>
          <w:lang w:eastAsia="en-US"/>
        </w:rPr>
        <w:t>un vaste champ d</w:t>
      </w:r>
      <w:r>
        <w:rPr>
          <w:rFonts w:eastAsia="Times New Roman" w:cs="Arial"/>
          <w:snapToGrid/>
          <w:szCs w:val="22"/>
          <w:lang w:eastAsia="en-US"/>
        </w:rPr>
        <w:t>’</w:t>
      </w:r>
      <w:r w:rsidRPr="00890A62">
        <w:rPr>
          <w:rFonts w:eastAsia="Times New Roman" w:cs="Arial"/>
          <w:snapToGrid/>
          <w:szCs w:val="22"/>
          <w:lang w:eastAsia="en-US"/>
        </w:rPr>
        <w:t xml:space="preserve">application couvrant </w:t>
      </w:r>
      <w:r>
        <w:rPr>
          <w:rFonts w:eastAsia="Times New Roman" w:cs="Arial"/>
          <w:snapToGrid/>
          <w:szCs w:val="22"/>
          <w:lang w:eastAsia="en-US"/>
        </w:rPr>
        <w:t>d</w:t>
      </w:r>
      <w:r w:rsidRPr="00890A62">
        <w:rPr>
          <w:rFonts w:eastAsia="Times New Roman" w:cs="Arial"/>
          <w:snapToGrid/>
          <w:szCs w:val="22"/>
          <w:lang w:eastAsia="en-US"/>
        </w:rPr>
        <w:t xml:space="preserve">es domaines gouvernementaux, industriels et multilatéraux, </w:t>
      </w:r>
      <w:r>
        <w:rPr>
          <w:rFonts w:eastAsia="Times New Roman" w:cs="Arial"/>
          <w:snapToGrid/>
          <w:szCs w:val="22"/>
          <w:lang w:eastAsia="en-US"/>
        </w:rPr>
        <w:t xml:space="preserve">et, </w:t>
      </w:r>
      <w:r w:rsidRPr="00890A62">
        <w:rPr>
          <w:rFonts w:eastAsia="Times New Roman" w:cs="Arial"/>
          <w:snapToGrid/>
          <w:szCs w:val="22"/>
          <w:lang w:eastAsia="en-US"/>
        </w:rPr>
        <w:t>dans l</w:t>
      </w:r>
      <w:r>
        <w:rPr>
          <w:rFonts w:eastAsia="Times New Roman" w:cs="Arial"/>
          <w:snapToGrid/>
          <w:szCs w:val="22"/>
          <w:lang w:eastAsia="en-US"/>
        </w:rPr>
        <w:t>’</w:t>
      </w:r>
      <w:r w:rsidRPr="00890A62">
        <w:rPr>
          <w:rFonts w:eastAsia="Times New Roman" w:cs="Arial"/>
          <w:snapToGrid/>
          <w:szCs w:val="22"/>
          <w:lang w:eastAsia="en-US"/>
        </w:rPr>
        <w:t xml:space="preserve">optique </w:t>
      </w:r>
      <w:r>
        <w:rPr>
          <w:rFonts w:eastAsia="Times New Roman" w:cs="Arial"/>
          <w:snapToGrid/>
          <w:szCs w:val="22"/>
          <w:lang w:eastAsia="en-US"/>
        </w:rPr>
        <w:t>de mobiliser</w:t>
      </w:r>
      <w:r w:rsidRPr="00890A62">
        <w:rPr>
          <w:rFonts w:eastAsia="Times New Roman" w:cs="Arial"/>
          <w:snapToGrid/>
          <w:szCs w:val="22"/>
          <w:lang w:eastAsia="en-US"/>
        </w:rPr>
        <w:t xml:space="preserve"> des publics plus larges </w:t>
      </w:r>
      <w:r>
        <w:rPr>
          <w:rFonts w:eastAsia="Times New Roman" w:cs="Arial"/>
          <w:snapToGrid/>
          <w:szCs w:val="22"/>
          <w:lang w:eastAsia="en-US"/>
        </w:rPr>
        <w:t>au sein des</w:t>
      </w:r>
      <w:r w:rsidRPr="00890A62">
        <w:rPr>
          <w:rFonts w:eastAsia="Times New Roman" w:cs="Arial"/>
          <w:snapToGrid/>
          <w:szCs w:val="22"/>
          <w:lang w:eastAsia="en-US"/>
        </w:rPr>
        <w:t xml:space="preserve"> États membres, il est raisonnable de prévoir un processus </w:t>
      </w:r>
      <w:r>
        <w:rPr>
          <w:rFonts w:eastAsia="Times New Roman" w:cs="Arial"/>
          <w:snapToGrid/>
          <w:szCs w:val="22"/>
          <w:lang w:eastAsia="en-US"/>
        </w:rPr>
        <w:t>sur</w:t>
      </w:r>
      <w:r w:rsidRPr="00890A62">
        <w:rPr>
          <w:rFonts w:eastAsia="Times New Roman" w:cs="Arial"/>
          <w:snapToGrid/>
          <w:szCs w:val="22"/>
          <w:lang w:eastAsia="en-US"/>
        </w:rPr>
        <w:t xml:space="preserve"> trois ans synchronisé avec le calendrier des sessions </w:t>
      </w:r>
      <w:r>
        <w:rPr>
          <w:rFonts w:eastAsia="Times New Roman" w:cs="Arial"/>
          <w:snapToGrid/>
          <w:szCs w:val="22"/>
          <w:lang w:eastAsia="en-US"/>
        </w:rPr>
        <w:t>des organes</w:t>
      </w:r>
      <w:r w:rsidRPr="00890A62">
        <w:rPr>
          <w:rFonts w:eastAsia="Times New Roman" w:cs="Arial"/>
          <w:snapToGrid/>
          <w:szCs w:val="22"/>
          <w:lang w:eastAsia="en-US"/>
        </w:rPr>
        <w:t xml:space="preserve"> directeur</w:t>
      </w:r>
      <w:r>
        <w:rPr>
          <w:rFonts w:eastAsia="Times New Roman" w:cs="Arial"/>
          <w:snapToGrid/>
          <w:szCs w:val="22"/>
          <w:lang w:eastAsia="en-US"/>
        </w:rPr>
        <w:t>s</w:t>
      </w:r>
      <w:r w:rsidRPr="00890A62">
        <w:rPr>
          <w:rFonts w:eastAsia="Times New Roman" w:cs="Arial"/>
          <w:snapToGrid/>
          <w:szCs w:val="22"/>
          <w:lang w:eastAsia="en-US"/>
        </w:rPr>
        <w:t xml:space="preserve"> </w:t>
      </w:r>
      <w:r>
        <w:rPr>
          <w:rFonts w:eastAsia="Times New Roman" w:cs="Arial"/>
          <w:snapToGrid/>
          <w:szCs w:val="22"/>
          <w:lang w:eastAsia="en-US"/>
        </w:rPr>
        <w:t>de la COI</w:t>
      </w:r>
      <w:r w:rsidRPr="00890A62">
        <w:rPr>
          <w:rFonts w:eastAsia="Times New Roman" w:cs="Arial"/>
          <w:snapToGrid/>
          <w:szCs w:val="22"/>
          <w:lang w:eastAsia="en-US"/>
        </w:rPr>
        <w:t>.</w:t>
      </w:r>
      <w:r>
        <w:rPr>
          <w:rFonts w:eastAsia="Times New Roman" w:cs="Arial"/>
          <w:snapToGrid/>
          <w:szCs w:val="22"/>
          <w:lang w:eastAsia="en-US"/>
        </w:rPr>
        <w:t xml:space="preserve"> </w:t>
      </w:r>
    </w:p>
    <w:p w14:paraId="441394BC" w14:textId="4BC9F2A7" w:rsidR="00890A62" w:rsidRDefault="00890A62" w:rsidP="00420597">
      <w:pPr>
        <w:tabs>
          <w:tab w:val="clear" w:pos="567"/>
        </w:tabs>
        <w:snapToGrid/>
        <w:spacing w:after="240"/>
        <w:jc w:val="both"/>
        <w:rPr>
          <w:rFonts w:eastAsia="Times New Roman" w:cs="Arial"/>
          <w:snapToGrid/>
          <w:szCs w:val="22"/>
          <w:u w:val="single"/>
          <w:lang w:eastAsia="en-US"/>
        </w:rPr>
      </w:pPr>
      <w:r w:rsidRPr="00890A62">
        <w:rPr>
          <w:rFonts w:eastAsia="Times New Roman" w:cs="Arial"/>
          <w:snapToGrid/>
          <w:szCs w:val="22"/>
          <w:u w:val="single"/>
          <w:lang w:eastAsia="en-US"/>
        </w:rPr>
        <w:t>Juin 2024</w:t>
      </w:r>
      <w:r w:rsidR="00420597">
        <w:rPr>
          <w:rFonts w:eastAsia="Times New Roman" w:cs="Arial"/>
          <w:snapToGrid/>
          <w:szCs w:val="22"/>
          <w:u w:val="single"/>
          <w:lang w:eastAsia="en-US"/>
        </w:rPr>
        <w:t xml:space="preserve"> </w:t>
      </w:r>
      <w:r w:rsidR="00420597" w:rsidRPr="00420597">
        <w:rPr>
          <w:rFonts w:eastAsia="Times New Roman" w:cs="Arial"/>
          <w:snapToGrid/>
          <w:szCs w:val="22"/>
          <w:u w:val="single"/>
          <w:lang w:eastAsia="en-US"/>
        </w:rPr>
        <w:t>–</w:t>
      </w:r>
      <w:r w:rsidR="00420597">
        <w:rPr>
          <w:rFonts w:eastAsia="Times New Roman" w:cs="Arial"/>
          <w:snapToGrid/>
          <w:szCs w:val="22"/>
          <w:u w:val="single"/>
          <w:lang w:eastAsia="en-US"/>
        </w:rPr>
        <w:t xml:space="preserve"> </w:t>
      </w:r>
      <w:r w:rsidRPr="00890A62">
        <w:rPr>
          <w:rFonts w:eastAsia="Times New Roman" w:cs="Arial"/>
          <w:snapToGrid/>
          <w:szCs w:val="22"/>
          <w:u w:val="single"/>
          <w:lang w:eastAsia="en-US"/>
        </w:rPr>
        <w:t>Juin 2025</w:t>
      </w:r>
      <w:r w:rsidR="00420597">
        <w:rPr>
          <w:rFonts w:eastAsia="Times New Roman" w:cs="Arial"/>
          <w:snapToGrid/>
          <w:szCs w:val="22"/>
          <w:u w:val="single"/>
          <w:lang w:eastAsia="en-US"/>
        </w:rPr>
        <w:t> </w:t>
      </w:r>
      <w:r w:rsidRPr="00890A62">
        <w:rPr>
          <w:rFonts w:eastAsia="Times New Roman" w:cs="Arial"/>
          <w:snapToGrid/>
          <w:szCs w:val="22"/>
          <w:u w:val="single"/>
          <w:lang w:eastAsia="en-US"/>
        </w:rPr>
        <w:t>: Besoins en matière de connaissance</w:t>
      </w:r>
      <w:r>
        <w:rPr>
          <w:rFonts w:eastAsia="Times New Roman" w:cs="Arial"/>
          <w:snapToGrid/>
          <w:szCs w:val="22"/>
          <w:u w:val="single"/>
          <w:lang w:eastAsia="en-US"/>
        </w:rPr>
        <w:t>s</w:t>
      </w:r>
      <w:r w:rsidRPr="00890A62">
        <w:rPr>
          <w:rFonts w:eastAsia="Times New Roman" w:cs="Arial"/>
          <w:snapToGrid/>
          <w:szCs w:val="22"/>
          <w:u w:val="single"/>
          <w:lang w:eastAsia="en-US"/>
        </w:rPr>
        <w:t>, de prise de décision</w:t>
      </w:r>
      <w:r>
        <w:rPr>
          <w:rFonts w:eastAsia="Times New Roman" w:cs="Arial"/>
          <w:snapToGrid/>
          <w:szCs w:val="22"/>
          <w:u w:val="single"/>
          <w:lang w:eastAsia="en-US"/>
        </w:rPr>
        <w:t>s</w:t>
      </w:r>
      <w:r w:rsidRPr="00890A62">
        <w:rPr>
          <w:rFonts w:eastAsia="Times New Roman" w:cs="Arial"/>
          <w:snapToGrid/>
          <w:szCs w:val="22"/>
          <w:u w:val="single"/>
          <w:lang w:eastAsia="en-US"/>
        </w:rPr>
        <w:t xml:space="preserve"> et d</w:t>
      </w:r>
      <w:r>
        <w:rPr>
          <w:rFonts w:eastAsia="Times New Roman" w:cs="Arial"/>
          <w:snapToGrid/>
          <w:szCs w:val="22"/>
          <w:u w:val="single"/>
          <w:lang w:eastAsia="en-US"/>
        </w:rPr>
        <w:t>’</w:t>
      </w:r>
      <w:r w:rsidRPr="00890A62">
        <w:rPr>
          <w:rFonts w:eastAsia="Times New Roman" w:cs="Arial"/>
          <w:snapToGrid/>
          <w:szCs w:val="22"/>
          <w:u w:val="single"/>
          <w:lang w:eastAsia="en-US"/>
        </w:rPr>
        <w:t>action</w:t>
      </w:r>
    </w:p>
    <w:p w14:paraId="1C734D2E" w14:textId="0C6D9B2E" w:rsidR="00890A62" w:rsidRDefault="00890A62" w:rsidP="00420597">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16.</w:t>
      </w:r>
      <w:r>
        <w:rPr>
          <w:rFonts w:eastAsia="Times New Roman" w:cs="Arial"/>
          <w:snapToGrid/>
          <w:szCs w:val="22"/>
          <w:lang w:eastAsia="en-US"/>
        </w:rPr>
        <w:tab/>
      </w:r>
      <w:r w:rsidRPr="00890A62">
        <w:rPr>
          <w:rFonts w:eastAsia="Times New Roman" w:cs="Arial"/>
          <w:snapToGrid/>
          <w:szCs w:val="22"/>
          <w:lang w:eastAsia="en-US"/>
        </w:rPr>
        <w:t xml:space="preserve">La première étape consiste à identifier les lacunes et les besoins </w:t>
      </w:r>
      <w:r>
        <w:rPr>
          <w:rFonts w:eastAsia="Times New Roman" w:cs="Arial"/>
          <w:snapToGrid/>
          <w:szCs w:val="22"/>
          <w:lang w:eastAsia="en-US"/>
        </w:rPr>
        <w:t>pour ce qui est de faciliter les</w:t>
      </w:r>
      <w:r w:rsidRPr="00890A62">
        <w:rPr>
          <w:rFonts w:eastAsia="Times New Roman" w:cs="Arial"/>
          <w:snapToGrid/>
          <w:szCs w:val="22"/>
          <w:lang w:eastAsia="en-US"/>
        </w:rPr>
        <w:t xml:space="preserve"> processus de planification durable de </w:t>
      </w:r>
      <w:r>
        <w:rPr>
          <w:rFonts w:eastAsia="Times New Roman" w:cs="Arial"/>
          <w:snapToGrid/>
          <w:szCs w:val="22"/>
          <w:lang w:eastAsia="en-US"/>
        </w:rPr>
        <w:t>l’</w:t>
      </w:r>
      <w:r w:rsidRPr="00890A62">
        <w:rPr>
          <w:rFonts w:eastAsia="Times New Roman" w:cs="Arial"/>
          <w:snapToGrid/>
          <w:szCs w:val="22"/>
          <w:lang w:eastAsia="en-US"/>
        </w:rPr>
        <w:t>océan dans les États membres</w:t>
      </w:r>
      <w:r w:rsidR="00B15815">
        <w:rPr>
          <w:rFonts w:eastAsia="Times New Roman" w:cs="Arial"/>
          <w:snapToGrid/>
          <w:szCs w:val="22"/>
          <w:lang w:eastAsia="en-US"/>
        </w:rPr>
        <w:t>,</w:t>
      </w:r>
      <w:r w:rsidR="00B15815" w:rsidRPr="008C402E">
        <w:rPr>
          <w:rFonts w:eastAsia="Times New Roman" w:cs="Arial"/>
          <w:snapToGrid/>
          <w:szCs w:val="22"/>
          <w:lang w:eastAsia="en-US"/>
        </w:rPr>
        <w:t xml:space="preserve"> de </w:t>
      </w:r>
      <w:r w:rsidR="00B15815" w:rsidRPr="00B15815">
        <w:rPr>
          <w:rFonts w:eastAsia="Times New Roman" w:cs="Arial"/>
          <w:snapToGrid/>
          <w:szCs w:val="22"/>
          <w:lang w:eastAsia="en-US"/>
        </w:rPr>
        <w:t xml:space="preserve">soutenir </w:t>
      </w:r>
      <w:r w:rsidR="008C402E">
        <w:rPr>
          <w:rFonts w:eastAsia="Times New Roman" w:cs="Arial"/>
          <w:snapToGrid/>
          <w:szCs w:val="22"/>
          <w:lang w:eastAsia="en-US"/>
        </w:rPr>
        <w:t>l’application</w:t>
      </w:r>
      <w:r w:rsidR="00B15815" w:rsidRPr="00B15815">
        <w:rPr>
          <w:rFonts w:eastAsia="Times New Roman" w:cs="Arial"/>
          <w:snapToGrid/>
          <w:szCs w:val="22"/>
          <w:lang w:eastAsia="en-US"/>
        </w:rPr>
        <w:t xml:space="preserve"> des conventions et cadres pertinents des Nations </w:t>
      </w:r>
      <w:r w:rsidR="008C402E">
        <w:rPr>
          <w:rFonts w:eastAsia="Times New Roman" w:cs="Arial"/>
          <w:snapToGrid/>
          <w:szCs w:val="22"/>
          <w:lang w:eastAsia="en-US"/>
        </w:rPr>
        <w:t>U</w:t>
      </w:r>
      <w:r w:rsidR="00B15815" w:rsidRPr="00B15815">
        <w:rPr>
          <w:rFonts w:eastAsia="Times New Roman" w:cs="Arial"/>
          <w:snapToGrid/>
          <w:szCs w:val="22"/>
          <w:lang w:eastAsia="en-US"/>
        </w:rPr>
        <w:t>nies</w:t>
      </w:r>
      <w:r w:rsidR="008C402E">
        <w:rPr>
          <w:rFonts w:eastAsia="Times New Roman" w:cs="Arial"/>
          <w:snapToGrid/>
          <w:szCs w:val="22"/>
          <w:lang w:eastAsia="en-US"/>
        </w:rPr>
        <w:t>, ainsi que de proposer</w:t>
      </w:r>
      <w:r w:rsidR="008C402E" w:rsidRPr="008C402E">
        <w:rPr>
          <w:rFonts w:eastAsia="Times New Roman" w:cs="Arial"/>
          <w:snapToGrid/>
          <w:szCs w:val="22"/>
          <w:lang w:eastAsia="en-US"/>
        </w:rPr>
        <w:t xml:space="preserve"> des </w:t>
      </w:r>
      <w:r w:rsidR="008C402E">
        <w:rPr>
          <w:rFonts w:eastAsia="Times New Roman" w:cs="Arial"/>
          <w:snapToGrid/>
          <w:szCs w:val="22"/>
          <w:lang w:eastAsia="en-US"/>
        </w:rPr>
        <w:t>supports</w:t>
      </w:r>
      <w:r w:rsidR="008C402E" w:rsidRPr="008C402E">
        <w:rPr>
          <w:rFonts w:eastAsia="Times New Roman" w:cs="Arial"/>
          <w:snapToGrid/>
          <w:szCs w:val="22"/>
          <w:lang w:eastAsia="en-US"/>
        </w:rPr>
        <w:t xml:space="preserve"> de connaissance</w:t>
      </w:r>
      <w:r w:rsidR="008C402E">
        <w:rPr>
          <w:rFonts w:eastAsia="Times New Roman" w:cs="Arial"/>
          <w:snapToGrid/>
          <w:szCs w:val="22"/>
          <w:lang w:eastAsia="en-US"/>
        </w:rPr>
        <w:t>s</w:t>
      </w:r>
      <w:r w:rsidR="008C402E" w:rsidRPr="008C402E">
        <w:rPr>
          <w:rFonts w:eastAsia="Times New Roman" w:cs="Arial"/>
          <w:snapToGrid/>
          <w:szCs w:val="22"/>
          <w:lang w:eastAsia="en-US"/>
        </w:rPr>
        <w:t xml:space="preserve"> pertinents aux acteurs des secteurs public et privé dans le cadre du développement d</w:t>
      </w:r>
      <w:r w:rsidR="008C402E">
        <w:rPr>
          <w:rFonts w:eastAsia="Times New Roman" w:cs="Arial"/>
          <w:snapToGrid/>
          <w:szCs w:val="22"/>
          <w:lang w:eastAsia="en-US"/>
        </w:rPr>
        <w:t>’</w:t>
      </w:r>
      <w:r w:rsidR="008C402E" w:rsidRPr="008C402E">
        <w:rPr>
          <w:rFonts w:eastAsia="Times New Roman" w:cs="Arial"/>
          <w:snapToGrid/>
          <w:szCs w:val="22"/>
          <w:lang w:eastAsia="en-US"/>
        </w:rPr>
        <w:t>une économie océanique durable.</w:t>
      </w:r>
    </w:p>
    <w:p w14:paraId="2A26664C" w14:textId="26448D22" w:rsidR="008C402E" w:rsidRPr="00420597" w:rsidRDefault="008C402E" w:rsidP="00420597">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17.</w:t>
      </w:r>
      <w:r>
        <w:rPr>
          <w:rFonts w:eastAsia="Times New Roman" w:cs="Arial"/>
          <w:snapToGrid/>
          <w:szCs w:val="22"/>
          <w:lang w:eastAsia="en-US"/>
        </w:rPr>
        <w:tab/>
      </w:r>
      <w:r w:rsidRPr="00420597">
        <w:rPr>
          <w:rFonts w:eastAsia="Times New Roman" w:cs="Arial"/>
          <w:snapToGrid/>
          <w:szCs w:val="22"/>
          <w:lang w:eastAsia="en-US"/>
        </w:rPr>
        <w:t>L’identification des lacunes sera réalisée avec les institutions des États membres, les organisations multilatérales et le secteur privé, notamment en faisant appel aux réseaux mis en place dans le cadre de la Décennie de l’Océan. Elle s’appuiera sur les recherches existantes concernant l’état et la trajectoire de l’océan et ses incidences environnementales, sociales et économiques.</w:t>
      </w:r>
      <w:r w:rsidRPr="00420597">
        <w:rPr>
          <w:color w:val="333333"/>
          <w:szCs w:val="22"/>
          <w:shd w:val="clear" w:color="auto" w:fill="FFFFFF"/>
        </w:rPr>
        <w:t xml:space="preserve"> </w:t>
      </w:r>
      <w:r w:rsidRPr="00420597">
        <w:rPr>
          <w:rFonts w:eastAsia="Times New Roman" w:cs="Arial"/>
          <w:snapToGrid/>
          <w:szCs w:val="22"/>
          <w:lang w:eastAsia="en-US"/>
        </w:rPr>
        <w:t>L’évaluation à mi-parcours de la Décennie de l’Océan (prévue en 2024-2025) fournira également des informations utiles sur l’efficacité du cadre de la Décennie pour combler les lacunes en matière de connaissances et soutenir l’action menée.</w:t>
      </w:r>
    </w:p>
    <w:p w14:paraId="725D2BE8" w14:textId="2E56FFB6" w:rsidR="008C402E" w:rsidRPr="00C250B5" w:rsidRDefault="008C402E" w:rsidP="00420597">
      <w:pPr>
        <w:tabs>
          <w:tab w:val="clear" w:pos="567"/>
        </w:tabs>
        <w:snapToGrid/>
        <w:spacing w:after="240"/>
        <w:jc w:val="both"/>
        <w:rPr>
          <w:rFonts w:eastAsia="Times New Roman" w:cs="Arial"/>
          <w:snapToGrid/>
          <w:szCs w:val="22"/>
          <w:lang w:eastAsia="en-US"/>
        </w:rPr>
      </w:pPr>
      <w:r w:rsidRPr="00C250B5">
        <w:rPr>
          <w:rFonts w:eastAsia="Times New Roman" w:cs="Arial"/>
          <w:snapToGrid/>
          <w:szCs w:val="22"/>
          <w:lang w:eastAsia="en-US"/>
        </w:rPr>
        <w:t>18.</w:t>
      </w:r>
      <w:r w:rsidRPr="00C250B5">
        <w:rPr>
          <w:rFonts w:eastAsia="Times New Roman" w:cs="Arial"/>
          <w:snapToGrid/>
          <w:szCs w:val="22"/>
          <w:lang w:eastAsia="en-US"/>
        </w:rPr>
        <w:tab/>
      </w:r>
      <w:r w:rsidR="00FA1139" w:rsidRPr="00C250B5">
        <w:rPr>
          <w:rFonts w:eastAsia="Times New Roman" w:cs="Arial"/>
          <w:snapToGrid/>
          <w:szCs w:val="22"/>
          <w:lang w:eastAsia="en-US"/>
        </w:rPr>
        <w:t>Les États membres seront encouragés à organiser des ateliers intersectoriels au sein de leur gouvernement, et nous saisirons les occasions offertes par les rassemblements régionaux et mondiaux (y compris les sous-commissions de la COI) pour organiser des ateliers destinés à identifier les lacunes.</w:t>
      </w:r>
      <w:r w:rsidR="00FA1139" w:rsidRPr="00C250B5">
        <w:rPr>
          <w:color w:val="333333"/>
          <w:szCs w:val="22"/>
          <w:shd w:val="clear" w:color="auto" w:fill="FFFFFF"/>
        </w:rPr>
        <w:t xml:space="preserve"> </w:t>
      </w:r>
      <w:r w:rsidR="00FA1139" w:rsidRPr="00C250B5">
        <w:rPr>
          <w:rFonts w:eastAsia="Times New Roman" w:cs="Arial"/>
          <w:snapToGrid/>
          <w:szCs w:val="22"/>
          <w:lang w:eastAsia="en-US"/>
        </w:rPr>
        <w:t xml:space="preserve">Les conclusions et les réflexions qui en découleront seront présentées à l’Assemblée de la COI en 2025. </w:t>
      </w:r>
    </w:p>
    <w:p w14:paraId="4AAB05C7" w14:textId="7B78DC1F" w:rsidR="00FA1139" w:rsidRPr="00890A62" w:rsidRDefault="00FA1139" w:rsidP="00420597">
      <w:pPr>
        <w:tabs>
          <w:tab w:val="clear" w:pos="567"/>
        </w:tabs>
        <w:snapToGrid/>
        <w:spacing w:after="240"/>
        <w:jc w:val="both"/>
        <w:rPr>
          <w:rFonts w:eastAsia="Times New Roman" w:cs="Arial"/>
          <w:snapToGrid/>
          <w:szCs w:val="22"/>
          <w:lang w:eastAsia="en-US"/>
        </w:rPr>
      </w:pPr>
      <w:r w:rsidRPr="00FA1139">
        <w:rPr>
          <w:rFonts w:eastAsia="Times New Roman" w:cs="Arial"/>
          <w:snapToGrid/>
          <w:szCs w:val="22"/>
          <w:u w:val="single"/>
          <w:lang w:eastAsia="en-US"/>
        </w:rPr>
        <w:t>Juin 2025</w:t>
      </w:r>
      <w:r w:rsidR="001E1FCC">
        <w:rPr>
          <w:rFonts w:eastAsia="Times New Roman" w:cs="Arial"/>
          <w:snapToGrid/>
          <w:szCs w:val="22"/>
          <w:u w:val="single"/>
          <w:lang w:eastAsia="en-US"/>
        </w:rPr>
        <w:t xml:space="preserve"> </w:t>
      </w:r>
      <w:r w:rsidR="001E1FCC" w:rsidRPr="001E1FCC">
        <w:rPr>
          <w:rFonts w:eastAsia="Times New Roman" w:cs="Arial"/>
          <w:snapToGrid/>
          <w:szCs w:val="22"/>
          <w:u w:val="single"/>
          <w:lang w:eastAsia="en-US"/>
        </w:rPr>
        <w:t>–</w:t>
      </w:r>
      <w:r w:rsidR="001E1FCC">
        <w:rPr>
          <w:rFonts w:eastAsia="Times New Roman" w:cs="Arial"/>
          <w:snapToGrid/>
          <w:szCs w:val="22"/>
          <w:u w:val="single"/>
          <w:lang w:eastAsia="en-US"/>
        </w:rPr>
        <w:t xml:space="preserve"> </w:t>
      </w:r>
      <w:r w:rsidRPr="00FA1139">
        <w:rPr>
          <w:rFonts w:eastAsia="Times New Roman" w:cs="Arial"/>
          <w:snapToGrid/>
          <w:szCs w:val="22"/>
          <w:u w:val="single"/>
          <w:lang w:eastAsia="en-US"/>
        </w:rPr>
        <w:t>Juin 2026</w:t>
      </w:r>
      <w:r w:rsidR="004F154C">
        <w:rPr>
          <w:rFonts w:eastAsia="Times New Roman" w:cs="Arial"/>
          <w:snapToGrid/>
          <w:szCs w:val="22"/>
          <w:u w:val="single"/>
          <w:lang w:eastAsia="en-US"/>
        </w:rPr>
        <w:t> </w:t>
      </w:r>
      <w:r w:rsidRPr="00FA1139">
        <w:rPr>
          <w:rFonts w:eastAsia="Times New Roman" w:cs="Arial"/>
          <w:snapToGrid/>
          <w:szCs w:val="22"/>
          <w:u w:val="single"/>
          <w:lang w:eastAsia="en-US"/>
        </w:rPr>
        <w:t>: Dialogue sur l</w:t>
      </w:r>
      <w:r>
        <w:rPr>
          <w:rFonts w:eastAsia="Times New Roman" w:cs="Arial"/>
          <w:snapToGrid/>
          <w:szCs w:val="22"/>
          <w:u w:val="single"/>
          <w:lang w:eastAsia="en-US"/>
        </w:rPr>
        <w:t>’</w:t>
      </w:r>
      <w:r w:rsidRPr="00FA1139">
        <w:rPr>
          <w:rFonts w:eastAsia="Times New Roman" w:cs="Arial"/>
          <w:snapToGrid/>
          <w:szCs w:val="22"/>
          <w:u w:val="single"/>
          <w:lang w:eastAsia="en-US"/>
        </w:rPr>
        <w:t xml:space="preserve">efficacité des cadres multilatéraux </w:t>
      </w:r>
      <w:r>
        <w:rPr>
          <w:rFonts w:eastAsia="Times New Roman" w:cs="Arial"/>
          <w:snapToGrid/>
          <w:szCs w:val="22"/>
          <w:u w:val="single"/>
          <w:lang w:eastAsia="en-US"/>
        </w:rPr>
        <w:t>relatifs à l’océan</w:t>
      </w:r>
    </w:p>
    <w:p w14:paraId="1A91A340" w14:textId="65314E66" w:rsidR="00890A62" w:rsidRPr="00C67B8B" w:rsidRDefault="00FA1139" w:rsidP="00420597">
      <w:pPr>
        <w:tabs>
          <w:tab w:val="clear" w:pos="567"/>
        </w:tabs>
        <w:snapToGrid/>
        <w:spacing w:after="240"/>
        <w:jc w:val="both"/>
        <w:rPr>
          <w:rFonts w:asciiTheme="minorBidi" w:eastAsia="Times New Roman" w:hAnsiTheme="minorBidi" w:cstheme="minorBidi"/>
          <w:snapToGrid/>
          <w:szCs w:val="22"/>
          <w:lang w:eastAsia="en-US"/>
        </w:rPr>
      </w:pPr>
      <w:r>
        <w:rPr>
          <w:rFonts w:asciiTheme="minorBidi" w:eastAsia="Times New Roman" w:hAnsiTheme="minorBidi" w:cstheme="minorBidi"/>
          <w:snapToGrid/>
          <w:szCs w:val="22"/>
          <w:lang w:eastAsia="en-US"/>
        </w:rPr>
        <w:t>19.</w:t>
      </w:r>
      <w:r>
        <w:rPr>
          <w:rFonts w:asciiTheme="minorBidi" w:eastAsia="Times New Roman" w:hAnsiTheme="minorBidi" w:cstheme="minorBidi"/>
          <w:snapToGrid/>
          <w:szCs w:val="22"/>
          <w:lang w:eastAsia="en-US"/>
        </w:rPr>
        <w:tab/>
      </w:r>
      <w:r w:rsidRPr="00FA1139">
        <w:rPr>
          <w:rFonts w:asciiTheme="minorBidi" w:eastAsia="Times New Roman" w:hAnsiTheme="minorBidi" w:cstheme="minorBidi"/>
          <w:snapToGrid/>
          <w:szCs w:val="22"/>
          <w:lang w:eastAsia="en-US"/>
        </w:rPr>
        <w:t xml:space="preserve">Sur la base de </w:t>
      </w:r>
      <w:r>
        <w:rPr>
          <w:rFonts w:asciiTheme="minorBidi" w:eastAsia="Times New Roman" w:hAnsiTheme="minorBidi" w:cstheme="minorBidi"/>
          <w:snapToGrid/>
          <w:szCs w:val="22"/>
          <w:lang w:eastAsia="en-US"/>
        </w:rPr>
        <w:t>l’identification des lacunes</w:t>
      </w:r>
      <w:r w:rsidRPr="00FA1139">
        <w:rPr>
          <w:rFonts w:asciiTheme="minorBidi" w:eastAsia="Times New Roman" w:hAnsiTheme="minorBidi" w:cstheme="minorBidi"/>
          <w:snapToGrid/>
          <w:szCs w:val="22"/>
          <w:lang w:eastAsia="en-US"/>
        </w:rPr>
        <w:t xml:space="preserve">, la deuxième étape devrait consister en un dialogue structuré entre les États membres de la COI et les organisations multilatérales concernées afin de recenser les capacités et les </w:t>
      </w:r>
      <w:r>
        <w:rPr>
          <w:rFonts w:asciiTheme="minorBidi" w:eastAsia="Times New Roman" w:hAnsiTheme="minorBidi" w:cstheme="minorBidi"/>
          <w:snapToGrid/>
          <w:szCs w:val="22"/>
          <w:lang w:eastAsia="en-US"/>
        </w:rPr>
        <w:t>insuffisances</w:t>
      </w:r>
      <w:r w:rsidRPr="00FA1139">
        <w:rPr>
          <w:rFonts w:asciiTheme="minorBidi" w:eastAsia="Times New Roman" w:hAnsiTheme="minorBidi" w:cstheme="minorBidi"/>
          <w:snapToGrid/>
          <w:szCs w:val="22"/>
          <w:lang w:eastAsia="en-US"/>
        </w:rPr>
        <w:t xml:space="preserve"> de la collaboration mondiale et régionale en vue de soutenir la planification durable </w:t>
      </w:r>
      <w:r>
        <w:rPr>
          <w:rFonts w:asciiTheme="minorBidi" w:eastAsia="Times New Roman" w:hAnsiTheme="minorBidi" w:cstheme="minorBidi"/>
          <w:snapToGrid/>
          <w:szCs w:val="22"/>
          <w:lang w:eastAsia="en-US"/>
        </w:rPr>
        <w:t>de l’océan</w:t>
      </w:r>
      <w:r w:rsidRPr="00FA1139">
        <w:rPr>
          <w:rFonts w:asciiTheme="minorBidi" w:eastAsia="Times New Roman" w:hAnsiTheme="minorBidi" w:cstheme="minorBidi"/>
          <w:snapToGrid/>
          <w:szCs w:val="22"/>
          <w:lang w:eastAsia="en-US"/>
        </w:rPr>
        <w:t xml:space="preserve">, </w:t>
      </w:r>
      <w:r>
        <w:rPr>
          <w:rFonts w:asciiTheme="minorBidi" w:eastAsia="Times New Roman" w:hAnsiTheme="minorBidi" w:cstheme="minorBidi"/>
          <w:snapToGrid/>
          <w:szCs w:val="22"/>
          <w:lang w:eastAsia="en-US"/>
        </w:rPr>
        <w:t xml:space="preserve">une </w:t>
      </w:r>
      <w:r w:rsidRPr="00FA1139">
        <w:rPr>
          <w:rFonts w:asciiTheme="minorBidi" w:eastAsia="Times New Roman" w:hAnsiTheme="minorBidi" w:cstheme="minorBidi"/>
          <w:snapToGrid/>
          <w:szCs w:val="22"/>
          <w:lang w:eastAsia="en-US"/>
        </w:rPr>
        <w:t xml:space="preserve">économie </w:t>
      </w:r>
      <w:r>
        <w:rPr>
          <w:rFonts w:asciiTheme="minorBidi" w:eastAsia="Times New Roman" w:hAnsiTheme="minorBidi" w:cstheme="minorBidi"/>
          <w:snapToGrid/>
          <w:szCs w:val="22"/>
          <w:lang w:eastAsia="en-US"/>
        </w:rPr>
        <w:t xml:space="preserve">océanique </w:t>
      </w:r>
      <w:r w:rsidRPr="00FA1139">
        <w:rPr>
          <w:rFonts w:asciiTheme="minorBidi" w:eastAsia="Times New Roman" w:hAnsiTheme="minorBidi" w:cstheme="minorBidi"/>
          <w:snapToGrid/>
          <w:szCs w:val="22"/>
          <w:lang w:eastAsia="en-US"/>
        </w:rPr>
        <w:t>durable e</w:t>
      </w:r>
      <w:r w:rsidRPr="00C67B8B">
        <w:rPr>
          <w:rFonts w:asciiTheme="minorBidi" w:eastAsia="Times New Roman" w:hAnsiTheme="minorBidi" w:cstheme="minorBidi"/>
          <w:snapToGrid/>
          <w:szCs w:val="22"/>
          <w:lang w:eastAsia="en-US"/>
        </w:rPr>
        <w:t>t la mise en œuvre effective des conventions et des cadres des Nations Unies relatifs à l’environnement.</w:t>
      </w:r>
      <w:r w:rsidR="007C1226" w:rsidRPr="00C67B8B">
        <w:rPr>
          <w:color w:val="333333"/>
          <w:szCs w:val="22"/>
          <w:shd w:val="clear" w:color="auto" w:fill="FFFFFF"/>
        </w:rPr>
        <w:t xml:space="preserve"> </w:t>
      </w:r>
      <w:r w:rsidR="007C1226" w:rsidRPr="00C67B8B">
        <w:rPr>
          <w:rFonts w:asciiTheme="minorBidi" w:eastAsia="Times New Roman" w:hAnsiTheme="minorBidi" w:cstheme="minorBidi"/>
          <w:snapToGrid/>
          <w:szCs w:val="22"/>
          <w:lang w:eastAsia="en-US"/>
        </w:rPr>
        <w:t>Ce dialogue aura pour but de préparer une base de connaissances qui puisse permettre aux États membres de fixer des priorités et de prendre des décisions, notamment en ce qui concerne l’orientation à long terme de la COI.</w:t>
      </w:r>
    </w:p>
    <w:p w14:paraId="3BB2CB10" w14:textId="71C901AF" w:rsidR="00321515" w:rsidRPr="00890A62" w:rsidRDefault="00321515" w:rsidP="00420597">
      <w:pPr>
        <w:tabs>
          <w:tab w:val="clear" w:pos="567"/>
        </w:tabs>
        <w:snapToGrid/>
        <w:spacing w:after="240"/>
        <w:jc w:val="both"/>
        <w:rPr>
          <w:rFonts w:asciiTheme="minorBidi" w:eastAsia="Times New Roman" w:hAnsiTheme="minorBidi" w:cstheme="minorBidi"/>
          <w:snapToGrid/>
          <w:szCs w:val="22"/>
          <w:lang w:eastAsia="en-US"/>
        </w:rPr>
      </w:pPr>
      <w:r w:rsidRPr="00321515">
        <w:rPr>
          <w:rFonts w:asciiTheme="minorBidi" w:eastAsia="Times New Roman" w:hAnsiTheme="minorBidi" w:cstheme="minorBidi"/>
          <w:snapToGrid/>
          <w:szCs w:val="22"/>
          <w:u w:val="single"/>
          <w:lang w:eastAsia="en-US"/>
        </w:rPr>
        <w:t>Juin 2026</w:t>
      </w:r>
      <w:r w:rsidR="008E1A1B">
        <w:rPr>
          <w:rFonts w:asciiTheme="minorBidi" w:eastAsia="Times New Roman" w:hAnsiTheme="minorBidi" w:cstheme="minorBidi"/>
          <w:snapToGrid/>
          <w:szCs w:val="22"/>
          <w:u w:val="single"/>
          <w:lang w:eastAsia="en-US"/>
        </w:rPr>
        <w:t xml:space="preserve"> </w:t>
      </w:r>
      <w:r w:rsidR="008E1A1B" w:rsidRPr="008E1A1B">
        <w:rPr>
          <w:rFonts w:eastAsia="Times New Roman" w:cs="Arial"/>
          <w:snapToGrid/>
          <w:szCs w:val="22"/>
          <w:u w:val="single"/>
          <w:lang w:eastAsia="en-US"/>
        </w:rPr>
        <w:t>–</w:t>
      </w:r>
      <w:r w:rsidR="008E1A1B">
        <w:rPr>
          <w:rFonts w:asciiTheme="minorBidi" w:eastAsia="Times New Roman" w:hAnsiTheme="minorBidi" w:cstheme="minorBidi"/>
          <w:snapToGrid/>
          <w:szCs w:val="22"/>
          <w:u w:val="single"/>
          <w:lang w:eastAsia="en-US"/>
        </w:rPr>
        <w:t xml:space="preserve"> </w:t>
      </w:r>
      <w:r w:rsidRPr="00321515">
        <w:rPr>
          <w:rFonts w:asciiTheme="minorBidi" w:eastAsia="Times New Roman" w:hAnsiTheme="minorBidi" w:cstheme="minorBidi"/>
          <w:snapToGrid/>
          <w:szCs w:val="22"/>
          <w:u w:val="single"/>
          <w:lang w:eastAsia="en-US"/>
        </w:rPr>
        <w:t>Juin 2027</w:t>
      </w:r>
      <w:r w:rsidR="008E1A1B">
        <w:rPr>
          <w:rFonts w:asciiTheme="minorBidi" w:eastAsia="Times New Roman" w:hAnsiTheme="minorBidi" w:cstheme="minorBidi"/>
          <w:snapToGrid/>
          <w:szCs w:val="22"/>
          <w:u w:val="single"/>
          <w:lang w:eastAsia="en-US"/>
        </w:rPr>
        <w:t> </w:t>
      </w:r>
      <w:r w:rsidRPr="00321515">
        <w:rPr>
          <w:rFonts w:asciiTheme="minorBidi" w:eastAsia="Times New Roman" w:hAnsiTheme="minorBidi" w:cstheme="minorBidi"/>
          <w:snapToGrid/>
          <w:szCs w:val="22"/>
          <w:u w:val="single"/>
          <w:lang w:eastAsia="en-US"/>
        </w:rPr>
        <w:t>: La COI et l</w:t>
      </w:r>
      <w:r>
        <w:rPr>
          <w:rFonts w:asciiTheme="minorBidi" w:eastAsia="Times New Roman" w:hAnsiTheme="minorBidi" w:cstheme="minorBidi"/>
          <w:snapToGrid/>
          <w:szCs w:val="22"/>
          <w:u w:val="single"/>
          <w:lang w:eastAsia="en-US"/>
        </w:rPr>
        <w:t>’</w:t>
      </w:r>
      <w:r w:rsidRPr="00321515">
        <w:rPr>
          <w:rFonts w:asciiTheme="minorBidi" w:eastAsia="Times New Roman" w:hAnsiTheme="minorBidi" w:cstheme="minorBidi"/>
          <w:snapToGrid/>
          <w:szCs w:val="22"/>
          <w:u w:val="single"/>
          <w:lang w:eastAsia="en-US"/>
        </w:rPr>
        <w:t>avenir de l</w:t>
      </w:r>
      <w:r w:rsidR="00555B7F">
        <w:rPr>
          <w:rFonts w:asciiTheme="minorBidi" w:eastAsia="Times New Roman" w:hAnsiTheme="minorBidi" w:cstheme="minorBidi"/>
          <w:snapToGrid/>
          <w:szCs w:val="22"/>
          <w:u w:val="single"/>
          <w:lang w:eastAsia="en-US"/>
        </w:rPr>
        <w:t>’</w:t>
      </w:r>
      <w:r w:rsidRPr="00321515">
        <w:rPr>
          <w:rFonts w:asciiTheme="minorBidi" w:eastAsia="Times New Roman" w:hAnsiTheme="minorBidi" w:cstheme="minorBidi"/>
          <w:snapToGrid/>
          <w:szCs w:val="22"/>
          <w:u w:val="single"/>
          <w:lang w:eastAsia="en-US"/>
        </w:rPr>
        <w:t>océan</w:t>
      </w:r>
    </w:p>
    <w:bookmarkEnd w:id="1"/>
    <w:p w14:paraId="17A9A443" w14:textId="44AB7DBC" w:rsidR="00436275" w:rsidRPr="003359A8" w:rsidRDefault="00321515" w:rsidP="00420597">
      <w:pPr>
        <w:tabs>
          <w:tab w:val="clear" w:pos="567"/>
        </w:tabs>
        <w:snapToGrid/>
        <w:spacing w:after="120"/>
        <w:jc w:val="both"/>
        <w:rPr>
          <w:rFonts w:eastAsia="Times New Roman" w:cs="Arial"/>
          <w:bCs/>
          <w:snapToGrid/>
          <w:szCs w:val="22"/>
          <w:lang w:eastAsia="en-US"/>
        </w:rPr>
      </w:pPr>
      <w:r>
        <w:rPr>
          <w:rFonts w:eastAsia="Times New Roman" w:cs="Arial"/>
          <w:bCs/>
          <w:snapToGrid/>
          <w:szCs w:val="22"/>
          <w:lang w:eastAsia="en-US"/>
        </w:rPr>
        <w:t>20.</w:t>
      </w:r>
      <w:r>
        <w:rPr>
          <w:rFonts w:eastAsia="Times New Roman" w:cs="Arial"/>
          <w:bCs/>
          <w:snapToGrid/>
          <w:szCs w:val="22"/>
          <w:lang w:eastAsia="en-US"/>
        </w:rPr>
        <w:tab/>
        <w:t>Sur la base de</w:t>
      </w:r>
      <w:r w:rsidRPr="00321515">
        <w:rPr>
          <w:rFonts w:eastAsia="Times New Roman" w:cs="Arial"/>
          <w:bCs/>
          <w:snapToGrid/>
          <w:szCs w:val="22"/>
          <w:lang w:eastAsia="en-US"/>
        </w:rPr>
        <w:t xml:space="preserve"> l</w:t>
      </w:r>
      <w:r>
        <w:rPr>
          <w:rFonts w:eastAsia="Times New Roman" w:cs="Arial"/>
          <w:bCs/>
          <w:snapToGrid/>
          <w:szCs w:val="22"/>
          <w:lang w:eastAsia="en-US"/>
        </w:rPr>
        <w:t>’</w:t>
      </w:r>
      <w:r w:rsidRPr="00321515">
        <w:rPr>
          <w:rFonts w:eastAsia="Times New Roman" w:cs="Arial"/>
          <w:bCs/>
          <w:snapToGrid/>
          <w:szCs w:val="22"/>
          <w:lang w:eastAsia="en-US"/>
        </w:rPr>
        <w:t xml:space="preserve">évaluation des lacunes et des besoins, </w:t>
      </w:r>
      <w:r>
        <w:rPr>
          <w:rFonts w:eastAsia="Times New Roman" w:cs="Arial"/>
          <w:bCs/>
          <w:snapToGrid/>
          <w:szCs w:val="22"/>
          <w:lang w:eastAsia="en-US"/>
        </w:rPr>
        <w:t>ainsi que</w:t>
      </w:r>
      <w:r w:rsidRPr="00321515">
        <w:rPr>
          <w:rFonts w:eastAsia="Times New Roman" w:cs="Arial"/>
          <w:bCs/>
          <w:snapToGrid/>
          <w:szCs w:val="22"/>
          <w:lang w:eastAsia="en-US"/>
        </w:rPr>
        <w:t xml:space="preserve"> de la cartographie des cadres multilatéraux actuels, les États membres devraient déterminer l</w:t>
      </w:r>
      <w:r>
        <w:rPr>
          <w:rFonts w:eastAsia="Times New Roman" w:cs="Arial"/>
          <w:bCs/>
          <w:snapToGrid/>
          <w:szCs w:val="22"/>
          <w:lang w:eastAsia="en-US"/>
        </w:rPr>
        <w:t>’</w:t>
      </w:r>
      <w:r w:rsidRPr="00321515">
        <w:rPr>
          <w:rFonts w:eastAsia="Times New Roman" w:cs="Arial"/>
          <w:bCs/>
          <w:snapToGrid/>
          <w:szCs w:val="22"/>
          <w:lang w:eastAsia="en-US"/>
        </w:rPr>
        <w:t xml:space="preserve">orientation, les priorités et </w:t>
      </w:r>
      <w:r>
        <w:rPr>
          <w:rFonts w:eastAsia="Times New Roman" w:cs="Arial"/>
          <w:bCs/>
          <w:snapToGrid/>
          <w:szCs w:val="22"/>
          <w:lang w:eastAsia="en-US"/>
        </w:rPr>
        <w:t xml:space="preserve">la dotation en </w:t>
      </w:r>
      <w:r w:rsidRPr="00321515">
        <w:rPr>
          <w:rFonts w:eastAsia="Times New Roman" w:cs="Arial"/>
          <w:bCs/>
          <w:snapToGrid/>
          <w:szCs w:val="22"/>
          <w:lang w:eastAsia="en-US"/>
        </w:rPr>
        <w:t>ressources à long terme de la COI.</w:t>
      </w:r>
      <w:r>
        <w:rPr>
          <w:rFonts w:eastAsia="Times New Roman" w:cs="Arial"/>
          <w:bCs/>
          <w:snapToGrid/>
          <w:szCs w:val="22"/>
          <w:lang w:eastAsia="en-US"/>
        </w:rPr>
        <w:t xml:space="preserve"> </w:t>
      </w:r>
      <w:r w:rsidRPr="00321515">
        <w:rPr>
          <w:rFonts w:eastAsia="Times New Roman" w:cs="Arial"/>
          <w:bCs/>
          <w:snapToGrid/>
          <w:szCs w:val="22"/>
          <w:lang w:eastAsia="en-US"/>
        </w:rPr>
        <w:t xml:space="preserve">Les conclusions </w:t>
      </w:r>
      <w:r>
        <w:rPr>
          <w:rFonts w:eastAsia="Times New Roman" w:cs="Arial"/>
          <w:bCs/>
          <w:snapToGrid/>
          <w:szCs w:val="22"/>
          <w:lang w:eastAsia="en-US"/>
        </w:rPr>
        <w:t xml:space="preserve">auxquelles </w:t>
      </w:r>
      <w:r w:rsidRPr="00321515">
        <w:rPr>
          <w:rFonts w:eastAsia="Times New Roman" w:cs="Arial"/>
          <w:bCs/>
          <w:snapToGrid/>
          <w:szCs w:val="22"/>
          <w:lang w:eastAsia="en-US"/>
        </w:rPr>
        <w:t>l</w:t>
      </w:r>
      <w:r>
        <w:rPr>
          <w:rFonts w:eastAsia="Times New Roman" w:cs="Arial"/>
          <w:bCs/>
          <w:snapToGrid/>
          <w:szCs w:val="22"/>
          <w:lang w:eastAsia="en-US"/>
        </w:rPr>
        <w:t>’</w:t>
      </w:r>
      <w:r w:rsidRPr="00321515">
        <w:rPr>
          <w:rFonts w:eastAsia="Times New Roman" w:cs="Arial"/>
          <w:bCs/>
          <w:snapToGrid/>
          <w:szCs w:val="22"/>
          <w:lang w:eastAsia="en-US"/>
        </w:rPr>
        <w:t xml:space="preserve">Assemblée </w:t>
      </w:r>
      <w:r>
        <w:rPr>
          <w:rFonts w:eastAsia="Times New Roman" w:cs="Arial"/>
          <w:bCs/>
          <w:snapToGrid/>
          <w:szCs w:val="22"/>
          <w:lang w:eastAsia="en-US"/>
        </w:rPr>
        <w:t>aboutira</w:t>
      </w:r>
      <w:r w:rsidRPr="00321515">
        <w:rPr>
          <w:rFonts w:eastAsia="Times New Roman" w:cs="Arial"/>
          <w:bCs/>
          <w:snapToGrid/>
          <w:szCs w:val="22"/>
          <w:lang w:eastAsia="en-US"/>
        </w:rPr>
        <w:t xml:space="preserve"> en 2027 guideront l</w:t>
      </w:r>
      <w:r>
        <w:rPr>
          <w:rFonts w:eastAsia="Times New Roman" w:cs="Arial"/>
          <w:bCs/>
          <w:snapToGrid/>
          <w:szCs w:val="22"/>
          <w:lang w:eastAsia="en-US"/>
        </w:rPr>
        <w:t>’</w:t>
      </w:r>
      <w:r w:rsidRPr="00321515">
        <w:rPr>
          <w:rFonts w:eastAsia="Times New Roman" w:cs="Arial"/>
          <w:bCs/>
          <w:snapToGrid/>
          <w:szCs w:val="22"/>
          <w:lang w:eastAsia="en-US"/>
        </w:rPr>
        <w:t>élaboration de la prochaine stratégie à moyen terme qui sera adoptée par l</w:t>
      </w:r>
      <w:r>
        <w:rPr>
          <w:rFonts w:eastAsia="Times New Roman" w:cs="Arial"/>
          <w:bCs/>
          <w:snapToGrid/>
          <w:szCs w:val="22"/>
          <w:lang w:eastAsia="en-US"/>
        </w:rPr>
        <w:t>’</w:t>
      </w:r>
      <w:r w:rsidRPr="00321515">
        <w:rPr>
          <w:rFonts w:eastAsia="Times New Roman" w:cs="Arial"/>
          <w:bCs/>
          <w:snapToGrid/>
          <w:szCs w:val="22"/>
          <w:lang w:eastAsia="en-US"/>
        </w:rPr>
        <w:t>Assemblée en 2029.</w:t>
      </w:r>
    </w:p>
    <w:sectPr w:rsidR="00436275" w:rsidRPr="003359A8" w:rsidSect="00727624">
      <w:headerReference w:type="even" r:id="rId9"/>
      <w:headerReference w:type="default" r:id="rId10"/>
      <w:headerReference w:type="first" r:id="rId11"/>
      <w:pgSz w:w="11906" w:h="16838" w:code="9"/>
      <w:pgMar w:top="1418" w:right="1134" w:bottom="1134" w:left="1134" w:header="851"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EA90" w14:textId="77777777" w:rsidR="00727624" w:rsidRDefault="00727624">
      <w:r>
        <w:separator/>
      </w:r>
    </w:p>
  </w:endnote>
  <w:endnote w:type="continuationSeparator" w:id="0">
    <w:p w14:paraId="1477442E" w14:textId="77777777" w:rsidR="00727624" w:rsidRDefault="0072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8E32F" w14:textId="77777777" w:rsidR="00727624" w:rsidRDefault="00727624">
      <w:r>
        <w:separator/>
      </w:r>
    </w:p>
  </w:footnote>
  <w:footnote w:type="continuationSeparator" w:id="0">
    <w:p w14:paraId="6DDE36FF" w14:textId="77777777" w:rsidR="00727624" w:rsidRDefault="00727624">
      <w:r>
        <w:continuationSeparator/>
      </w:r>
    </w:p>
  </w:footnote>
  <w:footnote w:id="1">
    <w:p w14:paraId="77829164" w14:textId="5766469E" w:rsidR="00E412B7" w:rsidRPr="00E412B7" w:rsidRDefault="00E412B7">
      <w:pPr>
        <w:pStyle w:val="FootnoteText"/>
        <w:rPr>
          <w:lang w:val="en-US"/>
        </w:rPr>
      </w:pPr>
      <w:r>
        <w:rPr>
          <w:rStyle w:val="FootnoteReference"/>
        </w:rPr>
        <w:footnoteRef/>
      </w:r>
      <w:r w:rsidRPr="00E412B7">
        <w:rPr>
          <w:lang w:val="en-US"/>
        </w:rPr>
        <w:t xml:space="preserve"> </w:t>
      </w:r>
      <w:r w:rsidRPr="00E412B7">
        <w:rPr>
          <w:lang w:val="en-US"/>
        </w:rPr>
        <w:tab/>
      </w:r>
      <w:hyperlink r:id="rId1" w:history="1">
        <w:r w:rsidRPr="00E412B7">
          <w:rPr>
            <w:rStyle w:val="Hyperlink"/>
            <w:lang w:val="en-US"/>
          </w:rPr>
          <w:t>The Blue Acceleration: The Trajectory of Human Expansion into the Ocean</w:t>
        </w:r>
      </w:hyperlink>
      <w:r w:rsidRPr="00E412B7">
        <w:rPr>
          <w:lang w:val="en-US"/>
        </w:rPr>
        <w:t xml:space="preserve"> (sciencedirectassets.com)</w:t>
      </w:r>
      <w:r>
        <w:rPr>
          <w:lang w:val="en-US"/>
        </w:rPr>
        <w:t>.</w:t>
      </w:r>
    </w:p>
  </w:footnote>
  <w:footnote w:id="2">
    <w:p w14:paraId="14BB0ACF" w14:textId="1C454D17" w:rsidR="00602FC3" w:rsidRDefault="00602FC3" w:rsidP="00602FC3">
      <w:pPr>
        <w:pStyle w:val="FootnoteText"/>
      </w:pPr>
      <w:r>
        <w:rPr>
          <w:rStyle w:val="FootnoteReference"/>
        </w:rPr>
        <w:footnoteRef/>
      </w:r>
      <w:r>
        <w:t xml:space="preserve"> </w:t>
      </w:r>
      <w:r>
        <w:tab/>
      </w:r>
      <w:hyperlink r:id="rId2" w:history="1">
        <w:r w:rsidRPr="00602FC3">
          <w:rPr>
            <w:rStyle w:val="Hyperlink"/>
          </w:rPr>
          <w:t>Groupe de haut niveau pour une économie océanique durable (</w:t>
        </w:r>
        <w:r w:rsidRPr="00602FC3">
          <w:rPr>
            <w:rStyle w:val="Hyperlink"/>
            <w:i/>
            <w:iCs/>
          </w:rPr>
          <w:t>Ocean Panel</w:t>
        </w:r>
        <w:r w:rsidRPr="00602FC3">
          <w:rPr>
            <w:rStyle w:val="Hyperlink"/>
          </w:rPr>
          <w:t>)</w:t>
        </w:r>
      </w:hyperlink>
      <w:r>
        <w:t>.</w:t>
      </w:r>
    </w:p>
  </w:footnote>
  <w:footnote w:id="3">
    <w:p w14:paraId="2718AF59" w14:textId="77777777" w:rsidR="004500B2" w:rsidRDefault="004500B2" w:rsidP="004500B2">
      <w:pPr>
        <w:pStyle w:val="FootnoteText"/>
      </w:pPr>
      <w:r>
        <w:rPr>
          <w:rStyle w:val="FootnoteReference"/>
        </w:rPr>
        <w:footnoteRef/>
      </w:r>
      <w:r>
        <w:t xml:space="preserve"> </w:t>
      </w:r>
      <w:r>
        <w:tab/>
      </w:r>
      <w:hyperlink r:id="rId3" w:history="1">
        <w:r w:rsidRPr="004500B2">
          <w:rPr>
            <w:rStyle w:val="Hyperlink"/>
          </w:rPr>
          <w:t>Forum économique mondial</w:t>
        </w:r>
      </w:hyperlink>
      <w:r>
        <w:t xml:space="preserve"> (weforum.org).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599C" w14:textId="54F44D60" w:rsidR="00755CED" w:rsidRPr="00B11A91" w:rsidRDefault="003F3C42" w:rsidP="00B11A91">
    <w:pPr>
      <w:pStyle w:val="Header"/>
      <w:spacing w:after="240"/>
      <w:rPr>
        <w:rFonts w:cs="Arial"/>
        <w:bCs/>
        <w:szCs w:val="22"/>
      </w:rPr>
    </w:pPr>
    <w:r w:rsidRPr="00352423">
      <w:rPr>
        <w:rFonts w:cs="Arial"/>
        <w:bCs/>
        <w:szCs w:val="22"/>
      </w:rPr>
      <w:t>IOC/EC-5</w:t>
    </w:r>
    <w:r w:rsidR="00F60534">
      <w:rPr>
        <w:rFonts w:cs="Arial"/>
        <w:bCs/>
        <w:szCs w:val="22"/>
      </w:rPr>
      <w:t>7</w:t>
    </w:r>
    <w:r w:rsidRPr="00352423">
      <w:rPr>
        <w:rFonts w:cs="Arial"/>
        <w:bCs/>
        <w:szCs w:val="22"/>
      </w:rPr>
      <w:t>/</w:t>
    </w:r>
    <w:r w:rsidR="00F11ABA">
      <w:rPr>
        <w:rFonts w:cs="Arial"/>
        <w:bCs/>
        <w:szCs w:val="22"/>
      </w:rPr>
      <w:t>3</w:t>
    </w:r>
    <w:r w:rsidRPr="00352423">
      <w:rPr>
        <w:rFonts w:cs="Arial"/>
        <w:bCs/>
        <w:szCs w:val="22"/>
      </w:rPr>
      <w:t>.</w:t>
    </w:r>
    <w:r w:rsidR="00F11ABA">
      <w:rPr>
        <w:rFonts w:cs="Arial"/>
        <w:bCs/>
        <w:szCs w:val="22"/>
      </w:rPr>
      <w:t>1</w:t>
    </w:r>
    <w:r>
      <w:rPr>
        <w:rFonts w:cs="Arial"/>
        <w:bCs/>
        <w:szCs w:val="22"/>
      </w:rPr>
      <w:t>.</w:t>
    </w:r>
    <w:r w:rsidRPr="00352423">
      <w:rPr>
        <w:rFonts w:cs="Arial"/>
        <w:bCs/>
        <w:szCs w:val="22"/>
      </w:rPr>
      <w:t>Doc</w:t>
    </w:r>
    <w:r w:rsidR="00562336">
      <w:rPr>
        <w:rFonts w:cs="Arial"/>
        <w:bCs/>
        <w:szCs w:val="22"/>
      </w:rPr>
      <w:t>(</w:t>
    </w:r>
    <w:r w:rsidR="00F11ABA">
      <w:rPr>
        <w:rFonts w:cs="Arial"/>
        <w:bCs/>
        <w:szCs w:val="22"/>
      </w:rPr>
      <w:t>4</w:t>
    </w:r>
    <w:r w:rsidR="00562336">
      <w:rPr>
        <w:rFonts w:cs="Arial"/>
        <w:bCs/>
        <w:szCs w:val="22"/>
      </w:rPr>
      <w:t>)</w:t>
    </w:r>
    <w:r w:rsidRPr="00FF54F5">
      <w:rPr>
        <w:rFonts w:cs="Arial"/>
        <w:bCs/>
        <w:szCs w:val="22"/>
      </w:rPr>
      <w:t xml:space="preserve"> – page </w:t>
    </w:r>
    <w:sdt>
      <w:sdtPr>
        <w:rPr>
          <w:rFonts w:cs="Arial"/>
          <w:bCs/>
          <w:szCs w:val="22"/>
        </w:rPr>
        <w:id w:val="554519101"/>
        <w:docPartObj>
          <w:docPartGallery w:val="Page Numbers (Top of Page)"/>
          <w:docPartUnique/>
        </w:docPartObj>
      </w:sdtPr>
      <w:sdtEnd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szCs w:val="22"/>
          </w:rPr>
          <w:t>2</w:t>
        </w:r>
        <w:r w:rsidRPr="00FF54F5">
          <w:rPr>
            <w:rFonts w:cs="Arial"/>
            <w:bCs/>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D428" w14:textId="2D9DE0DA" w:rsidR="00755CED" w:rsidRPr="00562336" w:rsidRDefault="00562336" w:rsidP="00562336">
    <w:pPr>
      <w:pStyle w:val="Header"/>
      <w:spacing w:after="240"/>
      <w:jc w:val="right"/>
      <w:rPr>
        <w:rFonts w:cs="Arial"/>
        <w:bCs/>
        <w:szCs w:val="22"/>
      </w:rPr>
    </w:pPr>
    <w:r w:rsidRPr="00352423">
      <w:rPr>
        <w:rFonts w:cs="Arial"/>
        <w:bCs/>
        <w:szCs w:val="22"/>
      </w:rPr>
      <w:t>IOC/EC-5</w:t>
    </w:r>
    <w:r>
      <w:rPr>
        <w:rFonts w:cs="Arial"/>
        <w:bCs/>
        <w:szCs w:val="22"/>
      </w:rPr>
      <w:t>7</w:t>
    </w:r>
    <w:r w:rsidRPr="00352423">
      <w:rPr>
        <w:rFonts w:cs="Arial"/>
        <w:bCs/>
        <w:szCs w:val="22"/>
      </w:rPr>
      <w:t>/</w:t>
    </w:r>
    <w:r w:rsidR="00F11ABA">
      <w:rPr>
        <w:rFonts w:cs="Arial"/>
        <w:bCs/>
        <w:szCs w:val="22"/>
      </w:rPr>
      <w:t>3</w:t>
    </w:r>
    <w:r w:rsidRPr="00352423">
      <w:rPr>
        <w:rFonts w:cs="Arial"/>
        <w:bCs/>
        <w:szCs w:val="22"/>
      </w:rPr>
      <w:t>.</w:t>
    </w:r>
    <w:r w:rsidR="00F11ABA">
      <w:rPr>
        <w:rFonts w:cs="Arial"/>
        <w:bCs/>
        <w:szCs w:val="22"/>
      </w:rPr>
      <w:t>1</w:t>
    </w:r>
    <w:r>
      <w:rPr>
        <w:rFonts w:cs="Arial"/>
        <w:bCs/>
        <w:szCs w:val="22"/>
      </w:rPr>
      <w:t>.</w:t>
    </w:r>
    <w:r w:rsidRPr="00352423">
      <w:rPr>
        <w:rFonts w:cs="Arial"/>
        <w:bCs/>
        <w:szCs w:val="22"/>
      </w:rPr>
      <w:t>Doc</w:t>
    </w:r>
    <w:r>
      <w:rPr>
        <w:rFonts w:cs="Arial"/>
        <w:bCs/>
        <w:szCs w:val="22"/>
      </w:rPr>
      <w:t>(</w:t>
    </w:r>
    <w:r w:rsidR="00F11ABA">
      <w:rPr>
        <w:rFonts w:cs="Arial"/>
        <w:bCs/>
        <w:szCs w:val="22"/>
      </w:rPr>
      <w:t>4</w:t>
    </w:r>
    <w:r>
      <w:rPr>
        <w:rFonts w:cs="Arial"/>
        <w:bCs/>
        <w:szCs w:val="22"/>
      </w:rPr>
      <w:t>)</w:t>
    </w:r>
    <w:r w:rsidRPr="00FF54F5">
      <w:rPr>
        <w:rFonts w:cs="Arial"/>
        <w:bCs/>
        <w:szCs w:val="22"/>
      </w:rPr>
      <w:t xml:space="preserve"> – page </w:t>
    </w:r>
    <w:sdt>
      <w:sdtPr>
        <w:rPr>
          <w:rFonts w:cs="Arial"/>
          <w:bCs/>
          <w:szCs w:val="22"/>
        </w:rPr>
        <w:id w:val="-57473948"/>
        <w:docPartObj>
          <w:docPartGallery w:val="Page Numbers (Top of Page)"/>
          <w:docPartUnique/>
        </w:docPartObj>
      </w:sdtPr>
      <w:sdtEnd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szCs w:val="22"/>
          </w:rPr>
          <w:t>2</w:t>
        </w:r>
        <w:r w:rsidRPr="00FF54F5">
          <w:rPr>
            <w:rFonts w:cs="Arial"/>
            <w:bCs/>
            <w:szCs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C99A" w14:textId="74D62C4C" w:rsidR="00EB3895" w:rsidRDefault="00562336">
    <w:pPr>
      <w:pStyle w:val="Header"/>
    </w:pPr>
    <w:r>
      <w:rPr>
        <w:noProof/>
      </w:rPr>
      <mc:AlternateContent>
        <mc:Choice Requires="wps">
          <w:drawing>
            <wp:anchor distT="45720" distB="45720" distL="114300" distR="114300" simplePos="0" relativeHeight="251661312" behindDoc="0" locked="0" layoutInCell="1" allowOverlap="1" wp14:anchorId="695F0820" wp14:editId="3E401BEA">
              <wp:simplePos x="0" y="0"/>
              <wp:positionH relativeFrom="column">
                <wp:posOffset>3794760</wp:posOffset>
              </wp:positionH>
              <wp:positionV relativeFrom="paragraph">
                <wp:posOffset>-92710</wp:posOffset>
              </wp:positionV>
              <wp:extent cx="2571750"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w="9525">
                        <a:noFill/>
                        <a:miter lim="800000"/>
                        <a:headEnd/>
                        <a:tailEnd/>
                      </a:ln>
                    </wps:spPr>
                    <wps:txbx>
                      <w:txbxContent>
                        <w:p w14:paraId="6C6242B4" w14:textId="2B74AAFE" w:rsidR="00EB3895" w:rsidRPr="002A5D14" w:rsidRDefault="00EB3895" w:rsidP="00EB3895">
                          <w:pPr>
                            <w:pStyle w:val="Marge"/>
                            <w:tabs>
                              <w:tab w:val="left" w:pos="6237"/>
                              <w:tab w:val="left" w:pos="7088"/>
                            </w:tabs>
                            <w:spacing w:after="0"/>
                            <w:rPr>
                              <w:rFonts w:cs="Arial"/>
                              <w:b/>
                              <w:sz w:val="36"/>
                              <w:szCs w:val="36"/>
                            </w:rPr>
                          </w:pPr>
                          <w:bookmarkStart w:id="3" w:name="_Hlk54263549"/>
                          <w:r w:rsidRPr="002A5D14">
                            <w:rPr>
                              <w:rFonts w:cs="Arial"/>
                              <w:b/>
                              <w:sz w:val="36"/>
                              <w:szCs w:val="36"/>
                            </w:rPr>
                            <w:t>IOC/EC-5</w:t>
                          </w:r>
                          <w:r w:rsidR="00F60534">
                            <w:rPr>
                              <w:rFonts w:cs="Arial"/>
                              <w:b/>
                              <w:sz w:val="36"/>
                              <w:szCs w:val="36"/>
                            </w:rPr>
                            <w:t>7</w:t>
                          </w:r>
                          <w:r w:rsidRPr="002A5D14">
                            <w:rPr>
                              <w:rFonts w:cs="Arial"/>
                              <w:b/>
                              <w:sz w:val="36"/>
                              <w:szCs w:val="36"/>
                            </w:rPr>
                            <w:t>/</w:t>
                          </w:r>
                          <w:r w:rsidR="00F11ABA">
                            <w:rPr>
                              <w:rFonts w:cs="Arial"/>
                              <w:b/>
                              <w:sz w:val="36"/>
                              <w:szCs w:val="36"/>
                            </w:rPr>
                            <w:t>3</w:t>
                          </w:r>
                          <w:r w:rsidRPr="002A5D14">
                            <w:rPr>
                              <w:rFonts w:cs="Arial"/>
                              <w:b/>
                              <w:sz w:val="36"/>
                              <w:szCs w:val="36"/>
                            </w:rPr>
                            <w:t>.</w:t>
                          </w:r>
                          <w:r w:rsidR="00F11ABA">
                            <w:rPr>
                              <w:rFonts w:cs="Arial"/>
                              <w:b/>
                              <w:sz w:val="36"/>
                              <w:szCs w:val="36"/>
                            </w:rPr>
                            <w:t>1</w:t>
                          </w:r>
                          <w:r w:rsidRPr="002A5D14">
                            <w:rPr>
                              <w:rFonts w:cs="Arial"/>
                              <w:b/>
                              <w:sz w:val="36"/>
                              <w:szCs w:val="36"/>
                            </w:rPr>
                            <w:t>.Doc</w:t>
                          </w:r>
                          <w:bookmarkEnd w:id="3"/>
                          <w:r w:rsidR="00562336">
                            <w:rPr>
                              <w:rFonts w:cs="Arial"/>
                              <w:b/>
                              <w:sz w:val="36"/>
                              <w:szCs w:val="36"/>
                            </w:rPr>
                            <w:t>(</w:t>
                          </w:r>
                          <w:r w:rsidR="00F11ABA">
                            <w:rPr>
                              <w:rFonts w:cs="Arial"/>
                              <w:b/>
                              <w:sz w:val="36"/>
                              <w:szCs w:val="36"/>
                            </w:rPr>
                            <w:t>4</w:t>
                          </w:r>
                          <w:r w:rsidR="00562336">
                            <w:rPr>
                              <w:rFonts w:cs="Arial"/>
                              <w:b/>
                              <w:sz w:val="36"/>
                              <w:szCs w:val="36"/>
                            </w:rPr>
                            <w:t>)</w:t>
                          </w:r>
                        </w:p>
                        <w:p w14:paraId="10A5E3DC" w14:textId="03E3FACF"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B66C99">
                            <w:rPr>
                              <w:rFonts w:cs="Arial"/>
                              <w:szCs w:val="22"/>
                            </w:rPr>
                            <w:t>30</w:t>
                          </w:r>
                          <w:r w:rsidR="00436275">
                            <w:rPr>
                              <w:rFonts w:cs="Arial"/>
                              <w:szCs w:val="22"/>
                            </w:rPr>
                            <w:t xml:space="preserve"> avril</w:t>
                          </w:r>
                          <w:r w:rsidRPr="002A5D14">
                            <w:rPr>
                              <w:rFonts w:cs="Arial"/>
                              <w:szCs w:val="22"/>
                            </w:rPr>
                            <w:t xml:space="preserve"> 202</w:t>
                          </w:r>
                          <w:r w:rsidR="00F60534">
                            <w:rPr>
                              <w:rFonts w:cs="Arial"/>
                              <w:szCs w:val="22"/>
                            </w:rPr>
                            <w:t>4</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F0820" id="_x0000_t202" coordsize="21600,21600" o:spt="202" path="m,l,21600r21600,l21600,xe">
              <v:stroke joinstyle="miter"/>
              <v:path gradientshapeok="t" o:connecttype="rect"/>
            </v:shapetype>
            <v:shape id="Zone de texte 2" o:spid="_x0000_s1026" type="#_x0000_t202" style="position:absolute;margin-left:298.8pt;margin-top:-7.3pt;width:2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" filled="f" stroked="f">
              <v:textbox style="mso-fit-shape-to-text:t">
                <w:txbxContent>
                  <w:p w14:paraId="6C6242B4" w14:textId="2B74AAFE" w:rsidR="00EB3895" w:rsidRPr="002A5D14" w:rsidRDefault="00EB3895" w:rsidP="00EB3895">
                    <w:pPr>
                      <w:pStyle w:val="Marge"/>
                      <w:tabs>
                        <w:tab w:val="left" w:pos="6237"/>
                        <w:tab w:val="left" w:pos="7088"/>
                      </w:tabs>
                      <w:spacing w:after="0"/>
                      <w:rPr>
                        <w:rFonts w:cs="Arial"/>
                        <w:b/>
                        <w:sz w:val="36"/>
                        <w:szCs w:val="36"/>
                      </w:rPr>
                    </w:pPr>
                    <w:bookmarkStart w:id="4" w:name="_Hlk54263549"/>
                    <w:r w:rsidRPr="002A5D14">
                      <w:rPr>
                        <w:rFonts w:cs="Arial"/>
                        <w:b/>
                        <w:sz w:val="36"/>
                        <w:szCs w:val="36"/>
                      </w:rPr>
                      <w:t>IOC/EC-5</w:t>
                    </w:r>
                    <w:r w:rsidR="00F60534">
                      <w:rPr>
                        <w:rFonts w:cs="Arial"/>
                        <w:b/>
                        <w:sz w:val="36"/>
                        <w:szCs w:val="36"/>
                      </w:rPr>
                      <w:t>7</w:t>
                    </w:r>
                    <w:r w:rsidRPr="002A5D14">
                      <w:rPr>
                        <w:rFonts w:cs="Arial"/>
                        <w:b/>
                        <w:sz w:val="36"/>
                        <w:szCs w:val="36"/>
                      </w:rPr>
                      <w:t>/</w:t>
                    </w:r>
                    <w:r w:rsidR="00F11ABA">
                      <w:rPr>
                        <w:rFonts w:cs="Arial"/>
                        <w:b/>
                        <w:sz w:val="36"/>
                        <w:szCs w:val="36"/>
                      </w:rPr>
                      <w:t>3</w:t>
                    </w:r>
                    <w:r w:rsidRPr="002A5D14">
                      <w:rPr>
                        <w:rFonts w:cs="Arial"/>
                        <w:b/>
                        <w:sz w:val="36"/>
                        <w:szCs w:val="36"/>
                      </w:rPr>
                      <w:t>.</w:t>
                    </w:r>
                    <w:r w:rsidR="00F11ABA">
                      <w:rPr>
                        <w:rFonts w:cs="Arial"/>
                        <w:b/>
                        <w:sz w:val="36"/>
                        <w:szCs w:val="36"/>
                      </w:rPr>
                      <w:t>1</w:t>
                    </w:r>
                    <w:r w:rsidRPr="002A5D14">
                      <w:rPr>
                        <w:rFonts w:cs="Arial"/>
                        <w:b/>
                        <w:sz w:val="36"/>
                        <w:szCs w:val="36"/>
                      </w:rPr>
                      <w:t>.Doc</w:t>
                    </w:r>
                    <w:bookmarkEnd w:id="4"/>
                    <w:r w:rsidR="00562336">
                      <w:rPr>
                        <w:rFonts w:cs="Arial"/>
                        <w:b/>
                        <w:sz w:val="36"/>
                        <w:szCs w:val="36"/>
                      </w:rPr>
                      <w:t>(</w:t>
                    </w:r>
                    <w:r w:rsidR="00F11ABA">
                      <w:rPr>
                        <w:rFonts w:cs="Arial"/>
                        <w:b/>
                        <w:sz w:val="36"/>
                        <w:szCs w:val="36"/>
                      </w:rPr>
                      <w:t>4</w:t>
                    </w:r>
                    <w:r w:rsidR="00562336">
                      <w:rPr>
                        <w:rFonts w:cs="Arial"/>
                        <w:b/>
                        <w:sz w:val="36"/>
                        <w:szCs w:val="36"/>
                      </w:rPr>
                      <w:t>)</w:t>
                    </w:r>
                  </w:p>
                  <w:p w14:paraId="10A5E3DC" w14:textId="03E3FACF"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B66C99">
                      <w:rPr>
                        <w:rFonts w:cs="Arial"/>
                        <w:szCs w:val="22"/>
                      </w:rPr>
                      <w:t>30</w:t>
                    </w:r>
                    <w:r w:rsidR="00436275">
                      <w:rPr>
                        <w:rFonts w:cs="Arial"/>
                        <w:szCs w:val="22"/>
                      </w:rPr>
                      <w:t xml:space="preserve"> avril</w:t>
                    </w:r>
                    <w:r w:rsidRPr="002A5D14">
                      <w:rPr>
                        <w:rFonts w:cs="Arial"/>
                        <w:szCs w:val="22"/>
                      </w:rPr>
                      <w:t xml:space="preserve"> 202</w:t>
                    </w:r>
                    <w:r w:rsidR="00F60534">
                      <w:rPr>
                        <w:rFonts w:cs="Arial"/>
                        <w:szCs w:val="22"/>
                      </w:rPr>
                      <w:t>4</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sidR="00DA71B9">
      <w:rPr>
        <w:rFonts w:cs="Arial"/>
        <w:b/>
        <w:noProof/>
        <w:snapToGrid/>
        <w:szCs w:val="22"/>
        <w:lang w:eastAsia="fr-FR"/>
      </w:rPr>
      <w:drawing>
        <wp:anchor distT="0" distB="0" distL="114300" distR="114300" simplePos="0" relativeHeight="251659264" behindDoc="0" locked="0" layoutInCell="1" allowOverlap="1" wp14:anchorId="50B79300" wp14:editId="074C1DB4">
          <wp:simplePos x="0" y="0"/>
          <wp:positionH relativeFrom="column">
            <wp:posOffset>-103201</wp:posOffset>
          </wp:positionH>
          <wp:positionV relativeFrom="paragraph">
            <wp:posOffset>254000</wp:posOffset>
          </wp:positionV>
          <wp:extent cx="1578610" cy="1047115"/>
          <wp:effectExtent l="0" t="0" r="254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B3895">
      <w:t>Distribution limitée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006FE"/>
    <w:multiLevelType w:val="multilevel"/>
    <w:tmpl w:val="F9BAFD2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9"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7"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24"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BB19E7"/>
    <w:multiLevelType w:val="hybridMultilevel"/>
    <w:tmpl w:val="DFD220B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679115">
    <w:abstractNumId w:val="8"/>
  </w:num>
  <w:num w:numId="2" w16cid:durableId="1912617826">
    <w:abstractNumId w:val="8"/>
  </w:num>
  <w:num w:numId="3" w16cid:durableId="1882814434">
    <w:abstractNumId w:val="5"/>
  </w:num>
  <w:num w:numId="4" w16cid:durableId="855845934">
    <w:abstractNumId w:val="18"/>
  </w:num>
  <w:num w:numId="5" w16cid:durableId="1469274244">
    <w:abstractNumId w:val="10"/>
  </w:num>
  <w:num w:numId="6" w16cid:durableId="1110856358">
    <w:abstractNumId w:val="12"/>
  </w:num>
  <w:num w:numId="7" w16cid:durableId="1678538405">
    <w:abstractNumId w:val="22"/>
  </w:num>
  <w:num w:numId="8" w16cid:durableId="1203321601">
    <w:abstractNumId w:val="17"/>
  </w:num>
  <w:num w:numId="9" w16cid:durableId="482090277">
    <w:abstractNumId w:val="5"/>
  </w:num>
  <w:num w:numId="10" w16cid:durableId="750273364">
    <w:abstractNumId w:val="5"/>
  </w:num>
  <w:num w:numId="11" w16cid:durableId="135606834">
    <w:abstractNumId w:val="5"/>
  </w:num>
  <w:num w:numId="12" w16cid:durableId="477651858">
    <w:abstractNumId w:val="5"/>
  </w:num>
  <w:num w:numId="13" w16cid:durableId="454371606">
    <w:abstractNumId w:val="14"/>
  </w:num>
  <w:num w:numId="14" w16cid:durableId="41638138">
    <w:abstractNumId w:val="1"/>
  </w:num>
  <w:num w:numId="15" w16cid:durableId="1048645409">
    <w:abstractNumId w:val="13"/>
  </w:num>
  <w:num w:numId="16" w16cid:durableId="585189556">
    <w:abstractNumId w:val="5"/>
  </w:num>
  <w:num w:numId="17" w16cid:durableId="831026069">
    <w:abstractNumId w:val="2"/>
  </w:num>
  <w:num w:numId="18" w16cid:durableId="2123071220">
    <w:abstractNumId w:val="5"/>
  </w:num>
  <w:num w:numId="19" w16cid:durableId="1803887249">
    <w:abstractNumId w:val="0"/>
  </w:num>
  <w:num w:numId="20" w16cid:durableId="2513557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6726909">
    <w:abstractNumId w:val="16"/>
  </w:num>
  <w:num w:numId="22" w16cid:durableId="1707096208">
    <w:abstractNumId w:val="6"/>
  </w:num>
  <w:num w:numId="23" w16cid:durableId="6564277">
    <w:abstractNumId w:val="24"/>
  </w:num>
  <w:num w:numId="24" w16cid:durableId="247009484">
    <w:abstractNumId w:val="3"/>
  </w:num>
  <w:num w:numId="25" w16cid:durableId="972752190">
    <w:abstractNumId w:val="20"/>
  </w:num>
  <w:num w:numId="26" w16cid:durableId="304773390">
    <w:abstractNumId w:val="7"/>
  </w:num>
  <w:num w:numId="27" w16cid:durableId="733890571">
    <w:abstractNumId w:val="19"/>
  </w:num>
  <w:num w:numId="28" w16cid:durableId="541597133">
    <w:abstractNumId w:val="11"/>
  </w:num>
  <w:num w:numId="29" w16cid:durableId="2110197955">
    <w:abstractNumId w:val="26"/>
  </w:num>
  <w:num w:numId="30" w16cid:durableId="519009268">
    <w:abstractNumId w:val="15"/>
  </w:num>
  <w:num w:numId="31" w16cid:durableId="1661233601">
    <w:abstractNumId w:val="21"/>
  </w:num>
  <w:num w:numId="32" w16cid:durableId="990329989">
    <w:abstractNumId w:val="9"/>
  </w:num>
  <w:num w:numId="33" w16cid:durableId="1950120245">
    <w:abstractNumId w:val="4"/>
  </w:num>
  <w:num w:numId="34" w16cid:durableId="11638570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43048"/>
    <w:rsid w:val="00072F4A"/>
    <w:rsid w:val="000B0E4E"/>
    <w:rsid w:val="000B44C9"/>
    <w:rsid w:val="000D39FC"/>
    <w:rsid w:val="000D4E4C"/>
    <w:rsid w:val="000E7AEA"/>
    <w:rsid w:val="000F1DBA"/>
    <w:rsid w:val="000F258B"/>
    <w:rsid w:val="00100A35"/>
    <w:rsid w:val="001047CB"/>
    <w:rsid w:val="0011081B"/>
    <w:rsid w:val="0011114C"/>
    <w:rsid w:val="0011169E"/>
    <w:rsid w:val="00177B08"/>
    <w:rsid w:val="001912E2"/>
    <w:rsid w:val="001A078A"/>
    <w:rsid w:val="001A15D0"/>
    <w:rsid w:val="001A6E27"/>
    <w:rsid w:val="001C6211"/>
    <w:rsid w:val="001E1FCC"/>
    <w:rsid w:val="001E413E"/>
    <w:rsid w:val="001F1F04"/>
    <w:rsid w:val="001F5D62"/>
    <w:rsid w:val="00201171"/>
    <w:rsid w:val="00213953"/>
    <w:rsid w:val="00226B0D"/>
    <w:rsid w:val="00234C33"/>
    <w:rsid w:val="00261E65"/>
    <w:rsid w:val="00262098"/>
    <w:rsid w:val="002750C1"/>
    <w:rsid w:val="002B2BF2"/>
    <w:rsid w:val="002B4B18"/>
    <w:rsid w:val="002D2C1D"/>
    <w:rsid w:val="002E70A1"/>
    <w:rsid w:val="00310E5D"/>
    <w:rsid w:val="00311ECE"/>
    <w:rsid w:val="003210F7"/>
    <w:rsid w:val="00321515"/>
    <w:rsid w:val="003359A8"/>
    <w:rsid w:val="0034355C"/>
    <w:rsid w:val="00346C46"/>
    <w:rsid w:val="003557A8"/>
    <w:rsid w:val="00363D04"/>
    <w:rsid w:val="003829C6"/>
    <w:rsid w:val="00397DEC"/>
    <w:rsid w:val="003B58D6"/>
    <w:rsid w:val="003D46DA"/>
    <w:rsid w:val="003D4875"/>
    <w:rsid w:val="003D675F"/>
    <w:rsid w:val="003E2147"/>
    <w:rsid w:val="003E27AC"/>
    <w:rsid w:val="003F3C42"/>
    <w:rsid w:val="00401C01"/>
    <w:rsid w:val="0041299F"/>
    <w:rsid w:val="00420597"/>
    <w:rsid w:val="00436275"/>
    <w:rsid w:val="004500B2"/>
    <w:rsid w:val="004573F3"/>
    <w:rsid w:val="004618DE"/>
    <w:rsid w:val="00461AE9"/>
    <w:rsid w:val="00463EA2"/>
    <w:rsid w:val="00484032"/>
    <w:rsid w:val="00485AE0"/>
    <w:rsid w:val="00494C58"/>
    <w:rsid w:val="004A327F"/>
    <w:rsid w:val="004B08C6"/>
    <w:rsid w:val="004C100E"/>
    <w:rsid w:val="004C1526"/>
    <w:rsid w:val="004C1D3F"/>
    <w:rsid w:val="004C3E47"/>
    <w:rsid w:val="004D05D2"/>
    <w:rsid w:val="004D0F08"/>
    <w:rsid w:val="004D4AF7"/>
    <w:rsid w:val="004F154C"/>
    <w:rsid w:val="004F54A8"/>
    <w:rsid w:val="00513180"/>
    <w:rsid w:val="005169D0"/>
    <w:rsid w:val="00533732"/>
    <w:rsid w:val="00555B7F"/>
    <w:rsid w:val="005564AD"/>
    <w:rsid w:val="00562336"/>
    <w:rsid w:val="00572AC5"/>
    <w:rsid w:val="00596B7E"/>
    <w:rsid w:val="005B5EF5"/>
    <w:rsid w:val="005D54DD"/>
    <w:rsid w:val="00602FC3"/>
    <w:rsid w:val="00610E94"/>
    <w:rsid w:val="00612922"/>
    <w:rsid w:val="00623957"/>
    <w:rsid w:val="006519AE"/>
    <w:rsid w:val="00655725"/>
    <w:rsid w:val="00673F0C"/>
    <w:rsid w:val="006835E4"/>
    <w:rsid w:val="00695BA3"/>
    <w:rsid w:val="0069684F"/>
    <w:rsid w:val="006A3031"/>
    <w:rsid w:val="006B571A"/>
    <w:rsid w:val="006C2C65"/>
    <w:rsid w:val="006D052A"/>
    <w:rsid w:val="006D36DB"/>
    <w:rsid w:val="006D6768"/>
    <w:rsid w:val="006E2A83"/>
    <w:rsid w:val="00727624"/>
    <w:rsid w:val="007449EA"/>
    <w:rsid w:val="00753AFA"/>
    <w:rsid w:val="00755CED"/>
    <w:rsid w:val="0076217F"/>
    <w:rsid w:val="007701CE"/>
    <w:rsid w:val="00773D5C"/>
    <w:rsid w:val="00783CE9"/>
    <w:rsid w:val="007A3E25"/>
    <w:rsid w:val="007A45CC"/>
    <w:rsid w:val="007A49EB"/>
    <w:rsid w:val="007A7EC6"/>
    <w:rsid w:val="007C1226"/>
    <w:rsid w:val="007C403E"/>
    <w:rsid w:val="007E6082"/>
    <w:rsid w:val="007F2BA5"/>
    <w:rsid w:val="00814BE9"/>
    <w:rsid w:val="00835BC3"/>
    <w:rsid w:val="0085153D"/>
    <w:rsid w:val="008608E4"/>
    <w:rsid w:val="00863317"/>
    <w:rsid w:val="008735A8"/>
    <w:rsid w:val="00873BED"/>
    <w:rsid w:val="008852E4"/>
    <w:rsid w:val="00890A62"/>
    <w:rsid w:val="008A6802"/>
    <w:rsid w:val="008B33AC"/>
    <w:rsid w:val="008C24D0"/>
    <w:rsid w:val="008C3D95"/>
    <w:rsid w:val="008C402E"/>
    <w:rsid w:val="008C59A5"/>
    <w:rsid w:val="008D43F4"/>
    <w:rsid w:val="008E1A1B"/>
    <w:rsid w:val="00902342"/>
    <w:rsid w:val="00904C98"/>
    <w:rsid w:val="009053BE"/>
    <w:rsid w:val="009063B7"/>
    <w:rsid w:val="00907D3B"/>
    <w:rsid w:val="009173FE"/>
    <w:rsid w:val="00920B40"/>
    <w:rsid w:val="00932970"/>
    <w:rsid w:val="00972BBF"/>
    <w:rsid w:val="0098415A"/>
    <w:rsid w:val="009D1028"/>
    <w:rsid w:val="009E53F6"/>
    <w:rsid w:val="009E6CEB"/>
    <w:rsid w:val="00A00B63"/>
    <w:rsid w:val="00A14CAA"/>
    <w:rsid w:val="00A17A83"/>
    <w:rsid w:val="00A23875"/>
    <w:rsid w:val="00A33021"/>
    <w:rsid w:val="00A36041"/>
    <w:rsid w:val="00A70F48"/>
    <w:rsid w:val="00AA0E78"/>
    <w:rsid w:val="00B11A91"/>
    <w:rsid w:val="00B143FE"/>
    <w:rsid w:val="00B15815"/>
    <w:rsid w:val="00B243F2"/>
    <w:rsid w:val="00B2519D"/>
    <w:rsid w:val="00B40149"/>
    <w:rsid w:val="00B54018"/>
    <w:rsid w:val="00B54421"/>
    <w:rsid w:val="00B557FF"/>
    <w:rsid w:val="00B66C99"/>
    <w:rsid w:val="00B80382"/>
    <w:rsid w:val="00B872CA"/>
    <w:rsid w:val="00BC1245"/>
    <w:rsid w:val="00BD5A86"/>
    <w:rsid w:val="00BE23B8"/>
    <w:rsid w:val="00BE3F20"/>
    <w:rsid w:val="00BE6632"/>
    <w:rsid w:val="00C05FC8"/>
    <w:rsid w:val="00C108A8"/>
    <w:rsid w:val="00C138E0"/>
    <w:rsid w:val="00C16290"/>
    <w:rsid w:val="00C250B5"/>
    <w:rsid w:val="00C3501E"/>
    <w:rsid w:val="00C41845"/>
    <w:rsid w:val="00C67B8B"/>
    <w:rsid w:val="00C84B6A"/>
    <w:rsid w:val="00C91036"/>
    <w:rsid w:val="00CA1880"/>
    <w:rsid w:val="00CA48CF"/>
    <w:rsid w:val="00CC085D"/>
    <w:rsid w:val="00CC3A67"/>
    <w:rsid w:val="00CC501A"/>
    <w:rsid w:val="00CE5093"/>
    <w:rsid w:val="00CE7C2F"/>
    <w:rsid w:val="00D23B0B"/>
    <w:rsid w:val="00D23EDD"/>
    <w:rsid w:val="00D302AD"/>
    <w:rsid w:val="00D4515E"/>
    <w:rsid w:val="00D5659D"/>
    <w:rsid w:val="00D86646"/>
    <w:rsid w:val="00DA71B9"/>
    <w:rsid w:val="00DC1F0C"/>
    <w:rsid w:val="00DC4341"/>
    <w:rsid w:val="00DC7F96"/>
    <w:rsid w:val="00DD53BA"/>
    <w:rsid w:val="00DD6E32"/>
    <w:rsid w:val="00DF1829"/>
    <w:rsid w:val="00E174A3"/>
    <w:rsid w:val="00E20756"/>
    <w:rsid w:val="00E412B7"/>
    <w:rsid w:val="00E54757"/>
    <w:rsid w:val="00E55EEC"/>
    <w:rsid w:val="00E5717B"/>
    <w:rsid w:val="00E621C7"/>
    <w:rsid w:val="00E62C51"/>
    <w:rsid w:val="00E65D5E"/>
    <w:rsid w:val="00E71F05"/>
    <w:rsid w:val="00E80CF6"/>
    <w:rsid w:val="00E912CA"/>
    <w:rsid w:val="00EB0EBC"/>
    <w:rsid w:val="00EB3895"/>
    <w:rsid w:val="00ED39E0"/>
    <w:rsid w:val="00F017CE"/>
    <w:rsid w:val="00F04FBD"/>
    <w:rsid w:val="00F077E7"/>
    <w:rsid w:val="00F11ABA"/>
    <w:rsid w:val="00F16BE8"/>
    <w:rsid w:val="00F60534"/>
    <w:rsid w:val="00F90CD8"/>
    <w:rsid w:val="00F9158E"/>
    <w:rsid w:val="00F92310"/>
    <w:rsid w:val="00F94805"/>
    <w:rsid w:val="00FA1139"/>
    <w:rsid w:val="00FB3993"/>
    <w:rsid w:val="00FC7B23"/>
    <w:rsid w:val="00FD078F"/>
    <w:rsid w:val="00FD63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Heading1">
    <w:name w:val="heading 1"/>
    <w:basedOn w:val="Normal"/>
    <w:next w:val="Marge"/>
    <w:qFormat/>
    <w:rsid w:val="001F1F04"/>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uiPriority w:val="99"/>
    <w:pPr>
      <w:ind w:firstLine="0"/>
    </w:pPr>
  </w:style>
  <w:style w:type="paragraph" w:styleId="FootnoteText">
    <w:name w:val="footnote text"/>
    <w:basedOn w:val="Normal"/>
    <w:link w:val="FootnoteTextChar"/>
    <w:semiHidden/>
    <w:pPr>
      <w:ind w:left="567" w:hanging="567"/>
    </w:pPr>
    <w:rPr>
      <w:rFonts w:eastAsia="Times New Roman"/>
      <w:sz w:val="20"/>
      <w:szCs w:val="20"/>
      <w:lang w:eastAsia="en-US"/>
    </w:rPr>
  </w:style>
  <w:style w:type="paragraph" w:styleId="Footer">
    <w:name w:val="footer"/>
    <w:basedOn w:val="Normal"/>
    <w:pPr>
      <w:tabs>
        <w:tab w:val="center" w:pos="4153"/>
        <w:tab w:val="right" w:pos="8306"/>
      </w:tabs>
    </w:pPr>
    <w:rPr>
      <w:rFonts w:eastAsia="Times New Roman"/>
      <w:lang w:eastAsia="en-US"/>
    </w:rPr>
  </w:style>
  <w:style w:type="paragraph" w:styleId="BodyText3">
    <w:name w:val="Body Text 3"/>
    <w:basedOn w:val="Normal"/>
    <w:rPr>
      <w:color w:val="000080"/>
    </w:rPr>
  </w:style>
  <w:style w:type="character" w:styleId="PageNumber">
    <w:name w:val="page number"/>
    <w:basedOn w:val="DefaultParagraphFon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TableGrid">
    <w:name w:val="Table Grid"/>
    <w:basedOn w:val="TableNormal"/>
    <w:uiPriority w:val="59"/>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36041"/>
    <w:rPr>
      <w:rFonts w:ascii="Tahoma" w:hAnsi="Tahoma" w:cs="Tahoma"/>
      <w:sz w:val="16"/>
      <w:szCs w:val="16"/>
    </w:rPr>
  </w:style>
  <w:style w:type="character" w:customStyle="1" w:styleId="BalloonTextChar">
    <w:name w:val="Balloon Text Char"/>
    <w:link w:val="BalloonText"/>
    <w:rsid w:val="00A36041"/>
    <w:rPr>
      <w:rFonts w:ascii="Tahoma" w:hAnsi="Tahoma" w:cs="Tahoma"/>
      <w:snapToGrid w:val="0"/>
      <w:sz w:val="16"/>
      <w:szCs w:val="16"/>
      <w:lang w:eastAsia="zh-CN"/>
    </w:rPr>
  </w:style>
  <w:style w:type="paragraph" w:styleId="BodyText">
    <w:name w:val="Body Text"/>
    <w:basedOn w:val="Normal"/>
    <w:link w:val="BodyTextChar"/>
    <w:rsid w:val="005169D0"/>
    <w:pPr>
      <w:spacing w:after="120"/>
    </w:pPr>
  </w:style>
  <w:style w:type="character" w:customStyle="1" w:styleId="BodyTextChar">
    <w:name w:val="Body Text Char"/>
    <w:link w:val="BodyText"/>
    <w:uiPriority w:val="99"/>
    <w:rsid w:val="005169D0"/>
    <w:rPr>
      <w:rFonts w:ascii="Arial" w:hAnsi="Arial"/>
      <w:snapToGrid w:val="0"/>
      <w:sz w:val="22"/>
      <w:szCs w:val="24"/>
    </w:rPr>
  </w:style>
  <w:style w:type="paragraph" w:styleId="ListParagraph">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Hyperlink">
    <w:name w:val="Hyperlink"/>
    <w:uiPriority w:val="99"/>
    <w:unhideWhenUsed/>
    <w:rsid w:val="00100A35"/>
    <w:rPr>
      <w:color w:val="0000FF"/>
      <w:u w:val="single"/>
    </w:rPr>
  </w:style>
  <w:style w:type="paragraph" w:styleId="TOC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DefaultParagraphFont"/>
    <w:rsid w:val="007A7EC6"/>
  </w:style>
  <w:style w:type="character" w:customStyle="1" w:styleId="newskolongdesc">
    <w:name w:val="newskolongdesc"/>
    <w:basedOn w:val="DefaultParagraphFont"/>
    <w:rsid w:val="007A7EC6"/>
  </w:style>
  <w:style w:type="paragraph" w:styleId="Title">
    <w:name w:val="Title"/>
    <w:basedOn w:val="Normal"/>
    <w:link w:val="TitleCh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leChar">
    <w:name w:val="Title Char"/>
    <w:basedOn w:val="DefaultParagraphFont"/>
    <w:link w:val="Titl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Web1">
    <w:name w:val="Table Web 1"/>
    <w:basedOn w:val="Table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rsid w:val="007A7EC6"/>
    <w:pPr>
      <w:tabs>
        <w:tab w:val="clear" w:pos="567"/>
      </w:tabs>
      <w:snapToGrid/>
    </w:pPr>
    <w:rPr>
      <w:rFonts w:ascii="Courier New" w:eastAsia="Times New Roman" w:hAnsi="Courier New"/>
      <w:snapToGrid/>
      <w:sz w:val="20"/>
      <w:szCs w:val="20"/>
      <w:lang w:val="en-US" w:eastAsia="en-US"/>
    </w:rPr>
  </w:style>
  <w:style w:type="character" w:customStyle="1" w:styleId="PlainTextChar">
    <w:name w:val="Plain Text Char"/>
    <w:basedOn w:val="DefaultParagraphFont"/>
    <w:link w:val="PlainText"/>
    <w:rsid w:val="007A7EC6"/>
    <w:rPr>
      <w:rFonts w:ascii="Courier New" w:eastAsia="Times New Roman" w:hAnsi="Courier New"/>
      <w:lang w:val="en-US" w:eastAsia="en-US"/>
    </w:rPr>
  </w:style>
  <w:style w:type="character" w:styleId="Strong">
    <w:name w:val="Strong"/>
    <w:qFormat/>
    <w:rsid w:val="007A7EC6"/>
    <w:rPr>
      <w:b/>
      <w:bCs/>
    </w:rPr>
  </w:style>
  <w:style w:type="table" w:styleId="TableWeb2">
    <w:name w:val="Table Web 2"/>
    <w:basedOn w:val="Table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A7EC6"/>
    <w:pPr>
      <w:tabs>
        <w:tab w:val="clear" w:pos="567"/>
      </w:tabs>
      <w:snapToGrid/>
      <w:ind w:left="720"/>
      <w:jc w:val="both"/>
    </w:pPr>
    <w:rPr>
      <w:rFonts w:eastAsia="Times New Roman"/>
      <w:snapToGrid/>
      <w:szCs w:val="20"/>
      <w:lang w:val="en-GB" w:eastAsia="en-US"/>
    </w:rPr>
  </w:style>
  <w:style w:type="character" w:customStyle="1" w:styleId="BodyTextIndent2Char">
    <w:name w:val="Body Text Indent 2 Char"/>
    <w:basedOn w:val="DefaultParagraphFont"/>
    <w:link w:val="BodyTextIndent2"/>
    <w:rsid w:val="007A7EC6"/>
    <w:rPr>
      <w:rFonts w:ascii="Arial" w:eastAsia="Times New Roman" w:hAnsi="Arial"/>
      <w:sz w:val="22"/>
      <w:lang w:val="en-GB" w:eastAsia="en-US"/>
    </w:rPr>
  </w:style>
  <w:style w:type="paragraph" w:styleId="BodyTextIndent">
    <w:name w:val="Body Text Indent"/>
    <w:basedOn w:val="Normal"/>
    <w:link w:val="BodyTextIndentCh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BodyTextIndentChar">
    <w:name w:val="Body Text Indent Char"/>
    <w:basedOn w:val="DefaultParagraphFont"/>
    <w:link w:val="BodyTextIndent"/>
    <w:rsid w:val="007A7EC6"/>
    <w:rPr>
      <w:rFonts w:ascii="Arial" w:eastAsia="Times New Roman" w:hAnsi="Arial" w:cs="Arial"/>
      <w:sz w:val="22"/>
      <w:lang w:val="en-GB" w:eastAsia="en-US"/>
    </w:rPr>
  </w:style>
  <w:style w:type="character" w:styleId="Emphasis">
    <w:name w:val="Emphasis"/>
    <w:uiPriority w:val="20"/>
    <w:qFormat/>
    <w:rsid w:val="007A7EC6"/>
    <w:rPr>
      <w:b/>
      <w:bCs/>
      <w:i w:val="0"/>
      <w:iCs w:val="0"/>
    </w:rPr>
  </w:style>
  <w:style w:type="paragraph" w:styleId="Date">
    <w:name w:val="Date"/>
    <w:basedOn w:val="Normal"/>
    <w:next w:val="Normal"/>
    <w:link w:val="DateChar"/>
    <w:rsid w:val="007A7EC6"/>
    <w:pPr>
      <w:tabs>
        <w:tab w:val="clear" w:pos="567"/>
      </w:tabs>
      <w:snapToGrid/>
    </w:pPr>
    <w:rPr>
      <w:rFonts w:ascii="Times New Roman" w:eastAsia="Times New Roman" w:hAnsi="Times New Roman"/>
      <w:snapToGrid/>
      <w:sz w:val="24"/>
      <w:lang w:val="x-none" w:eastAsia="en-US"/>
    </w:rPr>
  </w:style>
  <w:style w:type="character" w:customStyle="1" w:styleId="DateChar">
    <w:name w:val="Date Char"/>
    <w:basedOn w:val="DefaultParagraphFont"/>
    <w:link w:val="Date"/>
    <w:rsid w:val="007A7EC6"/>
    <w:rPr>
      <w:rFonts w:eastAsia="Times New Roman"/>
      <w:sz w:val="24"/>
      <w:szCs w:val="24"/>
      <w:lang w:val="x-none" w:eastAsia="en-US"/>
    </w:rPr>
  </w:style>
  <w:style w:type="paragraph" w:styleId="NoSpacing">
    <w:name w:val="No Spacing"/>
    <w:basedOn w:val="Normal"/>
    <w:link w:val="NoSpacingChar"/>
    <w:qFormat/>
    <w:rsid w:val="007A7EC6"/>
    <w:pPr>
      <w:tabs>
        <w:tab w:val="clear" w:pos="567"/>
      </w:tabs>
      <w:snapToGrid/>
    </w:pPr>
    <w:rPr>
      <w:rFonts w:ascii="Times New Roman" w:eastAsia="Times New Roman" w:hAnsi="Times New Roman"/>
      <w:snapToGrid/>
      <w:sz w:val="24"/>
      <w:lang w:eastAsia="fr-FR"/>
    </w:rPr>
  </w:style>
  <w:style w:type="character" w:customStyle="1" w:styleId="NoSpacingChar">
    <w:name w:val="No Spacing Char"/>
    <w:link w:val="NoSpacing"/>
    <w:rsid w:val="007A7EC6"/>
    <w:rPr>
      <w:rFonts w:eastAsia="Times New Roman"/>
      <w:sz w:val="24"/>
      <w:szCs w:val="24"/>
      <w:lang w:eastAsia="fr-FR"/>
    </w:rPr>
  </w:style>
  <w:style w:type="character" w:styleId="FollowedHyperlink">
    <w:name w:val="FollowedHyperlink"/>
    <w:rsid w:val="007A7EC6"/>
    <w:rPr>
      <w:color w:val="800080"/>
      <w:u w:val="single"/>
    </w:rPr>
  </w:style>
  <w:style w:type="character" w:customStyle="1" w:styleId="fn">
    <w:name w:val="fn"/>
    <w:basedOn w:val="DefaultParagraphFont"/>
    <w:rsid w:val="007A7EC6"/>
  </w:style>
  <w:style w:type="character" w:styleId="CommentReference">
    <w:name w:val="annotation reference"/>
    <w:rsid w:val="007A7EC6"/>
    <w:rPr>
      <w:sz w:val="16"/>
      <w:szCs w:val="16"/>
    </w:rPr>
  </w:style>
  <w:style w:type="paragraph" w:styleId="CommentText">
    <w:name w:val="annotation text"/>
    <w:basedOn w:val="Normal"/>
    <w:link w:val="Comment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TextChar">
    <w:name w:val="Comment Text Char"/>
    <w:basedOn w:val="DefaultParagraphFont"/>
    <w:link w:val="CommentText"/>
    <w:rsid w:val="007A7EC6"/>
    <w:rPr>
      <w:rFonts w:eastAsia="Times New Roman"/>
      <w:lang w:val="en-US" w:eastAsia="en-US"/>
    </w:rPr>
  </w:style>
  <w:style w:type="paragraph" w:styleId="CommentSubject">
    <w:name w:val="annotation subject"/>
    <w:basedOn w:val="CommentText"/>
    <w:next w:val="CommentText"/>
    <w:link w:val="CommentSubjectChar"/>
    <w:rsid w:val="007A7EC6"/>
    <w:rPr>
      <w:b/>
      <w:bCs/>
      <w:lang w:val="x-none" w:eastAsia="x-none"/>
    </w:rPr>
  </w:style>
  <w:style w:type="character" w:customStyle="1" w:styleId="CommentSubjectChar">
    <w:name w:val="Comment Subject Char"/>
    <w:basedOn w:val="CommentTextChar"/>
    <w:link w:val="CommentSubject"/>
    <w:rsid w:val="007A7EC6"/>
    <w:rPr>
      <w:rFonts w:eastAsia="Times New Roman"/>
      <w:b/>
      <w:bCs/>
      <w:lang w:val="x-none" w:eastAsia="x-none"/>
    </w:rPr>
  </w:style>
  <w:style w:type="paragraph" w:styleId="Revision">
    <w:name w:val="Revision"/>
    <w:hidden/>
    <w:uiPriority w:val="99"/>
    <w:semiHidden/>
    <w:rsid w:val="007A7EC6"/>
    <w:rPr>
      <w:rFonts w:eastAsia="Times New Roman"/>
      <w:sz w:val="24"/>
      <w:szCs w:val="24"/>
      <w:lang w:val="en-US" w:eastAsia="en-US"/>
    </w:rPr>
  </w:style>
  <w:style w:type="table" w:customStyle="1" w:styleId="TableGrid0">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FootnoteTextChar">
    <w:name w:val="Footnote Text Char"/>
    <w:link w:val="FootnoteText"/>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Classic1">
    <w:name w:val="Table Classic 1"/>
    <w:basedOn w:val="Table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EndnoteText">
    <w:name w:val="endnote text"/>
    <w:basedOn w:val="Normal"/>
    <w:link w:val="Endnote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EndnoteTextChar">
    <w:name w:val="Endnote Text Char"/>
    <w:basedOn w:val="DefaultParagraphFont"/>
    <w:link w:val="EndnoteText"/>
    <w:rsid w:val="007A7EC6"/>
    <w:rPr>
      <w:rFonts w:eastAsia="Times New Roman"/>
      <w:lang w:val="en-US" w:eastAsia="en-US"/>
    </w:rPr>
  </w:style>
  <w:style w:type="character" w:styleId="EndnoteReference">
    <w:name w:val="endnote reference"/>
    <w:rsid w:val="007A7EC6"/>
    <w:rPr>
      <w:vertAlign w:val="superscript"/>
    </w:rPr>
  </w:style>
  <w:style w:type="character" w:customStyle="1" w:styleId="HeaderChar">
    <w:name w:val="Header Char"/>
    <w:basedOn w:val="DefaultParagraphFont"/>
    <w:link w:val="Header"/>
    <w:uiPriority w:val="99"/>
    <w:locked/>
    <w:rsid w:val="003F3C42"/>
    <w:rPr>
      <w:rFonts w:ascii="Arial" w:eastAsia="Times New Roman" w:hAnsi="Arial"/>
      <w:snapToGrid w:val="0"/>
      <w:sz w:val="22"/>
      <w:szCs w:val="24"/>
      <w:lang w:eastAsia="en-US"/>
    </w:rPr>
  </w:style>
  <w:style w:type="table" w:customStyle="1" w:styleId="Grilledutableau1">
    <w:name w:val="Grille du tableau1"/>
    <w:basedOn w:val="TableNormal"/>
    <w:next w:val="TableGrid"/>
    <w:rsid w:val="0056233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2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333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weforum.org/publications/sdg14-financing-landscape-scan-tracking-funds-to-realize-sustainable-outcomes-for-the-ocean/" TargetMode="External"/><Relationship Id="rId2" Type="http://schemas.openxmlformats.org/officeDocument/2006/relationships/hyperlink" Target="https://oceanpanel.org/about-ocean-panel/" TargetMode="External"/><Relationship Id="rId1" Type="http://schemas.openxmlformats.org/officeDocument/2006/relationships/hyperlink" Target="https://www.sciencedirect.com/science/article/pii/S2590332219302751?ref=pdf_download&amp;fr=RR-2&amp;rr=883936186b29036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1808</Words>
  <Characters>9720</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Commission océanographique intergouvernementale (de l’UNESCO) – Cinquante-septième session du Conseil exécutif – UNESCO, Paris, 25-28 juin 2024 – Point 4.6 de l'ordre du jour provisoire – Mise en œuvre de la Stratégie de la COI pour le développement des c</vt:lpstr>
    </vt:vector>
  </TitlesOfParts>
  <Company>Unesco</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océanographique intergouvernementale (de l’UNESCO) – Cinquante-septième session du Conseil exécutif – UNESCO, Paris, 25-28 juin 2024 – Point 3.1 de l'ordre du jour provisoire – Processus de consultation – La COI et l’avenir de l’océan : exécution durable et développement des activités de la COI</dc:title>
  <dc:subject>IOC/EC-57/3.1.Doc(4)</dc:subject>
  <dc:creator>as.machu@unesco.org</dc:creator>
  <cp:keywords/>
  <dc:description/>
  <cp:lastModifiedBy>Boned, Patrice</cp:lastModifiedBy>
  <cp:revision>2</cp:revision>
  <cp:lastPrinted>2012-08-02T14:52:00Z</cp:lastPrinted>
  <dcterms:created xsi:type="dcterms:W3CDTF">2024-05-30T09:35:00Z</dcterms:created>
  <dcterms:modified xsi:type="dcterms:W3CDTF">2024-05-30T09:35:00Z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202402770</vt:lpwstr>
  </property>
</Properties>
</file>