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640C2" w14:paraId="2B40D62D" w14:textId="77777777">
        <w:trPr>
          <w:jc w:val="center"/>
        </w:trPr>
        <w:tc>
          <w:tcPr>
            <w:tcW w:w="7654" w:type="dxa"/>
            <w:tcMar>
              <w:top w:w="170" w:type="dxa"/>
              <w:left w:w="170" w:type="dxa"/>
              <w:bottom w:w="170" w:type="dxa"/>
              <w:right w:w="170" w:type="dxa"/>
            </w:tcMar>
          </w:tcPr>
          <w:p w14:paraId="6734FCE5" w14:textId="77777777" w:rsidR="00467E3F" w:rsidRPr="006640C2" w:rsidRDefault="00B83068" w:rsidP="00681125">
            <w:pPr>
              <w:pStyle w:val="Marge"/>
              <w:tabs>
                <w:tab w:val="clear" w:pos="567"/>
              </w:tabs>
              <w:jc w:val="center"/>
              <w:rPr>
                <w:rFonts w:cs="Arial"/>
                <w:szCs w:val="22"/>
              </w:rPr>
            </w:pPr>
            <w:r>
              <w:rPr>
                <w:szCs w:val="22"/>
                <w:u w:val="single"/>
              </w:rPr>
              <w:t>Резюме</w:t>
            </w:r>
          </w:p>
          <w:p w14:paraId="76D6C94F" w14:textId="43D2CEB4" w:rsidR="00467E3F" w:rsidRPr="00033295" w:rsidRDefault="00033295" w:rsidP="00681125">
            <w:pPr>
              <w:pStyle w:val="Marge"/>
              <w:tabs>
                <w:tab w:val="clear" w:pos="567"/>
              </w:tabs>
              <w:spacing w:after="120"/>
              <w:rPr>
                <w:rFonts w:cs="Arial"/>
                <w:iCs/>
                <w:szCs w:val="22"/>
              </w:rPr>
            </w:pPr>
            <w:r>
              <w:t>В свете резолюции 72/73 Генеральной Ассамблеи Организации Объединенных Наций, провозгласившей период с 2021</w:t>
            </w:r>
            <w:r w:rsidR="00E7152C" w:rsidRPr="00E7152C">
              <w:t xml:space="preserve"> г.</w:t>
            </w:r>
            <w:r>
              <w:t xml:space="preserve"> по 2030 г. Десятилетием Организации Объединенных Наций, посвященным науке об океане в интересах устойчивого развития, 2025 г. приходится на середину указанного Десятилетия, проводимого под координирующим началом МОК/ЮНЕСКО, и пред</w:t>
            </w:r>
            <w:r w:rsidR="00354C1E">
              <w:t>усматривает начало</w:t>
            </w:r>
            <w:r>
              <w:t xml:space="preserve"> процесса среднесрочной оценки.</w:t>
            </w:r>
          </w:p>
          <w:p w14:paraId="28F5E006" w14:textId="591C33E7" w:rsidR="00413F17" w:rsidRPr="006640C2" w:rsidRDefault="000778E9" w:rsidP="00681125">
            <w:pPr>
              <w:pStyle w:val="Marge"/>
              <w:tabs>
                <w:tab w:val="clear" w:pos="567"/>
              </w:tabs>
              <w:spacing w:after="120"/>
              <w:rPr>
                <w:rFonts w:cs="Arial"/>
                <w:szCs w:val="22"/>
              </w:rPr>
            </w:pPr>
            <w:r>
              <w:t>В настоящем документе кратко изложены предлагаемые параметры, методология и сроки проведения среднесрочной оценки. После обсуждения Исполнительным советом документ будет использован для подготовки подробного круга ведения группы по проведению оценки, результаты которой будут представлены на следующей сессии Ассамблеи МОК.</w:t>
            </w:r>
          </w:p>
          <w:p w14:paraId="0B7DDC3C" w14:textId="636C2DB7" w:rsidR="002F14B3" w:rsidRPr="008118EE" w:rsidRDefault="002F14B3" w:rsidP="00681125">
            <w:pPr>
              <w:pStyle w:val="Marge"/>
              <w:tabs>
                <w:tab w:val="clear" w:pos="567"/>
              </w:tabs>
              <w:spacing w:after="120"/>
              <w:rPr>
                <w:rFonts w:cs="Arial"/>
                <w:szCs w:val="22"/>
              </w:rPr>
            </w:pPr>
            <w:r>
              <w:rPr>
                <w:u w:val="single"/>
              </w:rPr>
              <w:t>Финансовые и административные последствия</w:t>
            </w:r>
            <w:r>
              <w:t>: Проведение оценки будет профинансировано отделом служб внутреннего надзора (IOS) ЮНЕСКО.</w:t>
            </w:r>
          </w:p>
          <w:p w14:paraId="4A5EA084" w14:textId="7676AF7A" w:rsidR="00737A18" w:rsidRPr="006640C2" w:rsidRDefault="002F14B3" w:rsidP="00681125">
            <w:pPr>
              <w:pStyle w:val="Marge"/>
              <w:tabs>
                <w:tab w:val="clear" w:pos="567"/>
              </w:tabs>
              <w:spacing w:after="120"/>
              <w:rPr>
                <w:rFonts w:cs="Arial"/>
                <w:szCs w:val="22"/>
              </w:rPr>
            </w:pPr>
            <w:r>
              <w:rPr>
                <w:u w:val="single"/>
              </w:rPr>
              <w:t>Предлагаемое решение</w:t>
            </w:r>
            <w:r>
              <w:t xml:space="preserve"> приводится в документе о принятых и предлагаемых мерах (документ IOC/EC-57/AP </w:t>
            </w:r>
            <w:proofErr w:type="spellStart"/>
            <w:r>
              <w:t>Prov</w:t>
            </w:r>
            <w:proofErr w:type="spellEnd"/>
            <w:r>
              <w:t xml:space="preserve">. </w:t>
            </w:r>
            <w:proofErr w:type="spellStart"/>
            <w:r>
              <w:t>Rev</w:t>
            </w:r>
            <w:proofErr w:type="spellEnd"/>
            <w:r>
              <w:t>.) как проект резолюции EC-57/4.7.</w:t>
            </w:r>
          </w:p>
        </w:tc>
      </w:tr>
    </w:tbl>
    <w:p w14:paraId="7165373D" w14:textId="77777777" w:rsidR="00746B89" w:rsidRPr="006640C2" w:rsidRDefault="00746B89" w:rsidP="00681125">
      <w:pPr>
        <w:pStyle w:val="Heading3"/>
        <w:tabs>
          <w:tab w:val="clear" w:pos="567"/>
        </w:tabs>
        <w:sectPr w:rsidR="00746B89" w:rsidRPr="006640C2" w:rsidSect="003F7186">
          <w:headerReference w:type="even" r:id="rId8"/>
          <w:headerReference w:type="default" r:id="rId9"/>
          <w:headerReference w:type="first" r:id="rId10"/>
          <w:type w:val="continuous"/>
          <w:pgSz w:w="11906" w:h="16838" w:code="9"/>
          <w:pgMar w:top="1418" w:right="1134" w:bottom="1134" w:left="1134" w:header="709" w:footer="680" w:gutter="0"/>
          <w:pgNumType w:start="1"/>
          <w:cols w:space="708"/>
          <w:titlePg/>
          <w:docGrid w:linePitch="360"/>
        </w:sectPr>
      </w:pPr>
    </w:p>
    <w:p w14:paraId="4452D05C" w14:textId="0015604C" w:rsidR="00737A18" w:rsidRPr="006640C2" w:rsidRDefault="00FD3B3A" w:rsidP="00681125">
      <w:pPr>
        <w:pStyle w:val="Heading3"/>
        <w:tabs>
          <w:tab w:val="clear" w:pos="567"/>
        </w:tabs>
      </w:pPr>
      <w:r>
        <w:t>Общий контекст</w:t>
      </w:r>
    </w:p>
    <w:p w14:paraId="098921DD" w14:textId="4DD7757F" w:rsidR="00DB2178" w:rsidRDefault="00FD3B3A" w:rsidP="00681125">
      <w:pPr>
        <w:pStyle w:val="COI"/>
        <w:tabs>
          <w:tab w:val="clear" w:pos="709"/>
        </w:tabs>
      </w:pPr>
      <w:r>
        <w:t>Со времени начала проведения Десятилетия ООН, посвященного науке об океане (2021</w:t>
      </w:r>
      <w:r w:rsidR="00681125">
        <w:rPr>
          <w:lang w:val="en-US"/>
        </w:rPr>
        <w:t> </w:t>
      </w:r>
      <w:r>
        <w:t>г.), эта масштабная акция трансформировалась в сложную и многомерную платформу поддержки национальных, региональных и международных партнеров и заинтересованных сторон, осуществляющих большой объем мероприятий в рамках Десятилетия, оказывающих поддержку на цели координации работы, предоставляющих финансовую и нефинансовую помощь и участвующих в различных инициативах и проектах. Проводимое под руководством Группы по координации проведения Десятилетия (ГКД), которая была создана в рамках Межправительственной океанографической комиссии ЮНЕСКО (МОК/ЮНЕСКО), Десятилетие науки об океане задумывалось как адаптируемая инициатива, позволяющая не только предвидеть возникающие проблемы и потребности, но и гибко реагировать на них. Для реализации такого подхода План проведения Десятилетия науки об океане изначально предусматривал серию периодических обзоров для достижения двух взаимосвязанных целей, призванных обеспечить: (i) осуществление в рамках Десятилетия деятельности, способной оказать максимальное долгосрочное воздействие; и (</w:t>
      </w:r>
      <w:r w:rsidR="001E463B">
        <w:rPr>
          <w:lang w:val="en-US"/>
        </w:rPr>
        <w:t>ii</w:t>
      </w:r>
      <w:r>
        <w:t>) актуальность приоритетов Десятилетия с точки зрения осуществляемых морских научно-исследовательских программ и получаемых научных знаний и решения возникающих научных, политических и социальных проблем.</w:t>
      </w:r>
    </w:p>
    <w:p w14:paraId="28A15A16" w14:textId="71FD0784" w:rsidR="00FD3B3A" w:rsidRPr="006640C2" w:rsidRDefault="00FD3B3A" w:rsidP="00681125">
      <w:pPr>
        <w:pStyle w:val="COI"/>
        <w:tabs>
          <w:tab w:val="clear" w:pos="709"/>
        </w:tabs>
      </w:pPr>
      <w:r>
        <w:t>2025 г. приходится на середину Десятилетия науки об океане, а это значит, что пришло время провести среднесрочный обзор, первая цель которого состоит в том, чтобы оценить на предмет эффективности структуру управления, используемые подходы, программы партнерства и ресурсную базу как залог успешного проведения Десятилетия, а также сформулировать рекомендации для достижения максимального долгосрочного эффекта в результате предпринятых в рамках Десятилетия усилий. При проведении среднесрочной оценки будут использованы количественные данные о ходе осуществлени</w:t>
      </w:r>
      <w:r w:rsidR="0059093A" w:rsidRPr="00AC2CDE">
        <w:t>я</w:t>
      </w:r>
      <w:r>
        <w:t xml:space="preserve"> мероприятий Десятилетия науки об океане, собранные с помощью рамочного механизма мониторинга и оценки результативности проведения Десятилетия. Основной акцент в этой работе будет сделан на изучении причин и, следовательно, решении проблем, которые, как выяснится, препятствуют эффективному проведению Десятилетия.</w:t>
      </w:r>
    </w:p>
    <w:p w14:paraId="23527291" w14:textId="77777777" w:rsidR="00DB2178" w:rsidRDefault="00FD3B3A" w:rsidP="00681125">
      <w:pPr>
        <w:pStyle w:val="COI"/>
        <w:tabs>
          <w:tab w:val="clear" w:pos="709"/>
        </w:tabs>
      </w:pPr>
      <w:r>
        <w:t>Механизм «На пути к 2030 году», который создавался в течение всего 2024 г. под руководством ГКД, был реализован в виде первого в серии трехгодичных обзоров инструмента, призванного обеспечить достижение второй цели оценки, а именно определить будущие приоритетные задачи в области развития морской науки и пополнения научных знаний. Итоги этой работы нашли отражение в нескольких экспертных докладах (т.н. «белых книгах»), а также в докладе о достигнутых и ожидаемых результатах «На пути к 2030 году» (все они опубликованы в серии «Технические доклады МОК», №№ 50 и 51), которые в своем неокончательном варианте были обсуждены в ходе Международной конференции, посвященной Десятилетию науки об океане (апрель 2024 г., Барселона), а затем доработаны с учетом замечаний и комментариев участников конференции. Несмотря на то, что основной акцент в работе был сделан на определении приоритетов в области развития морской науки и пополнения научных знаний, был также сформулирован ряд рекомендаций, касающихся аспектов координации и проведения Десятилетия, которые будут иметь важное значение в процессе среднесрочной оценки.</w:t>
      </w:r>
    </w:p>
    <w:p w14:paraId="38103EF3" w14:textId="6CE4DF2B" w:rsidR="009026D3" w:rsidRPr="006640C2" w:rsidRDefault="00FD3B3A" w:rsidP="00681125">
      <w:pPr>
        <w:pStyle w:val="COI"/>
        <w:tabs>
          <w:tab w:val="clear" w:pos="709"/>
        </w:tabs>
      </w:pPr>
      <w:r>
        <w:t>В настоящей концептуальной записке, подготовленной в качестве рабочего документа 57-й сессии Исполнительного совета МОК, изложены предлагаемые параметры, методология и сроки проведения среднесрочной оценки. Данный документ был обсужден Консультативным советом по вопросам проведения Десятилетия на его втором совещании (май 2024 г., Париж). После его рассмотрения Исполнительным советом документ будет использован для подготовки подробного круга ведения группы по проведению оценки.</w:t>
      </w:r>
    </w:p>
    <w:p w14:paraId="114ACA6D" w14:textId="17E8EF02" w:rsidR="00853565" w:rsidRPr="00354C1E" w:rsidRDefault="00FD3B3A" w:rsidP="00681125">
      <w:pPr>
        <w:pStyle w:val="Heading3"/>
        <w:tabs>
          <w:tab w:val="clear" w:pos="567"/>
        </w:tabs>
      </w:pPr>
      <w:r w:rsidRPr="00354C1E">
        <w:t>Предлагаемый охват среднесрочной оценки</w:t>
      </w:r>
    </w:p>
    <w:p w14:paraId="4037A381" w14:textId="77777777" w:rsidR="00DB2178" w:rsidRDefault="00FD3B3A" w:rsidP="00681125">
      <w:pPr>
        <w:pStyle w:val="COI"/>
        <w:tabs>
          <w:tab w:val="clear" w:pos="709"/>
        </w:tabs>
      </w:pPr>
      <w:r>
        <w:t xml:space="preserve">Процесс среднесрочной оценки будет включать проведение критического анализа используемых подходов и формулирование ценных и применимых на практике рекомендаций по пяти приоритетным рамочным вопросам, представленным ниже. </w:t>
      </w:r>
      <w:proofErr w:type="spellStart"/>
      <w:r>
        <w:t>Подтемы</w:t>
      </w:r>
      <w:proofErr w:type="spellEnd"/>
      <w:r>
        <w:t>, подлежащие рассмотрению в рамках каждого из вопросов, представляют собой предложения, окончательный перечень которых будет определен на начальном этапе оценки, в том числе после консультаций с основными заинтересованными сторонами.</w:t>
      </w:r>
    </w:p>
    <w:p w14:paraId="29E0FB7F" w14:textId="2D01FC45" w:rsidR="00FD3B3A" w:rsidRPr="006640C2" w:rsidRDefault="00FD3B3A" w:rsidP="00E7152C">
      <w:pPr>
        <w:pStyle w:val="ListParagraph"/>
        <w:numPr>
          <w:ilvl w:val="0"/>
          <w:numId w:val="8"/>
        </w:numPr>
        <w:spacing w:after="120" w:line="240" w:lineRule="auto"/>
        <w:ind w:left="567" w:hanging="578"/>
        <w:contextualSpacing w:val="0"/>
        <w:rPr>
          <w:rFonts w:asciiTheme="minorBidi" w:hAnsiTheme="minorBidi"/>
          <w:b/>
          <w:bCs/>
          <w:i/>
          <w:iCs/>
        </w:rPr>
      </w:pPr>
      <w:r>
        <w:rPr>
          <w:rFonts w:asciiTheme="minorBidi" w:hAnsiTheme="minorBidi"/>
          <w:b/>
          <w:bCs/>
          <w:i/>
          <w:iCs/>
        </w:rPr>
        <w:t>Механизмы управления и координации:</w:t>
      </w:r>
    </w:p>
    <w:p w14:paraId="371CFE52" w14:textId="77777777" w:rsidR="00FD3B3A" w:rsidRPr="006640C2" w:rsidRDefault="00FD3B3A" w:rsidP="00E7152C">
      <w:pPr>
        <w:pStyle w:val="ListParagraph"/>
        <w:numPr>
          <w:ilvl w:val="1"/>
          <w:numId w:val="13"/>
        </w:numPr>
        <w:spacing w:after="120" w:line="240" w:lineRule="auto"/>
        <w:ind w:left="1134" w:hanging="567"/>
        <w:contextualSpacing w:val="0"/>
        <w:jc w:val="both"/>
        <w:rPr>
          <w:rFonts w:asciiTheme="minorBidi" w:hAnsiTheme="minorBidi"/>
        </w:rPr>
      </w:pPr>
      <w:r>
        <w:rPr>
          <w:rFonts w:asciiTheme="minorBidi" w:hAnsiTheme="minorBidi"/>
        </w:rPr>
        <w:t>Роль, ресурсное обеспечение и эффективность глобальных механизмов управления и координации, в том числе Группы по координации проведения Десятилетия и Консультативного совета по вопросам проведения Десятилетия.</w:t>
      </w:r>
    </w:p>
    <w:p w14:paraId="59E8EE18" w14:textId="77777777" w:rsidR="00DB2178" w:rsidRDefault="00FD3B3A" w:rsidP="00E7152C">
      <w:pPr>
        <w:pStyle w:val="ListParagraph"/>
        <w:numPr>
          <w:ilvl w:val="1"/>
          <w:numId w:val="13"/>
        </w:numPr>
        <w:spacing w:after="240" w:line="240" w:lineRule="auto"/>
        <w:ind w:left="1134" w:hanging="567"/>
        <w:contextualSpacing w:val="0"/>
        <w:jc w:val="both"/>
        <w:rPr>
          <w:rFonts w:asciiTheme="minorBidi" w:hAnsiTheme="minorBidi"/>
        </w:rPr>
      </w:pPr>
      <w:r>
        <w:rPr>
          <w:rFonts w:asciiTheme="minorBidi" w:hAnsiTheme="minorBidi"/>
        </w:rPr>
        <w:t>Роль, ресурсное обеспечение и эффективность децентрализованных структур управления и механизмов координации, в том числе бюро по координации проведения Десятилетия, центров сотрудничества в рамках Десятилетия, партнеров-исполнителей, региональных целевых групп и национальных комитетов по проведению Десятилетия.</w:t>
      </w:r>
    </w:p>
    <w:p w14:paraId="7E27EA32" w14:textId="09A3837D" w:rsidR="00FD3B3A" w:rsidRPr="006640C2" w:rsidRDefault="00FD3B3A" w:rsidP="00E7152C">
      <w:pPr>
        <w:pStyle w:val="ListParagraph"/>
        <w:numPr>
          <w:ilvl w:val="0"/>
          <w:numId w:val="8"/>
        </w:numPr>
        <w:spacing w:after="120" w:line="240" w:lineRule="auto"/>
        <w:ind w:left="567" w:hanging="567"/>
        <w:contextualSpacing w:val="0"/>
        <w:rPr>
          <w:rFonts w:asciiTheme="minorBidi" w:hAnsiTheme="minorBidi"/>
          <w:b/>
          <w:bCs/>
          <w:i/>
          <w:iCs/>
        </w:rPr>
      </w:pPr>
      <w:r>
        <w:rPr>
          <w:rFonts w:asciiTheme="minorBidi" w:hAnsiTheme="minorBidi"/>
          <w:b/>
          <w:bCs/>
          <w:i/>
          <w:iCs/>
        </w:rPr>
        <w:t>Мобилизация ресурсов:</w:t>
      </w:r>
    </w:p>
    <w:p w14:paraId="5C50860F" w14:textId="77777777" w:rsidR="00FD3B3A" w:rsidRPr="006640C2" w:rsidRDefault="00FD3B3A" w:rsidP="00E7152C">
      <w:pPr>
        <w:pStyle w:val="ListParagraph"/>
        <w:numPr>
          <w:ilvl w:val="1"/>
          <w:numId w:val="14"/>
        </w:numPr>
        <w:spacing w:after="120" w:line="240" w:lineRule="auto"/>
        <w:ind w:left="1134" w:hanging="567"/>
        <w:contextualSpacing w:val="0"/>
        <w:jc w:val="both"/>
        <w:rPr>
          <w:rFonts w:asciiTheme="minorBidi" w:hAnsiTheme="minorBidi"/>
        </w:rPr>
      </w:pPr>
      <w:r>
        <w:rPr>
          <w:rFonts w:asciiTheme="minorBidi" w:hAnsiTheme="minorBidi"/>
        </w:rPr>
        <w:t>Стратегический подход в вопросах мобилизации ресурсов на цели проведения Десятилетия науки об океане, состоящий в том, чтобы акцентировать внимание на действенности усилий, предпринимаемых в рамках Десятилетия, и на налаживании связей между бенефициарами мероприятий Десятилетия и донорами, а не на использования последних в качестве источника финансирования.</w:t>
      </w:r>
    </w:p>
    <w:p w14:paraId="1833DE12" w14:textId="77777777" w:rsidR="00FD3B3A" w:rsidRPr="006640C2" w:rsidRDefault="00FD3B3A" w:rsidP="00E7152C">
      <w:pPr>
        <w:pStyle w:val="ListParagraph"/>
        <w:numPr>
          <w:ilvl w:val="1"/>
          <w:numId w:val="14"/>
        </w:numPr>
        <w:spacing w:after="120" w:line="240" w:lineRule="auto"/>
        <w:ind w:left="1134" w:hanging="567"/>
        <w:contextualSpacing w:val="0"/>
        <w:jc w:val="both"/>
        <w:rPr>
          <w:rFonts w:asciiTheme="minorBidi" w:hAnsiTheme="minorBidi"/>
        </w:rPr>
      </w:pPr>
      <w:r>
        <w:rPr>
          <w:rFonts w:asciiTheme="minorBidi" w:hAnsiTheme="minorBidi"/>
        </w:rPr>
        <w:t xml:space="preserve">Эффективность мобилизации и </w:t>
      </w:r>
      <w:proofErr w:type="spellStart"/>
      <w:r>
        <w:rPr>
          <w:rFonts w:asciiTheme="minorBidi" w:hAnsiTheme="minorBidi"/>
        </w:rPr>
        <w:t>приоритизация</w:t>
      </w:r>
      <w:proofErr w:type="spellEnd"/>
      <w:r>
        <w:rPr>
          <w:rFonts w:asciiTheme="minorBidi" w:hAnsiTheme="minorBidi"/>
        </w:rPr>
        <w:t xml:space="preserve"> использования ресурсов на цели централизованной и децентрализованной координации усилий и поддержки мероприятий в рамках Десятилетия.</w:t>
      </w:r>
    </w:p>
    <w:p w14:paraId="18DB0C3E" w14:textId="77777777" w:rsidR="00FD3B3A" w:rsidRPr="006640C2" w:rsidRDefault="00FD3B3A" w:rsidP="00E7152C">
      <w:pPr>
        <w:pStyle w:val="ListParagraph"/>
        <w:numPr>
          <w:ilvl w:val="1"/>
          <w:numId w:val="14"/>
        </w:numPr>
        <w:spacing w:after="120" w:line="240" w:lineRule="auto"/>
        <w:ind w:left="1134" w:hanging="567"/>
        <w:contextualSpacing w:val="0"/>
        <w:jc w:val="both"/>
        <w:rPr>
          <w:rFonts w:asciiTheme="minorBidi" w:hAnsiTheme="minorBidi"/>
        </w:rPr>
      </w:pPr>
      <w:r>
        <w:rPr>
          <w:rFonts w:asciiTheme="minorBidi" w:hAnsiTheme="minorBidi"/>
        </w:rPr>
        <w:t>Роль и эффективность структур, занимающихся мобилизацией ресурсов, в том числе Альянса в поддержку Десятилетия науки об океане и совещаний «Диалог благотворительных фондов».</w:t>
      </w:r>
    </w:p>
    <w:p w14:paraId="04D9AE05" w14:textId="77777777" w:rsidR="00DB2178" w:rsidRDefault="00FD3B3A" w:rsidP="00E7152C">
      <w:pPr>
        <w:pStyle w:val="ListParagraph"/>
        <w:numPr>
          <w:ilvl w:val="1"/>
          <w:numId w:val="14"/>
        </w:numPr>
        <w:spacing w:after="240" w:line="240" w:lineRule="auto"/>
        <w:ind w:left="1134" w:hanging="567"/>
        <w:contextualSpacing w:val="0"/>
        <w:jc w:val="both"/>
        <w:rPr>
          <w:rFonts w:asciiTheme="minorBidi" w:hAnsiTheme="minorBidi"/>
        </w:rPr>
      </w:pPr>
      <w:r>
        <w:rPr>
          <w:rFonts w:asciiTheme="minorBidi" w:hAnsiTheme="minorBidi"/>
        </w:rPr>
        <w:t>Роль государств-членов в мобилизации ресурсов на цели координации деятельности и поддержки мероприятий, включенных в программу Десятилетия.</w:t>
      </w:r>
    </w:p>
    <w:p w14:paraId="1508884A" w14:textId="5802F764" w:rsidR="00FD3B3A" w:rsidRPr="006640C2" w:rsidRDefault="00FD3B3A" w:rsidP="00E7152C">
      <w:pPr>
        <w:pStyle w:val="ListParagraph"/>
        <w:numPr>
          <w:ilvl w:val="0"/>
          <w:numId w:val="8"/>
        </w:numPr>
        <w:spacing w:after="120" w:line="240" w:lineRule="auto"/>
        <w:ind w:left="567" w:hanging="567"/>
        <w:contextualSpacing w:val="0"/>
        <w:rPr>
          <w:rFonts w:asciiTheme="minorBidi" w:hAnsiTheme="minorBidi"/>
          <w:b/>
          <w:bCs/>
          <w:i/>
          <w:iCs/>
        </w:rPr>
      </w:pPr>
      <w:r>
        <w:rPr>
          <w:rFonts w:asciiTheme="minorBidi" w:hAnsiTheme="minorBidi"/>
          <w:b/>
          <w:bCs/>
          <w:i/>
          <w:iCs/>
        </w:rPr>
        <w:t>Осуществление научных исследований и пополнение базы научных знаний:</w:t>
      </w:r>
    </w:p>
    <w:p w14:paraId="42CE868A" w14:textId="77777777" w:rsidR="00DB2178" w:rsidRDefault="00FD3B3A" w:rsidP="00E7152C">
      <w:pPr>
        <w:pStyle w:val="ListParagraph"/>
        <w:numPr>
          <w:ilvl w:val="1"/>
          <w:numId w:val="15"/>
        </w:numPr>
        <w:spacing w:after="120" w:line="240" w:lineRule="auto"/>
        <w:ind w:left="1134" w:hanging="567"/>
        <w:contextualSpacing w:val="0"/>
        <w:jc w:val="both"/>
        <w:rPr>
          <w:rFonts w:asciiTheme="minorBidi" w:hAnsiTheme="minorBidi"/>
        </w:rPr>
      </w:pPr>
      <w:r>
        <w:rPr>
          <w:rFonts w:asciiTheme="minorBidi" w:hAnsiTheme="minorBidi"/>
        </w:rPr>
        <w:t>Успехи в формулировании запросов и/или предложений в отношении осуществления связанной с Десятилетием деятельности преобразующего характера в целях содействия реализации установленных приоритетов.</w:t>
      </w:r>
    </w:p>
    <w:p w14:paraId="44E3CD6D" w14:textId="2DF59E81" w:rsidR="00FD3B3A" w:rsidRPr="006640C2" w:rsidRDefault="00FD3B3A" w:rsidP="00E7152C">
      <w:pPr>
        <w:pStyle w:val="ListParagraph"/>
        <w:numPr>
          <w:ilvl w:val="1"/>
          <w:numId w:val="15"/>
        </w:numPr>
        <w:spacing w:after="120" w:line="240" w:lineRule="auto"/>
        <w:ind w:left="1134" w:hanging="567"/>
        <w:contextualSpacing w:val="0"/>
        <w:jc w:val="both"/>
        <w:rPr>
          <w:rFonts w:asciiTheme="minorBidi" w:hAnsiTheme="minorBidi"/>
        </w:rPr>
      </w:pPr>
      <w:r>
        <w:rPr>
          <w:rFonts w:asciiTheme="minorBidi" w:hAnsiTheme="minorBidi"/>
        </w:rPr>
        <w:t>Успехи и достижения в осуществлении одобренных к реализации в рамках Десятилетия проектов в области морских научных исследований, связанных с получением актуальных и нацеленных на реальные изменения научных знаний.</w:t>
      </w:r>
    </w:p>
    <w:p w14:paraId="5A2004DE" w14:textId="77777777" w:rsidR="00DB2178" w:rsidRDefault="00FD3B3A" w:rsidP="00E7152C">
      <w:pPr>
        <w:pStyle w:val="ListParagraph"/>
        <w:numPr>
          <w:ilvl w:val="1"/>
          <w:numId w:val="15"/>
        </w:numPr>
        <w:spacing w:after="120" w:line="240" w:lineRule="auto"/>
        <w:ind w:left="1134" w:hanging="567"/>
        <w:contextualSpacing w:val="0"/>
        <w:jc w:val="both"/>
        <w:rPr>
          <w:rFonts w:asciiTheme="minorBidi" w:hAnsiTheme="minorBidi"/>
        </w:rPr>
      </w:pPr>
      <w:r>
        <w:rPr>
          <w:rFonts w:asciiTheme="minorBidi" w:hAnsiTheme="minorBidi"/>
        </w:rPr>
        <w:t>Успехи в осуществлении включенных в программу Десятилетия мероприятий в поддержку реализации соответствующих глобальных рамочных программ и целей Организации Объединенных Наций.</w:t>
      </w:r>
    </w:p>
    <w:p w14:paraId="349120E9" w14:textId="77777777" w:rsidR="00DB2178" w:rsidRDefault="00FD3B3A" w:rsidP="00E7152C">
      <w:pPr>
        <w:pStyle w:val="ListParagraph"/>
        <w:numPr>
          <w:ilvl w:val="1"/>
          <w:numId w:val="15"/>
        </w:numPr>
        <w:spacing w:after="120" w:line="240" w:lineRule="auto"/>
        <w:ind w:left="1134" w:hanging="567"/>
        <w:contextualSpacing w:val="0"/>
        <w:jc w:val="both"/>
        <w:rPr>
          <w:rFonts w:asciiTheme="minorBidi" w:hAnsiTheme="minorBidi"/>
        </w:rPr>
      </w:pPr>
      <w:r>
        <w:rPr>
          <w:rFonts w:asciiTheme="minorBidi" w:hAnsiTheme="minorBidi"/>
        </w:rPr>
        <w:t>Повышение осведомленности о проведении Десятилетия науки об океане среди основных заинтересованных групп населения и использование конечных результатов Десятилетия в интересах этих групп.</w:t>
      </w:r>
    </w:p>
    <w:p w14:paraId="5E03F0A1" w14:textId="77777777" w:rsidR="00DB2178" w:rsidRDefault="00FD3B3A" w:rsidP="00E7152C">
      <w:pPr>
        <w:pStyle w:val="ListParagraph"/>
        <w:numPr>
          <w:ilvl w:val="1"/>
          <w:numId w:val="15"/>
        </w:numPr>
        <w:spacing w:after="0" w:line="240" w:lineRule="auto"/>
        <w:ind w:left="1134" w:hanging="567"/>
        <w:contextualSpacing w:val="0"/>
        <w:jc w:val="both"/>
        <w:rPr>
          <w:rFonts w:asciiTheme="minorBidi" w:hAnsiTheme="minorBidi"/>
        </w:rPr>
      </w:pPr>
      <w:r>
        <w:rPr>
          <w:rFonts w:asciiTheme="minorBidi" w:hAnsiTheme="minorBidi"/>
        </w:rPr>
        <w:t>Эффективность рамочного механизма мониторинга и оценки результативности проведения Десятилетия с точки зрения отслеживания прогресса и долгосрочного воздействия.</w:t>
      </w:r>
    </w:p>
    <w:p w14:paraId="36F7D7ED" w14:textId="3EA86A54" w:rsidR="00FD3B3A" w:rsidRPr="006640C2" w:rsidRDefault="00FD3B3A" w:rsidP="00681125">
      <w:pPr>
        <w:tabs>
          <w:tab w:val="clear" w:pos="567"/>
        </w:tabs>
        <w:rPr>
          <w:rFonts w:asciiTheme="minorBidi" w:hAnsiTheme="minorBidi"/>
          <w:szCs w:val="22"/>
        </w:rPr>
      </w:pPr>
    </w:p>
    <w:p w14:paraId="416C81D7" w14:textId="77777777" w:rsidR="00DB2178" w:rsidRDefault="00FD3B3A" w:rsidP="00E7152C">
      <w:pPr>
        <w:pStyle w:val="ListParagraph"/>
        <w:numPr>
          <w:ilvl w:val="0"/>
          <w:numId w:val="8"/>
        </w:numPr>
        <w:spacing w:after="120" w:line="240" w:lineRule="auto"/>
        <w:ind w:left="567" w:hanging="567"/>
        <w:contextualSpacing w:val="0"/>
        <w:rPr>
          <w:rFonts w:asciiTheme="minorBidi" w:hAnsiTheme="minorBidi"/>
        </w:rPr>
      </w:pPr>
      <w:r>
        <w:rPr>
          <w:rFonts w:asciiTheme="minorBidi" w:hAnsiTheme="minorBidi"/>
          <w:b/>
          <w:bCs/>
          <w:i/>
          <w:iCs/>
        </w:rPr>
        <w:t>Активное вовлечение и информационно-разъяснительная работа:</w:t>
      </w:r>
    </w:p>
    <w:p w14:paraId="34F4A016" w14:textId="583341B4" w:rsidR="00FD3B3A" w:rsidRPr="006640C2" w:rsidRDefault="00FD3B3A" w:rsidP="00E7152C">
      <w:pPr>
        <w:pStyle w:val="ListParagraph"/>
        <w:numPr>
          <w:ilvl w:val="1"/>
          <w:numId w:val="16"/>
        </w:numPr>
        <w:spacing w:after="120" w:line="240" w:lineRule="auto"/>
        <w:ind w:left="1134" w:hanging="567"/>
        <w:contextualSpacing w:val="0"/>
        <w:jc w:val="both"/>
        <w:rPr>
          <w:rFonts w:asciiTheme="minorBidi" w:hAnsiTheme="minorBidi"/>
        </w:rPr>
      </w:pPr>
      <w:r>
        <w:rPr>
          <w:rFonts w:asciiTheme="minorBidi" w:hAnsiTheme="minorBidi"/>
        </w:rPr>
        <w:t>Успехи в доведении информации о целях и проектах Десятилетия науки об океане до различных целевых групп и заинтересованных сторон.</w:t>
      </w:r>
    </w:p>
    <w:p w14:paraId="27AE2CA8" w14:textId="77777777" w:rsidR="00FD3B3A" w:rsidRPr="006640C2" w:rsidRDefault="00FD3B3A" w:rsidP="00E7152C">
      <w:pPr>
        <w:pStyle w:val="ListParagraph"/>
        <w:numPr>
          <w:ilvl w:val="1"/>
          <w:numId w:val="16"/>
        </w:numPr>
        <w:spacing w:after="120" w:line="240" w:lineRule="auto"/>
        <w:ind w:left="1134" w:hanging="567"/>
        <w:contextualSpacing w:val="0"/>
        <w:jc w:val="both"/>
        <w:rPr>
          <w:rFonts w:asciiTheme="minorBidi" w:hAnsiTheme="minorBidi"/>
        </w:rPr>
      </w:pPr>
      <w:r>
        <w:rPr>
          <w:rFonts w:asciiTheme="minorBidi" w:hAnsiTheme="minorBidi"/>
        </w:rPr>
        <w:t>Эффективность механизмов вовлечения/охвата и устойчивость этих усилий с точки зрения ресурсного обеспечения.</w:t>
      </w:r>
    </w:p>
    <w:p w14:paraId="5FF3F981" w14:textId="77777777" w:rsidR="00FD3B3A" w:rsidRPr="006640C2" w:rsidRDefault="00FD3B3A" w:rsidP="00E7152C">
      <w:pPr>
        <w:pStyle w:val="ListParagraph"/>
        <w:numPr>
          <w:ilvl w:val="1"/>
          <w:numId w:val="16"/>
        </w:numPr>
        <w:spacing w:after="120" w:line="240" w:lineRule="auto"/>
        <w:ind w:left="1134" w:hanging="567"/>
        <w:contextualSpacing w:val="0"/>
        <w:jc w:val="both"/>
        <w:rPr>
          <w:rFonts w:asciiTheme="minorBidi" w:hAnsiTheme="minorBidi"/>
        </w:rPr>
      </w:pPr>
      <w:r>
        <w:rPr>
          <w:rFonts w:asciiTheme="minorBidi" w:hAnsiTheme="minorBidi"/>
        </w:rPr>
        <w:t xml:space="preserve">Успехи в обеспечении инклюзивности, разнообразия и равенства возможностей в рамках Десятилетия науки об океане, в том числе с точки зрения гендерного, географического и </w:t>
      </w:r>
      <w:proofErr w:type="spellStart"/>
      <w:r>
        <w:rPr>
          <w:rFonts w:asciiTheme="minorBidi" w:hAnsiTheme="minorBidi"/>
        </w:rPr>
        <w:t>межпоколенческого</w:t>
      </w:r>
      <w:proofErr w:type="spellEnd"/>
      <w:r>
        <w:rPr>
          <w:rFonts w:asciiTheme="minorBidi" w:hAnsiTheme="minorBidi"/>
        </w:rPr>
        <w:t xml:space="preserve"> аспектов.</w:t>
      </w:r>
    </w:p>
    <w:p w14:paraId="2DB7A6DA" w14:textId="77777777" w:rsidR="00FD3B3A" w:rsidRPr="006640C2" w:rsidRDefault="00FD3B3A" w:rsidP="00E7152C">
      <w:pPr>
        <w:pStyle w:val="ListParagraph"/>
        <w:numPr>
          <w:ilvl w:val="1"/>
          <w:numId w:val="16"/>
        </w:numPr>
        <w:spacing w:after="0" w:line="240" w:lineRule="auto"/>
        <w:ind w:left="1134" w:hanging="567"/>
        <w:contextualSpacing w:val="0"/>
        <w:jc w:val="both"/>
        <w:rPr>
          <w:rFonts w:asciiTheme="minorBidi" w:hAnsiTheme="minorBidi"/>
        </w:rPr>
      </w:pPr>
      <w:r>
        <w:rPr>
          <w:rFonts w:asciiTheme="minorBidi" w:hAnsiTheme="minorBidi"/>
        </w:rPr>
        <w:t>Успехи и фактические результаты в деле оценки эффективности информационно-пропагандистской работы с основными заинтересованными сторонами.</w:t>
      </w:r>
    </w:p>
    <w:p w14:paraId="7988BCA1" w14:textId="77777777" w:rsidR="00FD3B3A" w:rsidRPr="00354C1E" w:rsidRDefault="00FD3B3A" w:rsidP="00681125">
      <w:pPr>
        <w:pStyle w:val="ListParagraph"/>
        <w:spacing w:after="0" w:line="240" w:lineRule="auto"/>
        <w:ind w:left="1080"/>
        <w:contextualSpacing w:val="0"/>
        <w:rPr>
          <w:rFonts w:asciiTheme="minorBidi" w:hAnsiTheme="minorBidi"/>
        </w:rPr>
      </w:pPr>
    </w:p>
    <w:p w14:paraId="0DB9589D" w14:textId="77777777" w:rsidR="00FD3B3A" w:rsidRPr="006640C2" w:rsidRDefault="00FD3B3A" w:rsidP="00E7152C">
      <w:pPr>
        <w:pStyle w:val="ListParagraph"/>
        <w:numPr>
          <w:ilvl w:val="0"/>
          <w:numId w:val="8"/>
        </w:numPr>
        <w:spacing w:after="120" w:line="240" w:lineRule="auto"/>
        <w:ind w:left="567" w:hanging="567"/>
        <w:contextualSpacing w:val="0"/>
        <w:rPr>
          <w:rFonts w:asciiTheme="minorBidi" w:hAnsiTheme="minorBidi"/>
          <w:b/>
          <w:bCs/>
          <w:i/>
          <w:iCs/>
        </w:rPr>
      </w:pPr>
      <w:r>
        <w:rPr>
          <w:rFonts w:asciiTheme="minorBidi" w:hAnsiTheme="minorBidi"/>
          <w:b/>
          <w:bCs/>
          <w:i/>
          <w:iCs/>
        </w:rPr>
        <w:t>Использование Десятилетия науки об океане в интересах реализации стратегической цели МОК и ее дальнейшего развития:</w:t>
      </w:r>
    </w:p>
    <w:p w14:paraId="607C6E81" w14:textId="77777777" w:rsidR="00DB2178" w:rsidRDefault="00FD3B3A" w:rsidP="00E7152C">
      <w:pPr>
        <w:pStyle w:val="ListParagraph"/>
        <w:numPr>
          <w:ilvl w:val="1"/>
          <w:numId w:val="17"/>
        </w:numPr>
        <w:spacing w:after="120" w:line="240" w:lineRule="auto"/>
        <w:ind w:left="1134" w:hanging="567"/>
        <w:contextualSpacing w:val="0"/>
        <w:jc w:val="both"/>
        <w:rPr>
          <w:rFonts w:asciiTheme="minorBidi" w:hAnsiTheme="minorBidi"/>
        </w:rPr>
      </w:pPr>
      <w:r>
        <w:rPr>
          <w:rFonts w:asciiTheme="minorBidi" w:hAnsiTheme="minorBidi"/>
        </w:rPr>
        <w:t>Успехи в планировании и осуществлении по инициативе и под руководством МОК и ее координирующих структур деятельности в рамках Десятилетия науки об океане.</w:t>
      </w:r>
    </w:p>
    <w:p w14:paraId="1D049606" w14:textId="7ABDDAB6" w:rsidR="00FD3B3A" w:rsidRPr="006640C2" w:rsidRDefault="00FD3B3A" w:rsidP="00E7152C">
      <w:pPr>
        <w:pStyle w:val="ListParagraph"/>
        <w:numPr>
          <w:ilvl w:val="1"/>
          <w:numId w:val="17"/>
        </w:numPr>
        <w:spacing w:after="120" w:line="240" w:lineRule="auto"/>
        <w:ind w:left="1134" w:hanging="567"/>
        <w:contextualSpacing w:val="0"/>
        <w:jc w:val="both"/>
        <w:rPr>
          <w:rFonts w:asciiTheme="minorBidi" w:hAnsiTheme="minorBidi"/>
        </w:rPr>
      </w:pPr>
      <w:r>
        <w:rPr>
          <w:rFonts w:asciiTheme="minorBidi" w:hAnsiTheme="minorBidi"/>
        </w:rPr>
        <w:t>Степень устойчивости и полезный эффект инициатив, осуществляемых в рамках Десятилетия под руководством МОК и способствующих достижению ее стратегических долгосрочных целей.</w:t>
      </w:r>
    </w:p>
    <w:p w14:paraId="6D895F94" w14:textId="77777777" w:rsidR="00DB2178" w:rsidRDefault="00FD3B3A" w:rsidP="00E7152C">
      <w:pPr>
        <w:pStyle w:val="ListParagraph"/>
        <w:numPr>
          <w:ilvl w:val="1"/>
          <w:numId w:val="17"/>
        </w:numPr>
        <w:spacing w:after="0" w:line="240" w:lineRule="auto"/>
        <w:ind w:left="1134" w:hanging="567"/>
        <w:contextualSpacing w:val="0"/>
        <w:jc w:val="both"/>
        <w:rPr>
          <w:rFonts w:asciiTheme="minorBidi" w:hAnsiTheme="minorBidi"/>
        </w:rPr>
      </w:pPr>
      <w:r>
        <w:rPr>
          <w:rFonts w:asciiTheme="minorBidi" w:hAnsiTheme="minorBidi"/>
        </w:rPr>
        <w:t>Реальное и потенциальное значение осуществляемых под руководством МОК инициатив с точки зрения стимулирования новых партнерских связей, проектов или ресурсной поддержки в интересах будущего развития МОК.</w:t>
      </w:r>
    </w:p>
    <w:p w14:paraId="08FC1B84" w14:textId="20A82468" w:rsidR="00FD3B3A" w:rsidRPr="00354C1E" w:rsidRDefault="00FD3B3A" w:rsidP="00681125">
      <w:pPr>
        <w:pStyle w:val="ListParagraph"/>
        <w:spacing w:after="0" w:line="240" w:lineRule="auto"/>
        <w:ind w:left="1080"/>
        <w:contextualSpacing w:val="0"/>
        <w:rPr>
          <w:rFonts w:asciiTheme="minorBidi" w:hAnsiTheme="minorBidi"/>
          <w:sz w:val="20"/>
          <w:szCs w:val="20"/>
        </w:rPr>
      </w:pPr>
    </w:p>
    <w:p w14:paraId="794D5260" w14:textId="77777777" w:rsidR="00DB2178" w:rsidRDefault="00FD3B3A" w:rsidP="00681125">
      <w:pPr>
        <w:pStyle w:val="COI"/>
        <w:tabs>
          <w:tab w:val="clear" w:pos="709"/>
        </w:tabs>
      </w:pPr>
      <w:r>
        <w:t xml:space="preserve">При рассмотрении вышеперечисленных вопросов внимание группы по проведению среднесрочной оценки будет уделено в первую очередь обеспечению эффективности мероприятий Десятилетия в оставшийся до 2030 г. период, в том числе принятию конкретных мер, направленных на эффективное выполнение рекомендаций, сформулированных в рамках механизма «На пути к 2030 году», а также изучению условий, которые обеспечат надежное и долгосрочное сохранение наследия Десятилетия уже после его завершения. В соответствующих случаях группа предложит конкретные рекомендации и меры, направленные на повышение разнообразия, равенства возможностей и инклюзивности деятельности в рамках Десятилетия науки об океане, в том числе на обеспечение </w:t>
      </w:r>
      <w:proofErr w:type="spellStart"/>
      <w:r>
        <w:t>межпоколенческого</w:t>
      </w:r>
      <w:proofErr w:type="spellEnd"/>
      <w:r>
        <w:t>, гендерного и географического разнообразия и активное вовлечение в мероприятия Десятилетия носителей местных и эндогенных знаний.</w:t>
      </w:r>
    </w:p>
    <w:p w14:paraId="77EDA881" w14:textId="4A249AA4" w:rsidR="00FD3B3A" w:rsidRPr="006640C2" w:rsidRDefault="00FD3B3A" w:rsidP="00681125">
      <w:pPr>
        <w:pStyle w:val="COI"/>
        <w:tabs>
          <w:tab w:val="clear" w:pos="709"/>
        </w:tabs>
      </w:pPr>
      <w:r>
        <w:t>Руководство проведением среднесрочной оценки будет возложено на отдел оценки, структурно входящий в управление служб внутреннего надзора (IOS) ЮНЕСКО. Сама оценка будет проводиться группой независимых экспертов по вопросам оценки в соответствии с стратегией ЮНЕСКО в области оценки. В ходе оценки будет применена комбинированная методика, предполагающая использование как количественных, так и качественных данных из различных источников, в том числе тщательный анализ имеющихся документов, теоретическое исследование, формализованный опрос, анкетирование, тематические дискуссии с соответствующими заинтересованными сторонами, в частности с государствами-членами и другими заинтересованными субъектами, как связанными, так и не связанными с платформой поддержки Десятилетия науки об океане. Результаты этой работы будут включать в себя доклад о проведенной оценке гарантированного качества и четкий план действий, в котором будут отражены рекомендации, сформулированные по итогам оценки, включая сроки, функциональные задачи и ресурсные потребности. С учетом широкого круга заинтересованных сторон, вовлеченных в осуществление мероприятий и проектов Десятилетия, особое внимание будет уделено четкому определению функций и сфер ответственности структур в рамках ЮНЕСКО, а также структур, включенных в экосистему поддержки Десятилетия, и внешних партнеров.</w:t>
      </w:r>
    </w:p>
    <w:p w14:paraId="59094FBF" w14:textId="0BF49319" w:rsidR="00FD3B3A" w:rsidRPr="006640C2" w:rsidRDefault="00FD3B3A" w:rsidP="00681125">
      <w:pPr>
        <w:pStyle w:val="COI"/>
        <w:tabs>
          <w:tab w:val="clear" w:pos="709"/>
        </w:tabs>
        <w:rPr>
          <w:sz w:val="20"/>
          <w:szCs w:val="20"/>
        </w:rPr>
      </w:pPr>
      <w:r>
        <w:t>Предлагается следующий график проведения среднесрочной оценки:</w:t>
      </w:r>
    </w:p>
    <w:tbl>
      <w:tblPr>
        <w:tblStyle w:val="TableGrid"/>
        <w:tblW w:w="0" w:type="auto"/>
        <w:tblLook w:val="04A0" w:firstRow="1" w:lastRow="0" w:firstColumn="1" w:lastColumn="0" w:noHBand="0" w:noVBand="1"/>
      </w:tblPr>
      <w:tblGrid>
        <w:gridCol w:w="2093"/>
        <w:gridCol w:w="7400"/>
      </w:tblGrid>
      <w:tr w:rsidR="00FD3B3A" w:rsidRPr="006640C2" w14:paraId="1B592530" w14:textId="77777777" w:rsidTr="00E7152C">
        <w:tc>
          <w:tcPr>
            <w:tcW w:w="2093" w:type="dxa"/>
          </w:tcPr>
          <w:p w14:paraId="5545354B" w14:textId="77777777" w:rsidR="00FD3B3A" w:rsidRPr="006640C2" w:rsidRDefault="00FD3B3A" w:rsidP="00681125">
            <w:pPr>
              <w:tabs>
                <w:tab w:val="clear" w:pos="567"/>
              </w:tabs>
              <w:rPr>
                <w:rFonts w:asciiTheme="minorBidi" w:hAnsiTheme="minorBidi"/>
                <w:sz w:val="20"/>
                <w:szCs w:val="20"/>
              </w:rPr>
            </w:pPr>
            <w:r>
              <w:rPr>
                <w:rFonts w:asciiTheme="minorBidi" w:hAnsiTheme="minorBidi"/>
                <w:sz w:val="20"/>
                <w:szCs w:val="20"/>
              </w:rPr>
              <w:t>Сентябрь 2024 г.</w:t>
            </w:r>
          </w:p>
        </w:tc>
        <w:tc>
          <w:tcPr>
            <w:tcW w:w="7400" w:type="dxa"/>
          </w:tcPr>
          <w:p w14:paraId="5B1A4F18" w14:textId="77777777" w:rsidR="00FD3B3A" w:rsidRPr="006640C2" w:rsidRDefault="00FD3B3A" w:rsidP="00681125">
            <w:pPr>
              <w:tabs>
                <w:tab w:val="clear" w:pos="567"/>
              </w:tabs>
              <w:rPr>
                <w:rFonts w:asciiTheme="minorBidi" w:hAnsiTheme="minorBidi"/>
                <w:sz w:val="20"/>
                <w:szCs w:val="20"/>
              </w:rPr>
            </w:pPr>
            <w:r>
              <w:rPr>
                <w:rFonts w:asciiTheme="minorBidi" w:hAnsiTheme="minorBidi"/>
                <w:sz w:val="20"/>
                <w:szCs w:val="20"/>
              </w:rPr>
              <w:t xml:space="preserve">Доработка круга ведения по итогам обсуждения на 57-й сессии Исполнительного совета МОК </w:t>
            </w:r>
          </w:p>
        </w:tc>
      </w:tr>
      <w:tr w:rsidR="00FD3B3A" w:rsidRPr="006640C2" w14:paraId="1CA21E62" w14:textId="77777777" w:rsidTr="00E7152C">
        <w:tc>
          <w:tcPr>
            <w:tcW w:w="2093" w:type="dxa"/>
          </w:tcPr>
          <w:p w14:paraId="45F45145" w14:textId="77777777" w:rsidR="00FD3B3A" w:rsidRPr="006640C2" w:rsidRDefault="00FD3B3A" w:rsidP="00681125">
            <w:pPr>
              <w:tabs>
                <w:tab w:val="clear" w:pos="567"/>
              </w:tabs>
              <w:rPr>
                <w:rFonts w:asciiTheme="minorBidi" w:hAnsiTheme="minorBidi"/>
                <w:sz w:val="20"/>
                <w:szCs w:val="20"/>
              </w:rPr>
            </w:pPr>
            <w:r>
              <w:rPr>
                <w:rFonts w:asciiTheme="minorBidi" w:hAnsiTheme="minorBidi"/>
                <w:sz w:val="20"/>
                <w:szCs w:val="20"/>
              </w:rPr>
              <w:t>Ноябрь 2024 г.</w:t>
            </w:r>
          </w:p>
        </w:tc>
        <w:tc>
          <w:tcPr>
            <w:tcW w:w="7400" w:type="dxa"/>
          </w:tcPr>
          <w:p w14:paraId="02CC6A83" w14:textId="77777777" w:rsidR="00AC2CDE" w:rsidRDefault="00FD3B3A" w:rsidP="00681125">
            <w:pPr>
              <w:tabs>
                <w:tab w:val="clear" w:pos="567"/>
              </w:tabs>
              <w:rPr>
                <w:rFonts w:asciiTheme="minorBidi" w:hAnsiTheme="minorBidi"/>
                <w:sz w:val="20"/>
                <w:szCs w:val="20"/>
                <w:lang w:val="en-US"/>
              </w:rPr>
            </w:pPr>
            <w:r>
              <w:rPr>
                <w:rFonts w:asciiTheme="minorBidi" w:hAnsiTheme="minorBidi"/>
                <w:sz w:val="20"/>
                <w:szCs w:val="20"/>
              </w:rPr>
              <w:t xml:space="preserve">Процесс формирования группы по проведению оценки </w:t>
            </w:r>
          </w:p>
          <w:p w14:paraId="74E87BF3" w14:textId="77777777" w:rsidR="00AC2CDE" w:rsidRDefault="00FD3B3A" w:rsidP="00681125">
            <w:pPr>
              <w:tabs>
                <w:tab w:val="clear" w:pos="567"/>
              </w:tabs>
              <w:rPr>
                <w:rFonts w:asciiTheme="minorBidi" w:hAnsiTheme="minorBidi"/>
                <w:sz w:val="20"/>
                <w:szCs w:val="20"/>
                <w:lang w:val="en-US"/>
              </w:rPr>
            </w:pPr>
            <w:r>
              <w:rPr>
                <w:rFonts w:asciiTheme="minorBidi" w:hAnsiTheme="minorBidi"/>
                <w:sz w:val="20"/>
                <w:szCs w:val="20"/>
              </w:rPr>
              <w:t xml:space="preserve">Определение кандидатур и формирование состава независимой группы экспертов по проведению оценки </w:t>
            </w:r>
          </w:p>
          <w:p w14:paraId="48DE8BB3" w14:textId="771ED544" w:rsidR="00FD3B3A" w:rsidRPr="006640C2" w:rsidRDefault="00FD3B3A" w:rsidP="00681125">
            <w:pPr>
              <w:tabs>
                <w:tab w:val="clear" w:pos="567"/>
              </w:tabs>
              <w:rPr>
                <w:rFonts w:asciiTheme="minorBidi" w:hAnsiTheme="minorBidi"/>
                <w:sz w:val="20"/>
                <w:szCs w:val="20"/>
              </w:rPr>
            </w:pPr>
            <w:r>
              <w:rPr>
                <w:rFonts w:asciiTheme="minorBidi" w:hAnsiTheme="minorBidi"/>
                <w:sz w:val="20"/>
                <w:szCs w:val="20"/>
              </w:rPr>
              <w:t xml:space="preserve">Начало процесса среднесрочной оценки </w:t>
            </w:r>
          </w:p>
        </w:tc>
      </w:tr>
      <w:tr w:rsidR="00FD3B3A" w:rsidRPr="006640C2" w14:paraId="55EF2270" w14:textId="77777777" w:rsidTr="00E7152C">
        <w:tc>
          <w:tcPr>
            <w:tcW w:w="2093" w:type="dxa"/>
          </w:tcPr>
          <w:p w14:paraId="12744C9A" w14:textId="77777777" w:rsidR="00FD3B3A" w:rsidRPr="006640C2" w:rsidRDefault="00FD3B3A" w:rsidP="00681125">
            <w:pPr>
              <w:tabs>
                <w:tab w:val="clear" w:pos="567"/>
              </w:tabs>
              <w:rPr>
                <w:rFonts w:asciiTheme="minorBidi" w:hAnsiTheme="minorBidi"/>
                <w:sz w:val="20"/>
                <w:szCs w:val="20"/>
              </w:rPr>
            </w:pPr>
            <w:r>
              <w:rPr>
                <w:rFonts w:asciiTheme="minorBidi" w:hAnsiTheme="minorBidi"/>
                <w:sz w:val="20"/>
                <w:szCs w:val="20"/>
              </w:rPr>
              <w:t>Март 2025 г.</w:t>
            </w:r>
          </w:p>
        </w:tc>
        <w:tc>
          <w:tcPr>
            <w:tcW w:w="7400" w:type="dxa"/>
          </w:tcPr>
          <w:p w14:paraId="12AB6FDD" w14:textId="77777777" w:rsidR="00FD3B3A" w:rsidRPr="006640C2" w:rsidRDefault="00FD3B3A" w:rsidP="00681125">
            <w:pPr>
              <w:tabs>
                <w:tab w:val="clear" w:pos="567"/>
              </w:tabs>
              <w:rPr>
                <w:rFonts w:asciiTheme="minorBidi" w:hAnsiTheme="minorBidi"/>
                <w:sz w:val="20"/>
                <w:szCs w:val="20"/>
              </w:rPr>
            </w:pPr>
            <w:r>
              <w:rPr>
                <w:rFonts w:asciiTheme="minorBidi" w:hAnsiTheme="minorBidi"/>
                <w:sz w:val="20"/>
                <w:szCs w:val="20"/>
              </w:rPr>
              <w:t>Представление проекта основных выводов оценки на обсуждение должностными лицами МОК и членами Консультативного совета по вопросам проведения Десятилетия</w:t>
            </w:r>
          </w:p>
        </w:tc>
      </w:tr>
      <w:tr w:rsidR="00FD3B3A" w:rsidRPr="006640C2" w14:paraId="630C951F" w14:textId="77777777" w:rsidTr="00E7152C">
        <w:tc>
          <w:tcPr>
            <w:tcW w:w="2093" w:type="dxa"/>
          </w:tcPr>
          <w:p w14:paraId="52090285" w14:textId="77777777" w:rsidR="00FD3B3A" w:rsidRPr="006640C2" w:rsidRDefault="00FD3B3A" w:rsidP="00681125">
            <w:pPr>
              <w:tabs>
                <w:tab w:val="clear" w:pos="567"/>
              </w:tabs>
              <w:rPr>
                <w:rFonts w:asciiTheme="minorBidi" w:hAnsiTheme="minorBidi"/>
                <w:sz w:val="20"/>
                <w:szCs w:val="20"/>
              </w:rPr>
            </w:pPr>
            <w:r>
              <w:rPr>
                <w:rFonts w:asciiTheme="minorBidi" w:hAnsiTheme="minorBidi"/>
                <w:sz w:val="20"/>
                <w:szCs w:val="20"/>
              </w:rPr>
              <w:t>Апрель 2025 г.</w:t>
            </w:r>
          </w:p>
        </w:tc>
        <w:tc>
          <w:tcPr>
            <w:tcW w:w="7400" w:type="dxa"/>
          </w:tcPr>
          <w:p w14:paraId="3EB28E5F" w14:textId="77777777" w:rsidR="00FD3B3A" w:rsidRPr="006640C2" w:rsidRDefault="00FD3B3A" w:rsidP="00681125">
            <w:pPr>
              <w:tabs>
                <w:tab w:val="clear" w:pos="567"/>
              </w:tabs>
              <w:rPr>
                <w:rFonts w:asciiTheme="minorBidi" w:hAnsiTheme="minorBidi"/>
                <w:sz w:val="20"/>
                <w:szCs w:val="20"/>
              </w:rPr>
            </w:pPr>
            <w:r>
              <w:rPr>
                <w:rFonts w:asciiTheme="minorBidi" w:hAnsiTheme="minorBidi"/>
                <w:sz w:val="20"/>
                <w:szCs w:val="20"/>
              </w:rPr>
              <w:t xml:space="preserve">Публикация окончательной версии доклада об оценке в преддверие проведения 33-й сессии Ассамблеи МОК </w:t>
            </w:r>
          </w:p>
        </w:tc>
      </w:tr>
      <w:tr w:rsidR="00FD3B3A" w:rsidRPr="006640C2" w14:paraId="73D7CA93" w14:textId="77777777" w:rsidTr="00E7152C">
        <w:tc>
          <w:tcPr>
            <w:tcW w:w="2093" w:type="dxa"/>
          </w:tcPr>
          <w:p w14:paraId="584EDC79" w14:textId="77777777" w:rsidR="00FD3B3A" w:rsidRPr="006640C2" w:rsidRDefault="00FD3B3A" w:rsidP="00681125">
            <w:pPr>
              <w:tabs>
                <w:tab w:val="clear" w:pos="567"/>
              </w:tabs>
              <w:rPr>
                <w:rFonts w:asciiTheme="minorBidi" w:hAnsiTheme="minorBidi"/>
                <w:sz w:val="20"/>
                <w:szCs w:val="20"/>
              </w:rPr>
            </w:pPr>
            <w:r>
              <w:rPr>
                <w:rFonts w:asciiTheme="minorBidi" w:hAnsiTheme="minorBidi"/>
                <w:sz w:val="20"/>
                <w:szCs w:val="20"/>
              </w:rPr>
              <w:t>Июнь 2025 г.</w:t>
            </w:r>
          </w:p>
          <w:p w14:paraId="74C1B275" w14:textId="77777777" w:rsidR="00160303" w:rsidRPr="006640C2" w:rsidRDefault="00160303" w:rsidP="00681125">
            <w:pPr>
              <w:tabs>
                <w:tab w:val="clear" w:pos="567"/>
              </w:tabs>
              <w:rPr>
                <w:rFonts w:asciiTheme="minorBidi" w:hAnsiTheme="minorBidi"/>
                <w:sz w:val="20"/>
                <w:szCs w:val="20"/>
              </w:rPr>
            </w:pPr>
          </w:p>
        </w:tc>
        <w:tc>
          <w:tcPr>
            <w:tcW w:w="7400" w:type="dxa"/>
          </w:tcPr>
          <w:p w14:paraId="45E8176F" w14:textId="0069B45D" w:rsidR="00FD3B3A" w:rsidRPr="006640C2" w:rsidRDefault="00FD3B3A" w:rsidP="00681125">
            <w:pPr>
              <w:tabs>
                <w:tab w:val="clear" w:pos="567"/>
              </w:tabs>
              <w:rPr>
                <w:rFonts w:asciiTheme="minorBidi" w:hAnsiTheme="minorBidi"/>
                <w:sz w:val="20"/>
                <w:szCs w:val="20"/>
              </w:rPr>
            </w:pPr>
            <w:r>
              <w:rPr>
                <w:rFonts w:asciiTheme="minorBidi" w:hAnsiTheme="minorBidi"/>
                <w:sz w:val="20"/>
                <w:szCs w:val="20"/>
              </w:rPr>
              <w:t xml:space="preserve">Представление доклада об оценке на 33-й сессии Ассамблеи МОК </w:t>
            </w:r>
          </w:p>
        </w:tc>
      </w:tr>
      <w:tr w:rsidR="00FD3B3A" w:rsidRPr="006640C2" w14:paraId="5F0C5D18" w14:textId="77777777" w:rsidTr="00E7152C">
        <w:tc>
          <w:tcPr>
            <w:tcW w:w="2093" w:type="dxa"/>
          </w:tcPr>
          <w:p w14:paraId="4332F5B1" w14:textId="77777777" w:rsidR="00FD3B3A" w:rsidRPr="006640C2" w:rsidRDefault="00FD3B3A" w:rsidP="00681125">
            <w:pPr>
              <w:tabs>
                <w:tab w:val="clear" w:pos="567"/>
              </w:tabs>
              <w:rPr>
                <w:rFonts w:asciiTheme="minorBidi" w:hAnsiTheme="minorBidi"/>
                <w:sz w:val="20"/>
                <w:szCs w:val="20"/>
              </w:rPr>
            </w:pPr>
            <w:r>
              <w:rPr>
                <w:rFonts w:asciiTheme="minorBidi" w:hAnsiTheme="minorBidi"/>
                <w:sz w:val="20"/>
                <w:szCs w:val="20"/>
              </w:rPr>
              <w:t>Октябрь 2025 г.</w:t>
            </w:r>
          </w:p>
          <w:p w14:paraId="38834DA8" w14:textId="77777777" w:rsidR="00160303" w:rsidRPr="006640C2" w:rsidRDefault="00160303" w:rsidP="00681125">
            <w:pPr>
              <w:tabs>
                <w:tab w:val="clear" w:pos="567"/>
              </w:tabs>
              <w:rPr>
                <w:rFonts w:asciiTheme="minorBidi" w:hAnsiTheme="minorBidi"/>
                <w:sz w:val="20"/>
                <w:szCs w:val="20"/>
              </w:rPr>
            </w:pPr>
          </w:p>
        </w:tc>
        <w:tc>
          <w:tcPr>
            <w:tcW w:w="7400" w:type="dxa"/>
          </w:tcPr>
          <w:p w14:paraId="2047015F" w14:textId="043A0F3E" w:rsidR="00FD3B3A" w:rsidRPr="006640C2" w:rsidRDefault="00FD3B3A" w:rsidP="00681125">
            <w:pPr>
              <w:tabs>
                <w:tab w:val="clear" w:pos="567"/>
              </w:tabs>
              <w:rPr>
                <w:rFonts w:asciiTheme="minorBidi" w:hAnsiTheme="minorBidi"/>
                <w:sz w:val="20"/>
                <w:szCs w:val="20"/>
              </w:rPr>
            </w:pPr>
            <w:r>
              <w:rPr>
                <w:rFonts w:asciiTheme="minorBidi" w:hAnsiTheme="minorBidi"/>
                <w:sz w:val="20"/>
                <w:szCs w:val="20"/>
              </w:rPr>
              <w:t>Представление доклада Исполнительному совету ЮНЕСКО</w:t>
            </w:r>
          </w:p>
        </w:tc>
      </w:tr>
    </w:tbl>
    <w:p w14:paraId="785C5BC6" w14:textId="77777777" w:rsidR="00FD3B3A" w:rsidRPr="006640C2" w:rsidRDefault="00FD3B3A" w:rsidP="00681125">
      <w:pPr>
        <w:tabs>
          <w:tab w:val="clear" w:pos="567"/>
        </w:tabs>
        <w:rPr>
          <w:rFonts w:asciiTheme="minorBidi" w:hAnsiTheme="minorBidi"/>
          <w:sz w:val="20"/>
          <w:szCs w:val="20"/>
        </w:rPr>
      </w:pPr>
    </w:p>
    <w:sectPr w:rsidR="00FD3B3A" w:rsidRPr="006640C2" w:rsidSect="003F7186">
      <w:headerReference w:type="even" r:id="rId11"/>
      <w:headerReference w:type="default" r:id="rId12"/>
      <w:headerReference w:type="first" r:id="rId1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AD4BF" w14:textId="77777777" w:rsidR="0061434D" w:rsidRDefault="0061434D">
      <w:r>
        <w:separator/>
      </w:r>
    </w:p>
  </w:endnote>
  <w:endnote w:type="continuationSeparator" w:id="0">
    <w:p w14:paraId="17416E46" w14:textId="77777777" w:rsidR="0061434D" w:rsidRDefault="0061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EC4B" w14:textId="77777777" w:rsidR="0061434D" w:rsidRDefault="0061434D">
      <w:r>
        <w:separator/>
      </w:r>
    </w:p>
  </w:footnote>
  <w:footnote w:type="continuationSeparator" w:id="0">
    <w:p w14:paraId="0421A8AD" w14:textId="77777777" w:rsidR="0061434D" w:rsidRDefault="00614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C44B" w14:textId="77777777" w:rsidR="00020AA1" w:rsidRPr="00354C1E" w:rsidRDefault="00020AA1">
    <w:pPr>
      <w:pStyle w:val="Header"/>
      <w:rPr>
        <w:szCs w:val="22"/>
        <w:lang w:val="en-US"/>
      </w:rPr>
    </w:pPr>
    <w:r w:rsidRPr="00354C1E">
      <w:rPr>
        <w:lang w:val="en-US"/>
      </w:rPr>
      <w:t>ICG/CARIBE-EWS II/WD __</w:t>
    </w:r>
  </w:p>
  <w:p w14:paraId="7F004AC8" w14:textId="77777777" w:rsidR="00020AA1" w:rsidRPr="00C962F0" w:rsidRDefault="00020AA1">
    <w:pPr>
      <w:pStyle w:val="Header"/>
      <w:rPr>
        <w:szCs w:val="22"/>
      </w:rPr>
    </w:pPr>
    <w: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17BB" w14:textId="77777777" w:rsidR="00020AA1" w:rsidRPr="00746B89" w:rsidRDefault="00020AA1" w:rsidP="00DF2FB9">
    <w:pPr>
      <w:pStyle w:val="Header"/>
      <w:tabs>
        <w:tab w:val="clear" w:pos="8306"/>
      </w:tabs>
      <w:rPr>
        <w:szCs w:val="22"/>
      </w:rPr>
    </w:pPr>
    <w:r>
      <w:t xml:space="preserve">IOC-XXIV/2 Annex </w:t>
    </w:r>
    <w:r>
      <w:rPr>
        <w:szCs w:val="22"/>
        <w:highlight w:val="yellow"/>
      </w:rPr>
      <w:t>__</w:t>
    </w:r>
  </w:p>
  <w:p w14:paraId="69CE61F5" w14:textId="77777777" w:rsidR="00020AA1" w:rsidRPr="00746B89" w:rsidRDefault="00020AA1" w:rsidP="00DF2FB9">
    <w:pPr>
      <w:pStyle w:val="Header"/>
      <w:tabs>
        <w:tab w:val="clear" w:pos="8306"/>
      </w:tabs>
      <w:rPr>
        <w:szCs w:val="22"/>
      </w:rPr>
    </w:pPr>
    <w: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szCs w:val="22"/>
      </w:rPr>
      <w:t>3</w:t>
    </w:r>
    <w:r w:rsidRPr="00746B89">
      <w:rPr>
        <w:rStyle w:val="PageNumber"/>
        <w:szCs w:val="22"/>
      </w:rPr>
      <w:fldChar w:fldCharType="end"/>
    </w:r>
  </w:p>
  <w:p w14:paraId="2D90EC1E"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9504" w14:textId="77777777" w:rsidR="00DB2178" w:rsidRDefault="00B8392A" w:rsidP="00517B47">
    <w:pPr>
      <w:pStyle w:val="Marge"/>
      <w:tabs>
        <w:tab w:val="left" w:pos="5954"/>
        <w:tab w:val="left" w:pos="7560"/>
      </w:tabs>
      <w:spacing w:after="0"/>
      <w:rPr>
        <w:rFonts w:cs="Arial"/>
        <w:b/>
        <w:sz w:val="36"/>
        <w:szCs w:val="36"/>
      </w:rPr>
    </w:pPr>
    <w:r>
      <w:t>Рассылается по списку</w:t>
    </w:r>
    <w:r>
      <w:tab/>
    </w:r>
    <w:r w:rsidRPr="00681125">
      <w:rPr>
        <w:b/>
        <w:sz w:val="32"/>
        <w:szCs w:val="32"/>
      </w:rPr>
      <w:t>IOC/EC-57/4.</w:t>
    </w:r>
    <w:proofErr w:type="gramStart"/>
    <w:r w:rsidRPr="00681125">
      <w:rPr>
        <w:b/>
        <w:sz w:val="32"/>
        <w:szCs w:val="32"/>
      </w:rPr>
      <w:t>7.Doc</w:t>
    </w:r>
    <w:proofErr w:type="gramEnd"/>
    <w:r w:rsidRPr="00681125">
      <w:rPr>
        <w:b/>
        <w:sz w:val="32"/>
        <w:szCs w:val="32"/>
      </w:rPr>
      <w:t>(2)</w:t>
    </w:r>
  </w:p>
  <w:p w14:paraId="699C190D" w14:textId="2479E9A8" w:rsidR="00DB2178" w:rsidRDefault="00B8392A" w:rsidP="00517B47">
    <w:pPr>
      <w:tabs>
        <w:tab w:val="clear" w:pos="567"/>
        <w:tab w:val="left" w:pos="5954"/>
        <w:tab w:val="left" w:pos="7560"/>
      </w:tabs>
      <w:jc w:val="both"/>
      <w:rPr>
        <w:rFonts w:cs="Arial"/>
        <w:szCs w:val="22"/>
      </w:rPr>
    </w:pPr>
    <w:r>
      <w:rPr>
        <w:noProof/>
      </w:rPr>
      <w:drawing>
        <wp:anchor distT="0" distB="0" distL="114300" distR="114300" simplePos="0" relativeHeight="251659264" behindDoc="0" locked="0" layoutInCell="1" allowOverlap="1" wp14:anchorId="4041C9DD" wp14:editId="36EA03B8">
          <wp:simplePos x="0" y="0"/>
          <wp:positionH relativeFrom="column">
            <wp:posOffset>-19685</wp:posOffset>
          </wp:positionH>
          <wp:positionV relativeFrom="paragraph">
            <wp:posOffset>101600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Cs w:val="22"/>
      </w:rPr>
      <w:tab/>
    </w:r>
    <w:r>
      <w:t>Париж, 24 мая 2024 г.</w:t>
    </w:r>
  </w:p>
  <w:p w14:paraId="7332251D" w14:textId="5F5B18D8" w:rsidR="00B8392A" w:rsidRPr="007C710A" w:rsidRDefault="00DB2178" w:rsidP="00517B47">
    <w:pPr>
      <w:tabs>
        <w:tab w:val="clear" w:pos="567"/>
        <w:tab w:val="left" w:pos="5954"/>
        <w:tab w:val="left" w:pos="7560"/>
      </w:tabs>
      <w:jc w:val="both"/>
      <w:rPr>
        <w:rFonts w:cs="Arial"/>
        <w:szCs w:val="22"/>
      </w:rPr>
    </w:pPr>
    <w:r>
      <w:tab/>
      <w:t>Оригинал: английский</w:t>
    </w:r>
  </w:p>
  <w:p w14:paraId="65C6BC2C" w14:textId="77777777" w:rsidR="00B8392A" w:rsidRPr="005E544C"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142DE0E5"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3F195CCD"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4B09F35F"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57CA679D" w14:textId="77777777" w:rsidR="00173F28" w:rsidRDefault="00173F28"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0AF5E5A7"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1677F590" w14:textId="77777777" w:rsidR="00173F28" w:rsidRPr="00966356" w:rsidRDefault="00173F28" w:rsidP="00173F28">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
        <w:szCs w:val="22"/>
      </w:rPr>
    </w:pPr>
    <w:r>
      <w:rPr>
        <w:rFonts w:asciiTheme="minorBidi" w:hAnsiTheme="minorBidi"/>
        <w:b/>
        <w:szCs w:val="22"/>
      </w:rPr>
      <w:t>МЕЖПРАВИТЕЛЬСТВЕННАЯ ОКЕАНОГРАФИЧЕСКАЯ КОМИССИЯ</w:t>
    </w:r>
  </w:p>
  <w:p w14:paraId="13144A24" w14:textId="77777777" w:rsidR="00173F28" w:rsidRPr="00966356" w:rsidRDefault="00173F28" w:rsidP="00173F28">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Cs/>
        <w:szCs w:val="22"/>
      </w:rPr>
    </w:pPr>
    <w:r>
      <w:rPr>
        <w:rFonts w:asciiTheme="minorBidi" w:hAnsiTheme="minorBidi"/>
        <w:bCs/>
        <w:szCs w:val="22"/>
      </w:rPr>
      <w:t>(ЮНЕСКО)</w:t>
    </w:r>
  </w:p>
  <w:p w14:paraId="0C6CFCBB" w14:textId="77777777" w:rsidR="00173F28" w:rsidRPr="00966356" w:rsidRDefault="00173F28" w:rsidP="00173F28">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Cs w:val="22"/>
      </w:rPr>
    </w:pPr>
  </w:p>
  <w:p w14:paraId="4C284782" w14:textId="77777777" w:rsidR="00173F28" w:rsidRPr="00966356" w:rsidRDefault="00173F28" w:rsidP="00173F28">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Theme="minorBidi" w:hAnsiTheme="minorBidi" w:cstheme="minorBidi"/>
        <w:b/>
      </w:rPr>
    </w:pPr>
    <w:r>
      <w:rPr>
        <w:rFonts w:asciiTheme="minorBidi" w:hAnsiTheme="minorBidi"/>
        <w:b/>
      </w:rPr>
      <w:t>Пятьдесят седьмая сессия Исполнительного совета</w:t>
    </w:r>
  </w:p>
  <w:p w14:paraId="404C1B32" w14:textId="77777777" w:rsidR="00173F28" w:rsidRPr="00966356" w:rsidRDefault="00173F28" w:rsidP="00173F28">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rPr>
    </w:pPr>
    <w:r>
      <w:rPr>
        <w:rFonts w:asciiTheme="minorBidi" w:hAnsiTheme="minorBidi"/>
        <w:bCs/>
      </w:rPr>
      <w:t>ЮНЕСКО, Париж, 25-28 июня 2024 г.</w:t>
    </w:r>
  </w:p>
  <w:p w14:paraId="42BC2641" w14:textId="77777777" w:rsidR="00173F28" w:rsidRPr="00966356" w:rsidRDefault="00173F28" w:rsidP="00173F28">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cstheme="minorBidi"/>
        <w:bCs/>
        <w:szCs w:val="22"/>
      </w:rPr>
    </w:pPr>
  </w:p>
  <w:p w14:paraId="47146454" w14:textId="77777777" w:rsidR="00173F28" w:rsidRPr="00966356" w:rsidRDefault="00173F28" w:rsidP="00173F28">
    <w:pPr>
      <w:jc w:val="center"/>
      <w:rPr>
        <w:rFonts w:asciiTheme="minorBidi" w:hAnsiTheme="minorBidi" w:cstheme="minorBidi"/>
        <w:szCs w:val="22"/>
      </w:rPr>
    </w:pPr>
  </w:p>
  <w:p w14:paraId="332AA498" w14:textId="77777777" w:rsidR="00B8392A" w:rsidRPr="005E544C" w:rsidRDefault="00B8392A" w:rsidP="00B8392A">
    <w:pPr>
      <w:jc w:val="center"/>
      <w:rPr>
        <w:rFonts w:cs="Arial"/>
        <w:szCs w:val="22"/>
      </w:rPr>
    </w:pPr>
  </w:p>
  <w:p w14:paraId="05F923FA" w14:textId="47A6984E" w:rsidR="00B8392A" w:rsidRPr="00173F28" w:rsidRDefault="00B8392A" w:rsidP="00B8392A">
    <w:pPr>
      <w:pStyle w:val="Heading7"/>
      <w:tabs>
        <w:tab w:val="clear" w:pos="567"/>
        <w:tab w:val="right" w:pos="9540"/>
      </w:tabs>
      <w:rPr>
        <w:rFonts w:asciiTheme="minorBidi" w:hAnsiTheme="minorBidi" w:cstheme="minorBidi"/>
        <w:szCs w:val="22"/>
      </w:rPr>
    </w:pPr>
    <w:r>
      <w:rPr>
        <w:rFonts w:asciiTheme="minorBidi" w:hAnsiTheme="minorBidi"/>
        <w:sz w:val="24"/>
      </w:rPr>
      <w:t xml:space="preserve">Пункт </w:t>
    </w:r>
    <w:r>
      <w:rPr>
        <w:rFonts w:asciiTheme="minorBidi" w:hAnsiTheme="minorBidi"/>
        <w:b/>
        <w:sz w:val="24"/>
      </w:rPr>
      <w:t>4.7</w:t>
    </w:r>
    <w:r>
      <w:rPr>
        <w:rFonts w:asciiTheme="minorBidi" w:hAnsiTheme="minorBidi"/>
        <w:sz w:val="24"/>
      </w:rPr>
      <w:t xml:space="preserve"> предварительной повестки дня</w:t>
    </w:r>
  </w:p>
  <w:p w14:paraId="41E5EF9C" w14:textId="77777777" w:rsidR="00B8392A" w:rsidRPr="005E544C" w:rsidRDefault="00B8392A" w:rsidP="00B8392A">
    <w:pPr>
      <w:rPr>
        <w:rFonts w:cs="Arial"/>
        <w:szCs w:val="22"/>
      </w:rPr>
    </w:pPr>
  </w:p>
  <w:p w14:paraId="2D25F995" w14:textId="77777777" w:rsidR="00B8392A" w:rsidRPr="005E544C" w:rsidRDefault="00B8392A" w:rsidP="00B8392A">
    <w:pPr>
      <w:rPr>
        <w:rFonts w:cs="Arial"/>
        <w:szCs w:val="22"/>
      </w:rPr>
    </w:pPr>
  </w:p>
  <w:p w14:paraId="52A8F963" w14:textId="62BE4974" w:rsidR="00DB2178" w:rsidRPr="00681125" w:rsidRDefault="00354C1E" w:rsidP="00B8392A">
    <w:pPr>
      <w:pStyle w:val="Docheading"/>
      <w:rPr>
        <w:color w:val="000000"/>
        <w:sz w:val="28"/>
        <w:szCs w:val="28"/>
      </w:rPr>
    </w:pPr>
    <w:r w:rsidRPr="00681125">
      <w:rPr>
        <w:caps w:val="0"/>
        <w:color w:val="000000"/>
        <w:sz w:val="28"/>
        <w:szCs w:val="28"/>
      </w:rPr>
      <w:t xml:space="preserve">Проект круга вопросов, подлежащих среднесрочной оценке </w:t>
    </w:r>
    <w:r w:rsidR="00681125">
      <w:rPr>
        <w:caps w:val="0"/>
        <w:color w:val="000000"/>
        <w:sz w:val="28"/>
        <w:szCs w:val="28"/>
        <w:lang w:val="en-US"/>
      </w:rPr>
      <w:br/>
    </w:r>
    <w:r w:rsidRPr="00681125">
      <w:rPr>
        <w:caps w:val="0"/>
        <w:color w:val="000000"/>
        <w:sz w:val="28"/>
        <w:szCs w:val="28"/>
      </w:rPr>
      <w:t>в рамках Десятилетия, посвященного науке об океане</w:t>
    </w:r>
  </w:p>
  <w:p w14:paraId="6F41D8CF" w14:textId="1532A322" w:rsidR="00020AA1" w:rsidRPr="00B8392A" w:rsidRDefault="00020AA1" w:rsidP="00B83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E5E9" w14:textId="76073623" w:rsidR="00020AA1" w:rsidRPr="00E7152C" w:rsidRDefault="00173F28" w:rsidP="00E7152C">
    <w:pPr>
      <w:pStyle w:val="Header"/>
      <w:tabs>
        <w:tab w:val="clear" w:pos="8306"/>
      </w:tabs>
      <w:rPr>
        <w:rFonts w:cs="Arial"/>
        <w:szCs w:val="22"/>
      </w:rPr>
    </w:pPr>
    <w:r w:rsidRPr="00E7152C">
      <w:rPr>
        <w:szCs w:val="22"/>
      </w:rPr>
      <w:t>IOC/EC-57/4.</w:t>
    </w:r>
    <w:proofErr w:type="gramStart"/>
    <w:r w:rsidRPr="00E7152C">
      <w:rPr>
        <w:szCs w:val="22"/>
      </w:rPr>
      <w:t>7.Doc</w:t>
    </w:r>
    <w:proofErr w:type="gramEnd"/>
    <w:r w:rsidRPr="00E7152C">
      <w:rPr>
        <w:szCs w:val="22"/>
      </w:rPr>
      <w:t>(2)</w:t>
    </w:r>
    <w:r w:rsidR="00E7152C" w:rsidRPr="00E7152C">
      <w:rPr>
        <w:szCs w:val="22"/>
        <w:lang w:val="en-US"/>
      </w:rPr>
      <w:t xml:space="preserve"> – </w:t>
    </w:r>
    <w:proofErr w:type="spellStart"/>
    <w:r w:rsidR="00003B31" w:rsidRPr="00E7152C">
      <w:rPr>
        <w:szCs w:val="22"/>
      </w:rPr>
      <w:t>page</w:t>
    </w:r>
    <w:proofErr w:type="spellEnd"/>
    <w:r w:rsidR="00003B31" w:rsidRPr="00E7152C">
      <w:rPr>
        <w:szCs w:val="22"/>
      </w:rPr>
      <w:t> </w:t>
    </w:r>
    <w:r w:rsidR="00020AA1" w:rsidRPr="00E7152C">
      <w:rPr>
        <w:rStyle w:val="PageNumber"/>
        <w:rFonts w:cs="Arial"/>
        <w:szCs w:val="22"/>
      </w:rPr>
      <w:fldChar w:fldCharType="begin"/>
    </w:r>
    <w:r w:rsidR="00020AA1" w:rsidRPr="00E7152C">
      <w:rPr>
        <w:rStyle w:val="PageNumber"/>
        <w:rFonts w:cs="Arial"/>
        <w:szCs w:val="22"/>
      </w:rPr>
      <w:instrText xml:space="preserve"> PAGE </w:instrText>
    </w:r>
    <w:r w:rsidR="00020AA1" w:rsidRPr="00E7152C">
      <w:rPr>
        <w:rStyle w:val="PageNumber"/>
        <w:rFonts w:cs="Arial"/>
        <w:szCs w:val="22"/>
      </w:rPr>
      <w:fldChar w:fldCharType="separate"/>
    </w:r>
    <w:r w:rsidR="00056F67" w:rsidRPr="00E7152C">
      <w:rPr>
        <w:rStyle w:val="PageNumber"/>
        <w:rFonts w:cs="Arial"/>
        <w:szCs w:val="22"/>
      </w:rPr>
      <w:t>2</w:t>
    </w:r>
    <w:r w:rsidR="00020AA1" w:rsidRPr="00E7152C">
      <w:rPr>
        <w:rStyle w:val="PageNumber"/>
        <w:rFonts w:cs="Arial"/>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B454" w14:textId="6D5A1411" w:rsidR="00020AA1" w:rsidRPr="00E7152C" w:rsidRDefault="00B8392A" w:rsidP="00E7152C">
    <w:pPr>
      <w:pStyle w:val="Header"/>
      <w:tabs>
        <w:tab w:val="clear" w:pos="8306"/>
      </w:tabs>
      <w:ind w:left="6237"/>
      <w:jc w:val="right"/>
      <w:rPr>
        <w:rFonts w:cs="Arial"/>
        <w:szCs w:val="22"/>
      </w:rPr>
    </w:pPr>
    <w:r w:rsidRPr="00E7152C">
      <w:rPr>
        <w:szCs w:val="22"/>
      </w:rPr>
      <w:t>IOC/EC-57/4.</w:t>
    </w:r>
    <w:proofErr w:type="gramStart"/>
    <w:r w:rsidRPr="00E7152C">
      <w:rPr>
        <w:szCs w:val="22"/>
      </w:rPr>
      <w:t>7.Doc</w:t>
    </w:r>
    <w:proofErr w:type="gramEnd"/>
    <w:r w:rsidRPr="00E7152C">
      <w:rPr>
        <w:szCs w:val="22"/>
      </w:rPr>
      <w:t>(2)</w:t>
    </w:r>
    <w:r w:rsidR="00E7152C" w:rsidRPr="00E7152C">
      <w:rPr>
        <w:szCs w:val="22"/>
        <w:lang w:val="en-US"/>
      </w:rPr>
      <w:t xml:space="preserve"> – </w:t>
    </w:r>
    <w:proofErr w:type="spellStart"/>
    <w:r w:rsidR="00003B31" w:rsidRPr="00E7152C">
      <w:rPr>
        <w:szCs w:val="22"/>
      </w:rPr>
      <w:t>page</w:t>
    </w:r>
    <w:proofErr w:type="spellEnd"/>
    <w:r w:rsidR="00003B31" w:rsidRPr="00E7152C">
      <w:rPr>
        <w:szCs w:val="22"/>
      </w:rPr>
      <w:t> </w:t>
    </w:r>
    <w:r w:rsidR="00020AA1" w:rsidRPr="00E7152C">
      <w:rPr>
        <w:rStyle w:val="PageNumber"/>
        <w:rFonts w:cs="Arial"/>
        <w:szCs w:val="22"/>
      </w:rPr>
      <w:fldChar w:fldCharType="begin"/>
    </w:r>
    <w:r w:rsidR="00020AA1" w:rsidRPr="00E7152C">
      <w:rPr>
        <w:rStyle w:val="PageNumber"/>
        <w:rFonts w:cs="Arial"/>
        <w:szCs w:val="22"/>
      </w:rPr>
      <w:instrText xml:space="preserve"> PAGE </w:instrText>
    </w:r>
    <w:r w:rsidR="00020AA1" w:rsidRPr="00E7152C">
      <w:rPr>
        <w:rStyle w:val="PageNumber"/>
        <w:rFonts w:cs="Arial"/>
        <w:szCs w:val="22"/>
      </w:rPr>
      <w:fldChar w:fldCharType="separate"/>
    </w:r>
    <w:r w:rsidR="00056F67" w:rsidRPr="00E7152C">
      <w:rPr>
        <w:rStyle w:val="PageNumber"/>
        <w:rFonts w:cs="Arial"/>
        <w:szCs w:val="22"/>
      </w:rPr>
      <w:t>3</w:t>
    </w:r>
    <w:r w:rsidR="00020AA1" w:rsidRPr="00E7152C">
      <w:rPr>
        <w:rStyle w:val="PageNumber"/>
        <w:rFonts w:cs="Arial"/>
        <w:szCs w:val="22"/>
      </w:rPr>
      <w:fldChar w:fldCharType="end"/>
    </w:r>
  </w:p>
  <w:p w14:paraId="0203C500" w14:textId="77777777" w:rsidR="00020AA1" w:rsidRPr="00003B31" w:rsidRDefault="00020AA1" w:rsidP="00160303">
    <w:pPr>
      <w:pStyle w:val="Header"/>
      <w:ind w:left="7513"/>
      <w:rPr>
        <w:rFonts w:cs="Arial"/>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ABBE" w14:textId="615BFDE3" w:rsidR="00020AA1" w:rsidRPr="00E7152C" w:rsidRDefault="00020AA1" w:rsidP="00294AD5">
    <w:pPr>
      <w:pStyle w:val="Header"/>
      <w:jc w:val="right"/>
      <w:rPr>
        <w:rFonts w:cs="Arial"/>
        <w:szCs w:val="22"/>
      </w:rPr>
    </w:pPr>
    <w:r w:rsidRPr="00E7152C">
      <w:rPr>
        <w:szCs w:val="22"/>
      </w:rPr>
      <w:t>IOC/EC-57/4.</w:t>
    </w:r>
    <w:proofErr w:type="gramStart"/>
    <w:r w:rsidRPr="00E7152C">
      <w:rPr>
        <w:szCs w:val="22"/>
      </w:rPr>
      <w:t>7.Doc</w:t>
    </w:r>
    <w:proofErr w:type="gramEnd"/>
    <w:r w:rsidRPr="00E7152C">
      <w:rPr>
        <w:szCs w:val="2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5333302"/>
    <w:multiLevelType w:val="hybridMultilevel"/>
    <w:tmpl w:val="FEDCC0F6"/>
    <w:lvl w:ilvl="0" w:tplc="FFFFFFFF">
      <w:start w:val="1"/>
      <w:numFmt w:val="lowerRoman"/>
      <w:lvlText w:val="(%1)"/>
      <w:lvlJc w:val="left"/>
      <w:pPr>
        <w:ind w:left="720" w:hanging="720"/>
      </w:pPr>
      <w:rPr>
        <w:rFonts w:hint="default"/>
        <w:b/>
        <w:bCs/>
        <w:i/>
        <w:iCs/>
      </w:rPr>
    </w:lvl>
    <w:lvl w:ilvl="1" w:tplc="5EAC542A">
      <w:start w:val="1"/>
      <w:numFmt w:val="lowerLetter"/>
      <w:lvlText w:val="(%2)"/>
      <w:lvlJc w:val="left"/>
      <w:pPr>
        <w:ind w:left="1080" w:hanging="360"/>
      </w:pPr>
      <w:rPr>
        <w:rFonts w:hint="default"/>
        <w:b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4F08DC"/>
    <w:multiLevelType w:val="hybridMultilevel"/>
    <w:tmpl w:val="87F07B10"/>
    <w:lvl w:ilvl="0" w:tplc="FFFFFFFF">
      <w:start w:val="1"/>
      <w:numFmt w:val="lowerRoman"/>
      <w:lvlText w:val="(%1)"/>
      <w:lvlJc w:val="left"/>
      <w:pPr>
        <w:ind w:left="720" w:hanging="720"/>
      </w:pPr>
      <w:rPr>
        <w:rFonts w:hint="default"/>
        <w:b/>
        <w:bCs/>
        <w:i/>
        <w:iCs/>
      </w:rPr>
    </w:lvl>
    <w:lvl w:ilvl="1" w:tplc="5EAC542A">
      <w:start w:val="1"/>
      <w:numFmt w:val="lowerLetter"/>
      <w:lvlText w:val="(%2)"/>
      <w:lvlJc w:val="left"/>
      <w:pPr>
        <w:ind w:left="1080" w:hanging="360"/>
      </w:pPr>
      <w:rPr>
        <w:rFonts w:hint="default"/>
        <w:b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7C400F7"/>
    <w:multiLevelType w:val="hybridMultilevel"/>
    <w:tmpl w:val="9A5C5D36"/>
    <w:lvl w:ilvl="0" w:tplc="FFFFFFFF">
      <w:start w:val="1"/>
      <w:numFmt w:val="lowerRoman"/>
      <w:lvlText w:val="(%1)"/>
      <w:lvlJc w:val="left"/>
      <w:pPr>
        <w:ind w:left="720" w:hanging="720"/>
      </w:pPr>
      <w:rPr>
        <w:rFonts w:hint="default"/>
        <w:b/>
        <w:bCs/>
        <w:i/>
        <w:iCs/>
      </w:rPr>
    </w:lvl>
    <w:lvl w:ilvl="1" w:tplc="5EAC542A">
      <w:start w:val="1"/>
      <w:numFmt w:val="lowerLetter"/>
      <w:lvlText w:val="(%2)"/>
      <w:lvlJc w:val="left"/>
      <w:pPr>
        <w:ind w:left="1080" w:hanging="360"/>
      </w:pPr>
      <w:rPr>
        <w:rFonts w:hint="default"/>
        <w:b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7" w15:restartNumberingAfterBreak="0">
    <w:nsid w:val="3649600E"/>
    <w:multiLevelType w:val="hybridMultilevel"/>
    <w:tmpl w:val="BA8287F8"/>
    <w:lvl w:ilvl="0" w:tplc="FFFFFFFF">
      <w:start w:val="1"/>
      <w:numFmt w:val="lowerRoman"/>
      <w:lvlText w:val="(%1)"/>
      <w:lvlJc w:val="left"/>
      <w:pPr>
        <w:ind w:left="720" w:hanging="720"/>
      </w:pPr>
      <w:rPr>
        <w:rFonts w:hint="default"/>
        <w:b/>
        <w:bCs/>
        <w:i/>
        <w:iCs/>
      </w:rPr>
    </w:lvl>
    <w:lvl w:ilvl="1" w:tplc="5EAC542A">
      <w:start w:val="1"/>
      <w:numFmt w:val="lowerLetter"/>
      <w:lvlText w:val="(%2)"/>
      <w:lvlJc w:val="left"/>
      <w:pPr>
        <w:ind w:left="1080" w:hanging="360"/>
      </w:pPr>
      <w:rPr>
        <w:rFonts w:hint="default"/>
        <w:b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1C61576"/>
    <w:multiLevelType w:val="hybridMultilevel"/>
    <w:tmpl w:val="61C8B530"/>
    <w:lvl w:ilvl="0" w:tplc="733AD892">
      <w:start w:val="1"/>
      <w:numFmt w:val="lowerRoman"/>
      <w:lvlText w:val="(%1)"/>
      <w:lvlJc w:val="left"/>
      <w:pPr>
        <w:ind w:left="720" w:hanging="720"/>
      </w:pPr>
      <w:rPr>
        <w:rFonts w:hint="default"/>
        <w:b/>
        <w:bCs/>
        <w:i/>
        <w:iCs/>
      </w:rPr>
    </w:lvl>
    <w:lvl w:ilvl="1" w:tplc="040C0019">
      <w:start w:val="1"/>
      <w:numFmt w:val="lowerLetter"/>
      <w:lvlText w:val="%2."/>
      <w:lvlJc w:val="left"/>
      <w:pPr>
        <w:ind w:left="192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4B204C64"/>
    <w:multiLevelType w:val="hybridMultilevel"/>
    <w:tmpl w:val="BCBAA6BE"/>
    <w:lvl w:ilvl="0" w:tplc="3086EF18">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296535"/>
    <w:multiLevelType w:val="hybridMultilevel"/>
    <w:tmpl w:val="EA08FCAE"/>
    <w:lvl w:ilvl="0" w:tplc="FFFFFFFF">
      <w:start w:val="1"/>
      <w:numFmt w:val="lowerRoman"/>
      <w:lvlText w:val="(%1)"/>
      <w:lvlJc w:val="left"/>
      <w:pPr>
        <w:ind w:left="720" w:hanging="720"/>
      </w:pPr>
      <w:rPr>
        <w:rFonts w:hint="default"/>
        <w:b/>
        <w:bCs/>
        <w:i/>
        <w:iCs/>
      </w:rPr>
    </w:lvl>
    <w:lvl w:ilvl="1" w:tplc="5EAC542A">
      <w:start w:val="1"/>
      <w:numFmt w:val="lowerLetter"/>
      <w:lvlText w:val="(%2)"/>
      <w:lvlJc w:val="left"/>
      <w:pPr>
        <w:ind w:left="1080" w:hanging="360"/>
      </w:pPr>
      <w:rPr>
        <w:rFonts w:hint="default"/>
        <w:b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7523353">
    <w:abstractNumId w:val="6"/>
  </w:num>
  <w:num w:numId="2" w16cid:durableId="1126850961">
    <w:abstractNumId w:val="9"/>
  </w:num>
  <w:num w:numId="3" w16cid:durableId="676813241">
    <w:abstractNumId w:val="0"/>
  </w:num>
  <w:num w:numId="4" w16cid:durableId="652441993">
    <w:abstractNumId w:val="2"/>
  </w:num>
  <w:num w:numId="5" w16cid:durableId="1859392821">
    <w:abstractNumId w:val="4"/>
  </w:num>
  <w:num w:numId="6" w16cid:durableId="210460474">
    <w:abstractNumId w:val="9"/>
  </w:num>
  <w:num w:numId="7" w16cid:durableId="1551647552">
    <w:abstractNumId w:val="9"/>
  </w:num>
  <w:num w:numId="8" w16cid:durableId="1373652523">
    <w:abstractNumId w:val="8"/>
  </w:num>
  <w:num w:numId="9" w16cid:durableId="1692874721">
    <w:abstractNumId w:val="9"/>
  </w:num>
  <w:num w:numId="10" w16cid:durableId="762452222">
    <w:abstractNumId w:val="9"/>
  </w:num>
  <w:num w:numId="11" w16cid:durableId="81142879">
    <w:abstractNumId w:val="9"/>
  </w:num>
  <w:num w:numId="12" w16cid:durableId="172502784">
    <w:abstractNumId w:val="9"/>
  </w:num>
  <w:num w:numId="13" w16cid:durableId="1916478482">
    <w:abstractNumId w:val="10"/>
  </w:num>
  <w:num w:numId="14" w16cid:durableId="1106804389">
    <w:abstractNumId w:val="7"/>
  </w:num>
  <w:num w:numId="15" w16cid:durableId="898397847">
    <w:abstractNumId w:val="5"/>
  </w:num>
  <w:num w:numId="16" w16cid:durableId="136454679">
    <w:abstractNumId w:val="1"/>
  </w:num>
  <w:num w:numId="17" w16cid:durableId="5486022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autoHyphenation/>
  <w:hyphenationZone w:val="425"/>
  <w:doNotHyphenateCaps/>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3A"/>
    <w:rsid w:val="00002C5E"/>
    <w:rsid w:val="00003B31"/>
    <w:rsid w:val="00010BBB"/>
    <w:rsid w:val="00020AA1"/>
    <w:rsid w:val="00033295"/>
    <w:rsid w:val="00056F67"/>
    <w:rsid w:val="0007111D"/>
    <w:rsid w:val="000778E9"/>
    <w:rsid w:val="00085D6A"/>
    <w:rsid w:val="000F0254"/>
    <w:rsid w:val="00123719"/>
    <w:rsid w:val="001241D7"/>
    <w:rsid w:val="00137E97"/>
    <w:rsid w:val="001448C4"/>
    <w:rsid w:val="00155393"/>
    <w:rsid w:val="001572C7"/>
    <w:rsid w:val="00160303"/>
    <w:rsid w:val="00167158"/>
    <w:rsid w:val="00173F28"/>
    <w:rsid w:val="00176AA5"/>
    <w:rsid w:val="00196052"/>
    <w:rsid w:val="001B3B24"/>
    <w:rsid w:val="001C6455"/>
    <w:rsid w:val="001E463B"/>
    <w:rsid w:val="0021210D"/>
    <w:rsid w:val="002505DC"/>
    <w:rsid w:val="00294AD5"/>
    <w:rsid w:val="002C7DE3"/>
    <w:rsid w:val="002E0859"/>
    <w:rsid w:val="002F14B3"/>
    <w:rsid w:val="003366EB"/>
    <w:rsid w:val="0034156B"/>
    <w:rsid w:val="00354C1E"/>
    <w:rsid w:val="003561BE"/>
    <w:rsid w:val="003805F5"/>
    <w:rsid w:val="003A7860"/>
    <w:rsid w:val="003D3711"/>
    <w:rsid w:val="003F55CF"/>
    <w:rsid w:val="003F7186"/>
    <w:rsid w:val="004031FB"/>
    <w:rsid w:val="00413F17"/>
    <w:rsid w:val="00424DE6"/>
    <w:rsid w:val="00446465"/>
    <w:rsid w:val="004529B8"/>
    <w:rsid w:val="00467E3F"/>
    <w:rsid w:val="00472B32"/>
    <w:rsid w:val="004A135F"/>
    <w:rsid w:val="004C1625"/>
    <w:rsid w:val="004F7D6C"/>
    <w:rsid w:val="0050614D"/>
    <w:rsid w:val="00517B47"/>
    <w:rsid w:val="00576270"/>
    <w:rsid w:val="0059093A"/>
    <w:rsid w:val="005C7A36"/>
    <w:rsid w:val="005C7D76"/>
    <w:rsid w:val="005E544C"/>
    <w:rsid w:val="005F5FAA"/>
    <w:rsid w:val="006110DA"/>
    <w:rsid w:val="0061434D"/>
    <w:rsid w:val="00616299"/>
    <w:rsid w:val="00633EA5"/>
    <w:rsid w:val="006402B3"/>
    <w:rsid w:val="006640C2"/>
    <w:rsid w:val="00681125"/>
    <w:rsid w:val="006842FA"/>
    <w:rsid w:val="0068682C"/>
    <w:rsid w:val="00690A0C"/>
    <w:rsid w:val="00690FD2"/>
    <w:rsid w:val="00693199"/>
    <w:rsid w:val="006B4B95"/>
    <w:rsid w:val="006C18D9"/>
    <w:rsid w:val="006C6449"/>
    <w:rsid w:val="00737A18"/>
    <w:rsid w:val="00746B89"/>
    <w:rsid w:val="0079212B"/>
    <w:rsid w:val="008048D2"/>
    <w:rsid w:val="0081004E"/>
    <w:rsid w:val="00853565"/>
    <w:rsid w:val="008A6E5C"/>
    <w:rsid w:val="008B384B"/>
    <w:rsid w:val="008D2398"/>
    <w:rsid w:val="008F6942"/>
    <w:rsid w:val="009026D3"/>
    <w:rsid w:val="00993CA4"/>
    <w:rsid w:val="009B63AB"/>
    <w:rsid w:val="009C0A89"/>
    <w:rsid w:val="009C15B1"/>
    <w:rsid w:val="009E6A03"/>
    <w:rsid w:val="009F3A67"/>
    <w:rsid w:val="009F7769"/>
    <w:rsid w:val="00A11697"/>
    <w:rsid w:val="00A25BC8"/>
    <w:rsid w:val="00AB2C67"/>
    <w:rsid w:val="00AC2CDE"/>
    <w:rsid w:val="00AD3D55"/>
    <w:rsid w:val="00B722DE"/>
    <w:rsid w:val="00B83068"/>
    <w:rsid w:val="00B8392A"/>
    <w:rsid w:val="00BD6603"/>
    <w:rsid w:val="00BF069C"/>
    <w:rsid w:val="00BF3835"/>
    <w:rsid w:val="00C1002D"/>
    <w:rsid w:val="00C2635E"/>
    <w:rsid w:val="00C362D6"/>
    <w:rsid w:val="00C3684D"/>
    <w:rsid w:val="00C4032B"/>
    <w:rsid w:val="00C6486C"/>
    <w:rsid w:val="00C648D3"/>
    <w:rsid w:val="00C75B02"/>
    <w:rsid w:val="00C962F0"/>
    <w:rsid w:val="00CE4544"/>
    <w:rsid w:val="00D013ED"/>
    <w:rsid w:val="00D36BDC"/>
    <w:rsid w:val="00D5049E"/>
    <w:rsid w:val="00D55FEC"/>
    <w:rsid w:val="00D61F68"/>
    <w:rsid w:val="00DB2178"/>
    <w:rsid w:val="00DF2FB9"/>
    <w:rsid w:val="00E63DEF"/>
    <w:rsid w:val="00E64936"/>
    <w:rsid w:val="00E7152C"/>
    <w:rsid w:val="00E71746"/>
    <w:rsid w:val="00EE0542"/>
    <w:rsid w:val="00F463F2"/>
    <w:rsid w:val="00F8186D"/>
    <w:rsid w:val="00FD3B3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15161"/>
  <w15:docId w15:val="{33C3A67F-F5DE-4D82-83F4-B5BAA019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354C1E"/>
    <w:pPr>
      <w:keepNext/>
      <w:keepLines/>
      <w:spacing w:after="240"/>
      <w:outlineLvl w:val="2"/>
    </w:pPr>
    <w:rPr>
      <w:rFonts w:asciiTheme="minorBidi" w:eastAsia="Arial Unicode MS" w:hAnsiTheme="minorBidi"/>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402B3"/>
    <w:pPr>
      <w:numPr>
        <w:numId w:val="2"/>
      </w:numPr>
      <w:tabs>
        <w:tab w:val="clear" w:pos="567"/>
        <w:tab w:val="left" w:pos="709"/>
      </w:tabs>
    </w:pPr>
    <w:rPr>
      <w:rFonts w:asciiTheme="minorBidi" w:eastAsia="Arial Unicode MS" w:hAnsiTheme="minorBidi"/>
      <w:szCs w:val="22"/>
    </w:rPr>
  </w:style>
  <w:style w:type="paragraph" w:styleId="BlockText">
    <w:name w:val="Block Text"/>
    <w:basedOn w:val="Normal"/>
    <w:pPr>
      <w:tabs>
        <w:tab w:val="clear" w:pos="567"/>
      </w:tabs>
      <w:snapToGrid/>
      <w:ind w:left="360" w:right="540"/>
      <w:jc w:val="both"/>
    </w:pPr>
    <w:rPr>
      <w:i/>
      <w:iCs/>
      <w:snapToGrid/>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ru-RU"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ru-RU" w:eastAsia="en-US" w:bidi="ar-SA"/>
    </w:rPr>
  </w:style>
  <w:style w:type="character" w:customStyle="1" w:styleId="COIChar">
    <w:name w:val="COI Char"/>
    <w:link w:val="COI"/>
    <w:rsid w:val="006402B3"/>
    <w:rPr>
      <w:rFonts w:asciiTheme="minorBidi" w:eastAsia="Arial Unicode MS" w:hAnsiTheme="minorBidi"/>
      <w:snapToGrid w:val="0"/>
      <w:sz w:val="22"/>
      <w:szCs w:val="22"/>
      <w:lang w:val="ru-RU"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ru-RU"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ru-RU"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ru-RU"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ru-RU"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ru-RU" w:eastAsia="en-US"/>
    </w:rPr>
  </w:style>
  <w:style w:type="paragraph" w:styleId="ListParagraph">
    <w:name w:val="List Paragraph"/>
    <w:basedOn w:val="Normal"/>
    <w:uiPriority w:val="34"/>
    <w:qFormat/>
    <w:rsid w:val="00FD3B3A"/>
    <w:pPr>
      <w:tabs>
        <w:tab w:val="clear" w:pos="567"/>
      </w:tabs>
      <w:snapToGrid/>
      <w:spacing w:after="160" w:line="259" w:lineRule="auto"/>
      <w:ind w:left="720"/>
      <w:contextualSpacing/>
    </w:pPr>
    <w:rPr>
      <w:rFonts w:asciiTheme="minorHAnsi" w:eastAsiaTheme="minorEastAsia" w:hAnsiTheme="minorHAnsi" w:cstheme="minorBidi"/>
      <w:snapToGrid/>
      <w:kern w:val="2"/>
      <w:szCs w:val="22"/>
      <w:lang w:eastAsia="zh-CN"/>
      <w14:ligatures w14:val="standardContextual"/>
    </w:rPr>
  </w:style>
  <w:style w:type="table" w:styleId="TableGrid">
    <w:name w:val="Table Grid"/>
    <w:basedOn w:val="TableNormal"/>
    <w:uiPriority w:val="39"/>
    <w:rsid w:val="00FD3B3A"/>
    <w:rPr>
      <w:rFonts w:asciiTheme="minorHAnsi" w:eastAsiaTheme="minorEastAsia" w:hAnsiTheme="minorHAnsi" w:cstheme="minorBidi"/>
      <w:kern w:val="2"/>
      <w:sz w:val="22"/>
      <w:szCs w:val="2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1F68"/>
    <w:rPr>
      <w:rFonts w:ascii="Arial" w:hAnsi="Arial"/>
      <w:snapToGrid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1</Pages>
  <Words>1484</Words>
  <Characters>10588</Characters>
  <Application>Microsoft Office Word</Application>
  <DocSecurity>0</DocSecurity>
  <Lines>189</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круга вопросов, подлежащих среднесрочной оценке в рамках Десятилетия, посвященного науке об океане_x000d_
</dc:title>
  <dc:subject>IOC/EC-57/4.7.Doc(2)</dc:subject>
  <dc:creator>Boned, Patrice</dc:creator>
  <dc:description/>
  <cp:lastModifiedBy>Mourachova, Alla</cp:lastModifiedBy>
  <cp:revision>7</cp:revision>
  <cp:lastPrinted>2002-06-12T09:28:00Z</cp:lastPrinted>
  <dcterms:created xsi:type="dcterms:W3CDTF">2024-05-30T14:09:00Z</dcterms:created>
  <dcterms:modified xsi:type="dcterms:W3CDTF">2024-05-30T15:07:00Z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2402828</vt:lpwstr>
  </property>
  <property fmtid="{D5CDD505-2E9C-101B-9397-08002B2CF9AE}" pid="3" name="Language">
    <vt:lpwstr>R</vt:lpwstr>
  </property>
</Properties>
</file>