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C02D" w14:textId="77777777" w:rsidR="009F5F54" w:rsidRDefault="009F5F54" w:rsidP="009F5F54">
      <w:r w:rsidRPr="007D2AFC">
        <w:rPr>
          <w:rFonts w:ascii="Arial" w:hAnsi="Arial" w:cs="Arial"/>
          <w:color w:val="000000"/>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9F5F54" w:rsidRPr="00777226" w14:paraId="7AD1A8FE" w14:textId="77777777" w:rsidTr="00B13356">
        <w:trPr>
          <w:jc w:val="center"/>
        </w:trPr>
        <w:tc>
          <w:tcPr>
            <w:tcW w:w="7654" w:type="dxa"/>
            <w:tcMar>
              <w:top w:w="170" w:type="dxa"/>
              <w:left w:w="170" w:type="dxa"/>
              <w:bottom w:w="170" w:type="dxa"/>
              <w:right w:w="170" w:type="dxa"/>
            </w:tcMar>
          </w:tcPr>
          <w:p w14:paraId="6BE04ED1" w14:textId="77777777" w:rsidR="009F5F54" w:rsidRPr="003D2C06" w:rsidRDefault="009F5F54" w:rsidP="00B13356">
            <w:pPr>
              <w:pStyle w:val="Marge"/>
              <w:jc w:val="center"/>
              <w:rPr>
                <w:rFonts w:ascii="Arial" w:hAnsi="Arial" w:cs="Arial"/>
                <w:sz w:val="22"/>
                <w:szCs w:val="22"/>
              </w:rPr>
            </w:pPr>
            <w:r w:rsidRPr="003D2C06">
              <w:rPr>
                <w:rFonts w:ascii="Arial" w:hAnsi="Arial" w:cs="Arial"/>
                <w:sz w:val="22"/>
                <w:szCs w:val="22"/>
                <w:u w:val="single"/>
              </w:rPr>
              <w:t>Summary</w:t>
            </w:r>
          </w:p>
          <w:p w14:paraId="173CAB47" w14:textId="3B41CCCE" w:rsidR="009F5F54" w:rsidRPr="006E161F" w:rsidRDefault="009F5F54" w:rsidP="006E161F">
            <w:pPr>
              <w:pStyle w:val="Marge"/>
              <w:spacing w:after="120"/>
              <w:rPr>
                <w:rFonts w:ascii="Arial" w:hAnsi="Arial" w:cs="Arial"/>
                <w:sz w:val="22"/>
                <w:szCs w:val="22"/>
              </w:rPr>
            </w:pPr>
            <w:r w:rsidRPr="006E161F">
              <w:rPr>
                <w:rFonts w:ascii="Arial" w:hAnsi="Arial" w:cs="Arial"/>
                <w:sz w:val="22"/>
                <w:szCs w:val="22"/>
              </w:rPr>
              <w:t xml:space="preserve">By IOC Decision </w:t>
            </w:r>
            <w:r w:rsidR="00995E4E" w:rsidRPr="006E161F">
              <w:rPr>
                <w:rFonts w:ascii="Arial" w:hAnsi="Arial" w:cs="Arial"/>
                <w:sz w:val="22"/>
                <w:szCs w:val="22"/>
              </w:rPr>
              <w:t>A-32/Dec.4.</w:t>
            </w:r>
            <w:r w:rsidR="0093536D" w:rsidRPr="006E161F">
              <w:rPr>
                <w:rFonts w:ascii="Arial" w:hAnsi="Arial" w:cs="Arial"/>
                <w:sz w:val="22"/>
                <w:szCs w:val="22"/>
              </w:rPr>
              <w:t xml:space="preserve">7, </w:t>
            </w:r>
            <w:r w:rsidRPr="006E161F">
              <w:rPr>
                <w:rFonts w:ascii="Arial" w:hAnsi="Arial" w:cs="Arial"/>
                <w:sz w:val="22"/>
                <w:szCs w:val="22"/>
              </w:rPr>
              <w:t xml:space="preserve">the Assembly at its </w:t>
            </w:r>
            <w:r w:rsidR="00995E4E" w:rsidRPr="006E161F">
              <w:rPr>
                <w:rFonts w:ascii="Arial" w:hAnsi="Arial" w:cs="Arial"/>
                <w:sz w:val="22"/>
                <w:szCs w:val="22"/>
                <w:lang w:val="en-US"/>
              </w:rPr>
              <w:t>32</w:t>
            </w:r>
            <w:r w:rsidR="00995E4E" w:rsidRPr="006E161F">
              <w:rPr>
                <w:rFonts w:ascii="Arial" w:hAnsi="Arial" w:cs="Arial"/>
                <w:sz w:val="22"/>
                <w:szCs w:val="22"/>
                <w:vertAlign w:val="superscript"/>
                <w:lang w:val="en-US"/>
              </w:rPr>
              <w:t>nd</w:t>
            </w:r>
            <w:r w:rsidR="00995E4E" w:rsidRPr="006E161F">
              <w:rPr>
                <w:rFonts w:ascii="Arial" w:hAnsi="Arial" w:cs="Arial"/>
                <w:sz w:val="22"/>
                <w:szCs w:val="22"/>
                <w:lang w:val="en-US"/>
              </w:rPr>
              <w:t xml:space="preserve"> </w:t>
            </w:r>
            <w:r w:rsidRPr="006E161F">
              <w:rPr>
                <w:rFonts w:ascii="Arial" w:hAnsi="Arial" w:cs="Arial"/>
                <w:sz w:val="22"/>
                <w:szCs w:val="22"/>
              </w:rPr>
              <w:t xml:space="preserve">session </w:t>
            </w:r>
            <w:r w:rsidR="0093536D" w:rsidRPr="006E161F">
              <w:rPr>
                <w:rFonts w:ascii="Arial" w:hAnsi="Arial" w:cs="Arial"/>
                <w:sz w:val="22"/>
                <w:szCs w:val="22"/>
              </w:rPr>
              <w:t>took note of the scope and process for developing the IOC-wide Strategy on Sustainable Ocean Planning and Management for the period 2024–2030</w:t>
            </w:r>
            <w:r w:rsidR="006E161F" w:rsidRPr="006E161F">
              <w:rPr>
                <w:rFonts w:ascii="Arial" w:hAnsi="Arial" w:cs="Arial"/>
                <w:sz w:val="22"/>
                <w:szCs w:val="22"/>
              </w:rPr>
              <w:t xml:space="preserve"> through document </w:t>
            </w:r>
            <w:hyperlink r:id="rId11" w:history="1">
              <w:r w:rsidR="006E161F" w:rsidRPr="004C580B">
                <w:rPr>
                  <w:rStyle w:val="Hyperlink"/>
                  <w:rFonts w:ascii="Arial" w:hAnsi="Arial" w:cs="Arial"/>
                  <w:sz w:val="22"/>
                  <w:szCs w:val="22"/>
                </w:rPr>
                <w:t>IOC/A-32/4.7.Doc(1)</w:t>
              </w:r>
            </w:hyperlink>
            <w:r w:rsidR="0093536D" w:rsidRPr="006E161F">
              <w:rPr>
                <w:rFonts w:ascii="Arial" w:hAnsi="Arial" w:cs="Arial"/>
                <w:sz w:val="22"/>
                <w:szCs w:val="22"/>
              </w:rPr>
              <w:t>, and requested the Secretariat to collect input</w:t>
            </w:r>
            <w:r w:rsidR="006E161F" w:rsidRPr="006E161F">
              <w:rPr>
                <w:rFonts w:ascii="Arial" w:hAnsi="Arial" w:cs="Arial"/>
                <w:sz w:val="22"/>
                <w:szCs w:val="22"/>
              </w:rPr>
              <w:t xml:space="preserve"> from</w:t>
            </w:r>
            <w:r w:rsidR="0093536D" w:rsidRPr="006E161F">
              <w:rPr>
                <w:rFonts w:ascii="Arial" w:hAnsi="Arial" w:cs="Arial"/>
                <w:sz w:val="22"/>
                <w:szCs w:val="22"/>
              </w:rPr>
              <w:t xml:space="preserve"> Member States</w:t>
            </w:r>
            <w:r w:rsidR="006E161F" w:rsidRPr="006E161F">
              <w:rPr>
                <w:rFonts w:ascii="Arial" w:hAnsi="Arial" w:cs="Arial"/>
                <w:sz w:val="22"/>
                <w:szCs w:val="22"/>
              </w:rPr>
              <w:t>,</w:t>
            </w:r>
            <w:r w:rsidR="0093536D" w:rsidRPr="006E161F">
              <w:rPr>
                <w:rFonts w:ascii="Arial" w:hAnsi="Arial" w:cs="Arial"/>
                <w:sz w:val="22"/>
                <w:szCs w:val="22"/>
              </w:rPr>
              <w:t xml:space="preserve"> </w:t>
            </w:r>
            <w:r w:rsidR="006E161F" w:rsidRPr="006E161F">
              <w:rPr>
                <w:rFonts w:ascii="Arial" w:hAnsi="Arial" w:cs="Arial"/>
                <w:sz w:val="22"/>
                <w:szCs w:val="22"/>
              </w:rPr>
              <w:t xml:space="preserve">IOC programmes and technical bodies, and other relevant stakeholders, and to present a revised document </w:t>
            </w:r>
            <w:r w:rsidR="0093536D" w:rsidRPr="006E161F">
              <w:rPr>
                <w:rFonts w:ascii="Arial" w:hAnsi="Arial" w:cs="Arial"/>
                <w:sz w:val="22"/>
                <w:szCs w:val="22"/>
              </w:rPr>
              <w:t>to the IOC Executive Council at its 57th session.</w:t>
            </w:r>
            <w:r w:rsidRPr="006E161F">
              <w:rPr>
                <w:rFonts w:ascii="Arial" w:hAnsi="Arial" w:cs="Arial"/>
                <w:sz w:val="22"/>
                <w:szCs w:val="22"/>
              </w:rPr>
              <w:t xml:space="preserve"> </w:t>
            </w:r>
          </w:p>
          <w:p w14:paraId="51EB9413" w14:textId="4FA8ECCB" w:rsidR="006E161F" w:rsidRDefault="009F5F54" w:rsidP="006E161F">
            <w:pPr>
              <w:pStyle w:val="Marge"/>
              <w:spacing w:after="120"/>
              <w:rPr>
                <w:rFonts w:ascii="Arial" w:hAnsi="Arial" w:cs="Arial"/>
                <w:sz w:val="22"/>
                <w:szCs w:val="22"/>
              </w:rPr>
            </w:pPr>
            <w:r w:rsidRPr="006E161F">
              <w:rPr>
                <w:rFonts w:ascii="Arial" w:hAnsi="Arial" w:cs="Arial"/>
                <w:sz w:val="22"/>
                <w:szCs w:val="22"/>
              </w:rPr>
              <w:t xml:space="preserve">The present document </w:t>
            </w:r>
            <w:r w:rsidR="006E161F" w:rsidRPr="006E161F">
              <w:rPr>
                <w:rFonts w:ascii="Arial" w:hAnsi="Arial" w:cs="Arial"/>
                <w:sz w:val="22"/>
                <w:szCs w:val="22"/>
              </w:rPr>
              <w:t xml:space="preserve">elaborated on the basis of document IOC/A-32/4.7.Doc(1), was further enriched by soliciting inputs through IOC </w:t>
            </w:r>
            <w:r w:rsidR="006E161F" w:rsidRPr="006E161F">
              <w:rPr>
                <w:rFonts w:ascii="Arial" w:hAnsi="Arial" w:cs="Arial"/>
              </w:rPr>
              <w:t xml:space="preserve">Circular Letter </w:t>
            </w:r>
            <w:hyperlink r:id="rId12" w:history="1">
              <w:r w:rsidR="006E161F" w:rsidRPr="00BB2547">
                <w:rPr>
                  <w:rStyle w:val="Hyperlink"/>
                  <w:rFonts w:ascii="Arial" w:hAnsi="Arial" w:cs="Arial"/>
                  <w:sz w:val="22"/>
                  <w:szCs w:val="22"/>
                </w:rPr>
                <w:t>2968</w:t>
              </w:r>
            </w:hyperlink>
            <w:r w:rsidR="006E161F" w:rsidRPr="00437BDF">
              <w:rPr>
                <w:rFonts w:ascii="Arial" w:hAnsi="Arial" w:cs="Arial"/>
                <w:color w:val="000000" w:themeColor="text1"/>
                <w:sz w:val="22"/>
                <w:szCs w:val="22"/>
              </w:rPr>
              <w:t xml:space="preserve"> </w:t>
            </w:r>
            <w:r w:rsidR="006E161F" w:rsidRPr="006E161F">
              <w:rPr>
                <w:rFonts w:ascii="Arial" w:hAnsi="Arial" w:cs="Arial"/>
                <w:sz w:val="22"/>
                <w:szCs w:val="22"/>
              </w:rPr>
              <w:t xml:space="preserve">and a survey which was developed and rolled out to better understand the existing landscape in terms of sustainable ocean planning and management and identify needs of stakeholders in terms of technical and scientific support. </w:t>
            </w:r>
            <w:r w:rsidR="006E161F">
              <w:rPr>
                <w:rFonts w:ascii="Arial" w:hAnsi="Arial" w:cs="Arial"/>
                <w:sz w:val="22"/>
                <w:szCs w:val="22"/>
              </w:rPr>
              <w:t xml:space="preserve">Inputs received are </w:t>
            </w:r>
            <w:r w:rsidR="00437BDF">
              <w:rPr>
                <w:rFonts w:ascii="Arial" w:hAnsi="Arial" w:cs="Arial"/>
                <w:sz w:val="22"/>
                <w:szCs w:val="22"/>
              </w:rPr>
              <w:t>synthesized</w:t>
            </w:r>
            <w:r w:rsidR="006E161F">
              <w:rPr>
                <w:rFonts w:ascii="Arial" w:hAnsi="Arial" w:cs="Arial"/>
                <w:sz w:val="22"/>
                <w:szCs w:val="22"/>
              </w:rPr>
              <w:t xml:space="preserve"> in document IOC/INF-1537 and its addendum. </w:t>
            </w:r>
          </w:p>
          <w:p w14:paraId="1B14B711" w14:textId="686C092B" w:rsidR="00440828" w:rsidRPr="006E161F" w:rsidRDefault="006E161F" w:rsidP="00440828">
            <w:pPr>
              <w:pStyle w:val="Marge"/>
              <w:spacing w:after="120"/>
              <w:rPr>
                <w:rFonts w:ascii="Arial" w:hAnsi="Arial" w:cs="Arial"/>
                <w:sz w:val="22"/>
                <w:szCs w:val="22"/>
              </w:rPr>
            </w:pPr>
            <w:r>
              <w:rPr>
                <w:rFonts w:ascii="Arial" w:hAnsi="Arial" w:cs="Arial"/>
                <w:sz w:val="22"/>
                <w:szCs w:val="22"/>
              </w:rPr>
              <w:t xml:space="preserve">Two online </w:t>
            </w:r>
            <w:r w:rsidR="004C580B">
              <w:rPr>
                <w:rFonts w:ascii="Arial" w:hAnsi="Arial" w:cs="Arial"/>
                <w:sz w:val="22"/>
                <w:szCs w:val="22"/>
              </w:rPr>
              <w:t>consultation meeting</w:t>
            </w:r>
            <w:r>
              <w:rPr>
                <w:rFonts w:ascii="Arial" w:hAnsi="Arial" w:cs="Arial"/>
                <w:sz w:val="22"/>
                <w:szCs w:val="22"/>
              </w:rPr>
              <w:t>s were organized in May 2024 to collect additional comments from IOC Member States on the present document</w:t>
            </w:r>
            <w:r w:rsidR="00437BDF">
              <w:rPr>
                <w:rFonts w:ascii="Arial" w:hAnsi="Arial" w:cs="Arial"/>
                <w:sz w:val="22"/>
                <w:szCs w:val="22"/>
              </w:rPr>
              <w:t>.</w:t>
            </w:r>
            <w:r w:rsidR="00440828">
              <w:rPr>
                <w:rFonts w:ascii="Arial" w:hAnsi="Arial" w:cs="Arial"/>
                <w:sz w:val="22"/>
                <w:szCs w:val="22"/>
              </w:rPr>
              <w:t xml:space="preserve"> The Strategy foresees the establishment of an IOC Working Group on Sustainable Ocean Planning and Management to </w:t>
            </w:r>
            <w:r w:rsidR="00440828">
              <w:rPr>
                <w:rFonts w:ascii="Arial" w:hAnsi="Arial" w:cs="Arial"/>
                <w:color w:val="000000" w:themeColor="text1"/>
                <w:sz w:val="22"/>
                <w:szCs w:val="22"/>
                <w:highlight w:val="white"/>
              </w:rPr>
              <w:t>guide</w:t>
            </w:r>
            <w:r w:rsidR="00440828" w:rsidRPr="003330BA">
              <w:rPr>
                <w:rFonts w:ascii="Arial" w:hAnsi="Arial" w:cs="Arial"/>
                <w:color w:val="000000" w:themeColor="text1"/>
                <w:sz w:val="22"/>
                <w:szCs w:val="22"/>
                <w:highlight w:val="white"/>
              </w:rPr>
              <w:t xml:space="preserve"> </w:t>
            </w:r>
            <w:r w:rsidR="00440828">
              <w:rPr>
                <w:rFonts w:ascii="Arial" w:hAnsi="Arial" w:cs="Arial"/>
                <w:color w:val="000000" w:themeColor="text1"/>
                <w:sz w:val="22"/>
                <w:szCs w:val="22"/>
              </w:rPr>
              <w:t>its implementation.</w:t>
            </w:r>
          </w:p>
          <w:p w14:paraId="46CE7E57" w14:textId="43316502" w:rsidR="009F5F54" w:rsidRPr="003D2C06" w:rsidRDefault="009F5F54" w:rsidP="00A84818">
            <w:pPr>
              <w:pStyle w:val="Marge"/>
              <w:spacing w:after="120"/>
              <w:rPr>
                <w:rFonts w:ascii="Arial" w:hAnsi="Arial" w:cs="Arial"/>
                <w:sz w:val="22"/>
                <w:szCs w:val="22"/>
                <w:u w:val="single"/>
              </w:rPr>
            </w:pPr>
            <w:r w:rsidRPr="003D2C06">
              <w:rPr>
                <w:rFonts w:ascii="Arial" w:hAnsi="Arial" w:cs="Arial"/>
                <w:sz w:val="22"/>
                <w:szCs w:val="22"/>
                <w:u w:val="single"/>
              </w:rPr>
              <w:t>The proposed decision</w:t>
            </w:r>
            <w:r w:rsidRPr="003D2C06">
              <w:rPr>
                <w:rFonts w:ascii="Arial" w:hAnsi="Arial" w:cs="Arial"/>
                <w:sz w:val="22"/>
                <w:szCs w:val="22"/>
              </w:rPr>
              <w:t xml:space="preserve"> is referenced as</w:t>
            </w:r>
            <w:r w:rsidR="00C20CDD" w:rsidRPr="00FA4098">
              <w:rPr>
                <w:rFonts w:ascii="Arial" w:hAnsi="Arial" w:cs="Arial"/>
                <w:sz w:val="22"/>
                <w:szCs w:val="22"/>
              </w:rPr>
              <w:t xml:space="preserve"> </w:t>
            </w:r>
            <w:r w:rsidR="00A57577" w:rsidRPr="00FA4098">
              <w:rPr>
                <w:rFonts w:ascii="Arial" w:hAnsi="Arial" w:cs="Arial"/>
                <w:sz w:val="22"/>
                <w:szCs w:val="22"/>
              </w:rPr>
              <w:t>EC-57/</w:t>
            </w:r>
            <w:r w:rsidR="00C20CDD" w:rsidRPr="00FA4098">
              <w:rPr>
                <w:rFonts w:ascii="Arial" w:hAnsi="Arial" w:cs="Arial"/>
                <w:sz w:val="22"/>
                <w:szCs w:val="22"/>
              </w:rPr>
              <w:t>Dec.</w:t>
            </w:r>
            <w:r w:rsidR="00A57577" w:rsidRPr="00FA4098">
              <w:rPr>
                <w:rFonts w:ascii="Arial" w:hAnsi="Arial" w:cs="Arial"/>
                <w:sz w:val="22"/>
                <w:szCs w:val="22"/>
              </w:rPr>
              <w:t>4.</w:t>
            </w:r>
            <w:r w:rsidR="0093536D">
              <w:rPr>
                <w:rFonts w:ascii="Arial" w:hAnsi="Arial" w:cs="Arial"/>
                <w:sz w:val="22"/>
                <w:szCs w:val="22"/>
              </w:rPr>
              <w:t>3</w:t>
            </w:r>
            <w:r w:rsidR="0039753F" w:rsidRPr="00FA4098">
              <w:rPr>
                <w:rFonts w:ascii="Arial" w:hAnsi="Arial" w:cs="Arial"/>
                <w:sz w:val="22"/>
                <w:szCs w:val="22"/>
              </w:rPr>
              <w:t xml:space="preserve"> </w:t>
            </w:r>
            <w:r w:rsidRPr="003D2C06">
              <w:rPr>
                <w:rFonts w:ascii="Arial" w:hAnsi="Arial" w:cs="Arial"/>
                <w:sz w:val="22"/>
                <w:szCs w:val="22"/>
              </w:rPr>
              <w:t xml:space="preserve">in the Action Paper </w:t>
            </w:r>
            <w:r w:rsidR="00FA4098">
              <w:rPr>
                <w:rFonts w:ascii="Arial" w:hAnsi="Arial" w:cs="Arial"/>
                <w:sz w:val="22"/>
                <w:szCs w:val="22"/>
              </w:rPr>
              <w:t xml:space="preserve">for the session </w:t>
            </w:r>
            <w:r w:rsidRPr="003D2C06">
              <w:rPr>
                <w:rFonts w:ascii="Arial" w:hAnsi="Arial" w:cs="Arial"/>
                <w:sz w:val="22"/>
                <w:szCs w:val="22"/>
              </w:rPr>
              <w:t>(document IOC</w:t>
            </w:r>
            <w:r w:rsidR="00A57577" w:rsidRPr="003D2C06">
              <w:rPr>
                <w:rFonts w:ascii="Arial" w:hAnsi="Arial" w:cs="Arial"/>
                <w:sz w:val="22"/>
                <w:szCs w:val="22"/>
                <w:lang w:val="en-US"/>
              </w:rPr>
              <w:t>/EC-5</w:t>
            </w:r>
            <w:r w:rsidR="00966356">
              <w:rPr>
                <w:rFonts w:ascii="Arial" w:hAnsi="Arial" w:cs="Arial"/>
                <w:sz w:val="22"/>
                <w:szCs w:val="22"/>
                <w:lang w:val="en-US"/>
              </w:rPr>
              <w:t>7</w:t>
            </w:r>
            <w:r w:rsidR="00A57577" w:rsidRPr="003D2C06">
              <w:rPr>
                <w:rFonts w:ascii="Arial" w:hAnsi="Arial" w:cs="Arial"/>
                <w:sz w:val="22"/>
                <w:szCs w:val="22"/>
                <w:lang w:val="en-US"/>
              </w:rPr>
              <w:t xml:space="preserve">/AP </w:t>
            </w:r>
            <w:proofErr w:type="spellStart"/>
            <w:r w:rsidR="00BB2547">
              <w:rPr>
                <w:rFonts w:ascii="Arial" w:hAnsi="Arial" w:cs="Arial"/>
                <w:sz w:val="22"/>
                <w:szCs w:val="22"/>
                <w:lang w:val="en-US"/>
              </w:rPr>
              <w:t>Prov.</w:t>
            </w:r>
            <w:r w:rsidR="00E66262">
              <w:rPr>
                <w:rFonts w:ascii="Arial" w:hAnsi="Arial" w:cs="Arial"/>
                <w:sz w:val="22"/>
                <w:szCs w:val="22"/>
                <w:lang w:val="en-US"/>
              </w:rPr>
              <w:t>Rev</w:t>
            </w:r>
            <w:proofErr w:type="spellEnd"/>
            <w:r w:rsidR="00E66262">
              <w:rPr>
                <w:rFonts w:ascii="Arial" w:hAnsi="Arial" w:cs="Arial"/>
                <w:sz w:val="22"/>
                <w:szCs w:val="22"/>
                <w:lang w:val="en-US"/>
              </w:rPr>
              <w:t>.</w:t>
            </w:r>
            <w:r w:rsidRPr="003D2C06">
              <w:rPr>
                <w:rFonts w:ascii="Arial" w:hAnsi="Arial" w:cs="Arial"/>
                <w:sz w:val="22"/>
                <w:szCs w:val="22"/>
              </w:rPr>
              <w:t>)</w:t>
            </w:r>
            <w:r w:rsidR="00242073">
              <w:rPr>
                <w:rFonts w:ascii="Arial" w:hAnsi="Arial" w:cs="Arial"/>
                <w:sz w:val="22"/>
                <w:szCs w:val="22"/>
              </w:rPr>
              <w:t>.</w:t>
            </w:r>
          </w:p>
        </w:tc>
      </w:tr>
    </w:tbl>
    <w:p w14:paraId="709888C1" w14:textId="565F539F" w:rsidR="009F5F54" w:rsidRDefault="009F5F54" w:rsidP="009F5F54"/>
    <w:p w14:paraId="46E039E6" w14:textId="62D93508" w:rsidR="00947891" w:rsidRPr="00C54645" w:rsidRDefault="009F5F54" w:rsidP="00C54645">
      <w:pPr>
        <w:pStyle w:val="Heading2"/>
        <w:tabs>
          <w:tab w:val="left" w:pos="737"/>
        </w:tabs>
        <w:snapToGrid w:val="0"/>
        <w:spacing w:before="0" w:after="240"/>
        <w:rPr>
          <w:rFonts w:cs="Arial"/>
          <w:bCs/>
        </w:rPr>
      </w:pPr>
      <w:r>
        <w:br w:type="page"/>
      </w:r>
      <w:bookmarkStart w:id="0" w:name="_Toc130909576"/>
    </w:p>
    <w:bookmarkEnd w:id="0"/>
    <w:p w14:paraId="1D3005E8" w14:textId="4E272B60" w:rsidR="00CA4328" w:rsidRDefault="00CA4328" w:rsidP="00C54645"/>
    <w:p w14:paraId="5DED30B3" w14:textId="77777777" w:rsidR="00C54645" w:rsidRPr="00716ED5" w:rsidRDefault="00C54645" w:rsidP="00716ED5">
      <w:pPr>
        <w:keepNext/>
        <w:keepLines/>
        <w:pBdr>
          <w:top w:val="nil"/>
          <w:left w:val="nil"/>
          <w:bottom w:val="single" w:sz="4" w:space="1" w:color="auto"/>
          <w:right w:val="nil"/>
          <w:between w:val="nil"/>
        </w:pBdr>
        <w:spacing w:before="480" w:after="360"/>
        <w:rPr>
          <w:rFonts w:asciiTheme="minorBidi" w:eastAsia="Georgia" w:hAnsiTheme="minorBidi" w:cstheme="minorBidi"/>
          <w:color w:val="000000"/>
        </w:rPr>
      </w:pPr>
      <w:r w:rsidRPr="00716ED5">
        <w:rPr>
          <w:rFonts w:asciiTheme="minorBidi" w:eastAsia="Georgia" w:hAnsiTheme="minorBidi" w:cstheme="minorBidi"/>
          <w:color w:val="000000"/>
        </w:rPr>
        <w:t>Table of Contents</w:t>
      </w:r>
    </w:p>
    <w:bookmarkStart w:id="1" w:name="_heading=h.3znysh7" w:colFirst="0" w:colLast="0" w:displacedByCustomXml="next"/>
    <w:bookmarkEnd w:id="1" w:displacedByCustomXml="next"/>
    <w:bookmarkStart w:id="2" w:name="_heading=h.d9g27omy57kv" w:colFirst="0" w:colLast="0" w:displacedByCustomXml="next"/>
    <w:bookmarkEnd w:id="2" w:displacedByCustomXml="next"/>
    <w:sdt>
      <w:sdtPr>
        <w:id w:val="1928926375"/>
        <w:docPartObj>
          <w:docPartGallery w:val="Table of Contents"/>
          <w:docPartUnique/>
        </w:docPartObj>
      </w:sdtPr>
      <w:sdtEndPr>
        <w:rPr>
          <w:rFonts w:ascii="Times New Roman" w:eastAsia="Times New Roman" w:hAnsi="Times New Roman" w:cs="Times New Roman"/>
          <w:b/>
          <w:bCs/>
          <w:noProof/>
          <w:color w:val="auto"/>
          <w:sz w:val="24"/>
          <w:szCs w:val="24"/>
          <w:lang w:val="en-GB" w:eastAsia="en-GB"/>
        </w:rPr>
      </w:sdtEndPr>
      <w:sdtContent>
        <w:p w14:paraId="11180C7A" w14:textId="431E4124" w:rsidR="00B46C66" w:rsidRPr="00B46C66" w:rsidRDefault="00B46C66" w:rsidP="00B46C66">
          <w:pPr>
            <w:pStyle w:val="TOCHeading"/>
            <w:spacing w:before="0" w:after="240" w:line="240" w:lineRule="auto"/>
            <w:rPr>
              <w:rFonts w:asciiTheme="minorBidi" w:eastAsiaTheme="minorEastAsia" w:hAnsiTheme="minorBidi" w:cstheme="minorBidi"/>
              <w:smallCaps/>
              <w:noProof/>
              <w:kern w:val="2"/>
              <w:sz w:val="22"/>
              <w:szCs w:val="22"/>
              <w:lang w:eastAsia="zh-CN"/>
              <w14:ligatures w14:val="standardContextual"/>
            </w:rPr>
          </w:pPr>
          <w:r w:rsidRPr="00B46C66">
            <w:rPr>
              <w:rFonts w:asciiTheme="minorBidi" w:hAnsiTheme="minorBidi" w:cstheme="minorBidi"/>
              <w:sz w:val="22"/>
              <w:szCs w:val="22"/>
            </w:rPr>
            <w:fldChar w:fldCharType="begin"/>
          </w:r>
          <w:r w:rsidRPr="00B46C66">
            <w:rPr>
              <w:rFonts w:asciiTheme="minorBidi" w:hAnsiTheme="minorBidi" w:cstheme="minorBidi"/>
              <w:sz w:val="22"/>
              <w:szCs w:val="22"/>
            </w:rPr>
            <w:instrText xml:space="preserve"> TOC \o "1-3" \h \z \u </w:instrText>
          </w:r>
          <w:r w:rsidRPr="00B46C66">
            <w:rPr>
              <w:rFonts w:asciiTheme="minorBidi" w:hAnsiTheme="minorBidi" w:cstheme="minorBidi"/>
              <w:sz w:val="22"/>
              <w:szCs w:val="22"/>
            </w:rPr>
            <w:fldChar w:fldCharType="separate"/>
          </w:r>
        </w:p>
        <w:p w14:paraId="62A35326" w14:textId="387471B0" w:rsidR="00B46C66" w:rsidRPr="00B46C66" w:rsidRDefault="00B46C66" w:rsidP="00B46C66">
          <w:pPr>
            <w:pStyle w:val="TOC2"/>
            <w:tabs>
              <w:tab w:val="left" w:pos="720"/>
              <w:tab w:val="right" w:leader="dot" w:pos="9621"/>
            </w:tabs>
            <w:spacing w:after="240"/>
            <w:rPr>
              <w:rFonts w:asciiTheme="minorBidi" w:hAnsiTheme="minorBidi" w:cstheme="minorBidi"/>
              <w:noProof/>
              <w:sz w:val="22"/>
              <w:szCs w:val="22"/>
            </w:rPr>
          </w:pPr>
          <w:hyperlink w:anchor="_Toc168325788" w:history="1">
            <w:r w:rsidRPr="00B46C66">
              <w:rPr>
                <w:rStyle w:val="Hyperlink"/>
                <w:rFonts w:asciiTheme="minorBidi" w:hAnsiTheme="minorBidi" w:cstheme="minorBidi"/>
                <w:b/>
                <w:bCs/>
                <w:noProof/>
                <w:sz w:val="22"/>
                <w:szCs w:val="22"/>
              </w:rPr>
              <w:t>I.</w:t>
            </w:r>
            <w:r w:rsidRPr="00B46C66">
              <w:rPr>
                <w:rFonts w:asciiTheme="minorBidi" w:hAnsiTheme="minorBidi" w:cstheme="minorBidi"/>
                <w:noProof/>
                <w:sz w:val="22"/>
                <w:szCs w:val="22"/>
              </w:rPr>
              <w:tab/>
            </w:r>
            <w:r w:rsidRPr="00B46C66">
              <w:rPr>
                <w:rStyle w:val="Hyperlink"/>
                <w:rFonts w:asciiTheme="minorBidi" w:hAnsiTheme="minorBidi" w:cstheme="minorBidi"/>
                <w:b/>
                <w:bCs/>
                <w:noProof/>
                <w:sz w:val="22"/>
                <w:szCs w:val="22"/>
              </w:rPr>
              <w:t>Introduction</w:t>
            </w:r>
            <w:r w:rsidRPr="00B46C66">
              <w:rPr>
                <w:rFonts w:asciiTheme="minorBidi" w:hAnsiTheme="minorBidi" w:cstheme="minorBidi"/>
                <w:noProof/>
                <w:webHidden/>
                <w:sz w:val="22"/>
                <w:szCs w:val="22"/>
              </w:rPr>
              <w:tab/>
            </w:r>
            <w:r w:rsidRPr="00B46C66">
              <w:rPr>
                <w:rFonts w:asciiTheme="minorBidi" w:hAnsiTheme="minorBidi" w:cstheme="minorBidi"/>
                <w:noProof/>
                <w:webHidden/>
                <w:sz w:val="22"/>
                <w:szCs w:val="22"/>
              </w:rPr>
              <w:fldChar w:fldCharType="begin"/>
            </w:r>
            <w:r w:rsidRPr="00B46C66">
              <w:rPr>
                <w:rFonts w:asciiTheme="minorBidi" w:hAnsiTheme="minorBidi" w:cstheme="minorBidi"/>
                <w:noProof/>
                <w:webHidden/>
                <w:sz w:val="22"/>
                <w:szCs w:val="22"/>
              </w:rPr>
              <w:instrText xml:space="preserve"> PAGEREF _Toc168325788 \h </w:instrText>
            </w:r>
            <w:r w:rsidRPr="00B46C66">
              <w:rPr>
                <w:rFonts w:asciiTheme="minorBidi" w:hAnsiTheme="minorBidi" w:cstheme="minorBidi"/>
                <w:noProof/>
                <w:webHidden/>
                <w:sz w:val="22"/>
                <w:szCs w:val="22"/>
              </w:rPr>
            </w:r>
            <w:r w:rsidRPr="00B46C66">
              <w:rPr>
                <w:rFonts w:asciiTheme="minorBidi" w:hAnsiTheme="minorBidi" w:cstheme="minorBidi"/>
                <w:noProof/>
                <w:webHidden/>
                <w:sz w:val="22"/>
                <w:szCs w:val="22"/>
              </w:rPr>
              <w:fldChar w:fldCharType="separate"/>
            </w:r>
            <w:r w:rsidRPr="00B46C66">
              <w:rPr>
                <w:rFonts w:asciiTheme="minorBidi" w:hAnsiTheme="minorBidi" w:cstheme="minorBidi"/>
                <w:noProof/>
                <w:webHidden/>
                <w:sz w:val="22"/>
                <w:szCs w:val="22"/>
              </w:rPr>
              <w:t>3</w:t>
            </w:r>
            <w:r w:rsidRPr="00B46C66">
              <w:rPr>
                <w:rFonts w:asciiTheme="minorBidi" w:hAnsiTheme="minorBidi" w:cstheme="minorBidi"/>
                <w:noProof/>
                <w:webHidden/>
                <w:sz w:val="22"/>
                <w:szCs w:val="22"/>
              </w:rPr>
              <w:fldChar w:fldCharType="end"/>
            </w:r>
          </w:hyperlink>
        </w:p>
        <w:p w14:paraId="2EB9C6CD" w14:textId="6ED04FEE" w:rsidR="00B46C66" w:rsidRPr="00B46C66" w:rsidRDefault="00B46C66" w:rsidP="00B46C66">
          <w:pPr>
            <w:pStyle w:val="TOC2"/>
            <w:tabs>
              <w:tab w:val="right" w:leader="dot" w:pos="9621"/>
            </w:tabs>
            <w:spacing w:after="240"/>
            <w:ind w:left="1134" w:hanging="425"/>
            <w:rPr>
              <w:rFonts w:asciiTheme="minorBidi" w:hAnsiTheme="minorBidi" w:cstheme="minorBidi"/>
              <w:noProof/>
              <w:sz w:val="22"/>
              <w:szCs w:val="22"/>
            </w:rPr>
          </w:pPr>
          <w:hyperlink w:anchor="_Toc168325789" w:history="1">
            <w:r w:rsidRPr="00B46C66">
              <w:rPr>
                <w:rStyle w:val="Hyperlink"/>
                <w:rFonts w:asciiTheme="minorBidi" w:hAnsiTheme="minorBidi" w:cstheme="minorBidi"/>
                <w:noProof/>
                <w:sz w:val="22"/>
                <w:szCs w:val="22"/>
              </w:rPr>
              <w:t>Sustainable Ocean Planning and Management in the IOC</w:t>
            </w:r>
            <w:r w:rsidRPr="00B46C66">
              <w:rPr>
                <w:rFonts w:asciiTheme="minorBidi" w:hAnsiTheme="minorBidi" w:cstheme="minorBidi"/>
                <w:noProof/>
                <w:webHidden/>
                <w:sz w:val="22"/>
                <w:szCs w:val="22"/>
              </w:rPr>
              <w:tab/>
            </w:r>
            <w:r w:rsidRPr="00B46C66">
              <w:rPr>
                <w:rFonts w:asciiTheme="minorBidi" w:hAnsiTheme="minorBidi" w:cstheme="minorBidi"/>
                <w:noProof/>
                <w:webHidden/>
                <w:sz w:val="22"/>
                <w:szCs w:val="22"/>
              </w:rPr>
              <w:fldChar w:fldCharType="begin"/>
            </w:r>
            <w:r w:rsidRPr="00B46C66">
              <w:rPr>
                <w:rFonts w:asciiTheme="minorBidi" w:hAnsiTheme="minorBidi" w:cstheme="minorBidi"/>
                <w:noProof/>
                <w:webHidden/>
                <w:sz w:val="22"/>
                <w:szCs w:val="22"/>
              </w:rPr>
              <w:instrText xml:space="preserve"> PAGEREF _Toc168325789 \h </w:instrText>
            </w:r>
            <w:r w:rsidRPr="00B46C66">
              <w:rPr>
                <w:rFonts w:asciiTheme="minorBidi" w:hAnsiTheme="minorBidi" w:cstheme="minorBidi"/>
                <w:noProof/>
                <w:webHidden/>
                <w:sz w:val="22"/>
                <w:szCs w:val="22"/>
              </w:rPr>
            </w:r>
            <w:r w:rsidRPr="00B46C66">
              <w:rPr>
                <w:rFonts w:asciiTheme="minorBidi" w:hAnsiTheme="minorBidi" w:cstheme="minorBidi"/>
                <w:noProof/>
                <w:webHidden/>
                <w:sz w:val="22"/>
                <w:szCs w:val="22"/>
              </w:rPr>
              <w:fldChar w:fldCharType="separate"/>
            </w:r>
            <w:r w:rsidRPr="00B46C66">
              <w:rPr>
                <w:rFonts w:asciiTheme="minorBidi" w:hAnsiTheme="minorBidi" w:cstheme="minorBidi"/>
                <w:noProof/>
                <w:webHidden/>
                <w:sz w:val="22"/>
                <w:szCs w:val="22"/>
              </w:rPr>
              <w:t>5</w:t>
            </w:r>
            <w:r w:rsidRPr="00B46C66">
              <w:rPr>
                <w:rFonts w:asciiTheme="minorBidi" w:hAnsiTheme="minorBidi" w:cstheme="minorBidi"/>
                <w:noProof/>
                <w:webHidden/>
                <w:sz w:val="22"/>
                <w:szCs w:val="22"/>
              </w:rPr>
              <w:fldChar w:fldCharType="end"/>
            </w:r>
          </w:hyperlink>
        </w:p>
        <w:p w14:paraId="280C72D4" w14:textId="1788D95E" w:rsidR="00B46C66" w:rsidRPr="00B46C66" w:rsidRDefault="00B46C66" w:rsidP="00B46C66">
          <w:pPr>
            <w:pStyle w:val="TOC2"/>
            <w:tabs>
              <w:tab w:val="left" w:pos="720"/>
              <w:tab w:val="right" w:leader="dot" w:pos="9621"/>
            </w:tabs>
            <w:spacing w:after="240"/>
            <w:ind w:left="851" w:hanging="611"/>
            <w:rPr>
              <w:rFonts w:asciiTheme="minorBidi" w:hAnsiTheme="minorBidi" w:cstheme="minorBidi"/>
              <w:noProof/>
              <w:sz w:val="22"/>
              <w:szCs w:val="22"/>
            </w:rPr>
          </w:pPr>
          <w:hyperlink w:anchor="_Toc168325790" w:history="1">
            <w:r w:rsidRPr="00B46C66">
              <w:rPr>
                <w:rStyle w:val="Hyperlink"/>
                <w:rFonts w:asciiTheme="minorBidi" w:hAnsiTheme="minorBidi" w:cstheme="minorBidi"/>
                <w:b/>
                <w:bCs/>
                <w:noProof/>
                <w:sz w:val="22"/>
                <w:szCs w:val="22"/>
              </w:rPr>
              <w:t>II.</w:t>
            </w:r>
            <w:r w:rsidRPr="00B46C66">
              <w:rPr>
                <w:rFonts w:asciiTheme="minorBidi" w:hAnsiTheme="minorBidi" w:cstheme="minorBidi"/>
                <w:noProof/>
                <w:sz w:val="22"/>
                <w:szCs w:val="22"/>
              </w:rPr>
              <w:tab/>
            </w:r>
            <w:r w:rsidRPr="00B46C66">
              <w:rPr>
                <w:rStyle w:val="Hyperlink"/>
                <w:rFonts w:asciiTheme="minorBidi" w:hAnsiTheme="minorBidi" w:cstheme="minorBidi"/>
                <w:b/>
                <w:bCs/>
                <w:noProof/>
                <w:sz w:val="22"/>
                <w:szCs w:val="22"/>
              </w:rPr>
              <w:t>Visi</w:t>
            </w:r>
            <w:r w:rsidRPr="00B46C66">
              <w:rPr>
                <w:rStyle w:val="Hyperlink"/>
                <w:rFonts w:asciiTheme="minorBidi" w:hAnsiTheme="minorBidi" w:cstheme="minorBidi"/>
                <w:b/>
                <w:bCs/>
                <w:noProof/>
                <w:sz w:val="22"/>
                <w:szCs w:val="22"/>
              </w:rPr>
              <w:t>o</w:t>
            </w:r>
            <w:r w:rsidRPr="00B46C66">
              <w:rPr>
                <w:rStyle w:val="Hyperlink"/>
                <w:rFonts w:asciiTheme="minorBidi" w:hAnsiTheme="minorBidi" w:cstheme="minorBidi"/>
                <w:b/>
                <w:bCs/>
                <w:noProof/>
                <w:sz w:val="22"/>
                <w:szCs w:val="22"/>
              </w:rPr>
              <w:t>n and Objectives</w:t>
            </w:r>
            <w:r w:rsidRPr="00B46C66">
              <w:rPr>
                <w:rFonts w:asciiTheme="minorBidi" w:hAnsiTheme="minorBidi" w:cstheme="minorBidi"/>
                <w:noProof/>
                <w:webHidden/>
                <w:sz w:val="22"/>
                <w:szCs w:val="22"/>
              </w:rPr>
              <w:tab/>
            </w:r>
            <w:r w:rsidRPr="00B46C66">
              <w:rPr>
                <w:rFonts w:asciiTheme="minorBidi" w:hAnsiTheme="minorBidi" w:cstheme="minorBidi"/>
                <w:noProof/>
                <w:webHidden/>
                <w:sz w:val="22"/>
                <w:szCs w:val="22"/>
              </w:rPr>
              <w:fldChar w:fldCharType="begin"/>
            </w:r>
            <w:r w:rsidRPr="00B46C66">
              <w:rPr>
                <w:rFonts w:asciiTheme="minorBidi" w:hAnsiTheme="minorBidi" w:cstheme="minorBidi"/>
                <w:noProof/>
                <w:webHidden/>
                <w:sz w:val="22"/>
                <w:szCs w:val="22"/>
              </w:rPr>
              <w:instrText xml:space="preserve"> PAGEREF _Toc168325790 \h </w:instrText>
            </w:r>
            <w:r w:rsidRPr="00B46C66">
              <w:rPr>
                <w:rFonts w:asciiTheme="minorBidi" w:hAnsiTheme="minorBidi" w:cstheme="minorBidi"/>
                <w:noProof/>
                <w:webHidden/>
                <w:sz w:val="22"/>
                <w:szCs w:val="22"/>
              </w:rPr>
            </w:r>
            <w:r w:rsidRPr="00B46C66">
              <w:rPr>
                <w:rFonts w:asciiTheme="minorBidi" w:hAnsiTheme="minorBidi" w:cstheme="minorBidi"/>
                <w:noProof/>
                <w:webHidden/>
                <w:sz w:val="22"/>
                <w:szCs w:val="22"/>
              </w:rPr>
              <w:fldChar w:fldCharType="separate"/>
            </w:r>
            <w:r w:rsidRPr="00B46C66">
              <w:rPr>
                <w:rFonts w:asciiTheme="minorBidi" w:hAnsiTheme="minorBidi" w:cstheme="minorBidi"/>
                <w:noProof/>
                <w:webHidden/>
                <w:sz w:val="22"/>
                <w:szCs w:val="22"/>
              </w:rPr>
              <w:t>7</w:t>
            </w:r>
            <w:r w:rsidRPr="00B46C66">
              <w:rPr>
                <w:rFonts w:asciiTheme="minorBidi" w:hAnsiTheme="minorBidi" w:cstheme="minorBidi"/>
                <w:noProof/>
                <w:webHidden/>
                <w:sz w:val="22"/>
                <w:szCs w:val="22"/>
              </w:rPr>
              <w:fldChar w:fldCharType="end"/>
            </w:r>
          </w:hyperlink>
        </w:p>
        <w:p w14:paraId="009DE604" w14:textId="5C66F777" w:rsidR="00B46C66" w:rsidRPr="00B46C66" w:rsidRDefault="00B46C66" w:rsidP="00B46C66">
          <w:pPr>
            <w:pStyle w:val="TOC2"/>
            <w:tabs>
              <w:tab w:val="right" w:leader="dot" w:pos="9621"/>
            </w:tabs>
            <w:spacing w:after="240"/>
            <w:ind w:left="709" w:hanging="469"/>
            <w:rPr>
              <w:rFonts w:asciiTheme="minorBidi" w:hAnsiTheme="minorBidi" w:cstheme="minorBidi"/>
              <w:noProof/>
              <w:sz w:val="22"/>
              <w:szCs w:val="22"/>
            </w:rPr>
          </w:pPr>
          <w:hyperlink w:anchor="_Toc168325791" w:history="1">
            <w:r w:rsidRPr="00B46C66">
              <w:rPr>
                <w:rStyle w:val="Hyperlink"/>
                <w:rFonts w:asciiTheme="minorBidi" w:hAnsiTheme="minorBidi" w:cstheme="minorBidi"/>
                <w:b/>
                <w:bCs/>
                <w:noProof/>
                <w:sz w:val="22"/>
                <w:szCs w:val="22"/>
              </w:rPr>
              <w:t>III.</w:t>
            </w:r>
            <w:r w:rsidRPr="00B46C66">
              <w:rPr>
                <w:rFonts w:asciiTheme="minorBidi" w:hAnsiTheme="minorBidi" w:cstheme="minorBidi"/>
                <w:noProof/>
                <w:sz w:val="22"/>
                <w:szCs w:val="22"/>
              </w:rPr>
              <w:tab/>
            </w:r>
            <w:r w:rsidRPr="00B46C66">
              <w:rPr>
                <w:rStyle w:val="Hyperlink"/>
                <w:rFonts w:asciiTheme="minorBidi" w:hAnsiTheme="minorBidi" w:cstheme="minorBidi"/>
                <w:b/>
                <w:bCs/>
                <w:noProof/>
                <w:sz w:val="22"/>
                <w:szCs w:val="22"/>
              </w:rPr>
              <w:t>Outcomes and Activities</w:t>
            </w:r>
            <w:r w:rsidRPr="00B46C66">
              <w:rPr>
                <w:rFonts w:asciiTheme="minorBidi" w:hAnsiTheme="minorBidi" w:cstheme="minorBidi"/>
                <w:noProof/>
                <w:webHidden/>
                <w:sz w:val="22"/>
                <w:szCs w:val="22"/>
              </w:rPr>
              <w:tab/>
            </w:r>
            <w:r w:rsidRPr="00B46C66">
              <w:rPr>
                <w:rFonts w:asciiTheme="minorBidi" w:hAnsiTheme="minorBidi" w:cstheme="minorBidi"/>
                <w:noProof/>
                <w:webHidden/>
                <w:sz w:val="22"/>
                <w:szCs w:val="22"/>
              </w:rPr>
              <w:fldChar w:fldCharType="begin"/>
            </w:r>
            <w:r w:rsidRPr="00B46C66">
              <w:rPr>
                <w:rFonts w:asciiTheme="minorBidi" w:hAnsiTheme="minorBidi" w:cstheme="minorBidi"/>
                <w:noProof/>
                <w:webHidden/>
                <w:sz w:val="22"/>
                <w:szCs w:val="22"/>
              </w:rPr>
              <w:instrText xml:space="preserve"> PAGEREF _Toc168325791 \h </w:instrText>
            </w:r>
            <w:r w:rsidRPr="00B46C66">
              <w:rPr>
                <w:rFonts w:asciiTheme="minorBidi" w:hAnsiTheme="minorBidi" w:cstheme="minorBidi"/>
                <w:noProof/>
                <w:webHidden/>
                <w:sz w:val="22"/>
                <w:szCs w:val="22"/>
              </w:rPr>
            </w:r>
            <w:r w:rsidRPr="00B46C66">
              <w:rPr>
                <w:rFonts w:asciiTheme="minorBidi" w:hAnsiTheme="minorBidi" w:cstheme="minorBidi"/>
                <w:noProof/>
                <w:webHidden/>
                <w:sz w:val="22"/>
                <w:szCs w:val="22"/>
              </w:rPr>
              <w:fldChar w:fldCharType="separate"/>
            </w:r>
            <w:r w:rsidRPr="00B46C66">
              <w:rPr>
                <w:rFonts w:asciiTheme="minorBidi" w:hAnsiTheme="minorBidi" w:cstheme="minorBidi"/>
                <w:noProof/>
                <w:webHidden/>
                <w:sz w:val="22"/>
                <w:szCs w:val="22"/>
              </w:rPr>
              <w:t>8</w:t>
            </w:r>
            <w:r w:rsidRPr="00B46C66">
              <w:rPr>
                <w:rFonts w:asciiTheme="minorBidi" w:hAnsiTheme="minorBidi" w:cstheme="minorBidi"/>
                <w:noProof/>
                <w:webHidden/>
                <w:sz w:val="22"/>
                <w:szCs w:val="22"/>
              </w:rPr>
              <w:fldChar w:fldCharType="end"/>
            </w:r>
          </w:hyperlink>
        </w:p>
        <w:p w14:paraId="448DE75E" w14:textId="4DCDE3C0" w:rsidR="00B46C66" w:rsidRPr="00B46C66" w:rsidRDefault="00B46C66" w:rsidP="00B46C66">
          <w:pPr>
            <w:pStyle w:val="TOC2"/>
            <w:tabs>
              <w:tab w:val="right" w:leader="dot" w:pos="9621"/>
            </w:tabs>
            <w:spacing w:after="240"/>
            <w:ind w:left="709" w:hanging="469"/>
            <w:rPr>
              <w:rFonts w:asciiTheme="minorBidi" w:hAnsiTheme="minorBidi" w:cstheme="minorBidi"/>
              <w:noProof/>
              <w:sz w:val="22"/>
              <w:szCs w:val="22"/>
            </w:rPr>
          </w:pPr>
          <w:hyperlink w:anchor="_Toc168325792" w:history="1">
            <w:r w:rsidRPr="00B46C66">
              <w:rPr>
                <w:rStyle w:val="Hyperlink"/>
                <w:rFonts w:asciiTheme="minorBidi" w:hAnsiTheme="minorBidi" w:cstheme="minorBidi"/>
                <w:b/>
                <w:bCs/>
                <w:noProof/>
                <w:sz w:val="22"/>
                <w:szCs w:val="22"/>
              </w:rPr>
              <w:t>IV.</w:t>
            </w:r>
            <w:r w:rsidRPr="00B46C66">
              <w:rPr>
                <w:rFonts w:asciiTheme="minorBidi" w:hAnsiTheme="minorBidi" w:cstheme="minorBidi"/>
                <w:noProof/>
                <w:sz w:val="22"/>
                <w:szCs w:val="22"/>
              </w:rPr>
              <w:tab/>
            </w:r>
            <w:r w:rsidRPr="00B46C66">
              <w:rPr>
                <w:rStyle w:val="Hyperlink"/>
                <w:rFonts w:asciiTheme="minorBidi" w:hAnsiTheme="minorBidi" w:cstheme="minorBidi"/>
                <w:b/>
                <w:bCs/>
                <w:noProof/>
                <w:sz w:val="22"/>
                <w:szCs w:val="22"/>
              </w:rPr>
              <w:t>Implementation</w:t>
            </w:r>
            <w:r w:rsidRPr="00B46C66">
              <w:rPr>
                <w:rFonts w:asciiTheme="minorBidi" w:hAnsiTheme="minorBidi" w:cstheme="minorBidi"/>
                <w:noProof/>
                <w:webHidden/>
                <w:sz w:val="22"/>
                <w:szCs w:val="22"/>
              </w:rPr>
              <w:tab/>
            </w:r>
            <w:r w:rsidRPr="00B46C66">
              <w:rPr>
                <w:rFonts w:asciiTheme="minorBidi" w:hAnsiTheme="minorBidi" w:cstheme="minorBidi"/>
                <w:noProof/>
                <w:webHidden/>
                <w:sz w:val="22"/>
                <w:szCs w:val="22"/>
              </w:rPr>
              <w:fldChar w:fldCharType="begin"/>
            </w:r>
            <w:r w:rsidRPr="00B46C66">
              <w:rPr>
                <w:rFonts w:asciiTheme="minorBidi" w:hAnsiTheme="minorBidi" w:cstheme="minorBidi"/>
                <w:noProof/>
                <w:webHidden/>
                <w:sz w:val="22"/>
                <w:szCs w:val="22"/>
              </w:rPr>
              <w:instrText xml:space="preserve"> PAGEREF _Toc168325792 \h </w:instrText>
            </w:r>
            <w:r w:rsidRPr="00B46C66">
              <w:rPr>
                <w:rFonts w:asciiTheme="minorBidi" w:hAnsiTheme="minorBidi" w:cstheme="minorBidi"/>
                <w:noProof/>
                <w:webHidden/>
                <w:sz w:val="22"/>
                <w:szCs w:val="22"/>
              </w:rPr>
            </w:r>
            <w:r w:rsidRPr="00B46C66">
              <w:rPr>
                <w:rFonts w:asciiTheme="minorBidi" w:hAnsiTheme="minorBidi" w:cstheme="minorBidi"/>
                <w:noProof/>
                <w:webHidden/>
                <w:sz w:val="22"/>
                <w:szCs w:val="22"/>
              </w:rPr>
              <w:fldChar w:fldCharType="separate"/>
            </w:r>
            <w:r w:rsidRPr="00B46C66">
              <w:rPr>
                <w:rFonts w:asciiTheme="minorBidi" w:hAnsiTheme="minorBidi" w:cstheme="minorBidi"/>
                <w:noProof/>
                <w:webHidden/>
                <w:sz w:val="22"/>
                <w:szCs w:val="22"/>
              </w:rPr>
              <w:t>11</w:t>
            </w:r>
            <w:r w:rsidRPr="00B46C66">
              <w:rPr>
                <w:rFonts w:asciiTheme="minorBidi" w:hAnsiTheme="minorBidi" w:cstheme="minorBidi"/>
                <w:noProof/>
                <w:webHidden/>
                <w:sz w:val="22"/>
                <w:szCs w:val="22"/>
              </w:rPr>
              <w:fldChar w:fldCharType="end"/>
            </w:r>
          </w:hyperlink>
        </w:p>
        <w:p w14:paraId="12F1D8AB" w14:textId="563DBEA7" w:rsidR="00B46C66" w:rsidRPr="00B46C66" w:rsidRDefault="00B46C66" w:rsidP="00B46C66">
          <w:pPr>
            <w:pStyle w:val="TOC2"/>
            <w:tabs>
              <w:tab w:val="right" w:leader="dot" w:pos="9621"/>
            </w:tabs>
            <w:spacing w:after="240"/>
            <w:ind w:left="1134" w:hanging="425"/>
            <w:rPr>
              <w:rFonts w:asciiTheme="minorBidi" w:hAnsiTheme="minorBidi" w:cstheme="minorBidi"/>
              <w:noProof/>
              <w:sz w:val="22"/>
              <w:szCs w:val="22"/>
            </w:rPr>
          </w:pPr>
          <w:hyperlink w:anchor="_Toc168325793" w:history="1">
            <w:r w:rsidRPr="00B46C66">
              <w:rPr>
                <w:rStyle w:val="Hyperlink"/>
                <w:rFonts w:asciiTheme="minorBidi" w:hAnsiTheme="minorBidi" w:cstheme="minorBidi"/>
                <w:noProof/>
                <w:sz w:val="22"/>
                <w:szCs w:val="22"/>
              </w:rPr>
              <w:t>Guidance mechanism</w:t>
            </w:r>
            <w:r w:rsidRPr="00B46C66">
              <w:rPr>
                <w:rFonts w:asciiTheme="minorBidi" w:hAnsiTheme="minorBidi" w:cstheme="minorBidi"/>
                <w:noProof/>
                <w:webHidden/>
                <w:sz w:val="22"/>
                <w:szCs w:val="22"/>
              </w:rPr>
              <w:tab/>
            </w:r>
            <w:r w:rsidRPr="00B46C66">
              <w:rPr>
                <w:rFonts w:asciiTheme="minorBidi" w:hAnsiTheme="minorBidi" w:cstheme="minorBidi"/>
                <w:noProof/>
                <w:webHidden/>
                <w:sz w:val="22"/>
                <w:szCs w:val="22"/>
              </w:rPr>
              <w:fldChar w:fldCharType="begin"/>
            </w:r>
            <w:r w:rsidRPr="00B46C66">
              <w:rPr>
                <w:rFonts w:asciiTheme="minorBidi" w:hAnsiTheme="minorBidi" w:cstheme="minorBidi"/>
                <w:noProof/>
                <w:webHidden/>
                <w:sz w:val="22"/>
                <w:szCs w:val="22"/>
              </w:rPr>
              <w:instrText xml:space="preserve"> PAGEREF _Toc168325793 \h </w:instrText>
            </w:r>
            <w:r w:rsidRPr="00B46C66">
              <w:rPr>
                <w:rFonts w:asciiTheme="minorBidi" w:hAnsiTheme="minorBidi" w:cstheme="minorBidi"/>
                <w:noProof/>
                <w:webHidden/>
                <w:sz w:val="22"/>
                <w:szCs w:val="22"/>
              </w:rPr>
            </w:r>
            <w:r w:rsidRPr="00B46C66">
              <w:rPr>
                <w:rFonts w:asciiTheme="minorBidi" w:hAnsiTheme="minorBidi" w:cstheme="minorBidi"/>
                <w:noProof/>
                <w:webHidden/>
                <w:sz w:val="22"/>
                <w:szCs w:val="22"/>
              </w:rPr>
              <w:fldChar w:fldCharType="separate"/>
            </w:r>
            <w:r w:rsidRPr="00B46C66">
              <w:rPr>
                <w:rFonts w:asciiTheme="minorBidi" w:hAnsiTheme="minorBidi" w:cstheme="minorBidi"/>
                <w:noProof/>
                <w:webHidden/>
                <w:sz w:val="22"/>
                <w:szCs w:val="22"/>
              </w:rPr>
              <w:t>12</w:t>
            </w:r>
            <w:r w:rsidRPr="00B46C66">
              <w:rPr>
                <w:rFonts w:asciiTheme="minorBidi" w:hAnsiTheme="minorBidi" w:cstheme="minorBidi"/>
                <w:noProof/>
                <w:webHidden/>
                <w:sz w:val="22"/>
                <w:szCs w:val="22"/>
              </w:rPr>
              <w:fldChar w:fldCharType="end"/>
            </w:r>
          </w:hyperlink>
        </w:p>
        <w:p w14:paraId="5983D6ED" w14:textId="19C7F1D3" w:rsidR="00B46C66" w:rsidRDefault="00B46C66">
          <w:r w:rsidRPr="00B46C66">
            <w:rPr>
              <w:rFonts w:asciiTheme="minorBidi" w:hAnsiTheme="minorBidi" w:cstheme="minorBidi"/>
              <w:b/>
              <w:bCs/>
              <w:noProof/>
              <w:sz w:val="22"/>
              <w:szCs w:val="22"/>
            </w:rPr>
            <w:fldChar w:fldCharType="end"/>
          </w:r>
        </w:p>
      </w:sdtContent>
    </w:sdt>
    <w:p w14:paraId="7E3CEB6E" w14:textId="0220C537" w:rsidR="00C54645" w:rsidRPr="00422210" w:rsidRDefault="00C54645" w:rsidP="00C54645">
      <w:pPr>
        <w:rPr>
          <w:rFonts w:asciiTheme="minorBidi" w:hAnsiTheme="minorBidi" w:cstheme="minorBidi"/>
          <w:sz w:val="32"/>
          <w:szCs w:val="32"/>
        </w:rPr>
      </w:pPr>
    </w:p>
    <w:p w14:paraId="3E3A71F9" w14:textId="633330A1" w:rsidR="00C54645" w:rsidRPr="00C54645" w:rsidRDefault="00C54645" w:rsidP="00C54645">
      <w:pPr>
        <w:rPr>
          <w:rFonts w:ascii="Arial" w:hAnsi="Arial" w:cs="Arial"/>
        </w:rPr>
      </w:pPr>
    </w:p>
    <w:p w14:paraId="4EC971E7" w14:textId="21239265" w:rsidR="00C54645" w:rsidRDefault="00C54645" w:rsidP="00C54645">
      <w:pPr>
        <w:tabs>
          <w:tab w:val="left" w:pos="3552"/>
        </w:tabs>
        <w:rPr>
          <w:rFonts w:ascii="Arial" w:hAnsi="Arial" w:cs="Arial"/>
        </w:rPr>
      </w:pPr>
    </w:p>
    <w:p w14:paraId="6CB4009C" w14:textId="50884B4B" w:rsidR="00C54645" w:rsidRDefault="00C54645" w:rsidP="00C54645">
      <w:pPr>
        <w:tabs>
          <w:tab w:val="left" w:pos="3552"/>
        </w:tabs>
        <w:rPr>
          <w:rFonts w:ascii="Arial" w:hAnsi="Arial" w:cs="Arial"/>
        </w:rPr>
      </w:pPr>
    </w:p>
    <w:p w14:paraId="17BD685F" w14:textId="5859BC1B" w:rsidR="00C54645" w:rsidRDefault="00C54645" w:rsidP="00C54645">
      <w:pPr>
        <w:tabs>
          <w:tab w:val="left" w:pos="3552"/>
        </w:tabs>
        <w:rPr>
          <w:rFonts w:ascii="Arial" w:hAnsi="Arial" w:cs="Arial"/>
        </w:rPr>
      </w:pPr>
    </w:p>
    <w:p w14:paraId="2C560F3E" w14:textId="77777777" w:rsidR="00422210" w:rsidRDefault="00422210">
      <w:pPr>
        <w:rPr>
          <w:rFonts w:ascii="Arial" w:eastAsiaTheme="majorEastAsia" w:hAnsi="Arial" w:cstheme="majorBidi"/>
          <w:b/>
          <w:bCs/>
          <w:color w:val="2F5496" w:themeColor="accent1" w:themeShade="BF"/>
          <w:sz w:val="22"/>
          <w:szCs w:val="22"/>
        </w:rPr>
      </w:pPr>
      <w:r>
        <w:rPr>
          <w:rFonts w:ascii="Arial" w:hAnsi="Arial"/>
          <w:b/>
          <w:bCs/>
          <w:sz w:val="22"/>
          <w:szCs w:val="22"/>
        </w:rPr>
        <w:br w:type="page"/>
      </w:r>
    </w:p>
    <w:p w14:paraId="11824831" w14:textId="7AB3CBA2" w:rsidR="00C54645" w:rsidRPr="00716ED5" w:rsidRDefault="00C54645" w:rsidP="00783168">
      <w:pPr>
        <w:pStyle w:val="Heading2"/>
        <w:numPr>
          <w:ilvl w:val="0"/>
          <w:numId w:val="42"/>
        </w:numPr>
        <w:spacing w:before="240" w:after="240"/>
        <w:ind w:left="426" w:hanging="426"/>
        <w:rPr>
          <w:rFonts w:ascii="Arial" w:hAnsi="Arial"/>
          <w:b/>
          <w:bCs/>
          <w:color w:val="000000" w:themeColor="text1"/>
          <w:sz w:val="22"/>
          <w:szCs w:val="22"/>
        </w:rPr>
      </w:pPr>
      <w:bookmarkStart w:id="3" w:name="_Toc168325788"/>
      <w:r w:rsidRPr="00716ED5">
        <w:rPr>
          <w:rFonts w:ascii="Arial" w:hAnsi="Arial"/>
          <w:b/>
          <w:bCs/>
          <w:color w:val="000000" w:themeColor="text1"/>
          <w:sz w:val="22"/>
          <w:szCs w:val="22"/>
        </w:rPr>
        <w:t>Introduction</w:t>
      </w:r>
      <w:bookmarkEnd w:id="3"/>
    </w:p>
    <w:p w14:paraId="2600BD97" w14:textId="426CDB53" w:rsidR="00CD5142" w:rsidRDefault="00C54645" w:rsidP="00716ED5">
      <w:pPr>
        <w:pStyle w:val="ListParagraph"/>
        <w:numPr>
          <w:ilvl w:val="0"/>
          <w:numId w:val="37"/>
        </w:numPr>
        <w:tabs>
          <w:tab w:val="left" w:pos="709"/>
        </w:tabs>
        <w:spacing w:after="240"/>
        <w:ind w:left="0" w:firstLine="0"/>
        <w:contextualSpacing w:val="0"/>
        <w:jc w:val="both"/>
        <w:rPr>
          <w:rFonts w:ascii="Arial" w:hAnsi="Arial"/>
          <w:sz w:val="22"/>
          <w:szCs w:val="22"/>
        </w:rPr>
      </w:pPr>
      <w:r w:rsidRPr="00716ED5">
        <w:rPr>
          <w:rFonts w:ascii="Arial" w:hAnsi="Arial"/>
          <w:sz w:val="22"/>
          <w:szCs w:val="22"/>
        </w:rPr>
        <w:t>The ocean is fundamental to both the global economy and the health of our planet. This relationship underscores the imperative role that sustainable ocean planning and management must play in adapting to the dynamic nature of climate change, ensuring the vitality of ecological, social and economic systems in the future. The integration of sustainable ocean planning and management approaches into policy and decision-making processes not only support the ocean's vital functions but also enhance future economic viability.</w:t>
      </w:r>
    </w:p>
    <w:p w14:paraId="74512ED5" w14:textId="36588CEB" w:rsidR="004C580B" w:rsidRPr="00716ED5" w:rsidRDefault="004C580B" w:rsidP="00716ED5">
      <w:pPr>
        <w:pStyle w:val="ListParagraph"/>
        <w:numPr>
          <w:ilvl w:val="0"/>
          <w:numId w:val="37"/>
        </w:numPr>
        <w:tabs>
          <w:tab w:val="left" w:pos="709"/>
        </w:tabs>
        <w:spacing w:after="120"/>
        <w:ind w:left="0" w:firstLine="0"/>
        <w:contextualSpacing w:val="0"/>
        <w:jc w:val="both"/>
        <w:rPr>
          <w:rFonts w:ascii="Arial" w:hAnsi="Arial"/>
          <w:sz w:val="22"/>
          <w:szCs w:val="22"/>
        </w:rPr>
      </w:pPr>
      <w:r w:rsidRPr="00CD5142">
        <w:rPr>
          <w:rFonts w:ascii="Arial" w:hAnsi="Arial"/>
          <w:sz w:val="22"/>
          <w:szCs w:val="22"/>
        </w:rPr>
        <w:t xml:space="preserve">The recognition of the importance of </w:t>
      </w:r>
      <w:r>
        <w:rPr>
          <w:rFonts w:ascii="Arial" w:hAnsi="Arial"/>
          <w:sz w:val="22"/>
          <w:szCs w:val="22"/>
        </w:rPr>
        <w:t xml:space="preserve">an integrated approach to </w:t>
      </w:r>
      <w:r w:rsidRPr="00CD5142">
        <w:rPr>
          <w:rFonts w:ascii="Arial" w:hAnsi="Arial"/>
          <w:sz w:val="22"/>
          <w:szCs w:val="22"/>
        </w:rPr>
        <w:t>ocean</w:t>
      </w:r>
      <w:r>
        <w:rPr>
          <w:rFonts w:ascii="Arial" w:hAnsi="Arial"/>
          <w:sz w:val="22"/>
          <w:szCs w:val="22"/>
        </w:rPr>
        <w:t xml:space="preserve"> management</w:t>
      </w:r>
      <w:r w:rsidRPr="00CD5142">
        <w:rPr>
          <w:rFonts w:ascii="Arial" w:hAnsi="Arial"/>
          <w:sz w:val="22"/>
          <w:szCs w:val="22"/>
        </w:rPr>
        <w:t xml:space="preserve"> is reflected in various international commitments, both within and outside IOC, such as the </w:t>
      </w:r>
      <w:proofErr w:type="gramStart"/>
      <w:r w:rsidR="006B0313">
        <w:rPr>
          <w:rFonts w:ascii="Arial" w:hAnsi="Arial"/>
          <w:sz w:val="22"/>
          <w:szCs w:val="22"/>
        </w:rPr>
        <w:t xml:space="preserve">un </w:t>
      </w:r>
      <w:r w:rsidRPr="00CD5142">
        <w:rPr>
          <w:rFonts w:ascii="Arial" w:hAnsi="Arial"/>
          <w:sz w:val="22"/>
          <w:szCs w:val="22"/>
        </w:rPr>
        <w:t>Sustainable</w:t>
      </w:r>
      <w:proofErr w:type="gramEnd"/>
      <w:r w:rsidRPr="00CD5142">
        <w:rPr>
          <w:rFonts w:ascii="Arial" w:hAnsi="Arial"/>
          <w:sz w:val="22"/>
          <w:szCs w:val="22"/>
        </w:rPr>
        <w:t xml:space="preserve"> Development Goals (especially Goal</w:t>
      </w:r>
      <w:r w:rsidR="006B0313">
        <w:rPr>
          <w:rFonts w:ascii="Arial" w:hAnsi="Arial"/>
          <w:sz w:val="22"/>
          <w:szCs w:val="22"/>
        </w:rPr>
        <w:t> </w:t>
      </w:r>
      <w:r w:rsidRPr="00CD5142">
        <w:rPr>
          <w:rFonts w:ascii="Arial" w:hAnsi="Arial"/>
          <w:sz w:val="22"/>
          <w:szCs w:val="22"/>
        </w:rPr>
        <w:t xml:space="preserve">14), </w:t>
      </w:r>
      <w:r w:rsidR="00365C6B" w:rsidRPr="00365C6B">
        <w:rPr>
          <w:rFonts w:ascii="Arial" w:hAnsi="Arial"/>
          <w:sz w:val="22"/>
          <w:szCs w:val="22"/>
        </w:rPr>
        <w:t xml:space="preserve">the agreement under the </w:t>
      </w:r>
      <w:bookmarkStart w:id="4" w:name="_Hlk168064855"/>
      <w:r w:rsidR="00365C6B" w:rsidRPr="00365C6B">
        <w:rPr>
          <w:rFonts w:ascii="Arial" w:hAnsi="Arial"/>
          <w:sz w:val="22"/>
          <w:szCs w:val="22"/>
        </w:rPr>
        <w:t xml:space="preserve">United Nations Convention on the Law of the Sea </w:t>
      </w:r>
      <w:bookmarkEnd w:id="4"/>
      <w:r w:rsidR="00365C6B" w:rsidRPr="00365C6B">
        <w:rPr>
          <w:rFonts w:ascii="Arial" w:hAnsi="Arial"/>
          <w:sz w:val="22"/>
          <w:szCs w:val="22"/>
        </w:rPr>
        <w:t>on the conservation and sustainable use of marine biological diversity of areas beyond national jurisdiction.</w:t>
      </w:r>
      <w:r w:rsidRPr="00CD5142">
        <w:rPr>
          <w:rFonts w:ascii="Arial" w:hAnsi="Arial"/>
          <w:sz w:val="22"/>
          <w:szCs w:val="22"/>
        </w:rPr>
        <w:t xml:space="preserve"> (BBNJ), the UN Decade of Ocean Science for Sustainable Development (Ocean Decade), United Nations Framework Convention of Climate Change (UNFCCC) and </w:t>
      </w:r>
      <w:r w:rsidR="006B0313">
        <w:rPr>
          <w:rFonts w:ascii="Arial" w:hAnsi="Arial"/>
          <w:sz w:val="22"/>
          <w:szCs w:val="22"/>
        </w:rPr>
        <w:t xml:space="preserve">its </w:t>
      </w:r>
      <w:r w:rsidRPr="00CD5142">
        <w:rPr>
          <w:rFonts w:ascii="Arial" w:hAnsi="Arial"/>
          <w:sz w:val="22"/>
          <w:szCs w:val="22"/>
        </w:rPr>
        <w:t xml:space="preserve">Paris Agreement, the High Level Panel for a Sustainable Ocean Economy (Ocean Panel), and the </w:t>
      </w:r>
      <w:r w:rsidRPr="00716ED5">
        <w:rPr>
          <w:rFonts w:ascii="Arial" w:hAnsi="Arial"/>
          <w:i/>
          <w:iCs/>
          <w:sz w:val="22"/>
          <w:szCs w:val="22"/>
        </w:rPr>
        <w:t>UN Ocean Conference Lisbon Declaration</w:t>
      </w:r>
      <w:r w:rsidRPr="00CD5142">
        <w:rPr>
          <w:rFonts w:ascii="Arial" w:hAnsi="Arial"/>
          <w:sz w:val="22"/>
          <w:szCs w:val="22"/>
        </w:rPr>
        <w:t>. As international obligations related to ocean management become more science-dependent, IOC is well-placed to leverage its global leadership and position to help nations meet their commitments by bringing to bear the powerful scientific, data and technical expertise of the organisation. This role is further underscored by I</w:t>
      </w:r>
      <w:r>
        <w:rPr>
          <w:rFonts w:ascii="Arial" w:hAnsi="Arial"/>
          <w:sz w:val="22"/>
          <w:szCs w:val="22"/>
        </w:rPr>
        <w:t>OC</w:t>
      </w:r>
      <w:r w:rsidRPr="00CD5142">
        <w:rPr>
          <w:rFonts w:ascii="Arial" w:hAnsi="Arial"/>
          <w:sz w:val="22"/>
          <w:szCs w:val="22"/>
        </w:rPr>
        <w:t>’s foundational mandate as described in IOC Statutes, Article 2.1</w:t>
      </w:r>
      <w:r>
        <w:rPr>
          <w:rFonts w:ascii="Arial" w:hAnsi="Arial"/>
          <w:sz w:val="22"/>
          <w:szCs w:val="22"/>
        </w:rPr>
        <w:t>.</w:t>
      </w:r>
    </w:p>
    <w:p w14:paraId="44C627F1" w14:textId="1E03FC5A" w:rsidR="00C54645" w:rsidRPr="00716ED5" w:rsidRDefault="00C54645" w:rsidP="00716ED5">
      <w:pPr>
        <w:spacing w:after="240"/>
        <w:ind w:left="720" w:right="700"/>
        <w:rPr>
          <w:rFonts w:ascii="Arial" w:hAnsi="Arial"/>
          <w:i/>
          <w:iCs/>
          <w:sz w:val="22"/>
          <w:szCs w:val="22"/>
        </w:rPr>
      </w:pPr>
      <w:r w:rsidRPr="00716ED5">
        <w:rPr>
          <w:rFonts w:ascii="Arial" w:hAnsi="Arial"/>
          <w:i/>
          <w:iCs/>
          <w:sz w:val="22"/>
          <w:szCs w:val="22"/>
        </w:rPr>
        <w:t>‘To promote international cooperation and to coordinate programmes in research, services and capacity-building, in order to learn more about the nature and resources of the ocean and coastal areas and to apply that knowledge for the improvement of management, sustainable development, the protection of the marine environment, and the decision-making processes of its Member States.’</w:t>
      </w:r>
    </w:p>
    <w:p w14:paraId="00F72577" w14:textId="19F4BD39" w:rsidR="00C54645" w:rsidRPr="00716ED5" w:rsidRDefault="00C54645" w:rsidP="00716ED5">
      <w:pPr>
        <w:pStyle w:val="ListParagraph"/>
        <w:numPr>
          <w:ilvl w:val="0"/>
          <w:numId w:val="37"/>
        </w:numPr>
        <w:tabs>
          <w:tab w:val="left" w:pos="709"/>
        </w:tabs>
        <w:spacing w:after="120"/>
        <w:ind w:left="0" w:firstLine="0"/>
        <w:contextualSpacing w:val="0"/>
        <w:jc w:val="both"/>
        <w:rPr>
          <w:rFonts w:ascii="Arial" w:hAnsi="Arial" w:cs="Arial"/>
          <w:sz w:val="22"/>
          <w:szCs w:val="22"/>
        </w:rPr>
      </w:pPr>
      <w:r w:rsidRPr="00716ED5">
        <w:rPr>
          <w:rFonts w:ascii="Arial" w:hAnsi="Arial" w:cs="Arial"/>
          <w:sz w:val="22"/>
          <w:szCs w:val="22"/>
        </w:rPr>
        <w:t xml:space="preserve">In September 2021, UNESCO’s Internal Oversight Service published </w:t>
      </w:r>
      <w:r w:rsidRPr="00716ED5">
        <w:rPr>
          <w:rFonts w:ascii="Arial" w:hAnsi="Arial" w:cs="Arial"/>
          <w:i/>
          <w:iCs/>
          <w:sz w:val="22"/>
          <w:szCs w:val="22"/>
        </w:rPr>
        <w:t>The Evaluation of the Strategic Positioning of IOC-UNESCO</w:t>
      </w:r>
      <w:r w:rsidRPr="00716ED5">
        <w:rPr>
          <w:rFonts w:ascii="Arial" w:hAnsi="Arial" w:cs="Arial"/>
          <w:sz w:val="22"/>
          <w:szCs w:val="22"/>
        </w:rPr>
        <w:t xml:space="preserve"> (</w:t>
      </w:r>
      <w:hyperlink r:id="rId13" w:history="1">
        <w:r w:rsidRPr="00716ED5">
          <w:rPr>
            <w:rStyle w:val="Hyperlink"/>
            <w:rFonts w:ascii="Arial" w:hAnsi="Arial" w:cs="Arial"/>
            <w:sz w:val="22"/>
            <w:szCs w:val="22"/>
          </w:rPr>
          <w:t>the Evaluation</w:t>
        </w:r>
      </w:hyperlink>
      <w:r w:rsidRPr="00716ED5">
        <w:rPr>
          <w:rFonts w:ascii="Arial" w:hAnsi="Arial" w:cs="Arial"/>
          <w:sz w:val="22"/>
          <w:szCs w:val="22"/>
        </w:rPr>
        <w:t>). The Evaluation included a set of six recommendations and suggested actions. It highlighted the increasing importance of IOC to the sustainable management of the ocean and the central role the organisation should undertake. </w:t>
      </w:r>
    </w:p>
    <w:p w14:paraId="246502B3" w14:textId="612369C9" w:rsidR="00C54645" w:rsidRPr="00CD5142" w:rsidRDefault="006B0313" w:rsidP="00716ED5">
      <w:pPr>
        <w:spacing w:after="240"/>
        <w:ind w:left="720" w:right="697"/>
        <w:rPr>
          <w:rFonts w:ascii="Arial" w:hAnsi="Arial" w:cs="Arial"/>
          <w:sz w:val="22"/>
          <w:szCs w:val="22"/>
        </w:rPr>
      </w:pPr>
      <w:r>
        <w:rPr>
          <w:rFonts w:ascii="Arial" w:hAnsi="Arial" w:cs="Arial"/>
          <w:i/>
          <w:sz w:val="22"/>
          <w:szCs w:val="22"/>
        </w:rPr>
        <w:t>‘</w:t>
      </w:r>
      <w:r w:rsidR="00C54645" w:rsidRPr="00CD5142">
        <w:rPr>
          <w:rFonts w:ascii="Arial" w:hAnsi="Arial" w:cs="Arial"/>
          <w:i/>
          <w:sz w:val="22"/>
          <w:szCs w:val="22"/>
        </w:rPr>
        <w:t>…[With] Agenda 2030, IOC-UNESCO’s role only increases in importance. The Decade is thus an opportunity for IOC-UNESCO to reaffirm its global leading position and relevance to the members of UN Oceans, to policy makers and to the world at large in helping to bring about more sustainable management of the ocean</w:t>
      </w:r>
      <w:r>
        <w:rPr>
          <w:rFonts w:ascii="Arial" w:hAnsi="Arial" w:cs="Arial"/>
          <w:i/>
          <w:sz w:val="22"/>
          <w:szCs w:val="22"/>
        </w:rPr>
        <w:t>.’</w:t>
      </w:r>
    </w:p>
    <w:p w14:paraId="522556E8" w14:textId="1B9BAAB5" w:rsidR="00C54645" w:rsidRDefault="00C54645" w:rsidP="004C580B">
      <w:pPr>
        <w:pStyle w:val="ListParagraph"/>
        <w:numPr>
          <w:ilvl w:val="0"/>
          <w:numId w:val="37"/>
        </w:numPr>
        <w:tabs>
          <w:tab w:val="left" w:pos="709"/>
        </w:tabs>
        <w:ind w:left="0" w:firstLine="0"/>
        <w:jc w:val="both"/>
        <w:rPr>
          <w:sz w:val="22"/>
          <w:szCs w:val="22"/>
        </w:rPr>
      </w:pPr>
      <w:r w:rsidRPr="00716ED5">
        <w:rPr>
          <w:rFonts w:ascii="Arial" w:hAnsi="Arial" w:cs="Arial"/>
          <w:sz w:val="22"/>
          <w:szCs w:val="22"/>
        </w:rPr>
        <w:t xml:space="preserve">The IOC-wide Strategy on Sustainable Ocean Planning and Management </w:t>
      </w:r>
      <w:r w:rsidR="006B0313">
        <w:rPr>
          <w:rFonts w:ascii="Arial" w:hAnsi="Arial" w:cs="Arial"/>
          <w:sz w:val="22"/>
          <w:szCs w:val="22"/>
        </w:rPr>
        <w:t xml:space="preserve">for </w:t>
      </w:r>
      <w:r w:rsidRPr="00716ED5">
        <w:rPr>
          <w:rFonts w:ascii="Arial" w:hAnsi="Arial" w:cs="Arial"/>
          <w:sz w:val="22"/>
          <w:szCs w:val="22"/>
        </w:rPr>
        <w:t>2024</w:t>
      </w:r>
      <w:r w:rsidR="006B0313">
        <w:rPr>
          <w:rFonts w:ascii="Arial" w:hAnsi="Arial" w:cs="Arial"/>
          <w:sz w:val="22"/>
          <w:szCs w:val="22"/>
        </w:rPr>
        <w:t>–</w:t>
      </w:r>
      <w:r w:rsidRPr="00716ED5">
        <w:rPr>
          <w:rFonts w:ascii="Arial" w:hAnsi="Arial" w:cs="Arial"/>
          <w:sz w:val="22"/>
          <w:szCs w:val="22"/>
        </w:rPr>
        <w:t>2030 (the Strategy) also aligns with the existing high-level objectives and functions of IOC (</w:t>
      </w:r>
      <w:r w:rsidRPr="00716ED5">
        <w:rPr>
          <w:rFonts w:ascii="Arial" w:hAnsi="Arial" w:cs="Arial"/>
          <w:sz w:val="22"/>
          <w:szCs w:val="22"/>
          <w:u w:val="single"/>
        </w:rPr>
        <w:t>Figure 1</w:t>
      </w:r>
      <w:r w:rsidRPr="00716ED5">
        <w:rPr>
          <w:rFonts w:ascii="Arial" w:hAnsi="Arial" w:cs="Arial"/>
          <w:sz w:val="22"/>
          <w:szCs w:val="22"/>
        </w:rPr>
        <w:t>). Both the existing high-level objectives and functions of IOC interconnect within the Strategy to enable a comprehensive and efficient approach to sustainable ocean planning and management supported by the best scientific information. This alignment ensures that the Strategy harnesses the IOC's existing strengths while amplifying its overall impact and extending its global reach.</w:t>
      </w:r>
      <w:r w:rsidRPr="00716ED5">
        <w:rPr>
          <w:sz w:val="22"/>
          <w:szCs w:val="22"/>
        </w:rPr>
        <w:t xml:space="preserve"> </w:t>
      </w:r>
    </w:p>
    <w:p w14:paraId="31D5E896" w14:textId="77777777" w:rsidR="006E2918" w:rsidRDefault="006E2918" w:rsidP="006E2918">
      <w:pPr>
        <w:tabs>
          <w:tab w:val="left" w:pos="709"/>
        </w:tabs>
        <w:jc w:val="both"/>
        <w:rPr>
          <w:sz w:val="22"/>
          <w:szCs w:val="22"/>
        </w:rPr>
      </w:pPr>
    </w:p>
    <w:p w14:paraId="0CE2B10D" w14:textId="77777777" w:rsidR="006E2918" w:rsidRDefault="006E2918" w:rsidP="006E2918">
      <w:pPr>
        <w:tabs>
          <w:tab w:val="left" w:pos="709"/>
        </w:tabs>
        <w:jc w:val="both"/>
        <w:rPr>
          <w:sz w:val="22"/>
          <w:szCs w:val="22"/>
        </w:rPr>
      </w:pPr>
    </w:p>
    <w:p w14:paraId="07C49BBA" w14:textId="77777777" w:rsidR="006E2918" w:rsidRDefault="006E2918" w:rsidP="006E2918">
      <w:pPr>
        <w:tabs>
          <w:tab w:val="left" w:pos="709"/>
        </w:tabs>
        <w:jc w:val="both"/>
        <w:rPr>
          <w:sz w:val="22"/>
          <w:szCs w:val="22"/>
        </w:rPr>
      </w:pPr>
    </w:p>
    <w:p w14:paraId="5AC388FA" w14:textId="77777777" w:rsidR="006E2918" w:rsidRDefault="006E2918" w:rsidP="006E2918">
      <w:pPr>
        <w:tabs>
          <w:tab w:val="left" w:pos="709"/>
        </w:tabs>
        <w:jc w:val="both"/>
        <w:rPr>
          <w:sz w:val="22"/>
          <w:szCs w:val="22"/>
        </w:rPr>
      </w:pPr>
    </w:p>
    <w:p w14:paraId="0F2A5AB7" w14:textId="77777777" w:rsidR="006E2918" w:rsidRDefault="006E2918" w:rsidP="006E2918">
      <w:pPr>
        <w:tabs>
          <w:tab w:val="left" w:pos="709"/>
        </w:tabs>
        <w:jc w:val="both"/>
        <w:rPr>
          <w:sz w:val="22"/>
          <w:szCs w:val="22"/>
        </w:rPr>
      </w:pPr>
    </w:p>
    <w:p w14:paraId="2504D6BB" w14:textId="77777777" w:rsidR="006E2918" w:rsidRDefault="006E2918" w:rsidP="006E2918">
      <w:pPr>
        <w:tabs>
          <w:tab w:val="left" w:pos="709"/>
        </w:tabs>
        <w:jc w:val="both"/>
        <w:rPr>
          <w:sz w:val="22"/>
          <w:szCs w:val="22"/>
        </w:rPr>
      </w:pPr>
    </w:p>
    <w:p w14:paraId="769734DC" w14:textId="77777777" w:rsidR="006E2918" w:rsidRDefault="006E2918" w:rsidP="006E2918">
      <w:pPr>
        <w:tabs>
          <w:tab w:val="left" w:pos="709"/>
        </w:tabs>
        <w:jc w:val="both"/>
        <w:rPr>
          <w:sz w:val="22"/>
          <w:szCs w:val="22"/>
        </w:rPr>
      </w:pPr>
    </w:p>
    <w:p w14:paraId="5579C7C1" w14:textId="77777777" w:rsidR="006E2918" w:rsidRDefault="006E2918" w:rsidP="006E2918">
      <w:pPr>
        <w:tabs>
          <w:tab w:val="left" w:pos="709"/>
        </w:tabs>
        <w:jc w:val="both"/>
        <w:rPr>
          <w:sz w:val="22"/>
          <w:szCs w:val="22"/>
        </w:rPr>
      </w:pPr>
    </w:p>
    <w:p w14:paraId="1B91CC0D" w14:textId="77777777" w:rsidR="006B0313" w:rsidRDefault="006B0313" w:rsidP="006E2918">
      <w:pPr>
        <w:tabs>
          <w:tab w:val="left" w:pos="709"/>
        </w:tabs>
        <w:jc w:val="both"/>
        <w:rPr>
          <w:sz w:val="22"/>
          <w:szCs w:val="22"/>
        </w:rPr>
      </w:pPr>
    </w:p>
    <w:p w14:paraId="09BFF735" w14:textId="77777777" w:rsidR="006E2918" w:rsidRPr="00716ED5" w:rsidRDefault="006E2918" w:rsidP="00716ED5">
      <w:pPr>
        <w:tabs>
          <w:tab w:val="left" w:pos="709"/>
        </w:tabs>
        <w:jc w:val="both"/>
        <w:rPr>
          <w:sz w:val="22"/>
          <w:szCs w:val="22"/>
        </w:rPr>
      </w:pPr>
    </w:p>
    <w:p w14:paraId="5C038964" w14:textId="77777777" w:rsidR="006E2918" w:rsidRPr="00716ED5" w:rsidRDefault="006E2918" w:rsidP="00716ED5">
      <w:pPr>
        <w:pStyle w:val="ListParagraph"/>
        <w:tabs>
          <w:tab w:val="left" w:pos="709"/>
        </w:tabs>
        <w:ind w:left="0"/>
        <w:jc w:val="both"/>
        <w:rPr>
          <w:sz w:val="22"/>
          <w:szCs w:val="22"/>
        </w:rPr>
      </w:pPr>
    </w:p>
    <w:sdt>
      <w:sdtPr>
        <w:tag w:val="goog_rdk_0"/>
        <w:id w:val="-1799670301"/>
        <w:lock w:val="contentLocked"/>
      </w:sdtPr>
      <w:sdtEndPr/>
      <w:sdtContent>
        <w:tbl>
          <w:tblPr>
            <w:tblW w:w="8070" w:type="dxa"/>
            <w:tblInd w:w="6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750"/>
          </w:tblGrid>
          <w:tr w:rsidR="00C54645" w14:paraId="3AFAE0E6" w14:textId="77777777" w:rsidTr="00FD1BB7">
            <w:trPr>
              <w:trHeight w:val="343"/>
            </w:trPr>
            <w:tc>
              <w:tcPr>
                <w:tcW w:w="1320" w:type="dxa"/>
                <w:vMerge w:val="restart"/>
                <w:tcBorders>
                  <w:top w:val="single" w:sz="12" w:space="0" w:color="000000"/>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D83EB5D" w14:textId="77777777" w:rsidR="00C54645" w:rsidRDefault="00C54645" w:rsidP="00FD1BB7">
                <w:r>
                  <w:t>High-Level Objectives</w:t>
                </w:r>
              </w:p>
            </w:tc>
            <w:tc>
              <w:tcPr>
                <w:tcW w:w="6750" w:type="dxa"/>
                <w:tcBorders>
                  <w:top w:val="single" w:sz="12" w:space="0" w:color="000000"/>
                  <w:left w:val="single" w:sz="8" w:space="0" w:color="FFFFFF"/>
                  <w:bottom w:val="single" w:sz="8" w:space="0" w:color="434343"/>
                  <w:right w:val="single" w:sz="8" w:space="0" w:color="FFFFFF"/>
                </w:tcBorders>
                <w:shd w:val="clear" w:color="auto" w:fill="auto"/>
                <w:tcMar>
                  <w:top w:w="-13" w:type="dxa"/>
                  <w:left w:w="-13" w:type="dxa"/>
                  <w:bottom w:w="-13" w:type="dxa"/>
                  <w:right w:w="-13" w:type="dxa"/>
                </w:tcMar>
                <w:vAlign w:val="center"/>
              </w:tcPr>
              <w:p w14:paraId="48E958A7" w14:textId="77777777" w:rsidR="00C54645" w:rsidRDefault="00C54645" w:rsidP="00FD1BB7">
                <w:pPr>
                  <w:rPr>
                    <w:sz w:val="18"/>
                    <w:szCs w:val="18"/>
                  </w:rPr>
                </w:pPr>
                <w:r>
                  <w:rPr>
                    <w:sz w:val="18"/>
                    <w:szCs w:val="18"/>
                  </w:rPr>
                  <w:t>Healthy ocean and sustained ocean ecosystem services;</w:t>
                </w:r>
              </w:p>
            </w:tc>
          </w:tr>
          <w:tr w:rsidR="00C54645" w14:paraId="72C21CD9" w14:textId="77777777" w:rsidTr="00FD1BB7">
            <w:trPr>
              <w:trHeight w:val="383"/>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92B66A" w14:textId="77777777" w:rsidR="00C54645" w:rsidRDefault="00C54645" w:rsidP="00FD1BB7"/>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13" w:type="dxa"/>
                  <w:left w:w="-13" w:type="dxa"/>
                  <w:bottom w:w="-13" w:type="dxa"/>
                  <w:right w:w="-13" w:type="dxa"/>
                </w:tcMar>
                <w:vAlign w:val="center"/>
              </w:tcPr>
              <w:p w14:paraId="286CD8B3" w14:textId="77777777" w:rsidR="00C54645" w:rsidRDefault="00C54645" w:rsidP="00FD1BB7">
                <w:pPr>
                  <w:rPr>
                    <w:sz w:val="18"/>
                    <w:szCs w:val="18"/>
                  </w:rPr>
                </w:pPr>
                <w:r>
                  <w:rPr>
                    <w:sz w:val="18"/>
                    <w:szCs w:val="18"/>
                  </w:rPr>
                  <w:t>Effective warning systems and preparedness for tsunamis and other ocean-related hazards;</w:t>
                </w:r>
              </w:p>
            </w:tc>
          </w:tr>
          <w:tr w:rsidR="00C54645" w14:paraId="2ADCBE1D" w14:textId="77777777" w:rsidTr="00FD1BB7">
            <w:trPr>
              <w:trHeight w:val="343"/>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D99829" w14:textId="77777777" w:rsidR="00C54645" w:rsidRDefault="00C54645" w:rsidP="00FD1BB7"/>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13" w:type="dxa"/>
                  <w:left w:w="-13" w:type="dxa"/>
                  <w:bottom w:w="-13" w:type="dxa"/>
                  <w:right w:w="-13" w:type="dxa"/>
                </w:tcMar>
                <w:vAlign w:val="center"/>
              </w:tcPr>
              <w:p w14:paraId="05AF22F5" w14:textId="77777777" w:rsidR="00C54645" w:rsidRDefault="00C54645" w:rsidP="00FD1BB7">
                <w:pPr>
                  <w:rPr>
                    <w:sz w:val="18"/>
                    <w:szCs w:val="18"/>
                  </w:rPr>
                </w:pPr>
                <w:r>
                  <w:rPr>
                    <w:sz w:val="18"/>
                    <w:szCs w:val="18"/>
                  </w:rPr>
                  <w:t>Resilience to climate change and contribution to its mitigation;</w:t>
                </w:r>
              </w:p>
            </w:tc>
          </w:tr>
          <w:tr w:rsidR="00C54645" w14:paraId="430788C4" w14:textId="77777777" w:rsidTr="00FD1BB7">
            <w:trPr>
              <w:trHeight w:val="286"/>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1761F58" w14:textId="77777777" w:rsidR="00C54645" w:rsidRDefault="00C54645" w:rsidP="00FD1BB7"/>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13" w:type="dxa"/>
                  <w:left w:w="-13" w:type="dxa"/>
                  <w:bottom w:w="-13" w:type="dxa"/>
                  <w:right w:w="-13" w:type="dxa"/>
                </w:tcMar>
                <w:vAlign w:val="center"/>
              </w:tcPr>
              <w:p w14:paraId="5B9D77BE" w14:textId="77777777" w:rsidR="00C54645" w:rsidRDefault="00C54645" w:rsidP="00FD1BB7">
                <w:pPr>
                  <w:rPr>
                    <w:sz w:val="18"/>
                    <w:szCs w:val="18"/>
                  </w:rPr>
                </w:pPr>
                <w:r>
                  <w:rPr>
                    <w:sz w:val="18"/>
                    <w:szCs w:val="18"/>
                  </w:rPr>
                  <w:t>Scientifically founded services for the sustainable ocean economy;</w:t>
                </w:r>
              </w:p>
            </w:tc>
          </w:tr>
          <w:tr w:rsidR="00C54645" w14:paraId="75095B20" w14:textId="77777777" w:rsidTr="00FD1BB7">
            <w:trPr>
              <w:trHeight w:val="345"/>
            </w:trPr>
            <w:tc>
              <w:tcPr>
                <w:tcW w:w="1320" w:type="dxa"/>
                <w:vMerge/>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1316B1C1" w14:textId="77777777" w:rsidR="00C54645" w:rsidRDefault="00C54645" w:rsidP="00FD1BB7"/>
            </w:tc>
            <w:tc>
              <w:tcPr>
                <w:tcW w:w="6750" w:type="dxa"/>
                <w:tcBorders>
                  <w:top w:val="single" w:sz="8" w:space="0" w:color="434343"/>
                  <w:left w:val="single" w:sz="8" w:space="0" w:color="FFFFFF"/>
                  <w:bottom w:val="single" w:sz="12" w:space="0" w:color="000000"/>
                  <w:right w:val="single" w:sz="8" w:space="0" w:color="FFFFFF"/>
                </w:tcBorders>
                <w:shd w:val="clear" w:color="auto" w:fill="auto"/>
                <w:tcMar>
                  <w:top w:w="43" w:type="dxa"/>
                  <w:left w:w="43" w:type="dxa"/>
                  <w:bottom w:w="43" w:type="dxa"/>
                  <w:right w:w="43" w:type="dxa"/>
                </w:tcMar>
                <w:vAlign w:val="center"/>
              </w:tcPr>
              <w:p w14:paraId="68ADF7D3" w14:textId="77777777" w:rsidR="00C54645" w:rsidRDefault="00C54645" w:rsidP="00FD1BB7">
                <w:pPr>
                  <w:rPr>
                    <w:sz w:val="18"/>
                    <w:szCs w:val="18"/>
                  </w:rPr>
                </w:pPr>
                <w:r>
                  <w:rPr>
                    <w:sz w:val="18"/>
                    <w:szCs w:val="18"/>
                  </w:rPr>
                  <w:t>Foresight on emerging ocean science issues.</w:t>
                </w:r>
              </w:p>
            </w:tc>
          </w:tr>
          <w:tr w:rsidR="00C54645" w14:paraId="79244832" w14:textId="77777777" w:rsidTr="00FD1BB7">
            <w:trPr>
              <w:trHeight w:val="400"/>
            </w:trPr>
            <w:tc>
              <w:tcPr>
                <w:tcW w:w="1320" w:type="dxa"/>
                <w:vMerge w:val="restart"/>
                <w:tcBorders>
                  <w:top w:val="single" w:sz="12" w:space="0" w:color="000000"/>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2F9D609" w14:textId="77777777" w:rsidR="00C54645" w:rsidRDefault="00C54645" w:rsidP="00FD1BB7">
                <w:r>
                  <w:t>Functions</w:t>
                </w:r>
              </w:p>
            </w:tc>
            <w:tc>
              <w:tcPr>
                <w:tcW w:w="6750" w:type="dxa"/>
                <w:tcBorders>
                  <w:top w:val="single" w:sz="12" w:space="0" w:color="000000"/>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4594D10A" w14:textId="77777777" w:rsidR="00C54645" w:rsidRDefault="00C54645" w:rsidP="00FD1BB7">
                <w:pPr>
                  <w:rPr>
                    <w:sz w:val="18"/>
                    <w:szCs w:val="18"/>
                  </w:rPr>
                </w:pPr>
                <w:r>
                  <w:rPr>
                    <w:sz w:val="18"/>
                    <w:szCs w:val="18"/>
                  </w:rPr>
                  <w:t>Ocean research: Foster research to strengthen knowledge of ocean and coastal processes and human impacts upon them</w:t>
                </w:r>
              </w:p>
            </w:tc>
          </w:tr>
          <w:tr w:rsidR="00C54645" w14:paraId="56F85522" w14:textId="77777777" w:rsidTr="00FD1BB7">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FF295A7" w14:textId="77777777" w:rsidR="00C54645" w:rsidRDefault="00C54645" w:rsidP="00FD1BB7"/>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186432AA" w14:textId="77777777" w:rsidR="00C54645" w:rsidRDefault="00C54645" w:rsidP="00FD1BB7">
                <w:pPr>
                  <w:rPr>
                    <w:sz w:val="18"/>
                    <w:szCs w:val="18"/>
                  </w:rPr>
                </w:pPr>
                <w:r>
                  <w:rPr>
                    <w:sz w:val="18"/>
                    <w:szCs w:val="18"/>
                  </w:rPr>
                  <w:t>Observing system/data management: Maintain, strengthen and integrate global  ocean observing, data, prediction and information systems</w:t>
                </w:r>
              </w:p>
            </w:tc>
          </w:tr>
          <w:tr w:rsidR="00C54645" w14:paraId="67490A18" w14:textId="77777777" w:rsidTr="00FD1BB7">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E6EE18" w14:textId="77777777" w:rsidR="00C54645" w:rsidRDefault="00C54645" w:rsidP="00FD1BB7"/>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2948C20C" w14:textId="77777777" w:rsidR="00C54645" w:rsidRDefault="00C54645" w:rsidP="00FD1BB7">
                <w:pPr>
                  <w:rPr>
                    <w:sz w:val="18"/>
                    <w:szCs w:val="18"/>
                  </w:rPr>
                </w:pPr>
                <w:r>
                  <w:rPr>
                    <w:sz w:val="18"/>
                    <w:szCs w:val="18"/>
                  </w:rPr>
                  <w:t>Early warning and services: Develop early warning systems, services, and preparedness for risks of tsunamis and ocean-related hazards</w:t>
                </w:r>
              </w:p>
            </w:tc>
          </w:tr>
          <w:tr w:rsidR="00C54645" w14:paraId="1CDB48EF" w14:textId="77777777" w:rsidTr="00FD1BB7">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151C59" w14:textId="77777777" w:rsidR="00C54645" w:rsidRDefault="00C54645" w:rsidP="00FD1BB7"/>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5CED762B" w14:textId="77777777" w:rsidR="00C54645" w:rsidRDefault="00C54645" w:rsidP="00FD1BB7">
                <w:pPr>
                  <w:rPr>
                    <w:sz w:val="18"/>
                    <w:szCs w:val="18"/>
                  </w:rPr>
                </w:pPr>
                <w:r>
                  <w:rPr>
                    <w:sz w:val="18"/>
                    <w:szCs w:val="18"/>
                  </w:rPr>
                  <w:t>Assessment and Information for policy: Support assessment and provision of information through the science-policy interface</w:t>
                </w:r>
              </w:p>
            </w:tc>
          </w:tr>
          <w:tr w:rsidR="00C54645" w14:paraId="3C4ED011" w14:textId="77777777" w:rsidTr="00FD1BB7">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389AF39" w14:textId="77777777" w:rsidR="00C54645" w:rsidRDefault="00C54645" w:rsidP="00FD1BB7"/>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7413F299" w14:textId="77777777" w:rsidR="00C54645" w:rsidRDefault="00C54645" w:rsidP="00FD1BB7">
                <w:pPr>
                  <w:rPr>
                    <w:sz w:val="18"/>
                    <w:szCs w:val="18"/>
                  </w:rPr>
                </w:pPr>
                <w:r>
                  <w:rPr>
                    <w:sz w:val="18"/>
                    <w:szCs w:val="18"/>
                  </w:rPr>
                  <w:t>Sustainable management and governance: Enhance ocean governance through a shared knowledge base and improved regional cooperation</w:t>
                </w:r>
              </w:p>
            </w:tc>
          </w:tr>
          <w:tr w:rsidR="00C54645" w14:paraId="0F4335A5" w14:textId="77777777" w:rsidTr="00FD1BB7">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690F903" w14:textId="77777777" w:rsidR="00C54645" w:rsidRDefault="00C54645" w:rsidP="00FD1BB7"/>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72ADC3F3" w14:textId="77777777" w:rsidR="00C54645" w:rsidRDefault="00C54645" w:rsidP="00FD1BB7">
                <w:pPr>
                  <w:rPr>
                    <w:sz w:val="18"/>
                    <w:szCs w:val="18"/>
                  </w:rPr>
                </w:pPr>
                <w:r>
                  <w:rPr>
                    <w:sz w:val="18"/>
                    <w:szCs w:val="18"/>
                  </w:rPr>
                  <w:t>Capacity Development: Develop the institutional capacity in all of the functions above, as a cross-cutting function</w:t>
                </w:r>
              </w:p>
            </w:tc>
          </w:tr>
        </w:tbl>
      </w:sdtContent>
    </w:sdt>
    <w:p w14:paraId="206DB1DE" w14:textId="77777777" w:rsidR="00C54645" w:rsidRDefault="00C54645" w:rsidP="00C54645"/>
    <w:p w14:paraId="2B4D4A98" w14:textId="77777777" w:rsidR="00C54645" w:rsidRPr="00716ED5" w:rsidRDefault="00C54645" w:rsidP="00716ED5">
      <w:pPr>
        <w:pBdr>
          <w:top w:val="nil"/>
          <w:left w:val="nil"/>
          <w:bottom w:val="nil"/>
          <w:right w:val="nil"/>
          <w:between w:val="nil"/>
        </w:pBdr>
        <w:spacing w:after="240"/>
        <w:rPr>
          <w:rFonts w:asciiTheme="minorBidi" w:hAnsiTheme="minorBidi" w:cstheme="minorBidi"/>
          <w:sz w:val="22"/>
          <w:szCs w:val="22"/>
        </w:rPr>
      </w:pPr>
      <w:bookmarkStart w:id="5" w:name="_heading=h.tyjcwt" w:colFirst="0" w:colLast="0"/>
      <w:bookmarkEnd w:id="5"/>
      <w:r w:rsidRPr="00716ED5">
        <w:rPr>
          <w:rFonts w:asciiTheme="minorBidi" w:eastAsia="Arial" w:hAnsiTheme="minorBidi" w:cstheme="minorBidi"/>
          <w:b/>
          <w:color w:val="4E5763"/>
          <w:sz w:val="22"/>
          <w:szCs w:val="22"/>
        </w:rPr>
        <w:t xml:space="preserve">Figure 1. </w:t>
      </w:r>
      <w:r w:rsidRPr="00716ED5">
        <w:rPr>
          <w:rFonts w:asciiTheme="minorBidi" w:eastAsia="Arial" w:hAnsiTheme="minorBidi" w:cstheme="minorBidi"/>
          <w:color w:val="4E5763"/>
          <w:sz w:val="22"/>
          <w:szCs w:val="22"/>
        </w:rPr>
        <w:t>High-level Objectives and Functions of the IOC (</w:t>
      </w:r>
      <w:hyperlink r:id="rId14">
        <w:r w:rsidRPr="00716ED5">
          <w:rPr>
            <w:rFonts w:asciiTheme="minorBidi" w:eastAsia="Arial" w:hAnsiTheme="minorBidi" w:cstheme="minorBidi"/>
            <w:color w:val="1155CC"/>
            <w:sz w:val="22"/>
            <w:szCs w:val="22"/>
            <w:u w:val="single"/>
          </w:rPr>
          <w:t>IOC Medium-term Strategy</w:t>
        </w:r>
      </w:hyperlink>
      <w:hyperlink r:id="rId15">
        <w:r w:rsidRPr="00716ED5">
          <w:rPr>
            <w:rFonts w:asciiTheme="minorBidi" w:eastAsia="Arial" w:hAnsiTheme="minorBidi" w:cstheme="minorBidi"/>
            <w:color w:val="1155CC"/>
            <w:sz w:val="22"/>
            <w:szCs w:val="22"/>
            <w:u w:val="single"/>
          </w:rPr>
          <w:t xml:space="preserve"> 2022–2029</w:t>
        </w:r>
      </w:hyperlink>
      <w:r w:rsidRPr="00716ED5">
        <w:rPr>
          <w:rFonts w:asciiTheme="minorBidi" w:eastAsia="Arial" w:hAnsiTheme="minorBidi" w:cstheme="minorBidi"/>
          <w:color w:val="4E5763"/>
          <w:sz w:val="22"/>
          <w:szCs w:val="22"/>
        </w:rPr>
        <w:t>)</w:t>
      </w:r>
    </w:p>
    <w:p w14:paraId="4F3384DB" w14:textId="6CDC39E1" w:rsidR="00C54645" w:rsidRPr="00716ED5" w:rsidRDefault="00C54645" w:rsidP="00716ED5">
      <w:pPr>
        <w:pStyle w:val="ListParagraph"/>
        <w:numPr>
          <w:ilvl w:val="0"/>
          <w:numId w:val="37"/>
        </w:numPr>
        <w:tabs>
          <w:tab w:val="left" w:pos="709"/>
        </w:tabs>
        <w:spacing w:after="120"/>
        <w:ind w:left="0" w:firstLine="0"/>
        <w:contextualSpacing w:val="0"/>
        <w:jc w:val="both"/>
        <w:rPr>
          <w:rFonts w:ascii="Arial" w:hAnsi="Arial" w:cs="Arial"/>
          <w:sz w:val="22"/>
          <w:szCs w:val="22"/>
        </w:rPr>
      </w:pPr>
      <w:r w:rsidRPr="00716ED5">
        <w:rPr>
          <w:rFonts w:ascii="Arial" w:hAnsi="Arial" w:cs="Arial"/>
          <w:sz w:val="22"/>
          <w:szCs w:val="22"/>
        </w:rPr>
        <w:t>Further, a significant task of the IOC is to assist and enable the implementation of the Ocean Decade. The seven Ocean Decade outcomes (below) underscore the necessity of a comprehensive ocean planning and management strategy to attain these objectives.</w:t>
      </w:r>
    </w:p>
    <w:p w14:paraId="067CA505" w14:textId="77777777" w:rsidR="00C54645" w:rsidRPr="00CD5142"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rPr>
      </w:pPr>
      <w:r w:rsidRPr="00CD5142">
        <w:rPr>
          <w:rFonts w:ascii="Arial" w:eastAsia="Arial" w:hAnsi="Arial" w:cs="Arial"/>
          <w:color w:val="000000"/>
          <w:sz w:val="22"/>
          <w:szCs w:val="22"/>
        </w:rPr>
        <w:t xml:space="preserve">A clean ocean where sources of pollution are identified, reduced or </w:t>
      </w:r>
      <w:proofErr w:type="gramStart"/>
      <w:r w:rsidRPr="00CD5142">
        <w:rPr>
          <w:rFonts w:ascii="Arial" w:eastAsia="Arial" w:hAnsi="Arial" w:cs="Arial"/>
          <w:color w:val="000000"/>
          <w:sz w:val="22"/>
          <w:szCs w:val="22"/>
        </w:rPr>
        <w:t>removed;</w:t>
      </w:r>
      <w:proofErr w:type="gramEnd"/>
    </w:p>
    <w:p w14:paraId="76D37406" w14:textId="77777777" w:rsidR="00C54645" w:rsidRPr="00CD5142"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rPr>
      </w:pPr>
      <w:r w:rsidRPr="00CD5142">
        <w:rPr>
          <w:rFonts w:ascii="Arial" w:eastAsia="Arial" w:hAnsi="Arial" w:cs="Arial"/>
          <w:color w:val="000000"/>
          <w:sz w:val="22"/>
          <w:szCs w:val="22"/>
        </w:rPr>
        <w:t xml:space="preserve">A healthy and resilient ocean where marine ecosystems are understood and </w:t>
      </w:r>
      <w:proofErr w:type="gramStart"/>
      <w:r w:rsidRPr="00CD5142">
        <w:rPr>
          <w:rFonts w:ascii="Arial" w:eastAsia="Arial" w:hAnsi="Arial" w:cs="Arial"/>
          <w:color w:val="000000"/>
          <w:sz w:val="22"/>
          <w:szCs w:val="22"/>
        </w:rPr>
        <w:t>managed;</w:t>
      </w:r>
      <w:proofErr w:type="gramEnd"/>
    </w:p>
    <w:p w14:paraId="291707C3" w14:textId="77777777" w:rsidR="00C54645" w:rsidRPr="00CD5142"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rPr>
      </w:pPr>
      <w:r w:rsidRPr="00CD5142">
        <w:rPr>
          <w:rFonts w:ascii="Arial" w:eastAsia="Arial" w:hAnsi="Arial" w:cs="Arial"/>
          <w:color w:val="000000"/>
          <w:sz w:val="22"/>
          <w:szCs w:val="22"/>
        </w:rPr>
        <w:t xml:space="preserve">A productive ocean supporting sustainable food supply and a sustainable ocean </w:t>
      </w:r>
      <w:proofErr w:type="gramStart"/>
      <w:r w:rsidRPr="00CD5142">
        <w:rPr>
          <w:rFonts w:ascii="Arial" w:eastAsia="Arial" w:hAnsi="Arial" w:cs="Arial"/>
          <w:color w:val="000000"/>
          <w:sz w:val="22"/>
          <w:szCs w:val="22"/>
        </w:rPr>
        <w:t>economy;</w:t>
      </w:r>
      <w:proofErr w:type="gramEnd"/>
    </w:p>
    <w:p w14:paraId="739187CC" w14:textId="77777777" w:rsidR="00C54645" w:rsidRPr="00CD5142"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rPr>
      </w:pPr>
      <w:r w:rsidRPr="00CD5142">
        <w:rPr>
          <w:rFonts w:ascii="Arial" w:eastAsia="Arial" w:hAnsi="Arial" w:cs="Arial"/>
          <w:color w:val="000000"/>
          <w:sz w:val="22"/>
          <w:szCs w:val="22"/>
        </w:rPr>
        <w:t xml:space="preserve">A predicted ocean where society understands and can respond to changing ocean </w:t>
      </w:r>
      <w:proofErr w:type="gramStart"/>
      <w:r w:rsidRPr="00CD5142">
        <w:rPr>
          <w:rFonts w:ascii="Arial" w:eastAsia="Arial" w:hAnsi="Arial" w:cs="Arial"/>
          <w:color w:val="000000"/>
          <w:sz w:val="22"/>
          <w:szCs w:val="22"/>
        </w:rPr>
        <w:t>conditions;</w:t>
      </w:r>
      <w:proofErr w:type="gramEnd"/>
    </w:p>
    <w:p w14:paraId="311393A6" w14:textId="77777777" w:rsidR="00C54645" w:rsidRPr="00CD5142"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rPr>
      </w:pPr>
      <w:r w:rsidRPr="00CD5142">
        <w:rPr>
          <w:rFonts w:ascii="Arial" w:eastAsia="Arial" w:hAnsi="Arial" w:cs="Arial"/>
          <w:color w:val="000000"/>
          <w:sz w:val="22"/>
          <w:szCs w:val="22"/>
        </w:rPr>
        <w:t xml:space="preserve">A safe ocean where life and livelihoods are protected from ocean-related </w:t>
      </w:r>
      <w:proofErr w:type="gramStart"/>
      <w:r w:rsidRPr="00CD5142">
        <w:rPr>
          <w:rFonts w:ascii="Arial" w:eastAsia="Arial" w:hAnsi="Arial" w:cs="Arial"/>
          <w:color w:val="000000"/>
          <w:sz w:val="22"/>
          <w:szCs w:val="22"/>
        </w:rPr>
        <w:t>hazards;</w:t>
      </w:r>
      <w:proofErr w:type="gramEnd"/>
    </w:p>
    <w:p w14:paraId="57140891" w14:textId="4763F371" w:rsidR="00C54645" w:rsidRPr="00CD5142"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rPr>
      </w:pPr>
      <w:r w:rsidRPr="00CD5142">
        <w:rPr>
          <w:rFonts w:ascii="Arial" w:eastAsia="Arial" w:hAnsi="Arial" w:cs="Arial"/>
          <w:color w:val="000000"/>
          <w:sz w:val="22"/>
          <w:szCs w:val="22"/>
        </w:rPr>
        <w:t xml:space="preserve">An accessible ocean with open and equitable access to data, information and technology, and </w:t>
      </w:r>
      <w:proofErr w:type="gramStart"/>
      <w:r w:rsidRPr="00CD5142">
        <w:rPr>
          <w:rFonts w:ascii="Arial" w:eastAsia="Arial" w:hAnsi="Arial" w:cs="Arial"/>
          <w:color w:val="000000"/>
          <w:sz w:val="22"/>
          <w:szCs w:val="22"/>
        </w:rPr>
        <w:t>innovation;</w:t>
      </w:r>
      <w:proofErr w:type="gramEnd"/>
      <w:r w:rsidRPr="00CD5142">
        <w:rPr>
          <w:rFonts w:ascii="Arial" w:eastAsia="Arial" w:hAnsi="Arial" w:cs="Arial"/>
          <w:color w:val="000000"/>
          <w:sz w:val="22"/>
          <w:szCs w:val="22"/>
        </w:rPr>
        <w:t xml:space="preserve"> </w:t>
      </w:r>
    </w:p>
    <w:p w14:paraId="36998488" w14:textId="3D3675B7" w:rsidR="00C54645" w:rsidRPr="00CD5142" w:rsidRDefault="00C54645" w:rsidP="00716ED5">
      <w:pPr>
        <w:numPr>
          <w:ilvl w:val="0"/>
          <w:numId w:val="32"/>
        </w:numPr>
        <w:pBdr>
          <w:top w:val="nil"/>
          <w:left w:val="nil"/>
          <w:bottom w:val="nil"/>
          <w:right w:val="nil"/>
          <w:between w:val="nil"/>
        </w:pBdr>
        <w:spacing w:after="160" w:line="259" w:lineRule="auto"/>
        <w:ind w:left="1276" w:hanging="572"/>
        <w:rPr>
          <w:rFonts w:ascii="Arial" w:hAnsi="Arial" w:cs="Arial"/>
          <w:sz w:val="22"/>
          <w:szCs w:val="22"/>
        </w:rPr>
      </w:pPr>
      <w:r w:rsidRPr="00CD5142">
        <w:rPr>
          <w:rFonts w:ascii="Arial" w:eastAsia="Arial" w:hAnsi="Arial" w:cs="Arial"/>
          <w:color w:val="000000"/>
          <w:sz w:val="22"/>
          <w:szCs w:val="22"/>
        </w:rPr>
        <w:t>An inspiring and engaging ocean where society understands and values the ocean in relation to human wellbeing and sustainable development</w:t>
      </w:r>
      <w:r w:rsidR="008C60EF">
        <w:rPr>
          <w:rFonts w:ascii="Arial" w:eastAsia="Arial" w:hAnsi="Arial" w:cs="Arial"/>
          <w:color w:val="000000"/>
          <w:sz w:val="22"/>
          <w:szCs w:val="22"/>
        </w:rPr>
        <w:t>.</w:t>
      </w:r>
    </w:p>
    <w:p w14:paraId="3A7E37CA" w14:textId="05EB793D" w:rsidR="00C54645" w:rsidRPr="00716ED5"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716ED5">
        <w:rPr>
          <w:rFonts w:ascii="Arial" w:hAnsi="Arial" w:cs="Arial"/>
          <w:sz w:val="22"/>
          <w:szCs w:val="22"/>
        </w:rPr>
        <w:t>Given these commitments and in line with the objectives of the IOC, the adoption of the Strategy is both timely and imperative. The Strategy will continue to uphold the core values of the IOC, with science and research serving as the foundation upon which policy and decision-making processes are built. It will build upon the rich legacy of the IOC, which already has a history of implementing key principles of sustainable ocean planning and management.</w:t>
      </w:r>
      <w:r w:rsidR="00437BDF" w:rsidRPr="00716ED5">
        <w:rPr>
          <w:rFonts w:ascii="Arial" w:hAnsi="Arial" w:cs="Arial"/>
          <w:sz w:val="22"/>
          <w:szCs w:val="22"/>
        </w:rPr>
        <w:t xml:space="preserve"> The Strategy will also enable IOC to contribute more systematically to the emerging Decade Programme on Sustainable Ocean Planning launched at the 2024 Ocean Decade Conference in Barcelona.</w:t>
      </w:r>
    </w:p>
    <w:p w14:paraId="172F06D1" w14:textId="5CDBB8C3"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 xml:space="preserve">To achieve this, the functions of the Strategy will continue to be deeply intertwined with and expand upon existing and ongoing IOC programmes. This will include programmes and projects such as </w:t>
      </w:r>
      <w:proofErr w:type="spellStart"/>
      <w:r w:rsidRPr="00CD5142">
        <w:rPr>
          <w:rFonts w:ascii="Arial" w:hAnsi="Arial" w:cs="Arial"/>
          <w:sz w:val="22"/>
          <w:szCs w:val="22"/>
        </w:rPr>
        <w:t>MSPglobal</w:t>
      </w:r>
      <w:proofErr w:type="spellEnd"/>
      <w:r w:rsidRPr="00CD5142">
        <w:rPr>
          <w:rFonts w:ascii="Arial" w:hAnsi="Arial" w:cs="Arial"/>
          <w:sz w:val="22"/>
          <w:szCs w:val="22"/>
        </w:rPr>
        <w:t xml:space="preserve">, the Global Ocean Observing System (GOOS) and the International Oceanographic Data and Information Exchange (IODE), and several initiatives under ocean science and Tsunami programmes. The Strategy will serve as a guiding framework for IOC's work across its various programmes (see </w:t>
      </w:r>
      <w:r w:rsidRPr="00716ED5">
        <w:rPr>
          <w:rFonts w:ascii="Arial" w:hAnsi="Arial" w:cs="Arial"/>
          <w:sz w:val="22"/>
          <w:szCs w:val="22"/>
          <w:u w:val="single"/>
        </w:rPr>
        <w:t>Table 2</w:t>
      </w:r>
      <w:r w:rsidR="004C580B">
        <w:rPr>
          <w:rFonts w:ascii="Arial" w:hAnsi="Arial" w:cs="Arial"/>
          <w:sz w:val="22"/>
          <w:szCs w:val="22"/>
        </w:rPr>
        <w:t xml:space="preserve"> </w:t>
      </w:r>
      <w:r w:rsidR="004C580B" w:rsidRPr="00CD5142">
        <w:rPr>
          <w:rFonts w:ascii="Arial" w:hAnsi="Arial" w:cs="Arial"/>
          <w:sz w:val="22"/>
          <w:szCs w:val="22"/>
        </w:rPr>
        <w:t>for the potential contribution of IOC programmes to the strategic</w:t>
      </w:r>
      <w:r w:rsidR="002E3962">
        <w:rPr>
          <w:rFonts w:ascii="Arial" w:hAnsi="Arial" w:cs="Arial"/>
          <w:sz w:val="22"/>
          <w:szCs w:val="22"/>
        </w:rPr>
        <w:t xml:space="preserve"> objectives</w:t>
      </w:r>
      <w:r w:rsidRPr="00CD5142">
        <w:rPr>
          <w:rFonts w:ascii="Arial" w:hAnsi="Arial" w:cs="Arial"/>
          <w:sz w:val="22"/>
          <w:szCs w:val="22"/>
        </w:rPr>
        <w:t>), facilitating future observations, data collection and management, early warning services, assessments, and the development of innovative tools, knowledge products, and capacity development initiative</w:t>
      </w:r>
      <w:r w:rsidR="00437BDF">
        <w:rPr>
          <w:rFonts w:ascii="Arial" w:hAnsi="Arial" w:cs="Arial"/>
          <w:sz w:val="22"/>
          <w:szCs w:val="22"/>
        </w:rPr>
        <w:t>s tailored to the need of the sustainable ocean planning community.</w:t>
      </w:r>
      <w:r w:rsidR="00406064">
        <w:rPr>
          <w:rFonts w:ascii="Arial" w:hAnsi="Arial" w:cs="Arial"/>
          <w:sz w:val="22"/>
          <w:szCs w:val="22"/>
        </w:rPr>
        <w:t xml:space="preserve"> </w:t>
      </w:r>
    </w:p>
    <w:p w14:paraId="02254FE1" w14:textId="77777777"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By marrying existing scientific knowledge with management practices, the Strategy seeks to bridge the gap, ensuring that the IOC's scientific efforts translate into tangible solutions for the sustainable management of our ocean. The Strategy, therefore, represents a holistic approach, in which the tools and initiatives will empower Member States and stakeholders with the scientific insights and practical resources needed to tackle the complex challenges of ocean management effectively.</w:t>
      </w:r>
    </w:p>
    <w:p w14:paraId="6C7616F2" w14:textId="71B1C5BB"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The Strategy addresses the diverse and interconnected drivers at the global, regional, and national levels. As a trusted agency in this space, IOC can facilitate a cohesive and coordinated approach to help Member States in achieving their sustainable development goals, promoting the conservation and sustainable use of marine resources, and fostering effective ocean governance.</w:t>
      </w:r>
    </w:p>
    <w:p w14:paraId="095B2234" w14:textId="756EBA9B" w:rsidR="00C54645" w:rsidRDefault="00C54645" w:rsidP="00716ED5">
      <w:pPr>
        <w:pStyle w:val="ListParagraph"/>
        <w:numPr>
          <w:ilvl w:val="0"/>
          <w:numId w:val="37"/>
        </w:numPr>
        <w:tabs>
          <w:tab w:val="left" w:pos="709"/>
        </w:tabs>
        <w:spacing w:after="120"/>
        <w:ind w:left="0" w:firstLine="0"/>
        <w:contextualSpacing w:val="0"/>
        <w:jc w:val="both"/>
        <w:rPr>
          <w:rFonts w:ascii="Arial" w:hAnsi="Arial" w:cs="Arial"/>
          <w:sz w:val="22"/>
          <w:szCs w:val="22"/>
        </w:rPr>
      </w:pPr>
      <w:r w:rsidRPr="00CD5142">
        <w:rPr>
          <w:rFonts w:ascii="Arial" w:hAnsi="Arial" w:cs="Arial"/>
          <w:sz w:val="22"/>
          <w:szCs w:val="22"/>
        </w:rPr>
        <w:t>The IOC in leveraging its knowledge and expertise with the support of Member States, can achieve the following objectives under this Strategy:</w:t>
      </w:r>
    </w:p>
    <w:p w14:paraId="083BD8AB" w14:textId="20ABCF46" w:rsidR="00C54645" w:rsidRPr="00CD5142" w:rsidRDefault="00C54645" w:rsidP="00716ED5">
      <w:pPr>
        <w:numPr>
          <w:ilvl w:val="0"/>
          <w:numId w:val="38"/>
        </w:numPr>
        <w:pBdr>
          <w:top w:val="nil"/>
          <w:left w:val="nil"/>
          <w:bottom w:val="nil"/>
          <w:right w:val="nil"/>
          <w:between w:val="nil"/>
        </w:pBdr>
        <w:spacing w:after="120"/>
        <w:ind w:left="1246" w:hanging="528"/>
        <w:rPr>
          <w:rFonts w:ascii="Arial" w:hAnsi="Arial" w:cs="Arial"/>
          <w:color w:val="000000"/>
          <w:sz w:val="22"/>
          <w:szCs w:val="22"/>
        </w:rPr>
      </w:pPr>
      <w:r w:rsidRPr="00CD5142">
        <w:rPr>
          <w:rFonts w:ascii="Arial" w:eastAsia="Arial" w:hAnsi="Arial" w:cs="Arial"/>
          <w:color w:val="000000"/>
          <w:sz w:val="22"/>
          <w:szCs w:val="22"/>
        </w:rPr>
        <w:t xml:space="preserve">Increased integration and mainstreaming of sustainable ocean planning and management </w:t>
      </w:r>
      <w:proofErr w:type="gramStart"/>
      <w:r w:rsidRPr="00CD5142">
        <w:rPr>
          <w:rFonts w:ascii="Arial" w:eastAsia="Arial" w:hAnsi="Arial" w:cs="Arial"/>
          <w:color w:val="000000"/>
          <w:sz w:val="22"/>
          <w:szCs w:val="22"/>
        </w:rPr>
        <w:t>approaches</w:t>
      </w:r>
      <w:r w:rsidR="00BC4EB9">
        <w:rPr>
          <w:rFonts w:ascii="Arial" w:eastAsia="Arial" w:hAnsi="Arial" w:cs="Arial"/>
          <w:color w:val="000000"/>
          <w:sz w:val="22"/>
          <w:szCs w:val="22"/>
        </w:rPr>
        <w:t>;</w:t>
      </w:r>
      <w:proofErr w:type="gramEnd"/>
    </w:p>
    <w:p w14:paraId="7AF3DF4D" w14:textId="7A3B853F" w:rsidR="00C54645" w:rsidRPr="00CD5142" w:rsidRDefault="00C54645" w:rsidP="00716ED5">
      <w:pPr>
        <w:numPr>
          <w:ilvl w:val="0"/>
          <w:numId w:val="38"/>
        </w:numPr>
        <w:pBdr>
          <w:top w:val="nil"/>
          <w:left w:val="nil"/>
          <w:bottom w:val="nil"/>
          <w:right w:val="nil"/>
          <w:between w:val="nil"/>
        </w:pBdr>
        <w:spacing w:after="120"/>
        <w:ind w:left="1246" w:hanging="528"/>
        <w:rPr>
          <w:rFonts w:ascii="Arial" w:hAnsi="Arial" w:cs="Arial"/>
          <w:sz w:val="22"/>
          <w:szCs w:val="22"/>
        </w:rPr>
      </w:pPr>
      <w:r w:rsidRPr="00CD5142">
        <w:rPr>
          <w:rFonts w:ascii="Arial" w:eastAsia="Arial" w:hAnsi="Arial" w:cs="Arial"/>
          <w:color w:val="000000"/>
          <w:sz w:val="22"/>
          <w:szCs w:val="22"/>
        </w:rPr>
        <w:t>Improved observation, data, data frameworks</w:t>
      </w:r>
      <w:r w:rsidRPr="00CD5142">
        <w:rPr>
          <w:rFonts w:ascii="Arial" w:eastAsia="Arial" w:hAnsi="Arial" w:cs="Arial"/>
          <w:color w:val="000000"/>
          <w:sz w:val="22"/>
          <w:szCs w:val="22"/>
          <w:vertAlign w:val="superscript"/>
        </w:rPr>
        <w:footnoteReference w:id="1"/>
      </w:r>
      <w:r w:rsidRPr="00CD5142">
        <w:rPr>
          <w:rFonts w:ascii="Arial" w:eastAsia="Arial" w:hAnsi="Arial" w:cs="Arial"/>
          <w:color w:val="000000"/>
          <w:sz w:val="22"/>
          <w:szCs w:val="22"/>
        </w:rPr>
        <w:t xml:space="preserve"> and </w:t>
      </w:r>
      <w:r w:rsidRPr="00CD5142">
        <w:rPr>
          <w:rFonts w:ascii="Arial" w:hAnsi="Arial" w:cs="Arial"/>
          <w:sz w:val="22"/>
          <w:szCs w:val="22"/>
        </w:rPr>
        <w:t>knowledge</w:t>
      </w:r>
      <w:r w:rsidRPr="00CD5142">
        <w:rPr>
          <w:rFonts w:ascii="Arial" w:eastAsia="Arial" w:hAnsi="Arial" w:cs="Arial"/>
          <w:color w:val="000000"/>
          <w:sz w:val="22"/>
          <w:szCs w:val="22"/>
        </w:rPr>
        <w:t xml:space="preserve"> management for ecosystem-based management and sectoral </w:t>
      </w:r>
      <w:proofErr w:type="gramStart"/>
      <w:r w:rsidRPr="00CD5142">
        <w:rPr>
          <w:rFonts w:ascii="Arial" w:eastAsia="Arial" w:hAnsi="Arial" w:cs="Arial"/>
          <w:color w:val="000000"/>
          <w:sz w:val="22"/>
          <w:szCs w:val="22"/>
        </w:rPr>
        <w:t>applications</w:t>
      </w:r>
      <w:r w:rsidR="00BC4EB9">
        <w:rPr>
          <w:rFonts w:ascii="Arial" w:eastAsia="Arial" w:hAnsi="Arial" w:cs="Arial"/>
          <w:color w:val="000000"/>
          <w:sz w:val="22"/>
          <w:szCs w:val="22"/>
        </w:rPr>
        <w:t>;</w:t>
      </w:r>
      <w:proofErr w:type="gramEnd"/>
    </w:p>
    <w:p w14:paraId="78CA7C3D" w14:textId="5873B367" w:rsidR="00C54645" w:rsidRPr="00CD5142" w:rsidRDefault="00C54645" w:rsidP="00716ED5">
      <w:pPr>
        <w:numPr>
          <w:ilvl w:val="0"/>
          <w:numId w:val="38"/>
        </w:numPr>
        <w:pBdr>
          <w:top w:val="nil"/>
          <w:left w:val="nil"/>
          <w:bottom w:val="nil"/>
          <w:right w:val="nil"/>
          <w:between w:val="nil"/>
        </w:pBdr>
        <w:spacing w:after="120"/>
        <w:ind w:left="1246" w:hanging="528"/>
        <w:rPr>
          <w:rFonts w:ascii="Arial" w:hAnsi="Arial" w:cs="Arial"/>
          <w:sz w:val="22"/>
          <w:szCs w:val="22"/>
        </w:rPr>
      </w:pPr>
      <w:r w:rsidRPr="00CD5142">
        <w:rPr>
          <w:rFonts w:ascii="Arial" w:eastAsia="Arial" w:hAnsi="Arial" w:cs="Arial"/>
          <w:color w:val="000000"/>
          <w:sz w:val="22"/>
          <w:szCs w:val="22"/>
        </w:rPr>
        <w:t xml:space="preserve">Strengthened cross-sectoral and transboundary </w:t>
      </w:r>
      <w:proofErr w:type="gramStart"/>
      <w:r w:rsidRPr="00CD5142">
        <w:rPr>
          <w:rFonts w:ascii="Arial" w:hAnsi="Arial" w:cs="Arial"/>
          <w:sz w:val="22"/>
          <w:szCs w:val="22"/>
        </w:rPr>
        <w:t>coordination</w:t>
      </w:r>
      <w:r w:rsidR="00BC4EB9">
        <w:rPr>
          <w:rFonts w:ascii="Arial" w:hAnsi="Arial" w:cs="Arial"/>
          <w:sz w:val="22"/>
          <w:szCs w:val="22"/>
        </w:rPr>
        <w:t>;</w:t>
      </w:r>
      <w:proofErr w:type="gramEnd"/>
    </w:p>
    <w:p w14:paraId="0B0D2653" w14:textId="69B65773" w:rsidR="00C54645" w:rsidRPr="00CD5142" w:rsidRDefault="00C54645" w:rsidP="00716ED5">
      <w:pPr>
        <w:numPr>
          <w:ilvl w:val="0"/>
          <w:numId w:val="38"/>
        </w:numPr>
        <w:pBdr>
          <w:top w:val="nil"/>
          <w:left w:val="nil"/>
          <w:bottom w:val="nil"/>
          <w:right w:val="nil"/>
          <w:between w:val="nil"/>
        </w:pBdr>
        <w:spacing w:after="240"/>
        <w:ind w:left="1247" w:hanging="527"/>
        <w:rPr>
          <w:rFonts w:ascii="Arial" w:hAnsi="Arial" w:cs="Arial"/>
          <w:sz w:val="22"/>
          <w:szCs w:val="22"/>
        </w:rPr>
      </w:pPr>
      <w:r w:rsidRPr="00CD5142">
        <w:rPr>
          <w:rFonts w:ascii="Arial" w:hAnsi="Arial" w:cs="Arial"/>
          <w:sz w:val="22"/>
          <w:szCs w:val="22"/>
        </w:rPr>
        <w:t>Expanded capacity development</w:t>
      </w:r>
      <w:r w:rsidR="00BC4EB9">
        <w:rPr>
          <w:rFonts w:ascii="Arial" w:hAnsi="Arial" w:cs="Arial"/>
          <w:sz w:val="22"/>
          <w:szCs w:val="22"/>
        </w:rPr>
        <w:t>.</w:t>
      </w:r>
    </w:p>
    <w:p w14:paraId="128402DD" w14:textId="716DB8B8" w:rsidR="00C54645" w:rsidRPr="00716ED5" w:rsidRDefault="00C54645" w:rsidP="00716ED5">
      <w:pPr>
        <w:pStyle w:val="Heading2"/>
        <w:spacing w:before="240" w:after="240"/>
        <w:rPr>
          <w:rFonts w:ascii="Arial" w:hAnsi="Arial"/>
          <w:color w:val="000000" w:themeColor="text1"/>
          <w:sz w:val="22"/>
          <w:szCs w:val="22"/>
          <w:u w:val="single"/>
        </w:rPr>
      </w:pPr>
      <w:bookmarkStart w:id="6" w:name="_Toc168325789"/>
      <w:r w:rsidRPr="00716ED5">
        <w:rPr>
          <w:rFonts w:ascii="Arial" w:hAnsi="Arial"/>
          <w:color w:val="000000" w:themeColor="text1"/>
          <w:sz w:val="22"/>
          <w:szCs w:val="22"/>
          <w:u w:val="single"/>
        </w:rPr>
        <w:t>Sustainable Ocean Planning and Management in the IOC</w:t>
      </w:r>
      <w:bookmarkEnd w:id="6"/>
    </w:p>
    <w:p w14:paraId="6D6EA16A" w14:textId="79E6A9D6"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The ocean economy is inherently intricate, involving diverse users engaged in various activities, often with potential conflicts among themselves or with the environment. A sustainable ocean economy emerges when these economic activities are integrated with the sustainable management of ocean ecosystems, aligning with their long-term capacity to support these activities while enhancing resilience, health, and well-being</w:t>
      </w:r>
      <w:r w:rsidRPr="00CD5142">
        <w:rPr>
          <w:rFonts w:ascii="Arial" w:eastAsia="Arial" w:hAnsi="Arial" w:cs="Arial"/>
          <w:sz w:val="22"/>
          <w:szCs w:val="22"/>
          <w:vertAlign w:val="superscript"/>
        </w:rPr>
        <w:footnoteReference w:id="2"/>
      </w:r>
      <w:r w:rsidRPr="00CD5142">
        <w:rPr>
          <w:rFonts w:ascii="Arial" w:hAnsi="Arial" w:cs="Arial"/>
          <w:sz w:val="22"/>
          <w:szCs w:val="22"/>
        </w:rPr>
        <w:t xml:space="preserve">. To effectively govern and manage this complexity, an integrated, transboundary, and cross-sectoral approach that acknowledges the interdependence of different ocean uses and their impacts on a well-functioning and healthy ocean is needed. </w:t>
      </w:r>
    </w:p>
    <w:p w14:paraId="48334423" w14:textId="210E779F"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 xml:space="preserve">Sustainable Ocean Planning and Management is a strategic approach aimed at ensuring the long-term health and productivity of marine environments while fostering economic growth, social </w:t>
      </w:r>
      <w:r w:rsidRPr="00CD5142">
        <w:rPr>
          <w:rFonts w:ascii="Arial" w:hAnsi="Arial" w:cs="Arial"/>
          <w:sz w:val="22"/>
          <w:szCs w:val="22"/>
        </w:rPr>
        <w:lastRenderedPageBreak/>
        <w:t xml:space="preserve">benefits and climate resilience. It involves incorporating and advancing IOC’s work in various approaches and scales, such as Integrated Coastal Area Management (ICAM), Marine Spatial Planning (MSP), Sustainable Ocean Planning and Management (SOP), and Large Marine Ecosystems (LME). Achieving this equilibrium necessitates robust planning and management, supported by ocean observations, specialised data products, scientific assessments, and monitoring of ecosystem health and economic development. </w:t>
      </w:r>
      <w:proofErr w:type="gramStart"/>
      <w:r w:rsidRPr="00CD5142">
        <w:rPr>
          <w:rFonts w:ascii="Arial" w:hAnsi="Arial" w:cs="Arial"/>
          <w:sz w:val="22"/>
          <w:szCs w:val="22"/>
        </w:rPr>
        <w:t>Knowledge-based ocean</w:t>
      </w:r>
      <w:proofErr w:type="gramEnd"/>
      <w:r w:rsidRPr="00CD5142">
        <w:rPr>
          <w:rFonts w:ascii="Arial" w:hAnsi="Arial" w:cs="Arial"/>
          <w:sz w:val="22"/>
          <w:szCs w:val="22"/>
        </w:rPr>
        <w:t xml:space="preserve"> management approaches, such as marine spatial planning, coastal zone management, marine protected areas, and </w:t>
      </w:r>
      <w:r w:rsidR="00192C43" w:rsidRPr="00CD5142">
        <w:rPr>
          <w:rFonts w:ascii="Arial" w:hAnsi="Arial" w:cs="Arial"/>
          <w:sz w:val="22"/>
          <w:szCs w:val="22"/>
        </w:rPr>
        <w:t xml:space="preserve">large marine ecosystem </w:t>
      </w:r>
      <w:r w:rsidRPr="00CD5142">
        <w:rPr>
          <w:rFonts w:ascii="Arial" w:hAnsi="Arial" w:cs="Arial"/>
          <w:sz w:val="22"/>
          <w:szCs w:val="22"/>
        </w:rPr>
        <w:t>management, play pivotal roles in defining objectives, operational plans, safe boundaries, and guidelines for ocean activities, reducing conflicts among multiple ocean uses.</w:t>
      </w:r>
    </w:p>
    <w:p w14:paraId="71C9CA74" w14:textId="0D1E7FCC"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The influence of IOC's work in delivering fit-for-purpose knowledge for shaping policy frameworks and achieving sustainable outcomes is evident. Over the past three decades, IOC has made significant strides in sustainable ocean planning and management, a core component of its mission to achieve the ‘</w:t>
      </w:r>
      <w:r w:rsidRPr="00CD5142">
        <w:rPr>
          <w:rFonts w:ascii="Arial" w:hAnsi="Arial" w:cs="Arial"/>
          <w:i/>
          <w:sz w:val="22"/>
          <w:szCs w:val="22"/>
        </w:rPr>
        <w:t>Ocean We Need for the Future We Want</w:t>
      </w:r>
      <w:r w:rsidRPr="00CD5142">
        <w:rPr>
          <w:rFonts w:ascii="Arial" w:hAnsi="Arial" w:cs="Arial"/>
          <w:sz w:val="22"/>
          <w:szCs w:val="22"/>
        </w:rPr>
        <w:t>’. Notably, in 2009, IOC developed the first international guidelines on Marine Spatial Planning, integrating spatial components, ecosystem-based approaches, and participative processes into marine policies. This has played a pivotal role in driving the global adoption of marine spatial plans, with 126 countries/territories engaged in Marine Spatial Planning initiatives by the end of 2023</w:t>
      </w:r>
      <w:r w:rsidRPr="00CD5142">
        <w:rPr>
          <w:rFonts w:ascii="Arial" w:hAnsi="Arial" w:cs="Arial"/>
          <w:sz w:val="22"/>
          <w:szCs w:val="22"/>
          <w:vertAlign w:val="superscript"/>
        </w:rPr>
        <w:footnoteReference w:id="3"/>
      </w:r>
      <w:r w:rsidRPr="00CD5142">
        <w:rPr>
          <w:rFonts w:ascii="Arial" w:hAnsi="Arial" w:cs="Arial"/>
          <w:sz w:val="22"/>
          <w:szCs w:val="22"/>
        </w:rPr>
        <w:t xml:space="preserve">. </w:t>
      </w:r>
    </w:p>
    <w:p w14:paraId="6568B8E1" w14:textId="31010C49" w:rsidR="00C54645" w:rsidRPr="00A361B7" w:rsidRDefault="00C54645" w:rsidP="00705E7B">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A361B7">
        <w:rPr>
          <w:rFonts w:ascii="Arial" w:hAnsi="Arial" w:cs="Arial"/>
          <w:sz w:val="22"/>
          <w:szCs w:val="22"/>
        </w:rPr>
        <w:t xml:space="preserve">An overarching Strategy on Sustainable Ocean Planning and Management will act as a unifying framework that ensures the coordinated advancement of existing IOC programmes and </w:t>
      </w:r>
      <w:r w:rsidR="00A361B7" w:rsidRPr="00A361B7">
        <w:rPr>
          <w:rFonts w:ascii="Arial" w:hAnsi="Arial" w:cs="Arial"/>
          <w:sz w:val="22"/>
          <w:szCs w:val="22"/>
        </w:rPr>
        <w:t xml:space="preserve">projects, building on the </w:t>
      </w:r>
      <w:hyperlink r:id="rId16" w:history="1">
        <w:r w:rsidR="00A361B7" w:rsidRPr="00A361B7">
          <w:rPr>
            <w:rFonts w:ascii="Arial" w:hAnsi="Arial" w:cs="Arial"/>
            <w:color w:val="1155CC"/>
            <w:sz w:val="22"/>
            <w:szCs w:val="22"/>
            <w:u w:val="single"/>
          </w:rPr>
          <w:t>IOC Integrated Coastal Area Management (ICAM) Strategy</w:t>
        </w:r>
      </w:hyperlink>
      <w:r w:rsidR="00A361B7" w:rsidRPr="00A361B7">
        <w:rPr>
          <w:rFonts w:ascii="Arial" w:hAnsi="Arial" w:cs="Arial"/>
          <w:color w:val="000000" w:themeColor="text1"/>
          <w:sz w:val="22"/>
          <w:szCs w:val="22"/>
        </w:rPr>
        <w:t>,</w:t>
      </w:r>
      <w:r w:rsidR="00A361B7" w:rsidRPr="00A361B7">
        <w:rPr>
          <w:rFonts w:ascii="Arial" w:hAnsi="Arial" w:cs="Arial"/>
          <w:sz w:val="22"/>
          <w:szCs w:val="22"/>
        </w:rPr>
        <w:t xml:space="preserve"> approved by Member States in 2015. </w:t>
      </w:r>
      <w:r w:rsidRPr="00A361B7">
        <w:rPr>
          <w:rFonts w:ascii="Arial" w:hAnsi="Arial" w:cs="Arial"/>
          <w:sz w:val="22"/>
          <w:szCs w:val="22"/>
        </w:rPr>
        <w:t>The Strategy enhances collective capacities to address emerging ocean concerns through ecosystem-based management tools, promotes climate change adaptation</w:t>
      </w:r>
      <w:r w:rsidR="00406064" w:rsidRPr="00A361B7">
        <w:rPr>
          <w:rFonts w:ascii="Arial" w:hAnsi="Arial" w:cs="Arial"/>
          <w:sz w:val="22"/>
          <w:szCs w:val="22"/>
        </w:rPr>
        <w:t>, resilience to ocean hazards</w:t>
      </w:r>
      <w:r w:rsidRPr="00A361B7">
        <w:rPr>
          <w:rFonts w:ascii="Arial" w:hAnsi="Arial" w:cs="Arial"/>
          <w:sz w:val="22"/>
          <w:szCs w:val="22"/>
        </w:rPr>
        <w:t xml:space="preserve">, and strengthens knowledge supporting management actions on coastal and marine ecosystems. The IOC's ongoing efforts in ocean research and knowledge contribute to the Strategy by establishing a knowledge foundation that supports informed decision-making in ocean management, building on IOC’s efforts in ecosystem science, including multiple ocean stressors, and integrated assessment products. </w:t>
      </w:r>
      <w:r w:rsidR="00A361B7" w:rsidRPr="00A361B7">
        <w:rPr>
          <w:rFonts w:ascii="Arial" w:hAnsi="Arial" w:cs="Arial"/>
          <w:sz w:val="22"/>
          <w:szCs w:val="22"/>
        </w:rPr>
        <w:t xml:space="preserve">Additionally, by leveraging the established strengths of IOC through initiatives like the Ocean Biodiversity Information System (OBIS) and Ocean Data and Information System (ODIS), </w:t>
      </w:r>
      <w:r w:rsidRPr="00A361B7">
        <w:rPr>
          <w:rFonts w:ascii="Arial" w:hAnsi="Arial" w:cs="Arial"/>
          <w:sz w:val="22"/>
          <w:szCs w:val="22"/>
        </w:rPr>
        <w:t>the</w:t>
      </w:r>
      <w:r w:rsidR="002E3962" w:rsidRPr="00A361B7">
        <w:rPr>
          <w:rFonts w:ascii="Arial" w:hAnsi="Arial" w:cs="Arial"/>
          <w:sz w:val="22"/>
          <w:szCs w:val="22"/>
        </w:rPr>
        <w:t xml:space="preserve"> Strategy aims to enhance </w:t>
      </w:r>
      <w:r w:rsidRPr="00A361B7">
        <w:rPr>
          <w:rFonts w:ascii="Arial" w:hAnsi="Arial" w:cs="Arial"/>
          <w:sz w:val="22"/>
          <w:szCs w:val="22"/>
        </w:rPr>
        <w:t>data accessibility, quality, and availability,</w:t>
      </w:r>
      <w:r w:rsidR="002E3962" w:rsidRPr="00A361B7">
        <w:rPr>
          <w:rFonts w:ascii="Arial" w:hAnsi="Arial" w:cs="Arial"/>
          <w:sz w:val="22"/>
          <w:szCs w:val="22"/>
        </w:rPr>
        <w:t xml:space="preserve"> with a focused effort </w:t>
      </w:r>
      <w:r w:rsidRPr="00A361B7">
        <w:rPr>
          <w:rFonts w:ascii="Arial" w:hAnsi="Arial" w:cs="Arial"/>
          <w:sz w:val="22"/>
          <w:szCs w:val="22"/>
        </w:rPr>
        <w:t>on modelling</w:t>
      </w:r>
      <w:r w:rsidR="002E3962" w:rsidRPr="00A361B7">
        <w:rPr>
          <w:rFonts w:ascii="Arial" w:hAnsi="Arial" w:cs="Arial"/>
          <w:sz w:val="22"/>
          <w:szCs w:val="22"/>
        </w:rPr>
        <w:t xml:space="preserve"> and identifying </w:t>
      </w:r>
      <w:r w:rsidRPr="00A361B7">
        <w:rPr>
          <w:rFonts w:ascii="Arial" w:hAnsi="Arial" w:cs="Arial"/>
          <w:sz w:val="22"/>
          <w:szCs w:val="22"/>
        </w:rPr>
        <w:t>relevant ocean prediction products,</w:t>
      </w:r>
      <w:r w:rsidR="002E3962" w:rsidRPr="00A361B7">
        <w:rPr>
          <w:rFonts w:ascii="Arial" w:hAnsi="Arial" w:cs="Arial"/>
          <w:sz w:val="22"/>
          <w:szCs w:val="22"/>
        </w:rPr>
        <w:t xml:space="preserve"> thereby providing decision-makers </w:t>
      </w:r>
      <w:r w:rsidRPr="00A361B7">
        <w:rPr>
          <w:rFonts w:ascii="Arial" w:hAnsi="Arial" w:cs="Arial"/>
          <w:sz w:val="22"/>
          <w:szCs w:val="22"/>
        </w:rPr>
        <w:t>and stakeholders with comprehensive and reliable information. Ultimately, this unified approach aims to enhance collaboration among stakeholders, facilitate evidence-based decision-making, and promote agreed practices or methodologies, furthering IOC's commitment to coastal resilience, decision-support tools, and data-driven solutions.</w:t>
      </w:r>
    </w:p>
    <w:p w14:paraId="3CDDC790" w14:textId="502D2018" w:rsid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The Strategy for Sustainable Ocean Planning and Management will empower IOC to extend its influence beyond existing programmes and projects, transcending the boundaries of current efforts to contribute meaningfully to broader ocean economy discussions. This strategic extension aims to bolster policy influence, increase the engagement of economic and policy-making stakeholders, facilitate transboundary and cross-sectoral planning and</w:t>
      </w:r>
      <w:r w:rsidR="002E3962">
        <w:rPr>
          <w:rFonts w:ascii="Arial" w:hAnsi="Arial" w:cs="Arial"/>
          <w:sz w:val="22"/>
          <w:szCs w:val="22"/>
        </w:rPr>
        <w:t xml:space="preserve"> further enhance existing efforts </w:t>
      </w:r>
      <w:sdt>
        <w:sdtPr>
          <w:rPr>
            <w:rFonts w:ascii="Arial" w:hAnsi="Arial" w:cs="Arial"/>
            <w:sz w:val="22"/>
            <w:szCs w:val="22"/>
          </w:rPr>
          <w:tag w:val="goog_rdk_19"/>
          <w:id w:val="1804036926"/>
        </w:sdtPr>
        <w:sdtEndPr/>
        <w:sdtContent>
          <w:r w:rsidRPr="00CD5142">
            <w:rPr>
              <w:rFonts w:ascii="Arial" w:hAnsi="Arial" w:cs="Arial"/>
              <w:sz w:val="22"/>
              <w:szCs w:val="22"/>
            </w:rPr>
            <w:t>to</w:t>
          </w:r>
        </w:sdtContent>
      </w:sdt>
      <w:r w:rsidRPr="00CD5142">
        <w:rPr>
          <w:rFonts w:ascii="Arial" w:hAnsi="Arial" w:cs="Arial"/>
          <w:sz w:val="22"/>
          <w:szCs w:val="22"/>
        </w:rPr>
        <w:t xml:space="preserve"> </w:t>
      </w:r>
      <w:r w:rsidR="002E3962">
        <w:rPr>
          <w:rFonts w:ascii="Arial" w:hAnsi="Arial" w:cs="Arial"/>
          <w:sz w:val="22"/>
          <w:szCs w:val="22"/>
        </w:rPr>
        <w:t xml:space="preserve">harmonise </w:t>
      </w:r>
      <w:r w:rsidRPr="00CD5142">
        <w:rPr>
          <w:rFonts w:ascii="Arial" w:hAnsi="Arial" w:cs="Arial"/>
          <w:sz w:val="22"/>
          <w:szCs w:val="22"/>
        </w:rPr>
        <w:t xml:space="preserve">data held by various institutions, countries, and partners into a unified framework that promotes the different approaches related to sustainable ocean planning and management. By aligning with, and supporting, existing frameworks, such as sustainable ocean plans, </w:t>
      </w:r>
      <w:r w:rsidR="000246AA">
        <w:rPr>
          <w:rFonts w:ascii="Arial" w:hAnsi="Arial" w:cs="Arial"/>
          <w:sz w:val="22"/>
          <w:szCs w:val="22"/>
        </w:rPr>
        <w:t xml:space="preserve">sustainable ocean economy </w:t>
      </w:r>
      <w:r w:rsidRPr="00CD5142">
        <w:rPr>
          <w:rFonts w:ascii="Arial" w:hAnsi="Arial" w:cs="Arial"/>
          <w:sz w:val="22"/>
          <w:szCs w:val="22"/>
        </w:rPr>
        <w:t>roadmaps, national ocean accounting, and natural capital assessments, the Strategy seeks to amplify IOC’s relevance and drive positive change on a global scale.</w:t>
      </w:r>
    </w:p>
    <w:p w14:paraId="4F9666A9" w14:textId="4FDD0DA4" w:rsidR="008D35BF"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 xml:space="preserve">Furthermore, the Strategy capitalises on the regional expertise and insights provided by the four IOC Sub-Commissions (IOCARIBE, IOCAFRICA, WESTPAC, and IOCINDIO), which are instrumental in identifying the localised ocean planning and management needs and regional specificities. This allows the Strategy to be responsive and tailored, ensuring that regional </w:t>
      </w:r>
      <w:r w:rsidRPr="00CD5142">
        <w:rPr>
          <w:rFonts w:ascii="Arial" w:hAnsi="Arial" w:cs="Arial"/>
          <w:sz w:val="22"/>
          <w:szCs w:val="22"/>
        </w:rPr>
        <w:lastRenderedPageBreak/>
        <w:t>characteristics and challenges are addressed effectively and that the implementation of sustainable ocean planning and management is adapted to fit the unique contexts of different regions.</w:t>
      </w:r>
      <w:r w:rsidR="00406064">
        <w:rPr>
          <w:rFonts w:ascii="Arial" w:hAnsi="Arial" w:cs="Arial"/>
          <w:sz w:val="22"/>
          <w:szCs w:val="22"/>
        </w:rPr>
        <w:t xml:space="preserve"> Finally, IOC will be able to leverage the expertise of the UNESCO in other areas (e</w:t>
      </w:r>
      <w:r w:rsidR="002E3962">
        <w:rPr>
          <w:rFonts w:ascii="Arial" w:hAnsi="Arial" w:cs="Arial"/>
          <w:sz w:val="22"/>
          <w:szCs w:val="22"/>
        </w:rPr>
        <w:t>.</w:t>
      </w:r>
      <w:r w:rsidR="00406064">
        <w:rPr>
          <w:rFonts w:ascii="Arial" w:hAnsi="Arial" w:cs="Arial"/>
          <w:sz w:val="22"/>
          <w:szCs w:val="22"/>
        </w:rPr>
        <w:t>g</w:t>
      </w:r>
      <w:r w:rsidR="002E3962">
        <w:rPr>
          <w:rFonts w:ascii="Arial" w:hAnsi="Arial" w:cs="Arial"/>
          <w:sz w:val="22"/>
          <w:szCs w:val="22"/>
        </w:rPr>
        <w:t>.</w:t>
      </w:r>
      <w:r w:rsidR="00406064">
        <w:rPr>
          <w:rFonts w:ascii="Arial" w:hAnsi="Arial" w:cs="Arial"/>
          <w:sz w:val="22"/>
          <w:szCs w:val="22"/>
        </w:rPr>
        <w:t xml:space="preserve">, biodiversity conservation, </w:t>
      </w:r>
      <w:r w:rsidR="0019023C">
        <w:rPr>
          <w:rFonts w:ascii="Arial" w:hAnsi="Arial" w:cs="Arial"/>
          <w:sz w:val="22"/>
          <w:szCs w:val="22"/>
        </w:rPr>
        <w:t xml:space="preserve">indigenous </w:t>
      </w:r>
      <w:r w:rsidR="00406064">
        <w:rPr>
          <w:rFonts w:ascii="Arial" w:hAnsi="Arial" w:cs="Arial"/>
          <w:sz w:val="22"/>
          <w:szCs w:val="22"/>
        </w:rPr>
        <w:t>and local knowledge systems, hydrology, etc</w:t>
      </w:r>
      <w:r w:rsidR="002E3962">
        <w:rPr>
          <w:rFonts w:ascii="Arial" w:hAnsi="Arial" w:cs="Arial"/>
          <w:sz w:val="22"/>
          <w:szCs w:val="22"/>
        </w:rPr>
        <w:t>.</w:t>
      </w:r>
      <w:r w:rsidR="00406064">
        <w:rPr>
          <w:rFonts w:ascii="Arial" w:hAnsi="Arial" w:cs="Arial"/>
          <w:sz w:val="22"/>
          <w:szCs w:val="22"/>
        </w:rPr>
        <w:t>)</w:t>
      </w:r>
      <w:r w:rsidR="00F66862">
        <w:rPr>
          <w:rFonts w:ascii="Arial" w:hAnsi="Arial" w:cs="Arial"/>
          <w:sz w:val="22"/>
          <w:szCs w:val="22"/>
        </w:rPr>
        <w:t xml:space="preserve"> </w:t>
      </w:r>
      <w:r w:rsidR="00406064">
        <w:rPr>
          <w:rFonts w:ascii="Arial" w:hAnsi="Arial" w:cs="Arial"/>
          <w:sz w:val="22"/>
          <w:szCs w:val="22"/>
        </w:rPr>
        <w:t>to implement its strategy and offer a unique inter-disciplinary approach to ocean management within the UN</w:t>
      </w:r>
      <w:r w:rsidR="00750C34">
        <w:rPr>
          <w:rStyle w:val="FootnoteReference"/>
          <w:rFonts w:cs="Arial"/>
          <w:sz w:val="22"/>
          <w:szCs w:val="22"/>
        </w:rPr>
        <w:footnoteReference w:id="4"/>
      </w:r>
      <w:r w:rsidR="00406064">
        <w:rPr>
          <w:rFonts w:ascii="Arial" w:hAnsi="Arial" w:cs="Arial"/>
          <w:sz w:val="22"/>
          <w:szCs w:val="22"/>
        </w:rPr>
        <w:t>.</w:t>
      </w:r>
    </w:p>
    <w:p w14:paraId="0316B63B" w14:textId="77777777"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 xml:space="preserve">Through the implementation of the Strategy, Member States can receive guidance and technical assistance, harmonising their national policies with global and regional frameworks and global good practices. This collaborative approach fosters capacity development and knowledge exchange, ultimately elevating the implementation of sustainable ocean planning and management practices. </w:t>
      </w:r>
    </w:p>
    <w:p w14:paraId="1959AB3C" w14:textId="1BC51F8E"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 xml:space="preserve">Building upon its unique mandate to foster international cooperation in ocean science, observation, and capacity development, IOC is well-positioned to </w:t>
      </w:r>
      <w:r w:rsidR="00254057" w:rsidRPr="00CD5142">
        <w:rPr>
          <w:rFonts w:ascii="Arial" w:hAnsi="Arial" w:cs="Arial"/>
          <w:sz w:val="22"/>
          <w:szCs w:val="22"/>
        </w:rPr>
        <w:t>realize</w:t>
      </w:r>
      <w:r w:rsidRPr="00CD5142">
        <w:rPr>
          <w:rFonts w:ascii="Arial" w:hAnsi="Arial" w:cs="Arial"/>
          <w:sz w:val="22"/>
          <w:szCs w:val="22"/>
        </w:rPr>
        <w:t xml:space="preserve"> the objectives within this Strategy. The organisation's specialised knowledge enables it to offer critical technical support and evidence-based scientific guidance for the development of marine policies geared toward sustainable ocean planning and management. This, in turn, facilitates the seamless integration of scientific principles and good practices into decision-making processes. </w:t>
      </w:r>
    </w:p>
    <w:p w14:paraId="77F0A766" w14:textId="1AB95170" w:rsidR="00C54645" w:rsidRPr="00716ED5" w:rsidRDefault="00C54645" w:rsidP="00783168">
      <w:pPr>
        <w:pStyle w:val="Heading2"/>
        <w:numPr>
          <w:ilvl w:val="0"/>
          <w:numId w:val="42"/>
        </w:numPr>
        <w:spacing w:before="360" w:after="240"/>
        <w:ind w:left="425" w:hanging="425"/>
        <w:rPr>
          <w:rFonts w:ascii="Arial" w:hAnsi="Arial"/>
          <w:b/>
          <w:bCs/>
          <w:color w:val="000000" w:themeColor="text1"/>
          <w:sz w:val="22"/>
          <w:szCs w:val="22"/>
        </w:rPr>
      </w:pPr>
      <w:bookmarkStart w:id="7" w:name="_Toc168325790"/>
      <w:r w:rsidRPr="00716ED5">
        <w:rPr>
          <w:rFonts w:ascii="Arial" w:hAnsi="Arial"/>
          <w:b/>
          <w:bCs/>
          <w:color w:val="000000" w:themeColor="text1"/>
          <w:sz w:val="22"/>
          <w:szCs w:val="22"/>
        </w:rPr>
        <w:t>Vision and Objectives</w:t>
      </w:r>
      <w:bookmarkEnd w:id="7"/>
    </w:p>
    <w:p w14:paraId="6652E3FF" w14:textId="77777777" w:rsidR="00C54645" w:rsidRPr="00CD5142" w:rsidRDefault="00C54645" w:rsidP="00716ED5">
      <w:pPr>
        <w:pStyle w:val="ListParagraph"/>
        <w:numPr>
          <w:ilvl w:val="0"/>
          <w:numId w:val="37"/>
        </w:numPr>
        <w:tabs>
          <w:tab w:val="left" w:pos="709"/>
        </w:tabs>
        <w:spacing w:after="120"/>
        <w:ind w:left="0" w:firstLine="0"/>
        <w:contextualSpacing w:val="0"/>
        <w:jc w:val="both"/>
        <w:rPr>
          <w:rFonts w:ascii="Arial" w:hAnsi="Arial" w:cs="Arial"/>
          <w:sz w:val="22"/>
          <w:szCs w:val="22"/>
        </w:rPr>
      </w:pPr>
      <w:r w:rsidRPr="00CD5142">
        <w:rPr>
          <w:rFonts w:ascii="Arial" w:hAnsi="Arial" w:cs="Arial"/>
          <w:sz w:val="22"/>
          <w:szCs w:val="22"/>
        </w:rPr>
        <w:t>The vision of the IOC Strategy for Sustainable Ocean Planning and Management is to achieve:</w:t>
      </w:r>
    </w:p>
    <w:p w14:paraId="6BB277C6" w14:textId="7AA1E2D7" w:rsidR="00C54645" w:rsidRPr="00CD5142" w:rsidRDefault="0019023C" w:rsidP="00716ED5">
      <w:pPr>
        <w:spacing w:after="240"/>
        <w:ind w:left="709" w:right="697"/>
        <w:rPr>
          <w:rFonts w:ascii="Arial" w:hAnsi="Arial" w:cs="Arial"/>
          <w:i/>
          <w:sz w:val="22"/>
          <w:szCs w:val="22"/>
        </w:rPr>
      </w:pPr>
      <w:r>
        <w:rPr>
          <w:rFonts w:ascii="Arial" w:hAnsi="Arial" w:cs="Arial"/>
          <w:i/>
          <w:sz w:val="22"/>
          <w:szCs w:val="22"/>
        </w:rPr>
        <w:t>‘</w:t>
      </w:r>
      <w:r w:rsidR="00C54645" w:rsidRPr="00CD5142">
        <w:rPr>
          <w:rFonts w:ascii="Arial" w:hAnsi="Arial" w:cs="Arial"/>
          <w:i/>
          <w:sz w:val="22"/>
          <w:szCs w:val="22"/>
        </w:rPr>
        <w:t>A comprehensive framework for delivering knowledge and capacities for sustainable ocean planning and management needs of IOC Member States.</w:t>
      </w:r>
      <w:r>
        <w:rPr>
          <w:rFonts w:ascii="Arial" w:hAnsi="Arial" w:cs="Arial"/>
          <w:i/>
          <w:sz w:val="22"/>
          <w:szCs w:val="22"/>
        </w:rPr>
        <w:t>’</w:t>
      </w:r>
    </w:p>
    <w:p w14:paraId="1FE268AC" w14:textId="3CC797A5" w:rsidR="00C54645"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 xml:space="preserve">The Strategy outlines the principles for implementing effective ocean ecosystem planning and management practices and their corresponding frameworks to ensure informed decision-making. It collectively guides IOC </w:t>
      </w:r>
      <w:r w:rsidR="0019023C" w:rsidRPr="00CD5142">
        <w:rPr>
          <w:rFonts w:ascii="Arial" w:hAnsi="Arial" w:cs="Arial"/>
          <w:sz w:val="22"/>
          <w:szCs w:val="22"/>
        </w:rPr>
        <w:t xml:space="preserve">programmes </w:t>
      </w:r>
      <w:r w:rsidRPr="00CD5142">
        <w:rPr>
          <w:rFonts w:ascii="Arial" w:hAnsi="Arial" w:cs="Arial"/>
          <w:sz w:val="22"/>
          <w:szCs w:val="22"/>
        </w:rPr>
        <w:t xml:space="preserve">and </w:t>
      </w:r>
      <w:r w:rsidR="0019023C" w:rsidRPr="00CD5142">
        <w:rPr>
          <w:rFonts w:ascii="Arial" w:hAnsi="Arial" w:cs="Arial"/>
          <w:sz w:val="22"/>
          <w:szCs w:val="22"/>
        </w:rPr>
        <w:t xml:space="preserve">projects </w:t>
      </w:r>
      <w:r w:rsidRPr="00CD5142">
        <w:rPr>
          <w:rFonts w:ascii="Arial" w:hAnsi="Arial" w:cs="Arial"/>
          <w:sz w:val="22"/>
          <w:szCs w:val="22"/>
        </w:rPr>
        <w:t xml:space="preserve">in a coordinated way and based on agreed practices to enable integrated ocean management, planning and decision-making. It aligns with the IOC Medium-Term Strategy 2022–2029 and its associated functions. Additionally, the </w:t>
      </w:r>
      <w:r w:rsidR="0019023C" w:rsidRPr="00CD5142">
        <w:rPr>
          <w:rFonts w:ascii="Arial" w:hAnsi="Arial" w:cs="Arial"/>
          <w:sz w:val="22"/>
          <w:szCs w:val="22"/>
        </w:rPr>
        <w:t xml:space="preserve">Strategy </w:t>
      </w:r>
      <w:r w:rsidRPr="00CD5142">
        <w:rPr>
          <w:rFonts w:ascii="Arial" w:hAnsi="Arial" w:cs="Arial"/>
          <w:sz w:val="22"/>
          <w:szCs w:val="22"/>
        </w:rPr>
        <w:t>takes into consideration the strategic plans and outcomes of existing programmes, including the IOC Strategy for ICAM (2015), the IOC Strategic Plan for Ocean Data and Information Management (2023</w:t>
      </w:r>
      <w:r w:rsidR="00254057">
        <w:rPr>
          <w:rFonts w:ascii="Arial" w:hAnsi="Arial" w:cs="Arial"/>
          <w:sz w:val="22"/>
          <w:szCs w:val="22"/>
        </w:rPr>
        <w:t>–</w:t>
      </w:r>
      <w:r w:rsidRPr="00CD5142">
        <w:rPr>
          <w:rFonts w:ascii="Arial" w:hAnsi="Arial" w:cs="Arial"/>
          <w:sz w:val="22"/>
          <w:szCs w:val="22"/>
        </w:rPr>
        <w:t>2029), the Global Ocean Observing System 2030 Strategy, and the IOC Capacity Development Strategy (2023</w:t>
      </w:r>
      <w:r w:rsidR="0019023C">
        <w:rPr>
          <w:rFonts w:ascii="Arial" w:hAnsi="Arial" w:cs="Arial"/>
          <w:sz w:val="22"/>
          <w:szCs w:val="22"/>
        </w:rPr>
        <w:t>–2030</w:t>
      </w:r>
      <w:r w:rsidRPr="00CD5142">
        <w:rPr>
          <w:rFonts w:ascii="Arial" w:hAnsi="Arial" w:cs="Arial"/>
          <w:sz w:val="22"/>
          <w:szCs w:val="22"/>
        </w:rPr>
        <w:t>). This alignment underscores the overarching purpose of the IOC as described in Article 2 of the Statu</w:t>
      </w:r>
      <w:r w:rsidR="0019023C">
        <w:rPr>
          <w:rFonts w:ascii="Arial" w:hAnsi="Arial" w:cs="Arial"/>
          <w:sz w:val="22"/>
          <w:szCs w:val="22"/>
        </w:rPr>
        <w:t>t</w:t>
      </w:r>
      <w:r w:rsidRPr="00CD5142">
        <w:rPr>
          <w:rFonts w:ascii="Arial" w:hAnsi="Arial" w:cs="Arial"/>
          <w:sz w:val="22"/>
          <w:szCs w:val="22"/>
        </w:rPr>
        <w:t>es mentioned earlier.</w:t>
      </w:r>
    </w:p>
    <w:p w14:paraId="4BD657FD" w14:textId="50116A6F"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CD5142">
        <w:rPr>
          <w:rFonts w:ascii="Arial" w:hAnsi="Arial" w:cs="Arial"/>
          <w:sz w:val="22"/>
          <w:szCs w:val="22"/>
        </w:rPr>
        <w:t>The strategic objectives of the Sustainable Ocean Planning and Management Strategy are:</w:t>
      </w:r>
    </w:p>
    <w:p w14:paraId="78FA6604" w14:textId="77777777" w:rsidR="00C54645" w:rsidRPr="00CD5142" w:rsidRDefault="00C54645" w:rsidP="00716ED5">
      <w:pPr>
        <w:numPr>
          <w:ilvl w:val="0"/>
          <w:numId w:val="40"/>
        </w:numPr>
        <w:pBdr>
          <w:top w:val="nil"/>
          <w:left w:val="nil"/>
          <w:bottom w:val="nil"/>
          <w:right w:val="nil"/>
          <w:between w:val="nil"/>
        </w:pBdr>
        <w:spacing w:after="120"/>
        <w:ind w:left="1134" w:hanging="458"/>
        <w:jc w:val="both"/>
        <w:rPr>
          <w:rFonts w:ascii="Arial" w:hAnsi="Arial" w:cs="Arial"/>
          <w:b/>
          <w:color w:val="000000"/>
          <w:sz w:val="22"/>
          <w:szCs w:val="22"/>
        </w:rPr>
      </w:pPr>
      <w:r w:rsidRPr="00CD5142">
        <w:rPr>
          <w:rFonts w:ascii="Arial" w:eastAsia="Arial" w:hAnsi="Arial" w:cs="Arial"/>
          <w:b/>
          <w:color w:val="000000"/>
          <w:sz w:val="22"/>
          <w:szCs w:val="22"/>
        </w:rPr>
        <w:t xml:space="preserve">Increased integration and mainstreaming of ocean planning and management </w:t>
      </w:r>
    </w:p>
    <w:p w14:paraId="392890E1" w14:textId="472D07D4" w:rsidR="00C54645" w:rsidRPr="00CD5142" w:rsidRDefault="00C54645" w:rsidP="00716ED5">
      <w:pPr>
        <w:spacing w:after="240"/>
        <w:ind w:left="1134"/>
        <w:jc w:val="both"/>
        <w:rPr>
          <w:rFonts w:ascii="Arial" w:hAnsi="Arial" w:cs="Arial"/>
          <w:sz w:val="22"/>
          <w:szCs w:val="22"/>
        </w:rPr>
      </w:pPr>
      <w:r w:rsidRPr="00CD5142">
        <w:rPr>
          <w:rFonts w:ascii="Arial" w:hAnsi="Arial" w:cs="Arial"/>
          <w:sz w:val="22"/>
          <w:szCs w:val="22"/>
        </w:rPr>
        <w:t>Develop a common vision of a coherent multi-scale ocean planning and management framework</w:t>
      </w:r>
      <w:r w:rsidR="008D35BF">
        <w:rPr>
          <w:rFonts w:ascii="Arial" w:hAnsi="Arial" w:cs="Arial"/>
          <w:sz w:val="22"/>
          <w:szCs w:val="22"/>
        </w:rPr>
        <w:t xml:space="preserve"> supported by the best available science</w:t>
      </w:r>
      <w:r w:rsidRPr="00CD5142">
        <w:rPr>
          <w:rFonts w:ascii="Arial" w:hAnsi="Arial" w:cs="Arial"/>
          <w:sz w:val="22"/>
          <w:szCs w:val="22"/>
        </w:rPr>
        <w:t>, adaptable to varying context and priorities, and incorporating existing concepts</w:t>
      </w:r>
      <w:r w:rsidR="008D35BF">
        <w:rPr>
          <w:rFonts w:ascii="Arial" w:hAnsi="Arial" w:cs="Arial"/>
          <w:sz w:val="22"/>
          <w:szCs w:val="22"/>
        </w:rPr>
        <w:t>, tools</w:t>
      </w:r>
      <w:r w:rsidR="00B162EA">
        <w:rPr>
          <w:rFonts w:ascii="Arial" w:hAnsi="Arial" w:cs="Arial"/>
          <w:sz w:val="22"/>
          <w:szCs w:val="22"/>
        </w:rPr>
        <w:t>, best practices</w:t>
      </w:r>
      <w:r w:rsidRPr="00CD5142">
        <w:rPr>
          <w:rFonts w:ascii="Arial" w:hAnsi="Arial" w:cs="Arial"/>
          <w:sz w:val="22"/>
          <w:szCs w:val="22"/>
        </w:rPr>
        <w:t xml:space="preserve"> and programmes such as Integrated Coastal Area Management and Marine Spatial Planning, for integration into national context.</w:t>
      </w:r>
    </w:p>
    <w:p w14:paraId="644AD117" w14:textId="66B6E6E1" w:rsidR="00C54645" w:rsidRPr="00CD5142" w:rsidRDefault="0019023C" w:rsidP="00716ED5">
      <w:pPr>
        <w:pBdr>
          <w:top w:val="nil"/>
          <w:left w:val="nil"/>
          <w:bottom w:val="nil"/>
          <w:right w:val="nil"/>
          <w:between w:val="nil"/>
        </w:pBdr>
        <w:spacing w:after="120"/>
        <w:ind w:left="1134" w:hanging="425"/>
        <w:jc w:val="both"/>
        <w:rPr>
          <w:rFonts w:ascii="Arial" w:hAnsi="Arial" w:cs="Arial"/>
          <w:b/>
          <w:color w:val="000000"/>
          <w:sz w:val="22"/>
          <w:szCs w:val="22"/>
        </w:rPr>
      </w:pPr>
      <w:r>
        <w:rPr>
          <w:rFonts w:ascii="Arial" w:eastAsia="Arial" w:hAnsi="Arial" w:cs="Arial"/>
          <w:b/>
          <w:color w:val="000000"/>
          <w:sz w:val="22"/>
          <w:szCs w:val="22"/>
        </w:rPr>
        <w:t>(ii)</w:t>
      </w:r>
      <w:r>
        <w:rPr>
          <w:rFonts w:ascii="Arial" w:eastAsia="Arial" w:hAnsi="Arial" w:cs="Arial"/>
          <w:b/>
          <w:color w:val="000000"/>
          <w:sz w:val="22"/>
          <w:szCs w:val="22"/>
        </w:rPr>
        <w:tab/>
      </w:r>
      <w:r w:rsidR="00C54645" w:rsidRPr="00CD5142">
        <w:rPr>
          <w:rFonts w:ascii="Arial" w:eastAsia="Arial" w:hAnsi="Arial" w:cs="Arial"/>
          <w:b/>
          <w:color w:val="000000"/>
          <w:sz w:val="22"/>
          <w:szCs w:val="22"/>
        </w:rPr>
        <w:t xml:space="preserve">Improved observations, data, data frameworks and </w:t>
      </w:r>
      <w:r w:rsidR="00C54645" w:rsidRPr="00CD5142">
        <w:rPr>
          <w:rFonts w:ascii="Arial" w:hAnsi="Arial" w:cs="Arial"/>
          <w:b/>
          <w:sz w:val="22"/>
          <w:szCs w:val="22"/>
        </w:rPr>
        <w:t xml:space="preserve">knowledge </w:t>
      </w:r>
      <w:r w:rsidR="00C54645" w:rsidRPr="00CD5142">
        <w:rPr>
          <w:rFonts w:ascii="Arial" w:eastAsia="Arial" w:hAnsi="Arial" w:cs="Arial"/>
          <w:b/>
          <w:color w:val="000000"/>
          <w:sz w:val="22"/>
          <w:szCs w:val="22"/>
        </w:rPr>
        <w:t>management for ecosystem-based management and sectoral applications</w:t>
      </w:r>
    </w:p>
    <w:p w14:paraId="36F8A716" w14:textId="0A10B92E" w:rsidR="00254057" w:rsidRDefault="00C54645" w:rsidP="00716ED5">
      <w:pPr>
        <w:spacing w:after="240"/>
        <w:ind w:left="1134"/>
        <w:jc w:val="both"/>
        <w:rPr>
          <w:rFonts w:ascii="Arial" w:hAnsi="Arial" w:cs="Arial"/>
          <w:sz w:val="22"/>
          <w:szCs w:val="22"/>
        </w:rPr>
      </w:pPr>
      <w:r w:rsidRPr="00CD5142">
        <w:rPr>
          <w:rFonts w:ascii="Arial" w:hAnsi="Arial" w:cs="Arial"/>
          <w:sz w:val="22"/>
          <w:szCs w:val="22"/>
        </w:rPr>
        <w:lastRenderedPageBreak/>
        <w:t>Enhance data quality, accessibility, and usability by adhering to agreed practices or methodologies</w:t>
      </w:r>
      <w:r w:rsidR="00254057">
        <w:rPr>
          <w:rFonts w:ascii="Arial" w:hAnsi="Arial" w:cs="Arial"/>
          <w:sz w:val="22"/>
          <w:szCs w:val="22"/>
        </w:rPr>
        <w:t xml:space="preserve">, such as the IOC Data Policy and Terms of Use (2023) </w:t>
      </w:r>
      <w:r w:rsidRPr="00CD5142">
        <w:rPr>
          <w:rFonts w:ascii="Arial" w:hAnsi="Arial" w:cs="Arial"/>
          <w:sz w:val="22"/>
          <w:szCs w:val="22"/>
        </w:rPr>
        <w:t>and FAIR</w:t>
      </w:r>
      <w:r w:rsidRPr="00CD5142">
        <w:rPr>
          <w:rFonts w:ascii="Arial" w:hAnsi="Arial" w:cs="Arial"/>
          <w:sz w:val="22"/>
          <w:szCs w:val="22"/>
          <w:vertAlign w:val="superscript"/>
        </w:rPr>
        <w:footnoteReference w:id="5"/>
      </w:r>
      <w:r w:rsidR="00254057">
        <w:rPr>
          <w:rFonts w:ascii="Arial" w:hAnsi="Arial" w:cs="Arial"/>
          <w:sz w:val="22"/>
          <w:szCs w:val="22"/>
        </w:rPr>
        <w:t xml:space="preserve"> Principles. Provide tailored data access for diverse users through supporting tools, like the Ocean Data and Information Systems (ODIS), and support data-driven decision making into ecosystem-based management and sectoral applications.</w:t>
      </w:r>
    </w:p>
    <w:p w14:paraId="4A12EE21" w14:textId="7120DD23" w:rsidR="00C54645" w:rsidRPr="00716ED5" w:rsidRDefault="00B46C66" w:rsidP="00716ED5">
      <w:pPr>
        <w:pBdr>
          <w:top w:val="nil"/>
          <w:left w:val="nil"/>
          <w:bottom w:val="nil"/>
          <w:right w:val="nil"/>
          <w:between w:val="nil"/>
        </w:pBdr>
        <w:spacing w:after="120"/>
        <w:ind w:left="1134" w:hanging="420"/>
        <w:jc w:val="both"/>
        <w:rPr>
          <w:rFonts w:ascii="Arial" w:eastAsia="Arial" w:hAnsi="Arial" w:cs="Arial"/>
          <w:b/>
          <w:color w:val="000000"/>
          <w:sz w:val="22"/>
          <w:szCs w:val="22"/>
        </w:rPr>
      </w:pPr>
      <w:sdt>
        <w:sdtPr>
          <w:rPr>
            <w:rFonts w:ascii="Arial" w:eastAsia="Arial" w:hAnsi="Arial" w:cs="Arial"/>
            <w:b/>
            <w:color w:val="000000"/>
            <w:sz w:val="22"/>
            <w:szCs w:val="22"/>
          </w:rPr>
          <w:tag w:val="goog_rdk_23"/>
          <w:id w:val="-897432495"/>
        </w:sdtPr>
        <w:sdtEndPr/>
        <w:sdtContent>
          <w:r w:rsidR="0019023C" w:rsidRPr="00716ED5">
            <w:rPr>
              <w:rFonts w:ascii="Arial" w:eastAsia="Arial" w:hAnsi="Arial" w:cs="Arial"/>
              <w:b/>
              <w:color w:val="000000"/>
              <w:sz w:val="22"/>
              <w:szCs w:val="22"/>
            </w:rPr>
            <w:t>(iii)</w:t>
          </w:r>
          <w:r w:rsidR="0019023C">
            <w:rPr>
              <w:rFonts w:ascii="Arial" w:eastAsia="Arial" w:hAnsi="Arial" w:cs="Arial"/>
              <w:b/>
              <w:color w:val="000000"/>
              <w:sz w:val="22"/>
              <w:szCs w:val="22"/>
            </w:rPr>
            <w:tab/>
          </w:r>
        </w:sdtContent>
      </w:sdt>
      <w:r w:rsidR="0019023C">
        <w:rPr>
          <w:rFonts w:ascii="Arial" w:eastAsia="Arial" w:hAnsi="Arial" w:cs="Arial"/>
          <w:b/>
          <w:color w:val="000000"/>
          <w:sz w:val="22"/>
          <w:szCs w:val="22"/>
        </w:rPr>
        <w:t>S</w:t>
      </w:r>
      <w:r w:rsidR="00C54645" w:rsidRPr="00CD5142">
        <w:rPr>
          <w:rFonts w:ascii="Arial" w:eastAsia="Arial" w:hAnsi="Arial" w:cs="Arial"/>
          <w:b/>
          <w:color w:val="000000"/>
          <w:sz w:val="22"/>
          <w:szCs w:val="22"/>
        </w:rPr>
        <w:t>trengthened cross-sectoral a</w:t>
      </w:r>
      <w:r w:rsidR="00C54645" w:rsidRPr="00716ED5">
        <w:rPr>
          <w:rFonts w:ascii="Arial" w:eastAsia="Arial" w:hAnsi="Arial" w:cs="Arial"/>
          <w:b/>
          <w:color w:val="000000"/>
          <w:sz w:val="22"/>
          <w:szCs w:val="22"/>
        </w:rPr>
        <w:t>nd transboundary coordination</w:t>
      </w:r>
    </w:p>
    <w:p w14:paraId="4C7FEF59" w14:textId="3232E24B" w:rsidR="00C54645" w:rsidRDefault="00C54645" w:rsidP="00716ED5">
      <w:pPr>
        <w:spacing w:after="240"/>
        <w:ind w:left="1134"/>
        <w:jc w:val="both"/>
        <w:rPr>
          <w:rFonts w:ascii="Arial" w:hAnsi="Arial" w:cs="Arial"/>
          <w:sz w:val="22"/>
          <w:szCs w:val="22"/>
        </w:rPr>
      </w:pPr>
      <w:r w:rsidRPr="00CD5142">
        <w:rPr>
          <w:rFonts w:ascii="Arial" w:hAnsi="Arial" w:cs="Arial"/>
          <w:sz w:val="22"/>
          <w:szCs w:val="22"/>
        </w:rPr>
        <w:t>Facilitate more robust cross-sectoral integration</w:t>
      </w:r>
      <w:r w:rsidRPr="00CD5142">
        <w:rPr>
          <w:rFonts w:ascii="Arial" w:hAnsi="Arial" w:cs="Arial"/>
          <w:sz w:val="22"/>
          <w:szCs w:val="22"/>
          <w:vertAlign w:val="superscript"/>
        </w:rPr>
        <w:footnoteReference w:id="6"/>
      </w:r>
      <w:r w:rsidRPr="00CD5142">
        <w:rPr>
          <w:rFonts w:ascii="Arial" w:hAnsi="Arial" w:cs="Arial"/>
          <w:sz w:val="22"/>
          <w:szCs w:val="22"/>
        </w:rPr>
        <w:t xml:space="preserve"> and transboundary collaboration</w:t>
      </w:r>
      <w:r w:rsidRPr="00CD5142">
        <w:rPr>
          <w:rFonts w:ascii="Arial" w:hAnsi="Arial" w:cs="Arial"/>
          <w:sz w:val="22"/>
          <w:szCs w:val="22"/>
          <w:vertAlign w:val="superscript"/>
        </w:rPr>
        <w:footnoteReference w:id="7"/>
      </w:r>
      <w:r w:rsidRPr="00CD5142">
        <w:rPr>
          <w:rFonts w:ascii="Arial" w:hAnsi="Arial" w:cs="Arial"/>
          <w:sz w:val="22"/>
          <w:szCs w:val="22"/>
        </w:rPr>
        <w:t xml:space="preserve"> in ocean planning by promoting cooperation and dialogue among the various sectors and actors involved in ocean governance. Additionally, support the development of guidelines and frameworks for integrating diverse sectoral and stakeholder interests and priorities, ensuring a well-balanced approach to sustainable ocean planning and management, while fostering cooperation.</w:t>
      </w:r>
    </w:p>
    <w:p w14:paraId="630DFB9A" w14:textId="14D07796" w:rsidR="00C54645" w:rsidRPr="00716ED5" w:rsidRDefault="0019023C" w:rsidP="00716ED5">
      <w:pPr>
        <w:pBdr>
          <w:top w:val="nil"/>
          <w:left w:val="nil"/>
          <w:bottom w:val="nil"/>
          <w:right w:val="nil"/>
          <w:between w:val="nil"/>
        </w:pBdr>
        <w:spacing w:after="120"/>
        <w:ind w:left="1134" w:hanging="420"/>
        <w:jc w:val="both"/>
        <w:rPr>
          <w:rFonts w:ascii="Arial" w:eastAsia="Arial" w:hAnsi="Arial" w:cs="Arial"/>
          <w:b/>
          <w:color w:val="000000"/>
          <w:sz w:val="22"/>
          <w:szCs w:val="22"/>
        </w:rPr>
      </w:pPr>
      <w:r>
        <w:rPr>
          <w:rFonts w:ascii="Arial" w:eastAsia="Arial" w:hAnsi="Arial" w:cs="Arial"/>
          <w:b/>
          <w:color w:val="000000"/>
          <w:sz w:val="22"/>
          <w:szCs w:val="22"/>
        </w:rPr>
        <w:t>(iv)</w:t>
      </w:r>
      <w:r w:rsidR="00B413FF">
        <w:rPr>
          <w:rFonts w:ascii="Arial" w:eastAsia="Arial" w:hAnsi="Arial" w:cs="Arial"/>
          <w:b/>
          <w:color w:val="000000"/>
          <w:sz w:val="22"/>
          <w:szCs w:val="22"/>
        </w:rPr>
        <w:t xml:space="preserve">  </w:t>
      </w:r>
      <w:r w:rsidR="00C54645" w:rsidRPr="00716ED5">
        <w:rPr>
          <w:rFonts w:ascii="Arial" w:eastAsia="Arial" w:hAnsi="Arial" w:cs="Arial"/>
          <w:b/>
          <w:color w:val="000000"/>
          <w:sz w:val="22"/>
          <w:szCs w:val="22"/>
        </w:rPr>
        <w:t>Expanded capacity development</w:t>
      </w:r>
    </w:p>
    <w:p w14:paraId="2A7A2DB8" w14:textId="7A01FDFE" w:rsidR="00C54645" w:rsidRPr="00CD5142" w:rsidRDefault="00C54645" w:rsidP="00716ED5">
      <w:pPr>
        <w:spacing w:after="240"/>
        <w:ind w:left="1134"/>
        <w:jc w:val="both"/>
        <w:rPr>
          <w:rFonts w:ascii="Arial" w:hAnsi="Arial" w:cs="Arial"/>
          <w:sz w:val="22"/>
          <w:szCs w:val="22"/>
        </w:rPr>
      </w:pPr>
      <w:r w:rsidRPr="00CD5142">
        <w:rPr>
          <w:rFonts w:ascii="Arial" w:hAnsi="Arial" w:cs="Arial"/>
          <w:sz w:val="22"/>
          <w:szCs w:val="22"/>
        </w:rPr>
        <w:t>Enhance stakeholder capabilities through comprehensive training programmes, workshops, information materials and ongoing education, tailored to meet the needs of diverse</w:t>
      </w:r>
      <w:r w:rsidR="00B04022">
        <w:rPr>
          <w:rFonts w:ascii="Arial" w:hAnsi="Arial" w:cs="Arial"/>
          <w:sz w:val="22"/>
          <w:szCs w:val="22"/>
        </w:rPr>
        <w:t xml:space="preserve"> users and widely distributed through platforms such as Ocean CD-Hub. Establish knowledge exchange </w:t>
      </w:r>
      <w:r w:rsidRPr="00CD5142">
        <w:rPr>
          <w:rFonts w:ascii="Arial" w:hAnsi="Arial" w:cs="Arial"/>
          <w:sz w:val="22"/>
          <w:szCs w:val="22"/>
        </w:rPr>
        <w:t xml:space="preserve">platforms to effectively disseminate best practices and innovations, promoting a global community of practice that enables continuous improvement and adaptation of ocean management strategies. Additionally, engage with Early Career Ocean Professionals (ECOP) to foster hands-on learning and leadership in ocean governance and science. </w:t>
      </w:r>
    </w:p>
    <w:p w14:paraId="4F8EEE73" w14:textId="64C16EAB" w:rsidR="00C54645" w:rsidRPr="00716ED5" w:rsidRDefault="00C54645" w:rsidP="00783168">
      <w:pPr>
        <w:pStyle w:val="Heading2"/>
        <w:numPr>
          <w:ilvl w:val="0"/>
          <w:numId w:val="42"/>
        </w:numPr>
        <w:spacing w:before="360" w:after="240"/>
        <w:ind w:left="425" w:hanging="425"/>
        <w:rPr>
          <w:rFonts w:ascii="Arial" w:hAnsi="Arial"/>
          <w:b/>
          <w:bCs/>
          <w:color w:val="000000" w:themeColor="text1"/>
          <w:sz w:val="22"/>
          <w:szCs w:val="22"/>
        </w:rPr>
      </w:pPr>
      <w:bookmarkStart w:id="8" w:name="_Toc168325791"/>
      <w:r w:rsidRPr="00716ED5">
        <w:rPr>
          <w:rFonts w:ascii="Arial" w:hAnsi="Arial"/>
          <w:b/>
          <w:bCs/>
          <w:color w:val="000000" w:themeColor="text1"/>
          <w:sz w:val="22"/>
          <w:szCs w:val="22"/>
        </w:rPr>
        <w:t>Outcomes and Activities</w:t>
      </w:r>
      <w:bookmarkEnd w:id="8"/>
    </w:p>
    <w:p w14:paraId="17BB8CBB" w14:textId="78F464C5" w:rsidR="001D2420" w:rsidRPr="001D2420" w:rsidRDefault="00C54645" w:rsidP="001D2420">
      <w:pPr>
        <w:pStyle w:val="ListParagraph"/>
        <w:numPr>
          <w:ilvl w:val="0"/>
          <w:numId w:val="37"/>
        </w:numPr>
        <w:tabs>
          <w:tab w:val="left" w:pos="709"/>
        </w:tabs>
        <w:spacing w:after="240"/>
        <w:ind w:left="0" w:firstLine="0"/>
        <w:contextualSpacing w:val="0"/>
        <w:jc w:val="both"/>
        <w:rPr>
          <w:rFonts w:ascii="Arial" w:hAnsi="Arial" w:cs="Arial"/>
          <w:sz w:val="22"/>
          <w:szCs w:val="22"/>
        </w:rPr>
      </w:pPr>
      <w:r w:rsidRPr="001D2420">
        <w:rPr>
          <w:rFonts w:ascii="Arial" w:hAnsi="Arial" w:cs="Arial"/>
          <w:sz w:val="22"/>
          <w:szCs w:val="22"/>
        </w:rPr>
        <w:t>To effectively achieve the strategic objectives outlined in the Strategy on Sustainable Ocean Planning and Management (2024</w:t>
      </w:r>
      <w:r w:rsidR="00B04022" w:rsidRPr="001D2420">
        <w:rPr>
          <w:rFonts w:ascii="Arial" w:hAnsi="Arial" w:cs="Arial"/>
          <w:sz w:val="22"/>
          <w:szCs w:val="22"/>
        </w:rPr>
        <w:t>–</w:t>
      </w:r>
      <w:r w:rsidRPr="001D2420">
        <w:rPr>
          <w:rFonts w:ascii="Arial" w:hAnsi="Arial" w:cs="Arial"/>
          <w:sz w:val="22"/>
          <w:szCs w:val="22"/>
        </w:rPr>
        <w:t xml:space="preserve">2030), specific outcomes have been identified, each supported by key activities </w:t>
      </w:r>
      <w:r w:rsidR="00C936AB" w:rsidRPr="001D2420">
        <w:rPr>
          <w:rFonts w:ascii="Arial" w:hAnsi="Arial" w:cs="Arial"/>
          <w:sz w:val="22"/>
          <w:szCs w:val="22"/>
        </w:rPr>
        <w:t xml:space="preserve">(non-exhaustive) </w:t>
      </w:r>
      <w:r w:rsidRPr="001D2420">
        <w:rPr>
          <w:rFonts w:ascii="Arial" w:hAnsi="Arial" w:cs="Arial"/>
          <w:sz w:val="22"/>
          <w:szCs w:val="22"/>
        </w:rPr>
        <w:t xml:space="preserve">designed to serve as actionable steps towards meaningful </w:t>
      </w:r>
      <w:r w:rsidR="001D2420" w:rsidRPr="001D2420">
        <w:rPr>
          <w:rFonts w:ascii="Arial" w:hAnsi="Arial" w:cs="Arial"/>
          <w:sz w:val="22"/>
          <w:szCs w:val="22"/>
        </w:rPr>
        <w:t xml:space="preserve">progress. Building on the strengths of the IOC, the outcomes and activities are closely linked to existing programmes and </w:t>
      </w:r>
      <w:proofErr w:type="gramStart"/>
      <w:r w:rsidR="001D2420" w:rsidRPr="001D2420">
        <w:rPr>
          <w:rFonts w:ascii="Arial" w:hAnsi="Arial" w:cs="Arial"/>
          <w:sz w:val="22"/>
          <w:szCs w:val="22"/>
        </w:rPr>
        <w:t>projects, and</w:t>
      </w:r>
      <w:proofErr w:type="gramEnd"/>
      <w:r w:rsidR="001D2420" w:rsidRPr="001D2420">
        <w:rPr>
          <w:rFonts w:ascii="Arial" w:hAnsi="Arial" w:cs="Arial"/>
          <w:sz w:val="22"/>
          <w:szCs w:val="22"/>
        </w:rPr>
        <w:t xml:space="preserve"> will be strategically aligned to contribute to Sustainable Ocean Planning and Management by ensuring efforts are not isolated and are part of a coherent and integrated effort. The </w:t>
      </w:r>
      <w:r w:rsidR="001D2420" w:rsidRPr="00716ED5">
        <w:rPr>
          <w:rFonts w:ascii="Arial" w:hAnsi="Arial" w:cs="Arial"/>
          <w:color w:val="2F5496" w:themeColor="accent1" w:themeShade="BF"/>
          <w:sz w:val="22"/>
          <w:szCs w:val="22"/>
        </w:rPr>
        <w:t xml:space="preserve">following examples </w:t>
      </w:r>
      <w:r w:rsidRPr="001D2420">
        <w:rPr>
          <w:rFonts w:ascii="Arial" w:hAnsi="Arial" w:cs="Arial"/>
          <w:sz w:val="22"/>
          <w:szCs w:val="22"/>
        </w:rPr>
        <w:t>illustrate essential components for achieving these strategic objectives, representing a subset of the broader range of initiatives.</w:t>
      </w:r>
      <w:r w:rsidR="001D2420">
        <w:rPr>
          <w:rFonts w:ascii="Arial" w:hAnsi="Arial" w:cs="Arial"/>
          <w:sz w:val="22"/>
          <w:szCs w:val="22"/>
        </w:rPr>
        <w:t xml:space="preserve"> For a comprehensive list of activities needed to achieve these outcomes, refer to </w:t>
      </w:r>
      <w:r w:rsidR="001D2420" w:rsidRPr="00716ED5">
        <w:rPr>
          <w:rFonts w:ascii="Arial" w:hAnsi="Arial" w:cs="Arial"/>
          <w:sz w:val="22"/>
          <w:szCs w:val="22"/>
          <w:u w:val="single"/>
        </w:rPr>
        <w:t>Table 1</w:t>
      </w:r>
      <w:r w:rsidR="001D2420">
        <w:rPr>
          <w:rFonts w:ascii="Arial" w:hAnsi="Arial" w:cs="Arial"/>
          <w:sz w:val="22"/>
          <w:szCs w:val="22"/>
        </w:rPr>
        <w:t xml:space="preserve">. </w:t>
      </w:r>
    </w:p>
    <w:p w14:paraId="7D2A2688" w14:textId="2DEA738E" w:rsidR="00C54645" w:rsidRPr="00CD5142" w:rsidRDefault="00C54645" w:rsidP="00716ED5">
      <w:pPr>
        <w:pStyle w:val="Heading4"/>
        <w:numPr>
          <w:ilvl w:val="0"/>
          <w:numId w:val="34"/>
        </w:numPr>
        <w:spacing w:before="0" w:after="120"/>
        <w:ind w:left="714" w:hanging="357"/>
        <w:jc w:val="both"/>
        <w:rPr>
          <w:rFonts w:ascii="Arial" w:hAnsi="Arial" w:cs="Arial"/>
          <w:sz w:val="22"/>
          <w:szCs w:val="22"/>
        </w:rPr>
      </w:pPr>
      <w:bookmarkStart w:id="9" w:name="_heading=h.3bokqfed6euz" w:colFirst="0" w:colLast="0"/>
      <w:bookmarkEnd w:id="9"/>
      <w:r w:rsidRPr="00CD5142">
        <w:rPr>
          <w:rFonts w:ascii="Arial" w:hAnsi="Arial" w:cs="Arial"/>
          <w:sz w:val="22"/>
          <w:szCs w:val="22"/>
        </w:rPr>
        <w:t>Strengthened ocean planning and management policy approaches supported by science-based tools</w:t>
      </w:r>
      <w:r w:rsidR="00F66862">
        <w:rPr>
          <w:rFonts w:ascii="Arial" w:hAnsi="Arial" w:cs="Arial"/>
          <w:sz w:val="22"/>
          <w:szCs w:val="22"/>
        </w:rPr>
        <w:t xml:space="preserve"> and evidence</w:t>
      </w:r>
    </w:p>
    <w:p w14:paraId="351AEC51" w14:textId="756D9FCB" w:rsidR="00CB1FE7" w:rsidRDefault="00C54645" w:rsidP="00CB1FE7">
      <w:pPr>
        <w:ind w:left="720"/>
        <w:jc w:val="both"/>
        <w:rPr>
          <w:rFonts w:ascii="Arial" w:hAnsi="Arial" w:cs="Arial"/>
          <w:sz w:val="22"/>
          <w:szCs w:val="22"/>
        </w:rPr>
      </w:pPr>
      <w:r w:rsidRPr="00CB1FE7">
        <w:rPr>
          <w:rFonts w:ascii="Arial" w:hAnsi="Arial" w:cs="Arial"/>
          <w:sz w:val="22"/>
          <w:szCs w:val="22"/>
        </w:rPr>
        <w:t>The Strategy aims to bolster marine policies by leveraging the extensive scientific expertise within IOC programme areas</w:t>
      </w:r>
      <w:r w:rsidR="00CB1FE7" w:rsidRPr="00CB1FE7">
        <w:rPr>
          <w:rFonts w:ascii="Arial" w:hAnsi="Arial" w:cs="Arial"/>
          <w:sz w:val="22"/>
          <w:szCs w:val="22"/>
        </w:rPr>
        <w:t xml:space="preserve"> and </w:t>
      </w:r>
      <w:r w:rsidR="00CB1FE7" w:rsidRPr="00A74F92">
        <w:rPr>
          <w:rFonts w:ascii="Arial" w:hAnsi="Arial" w:cs="Arial"/>
          <w:sz w:val="22"/>
          <w:szCs w:val="22"/>
        </w:rPr>
        <w:t>facilitates the exchange of knowledge and experiences across nations</w:t>
      </w:r>
      <w:r w:rsidRPr="00CB1FE7">
        <w:rPr>
          <w:rFonts w:ascii="Arial" w:hAnsi="Arial" w:cs="Arial"/>
          <w:sz w:val="22"/>
          <w:szCs w:val="22"/>
        </w:rPr>
        <w:t xml:space="preserve">. </w:t>
      </w:r>
      <w:r w:rsidR="00CB1FE7" w:rsidRPr="00CB1FE7">
        <w:rPr>
          <w:rFonts w:ascii="Arial" w:hAnsi="Arial" w:cs="Arial"/>
          <w:sz w:val="22"/>
          <w:szCs w:val="22"/>
        </w:rPr>
        <w:t xml:space="preserve">Further </w:t>
      </w:r>
      <w:r w:rsidR="00CB1FE7" w:rsidRPr="00A74F92">
        <w:rPr>
          <w:rFonts w:ascii="Arial" w:hAnsi="Arial" w:cs="Arial"/>
          <w:sz w:val="22"/>
          <w:szCs w:val="22"/>
        </w:rPr>
        <w:t>strategic definition of the scientific research priorities that are needed for a sustainable ocean planning and management will be pursued.</w:t>
      </w:r>
      <w:r w:rsidR="00CB1FE7" w:rsidRPr="00CB1FE7">
        <w:rPr>
          <w:rFonts w:ascii="Arial" w:hAnsi="Arial" w:cs="Arial"/>
          <w:sz w:val="22"/>
          <w:szCs w:val="22"/>
        </w:rPr>
        <w:t xml:space="preserve"> </w:t>
      </w:r>
      <w:r w:rsidR="00627F3B">
        <w:rPr>
          <w:rFonts w:ascii="Arial" w:hAnsi="Arial" w:cs="Arial"/>
          <w:sz w:val="22"/>
          <w:szCs w:val="22"/>
        </w:rPr>
        <w:t xml:space="preserve">The Strategy will </w:t>
      </w:r>
      <w:r w:rsidRPr="00CB1FE7">
        <w:rPr>
          <w:rFonts w:ascii="Arial" w:hAnsi="Arial" w:cs="Arial"/>
          <w:sz w:val="22"/>
          <w:szCs w:val="22"/>
        </w:rPr>
        <w:t xml:space="preserve">focus on developing global </w:t>
      </w:r>
      <w:r w:rsidR="00627F3B">
        <w:rPr>
          <w:rFonts w:ascii="Arial" w:hAnsi="Arial" w:cs="Arial"/>
          <w:sz w:val="22"/>
          <w:szCs w:val="22"/>
        </w:rPr>
        <w:t>guidance</w:t>
      </w:r>
      <w:r w:rsidR="00627F3B" w:rsidRPr="00CB1FE7">
        <w:rPr>
          <w:rFonts w:ascii="Arial" w:hAnsi="Arial" w:cs="Arial"/>
          <w:sz w:val="22"/>
          <w:szCs w:val="22"/>
        </w:rPr>
        <w:t xml:space="preserve"> </w:t>
      </w:r>
      <w:r w:rsidRPr="00CB1FE7">
        <w:rPr>
          <w:rFonts w:ascii="Arial" w:hAnsi="Arial" w:cs="Arial"/>
          <w:sz w:val="22"/>
          <w:szCs w:val="22"/>
        </w:rPr>
        <w:t>and standards for ocean planning and management, drawing on insights and data generated by these programmes</w:t>
      </w:r>
      <w:r w:rsidR="00627F3B">
        <w:rPr>
          <w:rFonts w:ascii="Arial" w:hAnsi="Arial" w:cs="Arial"/>
          <w:sz w:val="22"/>
          <w:szCs w:val="22"/>
        </w:rPr>
        <w:t xml:space="preserve">, but also looking at emerging scientific findings that needs to be considered in </w:t>
      </w:r>
      <w:r w:rsidR="00B413FF">
        <w:rPr>
          <w:rFonts w:ascii="Arial" w:hAnsi="Arial" w:cs="Arial"/>
          <w:sz w:val="22"/>
          <w:szCs w:val="22"/>
        </w:rPr>
        <w:t>policymaking</w:t>
      </w:r>
      <w:r w:rsidR="003330BA">
        <w:rPr>
          <w:rFonts w:ascii="Arial" w:hAnsi="Arial" w:cs="Arial"/>
          <w:sz w:val="22"/>
          <w:szCs w:val="22"/>
        </w:rPr>
        <w:t>,</w:t>
      </w:r>
      <w:r w:rsidR="00627F3B">
        <w:rPr>
          <w:rFonts w:ascii="Arial" w:hAnsi="Arial" w:cs="Arial"/>
          <w:sz w:val="22"/>
          <w:szCs w:val="22"/>
        </w:rPr>
        <w:t xml:space="preserve"> ocean management processes</w:t>
      </w:r>
      <w:r w:rsidR="003330BA">
        <w:rPr>
          <w:rFonts w:ascii="Arial" w:hAnsi="Arial" w:cs="Arial"/>
          <w:sz w:val="22"/>
          <w:szCs w:val="22"/>
        </w:rPr>
        <w:t xml:space="preserve"> and tools</w:t>
      </w:r>
      <w:r w:rsidRPr="00CB1FE7">
        <w:rPr>
          <w:rFonts w:ascii="Arial" w:hAnsi="Arial" w:cs="Arial"/>
          <w:sz w:val="22"/>
          <w:szCs w:val="22"/>
        </w:rPr>
        <w:t xml:space="preserve">. The </w:t>
      </w:r>
      <w:r w:rsidR="00B413FF" w:rsidRPr="00CB1FE7">
        <w:rPr>
          <w:rFonts w:ascii="Arial" w:hAnsi="Arial" w:cs="Arial"/>
          <w:sz w:val="22"/>
          <w:szCs w:val="22"/>
        </w:rPr>
        <w:t xml:space="preserve">Strategy </w:t>
      </w:r>
      <w:r w:rsidRPr="00CB1FE7">
        <w:rPr>
          <w:rFonts w:ascii="Arial" w:hAnsi="Arial" w:cs="Arial"/>
          <w:sz w:val="22"/>
          <w:szCs w:val="22"/>
        </w:rPr>
        <w:t xml:space="preserve">also supports the collaborative creation of tools that seamlessly integrate </w:t>
      </w:r>
      <w:r w:rsidRPr="00CB1FE7">
        <w:rPr>
          <w:rFonts w:ascii="Arial" w:hAnsi="Arial" w:cs="Arial"/>
          <w:sz w:val="22"/>
          <w:szCs w:val="22"/>
        </w:rPr>
        <w:lastRenderedPageBreak/>
        <w:t>scientific findings and recommendations into planning processes. This ensures that evidence-based decision-making informs the management of ocean resources and ecosystems.</w:t>
      </w:r>
      <w:r w:rsidR="00B162EA">
        <w:rPr>
          <w:rFonts w:ascii="Arial" w:hAnsi="Arial" w:cs="Arial"/>
          <w:sz w:val="22"/>
          <w:szCs w:val="22"/>
        </w:rPr>
        <w:t xml:space="preserve"> Documenting the environmental, and socio-economic benefits of sustainable ocean planning and management across nations will be pursued.</w:t>
      </w:r>
    </w:p>
    <w:p w14:paraId="75173565" w14:textId="77777777" w:rsidR="009330C6" w:rsidRPr="00CB1FE7" w:rsidRDefault="009330C6" w:rsidP="00CB1FE7">
      <w:pPr>
        <w:ind w:left="720"/>
        <w:jc w:val="both"/>
        <w:rPr>
          <w:rFonts w:ascii="Arial" w:hAnsi="Arial" w:cs="Arial"/>
          <w:sz w:val="22"/>
          <w:szCs w:val="22"/>
        </w:rPr>
      </w:pPr>
    </w:p>
    <w:p w14:paraId="25946AAB" w14:textId="77777777" w:rsidR="00C54645" w:rsidRPr="00CD5142" w:rsidRDefault="00C54645" w:rsidP="00716ED5">
      <w:pPr>
        <w:pBdr>
          <w:top w:val="single" w:sz="4" w:space="1" w:color="auto"/>
          <w:left w:val="single" w:sz="4" w:space="4" w:color="auto"/>
          <w:bottom w:val="single" w:sz="4" w:space="1" w:color="auto"/>
          <w:right w:val="single" w:sz="4" w:space="4" w:color="auto"/>
        </w:pBdr>
        <w:spacing w:after="120"/>
        <w:ind w:left="720"/>
        <w:jc w:val="both"/>
        <w:rPr>
          <w:rFonts w:ascii="Arial" w:hAnsi="Arial" w:cs="Arial"/>
          <w:b/>
          <w:sz w:val="22"/>
          <w:szCs w:val="22"/>
        </w:rPr>
      </w:pPr>
      <w:r w:rsidRPr="00CD5142">
        <w:rPr>
          <w:rFonts w:ascii="Arial" w:hAnsi="Arial" w:cs="Arial"/>
          <w:b/>
          <w:sz w:val="22"/>
          <w:szCs w:val="22"/>
        </w:rPr>
        <w:t>Activity: Development of guidelines and planning assistance</w:t>
      </w:r>
    </w:p>
    <w:p w14:paraId="49CCD9B8" w14:textId="4C364CB5" w:rsidR="00C54645" w:rsidRPr="00CD5142" w:rsidRDefault="00C54645" w:rsidP="00C5250E">
      <w:pPr>
        <w:pBdr>
          <w:top w:val="single" w:sz="4" w:space="1" w:color="auto"/>
          <w:left w:val="single" w:sz="4" w:space="4" w:color="auto"/>
          <w:bottom w:val="single" w:sz="4" w:space="1" w:color="auto"/>
          <w:right w:val="single" w:sz="4" w:space="4" w:color="auto"/>
        </w:pBdr>
        <w:ind w:left="720"/>
        <w:rPr>
          <w:rFonts w:ascii="Arial" w:hAnsi="Arial" w:cs="Arial"/>
          <w:sz w:val="22"/>
          <w:szCs w:val="22"/>
        </w:rPr>
      </w:pPr>
      <w:r w:rsidRPr="00CD5142">
        <w:rPr>
          <w:rFonts w:ascii="Arial" w:hAnsi="Arial" w:cs="Arial"/>
          <w:sz w:val="22"/>
          <w:szCs w:val="22"/>
        </w:rPr>
        <w:t>To support this outcome, the creation and dissemination of comprehensive guidelines and practices for ocean planning and management would be initiated. Technical support and planning assistance would be provided to help Member States incorporate these standards into their governance frameworks. This initiative is designed to embed sustainable ocean planning and management practices at all levels of governance, laying a strong foundation for policy development and promoting a unified approach to sustainable ocean use and conservation.</w:t>
      </w:r>
    </w:p>
    <w:p w14:paraId="39904CF0" w14:textId="77777777" w:rsidR="00627F3B" w:rsidRDefault="00627F3B" w:rsidP="00A84818">
      <w:pPr>
        <w:pStyle w:val="Heading4"/>
        <w:spacing w:before="0"/>
        <w:ind w:left="720"/>
        <w:jc w:val="both"/>
        <w:rPr>
          <w:rFonts w:ascii="Arial" w:hAnsi="Arial" w:cs="Arial"/>
          <w:sz w:val="22"/>
          <w:szCs w:val="22"/>
        </w:rPr>
      </w:pPr>
      <w:bookmarkStart w:id="10" w:name="_heading=h.p4qv7st87eos" w:colFirst="0" w:colLast="0"/>
      <w:bookmarkEnd w:id="10"/>
    </w:p>
    <w:p w14:paraId="784F1278" w14:textId="5A29875B" w:rsidR="00C5250E" w:rsidRPr="00CD5142" w:rsidRDefault="00C5250E" w:rsidP="00716ED5">
      <w:pPr>
        <w:pStyle w:val="Heading4"/>
        <w:numPr>
          <w:ilvl w:val="0"/>
          <w:numId w:val="34"/>
        </w:numPr>
        <w:spacing w:after="120"/>
        <w:ind w:left="714" w:hanging="357"/>
        <w:jc w:val="both"/>
        <w:rPr>
          <w:rFonts w:ascii="Arial" w:hAnsi="Arial" w:cs="Arial"/>
          <w:sz w:val="22"/>
          <w:szCs w:val="22"/>
        </w:rPr>
      </w:pPr>
      <w:r w:rsidRPr="00CD5142">
        <w:rPr>
          <w:rFonts w:ascii="Arial" w:hAnsi="Arial" w:cs="Arial"/>
          <w:sz w:val="22"/>
          <w:szCs w:val="22"/>
        </w:rPr>
        <w:t xml:space="preserve">Enhanced ocean observation and data-sharing to enable planning and policy processes </w:t>
      </w:r>
    </w:p>
    <w:p w14:paraId="0C848247" w14:textId="5ED006B2" w:rsidR="00C5250E" w:rsidRPr="00CD5142" w:rsidRDefault="00C5250E" w:rsidP="00C5250E">
      <w:pPr>
        <w:ind w:left="720"/>
        <w:jc w:val="both"/>
        <w:rPr>
          <w:rFonts w:ascii="Arial" w:hAnsi="Arial" w:cs="Arial"/>
          <w:sz w:val="22"/>
          <w:szCs w:val="22"/>
        </w:rPr>
      </w:pPr>
      <w:r w:rsidRPr="00CD5142">
        <w:rPr>
          <w:rFonts w:ascii="Arial" w:hAnsi="Arial" w:cs="Arial"/>
          <w:sz w:val="22"/>
          <w:szCs w:val="22"/>
        </w:rPr>
        <w:t>The Strategy will aim to enhance the availability and accessibility of relevant and necessary scientific and ocean observation data</w:t>
      </w:r>
      <w:r w:rsidR="00CB1FE7">
        <w:rPr>
          <w:rFonts w:ascii="Arial" w:hAnsi="Arial" w:cs="Arial"/>
          <w:sz w:val="22"/>
          <w:szCs w:val="22"/>
        </w:rPr>
        <w:t xml:space="preserve"> by facilitating exchange and coordination across the data and ocean management communities</w:t>
      </w:r>
      <w:r w:rsidR="00B162EA">
        <w:rPr>
          <w:rFonts w:ascii="Arial" w:hAnsi="Arial" w:cs="Arial"/>
          <w:sz w:val="22"/>
          <w:szCs w:val="22"/>
        </w:rPr>
        <w:t>, including with the private sector</w:t>
      </w:r>
      <w:r w:rsidRPr="00CD5142">
        <w:rPr>
          <w:rFonts w:ascii="Arial" w:hAnsi="Arial" w:cs="Arial"/>
          <w:sz w:val="22"/>
          <w:szCs w:val="22"/>
        </w:rPr>
        <w:t>. Leveraging the collective data infrastructure developed by IOC programmes,</w:t>
      </w:r>
      <w:r w:rsidR="00203442">
        <w:rPr>
          <w:rFonts w:ascii="Arial" w:hAnsi="Arial" w:cs="Arial"/>
          <w:sz w:val="22"/>
          <w:szCs w:val="22"/>
        </w:rPr>
        <w:t xml:space="preserve"> such as Ocean Data and Information System (ODIS)</w:t>
      </w:r>
      <w:r w:rsidR="00B413FF">
        <w:rPr>
          <w:rFonts w:ascii="Arial" w:hAnsi="Arial" w:cs="Arial"/>
          <w:sz w:val="22"/>
          <w:szCs w:val="22"/>
        </w:rPr>
        <w:t>,</w:t>
      </w:r>
      <w:r w:rsidRPr="00CD5142">
        <w:rPr>
          <w:rFonts w:ascii="Arial" w:hAnsi="Arial" w:cs="Arial"/>
          <w:sz w:val="22"/>
          <w:szCs w:val="22"/>
        </w:rPr>
        <w:t xml:space="preserve"> aims to provide comprehensive, real-time data on oceanographic, ecological, socio-cultural, and economic aspects. The </w:t>
      </w:r>
      <w:r w:rsidR="00B413FF" w:rsidRPr="00CD5142">
        <w:rPr>
          <w:rFonts w:ascii="Arial" w:hAnsi="Arial" w:cs="Arial"/>
          <w:sz w:val="22"/>
          <w:szCs w:val="22"/>
        </w:rPr>
        <w:t xml:space="preserve">Strategy </w:t>
      </w:r>
      <w:r w:rsidRPr="00CD5142">
        <w:rPr>
          <w:rFonts w:ascii="Arial" w:hAnsi="Arial" w:cs="Arial"/>
          <w:sz w:val="22"/>
          <w:szCs w:val="22"/>
        </w:rPr>
        <w:t>will address observation gaps and needs, advocating for federated and distributed data systems, open data initiatives, and the standardisation of ocean observation variables to ensure the data is fit</w:t>
      </w:r>
      <w:r w:rsidR="00B413FF">
        <w:rPr>
          <w:rFonts w:ascii="Arial" w:hAnsi="Arial" w:cs="Arial"/>
          <w:sz w:val="22"/>
          <w:szCs w:val="22"/>
        </w:rPr>
        <w:t>-</w:t>
      </w:r>
      <w:r w:rsidRPr="00CD5142">
        <w:rPr>
          <w:rFonts w:ascii="Arial" w:hAnsi="Arial" w:cs="Arial"/>
          <w:sz w:val="22"/>
          <w:szCs w:val="22"/>
        </w:rPr>
        <w:t>for</w:t>
      </w:r>
      <w:r w:rsidR="00B413FF">
        <w:rPr>
          <w:rFonts w:ascii="Arial" w:hAnsi="Arial" w:cs="Arial"/>
          <w:sz w:val="22"/>
          <w:szCs w:val="22"/>
        </w:rPr>
        <w:t>-</w:t>
      </w:r>
      <w:r w:rsidRPr="00CD5142">
        <w:rPr>
          <w:rFonts w:ascii="Arial" w:hAnsi="Arial" w:cs="Arial"/>
          <w:sz w:val="22"/>
          <w:szCs w:val="22"/>
        </w:rPr>
        <w:t>purpose and supports informed decision-making.</w:t>
      </w:r>
      <w:r w:rsidR="00B162EA">
        <w:rPr>
          <w:rFonts w:ascii="Arial" w:hAnsi="Arial" w:cs="Arial"/>
          <w:sz w:val="22"/>
          <w:szCs w:val="22"/>
        </w:rPr>
        <w:t xml:space="preserve"> </w:t>
      </w:r>
    </w:p>
    <w:p w14:paraId="7077F312" w14:textId="05AF061E" w:rsidR="00C5250E" w:rsidRDefault="00C5250E" w:rsidP="00A84818">
      <w:pPr>
        <w:pStyle w:val="Heading4"/>
        <w:spacing w:before="0"/>
        <w:jc w:val="both"/>
        <w:rPr>
          <w:rFonts w:ascii="Arial" w:hAnsi="Arial" w:cs="Arial"/>
          <w:sz w:val="22"/>
          <w:szCs w:val="22"/>
        </w:rPr>
      </w:pPr>
    </w:p>
    <w:p w14:paraId="281E37D7" w14:textId="77777777" w:rsidR="00C5250E" w:rsidRPr="00CD5142" w:rsidRDefault="00C5250E" w:rsidP="00716ED5">
      <w:pPr>
        <w:pBdr>
          <w:top w:val="single" w:sz="4" w:space="1" w:color="auto"/>
          <w:left w:val="single" w:sz="4" w:space="4" w:color="auto"/>
          <w:bottom w:val="single" w:sz="4" w:space="1" w:color="auto"/>
          <w:right w:val="single" w:sz="4" w:space="4" w:color="auto"/>
        </w:pBdr>
        <w:spacing w:after="120"/>
        <w:ind w:left="720"/>
        <w:jc w:val="both"/>
        <w:rPr>
          <w:rFonts w:ascii="Arial" w:hAnsi="Arial" w:cs="Arial"/>
          <w:sz w:val="22"/>
          <w:szCs w:val="22"/>
        </w:rPr>
      </w:pPr>
      <w:r w:rsidRPr="00CD5142">
        <w:rPr>
          <w:rFonts w:ascii="Arial" w:hAnsi="Arial" w:cs="Arial"/>
          <w:b/>
          <w:sz w:val="22"/>
          <w:szCs w:val="22"/>
        </w:rPr>
        <w:t>Activity: Observation, Data collection and management</w:t>
      </w:r>
    </w:p>
    <w:p w14:paraId="1AEB880D" w14:textId="50AFDB10" w:rsidR="00203442" w:rsidRDefault="00C5250E" w:rsidP="00C5250E">
      <w:pPr>
        <w:pBdr>
          <w:top w:val="single" w:sz="4" w:space="1" w:color="auto"/>
          <w:left w:val="single" w:sz="4" w:space="4" w:color="auto"/>
          <w:bottom w:val="single" w:sz="4" w:space="1" w:color="auto"/>
          <w:right w:val="single" w:sz="4" w:space="4" w:color="auto"/>
        </w:pBdr>
        <w:ind w:left="720"/>
        <w:jc w:val="both"/>
        <w:rPr>
          <w:rFonts w:ascii="Arial" w:hAnsi="Arial" w:cs="Arial"/>
          <w:color w:val="0D0D0D"/>
          <w:sz w:val="22"/>
          <w:szCs w:val="22"/>
        </w:rPr>
      </w:pPr>
      <w:r w:rsidRPr="00CD5142">
        <w:rPr>
          <w:rFonts w:ascii="Arial" w:hAnsi="Arial" w:cs="Arial"/>
          <w:color w:val="0D0D0D"/>
          <w:sz w:val="22"/>
          <w:szCs w:val="22"/>
          <w:highlight w:val="white"/>
        </w:rPr>
        <w:t>A cornerstone of the strategy, this activity is characterised by the tactical enhancement of observation, data collection, and management practices through the incorporation of innovative tools and technologies.</w:t>
      </w:r>
      <w:r w:rsidR="00203442">
        <w:rPr>
          <w:rFonts w:ascii="Arial" w:hAnsi="Arial" w:cs="Arial"/>
          <w:color w:val="0D0D0D"/>
          <w:sz w:val="22"/>
          <w:szCs w:val="22"/>
        </w:rPr>
        <w:t xml:space="preserve"> This includes a commitment to refining data collection methods and developing systems for robust data sharing. Specific training initiatives would be implemented to equip decision-makers and stakeholders with the skills necessary to effectively use these tools for monitoring, evaluation, and informed decision-making, thereby underpinning sustainable ocean management. </w:t>
      </w:r>
    </w:p>
    <w:p w14:paraId="5D5F4453" w14:textId="77777777" w:rsidR="00627F3B" w:rsidRDefault="00627F3B" w:rsidP="00A84818">
      <w:pPr>
        <w:pStyle w:val="Heading4"/>
        <w:spacing w:before="0"/>
        <w:ind w:left="720"/>
        <w:jc w:val="both"/>
        <w:rPr>
          <w:rFonts w:ascii="Arial" w:hAnsi="Arial" w:cs="Arial"/>
          <w:sz w:val="22"/>
          <w:szCs w:val="22"/>
        </w:rPr>
      </w:pPr>
    </w:p>
    <w:p w14:paraId="52C93924" w14:textId="43A2F35E" w:rsidR="00C54645" w:rsidRPr="00CD5142" w:rsidRDefault="00C54645" w:rsidP="00716ED5">
      <w:pPr>
        <w:pStyle w:val="Heading4"/>
        <w:numPr>
          <w:ilvl w:val="0"/>
          <w:numId w:val="34"/>
        </w:numPr>
        <w:spacing w:after="120"/>
        <w:ind w:left="714" w:hanging="357"/>
        <w:jc w:val="both"/>
        <w:rPr>
          <w:rFonts w:ascii="Arial" w:hAnsi="Arial" w:cs="Arial"/>
          <w:sz w:val="22"/>
          <w:szCs w:val="22"/>
        </w:rPr>
      </w:pPr>
      <w:r w:rsidRPr="00CD5142">
        <w:rPr>
          <w:rFonts w:ascii="Arial" w:hAnsi="Arial" w:cs="Arial"/>
          <w:sz w:val="22"/>
          <w:szCs w:val="22"/>
        </w:rPr>
        <w:t xml:space="preserve">Elevated cross-sector and transboundary collaboration </w:t>
      </w:r>
    </w:p>
    <w:p w14:paraId="0CA1F6FE" w14:textId="29DF0F4D" w:rsidR="00C54645" w:rsidRDefault="00C54645" w:rsidP="00CD5142">
      <w:pPr>
        <w:ind w:left="720"/>
        <w:jc w:val="both"/>
        <w:rPr>
          <w:rFonts w:ascii="Arial" w:hAnsi="Arial" w:cs="Arial"/>
          <w:sz w:val="22"/>
          <w:szCs w:val="22"/>
        </w:rPr>
      </w:pPr>
      <w:r w:rsidRPr="00CD5142">
        <w:rPr>
          <w:rFonts w:ascii="Arial" w:hAnsi="Arial" w:cs="Arial"/>
          <w:sz w:val="22"/>
          <w:szCs w:val="22"/>
        </w:rPr>
        <w:t>Recognising the interconnected nature of ocean challenges, the Strategy promotes inclusive approaches to cross-sector and transboundary collaboration and coordination. Building on the collaborative foundations of existing IOC programmes</w:t>
      </w:r>
      <w:sdt>
        <w:sdtPr>
          <w:rPr>
            <w:rFonts w:ascii="Arial" w:hAnsi="Arial" w:cs="Arial"/>
            <w:sz w:val="22"/>
            <w:szCs w:val="22"/>
          </w:rPr>
          <w:tag w:val="goog_rdk_38"/>
          <w:id w:val="1303888919"/>
        </w:sdtPr>
        <w:sdtEndPr/>
        <w:sdtContent>
          <w:r w:rsidRPr="00CD5142">
            <w:rPr>
              <w:rFonts w:ascii="Arial" w:hAnsi="Arial" w:cs="Arial"/>
              <w:sz w:val="22"/>
              <w:szCs w:val="22"/>
            </w:rPr>
            <w:t xml:space="preserve"> and initiatives like the Ocean Decade</w:t>
          </w:r>
        </w:sdtContent>
      </w:sdt>
      <w:r w:rsidRPr="00CD5142">
        <w:rPr>
          <w:rFonts w:ascii="Arial" w:hAnsi="Arial" w:cs="Arial"/>
          <w:sz w:val="22"/>
          <w:szCs w:val="22"/>
        </w:rPr>
        <w:t xml:space="preserve">, it fosters partnerships with diverse right-holders and stakeholders, including sectors like energy, tourism, shipping, and fisheries. The </w:t>
      </w:r>
      <w:r w:rsidR="00B413FF" w:rsidRPr="00CD5142">
        <w:rPr>
          <w:rFonts w:ascii="Arial" w:hAnsi="Arial" w:cs="Arial"/>
          <w:sz w:val="22"/>
          <w:szCs w:val="22"/>
        </w:rPr>
        <w:t xml:space="preserve">Strategy </w:t>
      </w:r>
      <w:r w:rsidRPr="00CD5142">
        <w:rPr>
          <w:rFonts w:ascii="Arial" w:hAnsi="Arial" w:cs="Arial"/>
          <w:sz w:val="22"/>
          <w:szCs w:val="22"/>
        </w:rPr>
        <w:t>facilitates dialogue and integrated planning to help identify synergies, trade-offs, and win-win solutions for sustainable ocean management.</w:t>
      </w:r>
    </w:p>
    <w:p w14:paraId="4148FF9B" w14:textId="77777777" w:rsidR="00627F3B" w:rsidRPr="00CD5142" w:rsidRDefault="00627F3B" w:rsidP="00CD5142">
      <w:pPr>
        <w:ind w:left="720"/>
        <w:jc w:val="both"/>
        <w:rPr>
          <w:rFonts w:ascii="Arial" w:hAnsi="Arial" w:cs="Arial"/>
          <w:sz w:val="22"/>
          <w:szCs w:val="22"/>
        </w:rPr>
      </w:pPr>
    </w:p>
    <w:p w14:paraId="3C8D2ABE" w14:textId="77777777" w:rsidR="00C54645" w:rsidRPr="00CD5142" w:rsidRDefault="00C54645" w:rsidP="00716ED5">
      <w:pPr>
        <w:pBdr>
          <w:top w:val="single" w:sz="4" w:space="1" w:color="auto"/>
          <w:left w:val="single" w:sz="4" w:space="4" w:color="auto"/>
          <w:bottom w:val="single" w:sz="4" w:space="1" w:color="auto"/>
          <w:right w:val="single" w:sz="4" w:space="4" w:color="auto"/>
        </w:pBdr>
        <w:spacing w:after="120"/>
        <w:ind w:left="720"/>
        <w:jc w:val="both"/>
        <w:rPr>
          <w:rFonts w:ascii="Arial" w:hAnsi="Arial" w:cs="Arial"/>
          <w:b/>
          <w:sz w:val="22"/>
          <w:szCs w:val="22"/>
        </w:rPr>
      </w:pPr>
      <w:r w:rsidRPr="00CD5142">
        <w:rPr>
          <w:rFonts w:ascii="Arial" w:hAnsi="Arial" w:cs="Arial"/>
          <w:b/>
          <w:sz w:val="22"/>
          <w:szCs w:val="22"/>
        </w:rPr>
        <w:t>Activity: Collaboration and stakeholder engagement</w:t>
      </w:r>
    </w:p>
    <w:p w14:paraId="0EAD84E8" w14:textId="7EC5D58B" w:rsidR="00C54645" w:rsidRPr="00CD5142" w:rsidRDefault="00C54645" w:rsidP="00C5250E">
      <w:pPr>
        <w:pBdr>
          <w:top w:val="single" w:sz="4" w:space="1" w:color="auto"/>
          <w:left w:val="single" w:sz="4" w:space="4" w:color="auto"/>
          <w:bottom w:val="single" w:sz="4" w:space="1" w:color="auto"/>
          <w:right w:val="single" w:sz="4" w:space="4" w:color="auto"/>
        </w:pBdr>
        <w:ind w:left="720"/>
        <w:jc w:val="both"/>
        <w:rPr>
          <w:rFonts w:ascii="Arial" w:hAnsi="Arial" w:cs="Arial"/>
          <w:sz w:val="22"/>
          <w:szCs w:val="22"/>
        </w:rPr>
      </w:pPr>
      <w:r w:rsidRPr="00CD5142">
        <w:rPr>
          <w:rFonts w:ascii="Arial" w:hAnsi="Arial" w:cs="Arial"/>
          <w:sz w:val="22"/>
          <w:szCs w:val="22"/>
        </w:rPr>
        <w:t xml:space="preserve">To support this outcome, the establishment of a robust collaborative framework that involves diverse groups, including </w:t>
      </w:r>
      <w:r w:rsidR="00B413FF" w:rsidRPr="00CD5142">
        <w:rPr>
          <w:rFonts w:ascii="Arial" w:hAnsi="Arial" w:cs="Arial"/>
          <w:sz w:val="22"/>
          <w:szCs w:val="22"/>
        </w:rPr>
        <w:t xml:space="preserve">indigenous peoples </w:t>
      </w:r>
      <w:r w:rsidRPr="00CD5142">
        <w:rPr>
          <w:rFonts w:ascii="Arial" w:hAnsi="Arial" w:cs="Arial"/>
          <w:sz w:val="22"/>
          <w:szCs w:val="22"/>
        </w:rPr>
        <w:t xml:space="preserve">and local communities, in the ocean planning process would occur. Networks would be </w:t>
      </w:r>
      <w:r w:rsidR="006E2918" w:rsidRPr="00CD5142">
        <w:rPr>
          <w:rFonts w:ascii="Arial" w:hAnsi="Arial" w:cs="Arial"/>
          <w:sz w:val="22"/>
          <w:szCs w:val="22"/>
        </w:rPr>
        <w:t>strengthened,</w:t>
      </w:r>
      <w:r w:rsidRPr="00CD5142">
        <w:rPr>
          <w:rFonts w:ascii="Arial" w:hAnsi="Arial" w:cs="Arial"/>
          <w:sz w:val="22"/>
          <w:szCs w:val="22"/>
        </w:rPr>
        <w:t xml:space="preserve"> and communication strategies enhanced to foster international collaboration and multi-stakeholder engagement. </w:t>
      </w:r>
      <w:r w:rsidR="00F66862">
        <w:rPr>
          <w:rFonts w:ascii="Arial" w:hAnsi="Arial" w:cs="Arial"/>
          <w:sz w:val="22"/>
          <w:szCs w:val="22"/>
        </w:rPr>
        <w:t>Guidance for the establishment of p</w:t>
      </w:r>
      <w:r w:rsidRPr="00CD5142">
        <w:rPr>
          <w:rFonts w:ascii="Arial" w:hAnsi="Arial" w:cs="Arial"/>
          <w:sz w:val="22"/>
          <w:szCs w:val="22"/>
        </w:rPr>
        <w:t>latforms for inclusive dialogue</w:t>
      </w:r>
      <w:r w:rsidR="00F66862">
        <w:rPr>
          <w:rFonts w:ascii="Arial" w:hAnsi="Arial" w:cs="Arial"/>
          <w:sz w:val="22"/>
          <w:szCs w:val="22"/>
        </w:rPr>
        <w:t xml:space="preserve"> and sharing best practices</w:t>
      </w:r>
      <w:r w:rsidRPr="00CD5142">
        <w:rPr>
          <w:rFonts w:ascii="Arial" w:hAnsi="Arial" w:cs="Arial"/>
          <w:sz w:val="22"/>
          <w:szCs w:val="22"/>
        </w:rPr>
        <w:t xml:space="preserve"> </w:t>
      </w:r>
      <w:r w:rsidR="00F66862">
        <w:rPr>
          <w:rFonts w:ascii="Arial" w:hAnsi="Arial" w:cs="Arial"/>
          <w:sz w:val="22"/>
          <w:szCs w:val="22"/>
        </w:rPr>
        <w:t>on</w:t>
      </w:r>
      <w:r w:rsidRPr="00CD5142">
        <w:rPr>
          <w:rFonts w:ascii="Arial" w:hAnsi="Arial" w:cs="Arial"/>
          <w:sz w:val="22"/>
          <w:szCs w:val="22"/>
        </w:rPr>
        <w:t xml:space="preserve"> co-management would be </w:t>
      </w:r>
      <w:r w:rsidR="00F66862">
        <w:rPr>
          <w:rFonts w:ascii="Arial" w:hAnsi="Arial" w:cs="Arial"/>
          <w:sz w:val="22"/>
          <w:szCs w:val="22"/>
        </w:rPr>
        <w:t>developed</w:t>
      </w:r>
      <w:r w:rsidRPr="00CD5142">
        <w:rPr>
          <w:rFonts w:ascii="Arial" w:hAnsi="Arial" w:cs="Arial"/>
          <w:sz w:val="22"/>
          <w:szCs w:val="22"/>
        </w:rPr>
        <w:t xml:space="preserve"> to incorporate </w:t>
      </w:r>
      <w:r w:rsidR="001F7FE0">
        <w:rPr>
          <w:rFonts w:ascii="Arial" w:hAnsi="Arial" w:cs="Arial"/>
          <w:sz w:val="22"/>
          <w:szCs w:val="22"/>
        </w:rPr>
        <w:t>i</w:t>
      </w:r>
      <w:r w:rsidRPr="00CD5142">
        <w:rPr>
          <w:rFonts w:ascii="Arial" w:hAnsi="Arial" w:cs="Arial"/>
          <w:sz w:val="22"/>
          <w:szCs w:val="22"/>
        </w:rPr>
        <w:t xml:space="preserve">ndigenous and local knowledge, promoting </w:t>
      </w:r>
      <w:r w:rsidRPr="00CD5142">
        <w:rPr>
          <w:rFonts w:ascii="Arial" w:hAnsi="Arial" w:cs="Arial"/>
          <w:sz w:val="22"/>
          <w:szCs w:val="22"/>
        </w:rPr>
        <w:lastRenderedPageBreak/>
        <w:t>a culturally sensitive approach to ocean governance and further enriching cross-sector and transboundary collaborations.</w:t>
      </w:r>
    </w:p>
    <w:p w14:paraId="7B816687" w14:textId="39A5C1CD" w:rsidR="00C54645" w:rsidRPr="00CD5142" w:rsidRDefault="00C54645" w:rsidP="00716ED5">
      <w:pPr>
        <w:pStyle w:val="Heading4"/>
        <w:numPr>
          <w:ilvl w:val="0"/>
          <w:numId w:val="34"/>
        </w:numPr>
        <w:spacing w:before="240" w:after="120"/>
        <w:ind w:left="714" w:hanging="357"/>
        <w:jc w:val="both"/>
        <w:rPr>
          <w:rFonts w:ascii="Arial" w:hAnsi="Arial" w:cs="Arial"/>
          <w:sz w:val="22"/>
          <w:szCs w:val="22"/>
        </w:rPr>
      </w:pPr>
      <w:bookmarkStart w:id="11" w:name="_heading=h.6htlemnpztcn" w:colFirst="0" w:colLast="0"/>
      <w:bookmarkEnd w:id="11"/>
      <w:r w:rsidRPr="00CD5142">
        <w:rPr>
          <w:rFonts w:ascii="Arial" w:hAnsi="Arial" w:cs="Arial"/>
          <w:sz w:val="22"/>
          <w:szCs w:val="22"/>
        </w:rPr>
        <w:t>Increased knowledge/capacity</w:t>
      </w:r>
      <w:r w:rsidR="00F66862">
        <w:rPr>
          <w:rFonts w:ascii="Arial" w:hAnsi="Arial" w:cs="Arial"/>
          <w:sz w:val="22"/>
          <w:szCs w:val="22"/>
        </w:rPr>
        <w:t xml:space="preserve"> of Stakeholders</w:t>
      </w:r>
    </w:p>
    <w:p w14:paraId="1C658426" w14:textId="244606A9" w:rsidR="001F7FE0" w:rsidRDefault="00C54645" w:rsidP="00CD5142">
      <w:pPr>
        <w:ind w:left="720"/>
        <w:jc w:val="both"/>
        <w:rPr>
          <w:rFonts w:ascii="Arial" w:hAnsi="Arial" w:cs="Arial"/>
          <w:sz w:val="22"/>
          <w:szCs w:val="22"/>
        </w:rPr>
      </w:pPr>
      <w:r w:rsidRPr="00CD5142">
        <w:rPr>
          <w:rFonts w:ascii="Arial" w:hAnsi="Arial" w:cs="Arial"/>
          <w:sz w:val="22"/>
          <w:szCs w:val="22"/>
        </w:rPr>
        <w:t xml:space="preserve">The </w:t>
      </w:r>
      <w:r w:rsidR="001F7FE0">
        <w:rPr>
          <w:rFonts w:ascii="Arial" w:hAnsi="Arial" w:cs="Arial"/>
          <w:sz w:val="22"/>
          <w:szCs w:val="22"/>
        </w:rPr>
        <w:t>Strategy seeks to intensify capacity development efforts across all aspects of sustainable ocean planning and management, closely aligned with the IOC’s comprehensive Capacity Development Strategy</w:t>
      </w:r>
      <w:r w:rsidR="001F7FE0" w:rsidRPr="00CD5142">
        <w:rPr>
          <w:rFonts w:ascii="Arial" w:hAnsi="Arial" w:cs="Arial"/>
          <w:sz w:val="22"/>
          <w:szCs w:val="22"/>
        </w:rPr>
        <w:t>.</w:t>
      </w:r>
      <w:r w:rsidR="001F7FE0">
        <w:rPr>
          <w:rFonts w:ascii="Arial" w:hAnsi="Arial" w:cs="Arial"/>
          <w:sz w:val="22"/>
          <w:szCs w:val="22"/>
        </w:rPr>
        <w:t xml:space="preserve"> It will leverage and expand upon the existing efforts of IOC programmes and initiatives, focusing on actions necessary to address the six key outputs of the Capacity Development Strategy. These priorities include developing human resources, enhancing</w:t>
      </w:r>
      <w:r w:rsidR="00344F7B">
        <w:rPr>
          <w:rFonts w:ascii="Arial" w:hAnsi="Arial" w:cs="Arial"/>
          <w:sz w:val="22"/>
          <w:szCs w:val="22"/>
        </w:rPr>
        <w:t xml:space="preserve"> access to physical infrastructure, strengthening global and regional mechanisms, promoting the development of ocean research policies, increasing visibility and awareness, and boosting sustained resource mobilization. This is aimed at empowering decision-makers, policymakers, right-holders, and stakeholders with the necessary skills and knowledge for effective ecosystem-based management and area-based planning. </w:t>
      </w:r>
    </w:p>
    <w:p w14:paraId="248BA407" w14:textId="77777777" w:rsidR="001F7FE0" w:rsidRDefault="001F7FE0" w:rsidP="00CD5142">
      <w:pPr>
        <w:ind w:left="720"/>
        <w:jc w:val="both"/>
        <w:rPr>
          <w:rFonts w:ascii="Arial" w:hAnsi="Arial" w:cs="Arial"/>
          <w:sz w:val="22"/>
          <w:szCs w:val="22"/>
        </w:rPr>
      </w:pPr>
    </w:p>
    <w:p w14:paraId="7E92B5E9" w14:textId="77777777" w:rsidR="00C54645" w:rsidRPr="00CD5142" w:rsidRDefault="00C54645" w:rsidP="00716ED5">
      <w:pPr>
        <w:pBdr>
          <w:top w:val="single" w:sz="4" w:space="1" w:color="auto"/>
          <w:left w:val="single" w:sz="4" w:space="4" w:color="auto"/>
          <w:bottom w:val="single" w:sz="4" w:space="1" w:color="auto"/>
          <w:right w:val="single" w:sz="4" w:space="4" w:color="auto"/>
        </w:pBdr>
        <w:spacing w:after="120"/>
        <w:ind w:left="720"/>
        <w:jc w:val="both"/>
        <w:rPr>
          <w:rFonts w:ascii="Arial" w:hAnsi="Arial" w:cs="Arial"/>
          <w:sz w:val="22"/>
          <w:szCs w:val="22"/>
        </w:rPr>
      </w:pPr>
      <w:r w:rsidRPr="00CD5142">
        <w:rPr>
          <w:rFonts w:ascii="Arial" w:hAnsi="Arial" w:cs="Arial"/>
          <w:b/>
          <w:sz w:val="22"/>
          <w:szCs w:val="22"/>
        </w:rPr>
        <w:t>Activity: Capacity development</w:t>
      </w:r>
    </w:p>
    <w:p w14:paraId="5D59A879" w14:textId="4ACFA994" w:rsidR="00C54645" w:rsidRPr="00CD5142" w:rsidRDefault="00C54645" w:rsidP="00344F7B">
      <w:pPr>
        <w:pBdr>
          <w:top w:val="single" w:sz="4" w:space="1" w:color="auto"/>
          <w:left w:val="single" w:sz="4" w:space="4" w:color="auto"/>
          <w:bottom w:val="single" w:sz="4" w:space="1" w:color="auto"/>
          <w:right w:val="single" w:sz="4" w:space="4" w:color="auto"/>
        </w:pBdr>
        <w:ind w:left="720"/>
        <w:jc w:val="both"/>
        <w:rPr>
          <w:rFonts w:ascii="Arial" w:hAnsi="Arial" w:cs="Arial"/>
          <w:sz w:val="22"/>
          <w:szCs w:val="22"/>
        </w:rPr>
      </w:pPr>
      <w:r w:rsidRPr="00CD5142">
        <w:rPr>
          <w:rFonts w:ascii="Arial" w:hAnsi="Arial" w:cs="Arial"/>
          <w:sz w:val="22"/>
          <w:szCs w:val="22"/>
        </w:rPr>
        <w:t xml:space="preserve">To support this, a targeted capacity development programme is implemented by the </w:t>
      </w:r>
      <w:r w:rsidR="003A481B" w:rsidRPr="00CD5142">
        <w:rPr>
          <w:rFonts w:ascii="Arial" w:hAnsi="Arial" w:cs="Arial"/>
          <w:sz w:val="22"/>
          <w:szCs w:val="22"/>
        </w:rPr>
        <w:t>Strategy</w:t>
      </w:r>
      <w:r w:rsidRPr="00CD5142">
        <w:rPr>
          <w:rFonts w:ascii="Arial" w:hAnsi="Arial" w:cs="Arial"/>
          <w:sz w:val="22"/>
          <w:szCs w:val="22"/>
        </w:rPr>
        <w:t xml:space="preserve">, featuring workshops and seminars tailored to user needs, including training in data quality control and </w:t>
      </w:r>
      <w:r w:rsidR="00344F7B">
        <w:rPr>
          <w:rFonts w:ascii="Arial" w:hAnsi="Arial" w:cs="Arial"/>
          <w:sz w:val="22"/>
          <w:szCs w:val="22"/>
        </w:rPr>
        <w:t xml:space="preserve">analysis, supported by programmes like Ocean CD-Hub and </w:t>
      </w:r>
      <w:proofErr w:type="spellStart"/>
      <w:r w:rsidR="00344F7B">
        <w:rPr>
          <w:rFonts w:ascii="Arial" w:hAnsi="Arial" w:cs="Arial"/>
          <w:sz w:val="22"/>
          <w:szCs w:val="22"/>
        </w:rPr>
        <w:t>OceanTeacher</w:t>
      </w:r>
      <w:proofErr w:type="spellEnd"/>
      <w:r w:rsidR="00344F7B">
        <w:rPr>
          <w:rFonts w:ascii="Arial" w:hAnsi="Arial" w:cs="Arial"/>
          <w:sz w:val="22"/>
          <w:szCs w:val="22"/>
        </w:rPr>
        <w:t xml:space="preserve"> Global Academy. </w:t>
      </w:r>
      <w:r w:rsidRPr="00CD5142">
        <w:rPr>
          <w:rFonts w:ascii="Arial" w:hAnsi="Arial" w:cs="Arial"/>
          <w:sz w:val="22"/>
          <w:szCs w:val="22"/>
        </w:rPr>
        <w:t>Additional support involves the integration of ocean planning into national development plans and the facilitation of knowledge exchange platforms. This approach ensures the alignment of national policies with international best practices, thereby enabling informed decision-making and successful policy implementation.</w:t>
      </w:r>
      <w:r w:rsidR="008C6B96" w:rsidRPr="008C6B96">
        <w:t xml:space="preserve"> </w:t>
      </w:r>
      <w:r w:rsidR="008C6B96" w:rsidRPr="008C6B96">
        <w:rPr>
          <w:rFonts w:ascii="Arial" w:hAnsi="Arial" w:cs="Arial"/>
          <w:sz w:val="22"/>
          <w:szCs w:val="22"/>
        </w:rPr>
        <w:t>Capacity development activities will be coordinated closely with the Capacity Development Coordination Hub under the IOC Capacity Development Strategy to identify the needs of Member States and users for capacity enhancement support related to sustainable ocean planning and management.</w:t>
      </w:r>
    </w:p>
    <w:p w14:paraId="5EE30612" w14:textId="77777777" w:rsidR="00F66862" w:rsidRDefault="00F66862" w:rsidP="00A84818">
      <w:pPr>
        <w:pStyle w:val="Heading4"/>
        <w:spacing w:before="0"/>
        <w:ind w:left="720"/>
        <w:jc w:val="both"/>
        <w:rPr>
          <w:rFonts w:ascii="Arial" w:hAnsi="Arial" w:cs="Arial"/>
          <w:sz w:val="22"/>
          <w:szCs w:val="22"/>
        </w:rPr>
      </w:pPr>
      <w:bookmarkStart w:id="12" w:name="_heading=h.4hhlxin3ve05" w:colFirst="0" w:colLast="0"/>
      <w:bookmarkEnd w:id="12"/>
    </w:p>
    <w:p w14:paraId="53A11B79" w14:textId="68400651" w:rsidR="00C54645" w:rsidRPr="00CD5142" w:rsidRDefault="00C54645" w:rsidP="00716ED5">
      <w:pPr>
        <w:pStyle w:val="Heading4"/>
        <w:numPr>
          <w:ilvl w:val="0"/>
          <w:numId w:val="34"/>
        </w:numPr>
        <w:spacing w:after="120"/>
        <w:ind w:left="714" w:hanging="357"/>
        <w:jc w:val="both"/>
        <w:rPr>
          <w:rFonts w:ascii="Arial" w:hAnsi="Arial" w:cs="Arial"/>
          <w:sz w:val="22"/>
          <w:szCs w:val="22"/>
        </w:rPr>
      </w:pPr>
      <w:r w:rsidRPr="00CD5142">
        <w:rPr>
          <w:rFonts w:ascii="Arial" w:hAnsi="Arial" w:cs="Arial"/>
          <w:sz w:val="22"/>
          <w:szCs w:val="22"/>
        </w:rPr>
        <w:t>Integration of climate change adaptation, mitigatio</w:t>
      </w:r>
      <w:r w:rsidR="00B162EA">
        <w:rPr>
          <w:rFonts w:ascii="Arial" w:hAnsi="Arial" w:cs="Arial"/>
          <w:sz w:val="22"/>
          <w:szCs w:val="22"/>
        </w:rPr>
        <w:t xml:space="preserve">n, </w:t>
      </w:r>
      <w:r w:rsidRPr="00CD5142">
        <w:rPr>
          <w:rFonts w:ascii="Arial" w:hAnsi="Arial" w:cs="Arial"/>
          <w:sz w:val="22"/>
          <w:szCs w:val="22"/>
        </w:rPr>
        <w:t xml:space="preserve">coastal resilience </w:t>
      </w:r>
      <w:r w:rsidR="00B162EA">
        <w:rPr>
          <w:rFonts w:ascii="Arial" w:hAnsi="Arial" w:cs="Arial"/>
          <w:sz w:val="22"/>
          <w:szCs w:val="22"/>
        </w:rPr>
        <w:t>and biodiversity conservation in ocean planning processes</w:t>
      </w:r>
    </w:p>
    <w:p w14:paraId="6C7D68CA" w14:textId="29F97F07" w:rsidR="00F66862" w:rsidRDefault="00C54645" w:rsidP="00F66862">
      <w:pPr>
        <w:ind w:left="720"/>
        <w:jc w:val="both"/>
        <w:rPr>
          <w:rFonts w:ascii="Arial" w:hAnsi="Arial" w:cs="Arial"/>
          <w:sz w:val="22"/>
          <w:szCs w:val="22"/>
        </w:rPr>
      </w:pPr>
      <w:r w:rsidRPr="00CD5142">
        <w:rPr>
          <w:rFonts w:ascii="Arial" w:hAnsi="Arial" w:cs="Arial"/>
          <w:sz w:val="22"/>
          <w:szCs w:val="22"/>
        </w:rPr>
        <w:t>In response to the urgent need to address climate change impacts</w:t>
      </w:r>
      <w:r w:rsidR="00B162EA">
        <w:rPr>
          <w:rFonts w:ascii="Arial" w:hAnsi="Arial" w:cs="Arial"/>
          <w:sz w:val="22"/>
          <w:szCs w:val="22"/>
        </w:rPr>
        <w:t xml:space="preserve"> and marine biodiversity loss</w:t>
      </w:r>
      <w:r w:rsidRPr="00CD5142">
        <w:rPr>
          <w:rFonts w:ascii="Arial" w:hAnsi="Arial" w:cs="Arial"/>
          <w:sz w:val="22"/>
          <w:szCs w:val="22"/>
        </w:rPr>
        <w:t>, the Strategy proposes efforts to integrate climate change adaptation</w:t>
      </w:r>
      <w:r w:rsidR="00B162EA">
        <w:rPr>
          <w:rFonts w:ascii="Arial" w:hAnsi="Arial" w:cs="Arial"/>
          <w:sz w:val="22"/>
          <w:szCs w:val="22"/>
        </w:rPr>
        <w:t>/</w:t>
      </w:r>
      <w:r w:rsidRPr="00CD5142">
        <w:rPr>
          <w:rFonts w:ascii="Arial" w:hAnsi="Arial" w:cs="Arial"/>
          <w:sz w:val="22"/>
          <w:szCs w:val="22"/>
        </w:rPr>
        <w:t xml:space="preserve">mitigation </w:t>
      </w:r>
      <w:r w:rsidR="00B162EA">
        <w:rPr>
          <w:rFonts w:ascii="Arial" w:hAnsi="Arial" w:cs="Arial"/>
          <w:sz w:val="22"/>
          <w:szCs w:val="22"/>
        </w:rPr>
        <w:t xml:space="preserve">as well as conservation and ecosystem restoration aspects </w:t>
      </w:r>
      <w:r w:rsidRPr="00CD5142">
        <w:rPr>
          <w:rFonts w:ascii="Arial" w:hAnsi="Arial" w:cs="Arial"/>
          <w:sz w:val="22"/>
          <w:szCs w:val="22"/>
        </w:rPr>
        <w:t>into ocean planning. This will involve coordinating with IOC's climate</w:t>
      </w:r>
      <w:r w:rsidR="00B162EA">
        <w:rPr>
          <w:rFonts w:ascii="Arial" w:hAnsi="Arial" w:cs="Arial"/>
          <w:sz w:val="22"/>
          <w:szCs w:val="22"/>
        </w:rPr>
        <w:t>, biodiversity</w:t>
      </w:r>
      <w:r w:rsidRPr="00CD5142">
        <w:rPr>
          <w:rFonts w:ascii="Arial" w:hAnsi="Arial" w:cs="Arial"/>
          <w:sz w:val="22"/>
          <w:szCs w:val="22"/>
        </w:rPr>
        <w:t xml:space="preserve"> and coastal hazard-related </w:t>
      </w:r>
      <w:r w:rsidR="00F66862">
        <w:rPr>
          <w:rFonts w:ascii="Arial" w:hAnsi="Arial" w:cs="Arial"/>
          <w:sz w:val="22"/>
          <w:szCs w:val="22"/>
        </w:rPr>
        <w:t>initiatives</w:t>
      </w:r>
      <w:r w:rsidR="00F66862" w:rsidRPr="00CD5142">
        <w:rPr>
          <w:rFonts w:ascii="Arial" w:hAnsi="Arial" w:cs="Arial"/>
          <w:sz w:val="22"/>
          <w:szCs w:val="22"/>
        </w:rPr>
        <w:t xml:space="preserve"> </w:t>
      </w:r>
      <w:r w:rsidRPr="00CD5142">
        <w:rPr>
          <w:rFonts w:ascii="Arial" w:hAnsi="Arial" w:cs="Arial"/>
          <w:sz w:val="22"/>
          <w:szCs w:val="22"/>
        </w:rPr>
        <w:t xml:space="preserve">to develop tools and guidelines that identify and incorporate resilience measures, </w:t>
      </w:r>
      <w:r w:rsidR="00F66862">
        <w:rPr>
          <w:rFonts w:ascii="Arial" w:hAnsi="Arial" w:cs="Arial"/>
          <w:sz w:val="22"/>
          <w:szCs w:val="22"/>
        </w:rPr>
        <w:t xml:space="preserve">generate scientific knowledge on the role of ocean ecosystems in climate </w:t>
      </w:r>
      <w:r w:rsidR="00B162EA">
        <w:rPr>
          <w:rFonts w:ascii="Arial" w:hAnsi="Arial" w:cs="Arial"/>
          <w:sz w:val="22"/>
          <w:szCs w:val="22"/>
        </w:rPr>
        <w:t>issues</w:t>
      </w:r>
      <w:r w:rsidR="00F66862">
        <w:rPr>
          <w:rFonts w:ascii="Arial" w:hAnsi="Arial" w:cs="Arial"/>
          <w:sz w:val="22"/>
          <w:szCs w:val="22"/>
        </w:rPr>
        <w:t xml:space="preserve">, </w:t>
      </w:r>
      <w:r w:rsidRPr="00CD5142">
        <w:rPr>
          <w:rFonts w:ascii="Arial" w:hAnsi="Arial" w:cs="Arial"/>
          <w:sz w:val="22"/>
          <w:szCs w:val="22"/>
        </w:rPr>
        <w:t xml:space="preserve">such as those related to blue carbon habitats and </w:t>
      </w:r>
      <w:r w:rsidR="00B162EA">
        <w:rPr>
          <w:rFonts w:ascii="Arial" w:hAnsi="Arial" w:cs="Arial"/>
          <w:sz w:val="22"/>
          <w:szCs w:val="22"/>
        </w:rPr>
        <w:t xml:space="preserve">related </w:t>
      </w:r>
      <w:r w:rsidRPr="00CD5142">
        <w:rPr>
          <w:rFonts w:ascii="Arial" w:hAnsi="Arial" w:cs="Arial"/>
          <w:sz w:val="22"/>
          <w:szCs w:val="22"/>
        </w:rPr>
        <w:t>service-providing ecosystems. By integrating climate science and projections into planning processes, the Strategy aims to equip countries to effectively manage climate and coastal hazard-related risks and vulnerabilities</w:t>
      </w:r>
      <w:r w:rsidR="00F66862">
        <w:rPr>
          <w:rFonts w:ascii="Arial" w:hAnsi="Arial" w:cs="Arial"/>
          <w:sz w:val="22"/>
          <w:szCs w:val="22"/>
        </w:rPr>
        <w:t>.</w:t>
      </w:r>
    </w:p>
    <w:p w14:paraId="6929DF8E" w14:textId="77777777" w:rsidR="00F66862" w:rsidRPr="00C5250E" w:rsidRDefault="00F66862" w:rsidP="00F66862">
      <w:pPr>
        <w:ind w:left="720"/>
        <w:jc w:val="both"/>
        <w:rPr>
          <w:rFonts w:ascii="Arial" w:hAnsi="Arial" w:cs="Arial"/>
          <w:sz w:val="22"/>
          <w:szCs w:val="22"/>
        </w:rPr>
      </w:pPr>
    </w:p>
    <w:p w14:paraId="3F6FC432" w14:textId="13F9B39D" w:rsidR="00344F7B" w:rsidRDefault="00C54645" w:rsidP="00716ED5">
      <w:pPr>
        <w:pBdr>
          <w:top w:val="single" w:sz="4" w:space="1" w:color="auto"/>
          <w:left w:val="single" w:sz="4" w:space="4" w:color="auto"/>
          <w:bottom w:val="single" w:sz="4" w:space="1" w:color="auto"/>
          <w:right w:val="single" w:sz="4" w:space="4" w:color="auto"/>
        </w:pBdr>
        <w:spacing w:after="120"/>
        <w:ind w:left="720"/>
        <w:rPr>
          <w:rFonts w:ascii="Arial" w:hAnsi="Arial" w:cs="Arial"/>
          <w:sz w:val="22"/>
          <w:szCs w:val="22"/>
        </w:rPr>
      </w:pPr>
      <w:r w:rsidRPr="00CD5142">
        <w:rPr>
          <w:rFonts w:ascii="Arial" w:hAnsi="Arial" w:cs="Arial"/>
          <w:b/>
          <w:sz w:val="22"/>
          <w:szCs w:val="22"/>
        </w:rPr>
        <w:t>Activity: Development of guidelines and planning assistance</w:t>
      </w:r>
    </w:p>
    <w:p w14:paraId="31A529B3" w14:textId="6F44F343" w:rsidR="00C54645" w:rsidRPr="00CD5142" w:rsidRDefault="00C54645" w:rsidP="00716ED5">
      <w:pPr>
        <w:pBdr>
          <w:top w:val="single" w:sz="4" w:space="1" w:color="auto"/>
          <w:left w:val="single" w:sz="4" w:space="4" w:color="auto"/>
          <w:bottom w:val="single" w:sz="4" w:space="1" w:color="auto"/>
          <w:right w:val="single" w:sz="4" w:space="4" w:color="auto"/>
        </w:pBdr>
        <w:ind w:left="720"/>
        <w:jc w:val="both"/>
        <w:rPr>
          <w:rFonts w:ascii="Arial" w:hAnsi="Arial" w:cs="Arial"/>
          <w:sz w:val="22"/>
          <w:szCs w:val="22"/>
        </w:rPr>
      </w:pPr>
      <w:r w:rsidRPr="00CD5142">
        <w:rPr>
          <w:rFonts w:ascii="Arial" w:hAnsi="Arial" w:cs="Arial"/>
          <w:sz w:val="22"/>
          <w:szCs w:val="22"/>
        </w:rPr>
        <w:t xml:space="preserve">To support this outcome, the development and dissemination of specialised guidelines and planning assistance are specifically outlined by the </w:t>
      </w:r>
      <w:r w:rsidR="003A481B" w:rsidRPr="00CD5142">
        <w:rPr>
          <w:rFonts w:ascii="Arial" w:hAnsi="Arial" w:cs="Arial"/>
          <w:sz w:val="22"/>
          <w:szCs w:val="22"/>
        </w:rPr>
        <w:t>Strategy</w:t>
      </w:r>
      <w:r w:rsidRPr="00CD5142">
        <w:rPr>
          <w:rFonts w:ascii="Arial" w:hAnsi="Arial" w:cs="Arial"/>
          <w:sz w:val="22"/>
          <w:szCs w:val="22"/>
        </w:rPr>
        <w:t>. These tools and frameworks, designed to address climate and coastal resilience measures, provide technical support to Member States, helping to integrate these measures into their ocean governance frameworks. This initiative aims to enhance governmental capacity for implementing effective climate and coastal hazard management strategies, promoting practices that are adaptable to changing climatic conditions and ensuring that ocean planning is resilient and responsive to environmental changes.</w:t>
      </w:r>
    </w:p>
    <w:p w14:paraId="14928122" w14:textId="2C32343B" w:rsidR="00C54645" w:rsidRPr="00716ED5" w:rsidRDefault="00C54645" w:rsidP="00783168">
      <w:pPr>
        <w:pStyle w:val="Heading2"/>
        <w:numPr>
          <w:ilvl w:val="0"/>
          <w:numId w:val="42"/>
        </w:numPr>
        <w:spacing w:before="360" w:after="240"/>
        <w:ind w:left="425" w:hanging="425"/>
        <w:rPr>
          <w:rFonts w:ascii="Arial" w:hAnsi="Arial"/>
          <w:b/>
          <w:bCs/>
          <w:color w:val="000000" w:themeColor="text1"/>
          <w:sz w:val="22"/>
          <w:szCs w:val="22"/>
        </w:rPr>
      </w:pPr>
      <w:bookmarkStart w:id="13" w:name="_Toc168325792"/>
      <w:r w:rsidRPr="00716ED5">
        <w:rPr>
          <w:rFonts w:ascii="Arial" w:hAnsi="Arial"/>
          <w:b/>
          <w:bCs/>
          <w:color w:val="000000" w:themeColor="text1"/>
          <w:sz w:val="22"/>
          <w:szCs w:val="22"/>
        </w:rPr>
        <w:lastRenderedPageBreak/>
        <w:t>Implementation</w:t>
      </w:r>
      <w:bookmarkEnd w:id="13"/>
    </w:p>
    <w:p w14:paraId="62084564" w14:textId="6EA99E48" w:rsidR="009B591C" w:rsidRDefault="00C54645" w:rsidP="00716ED5">
      <w:pPr>
        <w:pStyle w:val="ListParagraph"/>
        <w:numPr>
          <w:ilvl w:val="0"/>
          <w:numId w:val="37"/>
        </w:numPr>
        <w:tabs>
          <w:tab w:val="left" w:pos="709"/>
        </w:tabs>
        <w:spacing w:after="240"/>
        <w:ind w:left="0" w:firstLine="0"/>
        <w:contextualSpacing w:val="0"/>
        <w:jc w:val="both"/>
        <w:rPr>
          <w:rFonts w:ascii="Arial" w:hAnsi="Arial" w:cs="Arial"/>
          <w:color w:val="000000"/>
          <w:sz w:val="22"/>
          <w:szCs w:val="22"/>
        </w:rPr>
      </w:pPr>
      <w:r w:rsidRPr="00CD5142">
        <w:rPr>
          <w:rFonts w:ascii="Arial" w:hAnsi="Arial" w:cs="Arial"/>
          <w:color w:val="000000"/>
          <w:sz w:val="22"/>
          <w:szCs w:val="22"/>
          <w:highlight w:val="white"/>
        </w:rPr>
        <w:t xml:space="preserve">The implementation </w:t>
      </w:r>
      <w:r w:rsidR="00CF30C2">
        <w:rPr>
          <w:rFonts w:ascii="Arial" w:hAnsi="Arial" w:cs="Arial"/>
          <w:color w:val="000000"/>
          <w:sz w:val="22"/>
          <w:szCs w:val="22"/>
          <w:highlight w:val="white"/>
        </w:rPr>
        <w:t>of the IOC</w:t>
      </w:r>
      <w:r w:rsidRPr="00CD5142">
        <w:rPr>
          <w:rFonts w:ascii="Arial" w:hAnsi="Arial" w:cs="Arial"/>
          <w:color w:val="000000"/>
          <w:sz w:val="22"/>
          <w:szCs w:val="22"/>
          <w:highlight w:val="white"/>
        </w:rPr>
        <w:t xml:space="preserve"> Strategy on Sustainable Ocean Planning and Management (2024</w:t>
      </w:r>
      <w:r w:rsidR="00344F7B">
        <w:rPr>
          <w:rFonts w:ascii="Arial" w:hAnsi="Arial" w:cs="Arial"/>
          <w:color w:val="000000"/>
          <w:sz w:val="22"/>
          <w:szCs w:val="22"/>
          <w:highlight w:val="white"/>
        </w:rPr>
        <w:t>–</w:t>
      </w:r>
      <w:r w:rsidRPr="00CD5142">
        <w:rPr>
          <w:rFonts w:ascii="Arial" w:hAnsi="Arial" w:cs="Arial"/>
          <w:color w:val="000000"/>
          <w:sz w:val="22"/>
          <w:szCs w:val="22"/>
          <w:highlight w:val="white"/>
        </w:rPr>
        <w:t xml:space="preserve">2030) </w:t>
      </w:r>
      <w:r w:rsidRPr="00716ED5">
        <w:rPr>
          <w:rFonts w:ascii="Arial" w:hAnsi="Arial" w:cs="Arial"/>
          <w:sz w:val="22"/>
          <w:szCs w:val="22"/>
        </w:rPr>
        <w:t>will</w:t>
      </w:r>
      <w:r w:rsidRPr="00CD5142">
        <w:rPr>
          <w:rFonts w:ascii="Arial" w:hAnsi="Arial" w:cs="Arial"/>
          <w:color w:val="000000"/>
          <w:sz w:val="22"/>
          <w:szCs w:val="22"/>
          <w:highlight w:val="white"/>
        </w:rPr>
        <w:t xml:space="preserve"> be co-designed and jointly implemented by the different IOC programmes, in close collaboration with the IOC Mem</w:t>
      </w:r>
      <w:r w:rsidRPr="00CD5142">
        <w:rPr>
          <w:rFonts w:ascii="Arial" w:hAnsi="Arial" w:cs="Arial"/>
          <w:color w:val="000000"/>
          <w:sz w:val="22"/>
          <w:szCs w:val="22"/>
        </w:rPr>
        <w:t xml:space="preserve">ber States. As this </w:t>
      </w:r>
      <w:r w:rsidR="003A481B" w:rsidRPr="00CD5142">
        <w:rPr>
          <w:rFonts w:ascii="Arial" w:hAnsi="Arial" w:cs="Arial"/>
          <w:color w:val="000000"/>
          <w:sz w:val="22"/>
          <w:szCs w:val="22"/>
        </w:rPr>
        <w:t xml:space="preserve">Strategy </w:t>
      </w:r>
      <w:r w:rsidRPr="00CD5142">
        <w:rPr>
          <w:rFonts w:ascii="Arial" w:hAnsi="Arial" w:cs="Arial"/>
          <w:color w:val="000000"/>
          <w:sz w:val="22"/>
          <w:szCs w:val="22"/>
        </w:rPr>
        <w:t>encompasses a wide array of ocean planning and management aspects, continuous input</w:t>
      </w:r>
      <w:r w:rsidR="00CF30C2">
        <w:rPr>
          <w:rFonts w:ascii="Arial" w:hAnsi="Arial" w:cs="Arial"/>
          <w:color w:val="000000"/>
          <w:sz w:val="22"/>
          <w:szCs w:val="22"/>
        </w:rPr>
        <w:t>s</w:t>
      </w:r>
      <w:r w:rsidRPr="00CD5142">
        <w:rPr>
          <w:rFonts w:ascii="Arial" w:hAnsi="Arial" w:cs="Arial"/>
          <w:color w:val="000000"/>
          <w:sz w:val="22"/>
          <w:szCs w:val="22"/>
        </w:rPr>
        <w:t xml:space="preserve"> and updates on progress will be vital from both IOC Member States and programmes.</w:t>
      </w:r>
    </w:p>
    <w:p w14:paraId="22B94DD2" w14:textId="79E44749" w:rsidR="00C54645" w:rsidRPr="009B591C" w:rsidRDefault="00C54645" w:rsidP="00716ED5">
      <w:pPr>
        <w:pStyle w:val="ListParagraph"/>
        <w:numPr>
          <w:ilvl w:val="0"/>
          <w:numId w:val="37"/>
        </w:numPr>
        <w:tabs>
          <w:tab w:val="left" w:pos="709"/>
        </w:tabs>
        <w:spacing w:after="240"/>
        <w:ind w:left="0" w:firstLine="0"/>
        <w:contextualSpacing w:val="0"/>
        <w:jc w:val="both"/>
        <w:rPr>
          <w:rFonts w:ascii="Arial" w:hAnsi="Arial" w:cs="Arial"/>
          <w:color w:val="000000"/>
          <w:sz w:val="22"/>
          <w:szCs w:val="22"/>
        </w:rPr>
      </w:pPr>
      <w:r w:rsidRPr="00CD5142">
        <w:rPr>
          <w:rFonts w:ascii="Arial" w:hAnsi="Arial" w:cs="Arial"/>
          <w:color w:val="000000"/>
          <w:sz w:val="22"/>
          <w:szCs w:val="22"/>
          <w:highlight w:val="white"/>
        </w:rPr>
        <w:t xml:space="preserve">Collaborative partnerships are central to achieving the objectives of the Strategy. The IOC's </w:t>
      </w:r>
      <w:r w:rsidRPr="00716ED5">
        <w:rPr>
          <w:rFonts w:ascii="Arial" w:hAnsi="Arial" w:cs="Arial"/>
          <w:sz w:val="22"/>
          <w:szCs w:val="22"/>
        </w:rPr>
        <w:t>extensive</w:t>
      </w:r>
      <w:r w:rsidRPr="00CD5142">
        <w:rPr>
          <w:rFonts w:ascii="Arial" w:hAnsi="Arial" w:cs="Arial"/>
          <w:color w:val="000000"/>
          <w:sz w:val="22"/>
          <w:szCs w:val="22"/>
          <w:highlight w:val="white"/>
        </w:rPr>
        <w:t xml:space="preserve"> network of experts and its commitment to global </w:t>
      </w:r>
      <w:r w:rsidR="00CF30C2">
        <w:rPr>
          <w:rFonts w:ascii="Arial" w:hAnsi="Arial" w:cs="Arial"/>
          <w:color w:val="000000"/>
          <w:sz w:val="22"/>
          <w:szCs w:val="22"/>
          <w:highlight w:val="white"/>
        </w:rPr>
        <w:t xml:space="preserve">and regional </w:t>
      </w:r>
      <w:r w:rsidRPr="00CD5142">
        <w:rPr>
          <w:rFonts w:ascii="Arial" w:hAnsi="Arial" w:cs="Arial"/>
          <w:color w:val="000000"/>
          <w:sz w:val="22"/>
          <w:szCs w:val="22"/>
          <w:highlight w:val="white"/>
        </w:rPr>
        <w:t xml:space="preserve">cooperation offer </w:t>
      </w:r>
      <w:r w:rsidRPr="00CD5142">
        <w:rPr>
          <w:rFonts w:ascii="Arial" w:hAnsi="Arial" w:cs="Arial"/>
          <w:sz w:val="22"/>
          <w:szCs w:val="22"/>
          <w:highlight w:val="white"/>
        </w:rPr>
        <w:t>M</w:t>
      </w:r>
      <w:r w:rsidRPr="00CD5142">
        <w:rPr>
          <w:rFonts w:ascii="Arial" w:hAnsi="Arial" w:cs="Arial"/>
          <w:color w:val="000000"/>
          <w:sz w:val="22"/>
          <w:szCs w:val="22"/>
          <w:highlight w:val="white"/>
        </w:rPr>
        <w:t xml:space="preserve">ember </w:t>
      </w:r>
      <w:r w:rsidRPr="00CD5142">
        <w:rPr>
          <w:rFonts w:ascii="Arial" w:hAnsi="Arial" w:cs="Arial"/>
          <w:sz w:val="22"/>
          <w:szCs w:val="22"/>
          <w:highlight w:val="white"/>
        </w:rPr>
        <w:t>S</w:t>
      </w:r>
      <w:r w:rsidRPr="00CD5142">
        <w:rPr>
          <w:rFonts w:ascii="Arial" w:hAnsi="Arial" w:cs="Arial"/>
          <w:color w:val="000000"/>
          <w:sz w:val="22"/>
          <w:szCs w:val="22"/>
          <w:highlight w:val="white"/>
        </w:rPr>
        <w:t xml:space="preserve">tates valuable support for capacity development in various aspects of ocean planning and management. </w:t>
      </w:r>
      <w:r w:rsidR="00CF30C2">
        <w:rPr>
          <w:rFonts w:ascii="Arial" w:hAnsi="Arial" w:cs="Arial"/>
          <w:color w:val="000000"/>
          <w:sz w:val="22"/>
          <w:szCs w:val="22"/>
          <w:highlight w:val="white"/>
        </w:rPr>
        <w:t xml:space="preserve">The Implementation of the Strategy </w:t>
      </w:r>
      <w:r w:rsidR="003A481B">
        <w:rPr>
          <w:rFonts w:ascii="Arial" w:hAnsi="Arial" w:cs="Arial"/>
          <w:color w:val="000000"/>
          <w:sz w:val="22"/>
          <w:szCs w:val="22"/>
          <w:highlight w:val="white"/>
        </w:rPr>
        <w:t>requires the following</w:t>
      </w:r>
      <w:r w:rsidR="00344F7B">
        <w:rPr>
          <w:rFonts w:ascii="Arial" w:hAnsi="Arial" w:cs="Arial"/>
          <w:color w:val="000000"/>
          <w:sz w:val="22"/>
          <w:szCs w:val="22"/>
          <w:highlight w:val="white"/>
        </w:rPr>
        <w:t>:</w:t>
      </w:r>
      <w:r w:rsidR="00CF30C2">
        <w:rPr>
          <w:rFonts w:ascii="Arial" w:hAnsi="Arial" w:cs="Arial"/>
          <w:color w:val="000000"/>
          <w:sz w:val="22"/>
          <w:szCs w:val="22"/>
          <w:highlight w:val="white"/>
        </w:rPr>
        <w:t xml:space="preserve"> </w:t>
      </w:r>
    </w:p>
    <w:p w14:paraId="2F32F2E8" w14:textId="7AA5B2D4" w:rsidR="003330BA" w:rsidRPr="003330BA" w:rsidRDefault="00C54645" w:rsidP="00716ED5">
      <w:pPr>
        <w:pStyle w:val="ListParagraph"/>
        <w:numPr>
          <w:ilvl w:val="5"/>
          <w:numId w:val="32"/>
        </w:numPr>
        <w:spacing w:after="240"/>
        <w:ind w:left="850" w:hanging="425"/>
        <w:contextualSpacing w:val="0"/>
        <w:jc w:val="both"/>
        <w:rPr>
          <w:rFonts w:ascii="Arial" w:hAnsi="Arial" w:cs="Arial"/>
          <w:b/>
          <w:sz w:val="22"/>
          <w:szCs w:val="22"/>
        </w:rPr>
      </w:pPr>
      <w:r w:rsidRPr="00C5250E">
        <w:rPr>
          <w:rFonts w:ascii="Arial" w:hAnsi="Arial" w:cs="Arial"/>
          <w:b/>
          <w:sz w:val="22"/>
          <w:szCs w:val="22"/>
        </w:rPr>
        <w:t>Regional Engagement</w:t>
      </w:r>
      <w:r w:rsidR="003A481B">
        <w:rPr>
          <w:rFonts w:ascii="Arial" w:hAnsi="Arial" w:cs="Arial"/>
          <w:bCs/>
          <w:sz w:val="22"/>
          <w:szCs w:val="22"/>
        </w:rPr>
        <w:t>.</w:t>
      </w:r>
      <w:r w:rsidR="00C5250E" w:rsidRPr="00716ED5">
        <w:rPr>
          <w:rFonts w:ascii="Arial" w:hAnsi="Arial" w:cs="Arial"/>
          <w:bCs/>
          <w:sz w:val="22"/>
          <w:szCs w:val="22"/>
        </w:rPr>
        <w:t xml:space="preserve"> </w:t>
      </w:r>
      <w:r w:rsidRPr="00C5250E">
        <w:rPr>
          <w:rFonts w:ascii="Arial" w:hAnsi="Arial" w:cs="Arial"/>
          <w:sz w:val="22"/>
          <w:szCs w:val="22"/>
        </w:rPr>
        <w:t>The establishment of Regional Subsidiary Bodies (RSBs), such as IOCARIBE, IOCAFRICA, WESTPAC, and IOCINDIO has been instrumental in facilitating regional cooperation and knowledge sharing within UNESCO</w:t>
      </w:r>
      <w:r w:rsidR="00344F7B">
        <w:rPr>
          <w:rFonts w:ascii="Arial" w:hAnsi="Arial" w:cs="Arial"/>
          <w:sz w:val="22"/>
          <w:szCs w:val="22"/>
        </w:rPr>
        <w:t>-</w:t>
      </w:r>
      <w:r w:rsidR="00344F7B" w:rsidRPr="00C5250E">
        <w:rPr>
          <w:rFonts w:ascii="Arial" w:hAnsi="Arial" w:cs="Arial"/>
          <w:sz w:val="22"/>
          <w:szCs w:val="22"/>
        </w:rPr>
        <w:t xml:space="preserve">IOC </w:t>
      </w:r>
      <w:r w:rsidRPr="00C5250E">
        <w:rPr>
          <w:rFonts w:ascii="Arial" w:hAnsi="Arial" w:cs="Arial"/>
          <w:sz w:val="22"/>
          <w:szCs w:val="22"/>
        </w:rPr>
        <w:t xml:space="preserve">for decades. These bodies primarily foster cooperation at the regional level to address ocean issues common to Member States in each region, in alignment with global programmes. </w:t>
      </w:r>
      <w:r w:rsidR="00CF30C2">
        <w:rPr>
          <w:rFonts w:ascii="Arial" w:hAnsi="Arial" w:cs="Arial"/>
          <w:sz w:val="22"/>
          <w:szCs w:val="22"/>
        </w:rPr>
        <w:t xml:space="preserve">Though at different level of implementation, IOC RSBs are already developing collaborative MSP activities through </w:t>
      </w:r>
      <w:r w:rsidRPr="00A74F92">
        <w:rPr>
          <w:rFonts w:ascii="Arial" w:hAnsi="Arial" w:cs="Arial"/>
          <w:sz w:val="22"/>
          <w:szCs w:val="22"/>
        </w:rPr>
        <w:t xml:space="preserve">regional MSP pilot projects and collaborations, which bring together countries and stakeholders within a region to address shared challenges, exchange experiences, and develop coordinated transboundary approaches, crucial to the survival of ocean ecosystems and coastal communities. As the strategy will operate at regional and national levels, engagement across RSBs and other regional ocean-related groupings (e.g., such as the Global Ocean Observing System Regional Alliances, </w:t>
      </w:r>
      <w:r w:rsidR="003A481B" w:rsidRPr="00A74F92">
        <w:rPr>
          <w:rFonts w:ascii="Arial" w:hAnsi="Arial" w:cs="Arial"/>
          <w:sz w:val="22"/>
          <w:szCs w:val="22"/>
        </w:rPr>
        <w:t xml:space="preserve">Regional Seas Conventions </w:t>
      </w:r>
      <w:r w:rsidRPr="00A74F92">
        <w:rPr>
          <w:rFonts w:ascii="Arial" w:hAnsi="Arial" w:cs="Arial"/>
          <w:sz w:val="22"/>
          <w:szCs w:val="22"/>
        </w:rPr>
        <w:t xml:space="preserve">and LMEs) outside IOC </w:t>
      </w:r>
      <w:r w:rsidR="00CF30C2">
        <w:rPr>
          <w:rFonts w:ascii="Arial" w:hAnsi="Arial" w:cs="Arial"/>
          <w:sz w:val="22"/>
          <w:szCs w:val="22"/>
        </w:rPr>
        <w:t>will be required</w:t>
      </w:r>
      <w:r w:rsidRPr="00A74F92">
        <w:rPr>
          <w:rFonts w:ascii="Arial" w:hAnsi="Arial" w:cs="Arial"/>
          <w:sz w:val="22"/>
          <w:szCs w:val="22"/>
        </w:rPr>
        <w:t xml:space="preserve"> </w:t>
      </w:r>
      <w:proofErr w:type="gramStart"/>
      <w:r w:rsidR="00CF30C2">
        <w:rPr>
          <w:rFonts w:ascii="Arial" w:hAnsi="Arial" w:cs="Arial"/>
          <w:sz w:val="22"/>
          <w:szCs w:val="22"/>
        </w:rPr>
        <w:t>in order to</w:t>
      </w:r>
      <w:proofErr w:type="gramEnd"/>
      <w:r w:rsidR="00CF30C2">
        <w:rPr>
          <w:rFonts w:ascii="Arial" w:hAnsi="Arial" w:cs="Arial"/>
          <w:sz w:val="22"/>
          <w:szCs w:val="22"/>
        </w:rPr>
        <w:t xml:space="preserve"> </w:t>
      </w:r>
      <w:r w:rsidRPr="00A74F92">
        <w:rPr>
          <w:rFonts w:ascii="Arial" w:hAnsi="Arial" w:cs="Arial"/>
          <w:sz w:val="22"/>
          <w:szCs w:val="22"/>
        </w:rPr>
        <w:t>define region-specific priorities and actionable steps, allowing regional autonomy</w:t>
      </w:r>
      <w:r w:rsidR="00CF30C2">
        <w:rPr>
          <w:rFonts w:ascii="Arial" w:hAnsi="Arial" w:cs="Arial"/>
          <w:sz w:val="22"/>
          <w:szCs w:val="22"/>
        </w:rPr>
        <w:t xml:space="preserve"> and responsiveness</w:t>
      </w:r>
      <w:r w:rsidRPr="00A74F92">
        <w:rPr>
          <w:rFonts w:ascii="Arial" w:hAnsi="Arial" w:cs="Arial"/>
          <w:sz w:val="22"/>
          <w:szCs w:val="22"/>
        </w:rPr>
        <w:t xml:space="preserve"> to manage the program</w:t>
      </w:r>
      <w:r w:rsidR="00133034">
        <w:rPr>
          <w:rFonts w:ascii="Arial" w:hAnsi="Arial" w:cs="Arial"/>
          <w:sz w:val="22"/>
          <w:szCs w:val="22"/>
        </w:rPr>
        <w:t>me</w:t>
      </w:r>
      <w:r w:rsidRPr="00A74F92">
        <w:rPr>
          <w:rFonts w:ascii="Arial" w:hAnsi="Arial" w:cs="Arial"/>
          <w:sz w:val="22"/>
          <w:szCs w:val="22"/>
        </w:rPr>
        <w:t xml:space="preserve"> according to local contextual needs.</w:t>
      </w:r>
    </w:p>
    <w:p w14:paraId="7CC9EEB6" w14:textId="41CA7058" w:rsidR="00C5250E" w:rsidRPr="00C5250E" w:rsidRDefault="00C54645" w:rsidP="00716ED5">
      <w:pPr>
        <w:pStyle w:val="ListParagraph"/>
        <w:numPr>
          <w:ilvl w:val="5"/>
          <w:numId w:val="32"/>
        </w:numPr>
        <w:spacing w:after="120"/>
        <w:ind w:left="850" w:hanging="425"/>
        <w:contextualSpacing w:val="0"/>
        <w:jc w:val="both"/>
        <w:rPr>
          <w:rFonts w:ascii="Arial" w:hAnsi="Arial" w:cs="Arial"/>
          <w:b/>
          <w:sz w:val="22"/>
          <w:szCs w:val="22"/>
        </w:rPr>
      </w:pPr>
      <w:r w:rsidRPr="00C5250E">
        <w:rPr>
          <w:rFonts w:ascii="Arial" w:hAnsi="Arial" w:cs="Arial"/>
          <w:b/>
          <w:sz w:val="22"/>
          <w:szCs w:val="22"/>
        </w:rPr>
        <w:t xml:space="preserve">IOC </w:t>
      </w:r>
      <w:r w:rsidRPr="00133034">
        <w:rPr>
          <w:rFonts w:ascii="Arial" w:hAnsi="Arial" w:cs="Arial"/>
          <w:b/>
          <w:sz w:val="22"/>
          <w:szCs w:val="22"/>
        </w:rPr>
        <w:t>Programmes</w:t>
      </w:r>
      <w:r w:rsidR="00133034">
        <w:rPr>
          <w:rFonts w:ascii="Arial" w:hAnsi="Arial" w:cs="Arial"/>
          <w:bCs/>
          <w:sz w:val="22"/>
          <w:szCs w:val="22"/>
        </w:rPr>
        <w:t xml:space="preserve">. </w:t>
      </w:r>
      <w:r w:rsidRPr="00716ED5">
        <w:rPr>
          <w:rFonts w:ascii="Arial" w:hAnsi="Arial" w:cs="Arial"/>
          <w:bCs/>
          <w:sz w:val="22"/>
          <w:szCs w:val="22"/>
        </w:rPr>
        <w:t>The</w:t>
      </w:r>
      <w:r w:rsidRPr="00C5250E">
        <w:rPr>
          <w:rFonts w:ascii="Arial" w:hAnsi="Arial" w:cs="Arial"/>
          <w:sz w:val="22"/>
          <w:szCs w:val="22"/>
        </w:rPr>
        <w:t xml:space="preserve"> </w:t>
      </w:r>
      <w:r w:rsidR="003A481B" w:rsidRPr="00C5250E">
        <w:rPr>
          <w:rFonts w:ascii="Arial" w:hAnsi="Arial" w:cs="Arial"/>
          <w:sz w:val="22"/>
          <w:szCs w:val="22"/>
        </w:rPr>
        <w:t xml:space="preserve">Strategy </w:t>
      </w:r>
      <w:r w:rsidRPr="00C5250E">
        <w:rPr>
          <w:rFonts w:ascii="Arial" w:hAnsi="Arial" w:cs="Arial"/>
          <w:sz w:val="22"/>
          <w:szCs w:val="22"/>
        </w:rPr>
        <w:t>aims to provide comprehensive guidance to IOC programmes and projects, to ensure cohesive alignment in ocean and coastal management and planning efforts. Leveraging existing initiatives, coordination will be enhanced to ensure coherence across projects towards the strategic objectives of the Strategy. This involves tapping into expert advice from established collaborations such as the Joint Group of Experts on the Scientific Aspects of Marine Environmental Protection (GESAMP).</w:t>
      </w:r>
      <w:r w:rsidR="00C5250E">
        <w:rPr>
          <w:rFonts w:ascii="Arial" w:hAnsi="Arial" w:cs="Arial"/>
          <w:sz w:val="22"/>
          <w:szCs w:val="22"/>
        </w:rPr>
        <w:t xml:space="preserve"> </w:t>
      </w:r>
      <w:r w:rsidRPr="00C5250E">
        <w:rPr>
          <w:rFonts w:ascii="Arial" w:hAnsi="Arial" w:cs="Arial"/>
          <w:sz w:val="22"/>
          <w:szCs w:val="22"/>
        </w:rPr>
        <w:t xml:space="preserve">Efforts will also be made to ensure accessibility of resources and data from all programmes and projects through relevant open-access platforms like the Ocean Literacy Portal, the Ocean Data and Information System (ODIS), the Ocean Biodiversity Information System (OBIS) and others. Additionally, the </w:t>
      </w:r>
      <w:r w:rsidR="003A481B" w:rsidRPr="00C5250E">
        <w:rPr>
          <w:rFonts w:ascii="Arial" w:hAnsi="Arial" w:cs="Arial"/>
          <w:sz w:val="22"/>
          <w:szCs w:val="22"/>
        </w:rPr>
        <w:t xml:space="preserve">Strategy </w:t>
      </w:r>
      <w:r w:rsidRPr="00C5250E">
        <w:rPr>
          <w:rFonts w:ascii="Arial" w:hAnsi="Arial" w:cs="Arial"/>
          <w:sz w:val="22"/>
          <w:szCs w:val="22"/>
        </w:rPr>
        <w:t xml:space="preserve">will drive collaboration and capacity development through initiatives such as the </w:t>
      </w:r>
      <w:proofErr w:type="spellStart"/>
      <w:r w:rsidRPr="00C5250E">
        <w:rPr>
          <w:rFonts w:ascii="Arial" w:hAnsi="Arial" w:cs="Arial"/>
          <w:sz w:val="22"/>
          <w:szCs w:val="22"/>
        </w:rPr>
        <w:t>OceanTeacher</w:t>
      </w:r>
      <w:proofErr w:type="spellEnd"/>
      <w:r w:rsidRPr="00C5250E">
        <w:rPr>
          <w:rFonts w:ascii="Arial" w:hAnsi="Arial" w:cs="Arial"/>
          <w:sz w:val="22"/>
          <w:szCs w:val="22"/>
        </w:rPr>
        <w:t xml:space="preserve"> Global Academy, Ocean CD-Hub, or Early Career Ocean Professional (ECOP) Network.</w:t>
      </w:r>
    </w:p>
    <w:p w14:paraId="43CAE165" w14:textId="534BAA3F" w:rsidR="00C5250E" w:rsidRDefault="00C54645" w:rsidP="00716ED5">
      <w:pPr>
        <w:pStyle w:val="ListParagraph"/>
        <w:spacing w:after="240"/>
        <w:ind w:left="851"/>
        <w:contextualSpacing w:val="0"/>
        <w:jc w:val="both"/>
        <w:rPr>
          <w:rFonts w:ascii="Arial" w:hAnsi="Arial" w:cs="Arial"/>
          <w:sz w:val="22"/>
          <w:szCs w:val="22"/>
        </w:rPr>
      </w:pPr>
      <w:r w:rsidRPr="00C5250E">
        <w:rPr>
          <w:rFonts w:ascii="Arial" w:hAnsi="Arial" w:cs="Arial"/>
          <w:sz w:val="22"/>
          <w:szCs w:val="22"/>
        </w:rPr>
        <w:t>Furthermore, the Strategy will strengthen existing collaborations, such as the joint actions between IOC and the World Heritage Marine Programme (WHC)</w:t>
      </w:r>
      <w:r w:rsidR="003A481B">
        <w:rPr>
          <w:rFonts w:ascii="Arial" w:hAnsi="Arial" w:cs="Arial"/>
          <w:sz w:val="22"/>
          <w:szCs w:val="22"/>
        </w:rPr>
        <w:t xml:space="preserve"> of UNESCO</w:t>
      </w:r>
      <w:r w:rsidRPr="00C5250E">
        <w:rPr>
          <w:rFonts w:ascii="Arial" w:hAnsi="Arial" w:cs="Arial"/>
          <w:sz w:val="22"/>
          <w:szCs w:val="22"/>
        </w:rPr>
        <w:t xml:space="preserve">, to ensure the protection of WHC marine sites under relevant management plans, as well as with the UNESCO network of marine and coastal Biosphere Reserves. In addition, </w:t>
      </w:r>
      <w:proofErr w:type="spellStart"/>
      <w:r w:rsidRPr="00C5250E">
        <w:rPr>
          <w:rFonts w:ascii="Arial" w:hAnsi="Arial" w:cs="Arial"/>
          <w:sz w:val="22"/>
          <w:szCs w:val="22"/>
        </w:rPr>
        <w:t>MSPglobal</w:t>
      </w:r>
      <w:proofErr w:type="spellEnd"/>
      <w:r w:rsidRPr="00C5250E">
        <w:rPr>
          <w:rFonts w:ascii="Arial" w:hAnsi="Arial" w:cs="Arial"/>
          <w:sz w:val="22"/>
          <w:szCs w:val="22"/>
        </w:rPr>
        <w:t xml:space="preserve"> will play a key role given the established guidelines and good practices for MSP which serve as valuable tools and resources for policymakers. These resources aid in crafting inclusive and adaptable MSP processes, encompassing ecological, social, and economic factors in decision-making. Building upon this existing expertise, the Strategy will extend and adapt these resources to encompass the broader scope of ocean planning and management. </w:t>
      </w:r>
    </w:p>
    <w:p w14:paraId="045280C6" w14:textId="0E44A73B" w:rsidR="00C54645" w:rsidRPr="00422210" w:rsidRDefault="00C54645" w:rsidP="00716ED5">
      <w:pPr>
        <w:pStyle w:val="ListParagraph"/>
        <w:numPr>
          <w:ilvl w:val="5"/>
          <w:numId w:val="32"/>
        </w:numPr>
        <w:spacing w:after="240"/>
        <w:ind w:left="850" w:hanging="425"/>
        <w:contextualSpacing w:val="0"/>
        <w:jc w:val="both"/>
        <w:rPr>
          <w:rFonts w:ascii="Arial" w:hAnsi="Arial" w:cs="Arial"/>
          <w:b/>
          <w:sz w:val="22"/>
          <w:szCs w:val="22"/>
        </w:rPr>
      </w:pPr>
      <w:r w:rsidRPr="00A84818">
        <w:rPr>
          <w:rFonts w:ascii="Arial" w:hAnsi="Arial" w:cs="Arial"/>
          <w:b/>
          <w:sz w:val="22"/>
          <w:szCs w:val="22"/>
        </w:rPr>
        <w:t>Collaborations with UN and Non-UN Entities</w:t>
      </w:r>
      <w:r w:rsidR="00133034" w:rsidRPr="00A84818">
        <w:rPr>
          <w:rFonts w:ascii="Arial" w:hAnsi="Arial" w:cs="Arial"/>
          <w:bCs/>
          <w:sz w:val="22"/>
          <w:szCs w:val="22"/>
        </w:rPr>
        <w:t xml:space="preserve">. </w:t>
      </w:r>
      <w:r w:rsidRPr="00C5250E">
        <w:rPr>
          <w:rFonts w:ascii="Arial" w:hAnsi="Arial" w:cs="Arial"/>
          <w:sz w:val="22"/>
          <w:szCs w:val="22"/>
        </w:rPr>
        <w:t xml:space="preserve">Building upon existing partnerships, the </w:t>
      </w:r>
      <w:r w:rsidR="003A481B" w:rsidRPr="00C5250E">
        <w:rPr>
          <w:rFonts w:ascii="Arial" w:hAnsi="Arial" w:cs="Arial"/>
          <w:sz w:val="22"/>
          <w:szCs w:val="22"/>
        </w:rPr>
        <w:t xml:space="preserve">Strategy </w:t>
      </w:r>
      <w:r w:rsidRPr="00C5250E">
        <w:rPr>
          <w:rFonts w:ascii="Arial" w:hAnsi="Arial" w:cs="Arial"/>
          <w:sz w:val="22"/>
          <w:szCs w:val="22"/>
        </w:rPr>
        <w:t xml:space="preserve">will further engage with various UN and non-UN organisations and programmes. These entities include, for instance, the United Nations Environment Programme (UNEP), </w:t>
      </w:r>
      <w:r w:rsidRPr="00C5250E">
        <w:rPr>
          <w:rFonts w:ascii="Arial" w:hAnsi="Arial" w:cs="Arial"/>
          <w:sz w:val="22"/>
          <w:szCs w:val="22"/>
        </w:rPr>
        <w:lastRenderedPageBreak/>
        <w:t xml:space="preserve">the World Meteorological Organization (WMO), the Convention on Biological Diversity (CBD), United Nations Development Programme (UNDP), the Food and Agriculture Organization (FAO), the European Commission, and Ocean Action Coalition 2030. </w:t>
      </w:r>
    </w:p>
    <w:p w14:paraId="13488EC8" w14:textId="7AD02BF1" w:rsidR="00C54645" w:rsidRPr="001F7011" w:rsidRDefault="00C54645" w:rsidP="00716ED5">
      <w:pPr>
        <w:pStyle w:val="ListParagraph"/>
        <w:numPr>
          <w:ilvl w:val="5"/>
          <w:numId w:val="32"/>
        </w:numPr>
        <w:spacing w:after="240"/>
        <w:ind w:left="850" w:hanging="425"/>
        <w:contextualSpacing w:val="0"/>
        <w:jc w:val="both"/>
        <w:rPr>
          <w:rFonts w:ascii="Arial" w:hAnsi="Arial" w:cs="Arial"/>
          <w:b/>
          <w:sz w:val="22"/>
          <w:szCs w:val="22"/>
        </w:rPr>
      </w:pPr>
      <w:r w:rsidRPr="00C5250E">
        <w:rPr>
          <w:rFonts w:ascii="Arial" w:hAnsi="Arial" w:cs="Arial"/>
          <w:b/>
          <w:sz w:val="22"/>
          <w:szCs w:val="22"/>
        </w:rPr>
        <w:t>Collaboration with External Actors</w:t>
      </w:r>
      <w:r w:rsidR="00133034">
        <w:rPr>
          <w:rFonts w:ascii="Arial" w:hAnsi="Arial" w:cs="Arial"/>
          <w:bCs/>
          <w:sz w:val="22"/>
          <w:szCs w:val="22"/>
        </w:rPr>
        <w:t>.</w:t>
      </w:r>
      <w:r w:rsidR="00C5250E" w:rsidRPr="00716ED5">
        <w:rPr>
          <w:rFonts w:ascii="Arial" w:hAnsi="Arial" w:cs="Arial"/>
          <w:bCs/>
          <w:sz w:val="22"/>
          <w:szCs w:val="22"/>
        </w:rPr>
        <w:t xml:space="preserve"> </w:t>
      </w:r>
      <w:r w:rsidRPr="00C5250E">
        <w:rPr>
          <w:rFonts w:ascii="Arial" w:hAnsi="Arial" w:cs="Arial"/>
          <w:sz w:val="22"/>
          <w:szCs w:val="22"/>
        </w:rPr>
        <w:t xml:space="preserve">Collaboration with IGOs and NGOs will bring expertise in advocacy, community engagement, and </w:t>
      </w:r>
      <w:r w:rsidR="00CF30C2">
        <w:rPr>
          <w:rFonts w:ascii="Arial" w:hAnsi="Arial" w:cs="Arial"/>
          <w:sz w:val="22"/>
          <w:szCs w:val="22"/>
        </w:rPr>
        <w:t>i</w:t>
      </w:r>
      <w:r w:rsidRPr="00C5250E">
        <w:rPr>
          <w:rFonts w:ascii="Arial" w:hAnsi="Arial" w:cs="Arial"/>
          <w:sz w:val="22"/>
          <w:szCs w:val="22"/>
        </w:rPr>
        <w:t>ndigenous and local knowledge for more inclusive and socially equitable ocean planning. Simultaneously, engagement with academic institutions will drive scientific progress, foster evidence-based decision-making, and provide training for future ocean planning practitioners. In addition, partnering with the private sector will leverage resources, innovation, and industry expertise to enhance the effectiveness of ocean planning initiatives, as well as secure their compliance, which is key to the overall success. Moreover, collaboration with communication outlets will help raise awareness, promote public engagement, and communicate the importance of sustainable ocean planning and management. These partnerships will catalyse research, innovation, and knowledge exchange, leading to cutting-edge tools and methodologies for effective ocean planning implementation.</w:t>
      </w:r>
    </w:p>
    <w:p w14:paraId="3B842F4F" w14:textId="401DB51E" w:rsidR="001F7011" w:rsidRPr="00C5250E" w:rsidRDefault="001F7011" w:rsidP="00716ED5">
      <w:pPr>
        <w:pStyle w:val="ListParagraph"/>
        <w:numPr>
          <w:ilvl w:val="5"/>
          <w:numId w:val="32"/>
        </w:numPr>
        <w:spacing w:after="240"/>
        <w:ind w:left="850" w:hanging="425"/>
        <w:contextualSpacing w:val="0"/>
        <w:jc w:val="both"/>
        <w:rPr>
          <w:rFonts w:ascii="Arial" w:hAnsi="Arial" w:cs="Arial"/>
          <w:b/>
          <w:sz w:val="22"/>
          <w:szCs w:val="22"/>
        </w:rPr>
      </w:pPr>
      <w:r>
        <w:rPr>
          <w:rFonts w:ascii="Arial" w:hAnsi="Arial" w:cs="Arial"/>
          <w:b/>
          <w:sz w:val="22"/>
          <w:szCs w:val="22"/>
        </w:rPr>
        <w:t xml:space="preserve">Ocean </w:t>
      </w:r>
      <w:r w:rsidR="00A93BD8">
        <w:rPr>
          <w:rFonts w:ascii="Arial" w:hAnsi="Arial" w:cs="Arial"/>
          <w:b/>
          <w:sz w:val="22"/>
          <w:szCs w:val="22"/>
        </w:rPr>
        <w:t>decade</w:t>
      </w:r>
      <w:r>
        <w:rPr>
          <w:rFonts w:ascii="Arial" w:hAnsi="Arial" w:cs="Arial"/>
          <w:b/>
          <w:sz w:val="22"/>
          <w:szCs w:val="22"/>
        </w:rPr>
        <w:t>.</w:t>
      </w:r>
      <w:r w:rsidR="00E84E4B" w:rsidRPr="00E84E4B">
        <w:t xml:space="preserve"> </w:t>
      </w:r>
      <w:r w:rsidR="00E84E4B" w:rsidRPr="00E84E4B">
        <w:rPr>
          <w:rFonts w:ascii="Arial" w:hAnsi="Arial" w:cs="Arial"/>
          <w:bCs/>
          <w:sz w:val="22"/>
          <w:szCs w:val="22"/>
        </w:rPr>
        <w:t>A significant task of the IOC is to assist and enable the implementation of the UN Decade of Ocean Science for Sustainable Development (Ocean Decade). The emerging Decade Programme on Sustainable Ocean Planning, launched at the 2024 Ocean Decade Conference in Barcelona, complements the IOC-wide Strategy on Sustainable Ocean Planning and Management (2024–2030) by providing a supportive tool to enable and operationalise national strategies in sustainable ocean planning and management. The Programme's co-designed and co-delivered actions will ensure that projects address critical gaps for Member States in science, knowledge, and capacity development. Additionally, its iterative approach allows for the adaptation and refinement of priorities to meet emerging challenges. These synergies are essential for achieving the objectives of the IOC-wide Strategy, fostering integrated, adaptive, and resilient ocean management practices that enhance global and regional cooperation and contribute to the long-term sustainability and equity of ocean economies.</w:t>
      </w:r>
    </w:p>
    <w:p w14:paraId="6E983202" w14:textId="765DE26E" w:rsidR="003330BA" w:rsidRPr="00783168" w:rsidRDefault="00C54645" w:rsidP="00783168">
      <w:pPr>
        <w:pStyle w:val="Heading2"/>
        <w:spacing w:before="240" w:after="240"/>
        <w:rPr>
          <w:rFonts w:ascii="Arial" w:hAnsi="Arial"/>
          <w:color w:val="000000" w:themeColor="text1"/>
          <w:sz w:val="22"/>
          <w:szCs w:val="22"/>
          <w:u w:val="single"/>
        </w:rPr>
      </w:pPr>
      <w:bookmarkStart w:id="14" w:name="_Toc168325793"/>
      <w:r w:rsidRPr="00783168">
        <w:rPr>
          <w:rFonts w:ascii="Arial" w:hAnsi="Arial"/>
          <w:color w:val="000000" w:themeColor="text1"/>
          <w:sz w:val="22"/>
          <w:szCs w:val="22"/>
          <w:u w:val="single"/>
        </w:rPr>
        <w:t>Guidance mechanism</w:t>
      </w:r>
      <w:bookmarkEnd w:id="14"/>
    </w:p>
    <w:p w14:paraId="27182A25" w14:textId="2AB9CA0B" w:rsidR="00C54645" w:rsidRPr="00716ED5" w:rsidRDefault="00C54645" w:rsidP="00716ED5">
      <w:pPr>
        <w:pStyle w:val="ListParagraph"/>
        <w:numPr>
          <w:ilvl w:val="0"/>
          <w:numId w:val="37"/>
        </w:numPr>
        <w:tabs>
          <w:tab w:val="left" w:pos="709"/>
        </w:tabs>
        <w:spacing w:after="240"/>
        <w:ind w:left="0" w:firstLine="0"/>
        <w:contextualSpacing w:val="0"/>
        <w:jc w:val="both"/>
        <w:rPr>
          <w:rFonts w:ascii="Arial" w:hAnsi="Arial" w:cs="Arial"/>
          <w:color w:val="000000" w:themeColor="text1"/>
          <w:sz w:val="22"/>
          <w:szCs w:val="22"/>
        </w:rPr>
      </w:pPr>
      <w:r w:rsidRPr="003330BA">
        <w:rPr>
          <w:rFonts w:ascii="Arial" w:hAnsi="Arial" w:cs="Arial"/>
          <w:color w:val="000000" w:themeColor="text1"/>
          <w:sz w:val="22"/>
          <w:szCs w:val="22"/>
          <w:highlight w:val="white"/>
        </w:rPr>
        <w:t xml:space="preserve">To </w:t>
      </w:r>
      <w:r w:rsidR="00440828">
        <w:rPr>
          <w:rFonts w:ascii="Arial" w:hAnsi="Arial" w:cs="Arial"/>
          <w:color w:val="000000" w:themeColor="text1"/>
          <w:sz w:val="22"/>
          <w:szCs w:val="22"/>
          <w:highlight w:val="white"/>
        </w:rPr>
        <w:t>guide</w:t>
      </w:r>
      <w:r w:rsidR="00440828" w:rsidRPr="003330BA">
        <w:rPr>
          <w:rFonts w:ascii="Arial" w:hAnsi="Arial" w:cs="Arial"/>
          <w:color w:val="000000" w:themeColor="text1"/>
          <w:sz w:val="22"/>
          <w:szCs w:val="22"/>
          <w:highlight w:val="white"/>
        </w:rPr>
        <w:t xml:space="preserve"> </w:t>
      </w:r>
      <w:r w:rsidRPr="003330BA">
        <w:rPr>
          <w:rFonts w:ascii="Arial" w:hAnsi="Arial" w:cs="Arial"/>
          <w:color w:val="000000" w:themeColor="text1"/>
          <w:sz w:val="22"/>
          <w:szCs w:val="22"/>
          <w:highlight w:val="white"/>
        </w:rPr>
        <w:t xml:space="preserve">the effective implementation of this </w:t>
      </w:r>
      <w:r w:rsidR="003B5CCB" w:rsidRPr="003330BA">
        <w:rPr>
          <w:rFonts w:ascii="Arial" w:hAnsi="Arial" w:cs="Arial"/>
          <w:color w:val="000000" w:themeColor="text1"/>
          <w:sz w:val="22"/>
          <w:szCs w:val="22"/>
          <w:highlight w:val="white"/>
        </w:rPr>
        <w:t>Strategy</w:t>
      </w:r>
      <w:r w:rsidRPr="003330BA">
        <w:rPr>
          <w:rFonts w:ascii="Arial" w:hAnsi="Arial" w:cs="Arial"/>
          <w:color w:val="000000" w:themeColor="text1"/>
          <w:sz w:val="22"/>
          <w:szCs w:val="22"/>
          <w:highlight w:val="white"/>
        </w:rPr>
        <w:t>, a</w:t>
      </w:r>
      <w:r w:rsidR="000246AA">
        <w:rPr>
          <w:rFonts w:ascii="Arial" w:hAnsi="Arial" w:cs="Arial"/>
          <w:color w:val="000000" w:themeColor="text1"/>
          <w:sz w:val="22"/>
          <w:szCs w:val="22"/>
          <w:highlight w:val="white"/>
        </w:rPr>
        <w:t>n IOC</w:t>
      </w:r>
      <w:r w:rsidRPr="003330BA">
        <w:rPr>
          <w:rFonts w:ascii="Arial" w:hAnsi="Arial" w:cs="Arial"/>
          <w:color w:val="000000" w:themeColor="text1"/>
          <w:sz w:val="22"/>
          <w:szCs w:val="22"/>
          <w:highlight w:val="white"/>
        </w:rPr>
        <w:t xml:space="preserve"> </w:t>
      </w:r>
      <w:r w:rsidRPr="00716ED5">
        <w:rPr>
          <w:rFonts w:ascii="Arial" w:hAnsi="Arial" w:cs="Arial"/>
          <w:color w:val="000000" w:themeColor="text1"/>
          <w:sz w:val="22"/>
          <w:szCs w:val="22"/>
          <w:highlight w:val="white"/>
          <w:u w:val="single"/>
        </w:rPr>
        <w:t>Working Group for Sustainable Ocean Planning and Management</w:t>
      </w:r>
      <w:r w:rsidRPr="003330BA">
        <w:rPr>
          <w:rFonts w:ascii="Arial" w:hAnsi="Arial" w:cs="Arial"/>
          <w:color w:val="000000" w:themeColor="text1"/>
          <w:sz w:val="22"/>
          <w:szCs w:val="22"/>
          <w:highlight w:val="white"/>
        </w:rPr>
        <w:t xml:space="preserve"> will be established. This group will be responsible for monitoring and guiding the activities related to ocean planning and management across all IOC programmes, in addition to undertaking new endeavours </w:t>
      </w:r>
      <w:r w:rsidR="00CF30C2" w:rsidRPr="003330BA">
        <w:rPr>
          <w:rFonts w:ascii="Arial" w:hAnsi="Arial" w:cs="Arial"/>
          <w:color w:val="000000" w:themeColor="text1"/>
          <w:sz w:val="22"/>
          <w:szCs w:val="22"/>
          <w:highlight w:val="white"/>
        </w:rPr>
        <w:t>as request</w:t>
      </w:r>
      <w:r w:rsidR="003B5CCB">
        <w:rPr>
          <w:rFonts w:ascii="Arial" w:hAnsi="Arial" w:cs="Arial"/>
          <w:color w:val="000000" w:themeColor="text1"/>
          <w:sz w:val="22"/>
          <w:szCs w:val="22"/>
          <w:highlight w:val="white"/>
        </w:rPr>
        <w:t>ed</w:t>
      </w:r>
      <w:r w:rsidR="00CF30C2" w:rsidRPr="003330BA">
        <w:rPr>
          <w:rFonts w:ascii="Arial" w:hAnsi="Arial" w:cs="Arial"/>
          <w:color w:val="000000" w:themeColor="text1"/>
          <w:sz w:val="22"/>
          <w:szCs w:val="22"/>
          <w:highlight w:val="white"/>
        </w:rPr>
        <w:t xml:space="preserve"> </w:t>
      </w:r>
      <w:r w:rsidRPr="003330BA">
        <w:rPr>
          <w:rFonts w:ascii="Arial" w:hAnsi="Arial" w:cs="Arial"/>
          <w:color w:val="000000" w:themeColor="text1"/>
          <w:sz w:val="22"/>
          <w:szCs w:val="22"/>
          <w:highlight w:val="white"/>
        </w:rPr>
        <w:t xml:space="preserve">by </w:t>
      </w:r>
      <w:r w:rsidR="00CF30C2" w:rsidRPr="003330BA">
        <w:rPr>
          <w:rFonts w:ascii="Arial" w:hAnsi="Arial" w:cs="Arial"/>
          <w:color w:val="000000" w:themeColor="text1"/>
          <w:sz w:val="22"/>
          <w:szCs w:val="22"/>
          <w:highlight w:val="white"/>
        </w:rPr>
        <w:t xml:space="preserve">IOC </w:t>
      </w:r>
      <w:r w:rsidR="003B5CCB" w:rsidRPr="003330BA">
        <w:rPr>
          <w:rFonts w:ascii="Arial" w:hAnsi="Arial" w:cs="Arial"/>
          <w:color w:val="000000" w:themeColor="text1"/>
          <w:sz w:val="22"/>
          <w:szCs w:val="22"/>
          <w:highlight w:val="white"/>
        </w:rPr>
        <w:t>governing bodies</w:t>
      </w:r>
      <w:r w:rsidRPr="003330BA">
        <w:rPr>
          <w:rFonts w:ascii="Arial" w:hAnsi="Arial" w:cs="Arial"/>
          <w:color w:val="000000" w:themeColor="text1"/>
          <w:sz w:val="22"/>
          <w:szCs w:val="22"/>
          <w:highlight w:val="white"/>
        </w:rPr>
        <w:t xml:space="preserve">. It will also play a pivotal role in the development and execution of the </w:t>
      </w:r>
      <w:r w:rsidR="003B5CCB" w:rsidRPr="003330BA">
        <w:rPr>
          <w:rFonts w:ascii="Arial" w:hAnsi="Arial" w:cs="Arial"/>
          <w:color w:val="000000" w:themeColor="text1"/>
          <w:sz w:val="22"/>
          <w:szCs w:val="22"/>
          <w:highlight w:val="white"/>
        </w:rPr>
        <w:t>Strategy</w:t>
      </w:r>
      <w:r w:rsidRPr="003330BA">
        <w:rPr>
          <w:rFonts w:ascii="Arial" w:hAnsi="Arial" w:cs="Arial"/>
          <w:color w:val="000000" w:themeColor="text1"/>
          <w:sz w:val="22"/>
          <w:szCs w:val="22"/>
          <w:highlight w:val="white"/>
        </w:rPr>
        <w:t>. An implementation plan will be formulated and regularly updated to align with evolving tools and international scientific frameworks.</w:t>
      </w:r>
    </w:p>
    <w:p w14:paraId="4F99AB84" w14:textId="5F358E12" w:rsidR="00C54645" w:rsidRPr="00CD5142" w:rsidRDefault="00C54645" w:rsidP="00716ED5">
      <w:pPr>
        <w:pStyle w:val="ListParagraph"/>
        <w:numPr>
          <w:ilvl w:val="0"/>
          <w:numId w:val="37"/>
        </w:numPr>
        <w:tabs>
          <w:tab w:val="left" w:pos="709"/>
        </w:tabs>
        <w:spacing w:after="240"/>
        <w:ind w:left="0" w:firstLine="0"/>
        <w:contextualSpacing w:val="0"/>
        <w:jc w:val="both"/>
        <w:rPr>
          <w:rFonts w:ascii="Arial" w:hAnsi="Arial" w:cs="Arial"/>
          <w:color w:val="000000"/>
          <w:sz w:val="22"/>
          <w:szCs w:val="22"/>
          <w:highlight w:val="white"/>
        </w:rPr>
      </w:pPr>
      <w:r w:rsidRPr="00CD5142">
        <w:rPr>
          <w:rFonts w:ascii="Arial" w:hAnsi="Arial" w:cs="Arial"/>
          <w:color w:val="000000"/>
          <w:sz w:val="22"/>
          <w:szCs w:val="22"/>
          <w:highlight w:val="white"/>
        </w:rPr>
        <w:t xml:space="preserve">To ensure efficiency, the </w:t>
      </w:r>
      <w:r w:rsidR="003B5CCB" w:rsidRPr="00CD5142">
        <w:rPr>
          <w:rFonts w:ascii="Arial" w:hAnsi="Arial" w:cs="Arial"/>
          <w:sz w:val="22"/>
          <w:szCs w:val="22"/>
          <w:highlight w:val="white"/>
        </w:rPr>
        <w:t>working</w:t>
      </w:r>
      <w:r w:rsidR="003B5CCB" w:rsidRPr="00CD5142">
        <w:rPr>
          <w:rFonts w:ascii="Arial" w:hAnsi="Arial" w:cs="Arial"/>
          <w:color w:val="000000"/>
          <w:sz w:val="22"/>
          <w:szCs w:val="22"/>
          <w:highlight w:val="white"/>
        </w:rPr>
        <w:t xml:space="preserve"> group </w:t>
      </w:r>
      <w:r w:rsidRPr="00CD5142">
        <w:rPr>
          <w:rFonts w:ascii="Arial" w:hAnsi="Arial" w:cs="Arial"/>
          <w:color w:val="000000"/>
          <w:sz w:val="22"/>
          <w:szCs w:val="22"/>
          <w:highlight w:val="white"/>
        </w:rPr>
        <w:t xml:space="preserve">will consist of a representative team that can bring on board </w:t>
      </w:r>
      <w:r w:rsidRPr="00716ED5">
        <w:rPr>
          <w:rFonts w:ascii="Arial" w:hAnsi="Arial" w:cs="Arial"/>
          <w:sz w:val="22"/>
          <w:szCs w:val="22"/>
        </w:rPr>
        <w:t>additional</w:t>
      </w:r>
      <w:r w:rsidRPr="00CD5142">
        <w:rPr>
          <w:rFonts w:ascii="Arial" w:hAnsi="Arial" w:cs="Arial"/>
          <w:color w:val="000000"/>
          <w:sz w:val="22"/>
          <w:szCs w:val="22"/>
          <w:highlight w:val="white"/>
        </w:rPr>
        <w:t xml:space="preserve"> expertise </w:t>
      </w:r>
      <w:r w:rsidRPr="00CD5142">
        <w:rPr>
          <w:rFonts w:ascii="Arial" w:hAnsi="Arial" w:cs="Arial"/>
          <w:sz w:val="22"/>
          <w:szCs w:val="22"/>
          <w:highlight w:val="white"/>
        </w:rPr>
        <w:t>wh</w:t>
      </w:r>
      <w:r w:rsidR="00CB302F">
        <w:rPr>
          <w:rFonts w:ascii="Arial" w:hAnsi="Arial" w:cs="Arial"/>
          <w:sz w:val="22"/>
          <w:szCs w:val="22"/>
          <w:highlight w:val="white"/>
        </w:rPr>
        <w:t>en</w:t>
      </w:r>
      <w:r w:rsidRPr="00CD5142">
        <w:rPr>
          <w:rFonts w:ascii="Arial" w:hAnsi="Arial" w:cs="Arial"/>
          <w:color w:val="000000"/>
          <w:sz w:val="22"/>
          <w:szCs w:val="22"/>
          <w:highlight w:val="white"/>
        </w:rPr>
        <w:t xml:space="preserve"> necessary and </w:t>
      </w:r>
      <w:r w:rsidRPr="00CD5142">
        <w:rPr>
          <w:rFonts w:ascii="Arial" w:hAnsi="Arial" w:cs="Arial"/>
          <w:sz w:val="22"/>
          <w:szCs w:val="22"/>
          <w:highlight w:val="white"/>
        </w:rPr>
        <w:t>appropriate</w:t>
      </w:r>
      <w:r w:rsidRPr="00CD5142">
        <w:rPr>
          <w:rFonts w:ascii="Arial" w:hAnsi="Arial" w:cs="Arial"/>
          <w:color w:val="000000"/>
          <w:sz w:val="22"/>
          <w:szCs w:val="22"/>
          <w:highlight w:val="white"/>
        </w:rPr>
        <w:t xml:space="preserve">. Membership will be composed of representatives from IOC Regional Subsidiary Bodies, as well as representatives </w:t>
      </w:r>
      <w:r w:rsidRPr="00CD5142">
        <w:rPr>
          <w:rFonts w:ascii="Arial" w:hAnsi="Arial" w:cs="Arial"/>
          <w:sz w:val="22"/>
          <w:szCs w:val="22"/>
          <w:highlight w:val="white"/>
        </w:rPr>
        <w:t xml:space="preserve">designated </w:t>
      </w:r>
      <w:r w:rsidRPr="00CD5142">
        <w:rPr>
          <w:rFonts w:ascii="Arial" w:hAnsi="Arial" w:cs="Arial"/>
          <w:color w:val="000000"/>
          <w:sz w:val="22"/>
          <w:szCs w:val="22"/>
          <w:highlight w:val="white"/>
        </w:rPr>
        <w:t>by the governing bodies of each IOC programme (where applicable)</w:t>
      </w:r>
      <w:r w:rsidR="00EB2027">
        <w:rPr>
          <w:rFonts w:ascii="Arial" w:hAnsi="Arial" w:cs="Arial"/>
          <w:color w:val="000000"/>
          <w:sz w:val="22"/>
          <w:szCs w:val="22"/>
          <w:highlight w:val="white"/>
        </w:rPr>
        <w:t xml:space="preserve">, </w:t>
      </w:r>
      <w:r w:rsidR="00EB2027">
        <w:rPr>
          <w:rFonts w:ascii="Arial" w:hAnsi="Arial" w:cs="Arial"/>
          <w:color w:val="000000"/>
          <w:sz w:val="22"/>
          <w:szCs w:val="22"/>
        </w:rPr>
        <w:t xml:space="preserve">as well as </w:t>
      </w:r>
      <w:r w:rsidR="00EB2027" w:rsidRPr="002F4D30">
        <w:rPr>
          <w:rFonts w:ascii="Arial" w:eastAsia="Yu Mincho" w:hAnsi="Arial" w:cs="Arial"/>
          <w:sz w:val="22"/>
          <w:szCs w:val="22"/>
        </w:rPr>
        <w:t xml:space="preserve">experts </w:t>
      </w:r>
      <w:r w:rsidR="00EB2027">
        <w:rPr>
          <w:rFonts w:ascii="Arial" w:eastAsia="Yu Mincho" w:hAnsi="Arial" w:cs="Arial"/>
          <w:sz w:val="22"/>
          <w:szCs w:val="22"/>
        </w:rPr>
        <w:t xml:space="preserve">nominated by IOC </w:t>
      </w:r>
      <w:r w:rsidR="00EB2027" w:rsidRPr="00B256D7">
        <w:rPr>
          <w:rFonts w:ascii="Arial" w:eastAsia="Yu Mincho" w:hAnsi="Arial" w:cs="Arial"/>
          <w:sz w:val="22"/>
          <w:szCs w:val="22"/>
        </w:rPr>
        <w:t>Member States</w:t>
      </w:r>
      <w:r w:rsidR="00EB2027" w:rsidRPr="00B256D7">
        <w:rPr>
          <w:rFonts w:ascii="Arial" w:eastAsia="Yu Mincho" w:hAnsi="Arial" w:cs="Arial"/>
          <w:sz w:val="22"/>
          <w:szCs w:val="22"/>
          <w:lang w:val="en-US"/>
        </w:rPr>
        <w:t xml:space="preserve"> </w:t>
      </w:r>
      <w:r w:rsidR="00EB2027" w:rsidRPr="002F4D30">
        <w:rPr>
          <w:rFonts w:ascii="Arial" w:hAnsi="Arial" w:cs="Arial"/>
          <w:color w:val="000000"/>
          <w:sz w:val="22"/>
          <w:szCs w:val="22"/>
        </w:rPr>
        <w:t>responding</w:t>
      </w:r>
      <w:r w:rsidR="00EB2027" w:rsidRPr="00B256D7">
        <w:rPr>
          <w:rFonts w:ascii="Arial" w:hAnsi="Arial" w:cs="Arial"/>
          <w:color w:val="000000"/>
          <w:sz w:val="22"/>
          <w:szCs w:val="22"/>
        </w:rPr>
        <w:t xml:space="preserve"> to a </w:t>
      </w:r>
      <w:r w:rsidR="00EB2027" w:rsidRPr="002F4D30">
        <w:rPr>
          <w:rFonts w:ascii="Arial" w:hAnsi="Arial" w:cs="Arial"/>
          <w:color w:val="000000"/>
          <w:sz w:val="22"/>
          <w:szCs w:val="22"/>
        </w:rPr>
        <w:t xml:space="preserve">call by </w:t>
      </w:r>
      <w:r w:rsidR="00EB2027" w:rsidRPr="00B256D7">
        <w:rPr>
          <w:rFonts w:ascii="Arial" w:hAnsi="Arial" w:cs="Arial"/>
          <w:color w:val="000000"/>
          <w:sz w:val="22"/>
          <w:szCs w:val="22"/>
        </w:rPr>
        <w:t>circular lette</w:t>
      </w:r>
      <w:r w:rsidR="00EB2027">
        <w:rPr>
          <w:rFonts w:ascii="Arial" w:hAnsi="Arial" w:cs="Arial"/>
          <w:color w:val="000000"/>
          <w:sz w:val="22"/>
          <w:szCs w:val="22"/>
        </w:rPr>
        <w:t>r</w:t>
      </w:r>
      <w:r w:rsidRPr="00CD5142">
        <w:rPr>
          <w:rFonts w:ascii="Arial" w:hAnsi="Arial" w:cs="Arial"/>
          <w:color w:val="000000"/>
          <w:sz w:val="22"/>
          <w:szCs w:val="22"/>
          <w:highlight w:val="white"/>
        </w:rPr>
        <w:t>. Subject to further dis</w:t>
      </w:r>
      <w:r w:rsidRPr="00CD5142">
        <w:rPr>
          <w:rFonts w:ascii="Arial" w:hAnsi="Arial" w:cs="Arial"/>
          <w:sz w:val="22"/>
          <w:szCs w:val="22"/>
          <w:highlight w:val="white"/>
        </w:rPr>
        <w:t>cussion, d</w:t>
      </w:r>
      <w:r w:rsidRPr="00CD5142">
        <w:rPr>
          <w:rFonts w:ascii="Arial" w:hAnsi="Arial" w:cs="Arial"/>
          <w:color w:val="000000"/>
          <w:sz w:val="22"/>
          <w:szCs w:val="22"/>
          <w:highlight w:val="white"/>
        </w:rPr>
        <w:t>esignated co-chairpersons will be elected on a</w:t>
      </w:r>
      <w:r w:rsidRPr="00CD5142">
        <w:rPr>
          <w:rFonts w:ascii="Arial" w:hAnsi="Arial" w:cs="Arial"/>
          <w:sz w:val="22"/>
          <w:szCs w:val="22"/>
          <w:highlight w:val="white"/>
        </w:rPr>
        <w:t xml:space="preserve"> rotating basis</w:t>
      </w:r>
      <w:r w:rsidRPr="00CD5142">
        <w:rPr>
          <w:rFonts w:ascii="Arial" w:hAnsi="Arial" w:cs="Arial"/>
          <w:color w:val="000000"/>
          <w:sz w:val="22"/>
          <w:szCs w:val="22"/>
          <w:highlight w:val="white"/>
        </w:rPr>
        <w:t>.</w:t>
      </w:r>
    </w:p>
    <w:p w14:paraId="7BECDCAD" w14:textId="2B3D3A63" w:rsidR="00C54645" w:rsidRPr="00716ED5" w:rsidRDefault="00C54645" w:rsidP="00716ED5">
      <w:pPr>
        <w:pStyle w:val="ListParagraph"/>
        <w:numPr>
          <w:ilvl w:val="0"/>
          <w:numId w:val="37"/>
        </w:numPr>
        <w:tabs>
          <w:tab w:val="left" w:pos="709"/>
        </w:tabs>
        <w:spacing w:after="240"/>
        <w:ind w:left="0" w:firstLine="0"/>
        <w:contextualSpacing w:val="0"/>
        <w:jc w:val="both"/>
        <w:rPr>
          <w:rFonts w:ascii="Arial" w:hAnsi="Arial" w:cs="Arial"/>
          <w:bCs/>
          <w:sz w:val="22"/>
          <w:szCs w:val="22"/>
        </w:rPr>
      </w:pPr>
      <w:r w:rsidRPr="00CD5142">
        <w:rPr>
          <w:rFonts w:ascii="Arial" w:hAnsi="Arial" w:cs="Arial"/>
          <w:color w:val="0D0D0D"/>
          <w:sz w:val="22"/>
          <w:szCs w:val="22"/>
          <w:highlight w:val="white"/>
        </w:rPr>
        <w:t xml:space="preserve">The </w:t>
      </w:r>
      <w:r w:rsidR="003B5CCB" w:rsidRPr="00CD5142">
        <w:rPr>
          <w:rFonts w:ascii="Arial" w:hAnsi="Arial" w:cs="Arial"/>
          <w:color w:val="0D0D0D"/>
          <w:sz w:val="22"/>
          <w:szCs w:val="22"/>
          <w:highlight w:val="white"/>
        </w:rPr>
        <w:t xml:space="preserve">working group </w:t>
      </w:r>
      <w:r w:rsidRPr="00CD5142">
        <w:rPr>
          <w:rFonts w:ascii="Arial" w:hAnsi="Arial" w:cs="Arial"/>
          <w:color w:val="0D0D0D"/>
          <w:sz w:val="22"/>
          <w:szCs w:val="22"/>
          <w:highlight w:val="white"/>
        </w:rPr>
        <w:t xml:space="preserve">will </w:t>
      </w:r>
      <w:r w:rsidR="003B5CCB">
        <w:rPr>
          <w:rFonts w:ascii="Arial" w:hAnsi="Arial" w:cs="Arial"/>
          <w:color w:val="0D0D0D"/>
          <w:sz w:val="22"/>
          <w:szCs w:val="22"/>
          <w:highlight w:val="white"/>
        </w:rPr>
        <w:t>meet twice a year</w:t>
      </w:r>
      <w:r w:rsidRPr="00CD5142">
        <w:rPr>
          <w:rFonts w:ascii="Arial" w:hAnsi="Arial" w:cs="Arial"/>
          <w:color w:val="0D0D0D"/>
          <w:sz w:val="22"/>
          <w:szCs w:val="22"/>
          <w:highlight w:val="white"/>
        </w:rPr>
        <w:t xml:space="preserve"> to </w:t>
      </w:r>
      <w:r w:rsidR="00CB302F">
        <w:rPr>
          <w:rFonts w:ascii="Arial" w:hAnsi="Arial" w:cs="Arial"/>
          <w:color w:val="0D0D0D"/>
          <w:sz w:val="22"/>
          <w:szCs w:val="22"/>
          <w:highlight w:val="white"/>
        </w:rPr>
        <w:t xml:space="preserve">first guide the </w:t>
      </w:r>
      <w:r w:rsidR="00133034">
        <w:rPr>
          <w:rFonts w:ascii="Arial" w:hAnsi="Arial" w:cs="Arial"/>
          <w:color w:val="0D0D0D"/>
          <w:sz w:val="22"/>
          <w:szCs w:val="22"/>
          <w:highlight w:val="white"/>
        </w:rPr>
        <w:t>development</w:t>
      </w:r>
      <w:r w:rsidR="00CB302F">
        <w:rPr>
          <w:rFonts w:ascii="Arial" w:hAnsi="Arial" w:cs="Arial"/>
          <w:color w:val="0D0D0D"/>
          <w:sz w:val="22"/>
          <w:szCs w:val="22"/>
          <w:highlight w:val="white"/>
        </w:rPr>
        <w:t xml:space="preserve"> of an </w:t>
      </w:r>
      <w:r w:rsidR="00CB302F" w:rsidRPr="00716ED5">
        <w:rPr>
          <w:rFonts w:ascii="Arial" w:hAnsi="Arial" w:cs="Arial"/>
          <w:color w:val="0D0D0D"/>
          <w:sz w:val="22"/>
          <w:szCs w:val="22"/>
          <w:highlight w:val="white"/>
          <w:u w:val="single"/>
        </w:rPr>
        <w:t>implementation strategy</w:t>
      </w:r>
      <w:r w:rsidR="00CB302F">
        <w:rPr>
          <w:rFonts w:ascii="Arial" w:hAnsi="Arial" w:cs="Arial"/>
          <w:color w:val="0D0D0D"/>
          <w:sz w:val="22"/>
          <w:szCs w:val="22"/>
          <w:highlight w:val="white"/>
        </w:rPr>
        <w:t xml:space="preserve">, and </w:t>
      </w:r>
      <w:r w:rsidR="003B5CCB">
        <w:rPr>
          <w:rFonts w:ascii="Arial" w:hAnsi="Arial" w:cs="Arial"/>
          <w:color w:val="0D0D0D"/>
          <w:sz w:val="22"/>
          <w:szCs w:val="22"/>
          <w:highlight w:val="white"/>
        </w:rPr>
        <w:t xml:space="preserve">to </w:t>
      </w:r>
      <w:r w:rsidRPr="00CD5142">
        <w:rPr>
          <w:rFonts w:ascii="Arial" w:hAnsi="Arial" w:cs="Arial"/>
          <w:color w:val="0D0D0D"/>
          <w:sz w:val="22"/>
          <w:szCs w:val="22"/>
          <w:highlight w:val="white"/>
        </w:rPr>
        <w:t xml:space="preserve">monitor </w:t>
      </w:r>
      <w:r w:rsidR="00CB302F">
        <w:rPr>
          <w:rFonts w:ascii="Arial" w:hAnsi="Arial" w:cs="Arial"/>
          <w:color w:val="0D0D0D"/>
          <w:sz w:val="22"/>
          <w:szCs w:val="22"/>
          <w:highlight w:val="white"/>
        </w:rPr>
        <w:t xml:space="preserve">and update </w:t>
      </w:r>
      <w:r w:rsidRPr="00CD5142">
        <w:rPr>
          <w:rFonts w:ascii="Arial" w:hAnsi="Arial" w:cs="Arial"/>
          <w:color w:val="0D0D0D"/>
          <w:sz w:val="22"/>
          <w:szCs w:val="22"/>
          <w:highlight w:val="white"/>
        </w:rPr>
        <w:t xml:space="preserve">the implementation of the </w:t>
      </w:r>
      <w:r w:rsidR="003B5CCB" w:rsidRPr="00CD5142">
        <w:rPr>
          <w:rFonts w:ascii="Arial" w:hAnsi="Arial" w:cs="Arial"/>
          <w:color w:val="0D0D0D"/>
          <w:sz w:val="22"/>
          <w:szCs w:val="22"/>
          <w:highlight w:val="white"/>
        </w:rPr>
        <w:t>Strategy</w:t>
      </w:r>
      <w:r w:rsidRPr="00CD5142">
        <w:rPr>
          <w:rFonts w:ascii="Arial" w:hAnsi="Arial" w:cs="Arial"/>
          <w:color w:val="0D0D0D"/>
          <w:sz w:val="22"/>
          <w:szCs w:val="22"/>
          <w:highlight w:val="white"/>
        </w:rPr>
        <w:t>, addressing specific programme-</w:t>
      </w:r>
      <w:r w:rsidRPr="00716ED5">
        <w:rPr>
          <w:rFonts w:ascii="Arial" w:hAnsi="Arial" w:cs="Arial"/>
          <w:sz w:val="22"/>
          <w:szCs w:val="22"/>
        </w:rPr>
        <w:t>related</w:t>
      </w:r>
      <w:r w:rsidRPr="00CD5142">
        <w:rPr>
          <w:rFonts w:ascii="Arial" w:hAnsi="Arial" w:cs="Arial"/>
          <w:color w:val="0D0D0D"/>
          <w:sz w:val="22"/>
          <w:szCs w:val="22"/>
          <w:highlight w:val="white"/>
        </w:rPr>
        <w:t xml:space="preserve"> issues regarding sustainable ocean planning and management</w:t>
      </w:r>
      <w:r w:rsidR="003B5CCB">
        <w:rPr>
          <w:rFonts w:ascii="Arial" w:hAnsi="Arial" w:cs="Arial"/>
          <w:color w:val="0D0D0D"/>
          <w:sz w:val="22"/>
          <w:szCs w:val="22"/>
          <w:highlight w:val="white"/>
        </w:rPr>
        <w:t>,</w:t>
      </w:r>
      <w:r w:rsidR="00CB302F">
        <w:rPr>
          <w:rFonts w:ascii="Arial" w:hAnsi="Arial" w:cs="Arial"/>
          <w:color w:val="0D0D0D"/>
          <w:sz w:val="22"/>
          <w:szCs w:val="22"/>
          <w:highlight w:val="white"/>
        </w:rPr>
        <w:t xml:space="preserve"> as well as emerging issues</w:t>
      </w:r>
      <w:r w:rsidR="003B5CCB">
        <w:rPr>
          <w:rFonts w:ascii="Arial" w:hAnsi="Arial" w:cs="Arial"/>
          <w:color w:val="0D0D0D"/>
          <w:sz w:val="22"/>
          <w:szCs w:val="22"/>
          <w:highlight w:val="white"/>
        </w:rPr>
        <w:t>.</w:t>
      </w:r>
      <w:r w:rsidRPr="00CD5142">
        <w:rPr>
          <w:rFonts w:ascii="Arial" w:hAnsi="Arial" w:cs="Arial"/>
          <w:color w:val="0D0D0D"/>
          <w:sz w:val="22"/>
          <w:szCs w:val="22"/>
          <w:highlight w:val="white"/>
        </w:rPr>
        <w:t xml:space="preserve"> Member States will receive updates for </w:t>
      </w:r>
      <w:r w:rsidR="003B5CCB">
        <w:rPr>
          <w:rFonts w:ascii="Arial" w:hAnsi="Arial" w:cs="Arial"/>
          <w:color w:val="0D0D0D"/>
          <w:sz w:val="22"/>
          <w:szCs w:val="22"/>
          <w:highlight w:val="white"/>
        </w:rPr>
        <w:t>comments</w:t>
      </w:r>
      <w:r w:rsidR="003B5CCB" w:rsidRPr="00CD5142">
        <w:rPr>
          <w:rFonts w:ascii="Arial" w:hAnsi="Arial" w:cs="Arial"/>
          <w:color w:val="0D0D0D"/>
          <w:sz w:val="22"/>
          <w:szCs w:val="22"/>
          <w:highlight w:val="white"/>
        </w:rPr>
        <w:t xml:space="preserve"> </w:t>
      </w:r>
      <w:r w:rsidRPr="00CD5142">
        <w:rPr>
          <w:rFonts w:ascii="Arial" w:hAnsi="Arial" w:cs="Arial"/>
          <w:color w:val="0D0D0D"/>
          <w:sz w:val="22"/>
          <w:szCs w:val="22"/>
          <w:highlight w:val="white"/>
        </w:rPr>
        <w:t xml:space="preserve">once per biennium, throughout the duration of the Strategy, corresponding to the </w:t>
      </w:r>
      <w:r w:rsidR="003B5CCB">
        <w:rPr>
          <w:rFonts w:ascii="Arial" w:hAnsi="Arial" w:cs="Arial"/>
          <w:color w:val="0D0D0D"/>
          <w:sz w:val="22"/>
          <w:szCs w:val="22"/>
          <w:highlight w:val="white"/>
        </w:rPr>
        <w:t xml:space="preserve">calendar of </w:t>
      </w:r>
      <w:r w:rsidRPr="00CD5142">
        <w:rPr>
          <w:rFonts w:ascii="Arial" w:hAnsi="Arial" w:cs="Arial"/>
          <w:color w:val="0D0D0D"/>
          <w:sz w:val="22"/>
          <w:szCs w:val="22"/>
          <w:highlight w:val="white"/>
        </w:rPr>
        <w:t xml:space="preserve">Assembly </w:t>
      </w:r>
      <w:r w:rsidR="003B5CCB">
        <w:rPr>
          <w:rFonts w:ascii="Arial" w:hAnsi="Arial" w:cs="Arial"/>
          <w:color w:val="0D0D0D"/>
          <w:sz w:val="22"/>
          <w:szCs w:val="22"/>
          <w:highlight w:val="white"/>
        </w:rPr>
        <w:t>sessions</w:t>
      </w:r>
      <w:r w:rsidRPr="00CD5142">
        <w:rPr>
          <w:rFonts w:ascii="Arial" w:hAnsi="Arial" w:cs="Arial"/>
          <w:color w:val="0D0D0D"/>
          <w:sz w:val="22"/>
          <w:szCs w:val="22"/>
          <w:highlight w:val="white"/>
        </w:rPr>
        <w:t xml:space="preserve"> through a standing agenda item. Additionally, the </w:t>
      </w:r>
      <w:r w:rsidR="003B5CCB" w:rsidRPr="00CD5142">
        <w:rPr>
          <w:rFonts w:ascii="Arial" w:hAnsi="Arial" w:cs="Arial"/>
          <w:color w:val="0D0D0D"/>
          <w:sz w:val="22"/>
          <w:szCs w:val="22"/>
          <w:highlight w:val="white"/>
        </w:rPr>
        <w:t xml:space="preserve">working group </w:t>
      </w:r>
      <w:r w:rsidRPr="00CD5142">
        <w:rPr>
          <w:rFonts w:ascii="Arial" w:hAnsi="Arial" w:cs="Arial"/>
          <w:color w:val="0D0D0D"/>
          <w:sz w:val="22"/>
          <w:szCs w:val="22"/>
          <w:highlight w:val="white"/>
        </w:rPr>
        <w:t>will provide guidance to be integrated into the UNESCO and IOC Medium-Term Strategy process</w:t>
      </w:r>
      <w:r w:rsidR="00FF330A">
        <w:rPr>
          <w:rFonts w:ascii="Arial" w:hAnsi="Arial" w:cs="Arial"/>
          <w:color w:val="0D0D0D"/>
          <w:sz w:val="22"/>
          <w:szCs w:val="22"/>
          <w:highlight w:val="white"/>
        </w:rPr>
        <w:t>es</w:t>
      </w:r>
      <w:r w:rsidRPr="00CD5142">
        <w:rPr>
          <w:rFonts w:ascii="Arial" w:hAnsi="Arial" w:cs="Arial"/>
          <w:color w:val="0D0D0D"/>
          <w:sz w:val="22"/>
          <w:szCs w:val="22"/>
          <w:highlight w:val="white"/>
        </w:rPr>
        <w:t xml:space="preserve"> to be initiated in 2027. These meetings will ensure </w:t>
      </w:r>
      <w:r w:rsidRPr="00CD5142">
        <w:rPr>
          <w:rFonts w:ascii="Arial" w:hAnsi="Arial" w:cs="Arial"/>
          <w:color w:val="0D0D0D"/>
          <w:sz w:val="22"/>
          <w:szCs w:val="22"/>
          <w:highlight w:val="white"/>
        </w:rPr>
        <w:lastRenderedPageBreak/>
        <w:t xml:space="preserve">continuous oversight and refinement of the </w:t>
      </w:r>
      <w:r w:rsidR="003B5CCB" w:rsidRPr="00CD5142">
        <w:rPr>
          <w:rFonts w:ascii="Arial" w:hAnsi="Arial" w:cs="Arial"/>
          <w:color w:val="0D0D0D"/>
          <w:sz w:val="22"/>
          <w:szCs w:val="22"/>
          <w:highlight w:val="white"/>
        </w:rPr>
        <w:t>Strategy</w:t>
      </w:r>
      <w:r w:rsidRPr="00CD5142">
        <w:rPr>
          <w:rFonts w:ascii="Arial" w:hAnsi="Arial" w:cs="Arial"/>
          <w:color w:val="0D0D0D"/>
          <w:sz w:val="22"/>
          <w:szCs w:val="22"/>
          <w:highlight w:val="white"/>
        </w:rPr>
        <w:t>, fostering its effectiveness and adaptability to evolving challenges and opportunities</w:t>
      </w:r>
      <w:r w:rsidRPr="00CD5142">
        <w:rPr>
          <w:rFonts w:ascii="Arial" w:hAnsi="Arial" w:cs="Arial"/>
          <w:color w:val="0D0D0D"/>
          <w:sz w:val="22"/>
          <w:szCs w:val="22"/>
        </w:rPr>
        <w:t>.</w:t>
      </w:r>
    </w:p>
    <w:p w14:paraId="0527D4CC" w14:textId="77777777" w:rsidR="00C54645" w:rsidRPr="00716ED5" w:rsidRDefault="00C54645" w:rsidP="00C54645">
      <w:pPr>
        <w:keepNext/>
        <w:pBdr>
          <w:top w:val="nil"/>
          <w:left w:val="nil"/>
          <w:bottom w:val="nil"/>
          <w:right w:val="nil"/>
          <w:between w:val="nil"/>
        </w:pBdr>
        <w:rPr>
          <w:rFonts w:asciiTheme="minorBidi" w:hAnsiTheme="minorBidi" w:cstheme="minorBidi"/>
          <w:i/>
          <w:color w:val="4E5763"/>
          <w:sz w:val="22"/>
          <w:szCs w:val="22"/>
        </w:rPr>
      </w:pPr>
      <w:r w:rsidRPr="00716ED5">
        <w:rPr>
          <w:rFonts w:asciiTheme="minorBidi" w:eastAsia="Arial" w:hAnsiTheme="minorBidi" w:cstheme="minorBidi"/>
          <w:b/>
          <w:color w:val="4E5763"/>
          <w:sz w:val="22"/>
          <w:szCs w:val="22"/>
        </w:rPr>
        <w:t xml:space="preserve">Table 1. </w:t>
      </w:r>
      <w:r w:rsidRPr="00716ED5">
        <w:rPr>
          <w:rFonts w:asciiTheme="minorBidi" w:hAnsiTheme="minorBidi" w:cstheme="minorBidi"/>
          <w:i/>
          <w:color w:val="4E5763"/>
          <w:sz w:val="22"/>
          <w:szCs w:val="22"/>
        </w:rPr>
        <w:t>Activities aligned with advancing the Strategic Objectives</w:t>
      </w:r>
    </w:p>
    <w:p w14:paraId="3792EB6E" w14:textId="5F7ACD6E" w:rsidR="00C54645" w:rsidRPr="00716ED5" w:rsidRDefault="00C54645" w:rsidP="00C54645">
      <w:pPr>
        <w:rPr>
          <w:bCs/>
          <w:sz w:val="12"/>
          <w:szCs w:val="1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45"/>
        <w:gridCol w:w="2140"/>
        <w:gridCol w:w="5749"/>
      </w:tblGrid>
      <w:tr w:rsidR="003330BA" w:rsidRPr="00A74F92" w14:paraId="72226884" w14:textId="77777777" w:rsidTr="00783168">
        <w:trPr>
          <w:trHeight w:val="492"/>
          <w:tblHeader/>
        </w:trPr>
        <w:tc>
          <w:tcPr>
            <w:tcW w:w="1745" w:type="dxa"/>
            <w:shd w:val="clear" w:color="auto" w:fill="666666"/>
            <w:tcMar>
              <w:top w:w="100" w:type="dxa"/>
              <w:left w:w="100" w:type="dxa"/>
              <w:bottom w:w="100" w:type="dxa"/>
              <w:right w:w="100" w:type="dxa"/>
            </w:tcMar>
          </w:tcPr>
          <w:p w14:paraId="018231F0" w14:textId="77777777" w:rsidR="00C54645" w:rsidRPr="00A74F92" w:rsidRDefault="00C54645" w:rsidP="00FD1BB7">
            <w:pPr>
              <w:widowControl w:val="0"/>
              <w:pBdr>
                <w:top w:val="nil"/>
                <w:left w:val="nil"/>
                <w:bottom w:val="nil"/>
                <w:right w:val="nil"/>
                <w:between w:val="nil"/>
              </w:pBdr>
              <w:rPr>
                <w:rFonts w:ascii="Arial" w:hAnsi="Arial" w:cs="Arial"/>
                <w:b/>
                <w:color w:val="FFFFFF"/>
                <w:sz w:val="20"/>
                <w:szCs w:val="20"/>
              </w:rPr>
            </w:pPr>
            <w:r w:rsidRPr="00A74F92">
              <w:rPr>
                <w:rFonts w:ascii="Arial" w:hAnsi="Arial" w:cs="Arial"/>
                <w:b/>
                <w:color w:val="FFFFFF"/>
                <w:sz w:val="20"/>
                <w:szCs w:val="20"/>
              </w:rPr>
              <w:t>Activities</w:t>
            </w:r>
          </w:p>
        </w:tc>
        <w:tc>
          <w:tcPr>
            <w:tcW w:w="2140" w:type="dxa"/>
            <w:shd w:val="clear" w:color="auto" w:fill="666666"/>
            <w:tcMar>
              <w:top w:w="100" w:type="dxa"/>
              <w:left w:w="100" w:type="dxa"/>
              <w:bottom w:w="100" w:type="dxa"/>
              <w:right w:w="100" w:type="dxa"/>
            </w:tcMar>
          </w:tcPr>
          <w:p w14:paraId="7AC285AC" w14:textId="77777777" w:rsidR="00C54645" w:rsidRPr="00A74F92" w:rsidRDefault="00C54645" w:rsidP="00FD1BB7">
            <w:pPr>
              <w:widowControl w:val="0"/>
              <w:pBdr>
                <w:top w:val="nil"/>
                <w:left w:val="nil"/>
                <w:bottom w:val="nil"/>
                <w:right w:val="nil"/>
                <w:between w:val="nil"/>
              </w:pBdr>
              <w:rPr>
                <w:rFonts w:ascii="Arial" w:hAnsi="Arial" w:cs="Arial"/>
                <w:b/>
                <w:color w:val="FFFFFF"/>
                <w:sz w:val="20"/>
                <w:szCs w:val="20"/>
              </w:rPr>
            </w:pPr>
            <w:r w:rsidRPr="00A74F92">
              <w:rPr>
                <w:rFonts w:ascii="Arial" w:hAnsi="Arial" w:cs="Arial"/>
                <w:b/>
                <w:color w:val="FFFFFF"/>
                <w:sz w:val="20"/>
                <w:szCs w:val="20"/>
              </w:rPr>
              <w:t>IOC Efforts</w:t>
            </w:r>
          </w:p>
        </w:tc>
        <w:tc>
          <w:tcPr>
            <w:tcW w:w="5749" w:type="dxa"/>
            <w:tcBorders>
              <w:top w:val="single" w:sz="4" w:space="0" w:color="000000"/>
              <w:left w:val="single" w:sz="4" w:space="0" w:color="000000"/>
              <w:bottom w:val="single" w:sz="4" w:space="0" w:color="000000"/>
              <w:right w:val="single" w:sz="4" w:space="0" w:color="000000"/>
            </w:tcBorders>
            <w:shd w:val="clear" w:color="auto" w:fill="666666"/>
            <w:tcMar>
              <w:top w:w="99" w:type="dxa"/>
              <w:left w:w="99" w:type="dxa"/>
              <w:bottom w:w="99" w:type="dxa"/>
              <w:right w:w="99" w:type="dxa"/>
            </w:tcMar>
          </w:tcPr>
          <w:p w14:paraId="138F0E40" w14:textId="77777777" w:rsidR="00C54645" w:rsidRPr="00A74F92" w:rsidRDefault="00C54645" w:rsidP="00FD1BB7">
            <w:pPr>
              <w:widowControl w:val="0"/>
              <w:rPr>
                <w:rFonts w:ascii="Arial" w:hAnsi="Arial" w:cs="Arial"/>
                <w:color w:val="FFFFFF"/>
                <w:sz w:val="20"/>
                <w:szCs w:val="20"/>
              </w:rPr>
            </w:pPr>
            <w:r w:rsidRPr="00A74F92">
              <w:rPr>
                <w:rFonts w:ascii="Arial" w:hAnsi="Arial" w:cs="Arial"/>
                <w:b/>
                <w:color w:val="FFFFFF"/>
                <w:sz w:val="20"/>
                <w:szCs w:val="20"/>
              </w:rPr>
              <w:t>Examples</w:t>
            </w:r>
          </w:p>
        </w:tc>
      </w:tr>
      <w:tr w:rsidR="003330BA" w:rsidRPr="00A74F92" w14:paraId="0F5EE8E3" w14:textId="77777777" w:rsidTr="00783168">
        <w:trPr>
          <w:trHeight w:val="444"/>
        </w:trPr>
        <w:tc>
          <w:tcPr>
            <w:tcW w:w="1745" w:type="dxa"/>
            <w:vMerge w:val="restart"/>
            <w:shd w:val="clear" w:color="auto" w:fill="auto"/>
            <w:tcMar>
              <w:top w:w="100" w:type="dxa"/>
              <w:left w:w="100" w:type="dxa"/>
              <w:bottom w:w="100" w:type="dxa"/>
              <w:right w:w="100" w:type="dxa"/>
            </w:tcMar>
          </w:tcPr>
          <w:p w14:paraId="2D1083CB" w14:textId="77777777" w:rsidR="00C54645" w:rsidRPr="00A74F92" w:rsidRDefault="00C54645" w:rsidP="00FD1BB7">
            <w:pPr>
              <w:widowControl w:val="0"/>
              <w:rPr>
                <w:rFonts w:ascii="Arial" w:hAnsi="Arial" w:cs="Arial"/>
                <w:b/>
                <w:color w:val="4E5763"/>
                <w:sz w:val="20"/>
                <w:szCs w:val="20"/>
              </w:rPr>
            </w:pPr>
            <w:r w:rsidRPr="00A74F92">
              <w:rPr>
                <w:rFonts w:ascii="Arial" w:hAnsi="Arial" w:cs="Arial"/>
                <w:b/>
                <w:color w:val="4E5763"/>
                <w:sz w:val="20"/>
                <w:szCs w:val="20"/>
              </w:rPr>
              <w:t>Capacity Development</w:t>
            </w:r>
          </w:p>
        </w:tc>
        <w:tc>
          <w:tcPr>
            <w:tcW w:w="2140" w:type="dxa"/>
            <w:vMerge w:val="restart"/>
            <w:shd w:val="clear" w:color="auto" w:fill="auto"/>
            <w:tcMar>
              <w:top w:w="100" w:type="dxa"/>
              <w:left w:w="100" w:type="dxa"/>
              <w:bottom w:w="100" w:type="dxa"/>
              <w:right w:w="100" w:type="dxa"/>
            </w:tcMar>
          </w:tcPr>
          <w:p w14:paraId="6D9CD5B0" w14:textId="77777777" w:rsidR="00C54645" w:rsidRPr="00A74F92" w:rsidRDefault="00C54645" w:rsidP="00FD1BB7">
            <w:pPr>
              <w:widowControl w:val="0"/>
              <w:rPr>
                <w:rFonts w:ascii="Arial" w:hAnsi="Arial" w:cs="Arial"/>
                <w:sz w:val="20"/>
                <w:szCs w:val="20"/>
              </w:rPr>
            </w:pPr>
            <w:proofErr w:type="spellStart"/>
            <w:r w:rsidRPr="00A74F92">
              <w:rPr>
                <w:rFonts w:ascii="Arial" w:hAnsi="Arial" w:cs="Arial"/>
                <w:sz w:val="20"/>
                <w:szCs w:val="20"/>
              </w:rPr>
              <w:t>OceanTeacher</w:t>
            </w:r>
            <w:proofErr w:type="spellEnd"/>
            <w:r w:rsidRPr="00A74F92">
              <w:rPr>
                <w:rFonts w:ascii="Arial" w:hAnsi="Arial" w:cs="Arial"/>
                <w:sz w:val="20"/>
                <w:szCs w:val="20"/>
              </w:rPr>
              <w:t xml:space="preserve"> Global Academy, Ocean CD-Hub,</w:t>
            </w:r>
          </w:p>
          <w:p w14:paraId="34BEC410"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OceanExpert, Ocean Literacy Portal</w:t>
            </w:r>
          </w:p>
          <w:p w14:paraId="15746EDC"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Early Career Ocean Professional Network</w:t>
            </w:r>
          </w:p>
          <w:p w14:paraId="2ECDA79E" w14:textId="77777777" w:rsidR="00C54645" w:rsidRPr="00A74F92" w:rsidRDefault="00C54645" w:rsidP="00FD1BB7">
            <w:pPr>
              <w:widowControl w:val="0"/>
              <w:rPr>
                <w:rFonts w:ascii="Arial" w:hAnsi="Arial" w:cs="Arial"/>
                <w:sz w:val="20"/>
                <w:szCs w:val="20"/>
              </w:rPr>
            </w:pPr>
          </w:p>
        </w:tc>
        <w:tc>
          <w:tcPr>
            <w:tcW w:w="57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2A42CFF" w14:textId="66F5A64E" w:rsidR="00C54645" w:rsidRPr="00A74F92" w:rsidRDefault="00C54645" w:rsidP="00FD1BB7">
            <w:pPr>
              <w:widowControl w:val="0"/>
              <w:rPr>
                <w:rFonts w:ascii="Arial" w:hAnsi="Arial" w:cs="Arial"/>
                <w:sz w:val="20"/>
                <w:szCs w:val="20"/>
              </w:rPr>
            </w:pPr>
            <w:r w:rsidRPr="00A74F92">
              <w:rPr>
                <w:rFonts w:ascii="Arial" w:hAnsi="Arial" w:cs="Arial"/>
                <w:sz w:val="20"/>
                <w:szCs w:val="20"/>
              </w:rPr>
              <w:t>Conduct workshops to share expertise between Member States and communities of practice</w:t>
            </w:r>
            <w:r w:rsidR="003B5CCB">
              <w:rPr>
                <w:rFonts w:ascii="Arial" w:hAnsi="Arial" w:cs="Arial"/>
                <w:sz w:val="20"/>
                <w:szCs w:val="20"/>
              </w:rPr>
              <w:t>.</w:t>
            </w:r>
          </w:p>
        </w:tc>
      </w:tr>
      <w:tr w:rsidR="003330BA" w:rsidRPr="00A74F92" w14:paraId="5AC2F806" w14:textId="77777777" w:rsidTr="00783168">
        <w:trPr>
          <w:trHeight w:val="360"/>
        </w:trPr>
        <w:tc>
          <w:tcPr>
            <w:tcW w:w="1745" w:type="dxa"/>
            <w:vMerge/>
            <w:shd w:val="clear" w:color="auto" w:fill="auto"/>
            <w:tcMar>
              <w:top w:w="100" w:type="dxa"/>
              <w:left w:w="100" w:type="dxa"/>
              <w:bottom w:w="100" w:type="dxa"/>
              <w:right w:w="100" w:type="dxa"/>
            </w:tcMar>
          </w:tcPr>
          <w:p w14:paraId="4719136C"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280AF09A"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BCF9AB"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Organise capacity development programmes including training courses on ocean planning and management.</w:t>
            </w:r>
          </w:p>
        </w:tc>
      </w:tr>
      <w:tr w:rsidR="003330BA" w:rsidRPr="00A74F92" w14:paraId="33642B2F" w14:textId="77777777" w:rsidTr="00783168">
        <w:trPr>
          <w:trHeight w:val="360"/>
        </w:trPr>
        <w:tc>
          <w:tcPr>
            <w:tcW w:w="1745" w:type="dxa"/>
            <w:vMerge/>
            <w:shd w:val="clear" w:color="auto" w:fill="auto"/>
            <w:tcMar>
              <w:top w:w="100" w:type="dxa"/>
              <w:left w:w="100" w:type="dxa"/>
              <w:bottom w:w="100" w:type="dxa"/>
              <w:right w:w="100" w:type="dxa"/>
            </w:tcMar>
          </w:tcPr>
          <w:p w14:paraId="04B1F565"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3A1FD6CB"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27FFEF0"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Train data collectors and managers in all aspects of data collection and data management.</w:t>
            </w:r>
          </w:p>
        </w:tc>
      </w:tr>
      <w:tr w:rsidR="003330BA" w:rsidRPr="00A74F92" w14:paraId="5DB13AAC" w14:textId="77777777" w:rsidTr="00A84818">
        <w:trPr>
          <w:trHeight w:val="215"/>
        </w:trPr>
        <w:tc>
          <w:tcPr>
            <w:tcW w:w="1745" w:type="dxa"/>
            <w:vMerge/>
            <w:shd w:val="clear" w:color="auto" w:fill="auto"/>
            <w:tcMar>
              <w:top w:w="100" w:type="dxa"/>
              <w:left w:w="100" w:type="dxa"/>
              <w:bottom w:w="100" w:type="dxa"/>
              <w:right w:w="100" w:type="dxa"/>
            </w:tcMar>
          </w:tcPr>
          <w:p w14:paraId="24D9766E"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45A110F5"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146D48"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Provide training on deriving knowledge from data.</w:t>
            </w:r>
          </w:p>
        </w:tc>
      </w:tr>
      <w:tr w:rsidR="003330BA" w:rsidRPr="00A74F92" w14:paraId="277D5F30" w14:textId="77777777" w:rsidTr="00783168">
        <w:trPr>
          <w:trHeight w:val="519"/>
        </w:trPr>
        <w:tc>
          <w:tcPr>
            <w:tcW w:w="1745" w:type="dxa"/>
            <w:vMerge/>
            <w:shd w:val="clear" w:color="auto" w:fill="auto"/>
            <w:tcMar>
              <w:top w:w="100" w:type="dxa"/>
              <w:left w:w="100" w:type="dxa"/>
              <w:bottom w:w="100" w:type="dxa"/>
              <w:right w:w="100" w:type="dxa"/>
            </w:tcMar>
          </w:tcPr>
          <w:p w14:paraId="7324B851"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62BFE17A"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39EE71"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Provide technical support to Member States wishing to integrate ocean planning into national and regional development plans.</w:t>
            </w:r>
          </w:p>
        </w:tc>
      </w:tr>
      <w:tr w:rsidR="003330BA" w:rsidRPr="00A74F92" w14:paraId="1FC59B49" w14:textId="77777777" w:rsidTr="00783168">
        <w:trPr>
          <w:trHeight w:val="599"/>
        </w:trPr>
        <w:tc>
          <w:tcPr>
            <w:tcW w:w="1745" w:type="dxa"/>
            <w:vMerge/>
            <w:shd w:val="clear" w:color="auto" w:fill="auto"/>
            <w:tcMar>
              <w:top w:w="100" w:type="dxa"/>
              <w:left w:w="100" w:type="dxa"/>
              <w:bottom w:w="100" w:type="dxa"/>
              <w:right w:w="100" w:type="dxa"/>
            </w:tcMar>
          </w:tcPr>
          <w:p w14:paraId="0FB96AEA"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57474881"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B5713A"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Offer platforms for knowledge exchange on aligning national policies with agreed good practices or methodologies and existing global assessment processes in ocean management.</w:t>
            </w:r>
          </w:p>
        </w:tc>
      </w:tr>
      <w:tr w:rsidR="003330BA" w:rsidRPr="00A74F92" w14:paraId="04AFAE58" w14:textId="77777777" w:rsidTr="00783168">
        <w:trPr>
          <w:trHeight w:val="559"/>
        </w:trPr>
        <w:tc>
          <w:tcPr>
            <w:tcW w:w="1745" w:type="dxa"/>
            <w:vMerge w:val="restart"/>
            <w:shd w:val="clear" w:color="auto" w:fill="auto"/>
            <w:tcMar>
              <w:top w:w="100" w:type="dxa"/>
              <w:left w:w="100" w:type="dxa"/>
              <w:bottom w:w="100" w:type="dxa"/>
              <w:right w:w="100" w:type="dxa"/>
            </w:tcMar>
          </w:tcPr>
          <w:p w14:paraId="7AE2F17E" w14:textId="77777777" w:rsidR="00C54645" w:rsidRPr="00A74F92" w:rsidRDefault="00C54645" w:rsidP="00FD1BB7">
            <w:pPr>
              <w:widowControl w:val="0"/>
              <w:rPr>
                <w:rFonts w:ascii="Arial" w:hAnsi="Arial" w:cs="Arial"/>
                <w:b/>
                <w:color w:val="4E5763"/>
                <w:sz w:val="20"/>
                <w:szCs w:val="20"/>
              </w:rPr>
            </w:pPr>
            <w:r w:rsidRPr="00A74F92">
              <w:rPr>
                <w:rFonts w:ascii="Arial" w:hAnsi="Arial" w:cs="Arial"/>
                <w:b/>
                <w:color w:val="4E5763"/>
                <w:sz w:val="20"/>
                <w:szCs w:val="20"/>
              </w:rPr>
              <w:t>Collaboration and Communication</w:t>
            </w:r>
          </w:p>
        </w:tc>
        <w:tc>
          <w:tcPr>
            <w:tcW w:w="2140" w:type="dxa"/>
            <w:vMerge w:val="restart"/>
            <w:shd w:val="clear" w:color="auto" w:fill="auto"/>
            <w:tcMar>
              <w:top w:w="100" w:type="dxa"/>
              <w:left w:w="100" w:type="dxa"/>
              <w:bottom w:w="100" w:type="dxa"/>
              <w:right w:w="100" w:type="dxa"/>
            </w:tcMar>
          </w:tcPr>
          <w:p w14:paraId="6F5774E4" w14:textId="77777777" w:rsidR="00C54645" w:rsidRPr="00A74F92" w:rsidRDefault="00C54645" w:rsidP="00FD1BB7">
            <w:pPr>
              <w:widowControl w:val="0"/>
              <w:rPr>
                <w:rFonts w:ascii="Arial" w:hAnsi="Arial" w:cs="Arial"/>
                <w:b/>
                <w:sz w:val="20"/>
                <w:szCs w:val="20"/>
              </w:rPr>
            </w:pPr>
            <w:r w:rsidRPr="00A74F92">
              <w:rPr>
                <w:rFonts w:ascii="Arial" w:hAnsi="Arial" w:cs="Arial"/>
                <w:sz w:val="20"/>
                <w:szCs w:val="20"/>
                <w:highlight w:val="white"/>
              </w:rPr>
              <w:t xml:space="preserve">Regional Subsidiary Bodies, </w:t>
            </w:r>
            <w:r w:rsidRPr="00A74F92">
              <w:rPr>
                <w:rFonts w:ascii="Arial" w:hAnsi="Arial" w:cs="Arial"/>
                <w:sz w:val="20"/>
                <w:szCs w:val="20"/>
              </w:rPr>
              <w:t>Joint Group of Experts on the Scientific Aspects of Marine Environmental Protection, OceanOPS</w:t>
            </w:r>
          </w:p>
        </w:tc>
        <w:tc>
          <w:tcPr>
            <w:tcW w:w="57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92C546E"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Provide targeted and context-specific support through the provision of specialised knowledge and expertise to decision-makers and managers.</w:t>
            </w:r>
          </w:p>
        </w:tc>
      </w:tr>
      <w:tr w:rsidR="003330BA" w:rsidRPr="00A74F92" w14:paraId="083EA80C" w14:textId="77777777" w:rsidTr="00783168">
        <w:trPr>
          <w:trHeight w:val="499"/>
        </w:trPr>
        <w:tc>
          <w:tcPr>
            <w:tcW w:w="1745" w:type="dxa"/>
            <w:vMerge/>
            <w:shd w:val="clear" w:color="auto" w:fill="auto"/>
            <w:tcMar>
              <w:top w:w="100" w:type="dxa"/>
              <w:left w:w="100" w:type="dxa"/>
              <w:bottom w:w="100" w:type="dxa"/>
              <w:right w:w="100" w:type="dxa"/>
            </w:tcMar>
          </w:tcPr>
          <w:p w14:paraId="62C02A27"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011DFF40"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D5EEFF"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Promote the exchange of experiences and lessons learned from pilot projects in sustainable ocean planning and management practices among Member States.</w:t>
            </w:r>
          </w:p>
        </w:tc>
      </w:tr>
      <w:tr w:rsidR="003330BA" w:rsidRPr="00A74F92" w14:paraId="1868A30A" w14:textId="77777777" w:rsidTr="00783168">
        <w:trPr>
          <w:trHeight w:val="360"/>
        </w:trPr>
        <w:tc>
          <w:tcPr>
            <w:tcW w:w="1745" w:type="dxa"/>
            <w:vMerge/>
            <w:shd w:val="clear" w:color="auto" w:fill="auto"/>
            <w:tcMar>
              <w:top w:w="100" w:type="dxa"/>
              <w:left w:w="100" w:type="dxa"/>
              <w:bottom w:w="100" w:type="dxa"/>
              <w:right w:w="100" w:type="dxa"/>
            </w:tcMar>
          </w:tcPr>
          <w:p w14:paraId="66C199AA"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2C310FA3"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31A3DF" w14:textId="78F9DCF8" w:rsidR="00C54645" w:rsidRPr="00A74F92" w:rsidRDefault="00C54645" w:rsidP="00FD1BB7">
            <w:pPr>
              <w:widowControl w:val="0"/>
              <w:rPr>
                <w:rFonts w:ascii="Arial" w:hAnsi="Arial" w:cs="Arial"/>
                <w:sz w:val="20"/>
                <w:szCs w:val="20"/>
              </w:rPr>
            </w:pPr>
            <w:r w:rsidRPr="00A74F92">
              <w:rPr>
                <w:rFonts w:ascii="Arial" w:hAnsi="Arial" w:cs="Arial"/>
                <w:sz w:val="20"/>
                <w:szCs w:val="20"/>
              </w:rPr>
              <w:t>Convene cross-sectoral and transboundary working groups or committees to address common challenges and opportunities.</w:t>
            </w:r>
          </w:p>
        </w:tc>
      </w:tr>
      <w:tr w:rsidR="003330BA" w:rsidRPr="00A74F92" w14:paraId="00E6CB92" w14:textId="77777777" w:rsidTr="00783168">
        <w:trPr>
          <w:trHeight w:val="360"/>
        </w:trPr>
        <w:tc>
          <w:tcPr>
            <w:tcW w:w="1745" w:type="dxa"/>
            <w:vMerge/>
            <w:shd w:val="clear" w:color="auto" w:fill="auto"/>
            <w:tcMar>
              <w:top w:w="100" w:type="dxa"/>
              <w:left w:w="100" w:type="dxa"/>
              <w:bottom w:w="100" w:type="dxa"/>
              <w:right w:w="100" w:type="dxa"/>
            </w:tcMar>
          </w:tcPr>
          <w:p w14:paraId="01438862"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16D3D199"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1CA4B0"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Organise joint projects and initiatives that promote sustainable ocean planning and management across sectors.</w:t>
            </w:r>
          </w:p>
        </w:tc>
      </w:tr>
      <w:tr w:rsidR="003330BA" w:rsidRPr="00A74F92" w14:paraId="7A77A1D2" w14:textId="77777777" w:rsidTr="00783168">
        <w:trPr>
          <w:trHeight w:val="360"/>
        </w:trPr>
        <w:tc>
          <w:tcPr>
            <w:tcW w:w="1745" w:type="dxa"/>
            <w:vMerge/>
            <w:shd w:val="clear" w:color="auto" w:fill="auto"/>
            <w:tcMar>
              <w:top w:w="100" w:type="dxa"/>
              <w:left w:w="100" w:type="dxa"/>
              <w:bottom w:w="100" w:type="dxa"/>
              <w:right w:w="100" w:type="dxa"/>
            </w:tcMar>
          </w:tcPr>
          <w:p w14:paraId="311C50BE"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2652656A"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095110"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Provide communication support to member countries and develop communication strategies.</w:t>
            </w:r>
          </w:p>
        </w:tc>
      </w:tr>
      <w:tr w:rsidR="003330BA" w:rsidRPr="00A74F92" w14:paraId="56BC0B51" w14:textId="77777777" w:rsidTr="00783168">
        <w:trPr>
          <w:trHeight w:val="360"/>
        </w:trPr>
        <w:tc>
          <w:tcPr>
            <w:tcW w:w="1745" w:type="dxa"/>
            <w:vMerge/>
            <w:shd w:val="clear" w:color="auto" w:fill="auto"/>
            <w:tcMar>
              <w:top w:w="100" w:type="dxa"/>
              <w:left w:w="100" w:type="dxa"/>
              <w:bottom w:w="100" w:type="dxa"/>
              <w:right w:w="100" w:type="dxa"/>
            </w:tcMar>
          </w:tcPr>
          <w:p w14:paraId="5A87F710"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2D1E11BB"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59B0281" w14:textId="09734278" w:rsidR="00C54645" w:rsidRPr="00A74F92" w:rsidRDefault="00C54645" w:rsidP="00FD1BB7">
            <w:pPr>
              <w:widowControl w:val="0"/>
              <w:rPr>
                <w:rFonts w:ascii="Arial" w:hAnsi="Arial" w:cs="Arial"/>
                <w:sz w:val="20"/>
                <w:szCs w:val="20"/>
              </w:rPr>
            </w:pPr>
            <w:r w:rsidRPr="00A74F92">
              <w:rPr>
                <w:rFonts w:ascii="Arial" w:hAnsi="Arial" w:cs="Arial"/>
                <w:sz w:val="20"/>
                <w:szCs w:val="20"/>
              </w:rPr>
              <w:t xml:space="preserve">Establish (or promote existing) mechanisms to enable engagement of </w:t>
            </w:r>
            <w:r w:rsidR="00FF330A" w:rsidRPr="00A74F92">
              <w:rPr>
                <w:rFonts w:ascii="Arial" w:hAnsi="Arial" w:cs="Arial"/>
                <w:sz w:val="20"/>
                <w:szCs w:val="20"/>
              </w:rPr>
              <w:t xml:space="preserve">indigenous peoples </w:t>
            </w:r>
            <w:r w:rsidRPr="00A74F92">
              <w:rPr>
                <w:rFonts w:ascii="Arial" w:hAnsi="Arial" w:cs="Arial"/>
                <w:sz w:val="20"/>
                <w:szCs w:val="20"/>
              </w:rPr>
              <w:t>and local communities in decision-making processes.</w:t>
            </w:r>
          </w:p>
        </w:tc>
      </w:tr>
      <w:tr w:rsidR="003330BA" w:rsidRPr="00A74F92" w14:paraId="546EB254" w14:textId="77777777" w:rsidTr="00783168">
        <w:trPr>
          <w:trHeight w:val="360"/>
        </w:trPr>
        <w:tc>
          <w:tcPr>
            <w:tcW w:w="1745" w:type="dxa"/>
            <w:vMerge/>
            <w:shd w:val="clear" w:color="auto" w:fill="auto"/>
            <w:tcMar>
              <w:top w:w="100" w:type="dxa"/>
              <w:left w:w="100" w:type="dxa"/>
              <w:bottom w:w="100" w:type="dxa"/>
              <w:right w:w="100" w:type="dxa"/>
            </w:tcMar>
          </w:tcPr>
          <w:p w14:paraId="070B1765"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4F8D1F8F"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008EAF"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Establish mechanisms for ongoing cross-sectoral and transboundary coordination and communication.</w:t>
            </w:r>
          </w:p>
        </w:tc>
      </w:tr>
      <w:tr w:rsidR="003330BA" w:rsidRPr="00A74F92" w14:paraId="0273018F" w14:textId="77777777" w:rsidTr="00783168">
        <w:trPr>
          <w:trHeight w:val="360"/>
        </w:trPr>
        <w:tc>
          <w:tcPr>
            <w:tcW w:w="1745" w:type="dxa"/>
            <w:vMerge/>
            <w:shd w:val="clear" w:color="auto" w:fill="auto"/>
            <w:tcMar>
              <w:top w:w="100" w:type="dxa"/>
              <w:left w:w="100" w:type="dxa"/>
              <w:bottom w:w="100" w:type="dxa"/>
              <w:right w:w="100" w:type="dxa"/>
            </w:tcMar>
          </w:tcPr>
          <w:p w14:paraId="35BC29F1"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0EA1CBD6"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157694"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Establish multi-stakeholder platforms and engagement frameworks.</w:t>
            </w:r>
          </w:p>
        </w:tc>
      </w:tr>
      <w:tr w:rsidR="003330BA" w:rsidRPr="00A74F92" w14:paraId="0F2F642D" w14:textId="77777777" w:rsidTr="00783168">
        <w:trPr>
          <w:trHeight w:val="360"/>
        </w:trPr>
        <w:tc>
          <w:tcPr>
            <w:tcW w:w="1745" w:type="dxa"/>
            <w:vMerge/>
            <w:shd w:val="clear" w:color="auto" w:fill="auto"/>
            <w:tcMar>
              <w:top w:w="100" w:type="dxa"/>
              <w:left w:w="100" w:type="dxa"/>
              <w:bottom w:w="100" w:type="dxa"/>
              <w:right w:w="100" w:type="dxa"/>
            </w:tcMar>
          </w:tcPr>
          <w:p w14:paraId="110F6CBF"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17CB8BCC"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BEC242"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Leverage networks, technical capabilities, and expertise in ocean science-policy-society interface and MSP.</w:t>
            </w:r>
          </w:p>
        </w:tc>
      </w:tr>
      <w:tr w:rsidR="003330BA" w:rsidRPr="00A74F92" w14:paraId="573451F9" w14:textId="77777777" w:rsidTr="00A84818">
        <w:trPr>
          <w:trHeight w:val="184"/>
        </w:trPr>
        <w:tc>
          <w:tcPr>
            <w:tcW w:w="1745" w:type="dxa"/>
            <w:vMerge/>
            <w:shd w:val="clear" w:color="auto" w:fill="auto"/>
            <w:tcMar>
              <w:top w:w="100" w:type="dxa"/>
              <w:left w:w="100" w:type="dxa"/>
              <w:bottom w:w="100" w:type="dxa"/>
              <w:right w:w="100" w:type="dxa"/>
            </w:tcMar>
          </w:tcPr>
          <w:p w14:paraId="2822D21D"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5AE36C1D"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14:paraId="61B77C9C"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Promote dialogue and exchange of good practices among Member States on adopting and implementing global guidelines and standards for ocean planning and management.</w:t>
            </w:r>
          </w:p>
        </w:tc>
      </w:tr>
      <w:tr w:rsidR="003330BA" w:rsidRPr="00A74F92" w14:paraId="2A614C2E" w14:textId="77777777" w:rsidTr="00783168">
        <w:trPr>
          <w:trHeight w:val="619"/>
        </w:trPr>
        <w:tc>
          <w:tcPr>
            <w:tcW w:w="1745" w:type="dxa"/>
            <w:vMerge/>
            <w:shd w:val="clear" w:color="auto" w:fill="auto"/>
            <w:tcMar>
              <w:top w:w="100" w:type="dxa"/>
              <w:left w:w="100" w:type="dxa"/>
              <w:bottom w:w="100" w:type="dxa"/>
              <w:right w:w="100" w:type="dxa"/>
            </w:tcMar>
          </w:tcPr>
          <w:p w14:paraId="0D39AD7A"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tcBorders>
              <w:right w:val="single" w:sz="4" w:space="0" w:color="auto"/>
            </w:tcBorders>
            <w:shd w:val="clear" w:color="auto" w:fill="auto"/>
            <w:tcMar>
              <w:top w:w="100" w:type="dxa"/>
              <w:left w:w="100" w:type="dxa"/>
              <w:bottom w:w="100" w:type="dxa"/>
              <w:right w:w="100" w:type="dxa"/>
            </w:tcMar>
          </w:tcPr>
          <w:p w14:paraId="78C0E9FF"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DDE32F" w14:textId="3488CF2E" w:rsidR="00C54645" w:rsidRPr="00A74F92" w:rsidRDefault="00C54645" w:rsidP="00FD1BB7">
            <w:pPr>
              <w:widowControl w:val="0"/>
              <w:rPr>
                <w:rFonts w:ascii="Arial" w:hAnsi="Arial" w:cs="Arial"/>
                <w:sz w:val="20"/>
                <w:szCs w:val="20"/>
              </w:rPr>
            </w:pPr>
            <w:r w:rsidRPr="00A74F92">
              <w:rPr>
                <w:rFonts w:ascii="Arial" w:hAnsi="Arial" w:cs="Arial"/>
                <w:sz w:val="20"/>
                <w:szCs w:val="20"/>
              </w:rPr>
              <w:t xml:space="preserve">Promote the alignment between existing approaches, such as sustainable ocean plans, </w:t>
            </w:r>
            <w:r w:rsidR="000246AA">
              <w:rPr>
                <w:rFonts w:ascii="Arial" w:hAnsi="Arial" w:cs="Arial"/>
                <w:sz w:val="20"/>
                <w:szCs w:val="20"/>
              </w:rPr>
              <w:t>ocean</w:t>
            </w:r>
            <w:r w:rsidR="000246AA" w:rsidRPr="00A74F92">
              <w:rPr>
                <w:rFonts w:ascii="Arial" w:hAnsi="Arial" w:cs="Arial"/>
                <w:sz w:val="20"/>
                <w:szCs w:val="20"/>
              </w:rPr>
              <w:t xml:space="preserve"> </w:t>
            </w:r>
            <w:r w:rsidRPr="00A74F92">
              <w:rPr>
                <w:rFonts w:ascii="Arial" w:hAnsi="Arial" w:cs="Arial"/>
                <w:sz w:val="20"/>
                <w:szCs w:val="20"/>
              </w:rPr>
              <w:t>economy roadmaps, national ocean accounting through communication campaigns and advocacy efforts</w:t>
            </w:r>
          </w:p>
        </w:tc>
      </w:tr>
      <w:tr w:rsidR="003330BA" w:rsidRPr="00A74F92" w14:paraId="066D6C2E" w14:textId="77777777" w:rsidTr="00783168">
        <w:trPr>
          <w:trHeight w:val="523"/>
        </w:trPr>
        <w:tc>
          <w:tcPr>
            <w:tcW w:w="1745" w:type="dxa"/>
            <w:vMerge w:val="restart"/>
            <w:shd w:val="clear" w:color="auto" w:fill="auto"/>
            <w:tcMar>
              <w:top w:w="100" w:type="dxa"/>
              <w:left w:w="100" w:type="dxa"/>
              <w:bottom w:w="100" w:type="dxa"/>
              <w:right w:w="100" w:type="dxa"/>
            </w:tcMar>
          </w:tcPr>
          <w:p w14:paraId="71B44CD6" w14:textId="77777777" w:rsidR="00C54645" w:rsidRPr="00A74F92" w:rsidRDefault="00C54645" w:rsidP="00FD1BB7">
            <w:pPr>
              <w:widowControl w:val="0"/>
              <w:rPr>
                <w:rFonts w:ascii="Arial" w:hAnsi="Arial" w:cs="Arial"/>
                <w:b/>
                <w:color w:val="4E5763"/>
                <w:sz w:val="20"/>
                <w:szCs w:val="20"/>
              </w:rPr>
            </w:pPr>
          </w:p>
          <w:p w14:paraId="2CF49C90" w14:textId="77777777" w:rsidR="00C54645" w:rsidRPr="00A74F92" w:rsidRDefault="00C54645" w:rsidP="00FD1BB7">
            <w:pPr>
              <w:widowControl w:val="0"/>
              <w:rPr>
                <w:rFonts w:ascii="Arial" w:hAnsi="Arial" w:cs="Arial"/>
                <w:b/>
                <w:color w:val="4E5763"/>
                <w:sz w:val="20"/>
                <w:szCs w:val="20"/>
              </w:rPr>
            </w:pPr>
            <w:r w:rsidRPr="00A74F92">
              <w:rPr>
                <w:rFonts w:ascii="Arial" w:hAnsi="Arial" w:cs="Arial"/>
                <w:b/>
                <w:color w:val="4E5763"/>
                <w:sz w:val="20"/>
                <w:szCs w:val="20"/>
              </w:rPr>
              <w:t>Observation, Data Collection and Management</w:t>
            </w:r>
          </w:p>
        </w:tc>
        <w:tc>
          <w:tcPr>
            <w:tcW w:w="2140" w:type="dxa"/>
            <w:vMerge w:val="restart"/>
            <w:shd w:val="clear" w:color="auto" w:fill="auto"/>
            <w:tcMar>
              <w:top w:w="100" w:type="dxa"/>
              <w:left w:w="100" w:type="dxa"/>
              <w:bottom w:w="100" w:type="dxa"/>
              <w:right w:w="100" w:type="dxa"/>
            </w:tcMar>
          </w:tcPr>
          <w:p w14:paraId="3F270CAA" w14:textId="249EFFBF" w:rsidR="00C54645" w:rsidRPr="00A74F92" w:rsidRDefault="00C54645" w:rsidP="00FD1BB7">
            <w:pPr>
              <w:widowControl w:val="0"/>
              <w:rPr>
                <w:rFonts w:ascii="Arial" w:hAnsi="Arial" w:cs="Arial"/>
                <w:sz w:val="20"/>
                <w:szCs w:val="20"/>
              </w:rPr>
            </w:pPr>
            <w:r w:rsidRPr="00A74F92">
              <w:rPr>
                <w:rFonts w:ascii="Arial" w:hAnsi="Arial" w:cs="Arial"/>
                <w:sz w:val="20"/>
                <w:szCs w:val="20"/>
              </w:rPr>
              <w:t xml:space="preserve">Global Ocean Observing System, </w:t>
            </w:r>
            <w:proofErr w:type="spellStart"/>
            <w:proofErr w:type="gramStart"/>
            <w:r w:rsidRPr="00A74F92">
              <w:rPr>
                <w:rFonts w:ascii="Arial" w:hAnsi="Arial" w:cs="Arial"/>
                <w:sz w:val="20"/>
                <w:szCs w:val="20"/>
              </w:rPr>
              <w:t>CoastPredict,Ocean</w:t>
            </w:r>
            <w:proofErr w:type="spellEnd"/>
            <w:proofErr w:type="gramEnd"/>
            <w:r w:rsidRPr="00A74F92">
              <w:rPr>
                <w:rFonts w:ascii="Arial" w:hAnsi="Arial" w:cs="Arial"/>
                <w:sz w:val="20"/>
                <w:szCs w:val="20"/>
              </w:rPr>
              <w:t xml:space="preserve"> Decade Corporate Data Group, Global Climate Observing System, Global Ocean Acidification Observing Network,</w:t>
            </w:r>
            <w:r w:rsidR="00FF330A">
              <w:rPr>
                <w:rFonts w:ascii="Arial" w:hAnsi="Arial" w:cs="Arial"/>
                <w:sz w:val="20"/>
                <w:szCs w:val="20"/>
              </w:rPr>
              <w:t xml:space="preserve"> </w:t>
            </w:r>
            <w:r w:rsidRPr="00A74F92">
              <w:rPr>
                <w:rFonts w:ascii="Arial" w:hAnsi="Arial" w:cs="Arial"/>
                <w:sz w:val="20"/>
                <w:szCs w:val="20"/>
              </w:rPr>
              <w:t>International Oceanographic Data and Information Exchange, Ocean Biodiversity Information System, IOC Ocean Data and Information System</w:t>
            </w:r>
          </w:p>
        </w:tc>
        <w:tc>
          <w:tcPr>
            <w:tcW w:w="5749"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14:paraId="581DB31E" w14:textId="3255330C" w:rsidR="00C54645" w:rsidRPr="00A74F92" w:rsidRDefault="00C54645" w:rsidP="00FD1BB7">
            <w:pPr>
              <w:widowControl w:val="0"/>
              <w:rPr>
                <w:rFonts w:ascii="Arial" w:hAnsi="Arial" w:cs="Arial"/>
                <w:sz w:val="20"/>
                <w:szCs w:val="20"/>
              </w:rPr>
            </w:pPr>
            <w:r w:rsidRPr="00A74F92">
              <w:rPr>
                <w:rFonts w:ascii="Arial" w:hAnsi="Arial" w:cs="Arial"/>
                <w:sz w:val="20"/>
                <w:szCs w:val="20"/>
              </w:rPr>
              <w:t>Encourage Member States to support the development of implementation plans for ocean observation for delivery of the Strategy</w:t>
            </w:r>
            <w:r w:rsidR="00FF330A">
              <w:rPr>
                <w:rFonts w:ascii="Arial" w:hAnsi="Arial" w:cs="Arial"/>
                <w:sz w:val="20"/>
                <w:szCs w:val="20"/>
              </w:rPr>
              <w:t>.</w:t>
            </w:r>
          </w:p>
        </w:tc>
      </w:tr>
      <w:tr w:rsidR="003330BA" w:rsidRPr="00A74F92" w14:paraId="3B902A41" w14:textId="77777777" w:rsidTr="00783168">
        <w:trPr>
          <w:trHeight w:val="491"/>
        </w:trPr>
        <w:tc>
          <w:tcPr>
            <w:tcW w:w="1745" w:type="dxa"/>
            <w:vMerge/>
            <w:shd w:val="clear" w:color="auto" w:fill="auto"/>
            <w:tcMar>
              <w:top w:w="100" w:type="dxa"/>
              <w:left w:w="100" w:type="dxa"/>
              <w:bottom w:w="100" w:type="dxa"/>
              <w:right w:w="100" w:type="dxa"/>
            </w:tcMar>
          </w:tcPr>
          <w:p w14:paraId="2EDBD1DE" w14:textId="77777777" w:rsidR="00C54645" w:rsidRPr="00A74F92" w:rsidRDefault="00C54645" w:rsidP="00FD1BB7">
            <w:pPr>
              <w:widowControl w:val="0"/>
              <w:rPr>
                <w:rFonts w:ascii="Arial" w:hAnsi="Arial" w:cs="Arial"/>
                <w:b/>
                <w:color w:val="4E5763"/>
                <w:sz w:val="20"/>
                <w:szCs w:val="20"/>
              </w:rPr>
            </w:pPr>
          </w:p>
        </w:tc>
        <w:tc>
          <w:tcPr>
            <w:tcW w:w="2140" w:type="dxa"/>
            <w:vMerge/>
            <w:shd w:val="clear" w:color="auto" w:fill="auto"/>
            <w:tcMar>
              <w:top w:w="100" w:type="dxa"/>
              <w:left w:w="100" w:type="dxa"/>
              <w:bottom w:w="100" w:type="dxa"/>
              <w:right w:w="100" w:type="dxa"/>
            </w:tcMar>
          </w:tcPr>
          <w:p w14:paraId="420EEB1E" w14:textId="77777777" w:rsidR="00C54645" w:rsidRPr="00A74F92" w:rsidRDefault="00C54645" w:rsidP="00FD1BB7">
            <w:pPr>
              <w:widowControl w:val="0"/>
              <w:rPr>
                <w:rFonts w:ascii="Arial" w:hAnsi="Arial" w:cs="Arial"/>
                <w:sz w:val="20"/>
                <w:szCs w:val="20"/>
              </w:rPr>
            </w:pPr>
          </w:p>
        </w:tc>
        <w:tc>
          <w:tcPr>
            <w:tcW w:w="57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15EC3F3"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Encourage Member States to adopt advanced data collection methods and technologies that enhance the accuracy, efficiency, and scope of environmental, social, and economic data collection.</w:t>
            </w:r>
          </w:p>
        </w:tc>
      </w:tr>
      <w:tr w:rsidR="003330BA" w:rsidRPr="00A74F92" w14:paraId="398D74BA" w14:textId="77777777" w:rsidTr="00783168">
        <w:trPr>
          <w:trHeight w:val="508"/>
        </w:trPr>
        <w:tc>
          <w:tcPr>
            <w:tcW w:w="1745" w:type="dxa"/>
            <w:vMerge/>
            <w:shd w:val="clear" w:color="auto" w:fill="auto"/>
            <w:tcMar>
              <w:top w:w="100" w:type="dxa"/>
              <w:left w:w="100" w:type="dxa"/>
              <w:bottom w:w="100" w:type="dxa"/>
              <w:right w:w="100" w:type="dxa"/>
            </w:tcMar>
          </w:tcPr>
          <w:p w14:paraId="24B1C573"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52F08B57"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1E7C24"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Facilitate the sharing of good practices and methodologies for establishing data systems for ocean-related data and knowledge among Member States.</w:t>
            </w:r>
          </w:p>
        </w:tc>
      </w:tr>
      <w:tr w:rsidR="003330BA" w:rsidRPr="00A74F92" w14:paraId="4694DCA9" w14:textId="77777777" w:rsidTr="00783168">
        <w:trPr>
          <w:trHeight w:val="360"/>
        </w:trPr>
        <w:tc>
          <w:tcPr>
            <w:tcW w:w="1745" w:type="dxa"/>
            <w:vMerge/>
            <w:shd w:val="clear" w:color="auto" w:fill="auto"/>
            <w:tcMar>
              <w:top w:w="100" w:type="dxa"/>
              <w:left w:w="100" w:type="dxa"/>
              <w:bottom w:w="100" w:type="dxa"/>
              <w:right w:w="100" w:type="dxa"/>
            </w:tcMar>
          </w:tcPr>
          <w:p w14:paraId="02C3E2F5"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2FE68D3F"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C5853A"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Promote open data initiatives and standardisation of essential ocean variables across existing programmes.</w:t>
            </w:r>
          </w:p>
        </w:tc>
      </w:tr>
      <w:tr w:rsidR="003330BA" w:rsidRPr="00A74F92" w14:paraId="303F009D" w14:textId="77777777" w:rsidTr="00783168">
        <w:trPr>
          <w:trHeight w:val="360"/>
        </w:trPr>
        <w:tc>
          <w:tcPr>
            <w:tcW w:w="1745" w:type="dxa"/>
            <w:vMerge/>
            <w:shd w:val="clear" w:color="auto" w:fill="auto"/>
            <w:tcMar>
              <w:top w:w="100" w:type="dxa"/>
              <w:left w:w="100" w:type="dxa"/>
              <w:bottom w:w="100" w:type="dxa"/>
              <w:right w:w="100" w:type="dxa"/>
            </w:tcMar>
          </w:tcPr>
          <w:p w14:paraId="57E20A06"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15A75EBA"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E9B12E"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Advocate and promote recommended methods, guidelines, and manuals for collecting ocean-related data.</w:t>
            </w:r>
          </w:p>
        </w:tc>
      </w:tr>
      <w:tr w:rsidR="003330BA" w:rsidRPr="00A74F92" w14:paraId="09DA83D0" w14:textId="77777777" w:rsidTr="00783168">
        <w:trPr>
          <w:trHeight w:val="568"/>
        </w:trPr>
        <w:tc>
          <w:tcPr>
            <w:tcW w:w="1745" w:type="dxa"/>
            <w:vMerge/>
            <w:shd w:val="clear" w:color="auto" w:fill="auto"/>
            <w:tcMar>
              <w:top w:w="100" w:type="dxa"/>
              <w:left w:w="100" w:type="dxa"/>
              <w:bottom w:w="100" w:type="dxa"/>
              <w:right w:w="100" w:type="dxa"/>
            </w:tcMar>
          </w:tcPr>
          <w:p w14:paraId="7C0744C6"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3DE6538B"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1FDFD3"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Focus research, related data collection and management on specific knowledge gaps such as ecosystem dynamics, threat assessments, and natural capital accounting.</w:t>
            </w:r>
          </w:p>
        </w:tc>
      </w:tr>
      <w:tr w:rsidR="003330BA" w:rsidRPr="00A74F92" w14:paraId="71E03485" w14:textId="77777777" w:rsidTr="00783168">
        <w:trPr>
          <w:trHeight w:val="460"/>
        </w:trPr>
        <w:tc>
          <w:tcPr>
            <w:tcW w:w="1745" w:type="dxa"/>
            <w:vMerge/>
            <w:shd w:val="clear" w:color="auto" w:fill="auto"/>
            <w:tcMar>
              <w:top w:w="100" w:type="dxa"/>
              <w:left w:w="100" w:type="dxa"/>
              <w:bottom w:w="100" w:type="dxa"/>
              <w:right w:w="100" w:type="dxa"/>
            </w:tcMar>
          </w:tcPr>
          <w:p w14:paraId="1EFF7418"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491572AB"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DCDB91" w14:textId="50F7C361" w:rsidR="00C54645" w:rsidRPr="00A74F92" w:rsidRDefault="00C54645" w:rsidP="00FD1BB7">
            <w:pPr>
              <w:widowControl w:val="0"/>
              <w:rPr>
                <w:rFonts w:ascii="Arial" w:hAnsi="Arial" w:cs="Arial"/>
                <w:sz w:val="20"/>
                <w:szCs w:val="20"/>
              </w:rPr>
            </w:pPr>
            <w:r w:rsidRPr="00A74F92">
              <w:rPr>
                <w:rFonts w:ascii="Arial" w:hAnsi="Arial" w:cs="Arial"/>
                <w:sz w:val="20"/>
                <w:szCs w:val="20"/>
              </w:rPr>
              <w:t>Encourage transdisciplinary research, related data collection and management, to foster innovative solutions and a comprehensive understanding of ocean management</w:t>
            </w:r>
            <w:r w:rsidR="00FF330A">
              <w:rPr>
                <w:rFonts w:ascii="Arial" w:hAnsi="Arial" w:cs="Arial"/>
                <w:sz w:val="20"/>
                <w:szCs w:val="20"/>
              </w:rPr>
              <w:t>.</w:t>
            </w:r>
          </w:p>
        </w:tc>
      </w:tr>
      <w:tr w:rsidR="003330BA" w:rsidRPr="00A74F92" w14:paraId="2800CC1E" w14:textId="77777777" w:rsidTr="00A84818">
        <w:trPr>
          <w:trHeight w:val="349"/>
        </w:trPr>
        <w:tc>
          <w:tcPr>
            <w:tcW w:w="1745" w:type="dxa"/>
            <w:vMerge/>
            <w:shd w:val="clear" w:color="auto" w:fill="auto"/>
            <w:tcMar>
              <w:top w:w="100" w:type="dxa"/>
              <w:left w:w="100" w:type="dxa"/>
              <w:bottom w:w="100" w:type="dxa"/>
              <w:right w:w="100" w:type="dxa"/>
            </w:tcMar>
          </w:tcPr>
          <w:p w14:paraId="414BD345"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shd w:val="clear" w:color="auto" w:fill="auto"/>
            <w:tcMar>
              <w:top w:w="100" w:type="dxa"/>
              <w:left w:w="100" w:type="dxa"/>
              <w:bottom w:w="100" w:type="dxa"/>
              <w:right w:w="100" w:type="dxa"/>
            </w:tcMar>
          </w:tcPr>
          <w:p w14:paraId="14F4C8C6"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DC70B15" w14:textId="1FF4622D" w:rsidR="00C54645" w:rsidRPr="00A74F92" w:rsidRDefault="00C54645" w:rsidP="00FD1BB7">
            <w:pPr>
              <w:widowControl w:val="0"/>
              <w:rPr>
                <w:rFonts w:ascii="Arial" w:hAnsi="Arial" w:cs="Arial"/>
                <w:sz w:val="20"/>
                <w:szCs w:val="20"/>
              </w:rPr>
            </w:pPr>
            <w:r w:rsidRPr="00A74F92">
              <w:rPr>
                <w:rFonts w:ascii="Arial" w:hAnsi="Arial" w:cs="Arial"/>
                <w:sz w:val="20"/>
                <w:szCs w:val="20"/>
              </w:rPr>
              <w:t>Develop and use advanced modelling and forecasting techniques to support decision-making in ocean management</w:t>
            </w:r>
            <w:r w:rsidR="00FF330A">
              <w:rPr>
                <w:rFonts w:ascii="Arial" w:hAnsi="Arial" w:cs="Arial"/>
                <w:sz w:val="20"/>
                <w:szCs w:val="20"/>
              </w:rPr>
              <w:t>.</w:t>
            </w:r>
          </w:p>
        </w:tc>
      </w:tr>
      <w:tr w:rsidR="003330BA" w:rsidRPr="00A74F92" w14:paraId="024808F9" w14:textId="77777777" w:rsidTr="00783168">
        <w:trPr>
          <w:trHeight w:val="559"/>
        </w:trPr>
        <w:tc>
          <w:tcPr>
            <w:tcW w:w="1745" w:type="dxa"/>
            <w:vMerge w:val="restart"/>
            <w:shd w:val="clear" w:color="auto" w:fill="auto"/>
            <w:tcMar>
              <w:top w:w="100" w:type="dxa"/>
              <w:left w:w="100" w:type="dxa"/>
              <w:bottom w:w="100" w:type="dxa"/>
              <w:right w:w="100" w:type="dxa"/>
            </w:tcMar>
          </w:tcPr>
          <w:p w14:paraId="41A36A2C" w14:textId="77777777" w:rsidR="00C54645" w:rsidRPr="00A74F92" w:rsidRDefault="00C54645" w:rsidP="00FD1BB7">
            <w:pPr>
              <w:widowControl w:val="0"/>
              <w:rPr>
                <w:rFonts w:ascii="Arial" w:hAnsi="Arial" w:cs="Arial"/>
                <w:b/>
                <w:color w:val="4E5763"/>
                <w:sz w:val="20"/>
                <w:szCs w:val="20"/>
              </w:rPr>
            </w:pPr>
            <w:r w:rsidRPr="00A74F92">
              <w:rPr>
                <w:rFonts w:ascii="Arial" w:hAnsi="Arial" w:cs="Arial"/>
                <w:b/>
                <w:color w:val="4E5763"/>
                <w:sz w:val="20"/>
                <w:szCs w:val="20"/>
              </w:rPr>
              <w:t>Financial Support and Advocacy</w:t>
            </w:r>
          </w:p>
        </w:tc>
        <w:tc>
          <w:tcPr>
            <w:tcW w:w="2140" w:type="dxa"/>
            <w:vMerge w:val="restart"/>
            <w:shd w:val="clear" w:color="auto" w:fill="auto"/>
            <w:tcMar>
              <w:top w:w="100" w:type="dxa"/>
              <w:left w:w="100" w:type="dxa"/>
              <w:bottom w:w="100" w:type="dxa"/>
              <w:right w:w="100" w:type="dxa"/>
            </w:tcMar>
          </w:tcPr>
          <w:p w14:paraId="352CFA91"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Ocean Decade</w:t>
            </w:r>
          </w:p>
          <w:p w14:paraId="19956BB0" w14:textId="77777777" w:rsidR="00C54645" w:rsidRPr="00A74F92" w:rsidRDefault="00C54645" w:rsidP="00FD1BB7">
            <w:pPr>
              <w:widowControl w:val="0"/>
              <w:rPr>
                <w:rFonts w:ascii="Arial" w:hAnsi="Arial" w:cs="Arial"/>
                <w:sz w:val="20"/>
                <w:szCs w:val="20"/>
              </w:rPr>
            </w:pPr>
            <w:proofErr w:type="spellStart"/>
            <w:r w:rsidRPr="00A74F92">
              <w:rPr>
                <w:rFonts w:ascii="Arial" w:hAnsi="Arial" w:cs="Arial"/>
                <w:sz w:val="20"/>
                <w:szCs w:val="20"/>
              </w:rPr>
              <w:t>MSPglobal</w:t>
            </w:r>
            <w:proofErr w:type="spellEnd"/>
          </w:p>
        </w:tc>
        <w:tc>
          <w:tcPr>
            <w:tcW w:w="57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50FEB4"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Coordinate discussions and knowledge-sharing sessions on strategies for securing funding for aspects of sustainable ocean planning and management.</w:t>
            </w:r>
          </w:p>
        </w:tc>
      </w:tr>
      <w:tr w:rsidR="003330BA" w:rsidRPr="00A74F92" w14:paraId="31538E18" w14:textId="77777777" w:rsidTr="00783168">
        <w:trPr>
          <w:trHeight w:val="519"/>
        </w:trPr>
        <w:tc>
          <w:tcPr>
            <w:tcW w:w="1745" w:type="dxa"/>
            <w:vMerge/>
            <w:shd w:val="clear" w:color="auto" w:fill="auto"/>
            <w:tcMar>
              <w:top w:w="100" w:type="dxa"/>
              <w:left w:w="100" w:type="dxa"/>
              <w:bottom w:w="100" w:type="dxa"/>
              <w:right w:w="100" w:type="dxa"/>
            </w:tcMar>
          </w:tcPr>
          <w:p w14:paraId="208CFA2C"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tcBorders>
              <w:bottom w:val="single" w:sz="4" w:space="0" w:color="auto"/>
            </w:tcBorders>
            <w:shd w:val="clear" w:color="auto" w:fill="auto"/>
            <w:tcMar>
              <w:top w:w="100" w:type="dxa"/>
              <w:left w:w="100" w:type="dxa"/>
              <w:bottom w:w="100" w:type="dxa"/>
              <w:right w:w="100" w:type="dxa"/>
            </w:tcMar>
          </w:tcPr>
          <w:p w14:paraId="5B6628ED"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3CECC1"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Develop a mechanism to connect ocean planning and management initiatives with potential philanthropic donors, enhancing funding opportunities and resource mobilisation.</w:t>
            </w:r>
          </w:p>
        </w:tc>
      </w:tr>
      <w:tr w:rsidR="003330BA" w:rsidRPr="00A74F92" w14:paraId="75DCD500" w14:textId="77777777" w:rsidTr="00783168">
        <w:trPr>
          <w:trHeight w:val="400"/>
        </w:trPr>
        <w:tc>
          <w:tcPr>
            <w:tcW w:w="1745" w:type="dxa"/>
            <w:vMerge w:val="restart"/>
            <w:tcBorders>
              <w:right w:val="single" w:sz="4" w:space="0" w:color="auto"/>
            </w:tcBorders>
            <w:shd w:val="clear" w:color="auto" w:fill="auto"/>
            <w:tcMar>
              <w:top w:w="100" w:type="dxa"/>
              <w:left w:w="100" w:type="dxa"/>
              <w:bottom w:w="100" w:type="dxa"/>
              <w:right w:w="100" w:type="dxa"/>
            </w:tcMar>
          </w:tcPr>
          <w:p w14:paraId="6D7EEA6F" w14:textId="77777777" w:rsidR="00C54645" w:rsidRPr="00A74F92" w:rsidRDefault="00C54645" w:rsidP="00FD1BB7">
            <w:pPr>
              <w:widowControl w:val="0"/>
              <w:rPr>
                <w:rFonts w:ascii="Arial" w:hAnsi="Arial" w:cs="Arial"/>
                <w:b/>
                <w:color w:val="4E5763"/>
                <w:sz w:val="20"/>
                <w:szCs w:val="20"/>
              </w:rPr>
            </w:pPr>
            <w:r w:rsidRPr="00A74F92">
              <w:rPr>
                <w:rFonts w:ascii="Arial" w:hAnsi="Arial" w:cs="Arial"/>
                <w:b/>
                <w:color w:val="4E5763"/>
                <w:sz w:val="20"/>
                <w:szCs w:val="20"/>
              </w:rPr>
              <w:t>Development of Guidelines and Planning Assistance</w:t>
            </w:r>
          </w:p>
          <w:p w14:paraId="38F49B9C" w14:textId="77777777" w:rsidR="00C54645" w:rsidRPr="00A74F92" w:rsidRDefault="00C54645" w:rsidP="00FD1BB7">
            <w:pPr>
              <w:widowControl w:val="0"/>
              <w:rPr>
                <w:rFonts w:ascii="Arial" w:hAnsi="Arial" w:cs="Arial"/>
                <w:b/>
                <w:color w:val="4E5763"/>
                <w:sz w:val="20"/>
                <w:szCs w:val="20"/>
              </w:rPr>
            </w:pPr>
          </w:p>
          <w:p w14:paraId="1B02901B" w14:textId="77777777" w:rsidR="00C54645" w:rsidRPr="00A74F92" w:rsidRDefault="00C54645" w:rsidP="00FD1BB7">
            <w:pPr>
              <w:widowControl w:val="0"/>
              <w:rPr>
                <w:rFonts w:ascii="Arial" w:hAnsi="Arial" w:cs="Arial"/>
                <w:b/>
                <w:color w:val="4E5763"/>
                <w:sz w:val="20"/>
                <w:szCs w:val="20"/>
              </w:rPr>
            </w:pPr>
          </w:p>
        </w:tc>
        <w:tc>
          <w:tcPr>
            <w:tcW w:w="21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ECA3558" w14:textId="77777777" w:rsidR="00C54645" w:rsidRDefault="00C54645" w:rsidP="00FD1BB7">
            <w:pPr>
              <w:rPr>
                <w:rFonts w:ascii="Arial" w:hAnsi="Arial" w:cs="Arial"/>
                <w:sz w:val="20"/>
                <w:szCs w:val="20"/>
              </w:rPr>
            </w:pPr>
            <w:proofErr w:type="spellStart"/>
            <w:r w:rsidRPr="00A74F92">
              <w:rPr>
                <w:rFonts w:ascii="Arial" w:hAnsi="Arial" w:cs="Arial"/>
                <w:sz w:val="20"/>
                <w:szCs w:val="20"/>
              </w:rPr>
              <w:t>MSPglobal</w:t>
            </w:r>
            <w:proofErr w:type="spellEnd"/>
            <w:r w:rsidRPr="00A74F92">
              <w:rPr>
                <w:rFonts w:ascii="Arial" w:hAnsi="Arial" w:cs="Arial"/>
                <w:sz w:val="20"/>
                <w:szCs w:val="20"/>
              </w:rPr>
              <w:br/>
              <w:t>International Ocean Carbon Coordination Project</w:t>
            </w:r>
          </w:p>
          <w:p w14:paraId="4C5F2CE1" w14:textId="529BE36E" w:rsidR="00A74F92" w:rsidRPr="00A74F92" w:rsidRDefault="00A74F92" w:rsidP="00FD1BB7">
            <w:pPr>
              <w:rPr>
                <w:rFonts w:ascii="Arial" w:hAnsi="Arial" w:cs="Arial"/>
                <w:b/>
                <w:sz w:val="20"/>
                <w:szCs w:val="20"/>
              </w:rPr>
            </w:pPr>
            <w:r>
              <w:rPr>
                <w:rFonts w:ascii="Arial" w:hAnsi="Arial" w:cs="Arial"/>
                <w:sz w:val="20"/>
                <w:szCs w:val="20"/>
              </w:rPr>
              <w:t>Ocean Science programmes</w:t>
            </w:r>
          </w:p>
        </w:tc>
        <w:tc>
          <w:tcPr>
            <w:tcW w:w="5749" w:type="dxa"/>
            <w:tcBorders>
              <w:top w:val="single" w:sz="5" w:space="0" w:color="000000"/>
              <w:left w:val="single" w:sz="4" w:space="0" w:color="auto"/>
              <w:bottom w:val="single" w:sz="5" w:space="0" w:color="000000"/>
              <w:right w:val="single" w:sz="5" w:space="0" w:color="000000"/>
            </w:tcBorders>
            <w:tcMar>
              <w:top w:w="0" w:type="dxa"/>
              <w:left w:w="100" w:type="dxa"/>
              <w:bottom w:w="0" w:type="dxa"/>
              <w:right w:w="100" w:type="dxa"/>
            </w:tcMar>
          </w:tcPr>
          <w:p w14:paraId="7A49A21B" w14:textId="1BD423DA" w:rsidR="00C54645" w:rsidRPr="00A74F92" w:rsidRDefault="00C54645" w:rsidP="00FD1BB7">
            <w:pPr>
              <w:widowControl w:val="0"/>
              <w:rPr>
                <w:rFonts w:ascii="Arial" w:hAnsi="Arial" w:cs="Arial"/>
                <w:sz w:val="20"/>
                <w:szCs w:val="20"/>
              </w:rPr>
            </w:pPr>
            <w:r w:rsidRPr="00A74F92">
              <w:rPr>
                <w:rFonts w:ascii="Arial" w:hAnsi="Arial" w:cs="Arial"/>
                <w:sz w:val="20"/>
                <w:szCs w:val="20"/>
              </w:rPr>
              <w:t xml:space="preserve">Develop tools and guidelines for integrating climate resilience </w:t>
            </w:r>
            <w:r w:rsidR="003330BA">
              <w:rPr>
                <w:rFonts w:ascii="Arial" w:hAnsi="Arial" w:cs="Arial"/>
                <w:sz w:val="20"/>
                <w:szCs w:val="20"/>
              </w:rPr>
              <w:t xml:space="preserve">and conservation </w:t>
            </w:r>
            <w:r w:rsidRPr="00A74F92">
              <w:rPr>
                <w:rFonts w:ascii="Arial" w:hAnsi="Arial" w:cs="Arial"/>
                <w:sz w:val="20"/>
                <w:szCs w:val="20"/>
              </w:rPr>
              <w:t>measures into ocean planning.</w:t>
            </w:r>
          </w:p>
        </w:tc>
      </w:tr>
      <w:tr w:rsidR="003330BA" w:rsidRPr="00A74F92" w14:paraId="51BEBD46" w14:textId="77777777" w:rsidTr="00783168">
        <w:trPr>
          <w:trHeight w:val="615"/>
        </w:trPr>
        <w:tc>
          <w:tcPr>
            <w:tcW w:w="1745" w:type="dxa"/>
            <w:vMerge/>
            <w:tcBorders>
              <w:right w:val="single" w:sz="4" w:space="0" w:color="auto"/>
            </w:tcBorders>
            <w:shd w:val="clear" w:color="auto" w:fill="auto"/>
            <w:tcMar>
              <w:top w:w="100" w:type="dxa"/>
              <w:left w:w="100" w:type="dxa"/>
              <w:bottom w:w="100" w:type="dxa"/>
              <w:right w:w="100" w:type="dxa"/>
            </w:tcMar>
          </w:tcPr>
          <w:p w14:paraId="33E4501F"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tcBorders>
              <w:left w:val="single" w:sz="4" w:space="0" w:color="auto"/>
              <w:right w:val="single" w:sz="4" w:space="0" w:color="auto"/>
            </w:tcBorders>
            <w:shd w:val="clear" w:color="auto" w:fill="auto"/>
            <w:tcMar>
              <w:top w:w="100" w:type="dxa"/>
              <w:left w:w="100" w:type="dxa"/>
              <w:bottom w:w="100" w:type="dxa"/>
              <w:right w:w="100" w:type="dxa"/>
            </w:tcMar>
          </w:tcPr>
          <w:p w14:paraId="58E2771F"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0300D381"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Develop and publish regular reports and assessments on sustainable ocean planning and management good practices and guidance.</w:t>
            </w:r>
          </w:p>
        </w:tc>
      </w:tr>
      <w:tr w:rsidR="003330BA" w:rsidRPr="00A74F92" w14:paraId="633AECDD" w14:textId="77777777" w:rsidTr="00783168">
        <w:trPr>
          <w:trHeight w:val="369"/>
        </w:trPr>
        <w:tc>
          <w:tcPr>
            <w:tcW w:w="1745" w:type="dxa"/>
            <w:vMerge/>
            <w:tcBorders>
              <w:right w:val="single" w:sz="4" w:space="0" w:color="auto"/>
            </w:tcBorders>
            <w:shd w:val="clear" w:color="auto" w:fill="auto"/>
            <w:tcMar>
              <w:top w:w="100" w:type="dxa"/>
              <w:left w:w="100" w:type="dxa"/>
              <w:bottom w:w="100" w:type="dxa"/>
              <w:right w:w="100" w:type="dxa"/>
            </w:tcMar>
          </w:tcPr>
          <w:p w14:paraId="1D70163A"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tcBorders>
              <w:left w:val="single" w:sz="4" w:space="0" w:color="auto"/>
              <w:right w:val="single" w:sz="4" w:space="0" w:color="auto"/>
            </w:tcBorders>
            <w:shd w:val="clear" w:color="auto" w:fill="auto"/>
            <w:tcMar>
              <w:top w:w="100" w:type="dxa"/>
              <w:left w:w="100" w:type="dxa"/>
              <w:bottom w:w="100" w:type="dxa"/>
              <w:right w:w="100" w:type="dxa"/>
            </w:tcMar>
          </w:tcPr>
          <w:p w14:paraId="701179D9"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697C5E4F"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Facilitate the development of global guidelines and standards for ocean planning and management.</w:t>
            </w:r>
          </w:p>
        </w:tc>
      </w:tr>
      <w:tr w:rsidR="003330BA" w:rsidRPr="00A74F92" w14:paraId="0D29AF53" w14:textId="77777777" w:rsidTr="00783168">
        <w:trPr>
          <w:trHeight w:val="365"/>
        </w:trPr>
        <w:tc>
          <w:tcPr>
            <w:tcW w:w="1745" w:type="dxa"/>
            <w:vMerge/>
            <w:tcBorders>
              <w:right w:val="single" w:sz="4" w:space="0" w:color="auto"/>
            </w:tcBorders>
            <w:shd w:val="clear" w:color="auto" w:fill="auto"/>
            <w:tcMar>
              <w:top w:w="100" w:type="dxa"/>
              <w:left w:w="100" w:type="dxa"/>
              <w:bottom w:w="100" w:type="dxa"/>
              <w:right w:w="100" w:type="dxa"/>
            </w:tcMar>
          </w:tcPr>
          <w:p w14:paraId="669DD743"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tcBorders>
              <w:left w:val="single" w:sz="4" w:space="0" w:color="auto"/>
              <w:right w:val="single" w:sz="4" w:space="0" w:color="auto"/>
            </w:tcBorders>
            <w:shd w:val="clear" w:color="auto" w:fill="auto"/>
            <w:tcMar>
              <w:top w:w="100" w:type="dxa"/>
              <w:left w:w="100" w:type="dxa"/>
              <w:bottom w:w="100" w:type="dxa"/>
              <w:right w:w="100" w:type="dxa"/>
            </w:tcMar>
          </w:tcPr>
          <w:p w14:paraId="505824A4"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608298B8"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Support Member States to facilitate the integration of ocean planning and management principles effectively.</w:t>
            </w:r>
          </w:p>
        </w:tc>
      </w:tr>
      <w:tr w:rsidR="003330BA" w:rsidRPr="00A74F92" w14:paraId="232DA0F8" w14:textId="77777777" w:rsidTr="00783168">
        <w:trPr>
          <w:trHeight w:val="529"/>
        </w:trPr>
        <w:tc>
          <w:tcPr>
            <w:tcW w:w="1745" w:type="dxa"/>
            <w:vMerge/>
            <w:tcBorders>
              <w:right w:val="single" w:sz="4" w:space="0" w:color="auto"/>
            </w:tcBorders>
            <w:shd w:val="clear" w:color="auto" w:fill="auto"/>
            <w:tcMar>
              <w:top w:w="100" w:type="dxa"/>
              <w:left w:w="100" w:type="dxa"/>
              <w:bottom w:w="100" w:type="dxa"/>
              <w:right w:w="100" w:type="dxa"/>
            </w:tcMar>
          </w:tcPr>
          <w:p w14:paraId="1337CCE3"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2140" w:type="dxa"/>
            <w:vMerge/>
            <w:tcBorders>
              <w:left w:val="single" w:sz="4" w:space="0" w:color="auto"/>
              <w:right w:val="single" w:sz="4" w:space="0" w:color="auto"/>
            </w:tcBorders>
            <w:shd w:val="clear" w:color="auto" w:fill="auto"/>
            <w:tcMar>
              <w:top w:w="100" w:type="dxa"/>
              <w:left w:w="100" w:type="dxa"/>
              <w:bottom w:w="100" w:type="dxa"/>
              <w:right w:w="100" w:type="dxa"/>
            </w:tcMar>
          </w:tcPr>
          <w:p w14:paraId="5EBBC9C0" w14:textId="77777777" w:rsidR="00C54645" w:rsidRPr="00A74F92" w:rsidRDefault="00C54645"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nil"/>
              <w:left w:val="single" w:sz="4" w:space="0" w:color="auto"/>
              <w:bottom w:val="single" w:sz="4" w:space="0" w:color="auto"/>
              <w:right w:val="single" w:sz="5" w:space="0" w:color="000000"/>
            </w:tcBorders>
            <w:tcMar>
              <w:top w:w="0" w:type="dxa"/>
              <w:left w:w="100" w:type="dxa"/>
              <w:bottom w:w="0" w:type="dxa"/>
              <w:right w:w="100" w:type="dxa"/>
            </w:tcMar>
          </w:tcPr>
          <w:p w14:paraId="6537A7CF" w14:textId="77777777" w:rsidR="00C54645" w:rsidRPr="00A74F92" w:rsidRDefault="00C54645" w:rsidP="00FD1BB7">
            <w:pPr>
              <w:widowControl w:val="0"/>
              <w:rPr>
                <w:rFonts w:ascii="Arial" w:hAnsi="Arial" w:cs="Arial"/>
                <w:sz w:val="20"/>
                <w:szCs w:val="20"/>
              </w:rPr>
            </w:pPr>
            <w:r w:rsidRPr="00A74F92">
              <w:rPr>
                <w:rFonts w:ascii="Arial" w:hAnsi="Arial" w:cs="Arial"/>
                <w:sz w:val="20"/>
                <w:szCs w:val="20"/>
              </w:rPr>
              <w:t>Support Member States to co-develop comprehensive roadmaps to guide the development and implementation of approaches related to sustainable ocean planning and management.</w:t>
            </w:r>
          </w:p>
        </w:tc>
      </w:tr>
      <w:tr w:rsidR="00A74F92" w:rsidRPr="00A74F92" w14:paraId="2E2CDD6D" w14:textId="77777777" w:rsidTr="00783168">
        <w:trPr>
          <w:trHeight w:val="529"/>
        </w:trPr>
        <w:tc>
          <w:tcPr>
            <w:tcW w:w="1745" w:type="dxa"/>
            <w:tcBorders>
              <w:right w:val="single" w:sz="4" w:space="0" w:color="auto"/>
            </w:tcBorders>
            <w:shd w:val="clear" w:color="auto" w:fill="auto"/>
            <w:tcMar>
              <w:top w:w="100" w:type="dxa"/>
              <w:left w:w="100" w:type="dxa"/>
              <w:bottom w:w="100" w:type="dxa"/>
              <w:right w:w="100" w:type="dxa"/>
            </w:tcMar>
          </w:tcPr>
          <w:p w14:paraId="09F23236" w14:textId="77777777" w:rsidR="00A74F92" w:rsidRPr="00A74F92" w:rsidRDefault="00A74F92" w:rsidP="00FD1BB7">
            <w:pPr>
              <w:widowControl w:val="0"/>
              <w:pBdr>
                <w:top w:val="nil"/>
                <w:left w:val="nil"/>
                <w:bottom w:val="nil"/>
                <w:right w:val="nil"/>
                <w:between w:val="nil"/>
              </w:pBdr>
              <w:rPr>
                <w:rFonts w:ascii="Arial" w:hAnsi="Arial" w:cs="Arial"/>
                <w:i/>
                <w:color w:val="4E5763"/>
                <w:sz w:val="20"/>
                <w:szCs w:val="20"/>
              </w:rPr>
            </w:pPr>
          </w:p>
        </w:tc>
        <w:tc>
          <w:tcPr>
            <w:tcW w:w="21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7CFB77" w14:textId="77777777" w:rsidR="00A74F92" w:rsidRPr="00A74F92" w:rsidRDefault="00A74F92" w:rsidP="00FD1BB7">
            <w:pPr>
              <w:widowControl w:val="0"/>
              <w:pBdr>
                <w:top w:val="nil"/>
                <w:left w:val="nil"/>
                <w:bottom w:val="nil"/>
                <w:right w:val="nil"/>
                <w:between w:val="nil"/>
              </w:pBdr>
              <w:rPr>
                <w:rFonts w:ascii="Arial" w:hAnsi="Arial" w:cs="Arial"/>
                <w:i/>
                <w:color w:val="4E5763"/>
                <w:sz w:val="20"/>
                <w:szCs w:val="20"/>
              </w:rPr>
            </w:pPr>
          </w:p>
        </w:tc>
        <w:tc>
          <w:tcPr>
            <w:tcW w:w="574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C7C065" w14:textId="4489AEEC" w:rsidR="00A74F92" w:rsidRPr="00A74F92" w:rsidRDefault="00A74F92" w:rsidP="00FD1BB7">
            <w:pPr>
              <w:widowControl w:val="0"/>
              <w:rPr>
                <w:rFonts w:ascii="Arial" w:hAnsi="Arial" w:cs="Arial"/>
                <w:sz w:val="20"/>
                <w:szCs w:val="20"/>
              </w:rPr>
            </w:pPr>
            <w:r>
              <w:rPr>
                <w:rFonts w:ascii="Arial" w:hAnsi="Arial" w:cs="Arial"/>
                <w:sz w:val="20"/>
                <w:szCs w:val="20"/>
              </w:rPr>
              <w:t>Identification of emerging scienti</w:t>
            </w:r>
            <w:r w:rsidR="003330BA">
              <w:rPr>
                <w:rFonts w:ascii="Arial" w:hAnsi="Arial" w:cs="Arial"/>
                <w:sz w:val="20"/>
                <w:szCs w:val="20"/>
              </w:rPr>
              <w:t>fi</w:t>
            </w:r>
            <w:r>
              <w:rPr>
                <w:rFonts w:ascii="Arial" w:hAnsi="Arial" w:cs="Arial"/>
                <w:sz w:val="20"/>
                <w:szCs w:val="20"/>
              </w:rPr>
              <w:t xml:space="preserve">c evidence </w:t>
            </w:r>
            <w:r w:rsidR="003330BA">
              <w:rPr>
                <w:rFonts w:ascii="Arial" w:hAnsi="Arial" w:cs="Arial"/>
                <w:sz w:val="20"/>
                <w:szCs w:val="20"/>
              </w:rPr>
              <w:t>for integration into SOP processes/tools</w:t>
            </w:r>
            <w:r w:rsidR="00FF330A">
              <w:rPr>
                <w:rFonts w:ascii="Arial" w:hAnsi="Arial" w:cs="Arial"/>
                <w:sz w:val="20"/>
                <w:szCs w:val="20"/>
              </w:rPr>
              <w:t>.</w:t>
            </w:r>
          </w:p>
        </w:tc>
      </w:tr>
    </w:tbl>
    <w:p w14:paraId="3E4DCE04" w14:textId="6C08042D" w:rsidR="00C54645" w:rsidRDefault="00C54645" w:rsidP="00C54645">
      <w:pPr>
        <w:rPr>
          <w:b/>
        </w:rPr>
      </w:pPr>
    </w:p>
    <w:p w14:paraId="4A1C7C1B" w14:textId="77777777" w:rsidR="008C64E8" w:rsidRDefault="008C64E8" w:rsidP="00C54645">
      <w:pPr>
        <w:rPr>
          <w:b/>
        </w:rPr>
      </w:pPr>
    </w:p>
    <w:p w14:paraId="4A43D1D0" w14:textId="02C5FA5D" w:rsidR="00C54645" w:rsidRPr="00716ED5" w:rsidRDefault="00C54645" w:rsidP="00C54645">
      <w:pPr>
        <w:keepNext/>
        <w:rPr>
          <w:rFonts w:asciiTheme="minorBidi" w:hAnsiTheme="minorBidi" w:cstheme="minorBidi"/>
          <w:sz w:val="22"/>
          <w:szCs w:val="22"/>
        </w:rPr>
      </w:pPr>
      <w:r w:rsidRPr="00716ED5">
        <w:rPr>
          <w:rFonts w:asciiTheme="minorBidi" w:hAnsiTheme="minorBidi" w:cstheme="minorBidi"/>
          <w:b/>
          <w:color w:val="4E5763"/>
          <w:sz w:val="22"/>
          <w:szCs w:val="22"/>
        </w:rPr>
        <w:t xml:space="preserve">Table 2. </w:t>
      </w:r>
      <w:r w:rsidRPr="00716ED5">
        <w:rPr>
          <w:rFonts w:asciiTheme="minorBidi" w:hAnsiTheme="minorBidi" w:cstheme="minorBidi"/>
          <w:i/>
          <w:color w:val="4E5763"/>
          <w:sz w:val="22"/>
          <w:szCs w:val="22"/>
        </w:rPr>
        <w:t xml:space="preserve">Potential Contribution of IOC Programmes </w:t>
      </w:r>
      <w:r w:rsidR="00FF330A" w:rsidRPr="00FF330A">
        <w:rPr>
          <w:rFonts w:asciiTheme="minorBidi" w:hAnsiTheme="minorBidi" w:cstheme="minorBidi"/>
          <w:i/>
          <w:color w:val="4E5763"/>
          <w:sz w:val="22"/>
          <w:szCs w:val="22"/>
        </w:rPr>
        <w:t>to</w:t>
      </w:r>
      <w:r w:rsidRPr="00716ED5">
        <w:rPr>
          <w:rFonts w:asciiTheme="minorBidi" w:hAnsiTheme="minorBidi" w:cstheme="minorBidi"/>
          <w:i/>
          <w:color w:val="4E5763"/>
          <w:sz w:val="22"/>
          <w:szCs w:val="22"/>
        </w:rPr>
        <w:t xml:space="preserve"> Strategic Objectives (where a contribution or synergy exists cell is highlighted in green)</w:t>
      </w:r>
    </w:p>
    <w:p w14:paraId="52A927FC" w14:textId="3E6FD81F" w:rsidR="00C54645" w:rsidRPr="00716ED5" w:rsidRDefault="00C54645" w:rsidP="00C54645">
      <w:pPr>
        <w:rPr>
          <w:b/>
          <w:sz w:val="16"/>
          <w:szCs w:val="16"/>
        </w:rPr>
      </w:pPr>
    </w:p>
    <w:tbl>
      <w:tblPr>
        <w:tblW w:w="9815" w:type="dxa"/>
        <w:tblBorders>
          <w:top w:val="nil"/>
          <w:left w:val="nil"/>
          <w:bottom w:val="nil"/>
          <w:right w:val="nil"/>
          <w:insideH w:val="nil"/>
          <w:insideV w:val="nil"/>
        </w:tblBorders>
        <w:tblLayout w:type="fixed"/>
        <w:tblLook w:val="0600" w:firstRow="0" w:lastRow="0" w:firstColumn="0" w:lastColumn="0" w:noHBand="1" w:noVBand="1"/>
      </w:tblPr>
      <w:tblGrid>
        <w:gridCol w:w="3818"/>
        <w:gridCol w:w="1680"/>
        <w:gridCol w:w="1722"/>
        <w:gridCol w:w="1275"/>
        <w:gridCol w:w="1320"/>
      </w:tblGrid>
      <w:tr w:rsidR="003330BA" w14:paraId="09076804" w14:textId="77777777" w:rsidTr="00A84818">
        <w:trPr>
          <w:trHeight w:val="319"/>
          <w:tblHeader/>
        </w:trPr>
        <w:tc>
          <w:tcPr>
            <w:tcW w:w="3818" w:type="dxa"/>
            <w:vMerge w:val="restart"/>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4929D6A5" w14:textId="77777777" w:rsidR="00C54645" w:rsidRPr="00422210" w:rsidRDefault="00C54645" w:rsidP="00FD1BB7">
            <w:pPr>
              <w:jc w:val="center"/>
              <w:rPr>
                <w:rFonts w:asciiTheme="minorBidi" w:hAnsiTheme="minorBidi" w:cstheme="minorBidi"/>
                <w:b/>
                <w:color w:val="FFFFFF"/>
                <w:sz w:val="18"/>
                <w:szCs w:val="18"/>
              </w:rPr>
            </w:pPr>
            <w:r w:rsidRPr="00422210">
              <w:rPr>
                <w:rFonts w:asciiTheme="minorBidi" w:hAnsiTheme="minorBidi" w:cstheme="minorBidi"/>
                <w:b/>
                <w:color w:val="FFFFFF"/>
                <w:sz w:val="18"/>
                <w:szCs w:val="18"/>
              </w:rPr>
              <w:t>IOC Programmes</w:t>
            </w:r>
          </w:p>
        </w:tc>
        <w:tc>
          <w:tcPr>
            <w:tcW w:w="5997" w:type="dxa"/>
            <w:gridSpan w:val="4"/>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651C481D" w14:textId="77777777" w:rsidR="00C54645" w:rsidRPr="00422210" w:rsidRDefault="00C54645" w:rsidP="00FD1BB7">
            <w:pPr>
              <w:rPr>
                <w:rFonts w:asciiTheme="minorBidi" w:hAnsiTheme="minorBidi" w:cstheme="minorBidi"/>
                <w:b/>
                <w:color w:val="FFFFFF"/>
                <w:sz w:val="18"/>
                <w:szCs w:val="18"/>
              </w:rPr>
            </w:pPr>
            <w:r w:rsidRPr="00422210">
              <w:rPr>
                <w:rFonts w:asciiTheme="minorBidi" w:hAnsiTheme="minorBidi" w:cstheme="minorBidi"/>
                <w:b/>
                <w:color w:val="FFFFFF"/>
                <w:sz w:val="18"/>
                <w:szCs w:val="18"/>
              </w:rPr>
              <w:t>Strategic Objectives</w:t>
            </w:r>
          </w:p>
        </w:tc>
      </w:tr>
      <w:tr w:rsidR="003330BA" w14:paraId="7EE5C7EE" w14:textId="77777777" w:rsidTr="00A84818">
        <w:trPr>
          <w:trHeight w:val="525"/>
          <w:tblHeader/>
        </w:trPr>
        <w:tc>
          <w:tcPr>
            <w:tcW w:w="3818" w:type="dxa"/>
            <w:vMerge/>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7C2E0F02" w14:textId="77777777" w:rsidR="00C54645" w:rsidRPr="00422210" w:rsidRDefault="00C54645" w:rsidP="00FD1BB7">
            <w:pPr>
              <w:rPr>
                <w:rFonts w:asciiTheme="minorBidi" w:hAnsiTheme="minorBidi" w:cstheme="minorBidi"/>
                <w:b/>
                <w:color w:val="FFFFFF"/>
                <w:sz w:val="18"/>
                <w:szCs w:val="18"/>
              </w:rPr>
            </w:pPr>
          </w:p>
        </w:tc>
        <w:tc>
          <w:tcPr>
            <w:tcW w:w="1680" w:type="dxa"/>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0E02AA5A" w14:textId="77777777" w:rsidR="00C54645" w:rsidRPr="00422210" w:rsidRDefault="00C54645" w:rsidP="00FD1BB7">
            <w:pPr>
              <w:rPr>
                <w:rFonts w:asciiTheme="minorBidi" w:hAnsiTheme="minorBidi" w:cstheme="minorBidi"/>
                <w:b/>
                <w:color w:val="FFFFFF"/>
                <w:sz w:val="18"/>
                <w:szCs w:val="18"/>
              </w:rPr>
            </w:pPr>
            <w:r w:rsidRPr="00422210">
              <w:rPr>
                <w:rFonts w:asciiTheme="minorBidi" w:hAnsiTheme="minorBidi" w:cstheme="minorBidi"/>
                <w:color w:val="FFFFFF"/>
                <w:sz w:val="18"/>
                <w:szCs w:val="18"/>
              </w:rPr>
              <w:t>Increased integration and mainstreaming of sustainable ocean planning and management approaches</w:t>
            </w:r>
          </w:p>
        </w:tc>
        <w:tc>
          <w:tcPr>
            <w:tcW w:w="1722" w:type="dxa"/>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174E0475" w14:textId="77777777" w:rsidR="00C54645" w:rsidRPr="00422210" w:rsidRDefault="00C54645" w:rsidP="00FD1BB7">
            <w:pPr>
              <w:rPr>
                <w:rFonts w:asciiTheme="minorBidi" w:hAnsiTheme="minorBidi" w:cstheme="minorBidi"/>
                <w:color w:val="FFFFFF"/>
                <w:sz w:val="18"/>
                <w:szCs w:val="18"/>
              </w:rPr>
            </w:pPr>
            <w:r w:rsidRPr="00422210">
              <w:rPr>
                <w:rFonts w:asciiTheme="minorBidi" w:hAnsiTheme="minorBidi" w:cstheme="minorBidi"/>
                <w:color w:val="FFFFFF"/>
                <w:sz w:val="18"/>
                <w:szCs w:val="18"/>
              </w:rPr>
              <w:t>Improved observation, data, data frameworks and knowledge management for ecosystem-based management and sectoral applications</w:t>
            </w:r>
          </w:p>
        </w:tc>
        <w:tc>
          <w:tcPr>
            <w:tcW w:w="1275" w:type="dxa"/>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270DB41A" w14:textId="77777777" w:rsidR="00C54645" w:rsidRPr="00422210" w:rsidRDefault="00C54645" w:rsidP="00FD1BB7">
            <w:pPr>
              <w:rPr>
                <w:rFonts w:asciiTheme="minorBidi" w:hAnsiTheme="minorBidi" w:cstheme="minorBidi"/>
                <w:color w:val="FFFFFF"/>
                <w:sz w:val="18"/>
                <w:szCs w:val="18"/>
              </w:rPr>
            </w:pPr>
            <w:r w:rsidRPr="00422210">
              <w:rPr>
                <w:rFonts w:asciiTheme="minorBidi" w:hAnsiTheme="minorBidi" w:cstheme="minorBidi"/>
                <w:color w:val="FFFFFF"/>
                <w:sz w:val="18"/>
                <w:szCs w:val="18"/>
              </w:rPr>
              <w:t>Strengthened cross-sectoral and transboundary coordination</w:t>
            </w:r>
          </w:p>
        </w:tc>
        <w:tc>
          <w:tcPr>
            <w:tcW w:w="1320" w:type="dxa"/>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53C31ABE" w14:textId="77777777" w:rsidR="00C54645" w:rsidRPr="00422210" w:rsidRDefault="00C54645" w:rsidP="00FD1BB7">
            <w:pPr>
              <w:spacing w:after="160"/>
              <w:rPr>
                <w:rFonts w:asciiTheme="minorBidi" w:hAnsiTheme="minorBidi" w:cstheme="minorBidi"/>
                <w:color w:val="FFFFFF"/>
                <w:sz w:val="18"/>
                <w:szCs w:val="18"/>
              </w:rPr>
            </w:pPr>
            <w:r w:rsidRPr="00422210">
              <w:rPr>
                <w:rFonts w:asciiTheme="minorBidi" w:hAnsiTheme="minorBidi" w:cstheme="minorBidi"/>
                <w:color w:val="FFFFFF"/>
                <w:sz w:val="18"/>
                <w:szCs w:val="18"/>
              </w:rPr>
              <w:t>Expanded capacity development</w:t>
            </w:r>
          </w:p>
        </w:tc>
      </w:tr>
      <w:tr w:rsidR="003330BA" w14:paraId="3C8B2342" w14:textId="77777777" w:rsidTr="00FD32F7">
        <w:trPr>
          <w:trHeight w:val="231"/>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33FEA7"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The Global Ocean Observing System (GOOS)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BD3CFC"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77D97419"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47DA4A"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B8E48CA"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650002AC" w14:textId="77777777" w:rsidTr="00FD32F7">
        <w:trPr>
          <w:trHeight w:val="346"/>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D46575"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Data and Information - The International Oceanographic Data and Information Exchange (IODE)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45021C"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56EC664"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BD921E"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49B4DAF"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7F2A96CD" w14:textId="77777777" w:rsidTr="00FD32F7">
        <w:trPr>
          <w:trHeight w:val="219"/>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7360FE"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Ocean Biodiversity Information System (OBIS)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5CC851"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F7D8F4F"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EFB944"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A35CC3"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356D9340" w14:textId="77777777" w:rsidTr="00FD32F7">
        <w:trPr>
          <w:trHeight w:val="289"/>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E84151"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The General Bathymetric Chart of the Oceans (GEBCO) /Seabed 2030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1E8A3B"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AA9D00D"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9F5BA9"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8C538A"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7112B569" w14:textId="77777777" w:rsidTr="00FD32F7">
        <w:trPr>
          <w:trHeight w:val="513"/>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B6C7FB"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Joint WMO-IOC Centre for Oceanography and Marine Meteorology in situ Observations Programmes Support (OceanOPS)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22B7D5"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0F34371"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6F1073"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2D71A24"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7DE74779" w14:textId="77777777" w:rsidTr="00FD32F7">
        <w:trPr>
          <w:trHeight w:val="228"/>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C67148"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The Global Sea Level Observing System (GLOSS)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8F4C5F9"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15BD42C"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E77957"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D270B40"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7C83D6C6" w14:textId="77777777" w:rsidTr="00FD32F7">
        <w:trPr>
          <w:trHeight w:val="303"/>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ADFA20"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Harmful Algal Bloom Programme and related work on nutrients/coastal eutrophication/deoxygenation</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615932"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A79627"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638187B"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10FF702"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09E477E8" w14:textId="77777777" w:rsidTr="00FD32F7">
        <w:trPr>
          <w:trHeight w:val="291"/>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D35BF8"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Global Tsunami Early Warning and Mitigation Programme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F7C249E"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8958DFA"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C747BBA"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BB421E"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7F243C37" w14:textId="77777777" w:rsidTr="00FD32F7">
        <w:trPr>
          <w:trHeight w:val="270"/>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CD8AE44"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lastRenderedPageBreak/>
              <w:t xml:space="preserve">Tsunami Ready Programme </w:t>
            </w:r>
          </w:p>
        </w:tc>
        <w:tc>
          <w:tcPr>
            <w:tcW w:w="168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FA215E9"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82F4FC1"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A137D39"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B7D2F1"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0E7BB7BA" w14:textId="77777777" w:rsidTr="00FD32F7">
        <w:trPr>
          <w:trHeight w:val="285"/>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2713ED"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State of the Ocean Report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342E02"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6D5E46F"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A94AC4"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A6363F"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74A2FD64" w14:textId="77777777" w:rsidTr="00FD32F7">
        <w:trPr>
          <w:trHeight w:val="270"/>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440DD2"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Global Ocean Science Report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D3146B"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8C332A1"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79F13A"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281463"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5F7BF9DF" w14:textId="77777777" w:rsidTr="00FD32F7">
        <w:trPr>
          <w:trHeight w:val="263"/>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DFE6F5"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Contribution to the World Ocean Assessment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AC01C5"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CCCC852"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2DBEE4"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010725"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71F0130B" w14:textId="77777777" w:rsidTr="00FD32F7">
        <w:trPr>
          <w:trHeight w:val="270"/>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2DBB47"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Assessment of SDG 14 targets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764F6A"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8D146F7"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9C20B6"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9FBBB0"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1FD6DAAC" w14:textId="77777777" w:rsidTr="00FD32F7">
        <w:trPr>
          <w:trHeight w:val="270"/>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179179"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GESAMP assessments  </w:t>
            </w:r>
          </w:p>
        </w:tc>
        <w:tc>
          <w:tcPr>
            <w:tcW w:w="1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3487D3"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634BA4AF"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F9B14D"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13CE1B"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47BE8812" w14:textId="77777777" w:rsidTr="00FD32F7">
        <w:trPr>
          <w:trHeight w:val="30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8FAB84" w14:textId="54A2F649" w:rsidR="00C54645" w:rsidRPr="00422210" w:rsidRDefault="00314B59" w:rsidP="00422210">
            <w:pPr>
              <w:snapToGrid w:val="0"/>
              <w:spacing w:before="40" w:afterLines="40" w:after="96"/>
              <w:rPr>
                <w:rFonts w:asciiTheme="minorBidi" w:hAnsiTheme="minorBidi" w:cstheme="minorBidi"/>
                <w:sz w:val="18"/>
                <w:szCs w:val="18"/>
              </w:rPr>
            </w:pPr>
            <w:r w:rsidRPr="00314B59">
              <w:rPr>
                <w:rFonts w:asciiTheme="minorBidi" w:hAnsiTheme="minorBidi" w:cstheme="minorBidi"/>
                <w:sz w:val="18"/>
                <w:szCs w:val="18"/>
              </w:rPr>
              <w:t>Joint IOC &amp; DG MARE Marine Spatial Planning Global Programme (</w:t>
            </w:r>
            <w:proofErr w:type="spellStart"/>
            <w:r w:rsidRPr="00314B59">
              <w:rPr>
                <w:rFonts w:asciiTheme="minorBidi" w:hAnsiTheme="minorBidi" w:cstheme="minorBidi"/>
                <w:sz w:val="18"/>
                <w:szCs w:val="18"/>
              </w:rPr>
              <w:t>MSPglobal</w:t>
            </w:r>
            <w:proofErr w:type="spellEnd"/>
            <w:r w:rsidRPr="00314B59">
              <w:rPr>
                <w:rFonts w:asciiTheme="minorBidi" w:hAnsiTheme="minorBidi" w:cstheme="minorBidi"/>
                <w:sz w:val="18"/>
                <w:szCs w:val="18"/>
              </w:rPr>
              <w:t>)</w:t>
            </w:r>
          </w:p>
        </w:tc>
        <w:tc>
          <w:tcPr>
            <w:tcW w:w="168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72B38ED0"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6D7AB3AD"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74BE644"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5CD8044"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5E89BAB9" w14:textId="77777777" w:rsidTr="00FD32F7">
        <w:trPr>
          <w:trHeight w:val="30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76EC6F"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GEF International Water: LEARN products</w:t>
            </w:r>
          </w:p>
        </w:tc>
        <w:tc>
          <w:tcPr>
            <w:tcW w:w="168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4594C9F"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DD319F"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C59401"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6CBABC6"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323D1CBE" w14:textId="77777777" w:rsidTr="00FD32F7">
        <w:trPr>
          <w:trHeight w:val="493"/>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CD2558" w14:textId="2460A789" w:rsidR="00C54645" w:rsidRPr="00422210" w:rsidRDefault="00C54645" w:rsidP="00422210">
            <w:pPr>
              <w:snapToGrid w:val="0"/>
              <w:spacing w:before="40" w:afterLines="40" w:after="96"/>
              <w:rPr>
                <w:rFonts w:asciiTheme="minorBidi" w:hAnsiTheme="minorBidi" w:cstheme="minorBidi"/>
                <w:sz w:val="18"/>
                <w:szCs w:val="18"/>
              </w:rPr>
            </w:pPr>
            <w:proofErr w:type="spellStart"/>
            <w:r w:rsidRPr="00422210">
              <w:rPr>
                <w:rFonts w:asciiTheme="minorBidi" w:hAnsiTheme="minorBidi" w:cstheme="minorBidi"/>
                <w:sz w:val="18"/>
                <w:szCs w:val="18"/>
              </w:rPr>
              <w:t>OceanTeacher</w:t>
            </w:r>
            <w:proofErr w:type="spellEnd"/>
            <w:r w:rsidRPr="00422210">
              <w:rPr>
                <w:rFonts w:asciiTheme="minorBidi" w:hAnsiTheme="minorBidi" w:cstheme="minorBidi"/>
                <w:sz w:val="18"/>
                <w:szCs w:val="18"/>
              </w:rPr>
              <w:t xml:space="preserve"> Global Academy and other IOC Capacity development services/facilities (e</w:t>
            </w:r>
            <w:r w:rsidR="00422210">
              <w:rPr>
                <w:rFonts w:asciiTheme="minorBidi" w:hAnsiTheme="minorBidi" w:cstheme="minorBidi"/>
                <w:sz w:val="18"/>
                <w:szCs w:val="18"/>
              </w:rPr>
              <w:t>.</w:t>
            </w:r>
            <w:r w:rsidRPr="00422210">
              <w:rPr>
                <w:rFonts w:asciiTheme="minorBidi" w:hAnsiTheme="minorBidi" w:cstheme="minorBidi"/>
                <w:sz w:val="18"/>
                <w:szCs w:val="18"/>
              </w:rPr>
              <w:t>g</w:t>
            </w:r>
            <w:r w:rsidR="00422210">
              <w:rPr>
                <w:rFonts w:asciiTheme="minorBidi" w:hAnsiTheme="minorBidi" w:cstheme="minorBidi"/>
                <w:sz w:val="18"/>
                <w:szCs w:val="18"/>
              </w:rPr>
              <w:t>.</w:t>
            </w:r>
            <w:r w:rsidRPr="00422210">
              <w:rPr>
                <w:rFonts w:asciiTheme="minorBidi" w:hAnsiTheme="minorBidi" w:cstheme="minorBidi"/>
                <w:sz w:val="18"/>
                <w:szCs w:val="18"/>
              </w:rPr>
              <w:t xml:space="preserve"> Ocean CD-Hub, etc</w:t>
            </w:r>
            <w:r w:rsidR="00422210">
              <w:rPr>
                <w:rFonts w:asciiTheme="minorBidi" w:hAnsiTheme="minorBidi" w:cstheme="minorBidi"/>
                <w:sz w:val="18"/>
                <w:szCs w:val="18"/>
              </w:rPr>
              <w:t>.</w:t>
            </w:r>
            <w:r w:rsidRPr="00422210">
              <w:rPr>
                <w:rFonts w:asciiTheme="minorBidi" w:hAnsiTheme="minorBidi" w:cstheme="minorBidi"/>
                <w:sz w:val="18"/>
                <w:szCs w:val="18"/>
              </w:rPr>
              <w:t xml:space="preserve">) </w:t>
            </w:r>
          </w:p>
        </w:tc>
        <w:tc>
          <w:tcPr>
            <w:tcW w:w="168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D1E8E84"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4E26DD"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3595A5"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7BABEF8"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765E975A" w14:textId="77777777" w:rsidTr="00FD32F7">
        <w:trPr>
          <w:trHeight w:val="31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846708"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Ocean Literacy programme</w:t>
            </w:r>
          </w:p>
        </w:tc>
        <w:tc>
          <w:tcPr>
            <w:tcW w:w="168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B719F16"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F0C82A"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3BBD70"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EDF44C9"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502E14C5" w14:textId="77777777" w:rsidTr="00FD32F7">
        <w:trPr>
          <w:trHeight w:val="225"/>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E14AB6"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UNESCO Category 2 Centres</w:t>
            </w:r>
          </w:p>
        </w:tc>
        <w:tc>
          <w:tcPr>
            <w:tcW w:w="168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EFBFB10"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DB7193"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A0E94D"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C22DABB" w14:textId="77777777" w:rsidR="00C54645" w:rsidRPr="00422210" w:rsidRDefault="00C54645" w:rsidP="00422210">
            <w:pPr>
              <w:snapToGrid w:val="0"/>
              <w:spacing w:before="40" w:afterLines="40" w:after="96"/>
              <w:rPr>
                <w:rFonts w:asciiTheme="minorBidi" w:hAnsiTheme="minorBidi" w:cstheme="minorBidi"/>
                <w:sz w:val="18"/>
                <w:szCs w:val="18"/>
              </w:rPr>
            </w:pPr>
          </w:p>
        </w:tc>
      </w:tr>
      <w:tr w:rsidR="003330BA" w14:paraId="2DDFAAC3" w14:textId="77777777" w:rsidTr="00FD32F7">
        <w:trPr>
          <w:trHeight w:val="270"/>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DFA56E" w14:textId="77777777" w:rsidR="00C54645" w:rsidRPr="00422210" w:rsidRDefault="00C54645" w:rsidP="00422210">
            <w:pPr>
              <w:snapToGrid w:val="0"/>
              <w:spacing w:before="40" w:afterLines="40" w:after="96"/>
              <w:rPr>
                <w:rFonts w:asciiTheme="minorBidi" w:hAnsiTheme="minorBidi" w:cstheme="minorBidi"/>
                <w:sz w:val="18"/>
                <w:szCs w:val="18"/>
              </w:rPr>
            </w:pPr>
            <w:r w:rsidRPr="00422210">
              <w:rPr>
                <w:rFonts w:asciiTheme="minorBidi" w:hAnsiTheme="minorBidi" w:cstheme="minorBidi"/>
                <w:sz w:val="18"/>
                <w:szCs w:val="18"/>
              </w:rPr>
              <w:t xml:space="preserve">Early Career Ocean Professionals (ECOPs) network </w:t>
            </w:r>
          </w:p>
        </w:tc>
        <w:tc>
          <w:tcPr>
            <w:tcW w:w="168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8DA3AF7"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72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14CC94"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3F9221B" w14:textId="77777777" w:rsidR="00C54645" w:rsidRPr="00422210" w:rsidRDefault="00C54645" w:rsidP="00422210">
            <w:pPr>
              <w:snapToGrid w:val="0"/>
              <w:spacing w:before="40" w:afterLines="40" w:after="96"/>
              <w:rPr>
                <w:rFonts w:asciiTheme="minorBidi" w:hAnsiTheme="minorBidi" w:cstheme="minorBidi"/>
                <w:sz w:val="18"/>
                <w:szCs w:val="18"/>
              </w:rPr>
            </w:pPr>
          </w:p>
        </w:tc>
        <w:tc>
          <w:tcPr>
            <w:tcW w:w="132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79E4592" w14:textId="77777777" w:rsidR="00C54645" w:rsidRPr="00422210" w:rsidRDefault="00C54645" w:rsidP="00422210">
            <w:pPr>
              <w:snapToGrid w:val="0"/>
              <w:spacing w:before="40" w:afterLines="40" w:after="96"/>
              <w:rPr>
                <w:rFonts w:asciiTheme="minorBidi" w:hAnsiTheme="minorBidi" w:cstheme="minorBidi"/>
                <w:sz w:val="18"/>
                <w:szCs w:val="18"/>
              </w:rPr>
            </w:pPr>
          </w:p>
        </w:tc>
      </w:tr>
    </w:tbl>
    <w:p w14:paraId="63C2F47A" w14:textId="1C9D56DC" w:rsidR="00C54645" w:rsidRDefault="00C54645" w:rsidP="00FD32F7">
      <w:pPr>
        <w:rPr>
          <w:b/>
        </w:rPr>
      </w:pPr>
    </w:p>
    <w:p w14:paraId="5B19FF46" w14:textId="0CA6E076" w:rsidR="000246AA" w:rsidRDefault="000246AA" w:rsidP="00FD32F7">
      <w:pPr>
        <w:rPr>
          <w:b/>
        </w:rPr>
      </w:pPr>
    </w:p>
    <w:p w14:paraId="78FDCA0F" w14:textId="3B3D8E52" w:rsidR="000246AA" w:rsidRDefault="000246AA" w:rsidP="00FD32F7">
      <w:pPr>
        <w:rPr>
          <w:b/>
        </w:rPr>
      </w:pPr>
    </w:p>
    <w:p w14:paraId="36B0DF1A" w14:textId="77777777" w:rsidR="000246AA" w:rsidRPr="00C54645" w:rsidRDefault="000246AA" w:rsidP="00A84818">
      <w:pPr>
        <w:spacing w:after="240"/>
        <w:rPr>
          <w:b/>
        </w:rPr>
      </w:pPr>
    </w:p>
    <w:sectPr w:rsidR="000246AA" w:rsidRPr="00C54645" w:rsidSect="00FA4098">
      <w:headerReference w:type="even" r:id="rId17"/>
      <w:headerReference w:type="default" r:id="rId18"/>
      <w:headerReference w:type="first" r:id="rId19"/>
      <w:type w:val="oddPage"/>
      <w:pgSz w:w="11900" w:h="16840"/>
      <w:pgMar w:top="1440" w:right="1135" w:bottom="144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A6B6" w14:textId="77777777" w:rsidR="002F5EF7" w:rsidRPr="00241215" w:rsidRDefault="002F5EF7" w:rsidP="009F5F54">
      <w:r w:rsidRPr="00241215">
        <w:separator/>
      </w:r>
    </w:p>
  </w:endnote>
  <w:endnote w:type="continuationSeparator" w:id="0">
    <w:p w14:paraId="0A5E75B5" w14:textId="77777777" w:rsidR="002F5EF7" w:rsidRPr="00241215" w:rsidRDefault="002F5EF7" w:rsidP="009F5F54">
      <w:r w:rsidRPr="00241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45A6" w14:textId="77777777" w:rsidR="002F5EF7" w:rsidRPr="00241215" w:rsidRDefault="002F5EF7" w:rsidP="009F5F54">
      <w:r w:rsidRPr="00241215">
        <w:separator/>
      </w:r>
    </w:p>
  </w:footnote>
  <w:footnote w:type="continuationSeparator" w:id="0">
    <w:p w14:paraId="283E784F" w14:textId="77777777" w:rsidR="002F5EF7" w:rsidRPr="00241215" w:rsidRDefault="002F5EF7" w:rsidP="009F5F54">
      <w:r w:rsidRPr="00241215">
        <w:continuationSeparator/>
      </w:r>
    </w:p>
  </w:footnote>
  <w:footnote w:id="1">
    <w:p w14:paraId="6E9EBEBB" w14:textId="5B63C547" w:rsidR="00C54645" w:rsidRPr="00716ED5" w:rsidRDefault="00C54645" w:rsidP="00716ED5">
      <w:pPr>
        <w:spacing w:after="120"/>
        <w:rPr>
          <w:rFonts w:asciiTheme="minorBidi" w:hAnsiTheme="minorBidi" w:cstheme="minorBidi"/>
          <w:sz w:val="18"/>
          <w:szCs w:val="18"/>
        </w:rPr>
      </w:pPr>
      <w:r w:rsidRPr="00716ED5">
        <w:rPr>
          <w:rStyle w:val="FootnoteReference"/>
          <w:rFonts w:asciiTheme="minorBidi" w:hAnsiTheme="minorBidi" w:cstheme="minorBidi"/>
          <w:sz w:val="18"/>
          <w:szCs w:val="18"/>
        </w:rPr>
        <w:footnoteRef/>
      </w:r>
      <w:r w:rsidRPr="00716ED5">
        <w:rPr>
          <w:rFonts w:asciiTheme="minorBidi" w:hAnsiTheme="minorBidi" w:cstheme="minorBidi"/>
          <w:sz w:val="18"/>
          <w:szCs w:val="18"/>
        </w:rPr>
        <w:t xml:space="preserve"> ‘Data framework refers to an organised approach to managing and handling data throughout its lifecycle, including the collection, storage, processing, analysis, and dissemination of data. It includes data management tools such as guidelines and policies</w:t>
      </w:r>
      <w:r w:rsidR="00192C43">
        <w:rPr>
          <w:rFonts w:asciiTheme="minorBidi" w:hAnsiTheme="minorBidi" w:cstheme="minorBidi"/>
          <w:sz w:val="18"/>
          <w:szCs w:val="18"/>
        </w:rPr>
        <w:t>.</w:t>
      </w:r>
      <w:r w:rsidRPr="00716ED5">
        <w:rPr>
          <w:rFonts w:asciiTheme="minorBidi" w:hAnsiTheme="minorBidi" w:cstheme="minorBidi"/>
          <w:sz w:val="18"/>
          <w:szCs w:val="18"/>
        </w:rPr>
        <w:t xml:space="preserve"> </w:t>
      </w:r>
    </w:p>
  </w:footnote>
  <w:footnote w:id="2">
    <w:p w14:paraId="5B0804CB" w14:textId="77777777" w:rsidR="00C54645" w:rsidRPr="00716ED5" w:rsidRDefault="00C54645" w:rsidP="00C54645">
      <w:pPr>
        <w:pBdr>
          <w:top w:val="nil"/>
          <w:left w:val="nil"/>
          <w:bottom w:val="nil"/>
          <w:right w:val="nil"/>
          <w:between w:val="nil"/>
        </w:pBdr>
        <w:rPr>
          <w:rFonts w:asciiTheme="minorBidi" w:hAnsiTheme="minorBidi" w:cstheme="minorBidi"/>
          <w:color w:val="000000"/>
          <w:sz w:val="18"/>
          <w:szCs w:val="18"/>
        </w:rPr>
      </w:pPr>
      <w:r w:rsidRPr="00716ED5">
        <w:rPr>
          <w:rStyle w:val="FootnoteReference"/>
          <w:rFonts w:asciiTheme="minorBidi" w:hAnsiTheme="minorBidi" w:cstheme="minorBidi"/>
          <w:sz w:val="18"/>
          <w:szCs w:val="18"/>
        </w:rPr>
        <w:footnoteRef/>
      </w:r>
      <w:r w:rsidRPr="00716ED5">
        <w:rPr>
          <w:rFonts w:asciiTheme="minorBidi" w:eastAsia="Arial" w:hAnsiTheme="minorBidi" w:cstheme="minorBidi"/>
          <w:color w:val="000000"/>
          <w:sz w:val="18"/>
          <w:szCs w:val="18"/>
        </w:rPr>
        <w:t xml:space="preserve"> </w:t>
      </w:r>
      <w:r w:rsidRPr="00716ED5">
        <w:rPr>
          <w:rFonts w:asciiTheme="minorBidi" w:hAnsiTheme="minorBidi" w:cstheme="minorBidi"/>
          <w:sz w:val="18"/>
          <w:szCs w:val="18"/>
        </w:rPr>
        <w:t>United Nations Economist Network</w:t>
      </w:r>
      <w:r w:rsidRPr="00716ED5">
        <w:rPr>
          <w:rFonts w:asciiTheme="minorBidi" w:eastAsia="Arial" w:hAnsiTheme="minorBidi" w:cstheme="minorBidi"/>
          <w:color w:val="000000"/>
          <w:sz w:val="18"/>
          <w:szCs w:val="18"/>
        </w:rPr>
        <w:t xml:space="preserve">, </w:t>
      </w:r>
      <w:r w:rsidRPr="00716ED5">
        <w:rPr>
          <w:rFonts w:asciiTheme="minorBidi" w:hAnsiTheme="minorBidi" w:cstheme="minorBidi"/>
          <w:sz w:val="18"/>
          <w:szCs w:val="18"/>
        </w:rPr>
        <w:t>“New Economics for Sustainable Development: Sustainable Ocean Economy</w:t>
      </w:r>
      <w:r w:rsidRPr="00716ED5">
        <w:rPr>
          <w:rFonts w:asciiTheme="minorBidi" w:eastAsia="Arial" w:hAnsiTheme="minorBidi" w:cstheme="minorBidi"/>
          <w:color w:val="000000"/>
          <w:sz w:val="18"/>
          <w:szCs w:val="18"/>
        </w:rPr>
        <w:t>” (20</w:t>
      </w:r>
      <w:r w:rsidRPr="00716ED5">
        <w:rPr>
          <w:rFonts w:asciiTheme="minorBidi" w:hAnsiTheme="minorBidi" w:cstheme="minorBidi"/>
          <w:sz w:val="18"/>
          <w:szCs w:val="18"/>
        </w:rPr>
        <w:t>23</w:t>
      </w:r>
      <w:r w:rsidRPr="00716ED5">
        <w:rPr>
          <w:rFonts w:asciiTheme="minorBidi" w:eastAsia="Arial" w:hAnsiTheme="minorBidi" w:cstheme="minorBidi"/>
          <w:color w:val="000000"/>
          <w:sz w:val="18"/>
          <w:szCs w:val="18"/>
        </w:rPr>
        <w:t>)</w:t>
      </w:r>
    </w:p>
  </w:footnote>
  <w:footnote w:id="3">
    <w:p w14:paraId="5DACB922" w14:textId="679A480C" w:rsidR="00C54645" w:rsidRPr="00716ED5" w:rsidRDefault="00C54645" w:rsidP="00C54645">
      <w:pPr>
        <w:rPr>
          <w:rFonts w:ascii="Arial" w:hAnsi="Arial" w:cs="Arial"/>
          <w:sz w:val="18"/>
          <w:szCs w:val="18"/>
        </w:rPr>
      </w:pPr>
      <w:r w:rsidRPr="00716ED5">
        <w:rPr>
          <w:rStyle w:val="FootnoteReference"/>
          <w:rFonts w:cs="Arial"/>
          <w:sz w:val="18"/>
          <w:szCs w:val="18"/>
        </w:rPr>
        <w:footnoteRef/>
      </w:r>
      <w:r w:rsidRPr="00716ED5">
        <w:rPr>
          <w:rFonts w:ascii="Arial" w:hAnsi="Arial" w:cs="Arial"/>
          <w:sz w:val="18"/>
          <w:szCs w:val="18"/>
        </w:rPr>
        <w:t xml:space="preserve"> IOC-UNESCO, </w:t>
      </w:r>
      <w:r w:rsidR="0019023C" w:rsidRPr="0019023C">
        <w:rPr>
          <w:rFonts w:ascii="Arial" w:hAnsi="Arial" w:cs="Arial"/>
          <w:i/>
          <w:iCs/>
          <w:sz w:val="18"/>
          <w:szCs w:val="18"/>
        </w:rPr>
        <w:t>Second edition of the IOC State of the Ocean Report (StOR)</w:t>
      </w:r>
      <w:r w:rsidR="0019023C" w:rsidRPr="0019023C" w:rsidDel="0019023C">
        <w:rPr>
          <w:rFonts w:ascii="Arial" w:hAnsi="Arial" w:cs="Arial"/>
          <w:i/>
          <w:iCs/>
          <w:sz w:val="18"/>
          <w:szCs w:val="18"/>
        </w:rPr>
        <w:t xml:space="preserve"> </w:t>
      </w:r>
      <w:r w:rsidRPr="00716ED5">
        <w:rPr>
          <w:rFonts w:ascii="Arial" w:hAnsi="Arial" w:cs="Arial"/>
          <w:sz w:val="18"/>
          <w:szCs w:val="18"/>
        </w:rPr>
        <w:t>(2024)</w:t>
      </w:r>
    </w:p>
  </w:footnote>
  <w:footnote w:id="4">
    <w:p w14:paraId="6E6132DA" w14:textId="66D794B0" w:rsidR="00750C34" w:rsidRPr="00AB65D5" w:rsidRDefault="00750C34">
      <w:pPr>
        <w:pStyle w:val="FootnoteText"/>
        <w:rPr>
          <w:rFonts w:ascii="Arial" w:hAnsi="Arial" w:cs="Arial"/>
        </w:rPr>
      </w:pPr>
      <w:r w:rsidRPr="00AB65D5">
        <w:rPr>
          <w:rStyle w:val="FootnoteReference"/>
          <w:rFonts w:cs="Arial"/>
          <w:sz w:val="18"/>
          <w:szCs w:val="18"/>
        </w:rPr>
        <w:footnoteRef/>
      </w:r>
      <w:r w:rsidRPr="00AB65D5">
        <w:rPr>
          <w:rFonts w:ascii="Arial" w:hAnsi="Arial" w:cs="Arial"/>
          <w:sz w:val="18"/>
          <w:szCs w:val="18"/>
        </w:rPr>
        <w:t xml:space="preserve"> </w:t>
      </w:r>
      <w:r w:rsidR="00AB65D5" w:rsidRPr="00AB65D5">
        <w:rPr>
          <w:rFonts w:ascii="Arial" w:hAnsi="Arial" w:cs="Arial"/>
          <w:sz w:val="18"/>
          <w:szCs w:val="18"/>
        </w:rPr>
        <w:t>The strategy will be implemented in line with international law including United Nations Convention on the Law of the Sea (UNCLOS)</w:t>
      </w:r>
    </w:p>
  </w:footnote>
  <w:footnote w:id="5">
    <w:p w14:paraId="2C38BF77" w14:textId="77777777" w:rsidR="00C54645" w:rsidRPr="00716ED5" w:rsidRDefault="00C54645" w:rsidP="008C64E8">
      <w:pPr>
        <w:spacing w:after="40"/>
        <w:rPr>
          <w:rFonts w:ascii="Arial" w:hAnsi="Arial" w:cs="Arial"/>
          <w:sz w:val="18"/>
          <w:szCs w:val="18"/>
        </w:rPr>
      </w:pPr>
      <w:r w:rsidRPr="00716ED5">
        <w:rPr>
          <w:rStyle w:val="FootnoteReference"/>
          <w:rFonts w:cs="Arial"/>
          <w:sz w:val="18"/>
          <w:szCs w:val="18"/>
        </w:rPr>
        <w:footnoteRef/>
      </w:r>
      <w:r w:rsidRPr="00716ED5">
        <w:rPr>
          <w:rFonts w:ascii="Arial" w:hAnsi="Arial" w:cs="Arial"/>
          <w:sz w:val="18"/>
          <w:szCs w:val="18"/>
        </w:rPr>
        <w:t xml:space="preserve"> FAIR: findability, accessibility, interoperability, and reusability. Wilkinson, M., Dumontier, M., Aalbersberg, I. et al. (2016)</w:t>
      </w:r>
    </w:p>
  </w:footnote>
  <w:footnote w:id="6">
    <w:p w14:paraId="181606FC" w14:textId="32879AE5" w:rsidR="00C54645" w:rsidRPr="00716ED5" w:rsidRDefault="00C54645" w:rsidP="008C64E8">
      <w:pPr>
        <w:spacing w:after="40"/>
        <w:rPr>
          <w:rFonts w:ascii="Arial" w:hAnsi="Arial" w:cs="Arial"/>
          <w:sz w:val="18"/>
          <w:szCs w:val="18"/>
        </w:rPr>
      </w:pPr>
      <w:r w:rsidRPr="00716ED5">
        <w:rPr>
          <w:rStyle w:val="FootnoteReference"/>
          <w:rFonts w:cs="Arial"/>
          <w:sz w:val="18"/>
          <w:szCs w:val="18"/>
        </w:rPr>
        <w:footnoteRef/>
      </w:r>
      <w:r w:rsidRPr="00716ED5">
        <w:rPr>
          <w:rFonts w:ascii="Arial" w:hAnsi="Arial" w:cs="Arial"/>
          <w:sz w:val="18"/>
          <w:szCs w:val="18"/>
        </w:rPr>
        <w:t xml:space="preserve"> The coordination and alignment of activities and policies across different industry sectors, such as fisheries, shipping, and tourism, to achieve a unified approach to ocean planning</w:t>
      </w:r>
      <w:r w:rsidR="008363BE">
        <w:rPr>
          <w:rFonts w:ascii="Arial" w:hAnsi="Arial" w:cs="Arial"/>
          <w:sz w:val="18"/>
          <w:szCs w:val="18"/>
        </w:rPr>
        <w:t>.</w:t>
      </w:r>
    </w:p>
  </w:footnote>
  <w:footnote w:id="7">
    <w:p w14:paraId="2016A15A" w14:textId="77777777" w:rsidR="00C54645" w:rsidRPr="00716ED5" w:rsidRDefault="00C54645" w:rsidP="00716ED5">
      <w:pPr>
        <w:spacing w:after="120"/>
        <w:rPr>
          <w:sz w:val="18"/>
          <w:szCs w:val="18"/>
        </w:rPr>
      </w:pPr>
      <w:r w:rsidRPr="00716ED5">
        <w:rPr>
          <w:rStyle w:val="FootnoteReference"/>
          <w:rFonts w:cs="Arial"/>
          <w:sz w:val="18"/>
          <w:szCs w:val="18"/>
        </w:rPr>
        <w:footnoteRef/>
      </w:r>
      <w:r w:rsidRPr="00716ED5">
        <w:rPr>
          <w:rFonts w:ascii="Arial" w:hAnsi="Arial" w:cs="Arial"/>
          <w:sz w:val="18"/>
          <w:szCs w:val="18"/>
        </w:rPr>
        <w:t xml:space="preserve"> The cooperation between neighbouring countries or regions to manage shared marine environments and resources. It is essential for addressing issues that span national borders, such as migratory marine species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1175" w14:textId="63D50DD7" w:rsidR="00D215B0" w:rsidRPr="00A84818" w:rsidRDefault="00D215B0">
    <w:pPr>
      <w:pStyle w:val="Header"/>
      <w:rPr>
        <w:rFonts w:ascii="Arial" w:hAnsi="Arial" w:cs="Arial"/>
        <w:sz w:val="22"/>
        <w:szCs w:val="22"/>
        <w:lang w:val="fr-FR"/>
      </w:rPr>
    </w:pPr>
    <w:r w:rsidRPr="00A84818">
      <w:rPr>
        <w:rFonts w:ascii="Arial" w:hAnsi="Arial" w:cs="Arial"/>
        <w:sz w:val="22"/>
        <w:szCs w:val="22"/>
        <w:lang w:val="fr-FR"/>
      </w:rPr>
      <w:t>IOC/EC-57/4</w:t>
    </w:r>
    <w:r w:rsidR="008D7306" w:rsidRPr="00A84818">
      <w:rPr>
        <w:rFonts w:ascii="Arial" w:hAnsi="Arial" w:cs="Arial"/>
        <w:sz w:val="22"/>
        <w:szCs w:val="22"/>
        <w:lang w:val="fr-FR"/>
      </w:rPr>
      <w:t>.</w:t>
    </w:r>
    <w:proofErr w:type="gramStart"/>
    <w:r w:rsidR="00C54645" w:rsidRPr="00A84818">
      <w:rPr>
        <w:rFonts w:ascii="Arial" w:hAnsi="Arial" w:cs="Arial"/>
        <w:sz w:val="22"/>
        <w:szCs w:val="22"/>
        <w:lang w:val="fr-FR"/>
      </w:rPr>
      <w:t>3</w:t>
    </w:r>
    <w:r w:rsidRPr="00A84818">
      <w:rPr>
        <w:rFonts w:ascii="Arial" w:hAnsi="Arial" w:cs="Arial"/>
        <w:sz w:val="22"/>
        <w:szCs w:val="22"/>
        <w:lang w:val="fr-FR"/>
      </w:rPr>
      <w:t>.Doc</w:t>
    </w:r>
    <w:proofErr w:type="gramEnd"/>
    <w:r w:rsidRPr="00A84818">
      <w:rPr>
        <w:rFonts w:ascii="Arial" w:hAnsi="Arial" w:cs="Arial"/>
        <w:sz w:val="22"/>
        <w:szCs w:val="22"/>
        <w:lang w:val="fr-FR"/>
      </w:rPr>
      <w:t>(1)</w:t>
    </w:r>
    <w:r w:rsidR="009330C6" w:rsidRPr="00A84818">
      <w:rPr>
        <w:rFonts w:ascii="Arial" w:hAnsi="Arial" w:cs="Arial"/>
        <w:sz w:val="22"/>
        <w:szCs w:val="22"/>
        <w:lang w:val="fr-FR"/>
      </w:rPr>
      <w:t> </w:t>
    </w:r>
    <w:proofErr w:type="spellStart"/>
    <w:r w:rsidR="009330C6" w:rsidRPr="00A84818">
      <w:rPr>
        <w:rFonts w:ascii="Arial" w:hAnsi="Arial" w:cs="Arial"/>
        <w:sz w:val="22"/>
        <w:szCs w:val="22"/>
        <w:lang w:val="fr-FR"/>
      </w:rPr>
      <w:t>Rev</w:t>
    </w:r>
    <w:proofErr w:type="spellEnd"/>
    <w:r w:rsidR="009330C6" w:rsidRPr="00A84818">
      <w:rPr>
        <w:rFonts w:ascii="Arial" w:hAnsi="Arial" w:cs="Arial"/>
        <w:sz w:val="22"/>
        <w:szCs w:val="22"/>
        <w:lang w:val="fr-FR"/>
      </w:rPr>
      <w:t>.</w:t>
    </w:r>
    <w:r w:rsidRPr="00A84818">
      <w:rPr>
        <w:rFonts w:ascii="Arial" w:hAnsi="Arial" w:cs="Arial"/>
        <w:sz w:val="22"/>
        <w:szCs w:val="22"/>
        <w:lang w:val="fr-FR"/>
      </w:rPr>
      <w:t xml:space="preserve"> – page </w:t>
    </w:r>
    <w:r w:rsidRPr="00716ED5">
      <w:rPr>
        <w:rFonts w:ascii="Arial" w:hAnsi="Arial" w:cs="Arial"/>
        <w:sz w:val="22"/>
        <w:szCs w:val="22"/>
      </w:rPr>
      <w:fldChar w:fldCharType="begin"/>
    </w:r>
    <w:r w:rsidRPr="00A84818">
      <w:rPr>
        <w:rFonts w:ascii="Arial" w:hAnsi="Arial" w:cs="Arial"/>
        <w:sz w:val="22"/>
        <w:szCs w:val="22"/>
        <w:lang w:val="fr-FR"/>
      </w:rPr>
      <w:instrText xml:space="preserve"> PAGE   \* MERGEFORMAT </w:instrText>
    </w:r>
    <w:r w:rsidRPr="00716ED5">
      <w:rPr>
        <w:rFonts w:ascii="Arial" w:hAnsi="Arial" w:cs="Arial"/>
        <w:sz w:val="22"/>
        <w:szCs w:val="22"/>
      </w:rPr>
      <w:fldChar w:fldCharType="separate"/>
    </w:r>
    <w:r w:rsidRPr="00A84818">
      <w:rPr>
        <w:rFonts w:ascii="Arial" w:hAnsi="Arial" w:cs="Arial"/>
        <w:sz w:val="22"/>
        <w:szCs w:val="22"/>
        <w:lang w:val="fr-FR"/>
      </w:rPr>
      <w:t>1</w:t>
    </w:r>
    <w:r w:rsidRPr="00716ED5">
      <w:rPr>
        <w:rFonts w:ascii="Arial" w:hAnsi="Arial" w:cs="Arial"/>
        <w:sz w:val="22"/>
        <w:szCs w:val="22"/>
      </w:rPr>
      <w:fldChar w:fldCharType="end"/>
    </w:r>
  </w:p>
  <w:p w14:paraId="68876C15" w14:textId="77777777" w:rsidR="00411777" w:rsidRPr="00A84818" w:rsidRDefault="00411777">
    <w:pP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155E" w14:textId="42C7CC34" w:rsidR="009F5F54" w:rsidRPr="00A84818" w:rsidRDefault="008B5D7C" w:rsidP="00FA4098">
    <w:pPr>
      <w:pStyle w:val="Header"/>
      <w:tabs>
        <w:tab w:val="clear" w:pos="9360"/>
      </w:tabs>
      <w:ind w:right="-8"/>
      <w:jc w:val="right"/>
      <w:rPr>
        <w:szCs w:val="20"/>
        <w:lang w:val="fr-FR"/>
      </w:rPr>
    </w:pPr>
    <w:r w:rsidRPr="00A84818">
      <w:rPr>
        <w:rFonts w:ascii="Arial" w:hAnsi="Arial" w:cs="Arial"/>
        <w:sz w:val="22"/>
        <w:szCs w:val="22"/>
        <w:lang w:val="fr-FR"/>
      </w:rPr>
      <w:t>IOC/EC-57/4</w:t>
    </w:r>
    <w:r w:rsidR="008D7306" w:rsidRPr="00A84818">
      <w:rPr>
        <w:rFonts w:ascii="Arial" w:hAnsi="Arial" w:cs="Arial"/>
        <w:sz w:val="22"/>
        <w:szCs w:val="22"/>
        <w:lang w:val="fr-FR"/>
      </w:rPr>
      <w:t>.</w:t>
    </w:r>
    <w:proofErr w:type="gramStart"/>
    <w:r w:rsidR="00C54645" w:rsidRPr="00A84818">
      <w:rPr>
        <w:rFonts w:ascii="Arial" w:hAnsi="Arial" w:cs="Arial"/>
        <w:sz w:val="22"/>
        <w:szCs w:val="22"/>
        <w:lang w:val="fr-FR"/>
      </w:rPr>
      <w:t>3</w:t>
    </w:r>
    <w:r w:rsidRPr="00A84818">
      <w:rPr>
        <w:rFonts w:ascii="Arial" w:hAnsi="Arial" w:cs="Arial"/>
        <w:sz w:val="22"/>
        <w:szCs w:val="22"/>
        <w:lang w:val="fr-FR"/>
      </w:rPr>
      <w:t>.Doc</w:t>
    </w:r>
    <w:proofErr w:type="gramEnd"/>
    <w:r w:rsidRPr="00A84818">
      <w:rPr>
        <w:rFonts w:ascii="Arial" w:hAnsi="Arial" w:cs="Arial"/>
        <w:sz w:val="22"/>
        <w:szCs w:val="22"/>
        <w:lang w:val="fr-FR"/>
      </w:rPr>
      <w:t xml:space="preserve">(1) </w:t>
    </w:r>
    <w:proofErr w:type="spellStart"/>
    <w:r w:rsidR="009330C6" w:rsidRPr="00A84818">
      <w:rPr>
        <w:rFonts w:ascii="Arial" w:hAnsi="Arial" w:cs="Arial"/>
        <w:sz w:val="22"/>
        <w:szCs w:val="22"/>
        <w:lang w:val="fr-FR"/>
      </w:rPr>
      <w:t>Rev</w:t>
    </w:r>
    <w:proofErr w:type="spellEnd"/>
    <w:r w:rsidR="009330C6" w:rsidRPr="00A84818">
      <w:rPr>
        <w:rFonts w:ascii="Arial" w:hAnsi="Arial" w:cs="Arial"/>
        <w:sz w:val="22"/>
        <w:szCs w:val="22"/>
        <w:lang w:val="fr-FR"/>
      </w:rPr>
      <w:t>.</w:t>
    </w:r>
    <w:r w:rsidR="009330C6">
      <w:rPr>
        <w:rFonts w:ascii="Arial" w:hAnsi="Arial" w:cs="Arial"/>
        <w:sz w:val="22"/>
        <w:szCs w:val="22"/>
        <w:lang w:val="fr-FR"/>
      </w:rPr>
      <w:t xml:space="preserve"> </w:t>
    </w:r>
    <w:r w:rsidRPr="00A84818">
      <w:rPr>
        <w:rFonts w:ascii="Arial" w:hAnsi="Arial" w:cs="Arial"/>
        <w:sz w:val="22"/>
        <w:szCs w:val="22"/>
        <w:lang w:val="fr-FR"/>
      </w:rPr>
      <w:t xml:space="preserve">– page </w:t>
    </w:r>
    <w:r w:rsidRPr="00716ED5">
      <w:rPr>
        <w:rFonts w:ascii="Arial" w:hAnsi="Arial" w:cs="Arial"/>
        <w:sz w:val="22"/>
        <w:szCs w:val="22"/>
      </w:rPr>
      <w:fldChar w:fldCharType="begin"/>
    </w:r>
    <w:r w:rsidRPr="00A84818">
      <w:rPr>
        <w:rFonts w:ascii="Arial" w:hAnsi="Arial" w:cs="Arial"/>
        <w:sz w:val="22"/>
        <w:szCs w:val="22"/>
        <w:lang w:val="fr-FR"/>
      </w:rPr>
      <w:instrText xml:space="preserve"> PAGE   \* MERGEFORMAT </w:instrText>
    </w:r>
    <w:r w:rsidRPr="00716ED5">
      <w:rPr>
        <w:rFonts w:ascii="Arial" w:hAnsi="Arial" w:cs="Arial"/>
        <w:sz w:val="22"/>
        <w:szCs w:val="22"/>
      </w:rPr>
      <w:fldChar w:fldCharType="separate"/>
    </w:r>
    <w:r w:rsidRPr="00A84818">
      <w:rPr>
        <w:rFonts w:ascii="Arial" w:hAnsi="Arial" w:cs="Arial"/>
        <w:sz w:val="22"/>
        <w:szCs w:val="22"/>
        <w:lang w:val="fr-FR"/>
      </w:rPr>
      <w:t>2</w:t>
    </w:r>
    <w:r w:rsidRPr="00716ED5">
      <w:rPr>
        <w:rFonts w:ascii="Arial" w:hAnsi="Arial" w:cs="Arial"/>
        <w:sz w:val="22"/>
        <w:szCs w:val="22"/>
      </w:rPr>
      <w:fldChar w:fldCharType="end"/>
    </w:r>
  </w:p>
  <w:p w14:paraId="787383AB" w14:textId="77777777" w:rsidR="009F5F54" w:rsidRPr="00A84818" w:rsidRDefault="009F5F54">
    <w:pPr>
      <w:pStyle w:val="Header"/>
      <w:rPr>
        <w:lang w:val="fr-FR"/>
      </w:rPr>
    </w:pPr>
  </w:p>
  <w:p w14:paraId="5A8E0EF2" w14:textId="77777777" w:rsidR="00411777" w:rsidRPr="00A84818" w:rsidRDefault="00411777">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FB1" w14:textId="29AE0FB0" w:rsidR="006B0313" w:rsidRPr="00716ED5" w:rsidRDefault="00D215B0" w:rsidP="006B0313">
    <w:pPr>
      <w:pStyle w:val="Marge"/>
      <w:tabs>
        <w:tab w:val="left" w:pos="6379"/>
      </w:tabs>
      <w:spacing w:after="0"/>
      <w:rPr>
        <w:rFonts w:asciiTheme="minorBidi" w:hAnsiTheme="minorBidi" w:cstheme="minorBidi"/>
        <w:b/>
        <w:bCs/>
        <w:color w:val="000000"/>
        <w:sz w:val="32"/>
        <w:szCs w:val="32"/>
      </w:rPr>
    </w:pPr>
    <w:r w:rsidRPr="00241215">
      <w:rPr>
        <w:rFonts w:asciiTheme="minorBidi" w:hAnsiTheme="minorBidi" w:cstheme="minorBidi"/>
        <w:szCs w:val="22"/>
      </w:rPr>
      <w:t>Restricted Distribution</w:t>
    </w:r>
    <w:r w:rsidR="00440828">
      <w:rPr>
        <w:rFonts w:asciiTheme="minorBidi" w:hAnsiTheme="minorBidi" w:cstheme="minorBidi"/>
        <w:szCs w:val="22"/>
      </w:rPr>
      <w:t xml:space="preserve">.                                                     </w:t>
    </w:r>
    <w:bookmarkStart w:id="15" w:name="_Hlk163555438"/>
    <w:r w:rsidRPr="00241215">
      <w:rPr>
        <w:rFonts w:asciiTheme="minorBidi" w:hAnsiTheme="minorBidi" w:cstheme="minorBidi"/>
        <w:b/>
        <w:bCs/>
        <w:color w:val="000000"/>
        <w:sz w:val="32"/>
        <w:szCs w:val="32"/>
      </w:rPr>
      <w:t>IOC/EC-57/4</w:t>
    </w:r>
    <w:r w:rsidR="008D7306" w:rsidRPr="00241215">
      <w:rPr>
        <w:rFonts w:asciiTheme="minorBidi" w:hAnsiTheme="minorBidi" w:cstheme="minorBidi"/>
        <w:b/>
        <w:bCs/>
        <w:color w:val="000000"/>
        <w:sz w:val="32"/>
        <w:szCs w:val="32"/>
      </w:rPr>
      <w:t>.</w:t>
    </w:r>
    <w:proofErr w:type="gramStart"/>
    <w:r w:rsidR="00C54645" w:rsidRPr="00241215">
      <w:rPr>
        <w:rFonts w:asciiTheme="minorBidi" w:hAnsiTheme="minorBidi" w:cstheme="minorBidi"/>
        <w:b/>
        <w:bCs/>
        <w:color w:val="000000"/>
        <w:sz w:val="32"/>
        <w:szCs w:val="32"/>
      </w:rPr>
      <w:t>3</w:t>
    </w:r>
    <w:r w:rsidRPr="00241215">
      <w:rPr>
        <w:rFonts w:asciiTheme="minorBidi" w:hAnsiTheme="minorBidi" w:cstheme="minorBidi"/>
        <w:b/>
        <w:bCs/>
        <w:color w:val="000000"/>
        <w:sz w:val="32"/>
        <w:szCs w:val="32"/>
      </w:rPr>
      <w:t>.Doc</w:t>
    </w:r>
    <w:proofErr w:type="gramEnd"/>
    <w:r w:rsidRPr="00241215">
      <w:rPr>
        <w:rFonts w:asciiTheme="minorBidi" w:hAnsiTheme="minorBidi" w:cstheme="minorBidi"/>
        <w:b/>
        <w:bCs/>
        <w:color w:val="000000"/>
        <w:sz w:val="32"/>
        <w:szCs w:val="32"/>
      </w:rPr>
      <w:t>(1)</w:t>
    </w:r>
    <w:bookmarkEnd w:id="15"/>
    <w:r w:rsidR="00440828">
      <w:rPr>
        <w:rFonts w:asciiTheme="minorBidi" w:hAnsiTheme="minorBidi" w:cstheme="minorBidi"/>
        <w:b/>
        <w:bCs/>
        <w:color w:val="000000"/>
        <w:sz w:val="32"/>
        <w:szCs w:val="32"/>
      </w:rPr>
      <w:t>.</w:t>
    </w:r>
    <w:r w:rsidR="009330C6">
      <w:rPr>
        <w:rFonts w:asciiTheme="minorBidi" w:hAnsiTheme="minorBidi" w:cstheme="minorBidi"/>
        <w:b/>
        <w:bCs/>
        <w:color w:val="000000"/>
        <w:sz w:val="32"/>
        <w:szCs w:val="32"/>
      </w:rPr>
      <w:t>R</w:t>
    </w:r>
    <w:r w:rsidR="00440828">
      <w:rPr>
        <w:rFonts w:asciiTheme="minorBidi" w:hAnsiTheme="minorBidi" w:cstheme="minorBidi"/>
        <w:b/>
        <w:bCs/>
        <w:color w:val="000000"/>
        <w:sz w:val="32"/>
        <w:szCs w:val="32"/>
      </w:rPr>
      <w:t>ev</w:t>
    </w:r>
    <w:r w:rsidR="009330C6">
      <w:rPr>
        <w:rFonts w:asciiTheme="minorBidi" w:hAnsiTheme="minorBidi" w:cstheme="minorBidi"/>
        <w:b/>
        <w:bCs/>
        <w:color w:val="000000"/>
        <w:sz w:val="32"/>
        <w:szCs w:val="32"/>
      </w:rPr>
      <w:t>.</w:t>
    </w:r>
  </w:p>
  <w:p w14:paraId="6276683C" w14:textId="74F3C7CA" w:rsidR="00D215B0" w:rsidRPr="00241215" w:rsidRDefault="00D215B0" w:rsidP="00A84818">
    <w:pPr>
      <w:pStyle w:val="Marge"/>
      <w:tabs>
        <w:tab w:val="left" w:pos="5670"/>
      </w:tabs>
      <w:spacing w:after="0"/>
      <w:rPr>
        <w:rFonts w:asciiTheme="minorBidi" w:hAnsiTheme="minorBidi" w:cstheme="minorBidi"/>
        <w:szCs w:val="22"/>
      </w:rPr>
    </w:pPr>
    <w:r w:rsidRPr="00241215">
      <w:rPr>
        <w:rFonts w:asciiTheme="minorBidi" w:hAnsiTheme="minorBidi" w:cstheme="minorBidi"/>
        <w:b/>
        <w:szCs w:val="22"/>
      </w:rPr>
      <w:tab/>
    </w:r>
    <w:r w:rsidRPr="00241215">
      <w:rPr>
        <w:rFonts w:asciiTheme="minorBidi" w:hAnsiTheme="minorBidi" w:cstheme="minorBidi"/>
        <w:szCs w:val="22"/>
      </w:rPr>
      <w:t xml:space="preserve">Paris, </w:t>
    </w:r>
    <w:r w:rsidR="00440828">
      <w:rPr>
        <w:rFonts w:asciiTheme="minorBidi" w:hAnsiTheme="minorBidi" w:cstheme="minorBidi"/>
        <w:szCs w:val="22"/>
      </w:rPr>
      <w:t>3</w:t>
    </w:r>
    <w:r w:rsidR="00C54645" w:rsidRPr="00241215">
      <w:rPr>
        <w:rFonts w:asciiTheme="minorBidi" w:hAnsiTheme="minorBidi" w:cstheme="minorBidi"/>
        <w:szCs w:val="22"/>
      </w:rPr>
      <w:t xml:space="preserve"> </w:t>
    </w:r>
    <w:r w:rsidR="00440828">
      <w:rPr>
        <w:rFonts w:asciiTheme="minorBidi" w:hAnsiTheme="minorBidi" w:cstheme="minorBidi"/>
        <w:szCs w:val="22"/>
      </w:rPr>
      <w:t>June</w:t>
    </w:r>
    <w:r w:rsidR="00440828" w:rsidRPr="00241215">
      <w:rPr>
        <w:rFonts w:asciiTheme="minorBidi" w:hAnsiTheme="minorBidi" w:cstheme="minorBidi"/>
        <w:szCs w:val="22"/>
      </w:rPr>
      <w:t xml:space="preserve"> </w:t>
    </w:r>
    <w:r w:rsidRPr="00241215">
      <w:rPr>
        <w:rFonts w:asciiTheme="minorBidi" w:hAnsiTheme="minorBidi" w:cstheme="minorBidi"/>
        <w:szCs w:val="22"/>
      </w:rPr>
      <w:t>2024</w:t>
    </w:r>
  </w:p>
  <w:p w14:paraId="7389B9B5" w14:textId="77777777" w:rsidR="00D215B0" w:rsidRPr="00241215" w:rsidRDefault="00D215B0" w:rsidP="00A84818">
    <w:pPr>
      <w:tabs>
        <w:tab w:val="left" w:pos="5670"/>
      </w:tabs>
      <w:jc w:val="both"/>
      <w:rPr>
        <w:rFonts w:asciiTheme="minorBidi" w:hAnsiTheme="minorBidi" w:cstheme="minorBidi"/>
        <w:szCs w:val="22"/>
      </w:rPr>
    </w:pPr>
    <w:r w:rsidRPr="00716ED5">
      <w:rPr>
        <w:rFonts w:asciiTheme="minorBidi" w:hAnsiTheme="minorBidi" w:cstheme="minorBidi"/>
        <w:noProof/>
      </w:rPr>
      <w:drawing>
        <wp:anchor distT="0" distB="0" distL="114300" distR="114300" simplePos="0" relativeHeight="251657216" behindDoc="0" locked="0" layoutInCell="1" allowOverlap="1" wp14:anchorId="4CA68FD7" wp14:editId="2CE90C4A">
          <wp:simplePos x="0" y="0"/>
          <wp:positionH relativeFrom="column">
            <wp:posOffset>-88900</wp:posOffset>
          </wp:positionH>
          <wp:positionV relativeFrom="paragraph">
            <wp:posOffset>83820</wp:posOffset>
          </wp:positionV>
          <wp:extent cx="1578610" cy="1047115"/>
          <wp:effectExtent l="0" t="0" r="2540" b="635"/>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215">
      <w:rPr>
        <w:rFonts w:asciiTheme="minorBidi" w:hAnsiTheme="minorBidi" w:cstheme="minorBidi"/>
        <w:b/>
        <w:szCs w:val="22"/>
      </w:rPr>
      <w:tab/>
    </w:r>
    <w:r w:rsidRPr="00241215">
      <w:rPr>
        <w:rFonts w:asciiTheme="minorBidi" w:hAnsiTheme="minorBidi" w:cstheme="minorBidi"/>
        <w:szCs w:val="22"/>
      </w:rPr>
      <w:t>Original: English</w:t>
    </w:r>
  </w:p>
  <w:p w14:paraId="05A654E3" w14:textId="77777777" w:rsidR="00D215B0" w:rsidRPr="00241215" w:rsidRDefault="00D215B0" w:rsidP="009330C6">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asciiTheme="minorBidi" w:hAnsiTheme="minorBidi" w:cstheme="minorBidi"/>
        <w:b/>
        <w:szCs w:val="22"/>
      </w:rPr>
    </w:pPr>
  </w:p>
  <w:p w14:paraId="59132CF4" w14:textId="77777777" w:rsidR="00D215B0" w:rsidRPr="00241215"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4FB07816" w14:textId="77777777" w:rsidR="00D215B0" w:rsidRPr="00241215"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3FFBCFF7" w14:textId="77777777" w:rsidR="00D215B0" w:rsidRPr="00241215" w:rsidRDefault="00D215B0" w:rsidP="00D215B0">
    <w:pPr>
      <w:tabs>
        <w:tab w:val="left" w:pos="-1440"/>
        <w:tab w:val="left" w:pos="-720"/>
        <w:tab w:val="left" w:pos="0"/>
        <w:tab w:val="left" w:pos="4320"/>
      </w:tabs>
      <w:jc w:val="both"/>
      <w:rPr>
        <w:rFonts w:asciiTheme="minorBidi" w:hAnsiTheme="minorBidi" w:cstheme="minorBidi"/>
        <w:b/>
        <w:szCs w:val="22"/>
      </w:rPr>
    </w:pPr>
    <w:r w:rsidRPr="00241215">
      <w:rPr>
        <w:rFonts w:asciiTheme="minorBidi" w:hAnsiTheme="minorBidi" w:cstheme="minorBidi"/>
        <w:b/>
        <w:szCs w:val="22"/>
      </w:rPr>
      <w:tab/>
    </w:r>
  </w:p>
  <w:p w14:paraId="3A6606C1" w14:textId="77777777" w:rsidR="00D215B0" w:rsidRPr="00241215"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771DF3A6" w14:textId="77777777" w:rsidR="00D215B0" w:rsidRPr="00241215"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531929D4" w14:textId="77777777" w:rsidR="00D215B0" w:rsidRPr="00241215"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rPr>
    </w:pPr>
  </w:p>
  <w:p w14:paraId="0766940B" w14:textId="77777777" w:rsidR="00D215B0" w:rsidRPr="00241215" w:rsidRDefault="00D215B0" w:rsidP="00D215B0">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Cs w:val="22"/>
      </w:rPr>
    </w:pPr>
    <w:r w:rsidRPr="00241215">
      <w:rPr>
        <w:rFonts w:asciiTheme="minorBidi" w:hAnsiTheme="minorBidi" w:cstheme="minorBidi"/>
        <w:b/>
        <w:szCs w:val="22"/>
      </w:rPr>
      <w:t>INTERGOVERNMENTAL OCEANOGRAPHIC COMMISSION</w:t>
    </w:r>
  </w:p>
  <w:p w14:paraId="054A1E4D" w14:textId="77777777" w:rsidR="00D215B0" w:rsidRPr="00241215" w:rsidRDefault="00D215B0" w:rsidP="00D215B0">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Cs w:val="22"/>
      </w:rPr>
    </w:pPr>
    <w:r w:rsidRPr="00241215">
      <w:rPr>
        <w:rFonts w:asciiTheme="minorBidi" w:hAnsiTheme="minorBidi" w:cstheme="minorBidi"/>
        <w:bCs/>
        <w:szCs w:val="22"/>
      </w:rPr>
      <w:t>(of UNESCO)</w:t>
    </w:r>
  </w:p>
  <w:p w14:paraId="07791B36" w14:textId="77777777" w:rsidR="00D215B0" w:rsidRPr="00241215"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rPr>
    </w:pPr>
  </w:p>
  <w:p w14:paraId="4C1592AD" w14:textId="77777777" w:rsidR="00D215B0" w:rsidRPr="00241215" w:rsidRDefault="00D215B0" w:rsidP="00D215B0">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rPr>
    </w:pPr>
    <w:r w:rsidRPr="00241215">
      <w:rPr>
        <w:rFonts w:asciiTheme="minorBidi" w:hAnsiTheme="minorBidi" w:cstheme="minorBidi"/>
        <w:b/>
      </w:rPr>
      <w:t>Fifty-seventh Session of the Executive Council</w:t>
    </w:r>
  </w:p>
  <w:p w14:paraId="72A8C931" w14:textId="77777777" w:rsidR="00D215B0" w:rsidRPr="00716ED5" w:rsidRDefault="00D215B0" w:rsidP="00D215B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rPr>
    </w:pPr>
    <w:r w:rsidRPr="00241215">
      <w:rPr>
        <w:rFonts w:asciiTheme="minorBidi" w:hAnsiTheme="minorBidi" w:cstheme="minorBidi"/>
        <w:bCs/>
      </w:rPr>
      <w:t>UNESCO, Paris, 25–28 June 2024</w:t>
    </w:r>
  </w:p>
  <w:p w14:paraId="503B4E8B" w14:textId="77777777" w:rsidR="00D215B0" w:rsidRPr="00241215" w:rsidRDefault="00D215B0" w:rsidP="00D215B0">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rPr>
    </w:pPr>
  </w:p>
  <w:p w14:paraId="0E40FA26" w14:textId="77777777" w:rsidR="00D215B0" w:rsidRPr="00241215" w:rsidRDefault="00D215B0" w:rsidP="00D215B0">
    <w:pPr>
      <w:jc w:val="center"/>
      <w:rPr>
        <w:rFonts w:asciiTheme="minorBidi" w:hAnsiTheme="minorBidi" w:cstheme="minorBidi"/>
        <w:szCs w:val="22"/>
      </w:rPr>
    </w:pPr>
  </w:p>
  <w:p w14:paraId="6DC93A80" w14:textId="77777777" w:rsidR="00D215B0" w:rsidRPr="00241215" w:rsidRDefault="00D215B0" w:rsidP="00D215B0">
    <w:pPr>
      <w:jc w:val="center"/>
      <w:rPr>
        <w:rFonts w:asciiTheme="minorBidi" w:hAnsiTheme="minorBidi" w:cstheme="minorBidi"/>
        <w:szCs w:val="22"/>
      </w:rPr>
    </w:pPr>
  </w:p>
  <w:p w14:paraId="5BD63144" w14:textId="432278F7" w:rsidR="00D215B0" w:rsidRPr="00241215" w:rsidRDefault="00D215B0" w:rsidP="00D215B0">
    <w:pPr>
      <w:pStyle w:val="Heading7"/>
      <w:tabs>
        <w:tab w:val="right" w:pos="9540"/>
      </w:tabs>
      <w:ind w:left="0"/>
      <w:rPr>
        <w:rFonts w:asciiTheme="minorBidi" w:hAnsiTheme="minorBidi" w:cstheme="minorBidi"/>
        <w:b w:val="0"/>
        <w:bCs w:val="0"/>
        <w:u w:val="single"/>
      </w:rPr>
    </w:pPr>
    <w:r w:rsidRPr="00241215">
      <w:rPr>
        <w:rFonts w:asciiTheme="minorBidi" w:hAnsiTheme="minorBidi" w:cstheme="minorBidi"/>
        <w:b w:val="0"/>
        <w:bCs w:val="0"/>
        <w:u w:val="single"/>
      </w:rPr>
      <w:t xml:space="preserve">Item </w:t>
    </w:r>
    <w:r w:rsidRPr="00241215">
      <w:rPr>
        <w:rFonts w:asciiTheme="minorBidi" w:hAnsiTheme="minorBidi" w:cstheme="minorBidi"/>
        <w:u w:val="single"/>
      </w:rPr>
      <w:t>4.</w:t>
    </w:r>
    <w:r w:rsidR="00C54645" w:rsidRPr="00241215">
      <w:rPr>
        <w:rFonts w:asciiTheme="minorBidi" w:hAnsiTheme="minorBidi" w:cstheme="minorBidi"/>
        <w:u w:val="single"/>
      </w:rPr>
      <w:t>3</w:t>
    </w:r>
    <w:r w:rsidRPr="00241215">
      <w:rPr>
        <w:rFonts w:asciiTheme="minorBidi" w:hAnsiTheme="minorBidi" w:cstheme="minorBidi"/>
        <w:b w:val="0"/>
        <w:bCs w:val="0"/>
        <w:u w:val="single"/>
      </w:rPr>
      <w:t xml:space="preserve"> of the Provisional Agenda</w:t>
    </w:r>
  </w:p>
  <w:p w14:paraId="432CE5C7" w14:textId="77777777" w:rsidR="00D215B0" w:rsidRPr="00241215" w:rsidRDefault="00D215B0" w:rsidP="00D215B0">
    <w:pPr>
      <w:rPr>
        <w:rFonts w:asciiTheme="minorBidi" w:hAnsiTheme="minorBidi" w:cstheme="minorBidi"/>
        <w:szCs w:val="22"/>
      </w:rPr>
    </w:pPr>
  </w:p>
  <w:p w14:paraId="2C77E899" w14:textId="77777777" w:rsidR="00D215B0" w:rsidRPr="00241215" w:rsidRDefault="00D215B0" w:rsidP="00D215B0">
    <w:pPr>
      <w:rPr>
        <w:rFonts w:cs="Arial"/>
        <w:szCs w:val="22"/>
      </w:rPr>
    </w:pPr>
  </w:p>
  <w:p w14:paraId="410CEC21" w14:textId="3DA0C71E" w:rsidR="00C54645" w:rsidRPr="00241215" w:rsidRDefault="00C54645" w:rsidP="00C54645">
    <w:pPr>
      <w:pStyle w:val="Header"/>
      <w:jc w:val="center"/>
      <w:rPr>
        <w:rFonts w:ascii="Arial" w:hAnsi="Arial" w:cs="Arial"/>
        <w:b/>
        <w:bCs/>
        <w:caps/>
        <w:lang w:eastAsia="en-US"/>
      </w:rPr>
    </w:pPr>
    <w:r w:rsidRPr="00241215">
      <w:rPr>
        <w:rFonts w:ascii="Arial" w:hAnsi="Arial" w:cs="Arial"/>
        <w:b/>
        <w:bCs/>
        <w:caps/>
        <w:lang w:eastAsia="en-US"/>
      </w:rPr>
      <w:t>DRAFT IOC</w:t>
    </w:r>
    <w:r w:rsidR="0093536D" w:rsidRPr="00241215">
      <w:rPr>
        <w:rFonts w:ascii="Arial" w:hAnsi="Arial" w:cs="Arial"/>
        <w:b/>
        <w:bCs/>
        <w:caps/>
        <w:lang w:eastAsia="en-US"/>
      </w:rPr>
      <w:t>-WIDE</w:t>
    </w:r>
    <w:r w:rsidRPr="00241215">
      <w:rPr>
        <w:rFonts w:ascii="Arial" w:hAnsi="Arial" w:cs="Arial"/>
        <w:b/>
        <w:bCs/>
        <w:caps/>
        <w:lang w:eastAsia="en-US"/>
      </w:rPr>
      <w:t xml:space="preserve"> STRATEGY ON SUSTAINABLE OCEAN PLANNING</w:t>
    </w:r>
  </w:p>
  <w:p w14:paraId="5AF5002B" w14:textId="391E5058" w:rsidR="00D215B0" w:rsidRPr="00241215" w:rsidRDefault="00C54645" w:rsidP="00C54645">
    <w:pPr>
      <w:pStyle w:val="Header"/>
      <w:jc w:val="center"/>
    </w:pPr>
    <w:r w:rsidRPr="00241215">
      <w:rPr>
        <w:rFonts w:ascii="Arial" w:hAnsi="Arial" w:cs="Arial"/>
        <w:b/>
        <w:bCs/>
        <w:caps/>
        <w:lang w:eastAsia="en-US"/>
      </w:rPr>
      <w:t>AND MANAGEMENT</w:t>
    </w:r>
    <w:r w:rsidR="0093536D" w:rsidRPr="00241215">
      <w:rPr>
        <w:rFonts w:ascii="Arial" w:hAnsi="Arial" w:cs="Arial"/>
        <w:b/>
        <w:bCs/>
        <w:caps/>
        <w:lang w:eastAsia="en-US"/>
      </w:rPr>
      <w:t xml:space="preserve"> (2024</w:t>
    </w:r>
    <w:r w:rsidR="00422210" w:rsidRPr="00241215">
      <w:rPr>
        <w:rFonts w:ascii="Arial" w:hAnsi="Arial" w:cs="Arial"/>
        <w:b/>
        <w:bCs/>
        <w:caps/>
        <w:lang w:eastAsia="en-US"/>
      </w:rPr>
      <w:t>–</w:t>
    </w:r>
    <w:r w:rsidR="0093536D" w:rsidRPr="00241215">
      <w:rPr>
        <w:rFonts w:ascii="Arial" w:hAnsi="Arial" w:cs="Arial"/>
        <w:b/>
        <w:bCs/>
        <w:caps/>
        <w:lang w:eastAsia="en-US"/>
      </w:rPr>
      <w:t>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AC6"/>
    <w:multiLevelType w:val="multilevel"/>
    <w:tmpl w:val="69E6196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84BA0"/>
    <w:multiLevelType w:val="hybridMultilevel"/>
    <w:tmpl w:val="0E08879A"/>
    <w:lvl w:ilvl="0" w:tplc="BBE00950">
      <w:start w:val="1"/>
      <w:numFmt w:val="bullet"/>
      <w:lvlText w:val="•"/>
      <w:lvlJc w:val="left"/>
      <w:pPr>
        <w:tabs>
          <w:tab w:val="num" w:pos="720"/>
        </w:tabs>
        <w:ind w:left="720" w:hanging="360"/>
      </w:pPr>
      <w:rPr>
        <w:rFonts w:ascii="Arial" w:hAnsi="Arial" w:hint="default"/>
      </w:rPr>
    </w:lvl>
    <w:lvl w:ilvl="1" w:tplc="ADCA9218" w:tentative="1">
      <w:start w:val="1"/>
      <w:numFmt w:val="bullet"/>
      <w:lvlText w:val="•"/>
      <w:lvlJc w:val="left"/>
      <w:pPr>
        <w:tabs>
          <w:tab w:val="num" w:pos="1440"/>
        </w:tabs>
        <w:ind w:left="1440" w:hanging="360"/>
      </w:pPr>
      <w:rPr>
        <w:rFonts w:ascii="Arial" w:hAnsi="Arial" w:hint="default"/>
      </w:rPr>
    </w:lvl>
    <w:lvl w:ilvl="2" w:tplc="38547C16" w:tentative="1">
      <w:start w:val="1"/>
      <w:numFmt w:val="bullet"/>
      <w:lvlText w:val="•"/>
      <w:lvlJc w:val="left"/>
      <w:pPr>
        <w:tabs>
          <w:tab w:val="num" w:pos="2160"/>
        </w:tabs>
        <w:ind w:left="2160" w:hanging="360"/>
      </w:pPr>
      <w:rPr>
        <w:rFonts w:ascii="Arial" w:hAnsi="Arial" w:hint="default"/>
      </w:rPr>
    </w:lvl>
    <w:lvl w:ilvl="3" w:tplc="F5D6C83A" w:tentative="1">
      <w:start w:val="1"/>
      <w:numFmt w:val="bullet"/>
      <w:lvlText w:val="•"/>
      <w:lvlJc w:val="left"/>
      <w:pPr>
        <w:tabs>
          <w:tab w:val="num" w:pos="2880"/>
        </w:tabs>
        <w:ind w:left="2880" w:hanging="360"/>
      </w:pPr>
      <w:rPr>
        <w:rFonts w:ascii="Arial" w:hAnsi="Arial" w:hint="default"/>
      </w:rPr>
    </w:lvl>
    <w:lvl w:ilvl="4" w:tplc="DC4E1768" w:tentative="1">
      <w:start w:val="1"/>
      <w:numFmt w:val="bullet"/>
      <w:lvlText w:val="•"/>
      <w:lvlJc w:val="left"/>
      <w:pPr>
        <w:tabs>
          <w:tab w:val="num" w:pos="3600"/>
        </w:tabs>
        <w:ind w:left="3600" w:hanging="360"/>
      </w:pPr>
      <w:rPr>
        <w:rFonts w:ascii="Arial" w:hAnsi="Arial" w:hint="default"/>
      </w:rPr>
    </w:lvl>
    <w:lvl w:ilvl="5" w:tplc="64FCADE6" w:tentative="1">
      <w:start w:val="1"/>
      <w:numFmt w:val="bullet"/>
      <w:lvlText w:val="•"/>
      <w:lvlJc w:val="left"/>
      <w:pPr>
        <w:tabs>
          <w:tab w:val="num" w:pos="4320"/>
        </w:tabs>
        <w:ind w:left="4320" w:hanging="360"/>
      </w:pPr>
      <w:rPr>
        <w:rFonts w:ascii="Arial" w:hAnsi="Arial" w:hint="default"/>
      </w:rPr>
    </w:lvl>
    <w:lvl w:ilvl="6" w:tplc="FA8EB8A8" w:tentative="1">
      <w:start w:val="1"/>
      <w:numFmt w:val="bullet"/>
      <w:lvlText w:val="•"/>
      <w:lvlJc w:val="left"/>
      <w:pPr>
        <w:tabs>
          <w:tab w:val="num" w:pos="5040"/>
        </w:tabs>
        <w:ind w:left="5040" w:hanging="360"/>
      </w:pPr>
      <w:rPr>
        <w:rFonts w:ascii="Arial" w:hAnsi="Arial" w:hint="default"/>
      </w:rPr>
    </w:lvl>
    <w:lvl w:ilvl="7" w:tplc="7D2ED2BE" w:tentative="1">
      <w:start w:val="1"/>
      <w:numFmt w:val="bullet"/>
      <w:lvlText w:val="•"/>
      <w:lvlJc w:val="left"/>
      <w:pPr>
        <w:tabs>
          <w:tab w:val="num" w:pos="5760"/>
        </w:tabs>
        <w:ind w:left="5760" w:hanging="360"/>
      </w:pPr>
      <w:rPr>
        <w:rFonts w:ascii="Arial" w:hAnsi="Arial" w:hint="default"/>
      </w:rPr>
    </w:lvl>
    <w:lvl w:ilvl="8" w:tplc="812027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3574F8"/>
    <w:multiLevelType w:val="hybridMultilevel"/>
    <w:tmpl w:val="3042DA3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77537DE"/>
    <w:multiLevelType w:val="hybridMultilevel"/>
    <w:tmpl w:val="64F8FBCC"/>
    <w:lvl w:ilvl="0" w:tplc="8952847A">
      <w:start w:val="1"/>
      <w:numFmt w:val="lowerRoman"/>
      <w:lvlText w:val="(%1)"/>
      <w:lvlJc w:val="right"/>
      <w:pPr>
        <w:ind w:left="1287" w:hanging="360"/>
      </w:pPr>
      <w:rPr>
        <w:rFonts w:hint="default"/>
        <w:sz w:val="22"/>
        <w:szCs w:val="22"/>
        <w:lang/>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8364334"/>
    <w:multiLevelType w:val="hybridMultilevel"/>
    <w:tmpl w:val="AD123E12"/>
    <w:lvl w:ilvl="0" w:tplc="4F54CAEE">
      <w:start w:val="9"/>
      <w:numFmt w:val="lowerLetter"/>
      <w:lvlText w:val="%1)"/>
      <w:lvlJc w:val="left"/>
      <w:pPr>
        <w:ind w:left="720" w:hanging="360"/>
      </w:pPr>
      <w:rPr>
        <w:rFonts w:eastAsia="Yu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90FAD"/>
    <w:multiLevelType w:val="multilevel"/>
    <w:tmpl w:val="0B400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514885"/>
    <w:multiLevelType w:val="hybridMultilevel"/>
    <w:tmpl w:val="9E3E3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57D89"/>
    <w:multiLevelType w:val="hybridMultilevel"/>
    <w:tmpl w:val="511ADCBA"/>
    <w:lvl w:ilvl="0" w:tplc="F0720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C436E"/>
    <w:multiLevelType w:val="multilevel"/>
    <w:tmpl w:val="3D2ACA4E"/>
    <w:styleLink w:val="CurrentList3"/>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657E04"/>
    <w:multiLevelType w:val="multilevel"/>
    <w:tmpl w:val="F9FA7EEE"/>
    <w:styleLink w:val="CurrentList4"/>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966E7E"/>
    <w:multiLevelType w:val="hybridMultilevel"/>
    <w:tmpl w:val="3D601D16"/>
    <w:lvl w:ilvl="0" w:tplc="937C91FE">
      <w:start w:val="1"/>
      <w:numFmt w:val="upperRoman"/>
      <w:lvlText w:val="%1."/>
      <w:lvlJc w:val="left"/>
      <w:pPr>
        <w:ind w:left="1080" w:hanging="7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11CAC"/>
    <w:multiLevelType w:val="hybridMultilevel"/>
    <w:tmpl w:val="D17E52EA"/>
    <w:lvl w:ilvl="0" w:tplc="FFFFFFFF">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0F3AAF"/>
    <w:multiLevelType w:val="multilevel"/>
    <w:tmpl w:val="5A84CB80"/>
    <w:lvl w:ilvl="0">
      <w:start w:val="1"/>
      <w:numFmt w:val="lowerRoman"/>
      <w:lvlText w:val="(%1)"/>
      <w:lvlJc w:val="left"/>
      <w:pPr>
        <w:ind w:left="1440" w:hanging="360"/>
      </w:pPr>
      <w:rPr>
        <w:rFonts w:hint="default"/>
        <w:b/>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23220BFA"/>
    <w:multiLevelType w:val="hybridMultilevel"/>
    <w:tmpl w:val="2F28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35DD3"/>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7B784B"/>
    <w:multiLevelType w:val="multilevel"/>
    <w:tmpl w:val="8D6CECC2"/>
    <w:styleLink w:val="CurrentList2"/>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491349"/>
    <w:multiLevelType w:val="hybridMultilevel"/>
    <w:tmpl w:val="52A861B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 w15:restartNumberingAfterBreak="0">
    <w:nsid w:val="2D710A46"/>
    <w:multiLevelType w:val="hybridMultilevel"/>
    <w:tmpl w:val="B158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D755A"/>
    <w:multiLevelType w:val="hybridMultilevel"/>
    <w:tmpl w:val="C0BC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A419C7"/>
    <w:multiLevelType w:val="hybridMultilevel"/>
    <w:tmpl w:val="5AB09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263FF1"/>
    <w:multiLevelType w:val="multilevel"/>
    <w:tmpl w:val="3D1CB5A8"/>
    <w:lvl w:ilvl="0">
      <w:start w:val="1"/>
      <w:numFmt w:val="decimal"/>
      <w:lvlText w:val="%1."/>
      <w:lvlJc w:val="left"/>
      <w:pPr>
        <w:ind w:left="720" w:hanging="360"/>
      </w:pPr>
      <w:rPr>
        <w:color w:val="00000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rPr>
        <w:b w:val="0"/>
        <w:bCs/>
      </w:r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39ED7D0D"/>
    <w:multiLevelType w:val="multilevel"/>
    <w:tmpl w:val="30C8B30E"/>
    <w:lvl w:ilvl="0">
      <w:start w:val="1"/>
      <w:numFmt w:val="decimal"/>
      <w:pStyle w:val="ListParagraph1"/>
      <w:lvlText w:val="%1."/>
      <w:lvlJc w:val="left"/>
      <w:pPr>
        <w:tabs>
          <w:tab w:val="num" w:pos="720"/>
        </w:tabs>
        <w:ind w:left="0" w:firstLine="709"/>
      </w:pPr>
      <w:rPr>
        <w:rFonts w:ascii="Arial" w:eastAsiaTheme="majorEastAsia" w:hAnsi="Arial" w:cs="Arial" w:hint="default"/>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6A3D0F"/>
    <w:multiLevelType w:val="hybridMultilevel"/>
    <w:tmpl w:val="FE7EB8C2"/>
    <w:lvl w:ilvl="0" w:tplc="34760B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983DCA"/>
    <w:multiLevelType w:val="hybridMultilevel"/>
    <w:tmpl w:val="2F563DCE"/>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580C7E"/>
    <w:multiLevelType w:val="hybridMultilevel"/>
    <w:tmpl w:val="DF0C60AA"/>
    <w:lvl w:ilvl="0" w:tplc="CA20A230">
      <w:start w:val="1"/>
      <w:numFmt w:val="lowerRoman"/>
      <w:lvlText w:val="%1."/>
      <w:lvlJc w:val="right"/>
      <w:pPr>
        <w:tabs>
          <w:tab w:val="num" w:pos="720"/>
        </w:tabs>
        <w:ind w:left="720" w:hanging="360"/>
      </w:pPr>
    </w:lvl>
    <w:lvl w:ilvl="1" w:tplc="7CE268B8" w:tentative="1">
      <w:start w:val="1"/>
      <w:numFmt w:val="lowerRoman"/>
      <w:lvlText w:val="%2."/>
      <w:lvlJc w:val="right"/>
      <w:pPr>
        <w:tabs>
          <w:tab w:val="num" w:pos="1440"/>
        </w:tabs>
        <w:ind w:left="1440" w:hanging="360"/>
      </w:pPr>
    </w:lvl>
    <w:lvl w:ilvl="2" w:tplc="D9866FB0" w:tentative="1">
      <w:start w:val="1"/>
      <w:numFmt w:val="lowerRoman"/>
      <w:lvlText w:val="%3."/>
      <w:lvlJc w:val="right"/>
      <w:pPr>
        <w:tabs>
          <w:tab w:val="num" w:pos="2160"/>
        </w:tabs>
        <w:ind w:left="2160" w:hanging="360"/>
      </w:pPr>
    </w:lvl>
    <w:lvl w:ilvl="3" w:tplc="1E446E3A" w:tentative="1">
      <w:start w:val="1"/>
      <w:numFmt w:val="lowerRoman"/>
      <w:lvlText w:val="%4."/>
      <w:lvlJc w:val="right"/>
      <w:pPr>
        <w:tabs>
          <w:tab w:val="num" w:pos="2880"/>
        </w:tabs>
        <w:ind w:left="2880" w:hanging="360"/>
      </w:pPr>
    </w:lvl>
    <w:lvl w:ilvl="4" w:tplc="0F6AA298" w:tentative="1">
      <w:start w:val="1"/>
      <w:numFmt w:val="lowerRoman"/>
      <w:lvlText w:val="%5."/>
      <w:lvlJc w:val="right"/>
      <w:pPr>
        <w:tabs>
          <w:tab w:val="num" w:pos="3600"/>
        </w:tabs>
        <w:ind w:left="3600" w:hanging="360"/>
      </w:pPr>
    </w:lvl>
    <w:lvl w:ilvl="5" w:tplc="21BA341A" w:tentative="1">
      <w:start w:val="1"/>
      <w:numFmt w:val="lowerRoman"/>
      <w:lvlText w:val="%6."/>
      <w:lvlJc w:val="right"/>
      <w:pPr>
        <w:tabs>
          <w:tab w:val="num" w:pos="4320"/>
        </w:tabs>
        <w:ind w:left="4320" w:hanging="360"/>
      </w:pPr>
    </w:lvl>
    <w:lvl w:ilvl="6" w:tplc="4AD650FC" w:tentative="1">
      <w:start w:val="1"/>
      <w:numFmt w:val="lowerRoman"/>
      <w:lvlText w:val="%7."/>
      <w:lvlJc w:val="right"/>
      <w:pPr>
        <w:tabs>
          <w:tab w:val="num" w:pos="5040"/>
        </w:tabs>
        <w:ind w:left="5040" w:hanging="360"/>
      </w:pPr>
    </w:lvl>
    <w:lvl w:ilvl="7" w:tplc="3508BF20" w:tentative="1">
      <w:start w:val="1"/>
      <w:numFmt w:val="lowerRoman"/>
      <w:lvlText w:val="%8."/>
      <w:lvlJc w:val="right"/>
      <w:pPr>
        <w:tabs>
          <w:tab w:val="num" w:pos="5760"/>
        </w:tabs>
        <w:ind w:left="5760" w:hanging="360"/>
      </w:pPr>
    </w:lvl>
    <w:lvl w:ilvl="8" w:tplc="E60CDA5C" w:tentative="1">
      <w:start w:val="1"/>
      <w:numFmt w:val="lowerRoman"/>
      <w:lvlText w:val="%9."/>
      <w:lvlJc w:val="right"/>
      <w:pPr>
        <w:tabs>
          <w:tab w:val="num" w:pos="6480"/>
        </w:tabs>
        <w:ind w:left="6480" w:hanging="360"/>
      </w:pPr>
    </w:lvl>
  </w:abstractNum>
  <w:abstractNum w:abstractNumId="25" w15:restartNumberingAfterBreak="0">
    <w:nsid w:val="435674B0"/>
    <w:multiLevelType w:val="hybridMultilevel"/>
    <w:tmpl w:val="FED0253E"/>
    <w:lvl w:ilvl="0" w:tplc="55DEA888">
      <w:start w:val="9"/>
      <w:numFmt w:val="lowerLetter"/>
      <w:lvlText w:val="%1)"/>
      <w:lvlJc w:val="left"/>
      <w:pPr>
        <w:ind w:left="720" w:hanging="360"/>
      </w:pPr>
      <w:rPr>
        <w:rFonts w:eastAsia="Yu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330AEF"/>
    <w:multiLevelType w:val="hybridMultilevel"/>
    <w:tmpl w:val="437EC152"/>
    <w:lvl w:ilvl="0" w:tplc="FC644770">
      <w:start w:val="1"/>
      <w:numFmt w:val="bullet"/>
      <w:lvlText w:val="Ø"/>
      <w:lvlJc w:val="left"/>
      <w:pPr>
        <w:tabs>
          <w:tab w:val="num" w:pos="720"/>
        </w:tabs>
        <w:ind w:left="720" w:hanging="360"/>
      </w:pPr>
      <w:rPr>
        <w:rFonts w:ascii="Wingdings" w:hAnsi="Wingdings" w:hint="default"/>
      </w:rPr>
    </w:lvl>
    <w:lvl w:ilvl="1" w:tplc="E3CA789C" w:tentative="1">
      <w:start w:val="1"/>
      <w:numFmt w:val="bullet"/>
      <w:lvlText w:val="Ø"/>
      <w:lvlJc w:val="left"/>
      <w:pPr>
        <w:tabs>
          <w:tab w:val="num" w:pos="1440"/>
        </w:tabs>
        <w:ind w:left="1440" w:hanging="360"/>
      </w:pPr>
      <w:rPr>
        <w:rFonts w:ascii="Wingdings" w:hAnsi="Wingdings" w:hint="default"/>
      </w:rPr>
    </w:lvl>
    <w:lvl w:ilvl="2" w:tplc="53D8E338" w:tentative="1">
      <w:start w:val="1"/>
      <w:numFmt w:val="bullet"/>
      <w:lvlText w:val="Ø"/>
      <w:lvlJc w:val="left"/>
      <w:pPr>
        <w:tabs>
          <w:tab w:val="num" w:pos="2160"/>
        </w:tabs>
        <w:ind w:left="2160" w:hanging="360"/>
      </w:pPr>
      <w:rPr>
        <w:rFonts w:ascii="Wingdings" w:hAnsi="Wingdings" w:hint="default"/>
      </w:rPr>
    </w:lvl>
    <w:lvl w:ilvl="3" w:tplc="7AC8C904" w:tentative="1">
      <w:start w:val="1"/>
      <w:numFmt w:val="bullet"/>
      <w:lvlText w:val="Ø"/>
      <w:lvlJc w:val="left"/>
      <w:pPr>
        <w:tabs>
          <w:tab w:val="num" w:pos="2880"/>
        </w:tabs>
        <w:ind w:left="2880" w:hanging="360"/>
      </w:pPr>
      <w:rPr>
        <w:rFonts w:ascii="Wingdings" w:hAnsi="Wingdings" w:hint="default"/>
      </w:rPr>
    </w:lvl>
    <w:lvl w:ilvl="4" w:tplc="52946B06" w:tentative="1">
      <w:start w:val="1"/>
      <w:numFmt w:val="bullet"/>
      <w:lvlText w:val="Ø"/>
      <w:lvlJc w:val="left"/>
      <w:pPr>
        <w:tabs>
          <w:tab w:val="num" w:pos="3600"/>
        </w:tabs>
        <w:ind w:left="3600" w:hanging="360"/>
      </w:pPr>
      <w:rPr>
        <w:rFonts w:ascii="Wingdings" w:hAnsi="Wingdings" w:hint="default"/>
      </w:rPr>
    </w:lvl>
    <w:lvl w:ilvl="5" w:tplc="27E626BC" w:tentative="1">
      <w:start w:val="1"/>
      <w:numFmt w:val="bullet"/>
      <w:lvlText w:val="Ø"/>
      <w:lvlJc w:val="left"/>
      <w:pPr>
        <w:tabs>
          <w:tab w:val="num" w:pos="4320"/>
        </w:tabs>
        <w:ind w:left="4320" w:hanging="360"/>
      </w:pPr>
      <w:rPr>
        <w:rFonts w:ascii="Wingdings" w:hAnsi="Wingdings" w:hint="default"/>
      </w:rPr>
    </w:lvl>
    <w:lvl w:ilvl="6" w:tplc="6F78C5A8" w:tentative="1">
      <w:start w:val="1"/>
      <w:numFmt w:val="bullet"/>
      <w:lvlText w:val="Ø"/>
      <w:lvlJc w:val="left"/>
      <w:pPr>
        <w:tabs>
          <w:tab w:val="num" w:pos="5040"/>
        </w:tabs>
        <w:ind w:left="5040" w:hanging="360"/>
      </w:pPr>
      <w:rPr>
        <w:rFonts w:ascii="Wingdings" w:hAnsi="Wingdings" w:hint="default"/>
      </w:rPr>
    </w:lvl>
    <w:lvl w:ilvl="7" w:tplc="45EE479C" w:tentative="1">
      <w:start w:val="1"/>
      <w:numFmt w:val="bullet"/>
      <w:lvlText w:val="Ø"/>
      <w:lvlJc w:val="left"/>
      <w:pPr>
        <w:tabs>
          <w:tab w:val="num" w:pos="5760"/>
        </w:tabs>
        <w:ind w:left="5760" w:hanging="360"/>
      </w:pPr>
      <w:rPr>
        <w:rFonts w:ascii="Wingdings" w:hAnsi="Wingdings" w:hint="default"/>
      </w:rPr>
    </w:lvl>
    <w:lvl w:ilvl="8" w:tplc="B88C6C90" w:tentative="1">
      <w:start w:val="1"/>
      <w:numFmt w:val="bullet"/>
      <w:lvlText w:val="Ø"/>
      <w:lvlJc w:val="left"/>
      <w:pPr>
        <w:tabs>
          <w:tab w:val="num" w:pos="6480"/>
        </w:tabs>
        <w:ind w:left="6480" w:hanging="360"/>
      </w:pPr>
      <w:rPr>
        <w:rFonts w:ascii="Wingdings" w:hAnsi="Wingdings" w:hint="default"/>
      </w:rPr>
    </w:lvl>
  </w:abstractNum>
  <w:abstractNum w:abstractNumId="27" w15:restartNumberingAfterBreak="0">
    <w:nsid w:val="45A924E2"/>
    <w:multiLevelType w:val="multilevel"/>
    <w:tmpl w:val="5476A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8D027F7"/>
    <w:multiLevelType w:val="hybridMultilevel"/>
    <w:tmpl w:val="57D61ED0"/>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DD052A"/>
    <w:multiLevelType w:val="hybridMultilevel"/>
    <w:tmpl w:val="F9FA7EEE"/>
    <w:lvl w:ilvl="0" w:tplc="B67C5AF6">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8210F6"/>
    <w:multiLevelType w:val="multilevel"/>
    <w:tmpl w:val="E30E0C26"/>
    <w:lvl w:ilvl="0">
      <w:start w:val="1"/>
      <w:numFmt w:val="lowerRoman"/>
      <w:lvlText w:val="(%1)"/>
      <w:lvlJc w:val="left"/>
      <w:pPr>
        <w:ind w:left="720" w:hanging="360"/>
      </w:pPr>
      <w:rPr>
        <w:rFonts w:ascii="Arial" w:hAnsi="Arial" w:hint="default"/>
        <w:b w:val="0"/>
        <w:i w:val="0"/>
        <w:caps w:val="0"/>
        <w:strike w:val="0"/>
        <w:dstrike w:val="0"/>
        <w:vanish w:val="0"/>
        <w:sz w:val="22"/>
        <w:szCs w:val="18"/>
        <w:u w:val="none"/>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BB07351"/>
    <w:multiLevelType w:val="hybridMultilevel"/>
    <w:tmpl w:val="85E05CC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4DE20EAF"/>
    <w:multiLevelType w:val="hybridMultilevel"/>
    <w:tmpl w:val="BA92F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E73E9E"/>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E8509B"/>
    <w:multiLevelType w:val="hybridMultilevel"/>
    <w:tmpl w:val="147A0494"/>
    <w:lvl w:ilvl="0" w:tplc="52FC0C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EE576E"/>
    <w:multiLevelType w:val="hybridMultilevel"/>
    <w:tmpl w:val="D7E27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2602BB"/>
    <w:multiLevelType w:val="hybridMultilevel"/>
    <w:tmpl w:val="128CD7C4"/>
    <w:lvl w:ilvl="0" w:tplc="3BFCA9EC">
      <w:start w:val="1"/>
      <w:numFmt w:val="decimal"/>
      <w:lvlText w:val="%1."/>
      <w:lvlJc w:val="left"/>
      <w:pPr>
        <w:ind w:left="720" w:hanging="1287"/>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7A10F3"/>
    <w:multiLevelType w:val="hybridMultilevel"/>
    <w:tmpl w:val="52945DF0"/>
    <w:lvl w:ilvl="0" w:tplc="4CF00B9A">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0B59EC"/>
    <w:multiLevelType w:val="multilevel"/>
    <w:tmpl w:val="E200ADE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377716"/>
    <w:multiLevelType w:val="hybridMultilevel"/>
    <w:tmpl w:val="A22CE37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0600731"/>
    <w:multiLevelType w:val="multilevel"/>
    <w:tmpl w:val="3D1CB5A8"/>
    <w:lvl w:ilvl="0">
      <w:start w:val="1"/>
      <w:numFmt w:val="decimal"/>
      <w:lvlText w:val="%1."/>
      <w:lvlJc w:val="left"/>
      <w:pPr>
        <w:ind w:left="720" w:hanging="360"/>
      </w:pPr>
      <w:rPr>
        <w:color w:val="00000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rPr>
        <w:b w:val="0"/>
        <w:bCs/>
      </w:r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15:restartNumberingAfterBreak="0">
    <w:nsid w:val="68CD5B66"/>
    <w:multiLevelType w:val="multilevel"/>
    <w:tmpl w:val="FC90E26C"/>
    <w:lvl w:ilvl="0">
      <w:start w:val="1"/>
      <w:numFmt w:val="lowerRoman"/>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D7392E"/>
    <w:multiLevelType w:val="multilevel"/>
    <w:tmpl w:val="71D2FAEC"/>
    <w:lvl w:ilvl="0">
      <w:start w:val="1"/>
      <w:numFmt w:val="decimal"/>
      <w:pStyle w:val="Bullet-shortparagraph-3pt"/>
      <w:lvlText w:val="%1."/>
      <w:lvlJc w:val="left"/>
      <w:pPr>
        <w:ind w:left="1440" w:hanging="360"/>
      </w:pPr>
      <w:rPr>
        <w:b w:val="0"/>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3" w15:restartNumberingAfterBreak="0">
    <w:nsid w:val="70FD63B3"/>
    <w:multiLevelType w:val="hybridMultilevel"/>
    <w:tmpl w:val="1792B266"/>
    <w:lvl w:ilvl="0" w:tplc="CA20A230">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15:restartNumberingAfterBreak="0">
    <w:nsid w:val="720F06A0"/>
    <w:multiLevelType w:val="hybridMultilevel"/>
    <w:tmpl w:val="2330364E"/>
    <w:lvl w:ilvl="0" w:tplc="BB52DA52">
      <w:start w:val="1"/>
      <w:numFmt w:val="decimal"/>
      <w:lvlText w:val="%1."/>
      <w:lvlJc w:val="left"/>
      <w:pPr>
        <w:ind w:left="720" w:hanging="360"/>
      </w:pPr>
      <w:rPr>
        <w:rFonts w:asciiTheme="minorBidi" w:hAnsiTheme="minorBidi" w:cstheme="minorBid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EF7FD9"/>
    <w:multiLevelType w:val="hybridMultilevel"/>
    <w:tmpl w:val="419E9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849902">
    <w:abstractNumId w:val="37"/>
  </w:num>
  <w:num w:numId="2" w16cid:durableId="1349214309">
    <w:abstractNumId w:val="19"/>
  </w:num>
  <w:num w:numId="3" w16cid:durableId="1437755282">
    <w:abstractNumId w:val="41"/>
  </w:num>
  <w:num w:numId="4" w16cid:durableId="388453956">
    <w:abstractNumId w:val="28"/>
  </w:num>
  <w:num w:numId="5" w16cid:durableId="793909581">
    <w:abstractNumId w:val="23"/>
  </w:num>
  <w:num w:numId="6" w16cid:durableId="1930843003">
    <w:abstractNumId w:val="36"/>
  </w:num>
  <w:num w:numId="7" w16cid:durableId="5400480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98916">
    <w:abstractNumId w:val="16"/>
  </w:num>
  <w:num w:numId="9" w16cid:durableId="643001481">
    <w:abstractNumId w:val="14"/>
  </w:num>
  <w:num w:numId="10" w16cid:durableId="273097814">
    <w:abstractNumId w:val="24"/>
  </w:num>
  <w:num w:numId="11" w16cid:durableId="721439567">
    <w:abstractNumId w:val="39"/>
  </w:num>
  <w:num w:numId="12" w16cid:durableId="1729104986">
    <w:abstractNumId w:val="43"/>
  </w:num>
  <w:num w:numId="13" w16cid:durableId="1991061092">
    <w:abstractNumId w:val="33"/>
  </w:num>
  <w:num w:numId="14" w16cid:durableId="396633162">
    <w:abstractNumId w:val="45"/>
  </w:num>
  <w:num w:numId="15" w16cid:durableId="962031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511459">
    <w:abstractNumId w:val="26"/>
  </w:num>
  <w:num w:numId="17" w16cid:durableId="1213422084">
    <w:abstractNumId w:val="2"/>
  </w:num>
  <w:num w:numId="18" w16cid:durableId="1294022404">
    <w:abstractNumId w:val="31"/>
  </w:num>
  <w:num w:numId="19" w16cid:durableId="1530795416">
    <w:abstractNumId w:val="35"/>
  </w:num>
  <w:num w:numId="20" w16cid:durableId="160122095">
    <w:abstractNumId w:val="1"/>
  </w:num>
  <w:num w:numId="21" w16cid:durableId="1796754397">
    <w:abstractNumId w:val="18"/>
  </w:num>
  <w:num w:numId="22" w16cid:durableId="1163083026">
    <w:abstractNumId w:val="6"/>
  </w:num>
  <w:num w:numId="23" w16cid:durableId="968170047">
    <w:abstractNumId w:val="13"/>
  </w:num>
  <w:num w:numId="24" w16cid:durableId="1562061837">
    <w:abstractNumId w:val="17"/>
  </w:num>
  <w:num w:numId="25" w16cid:durableId="222179934">
    <w:abstractNumId w:val="38"/>
  </w:num>
  <w:num w:numId="26" w16cid:durableId="800802163">
    <w:abstractNumId w:val="15"/>
  </w:num>
  <w:num w:numId="27" w16cid:durableId="508956873">
    <w:abstractNumId w:val="8"/>
  </w:num>
  <w:num w:numId="28" w16cid:durableId="1153762970">
    <w:abstractNumId w:val="29"/>
  </w:num>
  <w:num w:numId="29" w16cid:durableId="934283092">
    <w:abstractNumId w:val="9"/>
  </w:num>
  <w:num w:numId="30" w16cid:durableId="992831452">
    <w:abstractNumId w:val="11"/>
  </w:num>
  <w:num w:numId="31" w16cid:durableId="150148165">
    <w:abstractNumId w:val="0"/>
  </w:num>
  <w:num w:numId="32" w16cid:durableId="1347712455">
    <w:abstractNumId w:val="20"/>
  </w:num>
  <w:num w:numId="33" w16cid:durableId="453254819">
    <w:abstractNumId w:val="42"/>
  </w:num>
  <w:num w:numId="34" w16cid:durableId="1913850757">
    <w:abstractNumId w:val="27"/>
  </w:num>
  <w:num w:numId="35" w16cid:durableId="342055784">
    <w:abstractNumId w:val="32"/>
  </w:num>
  <w:num w:numId="36" w16cid:durableId="1033843562">
    <w:abstractNumId w:val="34"/>
  </w:num>
  <w:num w:numId="37" w16cid:durableId="87701717">
    <w:abstractNumId w:val="44"/>
  </w:num>
  <w:num w:numId="38" w16cid:durableId="1367489886">
    <w:abstractNumId w:val="30"/>
  </w:num>
  <w:num w:numId="39" w16cid:durableId="1689259805">
    <w:abstractNumId w:val="7"/>
  </w:num>
  <w:num w:numId="40" w16cid:durableId="1903969">
    <w:abstractNumId w:val="12"/>
  </w:num>
  <w:num w:numId="41" w16cid:durableId="586886208">
    <w:abstractNumId w:val="10"/>
  </w:num>
  <w:num w:numId="42" w16cid:durableId="679698612">
    <w:abstractNumId w:val="22"/>
  </w:num>
  <w:num w:numId="43" w16cid:durableId="884833979">
    <w:abstractNumId w:val="4"/>
  </w:num>
  <w:num w:numId="44" w16cid:durableId="985476429">
    <w:abstractNumId w:val="25"/>
  </w:num>
  <w:num w:numId="45" w16cid:durableId="122816678">
    <w:abstractNumId w:val="3"/>
  </w:num>
  <w:num w:numId="46" w16cid:durableId="130469513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54"/>
    <w:rsid w:val="00001DD1"/>
    <w:rsid w:val="000246AA"/>
    <w:rsid w:val="00046C01"/>
    <w:rsid w:val="000625AE"/>
    <w:rsid w:val="000630DD"/>
    <w:rsid w:val="00076F7C"/>
    <w:rsid w:val="00091FE0"/>
    <w:rsid w:val="000A3BCA"/>
    <w:rsid w:val="000B3DB5"/>
    <w:rsid w:val="000C7929"/>
    <w:rsid w:val="000E45C7"/>
    <w:rsid w:val="000F4030"/>
    <w:rsid w:val="00123927"/>
    <w:rsid w:val="00127F7B"/>
    <w:rsid w:val="00133034"/>
    <w:rsid w:val="00145662"/>
    <w:rsid w:val="00145D27"/>
    <w:rsid w:val="00146091"/>
    <w:rsid w:val="001739E0"/>
    <w:rsid w:val="00184C2A"/>
    <w:rsid w:val="00187178"/>
    <w:rsid w:val="0019023C"/>
    <w:rsid w:val="00192C43"/>
    <w:rsid w:val="00195CDA"/>
    <w:rsid w:val="00196209"/>
    <w:rsid w:val="001A4827"/>
    <w:rsid w:val="001B1789"/>
    <w:rsid w:val="001B3FAD"/>
    <w:rsid w:val="001D15DF"/>
    <w:rsid w:val="001D2420"/>
    <w:rsid w:val="001D41EB"/>
    <w:rsid w:val="001F7011"/>
    <w:rsid w:val="001F7FE0"/>
    <w:rsid w:val="00203442"/>
    <w:rsid w:val="00221BAC"/>
    <w:rsid w:val="00226537"/>
    <w:rsid w:val="00241215"/>
    <w:rsid w:val="00242073"/>
    <w:rsid w:val="00246F40"/>
    <w:rsid w:val="0025304C"/>
    <w:rsid w:val="00254057"/>
    <w:rsid w:val="00255742"/>
    <w:rsid w:val="002578AD"/>
    <w:rsid w:val="00271A65"/>
    <w:rsid w:val="0029603D"/>
    <w:rsid w:val="002A4E45"/>
    <w:rsid w:val="002B35E5"/>
    <w:rsid w:val="002E3962"/>
    <w:rsid w:val="002F0D93"/>
    <w:rsid w:val="002F5EF7"/>
    <w:rsid w:val="00314B59"/>
    <w:rsid w:val="00330987"/>
    <w:rsid w:val="003330BA"/>
    <w:rsid w:val="00340884"/>
    <w:rsid w:val="00344F7B"/>
    <w:rsid w:val="00350723"/>
    <w:rsid w:val="00354A19"/>
    <w:rsid w:val="00365C6B"/>
    <w:rsid w:val="0039753F"/>
    <w:rsid w:val="003A481B"/>
    <w:rsid w:val="003B34C2"/>
    <w:rsid w:val="003B5CCB"/>
    <w:rsid w:val="003D2C06"/>
    <w:rsid w:val="00406064"/>
    <w:rsid w:val="00411777"/>
    <w:rsid w:val="00414297"/>
    <w:rsid w:val="00416C6B"/>
    <w:rsid w:val="00422210"/>
    <w:rsid w:val="00424160"/>
    <w:rsid w:val="004340B4"/>
    <w:rsid w:val="00435B0B"/>
    <w:rsid w:val="00437BDF"/>
    <w:rsid w:val="00440828"/>
    <w:rsid w:val="004436D0"/>
    <w:rsid w:val="0044539E"/>
    <w:rsid w:val="004570FC"/>
    <w:rsid w:val="00463153"/>
    <w:rsid w:val="00465742"/>
    <w:rsid w:val="004776F5"/>
    <w:rsid w:val="00484E9E"/>
    <w:rsid w:val="004A0E28"/>
    <w:rsid w:val="004C51BF"/>
    <w:rsid w:val="004C580B"/>
    <w:rsid w:val="004D3A35"/>
    <w:rsid w:val="004D44E1"/>
    <w:rsid w:val="00527317"/>
    <w:rsid w:val="00551EE9"/>
    <w:rsid w:val="0055342A"/>
    <w:rsid w:val="005A66DE"/>
    <w:rsid w:val="005D69B7"/>
    <w:rsid w:val="005F5328"/>
    <w:rsid w:val="0060137F"/>
    <w:rsid w:val="00616588"/>
    <w:rsid w:val="00627F3B"/>
    <w:rsid w:val="00643F8C"/>
    <w:rsid w:val="00647AF6"/>
    <w:rsid w:val="00655FE3"/>
    <w:rsid w:val="006571DD"/>
    <w:rsid w:val="00680C87"/>
    <w:rsid w:val="006B0313"/>
    <w:rsid w:val="006E161F"/>
    <w:rsid w:val="006E2918"/>
    <w:rsid w:val="007063A1"/>
    <w:rsid w:val="00716ED5"/>
    <w:rsid w:val="00717004"/>
    <w:rsid w:val="007179D8"/>
    <w:rsid w:val="007326AA"/>
    <w:rsid w:val="00740867"/>
    <w:rsid w:val="00750C34"/>
    <w:rsid w:val="007743A1"/>
    <w:rsid w:val="00783168"/>
    <w:rsid w:val="007B5441"/>
    <w:rsid w:val="007C3206"/>
    <w:rsid w:val="007F3C70"/>
    <w:rsid w:val="008000FB"/>
    <w:rsid w:val="008048A2"/>
    <w:rsid w:val="00805E98"/>
    <w:rsid w:val="00830347"/>
    <w:rsid w:val="00831354"/>
    <w:rsid w:val="00832D86"/>
    <w:rsid w:val="0083469F"/>
    <w:rsid w:val="008363BE"/>
    <w:rsid w:val="00841CB9"/>
    <w:rsid w:val="0089739C"/>
    <w:rsid w:val="008A4FB0"/>
    <w:rsid w:val="008B5D7C"/>
    <w:rsid w:val="008C60EF"/>
    <w:rsid w:val="008C64E8"/>
    <w:rsid w:val="008C6B96"/>
    <w:rsid w:val="008D35BF"/>
    <w:rsid w:val="008D7306"/>
    <w:rsid w:val="008E496E"/>
    <w:rsid w:val="009006EE"/>
    <w:rsid w:val="0092394D"/>
    <w:rsid w:val="00925A0C"/>
    <w:rsid w:val="00925CAF"/>
    <w:rsid w:val="009330C6"/>
    <w:rsid w:val="00933B0C"/>
    <w:rsid w:val="0093536D"/>
    <w:rsid w:val="00947891"/>
    <w:rsid w:val="00952524"/>
    <w:rsid w:val="0096133D"/>
    <w:rsid w:val="009621AB"/>
    <w:rsid w:val="00966356"/>
    <w:rsid w:val="00995E4E"/>
    <w:rsid w:val="009A4BE7"/>
    <w:rsid w:val="009B591C"/>
    <w:rsid w:val="009C3A1E"/>
    <w:rsid w:val="009F4407"/>
    <w:rsid w:val="009F5F54"/>
    <w:rsid w:val="00A12555"/>
    <w:rsid w:val="00A13752"/>
    <w:rsid w:val="00A361B7"/>
    <w:rsid w:val="00A57577"/>
    <w:rsid w:val="00A74F92"/>
    <w:rsid w:val="00A84818"/>
    <w:rsid w:val="00A875DD"/>
    <w:rsid w:val="00A91E4A"/>
    <w:rsid w:val="00A93BD8"/>
    <w:rsid w:val="00AB65D5"/>
    <w:rsid w:val="00AC4B49"/>
    <w:rsid w:val="00B0242F"/>
    <w:rsid w:val="00B04022"/>
    <w:rsid w:val="00B11ECC"/>
    <w:rsid w:val="00B162EA"/>
    <w:rsid w:val="00B311E3"/>
    <w:rsid w:val="00B413FF"/>
    <w:rsid w:val="00B46C66"/>
    <w:rsid w:val="00B47B6B"/>
    <w:rsid w:val="00B549BA"/>
    <w:rsid w:val="00B71EF8"/>
    <w:rsid w:val="00B7376E"/>
    <w:rsid w:val="00B836A7"/>
    <w:rsid w:val="00BA060C"/>
    <w:rsid w:val="00BA78BA"/>
    <w:rsid w:val="00BB2547"/>
    <w:rsid w:val="00BC01F6"/>
    <w:rsid w:val="00BC046E"/>
    <w:rsid w:val="00BC0855"/>
    <w:rsid w:val="00BC4EB9"/>
    <w:rsid w:val="00BD405E"/>
    <w:rsid w:val="00BE5EF8"/>
    <w:rsid w:val="00BF50C2"/>
    <w:rsid w:val="00C20CDD"/>
    <w:rsid w:val="00C47BD5"/>
    <w:rsid w:val="00C50EDD"/>
    <w:rsid w:val="00C5250E"/>
    <w:rsid w:val="00C54645"/>
    <w:rsid w:val="00C567D0"/>
    <w:rsid w:val="00C73F72"/>
    <w:rsid w:val="00C754D3"/>
    <w:rsid w:val="00C8454E"/>
    <w:rsid w:val="00C936AB"/>
    <w:rsid w:val="00C93B36"/>
    <w:rsid w:val="00C970C9"/>
    <w:rsid w:val="00CA4328"/>
    <w:rsid w:val="00CB1FE7"/>
    <w:rsid w:val="00CB302F"/>
    <w:rsid w:val="00CD5142"/>
    <w:rsid w:val="00CE1342"/>
    <w:rsid w:val="00CE15A9"/>
    <w:rsid w:val="00CF30C2"/>
    <w:rsid w:val="00D0252E"/>
    <w:rsid w:val="00D16E53"/>
    <w:rsid w:val="00D16F7E"/>
    <w:rsid w:val="00D215B0"/>
    <w:rsid w:val="00D21B4B"/>
    <w:rsid w:val="00D55AEC"/>
    <w:rsid w:val="00D67BB5"/>
    <w:rsid w:val="00D7155D"/>
    <w:rsid w:val="00D81E4B"/>
    <w:rsid w:val="00D8747D"/>
    <w:rsid w:val="00D92ED9"/>
    <w:rsid w:val="00DA028F"/>
    <w:rsid w:val="00DC68E0"/>
    <w:rsid w:val="00DD4C2C"/>
    <w:rsid w:val="00DE3867"/>
    <w:rsid w:val="00DF7599"/>
    <w:rsid w:val="00E113F1"/>
    <w:rsid w:val="00E30288"/>
    <w:rsid w:val="00E400DD"/>
    <w:rsid w:val="00E66262"/>
    <w:rsid w:val="00E84E4B"/>
    <w:rsid w:val="00E93979"/>
    <w:rsid w:val="00EB2027"/>
    <w:rsid w:val="00EC5505"/>
    <w:rsid w:val="00EE4A5D"/>
    <w:rsid w:val="00EF3497"/>
    <w:rsid w:val="00F2453F"/>
    <w:rsid w:val="00F44E1D"/>
    <w:rsid w:val="00F60933"/>
    <w:rsid w:val="00F66862"/>
    <w:rsid w:val="00F66933"/>
    <w:rsid w:val="00F70354"/>
    <w:rsid w:val="00F71683"/>
    <w:rsid w:val="00F73E9D"/>
    <w:rsid w:val="00F746EE"/>
    <w:rsid w:val="00F8319C"/>
    <w:rsid w:val="00F9336B"/>
    <w:rsid w:val="00FA4098"/>
    <w:rsid w:val="00FB149B"/>
    <w:rsid w:val="00FC2517"/>
    <w:rsid w:val="00FD32F7"/>
    <w:rsid w:val="00FF330A"/>
    <w:rsid w:val="00FF6027"/>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1D00"/>
  <w15:chartTrackingRefBased/>
  <w15:docId w15:val="{013FBAF5-3694-7F4B-BBBA-1CA56355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P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54"/>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416C6B"/>
    <w:pPr>
      <w:keepNext/>
      <w:keepLines/>
      <w:spacing w:before="240"/>
      <w:outlineLvl w:val="0"/>
    </w:pPr>
    <w:rPr>
      <w:rFonts w:ascii="Calibri" w:eastAsiaTheme="majorEastAsia" w:hAnsi="Calibri" w:cstheme="majorBidi"/>
      <w:b/>
      <w:color w:val="000000" w:themeColor="text1"/>
      <w:sz w:val="36"/>
      <w:szCs w:val="32"/>
    </w:rPr>
  </w:style>
  <w:style w:type="paragraph" w:styleId="Heading2">
    <w:name w:val="heading 2"/>
    <w:basedOn w:val="Normal"/>
    <w:next w:val="Normal"/>
    <w:link w:val="Heading2Char"/>
    <w:unhideWhenUsed/>
    <w:qFormat/>
    <w:rsid w:val="00DD4C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5F5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5464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9F5F54"/>
    <w:pPr>
      <w:keepNext/>
      <w:ind w:left="54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54"/>
    <w:pPr>
      <w:tabs>
        <w:tab w:val="center" w:pos="4680"/>
        <w:tab w:val="right" w:pos="9360"/>
      </w:tabs>
    </w:pPr>
  </w:style>
  <w:style w:type="character" w:customStyle="1" w:styleId="HeaderChar">
    <w:name w:val="Header Char"/>
    <w:basedOn w:val="DefaultParagraphFont"/>
    <w:link w:val="Header"/>
    <w:uiPriority w:val="99"/>
    <w:rsid w:val="009F5F54"/>
  </w:style>
  <w:style w:type="paragraph" w:styleId="Footer">
    <w:name w:val="footer"/>
    <w:basedOn w:val="Normal"/>
    <w:link w:val="FooterChar"/>
    <w:uiPriority w:val="99"/>
    <w:unhideWhenUsed/>
    <w:rsid w:val="009F5F54"/>
    <w:pPr>
      <w:tabs>
        <w:tab w:val="center" w:pos="4680"/>
        <w:tab w:val="right" w:pos="9360"/>
      </w:tabs>
    </w:pPr>
  </w:style>
  <w:style w:type="character" w:customStyle="1" w:styleId="FooterChar">
    <w:name w:val="Footer Char"/>
    <w:basedOn w:val="DefaultParagraphFont"/>
    <w:link w:val="Footer"/>
    <w:uiPriority w:val="99"/>
    <w:rsid w:val="009F5F54"/>
  </w:style>
  <w:style w:type="character" w:customStyle="1" w:styleId="Heading7Char">
    <w:name w:val="Heading 7 Char"/>
    <w:basedOn w:val="DefaultParagraphFont"/>
    <w:link w:val="Heading7"/>
    <w:rsid w:val="009F5F54"/>
    <w:rPr>
      <w:rFonts w:ascii="Times New Roman" w:eastAsia="Times New Roman" w:hAnsi="Times New Roman" w:cs="Times New Roman"/>
      <w:b/>
      <w:bCs/>
      <w:lang w:val="en-PH" w:eastAsia="en-GB"/>
    </w:rPr>
  </w:style>
  <w:style w:type="paragraph" w:customStyle="1" w:styleId="Marge">
    <w:name w:val="Marge"/>
    <w:basedOn w:val="Normal"/>
    <w:link w:val="MargeChar"/>
    <w:qFormat/>
    <w:rsid w:val="009F5F54"/>
    <w:pPr>
      <w:spacing w:after="240"/>
      <w:jc w:val="both"/>
    </w:pPr>
    <w:rPr>
      <w:lang w:eastAsia="en-US"/>
    </w:rPr>
  </w:style>
  <w:style w:type="paragraph" w:customStyle="1" w:styleId="Docheading">
    <w:name w:val="Doc. heading"/>
    <w:basedOn w:val="Header"/>
    <w:rsid w:val="009F5F54"/>
    <w:pPr>
      <w:tabs>
        <w:tab w:val="clear" w:pos="4680"/>
        <w:tab w:val="clear" w:pos="9360"/>
        <w:tab w:val="center" w:pos="4153"/>
        <w:tab w:val="right" w:pos="8306"/>
      </w:tabs>
      <w:spacing w:after="480"/>
      <w:jc w:val="center"/>
    </w:pPr>
    <w:rPr>
      <w:rFonts w:ascii="Arial" w:hAnsi="Arial" w:cs="Arial"/>
      <w:b/>
      <w:bCs/>
      <w:caps/>
      <w:lang w:eastAsia="en-US"/>
    </w:rPr>
  </w:style>
  <w:style w:type="character" w:customStyle="1" w:styleId="MargeChar">
    <w:name w:val="Marge Char"/>
    <w:link w:val="Marge"/>
    <w:qFormat/>
    <w:rsid w:val="009F5F54"/>
    <w:rPr>
      <w:rFonts w:ascii="Times New Roman" w:eastAsia="Times New Roman" w:hAnsi="Times New Roman" w:cs="Times New Roman"/>
      <w:lang w:val="en-PH" w:eastAsia="en-US"/>
    </w:rPr>
  </w:style>
  <w:style w:type="character" w:styleId="Hyperlink">
    <w:name w:val="Hyperlink"/>
    <w:uiPriority w:val="99"/>
    <w:rsid w:val="009F5F54"/>
    <w:rPr>
      <w:color w:val="0000FF"/>
      <w:u w:val="single"/>
    </w:rPr>
  </w:style>
  <w:style w:type="paragraph" w:customStyle="1" w:styleId="h">
    <w:name w:val="h"/>
    <w:basedOn w:val="Marge"/>
    <w:rsid w:val="009F5F54"/>
    <w:pPr>
      <w:tabs>
        <w:tab w:val="left" w:pos="567"/>
      </w:tabs>
      <w:snapToGrid w:val="0"/>
      <w:spacing w:after="120"/>
    </w:pPr>
    <w:rPr>
      <w:rFonts w:ascii="Arial" w:hAnsi="Arial" w:cs="Arial"/>
      <w:snapToGrid w:val="0"/>
      <w:sz w:val="22"/>
      <w:szCs w:val="22"/>
      <w:u w:val="single"/>
    </w:rPr>
  </w:style>
  <w:style w:type="character" w:customStyle="1" w:styleId="Heading1Char">
    <w:name w:val="Heading 1 Char"/>
    <w:basedOn w:val="DefaultParagraphFont"/>
    <w:link w:val="Heading1"/>
    <w:uiPriority w:val="9"/>
    <w:rsid w:val="00416C6B"/>
    <w:rPr>
      <w:rFonts w:ascii="Calibri" w:eastAsiaTheme="majorEastAsia" w:hAnsi="Calibri" w:cstheme="majorBidi"/>
      <w:b/>
      <w:color w:val="000000" w:themeColor="text1"/>
      <w:sz w:val="36"/>
      <w:szCs w:val="32"/>
      <w:lang w:eastAsia="en-GB"/>
    </w:rPr>
  </w:style>
  <w:style w:type="character" w:customStyle="1" w:styleId="Heading3Char">
    <w:name w:val="Heading 3 Char"/>
    <w:basedOn w:val="DefaultParagraphFont"/>
    <w:link w:val="Heading3"/>
    <w:uiPriority w:val="9"/>
    <w:rsid w:val="009F5F54"/>
    <w:rPr>
      <w:rFonts w:asciiTheme="majorHAnsi" w:eastAsiaTheme="majorEastAsia" w:hAnsiTheme="majorHAnsi" w:cstheme="majorBidi"/>
      <w:color w:val="1F3763" w:themeColor="accent1" w:themeShade="7F"/>
      <w:lang w:val="en-PH" w:eastAsia="en-GB"/>
    </w:rPr>
  </w:style>
  <w:style w:type="character" w:styleId="PageNumber">
    <w:name w:val="page number"/>
    <w:basedOn w:val="DefaultParagraphFont"/>
    <w:rsid w:val="009F5F54"/>
  </w:style>
  <w:style w:type="paragraph" w:styleId="TOC1">
    <w:name w:val="toc 1"/>
    <w:basedOn w:val="Normal"/>
    <w:next w:val="Normal"/>
    <w:autoRedefine/>
    <w:uiPriority w:val="39"/>
    <w:unhideWhenUsed/>
    <w:rsid w:val="003D2C06"/>
    <w:pPr>
      <w:tabs>
        <w:tab w:val="right" w:leader="dot" w:pos="8290"/>
      </w:tabs>
      <w:snapToGrid w:val="0"/>
      <w:spacing w:after="120"/>
    </w:pPr>
    <w:rPr>
      <w:rFonts w:ascii="Calibri" w:hAnsi="Calibri" w:cs="Calibri"/>
      <w:b/>
      <w:bCs/>
      <w:caps/>
      <w:snapToGrid w:val="0"/>
      <w:sz w:val="22"/>
      <w:szCs w:val="22"/>
      <w:u w:val="single"/>
      <w:lang w:eastAsia="en-US"/>
    </w:rPr>
  </w:style>
  <w:style w:type="paragraph" w:styleId="TOC3">
    <w:name w:val="toc 3"/>
    <w:basedOn w:val="Normal"/>
    <w:next w:val="Normal"/>
    <w:autoRedefine/>
    <w:uiPriority w:val="39"/>
    <w:unhideWhenUsed/>
    <w:rsid w:val="009F5F54"/>
    <w:pPr>
      <w:snapToGrid w:val="0"/>
    </w:pPr>
    <w:rPr>
      <w:rFonts w:ascii="Calibri" w:hAnsi="Calibri" w:cs="Calibri"/>
      <w:smallCaps/>
      <w:snapToGrid w:val="0"/>
      <w:sz w:val="22"/>
      <w:szCs w:val="22"/>
      <w:lang w:eastAsia="en-US"/>
    </w:rPr>
  </w:style>
  <w:style w:type="paragraph" w:customStyle="1" w:styleId="paranumber">
    <w:name w:val="paranumber"/>
    <w:basedOn w:val="Normal"/>
    <w:autoRedefine/>
    <w:qFormat/>
    <w:rsid w:val="009F5F54"/>
    <w:pPr>
      <w:numPr>
        <w:numId w:val="1"/>
      </w:numPr>
      <w:tabs>
        <w:tab w:val="left" w:pos="709"/>
      </w:tabs>
      <w:spacing w:after="240"/>
      <w:ind w:left="0" w:firstLine="0"/>
      <w:jc w:val="both"/>
    </w:pPr>
    <w:rPr>
      <w:rFonts w:ascii="Arial" w:hAnsi="Arial"/>
      <w:sz w:val="22"/>
      <w:lang w:eastAsia="ja-JP" w:bidi="en-US"/>
    </w:rPr>
  </w:style>
  <w:style w:type="paragraph" w:styleId="ListParagraph">
    <w:name w:val="List Paragraph"/>
    <w:basedOn w:val="Normal"/>
    <w:link w:val="ListParagraphChar"/>
    <w:uiPriority w:val="34"/>
    <w:qFormat/>
    <w:rsid w:val="00D16F7E"/>
    <w:pPr>
      <w:ind w:left="720"/>
      <w:contextualSpacing/>
    </w:pPr>
  </w:style>
  <w:style w:type="character" w:customStyle="1" w:styleId="None">
    <w:name w:val="None"/>
    <w:rsid w:val="00E400DD"/>
  </w:style>
  <w:style w:type="paragraph" w:customStyle="1" w:styleId="ListParagraph1">
    <w:name w:val="List Paragraph1"/>
    <w:basedOn w:val="ListParagraph"/>
    <w:qFormat/>
    <w:rsid w:val="00E400DD"/>
    <w:pPr>
      <w:numPr>
        <w:numId w:val="7"/>
      </w:numPr>
      <w:spacing w:after="240"/>
      <w:contextualSpacing w:val="0"/>
      <w:jc w:val="both"/>
    </w:pPr>
    <w:rPr>
      <w:rFonts w:ascii="Arial" w:hAnsi="Arial"/>
      <w:sz w:val="22"/>
      <w:szCs w:val="22"/>
      <w:lang w:eastAsia="en-US"/>
    </w:rPr>
  </w:style>
  <w:style w:type="paragraph" w:customStyle="1" w:styleId="Style2">
    <w:name w:val="Style2"/>
    <w:basedOn w:val="Normal"/>
    <w:link w:val="Style2Car"/>
    <w:qFormat/>
    <w:rsid w:val="002A4E45"/>
    <w:pPr>
      <w:shd w:val="clear" w:color="auto" w:fill="FFFFFF"/>
      <w:tabs>
        <w:tab w:val="num" w:pos="1400"/>
      </w:tabs>
      <w:spacing w:after="240"/>
      <w:ind w:left="720"/>
      <w:jc w:val="both"/>
    </w:pPr>
    <w:rPr>
      <w:rFonts w:ascii="Arial" w:hAnsi="Arial"/>
      <w:iCs/>
      <w:sz w:val="22"/>
      <w:szCs w:val="22"/>
    </w:rPr>
  </w:style>
  <w:style w:type="character" w:customStyle="1" w:styleId="Style2Car">
    <w:name w:val="Style2 Car"/>
    <w:basedOn w:val="DefaultParagraphFont"/>
    <w:link w:val="Style2"/>
    <w:rsid w:val="002A4E45"/>
    <w:rPr>
      <w:rFonts w:ascii="Arial" w:eastAsia="Times New Roman" w:hAnsi="Arial" w:cs="Times New Roman"/>
      <w:iCs/>
      <w:sz w:val="22"/>
      <w:szCs w:val="22"/>
      <w:shd w:val="clear" w:color="auto" w:fill="FFFFFF"/>
      <w:lang w:val="en-PH" w:eastAsia="en-GB"/>
    </w:rPr>
  </w:style>
  <w:style w:type="character" w:customStyle="1" w:styleId="Heading2Char">
    <w:name w:val="Heading 2 Char"/>
    <w:basedOn w:val="DefaultParagraphFont"/>
    <w:link w:val="Heading2"/>
    <w:uiPriority w:val="9"/>
    <w:rsid w:val="00DD4C2C"/>
    <w:rPr>
      <w:rFonts w:asciiTheme="majorHAnsi" w:eastAsiaTheme="majorEastAsia" w:hAnsiTheme="majorHAnsi" w:cstheme="majorBidi"/>
      <w:color w:val="2F5496" w:themeColor="accent1" w:themeShade="BF"/>
      <w:sz w:val="26"/>
      <w:szCs w:val="26"/>
      <w:lang w:val="en-PH" w:eastAsia="en-GB"/>
    </w:rPr>
  </w:style>
  <w:style w:type="character" w:styleId="UnresolvedMention">
    <w:name w:val="Unresolved Mention"/>
    <w:basedOn w:val="DefaultParagraphFont"/>
    <w:uiPriority w:val="99"/>
    <w:semiHidden/>
    <w:unhideWhenUsed/>
    <w:rsid w:val="00995E4E"/>
    <w:rPr>
      <w:color w:val="605E5C"/>
      <w:shd w:val="clear" w:color="auto" w:fill="E1DFDD"/>
    </w:rPr>
  </w:style>
  <w:style w:type="paragraph" w:customStyle="1" w:styleId="ColorfulList-Accent11">
    <w:name w:val="Colorful List - Accent 11"/>
    <w:basedOn w:val="Normal"/>
    <w:uiPriority w:val="34"/>
    <w:qFormat/>
    <w:rsid w:val="00952524"/>
    <w:pPr>
      <w:tabs>
        <w:tab w:val="left" w:pos="567"/>
      </w:tabs>
      <w:snapToGrid w:val="0"/>
      <w:ind w:left="720"/>
      <w:contextualSpacing/>
    </w:pPr>
    <w:rPr>
      <w:snapToGrid w:val="0"/>
      <w:lang w:eastAsia="en-US"/>
    </w:rPr>
  </w:style>
  <w:style w:type="character" w:styleId="FollowedHyperlink">
    <w:name w:val="FollowedHyperlink"/>
    <w:basedOn w:val="DefaultParagraphFont"/>
    <w:uiPriority w:val="99"/>
    <w:semiHidden/>
    <w:unhideWhenUsed/>
    <w:rsid w:val="001D41EB"/>
    <w:rPr>
      <w:color w:val="954F72" w:themeColor="followedHyperlink"/>
      <w:u w:val="single"/>
    </w:rPr>
  </w:style>
  <w:style w:type="paragraph" w:styleId="NormalWeb">
    <w:name w:val="Normal (Web)"/>
    <w:basedOn w:val="Normal"/>
    <w:uiPriority w:val="99"/>
    <w:unhideWhenUsed/>
    <w:rsid w:val="00BC0855"/>
    <w:pPr>
      <w:spacing w:before="100" w:beforeAutospacing="1" w:after="100" w:afterAutospacing="1"/>
    </w:pPr>
    <w:rPr>
      <w:lang w:eastAsia="ja-JP"/>
    </w:rPr>
  </w:style>
  <w:style w:type="character" w:customStyle="1" w:styleId="ListParagraphChar">
    <w:name w:val="List Paragraph Char"/>
    <w:link w:val="ListParagraph"/>
    <w:uiPriority w:val="34"/>
    <w:locked/>
    <w:rsid w:val="00717004"/>
    <w:rPr>
      <w:rFonts w:ascii="Times New Roman" w:eastAsia="Times New Roman" w:hAnsi="Times New Roman" w:cs="Times New Roman"/>
      <w:lang w:eastAsia="en-GB"/>
    </w:rPr>
  </w:style>
  <w:style w:type="paragraph" w:styleId="Revision">
    <w:name w:val="Revision"/>
    <w:hidden/>
    <w:uiPriority w:val="99"/>
    <w:semiHidden/>
    <w:rsid w:val="0039753F"/>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9753F"/>
    <w:rPr>
      <w:sz w:val="16"/>
      <w:szCs w:val="16"/>
    </w:rPr>
  </w:style>
  <w:style w:type="paragraph" w:styleId="CommentText">
    <w:name w:val="annotation text"/>
    <w:basedOn w:val="Normal"/>
    <w:link w:val="CommentTextChar"/>
    <w:uiPriority w:val="99"/>
    <w:unhideWhenUsed/>
    <w:rsid w:val="0039753F"/>
    <w:rPr>
      <w:sz w:val="20"/>
      <w:szCs w:val="20"/>
    </w:rPr>
  </w:style>
  <w:style w:type="character" w:customStyle="1" w:styleId="CommentTextChar">
    <w:name w:val="Comment Text Char"/>
    <w:basedOn w:val="DefaultParagraphFont"/>
    <w:link w:val="CommentText"/>
    <w:uiPriority w:val="99"/>
    <w:rsid w:val="0039753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3F"/>
    <w:rPr>
      <w:b/>
      <w:bCs/>
    </w:rPr>
  </w:style>
  <w:style w:type="character" w:customStyle="1" w:styleId="CommentSubjectChar">
    <w:name w:val="Comment Subject Char"/>
    <w:basedOn w:val="CommentTextChar"/>
    <w:link w:val="CommentSubject"/>
    <w:uiPriority w:val="99"/>
    <w:semiHidden/>
    <w:rsid w:val="0039753F"/>
    <w:rPr>
      <w:rFonts w:ascii="Times New Roman" w:eastAsia="Times New Roman" w:hAnsi="Times New Roman" w:cs="Times New Roman"/>
      <w:b/>
      <w:bCs/>
      <w:sz w:val="20"/>
      <w:szCs w:val="20"/>
      <w:lang w:eastAsia="en-GB"/>
    </w:rPr>
  </w:style>
  <w:style w:type="numbering" w:customStyle="1" w:styleId="CurrentList1">
    <w:name w:val="Current List1"/>
    <w:uiPriority w:val="99"/>
    <w:rsid w:val="00AC4B49"/>
    <w:pPr>
      <w:numPr>
        <w:numId w:val="25"/>
      </w:numPr>
    </w:pPr>
  </w:style>
  <w:style w:type="numbering" w:customStyle="1" w:styleId="CurrentList2">
    <w:name w:val="Current List2"/>
    <w:uiPriority w:val="99"/>
    <w:rsid w:val="00AC4B49"/>
    <w:pPr>
      <w:numPr>
        <w:numId w:val="26"/>
      </w:numPr>
    </w:pPr>
  </w:style>
  <w:style w:type="numbering" w:customStyle="1" w:styleId="CurrentList3">
    <w:name w:val="Current List3"/>
    <w:uiPriority w:val="99"/>
    <w:rsid w:val="00AC4B49"/>
    <w:pPr>
      <w:numPr>
        <w:numId w:val="27"/>
      </w:numPr>
    </w:pPr>
  </w:style>
  <w:style w:type="numbering" w:customStyle="1" w:styleId="CurrentList4">
    <w:name w:val="Current List4"/>
    <w:uiPriority w:val="99"/>
    <w:rsid w:val="00AC4B49"/>
    <w:pPr>
      <w:numPr>
        <w:numId w:val="29"/>
      </w:numPr>
    </w:pPr>
  </w:style>
  <w:style w:type="character" w:customStyle="1" w:styleId="Heading4Char">
    <w:name w:val="Heading 4 Char"/>
    <w:basedOn w:val="DefaultParagraphFont"/>
    <w:link w:val="Heading4"/>
    <w:uiPriority w:val="9"/>
    <w:semiHidden/>
    <w:rsid w:val="00C54645"/>
    <w:rPr>
      <w:rFonts w:asciiTheme="majorHAnsi" w:eastAsiaTheme="majorEastAsia" w:hAnsiTheme="majorHAnsi" w:cstheme="majorBidi"/>
      <w:i/>
      <w:iCs/>
      <w:color w:val="2F5496" w:themeColor="accent1" w:themeShade="BF"/>
      <w:lang w:eastAsia="en-GB"/>
    </w:rPr>
  </w:style>
  <w:style w:type="character" w:styleId="FootnoteReference">
    <w:name w:val="footnote reference"/>
    <w:basedOn w:val="DefaultParagraphFont"/>
    <w:uiPriority w:val="99"/>
    <w:semiHidden/>
    <w:unhideWhenUsed/>
    <w:rsid w:val="00C54645"/>
    <w:rPr>
      <w:rFonts w:ascii="Arial" w:hAnsi="Arial"/>
      <w:b w:val="0"/>
      <w:i w:val="0"/>
      <w:vertAlign w:val="superscript"/>
    </w:rPr>
  </w:style>
  <w:style w:type="paragraph" w:customStyle="1" w:styleId="Bullet-shortparagraph-3pt">
    <w:name w:val="Bullet - short paragraph - 3pt"/>
    <w:basedOn w:val="Normal"/>
    <w:qFormat/>
    <w:rsid w:val="00C54645"/>
    <w:pPr>
      <w:numPr>
        <w:numId w:val="33"/>
      </w:numPr>
      <w:spacing w:before="120" w:after="120" w:line="276" w:lineRule="auto"/>
      <w:ind w:left="340"/>
    </w:pPr>
    <w:rPr>
      <w:rFonts w:ascii="Arial" w:eastAsia="Arial" w:hAnsi="Arial" w:cstheme="minorBidi"/>
      <w:color w:val="FFFFFF" w:themeColor="background1"/>
      <w:sz w:val="20"/>
    </w:rPr>
  </w:style>
  <w:style w:type="paragraph" w:customStyle="1" w:styleId="Default">
    <w:name w:val="Default"/>
    <w:rsid w:val="0093536D"/>
    <w:pPr>
      <w:autoSpaceDE w:val="0"/>
      <w:autoSpaceDN w:val="0"/>
      <w:adjustRightInd w:val="0"/>
    </w:pPr>
    <w:rPr>
      <w:rFonts w:ascii="Arial" w:hAnsi="Arial" w:cs="Arial"/>
      <w:color w:val="000000"/>
      <w:lang w:val="en-GB"/>
    </w:rPr>
  </w:style>
  <w:style w:type="paragraph" w:styleId="FootnoteText">
    <w:name w:val="footnote text"/>
    <w:basedOn w:val="Normal"/>
    <w:link w:val="FootnoteTextChar"/>
    <w:uiPriority w:val="99"/>
    <w:semiHidden/>
    <w:unhideWhenUsed/>
    <w:rsid w:val="00750C34"/>
    <w:rPr>
      <w:sz w:val="20"/>
      <w:szCs w:val="20"/>
    </w:rPr>
  </w:style>
  <w:style w:type="character" w:customStyle="1" w:styleId="FootnoteTextChar">
    <w:name w:val="Footnote Text Char"/>
    <w:basedOn w:val="DefaultParagraphFont"/>
    <w:link w:val="FootnoteText"/>
    <w:uiPriority w:val="99"/>
    <w:semiHidden/>
    <w:rsid w:val="00750C34"/>
    <w:rPr>
      <w:rFonts w:ascii="Times New Roman" w:eastAsia="Times New Roman" w:hAnsi="Times New Roman" w:cs="Times New Roman"/>
      <w:sz w:val="20"/>
      <w:szCs w:val="20"/>
      <w:lang w:val="en-GB" w:eastAsia="en-GB"/>
    </w:rPr>
  </w:style>
  <w:style w:type="paragraph" w:styleId="TOCHeading">
    <w:name w:val="TOC Heading"/>
    <w:basedOn w:val="Heading1"/>
    <w:next w:val="Normal"/>
    <w:uiPriority w:val="39"/>
    <w:unhideWhenUsed/>
    <w:qFormat/>
    <w:rsid w:val="00B46C66"/>
    <w:pPr>
      <w:spacing w:line="259" w:lineRule="auto"/>
      <w:outlineLvl w:val="9"/>
    </w:pPr>
    <w:rPr>
      <w:rFonts w:asciiTheme="majorHAnsi" w:hAnsiTheme="majorHAnsi"/>
      <w:b w:val="0"/>
      <w:color w:val="2F5496" w:themeColor="accent1" w:themeShade="BF"/>
      <w:sz w:val="32"/>
      <w:lang w:val="en-US" w:eastAsia="en-US"/>
    </w:rPr>
  </w:style>
  <w:style w:type="paragraph" w:styleId="TOC2">
    <w:name w:val="toc 2"/>
    <w:basedOn w:val="Normal"/>
    <w:next w:val="Normal"/>
    <w:autoRedefine/>
    <w:uiPriority w:val="39"/>
    <w:unhideWhenUsed/>
    <w:rsid w:val="00B46C6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17963">
      <w:bodyDiv w:val="1"/>
      <w:marLeft w:val="0"/>
      <w:marRight w:val="0"/>
      <w:marTop w:val="0"/>
      <w:marBottom w:val="0"/>
      <w:divBdr>
        <w:top w:val="none" w:sz="0" w:space="0" w:color="auto"/>
        <w:left w:val="none" w:sz="0" w:space="0" w:color="auto"/>
        <w:bottom w:val="none" w:sz="0" w:space="0" w:color="auto"/>
        <w:right w:val="none" w:sz="0" w:space="0" w:color="auto"/>
      </w:divBdr>
    </w:div>
    <w:div w:id="491531053">
      <w:bodyDiv w:val="1"/>
      <w:marLeft w:val="0"/>
      <w:marRight w:val="0"/>
      <w:marTop w:val="0"/>
      <w:marBottom w:val="0"/>
      <w:divBdr>
        <w:top w:val="none" w:sz="0" w:space="0" w:color="auto"/>
        <w:left w:val="none" w:sz="0" w:space="0" w:color="auto"/>
        <w:bottom w:val="none" w:sz="0" w:space="0" w:color="auto"/>
        <w:right w:val="none" w:sz="0" w:space="0" w:color="auto"/>
      </w:divBdr>
    </w:div>
    <w:div w:id="626082028">
      <w:bodyDiv w:val="1"/>
      <w:marLeft w:val="0"/>
      <w:marRight w:val="0"/>
      <w:marTop w:val="0"/>
      <w:marBottom w:val="0"/>
      <w:divBdr>
        <w:top w:val="none" w:sz="0" w:space="0" w:color="auto"/>
        <w:left w:val="none" w:sz="0" w:space="0" w:color="auto"/>
        <w:bottom w:val="none" w:sz="0" w:space="0" w:color="auto"/>
        <w:right w:val="none" w:sz="0" w:space="0" w:color="auto"/>
      </w:divBdr>
      <w:divsChild>
        <w:div w:id="896628048">
          <w:marLeft w:val="720"/>
          <w:marRight w:val="0"/>
          <w:marTop w:val="0"/>
          <w:marBottom w:val="0"/>
          <w:divBdr>
            <w:top w:val="none" w:sz="0" w:space="0" w:color="auto"/>
            <w:left w:val="none" w:sz="0" w:space="0" w:color="auto"/>
            <w:bottom w:val="none" w:sz="0" w:space="0" w:color="auto"/>
            <w:right w:val="none" w:sz="0" w:space="0" w:color="auto"/>
          </w:divBdr>
        </w:div>
        <w:div w:id="912542879">
          <w:marLeft w:val="720"/>
          <w:marRight w:val="0"/>
          <w:marTop w:val="0"/>
          <w:marBottom w:val="0"/>
          <w:divBdr>
            <w:top w:val="none" w:sz="0" w:space="0" w:color="auto"/>
            <w:left w:val="none" w:sz="0" w:space="0" w:color="auto"/>
            <w:bottom w:val="none" w:sz="0" w:space="0" w:color="auto"/>
            <w:right w:val="none" w:sz="0" w:space="0" w:color="auto"/>
          </w:divBdr>
        </w:div>
        <w:div w:id="1917129435">
          <w:marLeft w:val="720"/>
          <w:marRight w:val="0"/>
          <w:marTop w:val="0"/>
          <w:marBottom w:val="0"/>
          <w:divBdr>
            <w:top w:val="none" w:sz="0" w:space="0" w:color="auto"/>
            <w:left w:val="none" w:sz="0" w:space="0" w:color="auto"/>
            <w:bottom w:val="none" w:sz="0" w:space="0" w:color="auto"/>
            <w:right w:val="none" w:sz="0" w:space="0" w:color="auto"/>
          </w:divBdr>
        </w:div>
        <w:div w:id="210390226">
          <w:marLeft w:val="720"/>
          <w:marRight w:val="0"/>
          <w:marTop w:val="0"/>
          <w:marBottom w:val="0"/>
          <w:divBdr>
            <w:top w:val="none" w:sz="0" w:space="0" w:color="auto"/>
            <w:left w:val="none" w:sz="0" w:space="0" w:color="auto"/>
            <w:bottom w:val="none" w:sz="0" w:space="0" w:color="auto"/>
            <w:right w:val="none" w:sz="0" w:space="0" w:color="auto"/>
          </w:divBdr>
        </w:div>
        <w:div w:id="972636868">
          <w:marLeft w:val="720"/>
          <w:marRight w:val="0"/>
          <w:marTop w:val="0"/>
          <w:marBottom w:val="0"/>
          <w:divBdr>
            <w:top w:val="none" w:sz="0" w:space="0" w:color="auto"/>
            <w:left w:val="none" w:sz="0" w:space="0" w:color="auto"/>
            <w:bottom w:val="none" w:sz="0" w:space="0" w:color="auto"/>
            <w:right w:val="none" w:sz="0" w:space="0" w:color="auto"/>
          </w:divBdr>
        </w:div>
        <w:div w:id="913930392">
          <w:marLeft w:val="720"/>
          <w:marRight w:val="0"/>
          <w:marTop w:val="0"/>
          <w:marBottom w:val="0"/>
          <w:divBdr>
            <w:top w:val="none" w:sz="0" w:space="0" w:color="auto"/>
            <w:left w:val="none" w:sz="0" w:space="0" w:color="auto"/>
            <w:bottom w:val="none" w:sz="0" w:space="0" w:color="auto"/>
            <w:right w:val="none" w:sz="0" w:space="0" w:color="auto"/>
          </w:divBdr>
        </w:div>
        <w:div w:id="1316880738">
          <w:marLeft w:val="720"/>
          <w:marRight w:val="0"/>
          <w:marTop w:val="0"/>
          <w:marBottom w:val="0"/>
          <w:divBdr>
            <w:top w:val="none" w:sz="0" w:space="0" w:color="auto"/>
            <w:left w:val="none" w:sz="0" w:space="0" w:color="auto"/>
            <w:bottom w:val="none" w:sz="0" w:space="0" w:color="auto"/>
            <w:right w:val="none" w:sz="0" w:space="0" w:color="auto"/>
          </w:divBdr>
        </w:div>
      </w:divsChild>
    </w:div>
    <w:div w:id="836043532">
      <w:bodyDiv w:val="1"/>
      <w:marLeft w:val="0"/>
      <w:marRight w:val="0"/>
      <w:marTop w:val="0"/>
      <w:marBottom w:val="0"/>
      <w:divBdr>
        <w:top w:val="none" w:sz="0" w:space="0" w:color="auto"/>
        <w:left w:val="none" w:sz="0" w:space="0" w:color="auto"/>
        <w:bottom w:val="none" w:sz="0" w:space="0" w:color="auto"/>
        <w:right w:val="none" w:sz="0" w:space="0" w:color="auto"/>
      </w:divBdr>
      <w:divsChild>
        <w:div w:id="1077480353">
          <w:marLeft w:val="274"/>
          <w:marRight w:val="0"/>
          <w:marTop w:val="0"/>
          <w:marBottom w:val="0"/>
          <w:divBdr>
            <w:top w:val="none" w:sz="0" w:space="0" w:color="auto"/>
            <w:left w:val="none" w:sz="0" w:space="0" w:color="auto"/>
            <w:bottom w:val="none" w:sz="0" w:space="0" w:color="auto"/>
            <w:right w:val="none" w:sz="0" w:space="0" w:color="auto"/>
          </w:divBdr>
        </w:div>
        <w:div w:id="2096784998">
          <w:marLeft w:val="274"/>
          <w:marRight w:val="0"/>
          <w:marTop w:val="0"/>
          <w:marBottom w:val="0"/>
          <w:divBdr>
            <w:top w:val="none" w:sz="0" w:space="0" w:color="auto"/>
            <w:left w:val="none" w:sz="0" w:space="0" w:color="auto"/>
            <w:bottom w:val="none" w:sz="0" w:space="0" w:color="auto"/>
            <w:right w:val="none" w:sz="0" w:space="0" w:color="auto"/>
          </w:divBdr>
        </w:div>
        <w:div w:id="1191603941">
          <w:marLeft w:val="274"/>
          <w:marRight w:val="0"/>
          <w:marTop w:val="0"/>
          <w:marBottom w:val="0"/>
          <w:divBdr>
            <w:top w:val="none" w:sz="0" w:space="0" w:color="auto"/>
            <w:left w:val="none" w:sz="0" w:space="0" w:color="auto"/>
            <w:bottom w:val="none" w:sz="0" w:space="0" w:color="auto"/>
            <w:right w:val="none" w:sz="0" w:space="0" w:color="auto"/>
          </w:divBdr>
        </w:div>
        <w:div w:id="1164781775">
          <w:marLeft w:val="274"/>
          <w:marRight w:val="0"/>
          <w:marTop w:val="0"/>
          <w:marBottom w:val="0"/>
          <w:divBdr>
            <w:top w:val="none" w:sz="0" w:space="0" w:color="auto"/>
            <w:left w:val="none" w:sz="0" w:space="0" w:color="auto"/>
            <w:bottom w:val="none" w:sz="0" w:space="0" w:color="auto"/>
            <w:right w:val="none" w:sz="0" w:space="0" w:color="auto"/>
          </w:divBdr>
        </w:div>
        <w:div w:id="1842623062">
          <w:marLeft w:val="274"/>
          <w:marRight w:val="0"/>
          <w:marTop w:val="0"/>
          <w:marBottom w:val="0"/>
          <w:divBdr>
            <w:top w:val="none" w:sz="0" w:space="0" w:color="auto"/>
            <w:left w:val="none" w:sz="0" w:space="0" w:color="auto"/>
            <w:bottom w:val="none" w:sz="0" w:space="0" w:color="auto"/>
            <w:right w:val="none" w:sz="0" w:space="0" w:color="auto"/>
          </w:divBdr>
        </w:div>
      </w:divsChild>
    </w:div>
    <w:div w:id="876089662">
      <w:bodyDiv w:val="1"/>
      <w:marLeft w:val="0"/>
      <w:marRight w:val="0"/>
      <w:marTop w:val="0"/>
      <w:marBottom w:val="0"/>
      <w:divBdr>
        <w:top w:val="none" w:sz="0" w:space="0" w:color="auto"/>
        <w:left w:val="none" w:sz="0" w:space="0" w:color="auto"/>
        <w:bottom w:val="none" w:sz="0" w:space="0" w:color="auto"/>
        <w:right w:val="none" w:sz="0" w:space="0" w:color="auto"/>
      </w:divBdr>
    </w:div>
    <w:div w:id="1992057422">
      <w:bodyDiv w:val="1"/>
      <w:marLeft w:val="0"/>
      <w:marRight w:val="0"/>
      <w:marTop w:val="0"/>
      <w:marBottom w:val="0"/>
      <w:divBdr>
        <w:top w:val="none" w:sz="0" w:space="0" w:color="auto"/>
        <w:left w:val="none" w:sz="0" w:space="0" w:color="auto"/>
        <w:bottom w:val="none" w:sz="0" w:space="0" w:color="auto"/>
        <w:right w:val="none" w:sz="0" w:space="0" w:color="auto"/>
      </w:divBdr>
      <w:divsChild>
        <w:div w:id="1177621960">
          <w:marLeft w:val="720"/>
          <w:marRight w:val="0"/>
          <w:marTop w:val="0"/>
          <w:marBottom w:val="0"/>
          <w:divBdr>
            <w:top w:val="none" w:sz="0" w:space="0" w:color="auto"/>
            <w:left w:val="none" w:sz="0" w:space="0" w:color="auto"/>
            <w:bottom w:val="none" w:sz="0" w:space="0" w:color="auto"/>
            <w:right w:val="none" w:sz="0" w:space="0" w:color="auto"/>
          </w:divBdr>
        </w:div>
        <w:div w:id="1377579730">
          <w:marLeft w:val="720"/>
          <w:marRight w:val="0"/>
          <w:marTop w:val="0"/>
          <w:marBottom w:val="0"/>
          <w:divBdr>
            <w:top w:val="none" w:sz="0" w:space="0" w:color="auto"/>
            <w:left w:val="none" w:sz="0" w:space="0" w:color="auto"/>
            <w:bottom w:val="none" w:sz="0" w:space="0" w:color="auto"/>
            <w:right w:val="none" w:sz="0" w:space="0" w:color="auto"/>
          </w:divBdr>
        </w:div>
        <w:div w:id="2106072936">
          <w:marLeft w:val="720"/>
          <w:marRight w:val="0"/>
          <w:marTop w:val="0"/>
          <w:marBottom w:val="0"/>
          <w:divBdr>
            <w:top w:val="none" w:sz="0" w:space="0" w:color="auto"/>
            <w:left w:val="none" w:sz="0" w:space="0" w:color="auto"/>
            <w:bottom w:val="none" w:sz="0" w:space="0" w:color="auto"/>
            <w:right w:val="none" w:sz="0" w:space="0" w:color="auto"/>
          </w:divBdr>
        </w:div>
        <w:div w:id="2127386596">
          <w:marLeft w:val="720"/>
          <w:marRight w:val="0"/>
          <w:marTop w:val="0"/>
          <w:marBottom w:val="0"/>
          <w:divBdr>
            <w:top w:val="none" w:sz="0" w:space="0" w:color="auto"/>
            <w:left w:val="none" w:sz="0" w:space="0" w:color="auto"/>
            <w:bottom w:val="none" w:sz="0" w:space="0" w:color="auto"/>
            <w:right w:val="none" w:sz="0" w:space="0" w:color="auto"/>
          </w:divBdr>
        </w:div>
        <w:div w:id="422724101">
          <w:marLeft w:val="720"/>
          <w:marRight w:val="0"/>
          <w:marTop w:val="0"/>
          <w:marBottom w:val="0"/>
          <w:divBdr>
            <w:top w:val="none" w:sz="0" w:space="0" w:color="auto"/>
            <w:left w:val="none" w:sz="0" w:space="0" w:color="auto"/>
            <w:bottom w:val="none" w:sz="0" w:space="0" w:color="auto"/>
            <w:right w:val="none" w:sz="0" w:space="0" w:color="auto"/>
          </w:divBdr>
        </w:div>
        <w:div w:id="1959289467">
          <w:marLeft w:val="720"/>
          <w:marRight w:val="0"/>
          <w:marTop w:val="0"/>
          <w:marBottom w:val="0"/>
          <w:divBdr>
            <w:top w:val="none" w:sz="0" w:space="0" w:color="auto"/>
            <w:left w:val="none" w:sz="0" w:space="0" w:color="auto"/>
            <w:bottom w:val="none" w:sz="0" w:space="0" w:color="auto"/>
            <w:right w:val="none" w:sz="0" w:space="0" w:color="auto"/>
          </w:divBdr>
        </w:div>
        <w:div w:id="12249531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sdoc.unesco.org/ark:/48223/pf0000379054.locale=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ceanexpert.org/document/333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esdoc.unesco.org/ark:/48223/pf00002268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document/32672" TargetMode="External"/><Relationship Id="rId5" Type="http://schemas.openxmlformats.org/officeDocument/2006/relationships/numbering" Target="numbering.xml"/><Relationship Id="rId15" Type="http://schemas.openxmlformats.org/officeDocument/2006/relationships/hyperlink" Target="https://unesdoc.unesco.org/ark:/48223/pf0000381388"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sdoc.unesco.org/ark:/48223/pf000038138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133914A86DDA4ABCCCFF07E8C0D63B" ma:contentTypeVersion="25" ma:contentTypeDescription="Create a new document." ma:contentTypeScope="" ma:versionID="8985174ac8e620b0772837996f13b913">
  <xsd:schema xmlns:xsd="http://www.w3.org/2001/XMLSchema" xmlns:xs="http://www.w3.org/2001/XMLSchema" xmlns:p="http://schemas.microsoft.com/office/2006/metadata/properties" xmlns:ns2="37289dc8-d0c9-47c1-9240-66a74fc3f87d" xmlns:ns3="953775bb-7f87-4052-b16f-b02ba07db91b" targetNamespace="http://schemas.microsoft.com/office/2006/metadata/properties" ma:root="true" ma:fieldsID="e0442181f49239b11ea28cfaa1c52241" ns2:_="" ns3:_="">
    <xsd:import namespace="37289dc8-d0c9-47c1-9240-66a74fc3f87d"/>
    <xsd:import namespace="953775bb-7f87-4052-b16f-b02ba07db91b"/>
    <xsd:element name="properties">
      <xsd:complexType>
        <xsd:sequence>
          <xsd:element name="documentManagement">
            <xsd:complexType>
              <xsd:all>
                <xsd:element ref="ns2:Partner" minOccurs="0"/>
                <xsd:element ref="ns2:DocumentType"/>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Audience" minOccurs="0"/>
                <xsd:element ref="ns2:MediaServiceObjectDetectorVersions" minOccurs="0"/>
                <xsd:element ref="ns2:Comments" minOccurs="0"/>
                <xsd:element ref="ns2:Project"/>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89dc8-d0c9-47c1-9240-66a74fc3f87d" elementFormDefault="qualified">
    <xsd:import namespace="http://schemas.microsoft.com/office/2006/documentManagement/types"/>
    <xsd:import namespace="http://schemas.microsoft.com/office/infopath/2007/PartnerControls"/>
    <xsd:element name="Partner" ma:index="2" nillable="true" ma:displayName="Partner" ma:default="SDR Hub Internal" ma:format="Dropdown" ma:internalName="Partner"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UNESCO"/>
                        <xsd:enumeration value="SDR Hub Internal"/>
                        <xsd:enumeration value="Ocean Panel"/>
                        <xsd:enumeration value="PBSP"/>
                        <xsd:enumeration value="GOAP"/>
                      </xsd:restriction>
                    </xsd:simpleType>
                  </xsd:union>
                </xsd:simpleType>
              </xsd:element>
            </xsd:sequence>
          </xsd:extension>
        </xsd:complexContent>
      </xsd:complexType>
    </xsd:element>
    <xsd:element name="DocumentType" ma:index="3" ma:displayName="Document Type" ma:format="Dropdown" ma:internalName="DocumentType">
      <xsd:simpleType>
        <xsd:restriction base="dms:Choice">
          <xsd:enumeration value="Concept Note"/>
          <xsd:enumeration value="Meeting Report"/>
          <xsd:enumeration value="Technical Note"/>
          <xsd:enumeration value="Technical Report"/>
          <xsd:enumeration value="Journal Article"/>
          <xsd:enumeration value="Briefing Paper"/>
          <xsd:enumeration value="Information sheet"/>
          <xsd:enumeration value="Event agenda"/>
          <xsd:enumeration value="Presentation"/>
          <xsd:enumeration value="Correspondence"/>
          <xsd:enumeration value="Internal Note"/>
          <xsd:enumeration value="Internal Proposal"/>
          <xsd:enumeration value="Blog post"/>
          <xsd:enumeration value="Visual Asset"/>
          <xsd:enumeration value="Codebase"/>
          <xsd:enumeration value="ML Training Data"/>
          <xsd:enumeration value="Knowledge"/>
          <xsd:enumeration value="Contract documentation"/>
          <xsd:enumeration value="External proposal"/>
          <xsd:enumeration value="Newsletter draft"/>
          <xsd:enumeration value="Comms Brief"/>
          <xsd:enumeration value="Invitation"/>
          <xsd:enumeration value="Invoice"/>
          <xsd:enumeration value="Budge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udience" ma:index="21" nillable="true" ma:displayName="Audience" ma:format="Dropdown" ma:hidden="true" ma:internalName="Audience" ma:readOnly="false">
      <xsd:complexType>
        <xsd:complexContent>
          <xsd:extension base="dms:MultiChoiceFillIn">
            <xsd:sequence>
              <xsd:element name="Value" maxOccurs="unbounded" minOccurs="0" nillable="true">
                <xsd:simpleType>
                  <xsd:union memberTypes="dms:Text">
                    <xsd:simpleType>
                      <xsd:restriction base="dms:Choice">
                        <xsd:enumeration value="PBSP"/>
                        <xsd:enumeration value="GOAP"/>
                        <xsd:enumeration value="UNSW"/>
                      </xsd:restriction>
                    </xsd:simpleType>
                  </xsd:union>
                </xsd:simple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element name="Project" ma:index="26" ma:displayName="Project" ma:description="Use this column to specify a specific project, event or content theme" ma:format="Dropdown" ma:internalName="Project">
      <xsd:simpleType>
        <xsd:union memberTypes="dms:Text">
          <xsd:simpleType>
            <xsd:restriction base="dms:Choice">
              <xsd:enumeration value="Membership"/>
              <xsd:enumeration value="4th GD"/>
              <xsd:enumeration value="5th GD"/>
              <xsd:enumeration value="Communications"/>
              <xsd:enumeration value="SEEA Ocean WG"/>
              <xsd:enumeration value="Our Ocean 23"/>
              <xsd:enumeration value="Internal operations"/>
              <xsd:enumeration value="BPF"/>
              <xsd:enumeration value="BCAF"/>
              <xsd:enumeration value="Maldives"/>
            </xsd:restriction>
          </xsd:simpleType>
        </xsd:un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775bb-7f87-4052-b16f-b02ba07db91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04a3f4cd-7e24-43e3-bee0-c075c828180e}" ma:internalName="TaxCatchAll" ma:readOnly="false" ma:showField="CatchAllData" ma:web="953775bb-7f87-4052-b16f-b02ba07db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89dc8-d0c9-47c1-9240-66a74fc3f87d">
      <Terms xmlns="http://schemas.microsoft.com/office/infopath/2007/PartnerControls"/>
    </lcf76f155ced4ddcb4097134ff3c332f>
    <Audience xmlns="37289dc8-d0c9-47c1-9240-66a74fc3f87d" xsi:nil="true"/>
    <Comments xmlns="37289dc8-d0c9-47c1-9240-66a74fc3f87d" xsi:nil="true"/>
    <Project xmlns="37289dc8-d0c9-47c1-9240-66a74fc3f87d">UNESCO</Project>
    <Partner xmlns="37289dc8-d0c9-47c1-9240-66a74fc3f87d">
      <Value>UNESCO</Value>
    </Partner>
    <DocumentType xmlns="37289dc8-d0c9-47c1-9240-66a74fc3f87d">Technical Note</DocumentType>
    <TaxCatchAll xmlns="953775bb-7f87-4052-b16f-b02ba07db9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3BD24-AA01-D449-B592-3CE4285E6B43}">
  <ds:schemaRefs>
    <ds:schemaRef ds:uri="http://schemas.openxmlformats.org/officeDocument/2006/bibliography"/>
  </ds:schemaRefs>
</ds:datastoreItem>
</file>

<file path=customXml/itemProps2.xml><?xml version="1.0" encoding="utf-8"?>
<ds:datastoreItem xmlns:ds="http://schemas.openxmlformats.org/officeDocument/2006/customXml" ds:itemID="{001BFD6B-B220-4055-988E-1734BAD84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89dc8-d0c9-47c1-9240-66a74fc3f87d"/>
    <ds:schemaRef ds:uri="953775bb-7f87-4052-b16f-b02ba07d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C377C-553E-4405-90AE-B9004109060D}">
  <ds:schemaRefs>
    <ds:schemaRef ds:uri="953775bb-7f87-4052-b16f-b02ba07db9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289dc8-d0c9-47c1-9240-66a74fc3f87d"/>
    <ds:schemaRef ds:uri="http://www.w3.org/XML/1998/namespace"/>
    <ds:schemaRef ds:uri="http://purl.org/dc/dcmitype/"/>
  </ds:schemaRefs>
</ds:datastoreItem>
</file>

<file path=customXml/itemProps4.xml><?xml version="1.0" encoding="utf-8"?>
<ds:datastoreItem xmlns:ds="http://schemas.openxmlformats.org/officeDocument/2006/customXml" ds:itemID="{E7DAEB31-C3A6-4602-AA99-83F446EA18BD}">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16</Pages>
  <Words>6667</Words>
  <Characters>38007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 Johanna Paula</dc:creator>
  <cp:keywords/>
  <dc:description/>
  <cp:lastModifiedBy>Boned, Patrice</cp:lastModifiedBy>
  <cp:revision>5</cp:revision>
  <cp:lastPrinted>2024-06-03T14:45:00Z</cp:lastPrinted>
  <dcterms:created xsi:type="dcterms:W3CDTF">2024-06-03T14:43:00Z</dcterms:created>
  <dcterms:modified xsi:type="dcterms:W3CDTF">2024-06-03T14:54:00Z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0x01010071133914A86DDA4ABCCCFF07E8C0D63B</vt:lpwstr>
  </property>
  <property fmtid="{D5CDD505-2E9C-101B-9397-08002B2CF9AE}" pid="3" name="MediaServiceImageTags">
    <vt:lpwstr/>
  </property>
</Properties>
</file>