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50D" w14:textId="5B454221" w:rsidR="006661AB" w:rsidRPr="00165220" w:rsidRDefault="00165220" w:rsidP="00165220">
      <w:pPr>
        <w:tabs>
          <w:tab w:val="left" w:pos="6375"/>
        </w:tabs>
        <w:spacing w:before="75"/>
        <w:ind w:left="533"/>
        <w:rPr>
          <w:rFonts w:ascii="Arial" w:hAnsi="Arial"/>
          <w:b/>
          <w:sz w:val="24"/>
        </w:rPr>
      </w:pPr>
      <w:r w:rsidRPr="00165220">
        <w:t>Restricted Distribution</w:t>
      </w:r>
      <w:r w:rsidR="00B7110F" w:rsidRPr="00165220">
        <w:t xml:space="preserve">                                         </w:t>
      </w:r>
      <w:r>
        <w:t xml:space="preserve">    </w:t>
      </w:r>
      <w:r w:rsidR="00072F2D">
        <w:t xml:space="preserve">          </w:t>
      </w:r>
      <w:r w:rsidR="00072F2D" w:rsidRPr="00072F2D">
        <w:rPr>
          <w:rFonts w:ascii="Arial" w:hAnsi="Arial" w:cs="Arial"/>
          <w:b/>
          <w:bCs/>
        </w:rPr>
        <w:t xml:space="preserve">IOC/ IOCARIBE/TASK FORCE 3/Doc </w:t>
      </w:r>
      <w:r w:rsidR="002D0A11">
        <w:rPr>
          <w:rFonts w:ascii="Arial" w:hAnsi="Arial" w:cs="Arial"/>
          <w:b/>
          <w:bCs/>
        </w:rPr>
        <w:t>7</w:t>
      </w:r>
    </w:p>
    <w:p w14:paraId="670DBC04" w14:textId="77777777" w:rsidR="00B7110F" w:rsidRDefault="00B7110F">
      <w:pPr>
        <w:spacing w:before="2"/>
        <w:ind w:right="100"/>
        <w:jc w:val="right"/>
        <w:rPr>
          <w:rFonts w:eastAsia="Times New Roman" w:hAnsi="Times New Roman" w:cs="Times New Roman"/>
        </w:rPr>
      </w:pPr>
      <w:bookmarkStart w:id="0" w:name="_Hlk167696763"/>
      <w:bookmarkStart w:id="1" w:name="_Hlk167696731"/>
      <w:bookmarkStart w:id="2" w:name="_Hlk133657799"/>
      <w:r w:rsidRPr="00B7110F">
        <w:rPr>
          <w:rFonts w:eastAsia="Times New Roman" w:hAnsi="Times New Roman" w:cs="Times New Roman"/>
        </w:rPr>
        <w:t>Cartagena, 24 May 2024</w:t>
      </w:r>
      <w:bookmarkEnd w:id="0"/>
    </w:p>
    <w:p w14:paraId="04AE6510" w14:textId="6B4F94D6" w:rsidR="006661AB" w:rsidRDefault="00563771">
      <w:pPr>
        <w:spacing w:before="2"/>
        <w:ind w:right="100"/>
        <w:jc w:val="right"/>
        <w:rPr>
          <w:sz w:val="20"/>
        </w:rPr>
      </w:pPr>
      <w:r w:rsidRPr="00202E0A">
        <w:rPr>
          <w:sz w:val="20"/>
        </w:rPr>
        <w:t>Original:</w:t>
      </w:r>
      <w:r w:rsidRPr="00202E0A">
        <w:rPr>
          <w:spacing w:val="-2"/>
          <w:sz w:val="20"/>
        </w:rPr>
        <w:t xml:space="preserve"> </w:t>
      </w:r>
      <w:r w:rsidRPr="00202E0A">
        <w:rPr>
          <w:sz w:val="20"/>
        </w:rPr>
        <w:t>English</w:t>
      </w:r>
    </w:p>
    <w:bookmarkEnd w:id="1"/>
    <w:p w14:paraId="00B3FA66" w14:textId="3F6AF55D" w:rsidR="003D1D15" w:rsidRDefault="003D1D15">
      <w:pPr>
        <w:spacing w:before="2"/>
        <w:ind w:right="100"/>
        <w:jc w:val="right"/>
        <w:rPr>
          <w:sz w:val="20"/>
        </w:rPr>
      </w:pPr>
    </w:p>
    <w:p w14:paraId="77F4C3C4" w14:textId="164F58EF" w:rsidR="003D1D15" w:rsidRPr="00202E0A" w:rsidRDefault="00B7110F">
      <w:pPr>
        <w:spacing w:before="2"/>
        <w:ind w:right="100"/>
        <w:jc w:val="right"/>
        <w:rPr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891AC76" wp14:editId="7A8D66DA">
            <wp:simplePos x="0" y="0"/>
            <wp:positionH relativeFrom="margin">
              <wp:posOffset>520700</wp:posOffset>
            </wp:positionH>
            <wp:positionV relativeFrom="paragraph">
              <wp:posOffset>11430</wp:posOffset>
            </wp:positionV>
            <wp:extent cx="1285875" cy="1075055"/>
            <wp:effectExtent l="0" t="0" r="9525" b="0"/>
            <wp:wrapThrough wrapText="bothSides">
              <wp:wrapPolygon edited="0">
                <wp:start x="640" y="383"/>
                <wp:lineTo x="640" y="11865"/>
                <wp:lineTo x="2880" y="13396"/>
                <wp:lineTo x="1600" y="13396"/>
                <wp:lineTo x="640" y="13779"/>
                <wp:lineTo x="960" y="19520"/>
                <wp:lineTo x="10560" y="19520"/>
                <wp:lineTo x="15040" y="14927"/>
                <wp:lineTo x="15040" y="13396"/>
                <wp:lineTo x="19200" y="13396"/>
                <wp:lineTo x="21440" y="12248"/>
                <wp:lineTo x="21440" y="383"/>
                <wp:lineTo x="640" y="383"/>
              </wp:wrapPolygon>
            </wp:wrapThrough>
            <wp:docPr id="556548915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48915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11"/>
                    <a:stretch/>
                  </pic:blipFill>
                  <pic:spPr bwMode="auto">
                    <a:xfrm>
                      <a:off x="0" y="0"/>
                      <a:ext cx="128587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04AE6511" w14:textId="125DD0F5" w:rsidR="006661AB" w:rsidRPr="00202E0A" w:rsidRDefault="006661AB"/>
    <w:p w14:paraId="329AE6AB" w14:textId="7872D5A7" w:rsidR="0096185C" w:rsidRPr="00072F2D" w:rsidRDefault="0096185C">
      <w:pPr>
        <w:spacing w:line="229" w:lineRule="exact"/>
        <w:ind w:left="3385"/>
        <w:rPr>
          <w:rFonts w:ascii="Arial" w:hAnsi="Arial" w:cs="Arial"/>
          <w:b/>
          <w:bCs/>
          <w:sz w:val="24"/>
          <w:szCs w:val="24"/>
        </w:rPr>
      </w:pPr>
      <w:bookmarkStart w:id="3" w:name="_Hlk133657574"/>
      <w:r w:rsidRPr="00072F2D">
        <w:rPr>
          <w:rFonts w:ascii="Arial" w:hAnsi="Arial" w:cs="Arial"/>
          <w:b/>
          <w:bCs/>
          <w:sz w:val="24"/>
          <w:szCs w:val="24"/>
        </w:rPr>
        <w:t xml:space="preserve">INTERGOVERNMENTAL OCEANOGRAPHIC COMMISSION </w:t>
      </w:r>
    </w:p>
    <w:p w14:paraId="04AE6514" w14:textId="6A781474" w:rsidR="006661AB" w:rsidRPr="00072F2D" w:rsidRDefault="00563771">
      <w:pPr>
        <w:spacing w:line="229" w:lineRule="exact"/>
        <w:ind w:left="3385"/>
        <w:rPr>
          <w:rFonts w:ascii="Arial" w:hAnsi="Arial" w:cs="Arial"/>
          <w:sz w:val="24"/>
          <w:szCs w:val="24"/>
        </w:rPr>
      </w:pPr>
      <w:r w:rsidRPr="00072F2D">
        <w:rPr>
          <w:rFonts w:ascii="Arial" w:hAnsi="Arial" w:cs="Arial"/>
          <w:sz w:val="24"/>
          <w:szCs w:val="24"/>
        </w:rPr>
        <w:t>(</w:t>
      </w:r>
      <w:r w:rsidR="0096185C" w:rsidRPr="00072F2D">
        <w:rPr>
          <w:rFonts w:ascii="Arial" w:hAnsi="Arial" w:cs="Arial"/>
          <w:sz w:val="24"/>
          <w:szCs w:val="24"/>
        </w:rPr>
        <w:t>Of</w:t>
      </w:r>
      <w:r w:rsidRPr="00072F2D">
        <w:rPr>
          <w:rFonts w:ascii="Arial" w:hAnsi="Arial" w:cs="Arial"/>
          <w:spacing w:val="-1"/>
          <w:sz w:val="24"/>
          <w:szCs w:val="24"/>
        </w:rPr>
        <w:t xml:space="preserve"> </w:t>
      </w:r>
      <w:r w:rsidRPr="00072F2D">
        <w:rPr>
          <w:rFonts w:ascii="Arial" w:hAnsi="Arial" w:cs="Arial"/>
          <w:sz w:val="24"/>
          <w:szCs w:val="24"/>
        </w:rPr>
        <w:t>UNESCO)</w:t>
      </w:r>
    </w:p>
    <w:p w14:paraId="04AE6515" w14:textId="7F860BD2" w:rsidR="006661AB" w:rsidRPr="00072F2D" w:rsidRDefault="006661AB">
      <w:pPr>
        <w:spacing w:before="11"/>
        <w:rPr>
          <w:rFonts w:ascii="Arial" w:hAnsi="Arial" w:cs="Arial"/>
          <w:sz w:val="24"/>
          <w:szCs w:val="24"/>
        </w:rPr>
      </w:pPr>
    </w:p>
    <w:p w14:paraId="654148B6" w14:textId="0BB9F9CB" w:rsidR="00B7110F" w:rsidRPr="00072F2D" w:rsidRDefault="00B7110F" w:rsidP="00B7110F">
      <w:pPr>
        <w:ind w:left="851"/>
        <w:rPr>
          <w:rFonts w:ascii="Arial" w:eastAsia="Arial" w:hAnsi="Arial" w:cs="Arial"/>
          <w:b/>
          <w:bCs/>
          <w:sz w:val="24"/>
          <w:szCs w:val="24"/>
        </w:rPr>
      </w:pPr>
      <w:bookmarkStart w:id="4" w:name="_Hlk167696540"/>
      <w:bookmarkEnd w:id="3"/>
      <w:r w:rsidRPr="00072F2D">
        <w:rPr>
          <w:rFonts w:ascii="Arial" w:eastAsia="Arial" w:hAnsi="Arial" w:cs="Arial"/>
          <w:b/>
          <w:bCs/>
          <w:sz w:val="24"/>
          <w:szCs w:val="24"/>
        </w:rPr>
        <w:t xml:space="preserve">                In-Person Meeting of the UN Decade TAC Task Force</w:t>
      </w:r>
    </w:p>
    <w:p w14:paraId="148F5872" w14:textId="78B09B30" w:rsidR="00B7110F" w:rsidRPr="00072F2D" w:rsidRDefault="00B7110F" w:rsidP="00B7110F">
      <w:pPr>
        <w:ind w:left="851"/>
        <w:rPr>
          <w:rFonts w:ascii="Arial" w:eastAsia="Arial" w:hAnsi="Arial" w:cs="Arial"/>
          <w:b/>
          <w:bCs/>
          <w:sz w:val="24"/>
          <w:szCs w:val="24"/>
        </w:rPr>
      </w:pPr>
      <w:r w:rsidRPr="00072F2D">
        <w:rPr>
          <w:rFonts w:ascii="Arial" w:eastAsia="Arial" w:hAnsi="Arial" w:cs="Arial"/>
          <w:b/>
          <w:bCs/>
          <w:sz w:val="24"/>
          <w:szCs w:val="24"/>
        </w:rPr>
        <w:t xml:space="preserve">                     (June 4 – 06, 2024)</w:t>
      </w:r>
    </w:p>
    <w:p w14:paraId="04AE6519" w14:textId="5EC18551" w:rsidR="006661AB" w:rsidRDefault="006661AB"/>
    <w:p w14:paraId="267627E7" w14:textId="77777777" w:rsidR="008473DB" w:rsidRPr="00791C91" w:rsidRDefault="008473DB" w:rsidP="002D0A11">
      <w:pPr>
        <w:pStyle w:val="Ttulo"/>
        <w:ind w:left="0"/>
        <w:jc w:val="right"/>
        <w:rPr>
          <w:sz w:val="28"/>
          <w:szCs w:val="28"/>
        </w:rPr>
      </w:pPr>
      <w:bookmarkStart w:id="5" w:name="_Hlk167697266"/>
      <w:bookmarkEnd w:id="4"/>
    </w:p>
    <w:bookmarkEnd w:id="5"/>
    <w:p w14:paraId="4063327A" w14:textId="77777777" w:rsidR="002D0A11" w:rsidRPr="00791C91" w:rsidRDefault="002D0A11" w:rsidP="002D0A11">
      <w:pPr>
        <w:pStyle w:val="Ttulo"/>
        <w:ind w:left="0"/>
        <w:jc w:val="left"/>
        <w:rPr>
          <w:sz w:val="28"/>
          <w:szCs w:val="28"/>
        </w:rPr>
      </w:pPr>
    </w:p>
    <w:p w14:paraId="3894445E" w14:textId="7B065F72" w:rsidR="002D0A11" w:rsidRPr="002D0A11" w:rsidRDefault="00D60A5E" w:rsidP="002D0A1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</w:t>
      </w:r>
      <w:r w:rsidR="002D0A11" w:rsidRPr="002D0A11">
        <w:rPr>
          <w:rFonts w:ascii="Arial" w:eastAsia="Arial" w:hAnsi="Arial" w:cs="Arial"/>
          <w:b/>
          <w:bCs/>
          <w:sz w:val="24"/>
          <w:szCs w:val="24"/>
        </w:rPr>
        <w:t>Projects endorsed in Call 6 of the Decade of the Oceans for the Caribbean SIDS</w:t>
      </w:r>
    </w:p>
    <w:p w14:paraId="2B0FA005" w14:textId="77777777" w:rsidR="002D0A11" w:rsidRDefault="002D0A11" w:rsidP="002D0A1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E30EC06" w14:textId="77777777" w:rsidR="00D60A5E" w:rsidRDefault="00D60A5E" w:rsidP="002D0A1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1"/>
        <w:tblW w:w="4521" w:type="pct"/>
        <w:jc w:val="right"/>
        <w:tblLook w:val="04A0" w:firstRow="1" w:lastRow="0" w:firstColumn="1" w:lastColumn="0" w:noHBand="0" w:noVBand="1"/>
      </w:tblPr>
      <w:tblGrid>
        <w:gridCol w:w="1134"/>
        <w:gridCol w:w="7980"/>
      </w:tblGrid>
      <w:tr w:rsidR="00D60A5E" w:rsidRPr="002D0A11" w14:paraId="798CB035" w14:textId="77777777" w:rsidTr="00D60A5E">
        <w:trPr>
          <w:trHeight w:val="301"/>
          <w:tblHeader/>
          <w:jc w:val="right"/>
        </w:trPr>
        <w:tc>
          <w:tcPr>
            <w:tcW w:w="622" w:type="pct"/>
            <w:shd w:val="clear" w:color="auto" w:fill="0070C0"/>
          </w:tcPr>
          <w:p w14:paraId="4CAC63BF" w14:textId="77777777" w:rsidR="00D60A5E" w:rsidRPr="008257DC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8257D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378" w:type="pct"/>
            <w:shd w:val="clear" w:color="auto" w:fill="0070C0"/>
          </w:tcPr>
          <w:p w14:paraId="0C7B843C" w14:textId="77777777" w:rsidR="00D60A5E" w:rsidRPr="008257DC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8257DC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</w:tr>
      <w:tr w:rsidR="00D60A5E" w:rsidRPr="002D0A11" w14:paraId="7942E391" w14:textId="77777777" w:rsidTr="00D60A5E">
        <w:trPr>
          <w:trHeight w:val="301"/>
          <w:jc w:val="right"/>
        </w:trPr>
        <w:tc>
          <w:tcPr>
            <w:tcW w:w="622" w:type="pct"/>
            <w:shd w:val="clear" w:color="auto" w:fill="FFFFFF" w:themeFill="background1"/>
          </w:tcPr>
          <w:p w14:paraId="2550ED39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lang w:val="es-CO"/>
              </w:rPr>
            </w:pPr>
            <w:r w:rsidRPr="002D0A11">
              <w:rPr>
                <w:rFonts w:ascii="Arial" w:eastAsia="Calibri" w:hAnsi="Arial" w:cs="Arial"/>
                <w:lang w:val="es-CO"/>
              </w:rPr>
              <w:t>1</w:t>
            </w:r>
          </w:p>
        </w:tc>
        <w:tc>
          <w:tcPr>
            <w:tcW w:w="4378" w:type="pct"/>
            <w:shd w:val="clear" w:color="auto" w:fill="FFFFFF" w:themeFill="background1"/>
          </w:tcPr>
          <w:p w14:paraId="2CA962E0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="Calibri" w:hAnsi="Arial" w:cs="Arial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The Grouper School.</w:t>
            </w:r>
          </w:p>
        </w:tc>
      </w:tr>
      <w:tr w:rsidR="00D60A5E" w:rsidRPr="002D0A11" w14:paraId="280E8281" w14:textId="77777777" w:rsidTr="00D60A5E">
        <w:trPr>
          <w:trHeight w:val="318"/>
          <w:jc w:val="right"/>
        </w:trPr>
        <w:tc>
          <w:tcPr>
            <w:tcW w:w="622" w:type="pct"/>
            <w:shd w:val="clear" w:color="auto" w:fill="FFFFFF" w:themeFill="background1"/>
          </w:tcPr>
          <w:p w14:paraId="16213AB9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color w:val="000000" w:themeColor="text1"/>
                <w:lang w:val="es-CO"/>
              </w:rPr>
            </w:pPr>
            <w:r w:rsidRPr="002D0A11">
              <w:rPr>
                <w:rFonts w:ascii="Arial" w:eastAsia="Calibri" w:hAnsi="Arial" w:cs="Arial"/>
                <w:color w:val="000000" w:themeColor="text1"/>
                <w:lang w:val="es-CO"/>
              </w:rPr>
              <w:t>2</w:t>
            </w:r>
          </w:p>
        </w:tc>
        <w:tc>
          <w:tcPr>
            <w:tcW w:w="4378" w:type="pct"/>
            <w:shd w:val="clear" w:color="auto" w:fill="FFFFFF" w:themeFill="background1"/>
          </w:tcPr>
          <w:p w14:paraId="13D6873A" w14:textId="77777777" w:rsidR="00D60A5E" w:rsidRPr="002D0A11" w:rsidRDefault="00D60A5E" w:rsidP="00E36109">
            <w:pPr>
              <w:tabs>
                <w:tab w:val="center" w:pos="4680"/>
              </w:tabs>
              <w:jc w:val="both"/>
              <w:rPr>
                <w:rFonts w:ascii="Arial" w:eastAsia="Calibri" w:hAnsi="Arial" w:cs="Arial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SIDS Ocean Observing Toolbox</w:t>
            </w:r>
          </w:p>
        </w:tc>
      </w:tr>
      <w:tr w:rsidR="00D60A5E" w:rsidRPr="002D0A11" w14:paraId="286A0CA3" w14:textId="77777777" w:rsidTr="00D60A5E">
        <w:trPr>
          <w:trHeight w:val="301"/>
          <w:jc w:val="right"/>
        </w:trPr>
        <w:tc>
          <w:tcPr>
            <w:tcW w:w="622" w:type="pct"/>
            <w:shd w:val="clear" w:color="auto" w:fill="FFFFFF" w:themeFill="background1"/>
          </w:tcPr>
          <w:p w14:paraId="4FB15ED0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color w:val="000000" w:themeColor="text1"/>
                <w:lang w:val="es-CO"/>
              </w:rPr>
            </w:pPr>
            <w:r w:rsidRPr="002D0A11">
              <w:rPr>
                <w:rFonts w:ascii="Arial" w:eastAsia="Calibri" w:hAnsi="Arial" w:cs="Arial"/>
                <w:color w:val="000000" w:themeColor="text1"/>
                <w:lang w:val="es-CO"/>
              </w:rPr>
              <w:t>3</w:t>
            </w:r>
          </w:p>
        </w:tc>
        <w:tc>
          <w:tcPr>
            <w:tcW w:w="4378" w:type="pct"/>
            <w:shd w:val="clear" w:color="auto" w:fill="FFFFFF" w:themeFill="background1"/>
          </w:tcPr>
          <w:p w14:paraId="628F2422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="Calibri" w:hAnsi="Arial" w:cs="Arial"/>
              </w:rPr>
            </w:pPr>
            <w:proofErr w:type="spellStart"/>
            <w:r w:rsidRPr="002D0A11">
              <w:rPr>
                <w:rFonts w:ascii="Arial" w:eastAsiaTheme="minorEastAsia" w:hAnsi="Arial" w:cs="Arial"/>
                <w:kern w:val="24"/>
              </w:rPr>
              <w:t>CaribeCoast</w:t>
            </w:r>
            <w:proofErr w:type="spellEnd"/>
          </w:p>
        </w:tc>
      </w:tr>
      <w:tr w:rsidR="00D60A5E" w:rsidRPr="002D0A11" w14:paraId="771B93FE" w14:textId="77777777" w:rsidTr="00D60A5E">
        <w:trPr>
          <w:trHeight w:val="318"/>
          <w:jc w:val="right"/>
        </w:trPr>
        <w:tc>
          <w:tcPr>
            <w:tcW w:w="622" w:type="pct"/>
            <w:shd w:val="clear" w:color="auto" w:fill="FFFFFF" w:themeFill="background1"/>
          </w:tcPr>
          <w:p w14:paraId="07738C5B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color w:val="000000" w:themeColor="text1"/>
                <w:lang w:val="es-CO"/>
              </w:rPr>
            </w:pPr>
            <w:r w:rsidRPr="002D0A11">
              <w:rPr>
                <w:rFonts w:ascii="Arial" w:eastAsia="Calibri" w:hAnsi="Arial" w:cs="Arial"/>
                <w:color w:val="000000" w:themeColor="text1"/>
                <w:lang w:val="es-CO"/>
              </w:rPr>
              <w:t>4</w:t>
            </w:r>
          </w:p>
        </w:tc>
        <w:tc>
          <w:tcPr>
            <w:tcW w:w="4378" w:type="pct"/>
            <w:shd w:val="clear" w:color="auto" w:fill="FFFFFF" w:themeFill="background1"/>
          </w:tcPr>
          <w:p w14:paraId="76DC28F1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="Calibri" w:hAnsi="Arial" w:cs="Arial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Ocean Literacy Caribbean - The Ocean and Me</w:t>
            </w:r>
          </w:p>
        </w:tc>
      </w:tr>
      <w:tr w:rsidR="00D60A5E" w:rsidRPr="002D0A11" w14:paraId="3C32B40B" w14:textId="77777777" w:rsidTr="00D60A5E">
        <w:trPr>
          <w:trHeight w:val="301"/>
          <w:jc w:val="right"/>
        </w:trPr>
        <w:tc>
          <w:tcPr>
            <w:tcW w:w="622" w:type="pct"/>
            <w:shd w:val="clear" w:color="auto" w:fill="FFFFFF" w:themeFill="background1"/>
          </w:tcPr>
          <w:p w14:paraId="78096D95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color w:val="000000" w:themeColor="text1"/>
                <w:lang w:val="es-CO"/>
              </w:rPr>
            </w:pPr>
            <w:r w:rsidRPr="002D0A11">
              <w:rPr>
                <w:rFonts w:ascii="Arial" w:eastAsia="Calibri" w:hAnsi="Arial" w:cs="Arial"/>
                <w:color w:val="000000" w:themeColor="text1"/>
                <w:lang w:val="es-CO"/>
              </w:rPr>
              <w:t>5</w:t>
            </w:r>
          </w:p>
        </w:tc>
        <w:tc>
          <w:tcPr>
            <w:tcW w:w="4378" w:type="pct"/>
            <w:shd w:val="clear" w:color="auto" w:fill="FFFFFF" w:themeFill="background1"/>
          </w:tcPr>
          <w:p w14:paraId="1CBDE624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="Calibri" w:hAnsi="Arial" w:cs="Arial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Seascape Symphony-Brushstrokes for a Blue Planet</w:t>
            </w:r>
          </w:p>
        </w:tc>
      </w:tr>
      <w:tr w:rsidR="00D60A5E" w:rsidRPr="002D0A11" w14:paraId="55FBD0DF" w14:textId="77777777" w:rsidTr="00D60A5E">
        <w:trPr>
          <w:trHeight w:val="318"/>
          <w:jc w:val="right"/>
        </w:trPr>
        <w:tc>
          <w:tcPr>
            <w:tcW w:w="622" w:type="pct"/>
            <w:shd w:val="clear" w:color="auto" w:fill="FFFFFF" w:themeFill="background1"/>
          </w:tcPr>
          <w:p w14:paraId="0031CFFC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color w:val="000000" w:themeColor="text1"/>
                <w:lang w:val="es-CO"/>
              </w:rPr>
            </w:pPr>
            <w:r w:rsidRPr="002D0A11">
              <w:rPr>
                <w:rFonts w:ascii="Arial" w:eastAsia="Calibri" w:hAnsi="Arial" w:cs="Arial"/>
                <w:color w:val="000000" w:themeColor="text1"/>
                <w:lang w:val="es-CO"/>
              </w:rPr>
              <w:t>6</w:t>
            </w:r>
          </w:p>
        </w:tc>
        <w:tc>
          <w:tcPr>
            <w:tcW w:w="4378" w:type="pct"/>
            <w:shd w:val="clear" w:color="auto" w:fill="FFFFFF" w:themeFill="background1"/>
          </w:tcPr>
          <w:p w14:paraId="12049CB0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="Calibri" w:hAnsi="Arial" w:cs="Arial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Weaving Coasts</w:t>
            </w:r>
          </w:p>
        </w:tc>
      </w:tr>
      <w:tr w:rsidR="00D60A5E" w:rsidRPr="002D0A11" w14:paraId="07B4506C" w14:textId="77777777" w:rsidTr="00D60A5E">
        <w:trPr>
          <w:trHeight w:val="238"/>
          <w:jc w:val="right"/>
        </w:trPr>
        <w:tc>
          <w:tcPr>
            <w:tcW w:w="622" w:type="pct"/>
            <w:shd w:val="clear" w:color="auto" w:fill="FFFFFF" w:themeFill="background1"/>
          </w:tcPr>
          <w:p w14:paraId="3888E76A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color w:val="000000" w:themeColor="text1"/>
                <w:lang w:val="es-CO"/>
              </w:rPr>
            </w:pPr>
            <w:r w:rsidRPr="002D0A11">
              <w:rPr>
                <w:rFonts w:ascii="Arial" w:eastAsia="Calibri" w:hAnsi="Arial" w:cs="Arial"/>
                <w:color w:val="000000" w:themeColor="text1"/>
                <w:lang w:val="es-CO"/>
              </w:rPr>
              <w:t>7</w:t>
            </w:r>
          </w:p>
        </w:tc>
        <w:tc>
          <w:tcPr>
            <w:tcW w:w="4378" w:type="pct"/>
            <w:shd w:val="clear" w:color="auto" w:fill="FFFFFF" w:themeFill="background1"/>
          </w:tcPr>
          <w:p w14:paraId="7722A8D8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="Calibri" w:hAnsi="Arial" w:cs="Arial"/>
                <w:lang w:val="es-CO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Invasive sargassum valorization</w:t>
            </w:r>
          </w:p>
        </w:tc>
      </w:tr>
      <w:tr w:rsidR="00D60A5E" w:rsidRPr="002D0A11" w14:paraId="25B16485" w14:textId="77777777" w:rsidTr="00D60A5E">
        <w:trPr>
          <w:trHeight w:val="238"/>
          <w:jc w:val="right"/>
        </w:trPr>
        <w:tc>
          <w:tcPr>
            <w:tcW w:w="622" w:type="pct"/>
            <w:shd w:val="clear" w:color="auto" w:fill="FFFFFF" w:themeFill="background1"/>
          </w:tcPr>
          <w:p w14:paraId="2B7DECB8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hAnsi="Arial" w:cs="Arial"/>
              </w:rPr>
            </w:pPr>
            <w:r w:rsidRPr="002D0A11">
              <w:rPr>
                <w:rFonts w:ascii="Arial" w:hAnsi="Arial" w:cs="Arial"/>
              </w:rPr>
              <w:t>8</w:t>
            </w:r>
          </w:p>
        </w:tc>
        <w:tc>
          <w:tcPr>
            <w:tcW w:w="4378" w:type="pct"/>
            <w:shd w:val="clear" w:color="auto" w:fill="FFFFFF" w:themeFill="background1"/>
          </w:tcPr>
          <w:p w14:paraId="18EF0C23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Theme="minorEastAsia" w:hAnsi="Arial" w:cs="Arial"/>
                <w:kern w:val="24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A Caribbean SIDS Pollutants Observatory</w:t>
            </w:r>
          </w:p>
        </w:tc>
      </w:tr>
      <w:tr w:rsidR="00D60A5E" w:rsidRPr="002D0A11" w14:paraId="2CF266FC" w14:textId="77777777" w:rsidTr="00D60A5E">
        <w:trPr>
          <w:trHeight w:val="238"/>
          <w:jc w:val="right"/>
        </w:trPr>
        <w:tc>
          <w:tcPr>
            <w:tcW w:w="622" w:type="pct"/>
            <w:shd w:val="clear" w:color="auto" w:fill="FFFFFF" w:themeFill="background1"/>
          </w:tcPr>
          <w:p w14:paraId="216A18F0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hAnsi="Arial" w:cs="Arial"/>
              </w:rPr>
            </w:pPr>
            <w:r w:rsidRPr="002D0A11">
              <w:rPr>
                <w:rFonts w:ascii="Arial" w:hAnsi="Arial" w:cs="Arial"/>
              </w:rPr>
              <w:t>9</w:t>
            </w:r>
          </w:p>
        </w:tc>
        <w:tc>
          <w:tcPr>
            <w:tcW w:w="4378" w:type="pct"/>
            <w:shd w:val="clear" w:color="auto" w:fill="FFFFFF" w:themeFill="background1"/>
          </w:tcPr>
          <w:p w14:paraId="7E4B61C3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Theme="minorEastAsia" w:hAnsi="Arial" w:cs="Arial"/>
                <w:kern w:val="24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Caribbean Clean Seas Initiative</w:t>
            </w:r>
          </w:p>
        </w:tc>
      </w:tr>
      <w:tr w:rsidR="00D60A5E" w:rsidRPr="002D0A11" w14:paraId="37D4FCD7" w14:textId="77777777" w:rsidTr="00D60A5E">
        <w:trPr>
          <w:trHeight w:val="238"/>
          <w:jc w:val="right"/>
        </w:trPr>
        <w:tc>
          <w:tcPr>
            <w:tcW w:w="622" w:type="pct"/>
            <w:shd w:val="clear" w:color="auto" w:fill="FFFFFF" w:themeFill="background1"/>
          </w:tcPr>
          <w:p w14:paraId="6A658FCF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hAnsi="Arial" w:cs="Arial"/>
              </w:rPr>
            </w:pPr>
            <w:r w:rsidRPr="002D0A11">
              <w:rPr>
                <w:rFonts w:ascii="Arial" w:hAnsi="Arial" w:cs="Arial"/>
              </w:rPr>
              <w:t>10</w:t>
            </w:r>
          </w:p>
        </w:tc>
        <w:tc>
          <w:tcPr>
            <w:tcW w:w="4378" w:type="pct"/>
            <w:shd w:val="clear" w:color="auto" w:fill="FFFFFF" w:themeFill="background1"/>
          </w:tcPr>
          <w:p w14:paraId="554AF63A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Theme="minorEastAsia" w:hAnsi="Arial" w:cs="Arial"/>
                <w:kern w:val="24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 xml:space="preserve">Thinking Beyond </w:t>
            </w:r>
            <w:proofErr w:type="gramStart"/>
            <w:r w:rsidRPr="002D0A11">
              <w:rPr>
                <w:rFonts w:ascii="Arial" w:eastAsiaTheme="minorEastAsia" w:hAnsi="Arial" w:cs="Arial"/>
                <w:kern w:val="24"/>
              </w:rPr>
              <w:t>The</w:t>
            </w:r>
            <w:proofErr w:type="gramEnd"/>
            <w:r w:rsidRPr="002D0A11">
              <w:rPr>
                <w:rFonts w:ascii="Arial" w:eastAsiaTheme="minorEastAsia" w:hAnsi="Arial" w:cs="Arial"/>
                <w:kern w:val="24"/>
              </w:rPr>
              <w:t xml:space="preserve"> Tides </w:t>
            </w:r>
          </w:p>
        </w:tc>
      </w:tr>
      <w:tr w:rsidR="00D60A5E" w:rsidRPr="002D0A11" w14:paraId="14A22617" w14:textId="77777777" w:rsidTr="00D60A5E">
        <w:trPr>
          <w:trHeight w:val="84"/>
          <w:jc w:val="right"/>
        </w:trPr>
        <w:tc>
          <w:tcPr>
            <w:tcW w:w="622" w:type="pct"/>
            <w:shd w:val="clear" w:color="auto" w:fill="FFFFFF" w:themeFill="background1"/>
          </w:tcPr>
          <w:p w14:paraId="00F4A1EB" w14:textId="77777777" w:rsidR="00D60A5E" w:rsidRPr="002D0A11" w:rsidRDefault="00D60A5E" w:rsidP="00E36109">
            <w:pPr>
              <w:tabs>
                <w:tab w:val="center" w:pos="4680"/>
              </w:tabs>
              <w:jc w:val="center"/>
              <w:rPr>
                <w:rFonts w:ascii="Arial" w:hAnsi="Arial" w:cs="Arial"/>
              </w:rPr>
            </w:pPr>
            <w:r w:rsidRPr="002D0A11">
              <w:rPr>
                <w:rFonts w:ascii="Arial" w:hAnsi="Arial" w:cs="Arial"/>
              </w:rPr>
              <w:t>11</w:t>
            </w:r>
          </w:p>
        </w:tc>
        <w:tc>
          <w:tcPr>
            <w:tcW w:w="4378" w:type="pct"/>
            <w:shd w:val="clear" w:color="auto" w:fill="FFFFFF" w:themeFill="background1"/>
          </w:tcPr>
          <w:p w14:paraId="43F477BB" w14:textId="77777777" w:rsidR="00D60A5E" w:rsidRPr="002D0A11" w:rsidRDefault="00D60A5E" w:rsidP="00E36109">
            <w:pPr>
              <w:tabs>
                <w:tab w:val="center" w:pos="4680"/>
              </w:tabs>
              <w:rPr>
                <w:rFonts w:ascii="Arial" w:eastAsiaTheme="minorEastAsia" w:hAnsi="Arial" w:cs="Arial"/>
                <w:kern w:val="24"/>
              </w:rPr>
            </w:pPr>
            <w:r w:rsidRPr="002D0A11">
              <w:rPr>
                <w:rFonts w:ascii="Arial" w:eastAsiaTheme="minorEastAsia" w:hAnsi="Arial" w:cs="Arial"/>
                <w:kern w:val="24"/>
              </w:rPr>
              <w:t>Proactive actions &amp; partnerships brings solutions</w:t>
            </w:r>
          </w:p>
        </w:tc>
      </w:tr>
    </w:tbl>
    <w:p w14:paraId="4A3E2208" w14:textId="77777777" w:rsidR="00D60A5E" w:rsidRPr="005C2294" w:rsidRDefault="00D60A5E" w:rsidP="00D60A5E">
      <w:pPr>
        <w:ind w:left="709" w:hanging="709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sectPr w:rsidR="00D60A5E" w:rsidRPr="005C2294" w:rsidSect="00B86BD6">
      <w:pgSz w:w="11910" w:h="16840"/>
      <w:pgMar w:top="1134" w:right="1200" w:bottom="993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1CA"/>
    <w:multiLevelType w:val="hybridMultilevel"/>
    <w:tmpl w:val="5D7E2B2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5D054795"/>
    <w:multiLevelType w:val="hybridMultilevel"/>
    <w:tmpl w:val="E14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626997">
    <w:abstractNumId w:val="0"/>
  </w:num>
  <w:num w:numId="2" w16cid:durableId="151703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AB"/>
    <w:rsid w:val="00007D04"/>
    <w:rsid w:val="00072F2D"/>
    <w:rsid w:val="00082C7C"/>
    <w:rsid w:val="00083722"/>
    <w:rsid w:val="00090442"/>
    <w:rsid w:val="000A4258"/>
    <w:rsid w:val="000A5354"/>
    <w:rsid w:val="000E07DE"/>
    <w:rsid w:val="001060FA"/>
    <w:rsid w:val="00144BAB"/>
    <w:rsid w:val="00153745"/>
    <w:rsid w:val="00160C43"/>
    <w:rsid w:val="00165220"/>
    <w:rsid w:val="001754B1"/>
    <w:rsid w:val="00177EDA"/>
    <w:rsid w:val="00187C93"/>
    <w:rsid w:val="001905D1"/>
    <w:rsid w:val="001A14C6"/>
    <w:rsid w:val="001D0317"/>
    <w:rsid w:val="001F61AC"/>
    <w:rsid w:val="00202E0A"/>
    <w:rsid w:val="002509E7"/>
    <w:rsid w:val="002635D6"/>
    <w:rsid w:val="00285C47"/>
    <w:rsid w:val="002D0A11"/>
    <w:rsid w:val="002F476E"/>
    <w:rsid w:val="002F7919"/>
    <w:rsid w:val="00310C1D"/>
    <w:rsid w:val="00380BDA"/>
    <w:rsid w:val="003811DE"/>
    <w:rsid w:val="003C0F65"/>
    <w:rsid w:val="003D1D15"/>
    <w:rsid w:val="003F5334"/>
    <w:rsid w:val="004165D8"/>
    <w:rsid w:val="00454C69"/>
    <w:rsid w:val="00455197"/>
    <w:rsid w:val="00475A41"/>
    <w:rsid w:val="0048110B"/>
    <w:rsid w:val="004D43C1"/>
    <w:rsid w:val="00546323"/>
    <w:rsid w:val="00563771"/>
    <w:rsid w:val="005953F6"/>
    <w:rsid w:val="005A0278"/>
    <w:rsid w:val="005E7C89"/>
    <w:rsid w:val="0060128B"/>
    <w:rsid w:val="00607A8A"/>
    <w:rsid w:val="00614404"/>
    <w:rsid w:val="006661AB"/>
    <w:rsid w:val="0078072F"/>
    <w:rsid w:val="007B0541"/>
    <w:rsid w:val="007B3F0C"/>
    <w:rsid w:val="007C1956"/>
    <w:rsid w:val="007D36DB"/>
    <w:rsid w:val="008257DC"/>
    <w:rsid w:val="00834127"/>
    <w:rsid w:val="008473DB"/>
    <w:rsid w:val="0096185C"/>
    <w:rsid w:val="0096729A"/>
    <w:rsid w:val="009E1678"/>
    <w:rsid w:val="00A0751F"/>
    <w:rsid w:val="00A65DC5"/>
    <w:rsid w:val="00A7668A"/>
    <w:rsid w:val="00AA7632"/>
    <w:rsid w:val="00B07610"/>
    <w:rsid w:val="00B3177C"/>
    <w:rsid w:val="00B7110F"/>
    <w:rsid w:val="00B80D5C"/>
    <w:rsid w:val="00B86BD6"/>
    <w:rsid w:val="00BF3ADB"/>
    <w:rsid w:val="00BF5E10"/>
    <w:rsid w:val="00C1373D"/>
    <w:rsid w:val="00CE2D62"/>
    <w:rsid w:val="00CF4CD3"/>
    <w:rsid w:val="00CF5C8B"/>
    <w:rsid w:val="00D0031A"/>
    <w:rsid w:val="00D26066"/>
    <w:rsid w:val="00D55A8E"/>
    <w:rsid w:val="00D60A5E"/>
    <w:rsid w:val="00D85431"/>
    <w:rsid w:val="00DF707A"/>
    <w:rsid w:val="00DF7E70"/>
    <w:rsid w:val="00E457BB"/>
    <w:rsid w:val="00EB4CD5"/>
    <w:rsid w:val="00F13515"/>
    <w:rsid w:val="00F43D38"/>
    <w:rsid w:val="00F51210"/>
    <w:rsid w:val="00F738E4"/>
    <w:rsid w:val="00F84796"/>
    <w:rsid w:val="00FC4283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650D"/>
  <w15:docId w15:val="{39C7F496-DC3D-4BB2-8FC9-7753DF05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line="253" w:lineRule="exact"/>
      <w:ind w:left="684"/>
      <w:outlineLvl w:val="0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ar"/>
    <w:uiPriority w:val="10"/>
    <w:qFormat/>
    <w:pPr>
      <w:ind w:left="57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character" w:styleId="Hipervnculo">
    <w:name w:val="Hyperlink"/>
    <w:basedOn w:val="Fuentedeprrafopredeter"/>
    <w:uiPriority w:val="99"/>
    <w:semiHidden/>
    <w:unhideWhenUsed/>
    <w:rsid w:val="005E7C8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6066"/>
    <w:rPr>
      <w:b/>
      <w:bCs/>
    </w:rPr>
  </w:style>
  <w:style w:type="paragraph" w:styleId="Encabezado">
    <w:name w:val="header"/>
    <w:basedOn w:val="Normal"/>
    <w:link w:val="EncabezadoCar"/>
    <w:rsid w:val="00D85431"/>
    <w:pPr>
      <w:widowControl/>
      <w:tabs>
        <w:tab w:val="left" w:pos="567"/>
        <w:tab w:val="center" w:pos="4153"/>
        <w:tab w:val="right" w:pos="8306"/>
      </w:tabs>
      <w:autoSpaceDE/>
      <w:autoSpaceDN/>
      <w:snapToGrid w:val="0"/>
    </w:pPr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rsid w:val="00D85431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8473DB"/>
    <w:rPr>
      <w:rFonts w:ascii="Arial" w:eastAsia="Arial" w:hAnsi="Arial" w:cs="Arial"/>
      <w:b/>
      <w:bCs/>
      <w:sz w:val="24"/>
      <w:szCs w:val="24"/>
    </w:rPr>
  </w:style>
  <w:style w:type="table" w:customStyle="1" w:styleId="TableGrid1">
    <w:name w:val="Table Grid1"/>
    <w:basedOn w:val="Tablanormal"/>
    <w:next w:val="Tablaconcuadrcula"/>
    <w:uiPriority w:val="39"/>
    <w:rsid w:val="008473D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2">
    <w:name w:val="Grid Table 2 Accent 2"/>
    <w:basedOn w:val="Tablanormal"/>
    <w:uiPriority w:val="47"/>
    <w:rsid w:val="008473DB"/>
    <w:pPr>
      <w:widowControl/>
      <w:autoSpaceDE/>
      <w:autoSpaceDN/>
    </w:pPr>
    <w:rPr>
      <w:rFonts w:ascii="Calibri" w:eastAsia="Calibri" w:hAnsi="Calibri" w:cs="Calibri"/>
      <w:lang w:val="es-CO" w:eastAsia="es-CO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">
    <w:name w:val="Table Grid"/>
    <w:basedOn w:val="Tablanormal"/>
    <w:uiPriority w:val="39"/>
    <w:rsid w:val="0084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CA2A-9FE2-4FFE-A232-7DDD92A5C9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Restricted distribution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distribution</dc:title>
  <dc:creator>PATRICIA</dc:creator>
  <cp:lastModifiedBy>Wills Velez, Patricia</cp:lastModifiedBy>
  <cp:revision>2</cp:revision>
  <cp:lastPrinted>2023-05-03T20:11:00Z</cp:lastPrinted>
  <dcterms:created xsi:type="dcterms:W3CDTF">2024-05-29T19:50:00Z</dcterms:created>
  <dcterms:modified xsi:type="dcterms:W3CDTF">2024-05-29T19:50:00Z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2023-03-02T00:00:00Z</vt:filetime>
  </property>
</Properties>
</file>