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395C" w14:textId="64AB77F4" w:rsidR="00AA5F8E" w:rsidRPr="00147972" w:rsidRDefault="00502140" w:rsidP="00B96458">
      <w:pPr>
        <w:pStyle w:val="Sangra3detindependiente"/>
        <w:ind w:left="0" w:right="-261" w:firstLine="3600"/>
        <w:jc w:val="both"/>
        <w:rPr>
          <w:rFonts w:ascii="Arial" w:hAnsi="Arial" w:cs="Arial"/>
          <w:b/>
          <w:szCs w:val="22"/>
          <w:lang w:val="es-ES_tradnl"/>
        </w:rPr>
      </w:pPr>
      <w:r w:rsidRPr="00147972">
        <w:rPr>
          <w:rFonts w:ascii="Arial" w:hAnsi="Arial" w:cs="Arial"/>
          <w:b/>
          <w:szCs w:val="22"/>
          <w:lang w:val="es-ES_tradnl"/>
        </w:rPr>
        <w:tab/>
      </w:r>
    </w:p>
    <w:p w14:paraId="3B296FB7" w14:textId="77777777" w:rsidR="008D23A7" w:rsidRPr="00147972" w:rsidRDefault="008D23A7" w:rsidP="00E4633C">
      <w:pPr>
        <w:pStyle w:val="Piedepgina"/>
        <w:tabs>
          <w:tab w:val="clear" w:pos="4153"/>
          <w:tab w:val="clear" w:pos="8306"/>
        </w:tabs>
        <w:jc w:val="center"/>
        <w:rPr>
          <w:rFonts w:ascii="Arial" w:hAnsi="Arial" w:cs="Arial"/>
          <w:b/>
          <w:bCs/>
          <w:sz w:val="22"/>
          <w:szCs w:val="22"/>
          <w:lang w:val="es-ES_tradnl"/>
        </w:rPr>
      </w:pPr>
      <w:r w:rsidRPr="00147972">
        <w:rPr>
          <w:rFonts w:ascii="Arial" w:hAnsi="Arial" w:cs="Arial"/>
          <w:b/>
          <w:bCs/>
          <w:lang w:val="es-ES_tradnl"/>
        </w:rPr>
        <w:t>COMISIÓN OCEANOGRÁFICA INTERGUBERNAMENTAL</w:t>
      </w:r>
    </w:p>
    <w:p w14:paraId="3FAF8B88" w14:textId="0702F2A0" w:rsidR="008D23A7" w:rsidRPr="00147972" w:rsidRDefault="008D23A7" w:rsidP="00E4633C">
      <w:pPr>
        <w:pStyle w:val="Piedepgina"/>
        <w:tabs>
          <w:tab w:val="clear" w:pos="4153"/>
          <w:tab w:val="clear" w:pos="8306"/>
        </w:tabs>
        <w:jc w:val="center"/>
        <w:rPr>
          <w:rFonts w:ascii="Arial" w:hAnsi="Arial" w:cs="Arial"/>
          <w:sz w:val="22"/>
          <w:szCs w:val="22"/>
          <w:lang w:val="es-ES_tradnl"/>
        </w:rPr>
      </w:pPr>
      <w:r w:rsidRPr="00147972">
        <w:rPr>
          <w:rFonts w:ascii="Arial" w:hAnsi="Arial" w:cs="Arial"/>
          <w:lang w:val="es-ES_tradnl"/>
        </w:rPr>
        <w:t>(de la UNESCO)</w:t>
      </w:r>
    </w:p>
    <w:p w14:paraId="4C88C842" w14:textId="77777777" w:rsidR="008D23A7" w:rsidRPr="00147972" w:rsidRDefault="008D23A7" w:rsidP="00E4633C">
      <w:pPr>
        <w:pStyle w:val="Piedepgina"/>
        <w:tabs>
          <w:tab w:val="clear" w:pos="4153"/>
          <w:tab w:val="clear" w:pos="8306"/>
          <w:tab w:val="left" w:pos="5245"/>
        </w:tabs>
        <w:jc w:val="center"/>
        <w:rPr>
          <w:rFonts w:ascii="Arial" w:hAnsi="Arial" w:cs="Arial"/>
          <w:sz w:val="22"/>
          <w:szCs w:val="22"/>
          <w:lang w:val="es-ES_tradnl"/>
        </w:rPr>
      </w:pPr>
    </w:p>
    <w:p w14:paraId="36775C60" w14:textId="77777777" w:rsidR="003B7C02" w:rsidRPr="00147972" w:rsidRDefault="003B7C02" w:rsidP="00E4633C">
      <w:pPr>
        <w:pStyle w:val="Piedepgina"/>
        <w:tabs>
          <w:tab w:val="clear" w:pos="4153"/>
          <w:tab w:val="clear" w:pos="8306"/>
          <w:tab w:val="left" w:pos="5245"/>
        </w:tabs>
        <w:jc w:val="center"/>
        <w:rPr>
          <w:rFonts w:ascii="Arial" w:hAnsi="Arial" w:cs="Arial"/>
          <w:sz w:val="22"/>
          <w:szCs w:val="22"/>
          <w:lang w:val="es-ES_tradnl"/>
        </w:rPr>
      </w:pPr>
    </w:p>
    <w:p w14:paraId="1C1FA4E5" w14:textId="12F5263C" w:rsidR="008D23A7" w:rsidRPr="00147972" w:rsidRDefault="0034357A" w:rsidP="00E4633C">
      <w:pPr>
        <w:pStyle w:val="Piedepgina"/>
        <w:jc w:val="center"/>
        <w:rPr>
          <w:rFonts w:ascii="Arial" w:hAnsi="Arial" w:cs="Arial"/>
          <w:b/>
          <w:sz w:val="22"/>
          <w:szCs w:val="22"/>
          <w:lang w:val="es-ES_tradnl"/>
        </w:rPr>
      </w:pPr>
      <w:r w:rsidRPr="00147972">
        <w:rPr>
          <w:rFonts w:ascii="Arial" w:hAnsi="Arial" w:cs="Arial"/>
          <w:b/>
          <w:bCs/>
          <w:lang w:val="es-ES_tradnl"/>
        </w:rPr>
        <w:t>17ª REUNIÓN DEL GRUPO INTERGUBERNAMENTAL DE COORDINACIÓN DEL SISTEMA DE ALERTA CONTRA LOS TSUNAMIS Y OTRAS AMENAZAS COSTERAS EN EL CARIBE Y REGIONES ADYACENTES</w:t>
      </w:r>
      <w:r w:rsidRPr="00147972">
        <w:rPr>
          <w:rFonts w:ascii="Arial" w:hAnsi="Arial" w:cs="Arial"/>
          <w:lang w:val="es-ES_tradnl"/>
        </w:rPr>
        <w:t xml:space="preserve"> </w:t>
      </w:r>
    </w:p>
    <w:p w14:paraId="0505ACC0" w14:textId="77777777" w:rsidR="008D23A7" w:rsidRPr="00147972" w:rsidRDefault="008D23A7" w:rsidP="00E4633C">
      <w:pPr>
        <w:pStyle w:val="Piedepgina"/>
        <w:tabs>
          <w:tab w:val="clear" w:pos="4153"/>
          <w:tab w:val="clear" w:pos="8306"/>
        </w:tabs>
        <w:jc w:val="center"/>
        <w:rPr>
          <w:rFonts w:ascii="Arial" w:hAnsi="Arial" w:cs="Arial"/>
          <w:sz w:val="22"/>
          <w:szCs w:val="22"/>
          <w:lang w:val="es-ES_tradnl"/>
        </w:rPr>
      </w:pPr>
    </w:p>
    <w:p w14:paraId="45C10722" w14:textId="67E73296" w:rsidR="008D23A7" w:rsidRPr="00147972" w:rsidRDefault="008D23A7" w:rsidP="00E4633C">
      <w:pPr>
        <w:pStyle w:val="Piedepgina"/>
        <w:jc w:val="center"/>
        <w:rPr>
          <w:rFonts w:ascii="Arial" w:hAnsi="Arial" w:cs="Arial"/>
          <w:sz w:val="22"/>
          <w:szCs w:val="22"/>
          <w:lang w:val="es-ES_tradnl"/>
        </w:rPr>
      </w:pPr>
    </w:p>
    <w:p w14:paraId="193B84D6" w14:textId="16938C80" w:rsidR="008D23A7" w:rsidRPr="00147972" w:rsidRDefault="0034357A" w:rsidP="00E4633C">
      <w:pPr>
        <w:pStyle w:val="Piedepgina"/>
        <w:jc w:val="center"/>
        <w:rPr>
          <w:rFonts w:ascii="Arial" w:hAnsi="Arial" w:cs="Arial"/>
          <w:bCs/>
          <w:sz w:val="22"/>
          <w:szCs w:val="22"/>
          <w:lang w:val="es-ES_tradnl"/>
        </w:rPr>
      </w:pPr>
      <w:r w:rsidRPr="00147972">
        <w:rPr>
          <w:rFonts w:ascii="Arial" w:hAnsi="Arial" w:cs="Arial"/>
          <w:lang w:val="es-ES_tradnl"/>
        </w:rPr>
        <w:t>6-9 de mayo de 2024, Managua (Nicaragua)</w:t>
      </w:r>
    </w:p>
    <w:p w14:paraId="1B63C549" w14:textId="77777777" w:rsidR="0089672B" w:rsidRPr="00147972" w:rsidRDefault="0089672B" w:rsidP="00E4633C">
      <w:pPr>
        <w:pStyle w:val="Piedepgina"/>
        <w:jc w:val="center"/>
        <w:rPr>
          <w:rFonts w:ascii="Arial" w:hAnsi="Arial" w:cs="Arial"/>
          <w:bCs/>
          <w:sz w:val="22"/>
          <w:szCs w:val="22"/>
          <w:lang w:val="es-ES_tradnl"/>
        </w:rPr>
      </w:pPr>
    </w:p>
    <w:p w14:paraId="6039974D" w14:textId="77777777" w:rsidR="003D36F0" w:rsidRPr="00147972" w:rsidRDefault="003D36F0" w:rsidP="00E4633C">
      <w:pPr>
        <w:pStyle w:val="Piedepgina"/>
        <w:jc w:val="center"/>
        <w:rPr>
          <w:rFonts w:ascii="Arial" w:hAnsi="Arial" w:cs="Arial"/>
          <w:bCs/>
          <w:sz w:val="22"/>
          <w:szCs w:val="22"/>
          <w:lang w:val="es-ES_tradnl"/>
        </w:rPr>
      </w:pPr>
    </w:p>
    <w:p w14:paraId="4D01FC82" w14:textId="77777777" w:rsidR="003D36F0" w:rsidRPr="00147972" w:rsidRDefault="003D36F0" w:rsidP="00E4633C">
      <w:pPr>
        <w:pStyle w:val="Piedepgina"/>
        <w:jc w:val="center"/>
        <w:rPr>
          <w:rFonts w:ascii="Arial" w:hAnsi="Arial" w:cs="Arial"/>
          <w:bCs/>
          <w:sz w:val="22"/>
          <w:szCs w:val="22"/>
          <w:lang w:val="es-ES_tradnl"/>
        </w:rPr>
      </w:pPr>
    </w:p>
    <w:p w14:paraId="5D943631" w14:textId="3935C7C8" w:rsidR="003B7C02" w:rsidRPr="00147972" w:rsidRDefault="004D79DE" w:rsidP="00667EEC">
      <w:pPr>
        <w:pStyle w:val="Piedepgina"/>
        <w:tabs>
          <w:tab w:val="clear" w:pos="4153"/>
          <w:tab w:val="clear" w:pos="8306"/>
        </w:tabs>
        <w:spacing w:after="240"/>
        <w:jc w:val="both"/>
        <w:rPr>
          <w:rFonts w:ascii="Arial" w:hAnsi="Arial" w:cs="Arial"/>
          <w:b/>
          <w:bCs/>
          <w:sz w:val="22"/>
          <w:szCs w:val="22"/>
          <w:lang w:val="es-ES_tradnl"/>
        </w:rPr>
      </w:pPr>
      <w:r w:rsidRPr="00147972">
        <w:rPr>
          <w:rFonts w:ascii="Arial" w:hAnsi="Arial" w:cs="Arial"/>
          <w:noProof/>
          <w:lang w:val="es-ES_tradnl" w:eastAsia="fr-FR"/>
        </w:rPr>
        <mc:AlternateContent>
          <mc:Choice Requires="wps">
            <w:drawing>
              <wp:anchor distT="45720" distB="45720" distL="114300" distR="114300" simplePos="0" relativeHeight="251658752" behindDoc="0" locked="0" layoutInCell="1" allowOverlap="1" wp14:anchorId="7136F3AC" wp14:editId="0CD096CC">
                <wp:simplePos x="0" y="0"/>
                <wp:positionH relativeFrom="column">
                  <wp:posOffset>581660</wp:posOffset>
                </wp:positionH>
                <wp:positionV relativeFrom="paragraph">
                  <wp:posOffset>46355</wp:posOffset>
                </wp:positionV>
                <wp:extent cx="4986655" cy="2241550"/>
                <wp:effectExtent l="0" t="0" r="4445" b="69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2241550"/>
                        </a:xfrm>
                        <a:prstGeom prst="rect">
                          <a:avLst/>
                        </a:prstGeom>
                        <a:solidFill>
                          <a:srgbClr val="FFFFFF"/>
                        </a:solidFill>
                        <a:ln w="9525">
                          <a:solidFill>
                            <a:srgbClr val="000000"/>
                          </a:solidFill>
                          <a:miter lim="800000"/>
                          <a:headEnd/>
                          <a:tailEnd/>
                        </a:ln>
                      </wps:spPr>
                      <wps:txbx>
                        <w:txbxContent>
                          <w:p w14:paraId="1E9DABC4" w14:textId="5B548F9D" w:rsidR="00780A7E" w:rsidRPr="002E50B1" w:rsidRDefault="00780A7E" w:rsidP="00B96458">
                            <w:pPr>
                              <w:pStyle w:val="Piedepgina"/>
                              <w:tabs>
                                <w:tab w:val="clear" w:pos="4153"/>
                                <w:tab w:val="clear" w:pos="8306"/>
                              </w:tabs>
                              <w:spacing w:after="240"/>
                              <w:jc w:val="center"/>
                              <w:rPr>
                                <w:rFonts w:asciiTheme="minorBidi" w:hAnsiTheme="minorBidi" w:cstheme="minorBidi"/>
                                <w:b/>
                                <w:bCs/>
                                <w:sz w:val="22"/>
                                <w:szCs w:val="22"/>
                                <w:lang w:val="es-ES"/>
                              </w:rPr>
                            </w:pPr>
                            <w:r w:rsidRPr="002E50B1">
                              <w:rPr>
                                <w:rFonts w:asciiTheme="minorBidi" w:hAnsiTheme="minorBidi" w:cstheme="minorBidi"/>
                                <w:b/>
                                <w:bCs/>
                                <w:sz w:val="22"/>
                                <w:szCs w:val="22"/>
                                <w:lang w:val="es-ES"/>
                              </w:rPr>
                              <w:t>RESUMEN</w:t>
                            </w:r>
                          </w:p>
                          <w:p w14:paraId="21D348AF" w14:textId="7A320F6F" w:rsidR="00780A7E" w:rsidRPr="002E50B1" w:rsidRDefault="00780A7E" w:rsidP="00780A7E">
                            <w:pPr>
                              <w:pStyle w:val="Textoindependiente"/>
                              <w:spacing w:after="200" w:line="239" w:lineRule="auto"/>
                              <w:ind w:left="142" w:right="47"/>
                              <w:jc w:val="both"/>
                              <w:rPr>
                                <w:rFonts w:asciiTheme="minorBidi" w:hAnsiTheme="minorBidi" w:cstheme="minorBidi"/>
                                <w:sz w:val="22"/>
                                <w:szCs w:val="22"/>
                                <w:lang w:val="es-ES"/>
                              </w:rPr>
                            </w:pPr>
                            <w:r w:rsidRPr="002E50B1">
                              <w:rPr>
                                <w:rFonts w:asciiTheme="minorBidi" w:hAnsiTheme="minorBidi" w:cstheme="minorBidi"/>
                                <w:sz w:val="22"/>
                                <w:szCs w:val="22"/>
                                <w:lang w:val="es-ES"/>
                              </w:rPr>
                              <w:t>Conforme a lo dispuesto en el artículo 48.3 del Reglamento de los órganos subsidiarios principales de la Comisión, el Grupo Intergubernamental de Coordinación del Sistema de Alerta contra los Tsunamis y otras Amenazas Costeras en el Caribe y Regiones Adyacentes debe informar sobre sus reuniones a un órgano rector.</w:t>
                            </w:r>
                          </w:p>
                          <w:p w14:paraId="49B59CEC" w14:textId="5D4CED16" w:rsidR="003D36F0" w:rsidRPr="002E50B1" w:rsidRDefault="003D36F0" w:rsidP="00780A7E">
                            <w:pPr>
                              <w:pStyle w:val="Textoindependiente"/>
                              <w:spacing w:after="200" w:line="239" w:lineRule="auto"/>
                              <w:ind w:left="142" w:right="47"/>
                              <w:jc w:val="both"/>
                              <w:rPr>
                                <w:rFonts w:asciiTheme="minorBidi" w:hAnsiTheme="minorBidi" w:cstheme="minorBidi"/>
                                <w:sz w:val="22"/>
                                <w:szCs w:val="22"/>
                                <w:lang w:val="es-ES"/>
                              </w:rPr>
                            </w:pPr>
                            <w:r w:rsidRPr="002E50B1">
                              <w:rPr>
                                <w:rFonts w:asciiTheme="minorBidi" w:hAnsiTheme="minorBidi" w:cstheme="minorBidi"/>
                                <w:sz w:val="22"/>
                                <w:szCs w:val="22"/>
                                <w:lang w:val="es-ES"/>
                              </w:rPr>
                              <w:t xml:space="preserve">La documentación y la información relativas a la reunión están disponibles </w:t>
                            </w:r>
                            <w:hyperlink r:id="rId11" w:history="1">
                              <w:r w:rsidRPr="002E50B1">
                                <w:rPr>
                                  <w:rStyle w:val="Hipervnculo"/>
                                  <w:rFonts w:asciiTheme="minorBidi" w:hAnsiTheme="minorBidi" w:cstheme="minorBidi"/>
                                  <w:sz w:val="22"/>
                                  <w:szCs w:val="22"/>
                                  <w:lang w:val="es-ES"/>
                                </w:rPr>
                                <w:t>en línea</w:t>
                              </w:r>
                            </w:hyperlink>
                            <w:r w:rsidRPr="002E50B1">
                              <w:rPr>
                                <w:rFonts w:asciiTheme="minorBidi" w:hAnsiTheme="minorBidi" w:cstheme="minorBidi"/>
                                <w:sz w:val="22"/>
                                <w:szCs w:val="22"/>
                                <w:lang w:val="es-ES"/>
                              </w:rPr>
                              <w:t>.</w:t>
                            </w:r>
                          </w:p>
                          <w:p w14:paraId="31570546" w14:textId="561663FC" w:rsidR="003D36F0" w:rsidRPr="002E50B1" w:rsidRDefault="003D36F0" w:rsidP="00780A7E">
                            <w:pPr>
                              <w:pStyle w:val="Textoindependiente"/>
                              <w:spacing w:after="200" w:line="239" w:lineRule="auto"/>
                              <w:ind w:left="142" w:right="47"/>
                              <w:jc w:val="both"/>
                              <w:rPr>
                                <w:rFonts w:asciiTheme="minorBidi" w:hAnsiTheme="minorBidi" w:cstheme="minorBidi"/>
                                <w:sz w:val="22"/>
                                <w:szCs w:val="22"/>
                                <w:lang w:val="es-ES"/>
                              </w:rPr>
                            </w:pPr>
                            <w:r w:rsidRPr="002E50B1">
                              <w:rPr>
                                <w:rFonts w:asciiTheme="minorBidi" w:hAnsiTheme="minorBidi" w:cstheme="minorBidi"/>
                                <w:sz w:val="22"/>
                                <w:szCs w:val="22"/>
                                <w:lang w:val="es-ES"/>
                              </w:rPr>
                              <w:t>Se invitará al Consejo Ejecutivo de la COI, en su 57ª reunión, a examinar el presente resumen y las recomendaciones que en él figuran.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36F3AC" id="_x0000_t202" coordsize="21600,21600" o:spt="202" path="m,l,21600r21600,l21600,xe">
                <v:stroke joinstyle="miter"/>
                <v:path gradientshapeok="t" o:connecttype="rect"/>
              </v:shapetype>
              <v:shape id="Text Box 1" o:spid="_x0000_s1026" type="#_x0000_t202" style="position:absolute;left:0;text-align:left;margin-left:45.8pt;margin-top:3.65pt;width:392.65pt;height:176.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">
                <v:textbox style="mso-fit-shape-to-text:t">
                  <w:txbxContent>
                    <w:p w14:paraId="1E9DABC4" w14:textId="5B548F9D" w:rsidR="00780A7E" w:rsidRPr="002E50B1" w:rsidRDefault="00780A7E" w:rsidP="00B96458">
                      <w:pPr>
                        <w:pStyle w:val="Piedepgina"/>
                        <w:tabs>
                          <w:tab w:val="clear" w:pos="4153"/>
                          <w:tab w:val="clear" w:pos="8306"/>
                        </w:tabs>
                        <w:spacing w:after="240"/>
                        <w:jc w:val="center"/>
                        <w:rPr>
                          <w:rFonts w:asciiTheme="minorBidi" w:hAnsiTheme="minorBidi" w:cstheme="minorBidi"/>
                          <w:b/>
                          <w:bCs/>
                          <w:sz w:val="22"/>
                          <w:szCs w:val="22"/>
                          <w:lang w:val="es-ES"/>
                        </w:rPr>
                      </w:pPr>
                      <w:r w:rsidRPr="002E50B1">
                        <w:rPr>
                          <w:rFonts w:asciiTheme="minorBidi" w:hAnsiTheme="minorBidi" w:cstheme="minorBidi"/>
                          <w:b/>
                          <w:bCs/>
                          <w:sz w:val="22"/>
                          <w:szCs w:val="22"/>
                          <w:lang w:val="es-ES"/>
                        </w:rPr>
                        <w:t>RESUMEN</w:t>
                      </w:r>
                    </w:p>
                    <w:p w14:paraId="21D348AF" w14:textId="7A320F6F" w:rsidR="00780A7E" w:rsidRPr="002E50B1" w:rsidRDefault="00780A7E" w:rsidP="00780A7E">
                      <w:pPr>
                        <w:pStyle w:val="Textoindependiente"/>
                        <w:spacing w:after="200" w:line="239" w:lineRule="auto"/>
                        <w:ind w:left="142" w:right="47"/>
                        <w:jc w:val="both"/>
                        <w:rPr>
                          <w:rFonts w:asciiTheme="minorBidi" w:hAnsiTheme="minorBidi" w:cstheme="minorBidi"/>
                          <w:sz w:val="22"/>
                          <w:szCs w:val="22"/>
                          <w:lang w:val="es-ES"/>
                        </w:rPr>
                      </w:pPr>
                      <w:r w:rsidRPr="002E50B1">
                        <w:rPr>
                          <w:rFonts w:asciiTheme="minorBidi" w:hAnsiTheme="minorBidi" w:cstheme="minorBidi"/>
                          <w:sz w:val="22"/>
                          <w:szCs w:val="22"/>
                          <w:lang w:val="es-ES"/>
                        </w:rPr>
                        <w:t>Conforme a lo dispuesto en el artículo 48.3 del Reglamento de los órganos subsidiarios principales de la Comisión, el Grupo Intergubernamental de Coordinación del Sistema de Alerta contra los Tsunamis y otras Amenazas Costeras en el Caribe y Regiones Adyacentes debe informar sobre sus reuniones a un órgano rector.</w:t>
                      </w:r>
                    </w:p>
                    <w:p w14:paraId="49B59CEC" w14:textId="5D4CED16" w:rsidR="003D36F0" w:rsidRPr="002E50B1" w:rsidRDefault="003D36F0" w:rsidP="00780A7E">
                      <w:pPr>
                        <w:pStyle w:val="Textoindependiente"/>
                        <w:spacing w:after="200" w:line="239" w:lineRule="auto"/>
                        <w:ind w:left="142" w:right="47"/>
                        <w:jc w:val="both"/>
                        <w:rPr>
                          <w:rFonts w:asciiTheme="minorBidi" w:hAnsiTheme="minorBidi" w:cstheme="minorBidi"/>
                          <w:sz w:val="22"/>
                          <w:szCs w:val="22"/>
                          <w:lang w:val="es-ES"/>
                        </w:rPr>
                      </w:pPr>
                      <w:r w:rsidRPr="002E50B1">
                        <w:rPr>
                          <w:rFonts w:asciiTheme="minorBidi" w:hAnsiTheme="minorBidi" w:cstheme="minorBidi"/>
                          <w:sz w:val="22"/>
                          <w:szCs w:val="22"/>
                          <w:lang w:val="es-ES"/>
                        </w:rPr>
                        <w:t xml:space="preserve">La documentación y la información relativas a la reunión están disponibles </w:t>
                      </w:r>
                      <w:hyperlink r:id="rId12" w:history="1">
                        <w:r w:rsidRPr="002E50B1">
                          <w:rPr>
                            <w:rStyle w:val="Hipervnculo"/>
                            <w:rFonts w:asciiTheme="minorBidi" w:hAnsiTheme="minorBidi" w:cstheme="minorBidi"/>
                            <w:sz w:val="22"/>
                            <w:szCs w:val="22"/>
                            <w:lang w:val="es-ES"/>
                          </w:rPr>
                          <w:t>en línea</w:t>
                        </w:r>
                      </w:hyperlink>
                      <w:r w:rsidRPr="002E50B1">
                        <w:rPr>
                          <w:rFonts w:asciiTheme="minorBidi" w:hAnsiTheme="minorBidi" w:cstheme="minorBidi"/>
                          <w:sz w:val="22"/>
                          <w:szCs w:val="22"/>
                          <w:lang w:val="es-ES"/>
                        </w:rPr>
                        <w:t>.</w:t>
                      </w:r>
                    </w:p>
                    <w:p w14:paraId="31570546" w14:textId="561663FC" w:rsidR="003D36F0" w:rsidRPr="002E50B1" w:rsidRDefault="003D36F0" w:rsidP="00780A7E">
                      <w:pPr>
                        <w:pStyle w:val="Textoindependiente"/>
                        <w:spacing w:after="200" w:line="239" w:lineRule="auto"/>
                        <w:ind w:left="142" w:right="47"/>
                        <w:jc w:val="both"/>
                        <w:rPr>
                          <w:rFonts w:asciiTheme="minorBidi" w:hAnsiTheme="minorBidi" w:cstheme="minorBidi"/>
                          <w:sz w:val="22"/>
                          <w:szCs w:val="22"/>
                          <w:lang w:val="es-ES"/>
                        </w:rPr>
                      </w:pPr>
                      <w:r w:rsidRPr="002E50B1">
                        <w:rPr>
                          <w:rFonts w:asciiTheme="minorBidi" w:hAnsiTheme="minorBidi" w:cstheme="minorBidi"/>
                          <w:sz w:val="22"/>
                          <w:szCs w:val="22"/>
                          <w:lang w:val="es-ES"/>
                        </w:rPr>
                        <w:t>Se invitará al Consejo Ejecutivo de la COI, en su 57ª reunión, a examinar el presente resumen y las recomendaciones que en él figuran.</w:t>
                      </w:r>
                    </w:p>
                  </w:txbxContent>
                </v:textbox>
                <w10:wrap type="square"/>
              </v:shape>
            </w:pict>
          </mc:Fallback>
        </mc:AlternateContent>
      </w:r>
    </w:p>
    <w:p w14:paraId="19EFEA3E" w14:textId="77777777" w:rsidR="003B7C02" w:rsidRPr="00147972" w:rsidRDefault="003B7C02" w:rsidP="00667EEC">
      <w:pPr>
        <w:pStyle w:val="Piedepgina"/>
        <w:tabs>
          <w:tab w:val="clear" w:pos="4153"/>
          <w:tab w:val="clear" w:pos="8306"/>
        </w:tabs>
        <w:spacing w:after="240"/>
        <w:jc w:val="both"/>
        <w:rPr>
          <w:rFonts w:ascii="Arial" w:hAnsi="Arial" w:cs="Arial"/>
          <w:b/>
          <w:bCs/>
          <w:sz w:val="22"/>
          <w:szCs w:val="22"/>
          <w:lang w:val="es-ES_tradnl"/>
        </w:rPr>
      </w:pPr>
    </w:p>
    <w:p w14:paraId="4A6B7FD3" w14:textId="77777777" w:rsidR="0002560F" w:rsidRPr="00147972" w:rsidRDefault="0002560F" w:rsidP="00667EEC">
      <w:pPr>
        <w:pStyle w:val="Piedepgina"/>
        <w:tabs>
          <w:tab w:val="clear" w:pos="4153"/>
          <w:tab w:val="clear" w:pos="8306"/>
        </w:tabs>
        <w:spacing w:after="240"/>
        <w:jc w:val="both"/>
        <w:rPr>
          <w:rFonts w:ascii="Arial" w:hAnsi="Arial" w:cs="Arial"/>
          <w:b/>
          <w:bCs/>
          <w:sz w:val="22"/>
          <w:szCs w:val="22"/>
          <w:lang w:val="es-ES_tradnl"/>
        </w:rPr>
      </w:pPr>
    </w:p>
    <w:p w14:paraId="1913A1CA" w14:textId="77777777" w:rsidR="0002560F" w:rsidRPr="00147972" w:rsidRDefault="0002560F" w:rsidP="00667EEC">
      <w:pPr>
        <w:pStyle w:val="Piedepgina"/>
        <w:tabs>
          <w:tab w:val="clear" w:pos="4153"/>
          <w:tab w:val="clear" w:pos="8306"/>
        </w:tabs>
        <w:spacing w:after="240"/>
        <w:jc w:val="both"/>
        <w:rPr>
          <w:rFonts w:ascii="Arial" w:hAnsi="Arial" w:cs="Arial"/>
          <w:b/>
          <w:bCs/>
          <w:sz w:val="22"/>
          <w:szCs w:val="22"/>
          <w:lang w:val="es-ES_tradnl"/>
        </w:rPr>
      </w:pPr>
    </w:p>
    <w:p w14:paraId="21327796" w14:textId="77777777" w:rsidR="0002560F" w:rsidRPr="00147972" w:rsidRDefault="0002560F" w:rsidP="00667EEC">
      <w:pPr>
        <w:pStyle w:val="Piedepgina"/>
        <w:tabs>
          <w:tab w:val="clear" w:pos="4153"/>
          <w:tab w:val="clear" w:pos="8306"/>
        </w:tabs>
        <w:spacing w:after="240"/>
        <w:jc w:val="both"/>
        <w:rPr>
          <w:rFonts w:ascii="Arial" w:hAnsi="Arial" w:cs="Arial"/>
          <w:b/>
          <w:bCs/>
          <w:sz w:val="22"/>
          <w:szCs w:val="22"/>
          <w:lang w:val="es-ES_tradnl"/>
        </w:rPr>
      </w:pPr>
    </w:p>
    <w:p w14:paraId="2822679F" w14:textId="77777777" w:rsidR="0002560F" w:rsidRPr="00147972" w:rsidRDefault="0002560F" w:rsidP="00667EEC">
      <w:pPr>
        <w:pStyle w:val="Piedepgina"/>
        <w:tabs>
          <w:tab w:val="clear" w:pos="4153"/>
          <w:tab w:val="clear" w:pos="8306"/>
        </w:tabs>
        <w:spacing w:after="240"/>
        <w:jc w:val="both"/>
        <w:rPr>
          <w:rFonts w:ascii="Arial" w:hAnsi="Arial" w:cs="Arial"/>
          <w:b/>
          <w:bCs/>
          <w:sz w:val="22"/>
          <w:szCs w:val="22"/>
          <w:lang w:val="es-ES_tradnl"/>
        </w:rPr>
      </w:pPr>
    </w:p>
    <w:p w14:paraId="4AEE0618" w14:textId="77777777" w:rsidR="0002560F" w:rsidRPr="00147972" w:rsidRDefault="0002560F" w:rsidP="00667EEC">
      <w:pPr>
        <w:pStyle w:val="Piedepgina"/>
        <w:tabs>
          <w:tab w:val="clear" w:pos="4153"/>
          <w:tab w:val="clear" w:pos="8306"/>
        </w:tabs>
        <w:spacing w:after="240"/>
        <w:jc w:val="both"/>
        <w:rPr>
          <w:rFonts w:ascii="Arial" w:hAnsi="Arial" w:cs="Arial"/>
          <w:b/>
          <w:bCs/>
          <w:sz w:val="22"/>
          <w:szCs w:val="22"/>
          <w:lang w:val="es-ES_tradnl"/>
        </w:rPr>
      </w:pPr>
    </w:p>
    <w:p w14:paraId="286C9D90" w14:textId="77777777" w:rsidR="0002560F" w:rsidRPr="00147972" w:rsidRDefault="0002560F" w:rsidP="00667EEC">
      <w:pPr>
        <w:pStyle w:val="Piedepgina"/>
        <w:tabs>
          <w:tab w:val="clear" w:pos="4153"/>
          <w:tab w:val="clear" w:pos="8306"/>
        </w:tabs>
        <w:spacing w:after="240"/>
        <w:jc w:val="both"/>
        <w:rPr>
          <w:rFonts w:ascii="Arial" w:hAnsi="Arial" w:cs="Arial"/>
          <w:b/>
          <w:bCs/>
          <w:sz w:val="22"/>
          <w:szCs w:val="22"/>
          <w:lang w:val="es-ES_tradnl"/>
        </w:rPr>
      </w:pPr>
    </w:p>
    <w:p w14:paraId="2058A487" w14:textId="4A6042BC" w:rsidR="00667EEC" w:rsidRPr="00147972" w:rsidRDefault="00097219" w:rsidP="002E50B1">
      <w:pPr>
        <w:pStyle w:val="Prrafodelista"/>
        <w:numPr>
          <w:ilvl w:val="0"/>
          <w:numId w:val="54"/>
        </w:numPr>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lang w:val="es-ES_tradnl"/>
        </w:rPr>
        <w:t xml:space="preserve">La 17ª reunión del Grupo Intergubernamental de Coordinación del Sistema de Alerta contra los Tsunamis y otras Amenazas Costeras en el Caribe y Regiones Adyacentes (ICG/CARIBE-EWS-XVII) de la UNESCO-COI tuvo lugar del 6 al 9 de mayo de 2024 en Managua (Nicaragua) con un formato híbrido. A ella asistieron 83 participantes </w:t>
      </w:r>
      <w:r w:rsidR="00D16052" w:rsidRPr="00147972">
        <w:rPr>
          <w:rFonts w:ascii="Arial" w:hAnsi="Arial" w:cs="Arial"/>
          <w:lang w:val="es-ES_tradnl"/>
        </w:rPr>
        <w:t>—</w:t>
      </w:r>
      <w:r w:rsidRPr="00147972">
        <w:rPr>
          <w:rFonts w:ascii="Arial" w:hAnsi="Arial" w:cs="Arial"/>
          <w:lang w:val="es-ES_tradnl"/>
        </w:rPr>
        <w:t xml:space="preserve">28 </w:t>
      </w:r>
      <w:r w:rsidR="00F0287B" w:rsidRPr="00147972">
        <w:rPr>
          <w:rFonts w:ascii="Arial" w:hAnsi="Arial" w:cs="Arial"/>
          <w:lang w:val="es-ES_tradnl"/>
        </w:rPr>
        <w:t>de forma presencial</w:t>
      </w:r>
      <w:r w:rsidRPr="00147972">
        <w:rPr>
          <w:rFonts w:ascii="Arial" w:hAnsi="Arial" w:cs="Arial"/>
          <w:lang w:val="es-ES_tradnl"/>
        </w:rPr>
        <w:t xml:space="preserve"> y 55 de forma virtual</w:t>
      </w:r>
      <w:r w:rsidR="00D16052" w:rsidRPr="00147972">
        <w:rPr>
          <w:rFonts w:ascii="Arial" w:hAnsi="Arial" w:cs="Arial"/>
          <w:lang w:val="es-ES_tradnl"/>
        </w:rPr>
        <w:t>—</w:t>
      </w:r>
      <w:r w:rsidRPr="00147972">
        <w:rPr>
          <w:rFonts w:ascii="Arial" w:hAnsi="Arial" w:cs="Arial"/>
          <w:lang w:val="es-ES_tradnl"/>
        </w:rPr>
        <w:t xml:space="preserve"> procedentes de 15 Estados Miembros y territorios y de tres organizaciones observadoras, a saber, la Red Sísmica de Puerto Rico (PRSN), la Organización Meteorológica Mundial (OMM) y la oficina regional </w:t>
      </w:r>
      <w:r w:rsidR="00737789" w:rsidRPr="00147972">
        <w:rPr>
          <w:rFonts w:ascii="Arial" w:hAnsi="Arial" w:cs="Arial"/>
          <w:lang w:val="es-ES_tradnl"/>
        </w:rPr>
        <w:t xml:space="preserve">para las Américas y el Caribe </w:t>
      </w:r>
      <w:r w:rsidRPr="00147972">
        <w:rPr>
          <w:rFonts w:ascii="Arial" w:hAnsi="Arial" w:cs="Arial"/>
          <w:lang w:val="es-ES_tradnl"/>
        </w:rPr>
        <w:t xml:space="preserve">de la </w:t>
      </w:r>
      <w:r w:rsidR="009835F7" w:rsidRPr="00147972">
        <w:rPr>
          <w:rFonts w:ascii="Arial" w:hAnsi="Arial" w:cs="Arial"/>
          <w:lang w:val="es-ES_tradnl"/>
        </w:rPr>
        <w:t xml:space="preserve">Oficina de las Naciones Unidas para la Reducción del Riesgo de Desastres </w:t>
      </w:r>
      <w:r w:rsidRPr="00147972">
        <w:rPr>
          <w:rFonts w:ascii="Arial" w:hAnsi="Arial" w:cs="Arial"/>
          <w:lang w:val="es-ES_tradnl"/>
        </w:rPr>
        <w:t>(</w:t>
      </w:r>
      <w:r w:rsidR="009835F7" w:rsidRPr="00147972">
        <w:rPr>
          <w:rFonts w:ascii="Arial" w:hAnsi="Arial" w:cs="Arial"/>
          <w:lang w:val="es-ES_tradnl"/>
        </w:rPr>
        <w:t>UNDRR</w:t>
      </w:r>
      <w:r w:rsidRPr="00147972">
        <w:rPr>
          <w:rFonts w:ascii="Arial" w:hAnsi="Arial" w:cs="Arial"/>
          <w:lang w:val="es-ES_tradnl"/>
        </w:rPr>
        <w:t xml:space="preserve">). Los representantes subrayaron el importante valor de llevar a cabo el trabajo del ICG </w:t>
      </w:r>
      <w:r w:rsidR="00F0287B" w:rsidRPr="00147972">
        <w:rPr>
          <w:rFonts w:ascii="Arial" w:hAnsi="Arial" w:cs="Arial"/>
          <w:lang w:val="es-ES_tradnl"/>
        </w:rPr>
        <w:t>de forma presencial</w:t>
      </w:r>
      <w:r w:rsidRPr="00147972">
        <w:rPr>
          <w:rFonts w:ascii="Arial" w:hAnsi="Arial" w:cs="Arial"/>
          <w:lang w:val="es-ES_tradnl"/>
        </w:rPr>
        <w:t xml:space="preserve">, especialmente teniendo en cuenta los próximos </w:t>
      </w:r>
      <w:r w:rsidR="00F0287B" w:rsidRPr="00147972">
        <w:rPr>
          <w:rFonts w:ascii="Arial" w:hAnsi="Arial" w:cs="Arial"/>
          <w:lang w:val="es-ES_tradnl"/>
        </w:rPr>
        <w:t xml:space="preserve">vigésimos </w:t>
      </w:r>
      <w:r w:rsidRPr="00147972">
        <w:rPr>
          <w:rFonts w:ascii="Arial" w:hAnsi="Arial" w:cs="Arial"/>
          <w:lang w:val="es-ES_tradnl"/>
        </w:rPr>
        <w:t xml:space="preserve">aniversarios del ICG/CARIBE-EWS. No obstante, </w:t>
      </w:r>
      <w:r w:rsidR="009835F7" w:rsidRPr="00147972">
        <w:rPr>
          <w:rFonts w:ascii="Arial" w:hAnsi="Arial" w:cs="Arial"/>
          <w:lang w:val="es-ES_tradnl"/>
        </w:rPr>
        <w:t>habida cuenta</w:t>
      </w:r>
      <w:r w:rsidRPr="00147972">
        <w:rPr>
          <w:rFonts w:ascii="Arial" w:hAnsi="Arial" w:cs="Arial"/>
          <w:lang w:val="es-ES_tradnl"/>
        </w:rPr>
        <w:t xml:space="preserve"> </w:t>
      </w:r>
      <w:r w:rsidR="009835F7" w:rsidRPr="00147972">
        <w:rPr>
          <w:rFonts w:ascii="Arial" w:hAnsi="Arial" w:cs="Arial"/>
          <w:lang w:val="es-ES_tradnl"/>
        </w:rPr>
        <w:t>d</w:t>
      </w:r>
      <w:r w:rsidRPr="00147972">
        <w:rPr>
          <w:rFonts w:ascii="Arial" w:hAnsi="Arial" w:cs="Arial"/>
          <w:lang w:val="es-ES_tradnl"/>
        </w:rPr>
        <w:t xml:space="preserve">el objetivo de la UNESCO de reducir su huella de carbono para alcanzar </w:t>
      </w:r>
      <w:r w:rsidR="009835F7" w:rsidRPr="00147972">
        <w:rPr>
          <w:rFonts w:ascii="Arial" w:hAnsi="Arial" w:cs="Arial"/>
          <w:lang w:val="es-ES_tradnl"/>
        </w:rPr>
        <w:t>la</w:t>
      </w:r>
      <w:r w:rsidRPr="00147972">
        <w:rPr>
          <w:rFonts w:ascii="Arial" w:hAnsi="Arial" w:cs="Arial"/>
          <w:lang w:val="es-ES_tradnl"/>
        </w:rPr>
        <w:t xml:space="preserve"> meta de disminuir sus emisiones en un 31 % de aquí a 2030, en consonancia con los objetivos del Acuerdo de París de 2015, en la reunión se decidió considerar la posibilidad, a partir de 2026, de celebrar </w:t>
      </w:r>
      <w:r w:rsidR="00D16052" w:rsidRPr="00147972">
        <w:rPr>
          <w:rFonts w:ascii="Arial" w:hAnsi="Arial" w:cs="Arial"/>
          <w:lang w:val="es-ES_tradnl"/>
        </w:rPr>
        <w:t>las</w:t>
      </w:r>
      <w:r w:rsidRPr="00147972">
        <w:rPr>
          <w:rFonts w:ascii="Arial" w:hAnsi="Arial" w:cs="Arial"/>
          <w:lang w:val="es-ES_tradnl"/>
        </w:rPr>
        <w:t xml:space="preserve"> reuniones </w:t>
      </w:r>
      <w:r w:rsidR="00D16052" w:rsidRPr="00147972">
        <w:rPr>
          <w:rFonts w:ascii="Arial" w:hAnsi="Arial" w:cs="Arial"/>
          <w:lang w:val="es-ES_tradnl"/>
        </w:rPr>
        <w:t xml:space="preserve">futuras </w:t>
      </w:r>
      <w:r w:rsidR="00F0287B" w:rsidRPr="00147972">
        <w:rPr>
          <w:rFonts w:ascii="Arial" w:hAnsi="Arial" w:cs="Arial"/>
          <w:lang w:val="es-ES_tradnl"/>
        </w:rPr>
        <w:t>de forma presencial</w:t>
      </w:r>
      <w:r w:rsidRPr="00147972">
        <w:rPr>
          <w:rFonts w:ascii="Arial" w:hAnsi="Arial" w:cs="Arial"/>
          <w:lang w:val="es-ES_tradnl"/>
        </w:rPr>
        <w:t xml:space="preserve"> solo cada dos años</w:t>
      </w:r>
      <w:r w:rsidR="00737789" w:rsidRPr="00147972">
        <w:rPr>
          <w:rFonts w:ascii="Arial" w:hAnsi="Arial" w:cs="Arial"/>
          <w:lang w:val="es-ES_tradnl"/>
        </w:rPr>
        <w:t>,</w:t>
      </w:r>
      <w:r w:rsidRPr="00147972">
        <w:rPr>
          <w:rFonts w:ascii="Arial" w:hAnsi="Arial" w:cs="Arial"/>
          <w:lang w:val="es-ES_tradnl"/>
        </w:rPr>
        <w:t xml:space="preserve"> y las demás </w:t>
      </w:r>
      <w:r w:rsidR="00F0287B" w:rsidRPr="00147972">
        <w:rPr>
          <w:rFonts w:ascii="Arial" w:hAnsi="Arial" w:cs="Arial"/>
          <w:lang w:val="es-ES_tradnl"/>
        </w:rPr>
        <w:t>de forma virtual</w:t>
      </w:r>
      <w:r w:rsidRPr="00147972">
        <w:rPr>
          <w:rFonts w:ascii="Arial" w:hAnsi="Arial" w:cs="Arial"/>
          <w:lang w:val="es-ES_tradnl"/>
        </w:rPr>
        <w:t>. La interacción diaria de los expertos y el establecimiento de relaciones entre los Estados Miembros son fundamentales para el éxito de los resultados obtenidos.</w:t>
      </w:r>
    </w:p>
    <w:p w14:paraId="1B8012F0" w14:textId="3B0D8763" w:rsidR="008F6998" w:rsidRPr="00147972" w:rsidRDefault="004738A2">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 xml:space="preserve">El ICG tomó nota </w:t>
      </w:r>
      <w:r w:rsidRPr="00147972">
        <w:rPr>
          <w:rFonts w:ascii="Arial" w:hAnsi="Arial" w:cs="Arial"/>
          <w:lang w:val="es-ES_tradnl"/>
        </w:rPr>
        <w:t xml:space="preserve">de los </w:t>
      </w:r>
      <w:r w:rsidR="00CA395C" w:rsidRPr="00147972">
        <w:rPr>
          <w:rFonts w:ascii="Arial" w:hAnsi="Arial" w:cs="Arial"/>
          <w:lang w:val="es-ES_tradnl"/>
        </w:rPr>
        <w:t>componentes</w:t>
      </w:r>
      <w:r w:rsidRPr="00147972">
        <w:rPr>
          <w:rFonts w:ascii="Arial" w:hAnsi="Arial" w:cs="Arial"/>
          <w:lang w:val="es-ES_tradnl"/>
        </w:rPr>
        <w:t xml:space="preserve"> transversales del programa de trabajo del ICG/CARIBE-EWS, estrechamente vinculados con la iniciativa del Secretario General de las Naciones Unidas Alertas Tempranas para Todos y guiados por elementos estratégicos como el </w:t>
      </w:r>
      <w:r w:rsidRPr="00147972">
        <w:rPr>
          <w:rFonts w:ascii="Arial" w:hAnsi="Arial" w:cs="Arial"/>
          <w:lang w:val="es-ES_tradnl"/>
        </w:rPr>
        <w:lastRenderedPageBreak/>
        <w:t>Programa de Tsunamis del Decenio del Océano de las Naciones Unidas y el Programa de Reconocimiento Tsunami Ready de la UNESCO/COI.</w:t>
      </w:r>
    </w:p>
    <w:p w14:paraId="2C7CBEEC" w14:textId="110FA587" w:rsidR="005D6A06" w:rsidRPr="00147972" w:rsidRDefault="006C0682" w:rsidP="005D6A06">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reconoció</w:t>
      </w:r>
      <w:r w:rsidRPr="00147972">
        <w:rPr>
          <w:rFonts w:ascii="Arial" w:hAnsi="Arial" w:cs="Arial"/>
          <w:lang w:val="es-ES_tradnl"/>
        </w:rPr>
        <w:t xml:space="preserve"> la ventaja de contar con un comité de dirección, similar al de otros ICG, como instrumento eficaz de gestión basada en los resultados, sobre todo para supervisar la aplicación de sus decisiones y recomendaciones.</w:t>
      </w:r>
    </w:p>
    <w:p w14:paraId="7B3C35B4" w14:textId="75AE4EAF" w:rsidR="004738A2" w:rsidRPr="00147972" w:rsidRDefault="004738A2" w:rsidP="005D6A06">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también reconoció</w:t>
      </w:r>
      <w:r w:rsidRPr="00147972">
        <w:rPr>
          <w:rFonts w:ascii="Arial" w:hAnsi="Arial" w:cs="Arial"/>
          <w:lang w:val="es-ES_tradnl"/>
        </w:rPr>
        <w:t xml:space="preserve"> que la creación de un comité de dirección del ICG/CARIBE-EWS supondr</w:t>
      </w:r>
      <w:r w:rsidR="00FC714A" w:rsidRPr="00147972">
        <w:rPr>
          <w:rFonts w:ascii="Arial" w:hAnsi="Arial" w:cs="Arial"/>
          <w:lang w:val="es-ES_tradnl"/>
        </w:rPr>
        <w:t>ía</w:t>
      </w:r>
      <w:r w:rsidRPr="00147972">
        <w:rPr>
          <w:rFonts w:ascii="Arial" w:hAnsi="Arial" w:cs="Arial"/>
          <w:lang w:val="es-ES_tradnl"/>
        </w:rPr>
        <w:t xml:space="preserve"> un paso más hacia la armonización de las estructuras de gobernanza de</w:t>
      </w:r>
      <w:r w:rsidR="00D5319D" w:rsidRPr="00147972">
        <w:rPr>
          <w:rFonts w:ascii="Arial" w:hAnsi="Arial" w:cs="Arial"/>
          <w:lang w:val="es-ES_tradnl"/>
        </w:rPr>
        <w:t xml:space="preserve">l </w:t>
      </w:r>
      <w:r w:rsidRPr="00147972">
        <w:rPr>
          <w:rFonts w:ascii="Arial" w:hAnsi="Arial" w:cs="Arial"/>
          <w:lang w:val="es-ES_tradnl"/>
        </w:rPr>
        <w:t>ICG</w:t>
      </w:r>
      <w:r w:rsidR="00D5319D" w:rsidRPr="00147972">
        <w:rPr>
          <w:rFonts w:ascii="Arial" w:hAnsi="Arial" w:cs="Arial"/>
          <w:lang w:val="es-ES_tradnl"/>
        </w:rPr>
        <w:t>, independientemente de la región,</w:t>
      </w:r>
      <w:r w:rsidRPr="00147972">
        <w:rPr>
          <w:rFonts w:ascii="Arial" w:hAnsi="Arial" w:cs="Arial"/>
          <w:lang w:val="es-ES_tradnl"/>
        </w:rPr>
        <w:t xml:space="preserve"> y </w:t>
      </w:r>
      <w:r w:rsidRPr="00147972">
        <w:rPr>
          <w:rFonts w:ascii="Arial" w:hAnsi="Arial" w:cs="Arial"/>
          <w:b/>
          <w:bCs/>
          <w:lang w:val="es-ES_tradnl"/>
        </w:rPr>
        <w:t>decidió</w:t>
      </w:r>
      <w:r w:rsidRPr="00147972">
        <w:rPr>
          <w:rFonts w:ascii="Arial" w:hAnsi="Arial" w:cs="Arial"/>
          <w:lang w:val="es-ES_tradnl"/>
        </w:rPr>
        <w:t xml:space="preserve"> crear un comité de dirección del ICG/CARIBE-EWS</w:t>
      </w:r>
      <w:r w:rsidR="00D5319D" w:rsidRPr="00147972">
        <w:rPr>
          <w:rFonts w:ascii="Arial" w:hAnsi="Arial" w:cs="Arial"/>
          <w:lang w:val="es-ES_tradnl"/>
        </w:rPr>
        <w:t xml:space="preserve"> que </w:t>
      </w:r>
      <w:r w:rsidR="00092601" w:rsidRPr="00147972">
        <w:rPr>
          <w:rFonts w:ascii="Arial" w:hAnsi="Arial" w:cs="Arial"/>
          <w:lang w:val="es-ES_tradnl"/>
        </w:rPr>
        <w:t>se encargaría</w:t>
      </w:r>
      <w:r w:rsidRPr="00147972">
        <w:rPr>
          <w:rFonts w:ascii="Arial" w:hAnsi="Arial" w:cs="Arial"/>
          <w:lang w:val="es-ES_tradnl"/>
        </w:rPr>
        <w:t>, especialmente</w:t>
      </w:r>
      <w:r w:rsidR="00BB7A0A" w:rsidRPr="00147972">
        <w:rPr>
          <w:rFonts w:ascii="Arial" w:hAnsi="Arial" w:cs="Arial"/>
          <w:lang w:val="es-ES_tradnl"/>
        </w:rPr>
        <w:t>,</w:t>
      </w:r>
      <w:r w:rsidRPr="00147972">
        <w:rPr>
          <w:rFonts w:ascii="Arial" w:hAnsi="Arial" w:cs="Arial"/>
          <w:lang w:val="es-ES_tradnl"/>
        </w:rPr>
        <w:t xml:space="preserve"> </w:t>
      </w:r>
      <w:r w:rsidR="00092601" w:rsidRPr="00147972">
        <w:rPr>
          <w:rFonts w:ascii="Arial" w:hAnsi="Arial" w:cs="Arial"/>
          <w:lang w:val="es-ES_tradnl"/>
        </w:rPr>
        <w:t>de</w:t>
      </w:r>
      <w:r w:rsidRPr="00147972">
        <w:rPr>
          <w:rFonts w:ascii="Arial" w:hAnsi="Arial" w:cs="Arial"/>
          <w:lang w:val="es-ES_tradnl"/>
        </w:rPr>
        <w:t xml:space="preserve"> lo siguiente:</w:t>
      </w:r>
    </w:p>
    <w:p w14:paraId="4FE5424F" w14:textId="69ED0800" w:rsidR="004738A2" w:rsidRPr="00147972" w:rsidRDefault="00F64EBB" w:rsidP="002E50B1">
      <w:pPr>
        <w:pStyle w:val="Prrafodelista"/>
        <w:numPr>
          <w:ilvl w:val="0"/>
          <w:numId w:val="58"/>
        </w:numPr>
        <w:autoSpaceDE w:val="0"/>
        <w:autoSpaceDN w:val="0"/>
        <w:adjustRightInd w:val="0"/>
        <w:snapToGrid w:val="0"/>
        <w:spacing w:before="120" w:after="120" w:line="240" w:lineRule="atLeast"/>
        <w:ind w:left="1276" w:hanging="567"/>
        <w:contextualSpacing w:val="0"/>
        <w:jc w:val="both"/>
        <w:rPr>
          <w:rFonts w:ascii="Arial" w:hAnsi="Arial" w:cs="Arial"/>
          <w:lang w:val="es-ES_tradnl"/>
        </w:rPr>
      </w:pPr>
      <w:r w:rsidRPr="00147972">
        <w:rPr>
          <w:rFonts w:ascii="Arial" w:hAnsi="Arial" w:cs="Arial"/>
          <w:lang w:val="es-ES_tradnl"/>
        </w:rPr>
        <w:t>mantener</w:t>
      </w:r>
      <w:r w:rsidR="004738A2" w:rsidRPr="00147972">
        <w:rPr>
          <w:rFonts w:ascii="Arial" w:hAnsi="Arial" w:cs="Arial"/>
          <w:lang w:val="es-ES_tradnl"/>
        </w:rPr>
        <w:t xml:space="preserve"> la estructura organizativa y la gobernanza del ICG/CARIBE-EWS;</w:t>
      </w:r>
    </w:p>
    <w:p w14:paraId="292DBD92" w14:textId="4558E2CF" w:rsidR="004738A2" w:rsidRPr="00147972" w:rsidRDefault="004738A2" w:rsidP="002E50B1">
      <w:pPr>
        <w:pStyle w:val="Prrafodelista"/>
        <w:numPr>
          <w:ilvl w:val="0"/>
          <w:numId w:val="58"/>
        </w:numPr>
        <w:autoSpaceDE w:val="0"/>
        <w:autoSpaceDN w:val="0"/>
        <w:adjustRightInd w:val="0"/>
        <w:snapToGrid w:val="0"/>
        <w:spacing w:before="120" w:after="120" w:line="240" w:lineRule="atLeast"/>
        <w:ind w:left="1276" w:hanging="567"/>
        <w:contextualSpacing w:val="0"/>
        <w:jc w:val="both"/>
        <w:rPr>
          <w:rFonts w:ascii="Arial" w:eastAsia="Times New Roman" w:hAnsi="Arial" w:cs="Arial"/>
          <w:lang w:val="es-ES_tradnl"/>
        </w:rPr>
      </w:pPr>
      <w:r w:rsidRPr="00147972">
        <w:rPr>
          <w:rFonts w:ascii="Arial" w:hAnsi="Arial" w:cs="Arial"/>
          <w:lang w:val="es-ES_tradnl"/>
        </w:rPr>
        <w:t xml:space="preserve">supervisar, mantener y actualizar el Plan de </w:t>
      </w:r>
      <w:r w:rsidR="00F64EBB" w:rsidRPr="00147972">
        <w:rPr>
          <w:rFonts w:ascii="Arial" w:hAnsi="Arial" w:cs="Arial"/>
          <w:lang w:val="es-ES_tradnl"/>
        </w:rPr>
        <w:t xml:space="preserve">Ejecución </w:t>
      </w:r>
      <w:r w:rsidRPr="00147972">
        <w:rPr>
          <w:rFonts w:ascii="Arial" w:hAnsi="Arial" w:cs="Arial"/>
          <w:lang w:val="es-ES_tradnl"/>
        </w:rPr>
        <w:t>del CARIBE-EWS;</w:t>
      </w:r>
    </w:p>
    <w:p w14:paraId="5ACE60F4" w14:textId="77777777" w:rsidR="004738A2" w:rsidRPr="00147972" w:rsidRDefault="004738A2" w:rsidP="002E50B1">
      <w:pPr>
        <w:pStyle w:val="Prrafodelista"/>
        <w:numPr>
          <w:ilvl w:val="0"/>
          <w:numId w:val="58"/>
        </w:numPr>
        <w:autoSpaceDE w:val="0"/>
        <w:autoSpaceDN w:val="0"/>
        <w:adjustRightInd w:val="0"/>
        <w:snapToGrid w:val="0"/>
        <w:spacing w:before="120" w:after="120" w:line="240" w:lineRule="atLeast"/>
        <w:ind w:left="1276" w:hanging="567"/>
        <w:contextualSpacing w:val="0"/>
        <w:jc w:val="both"/>
        <w:rPr>
          <w:rFonts w:ascii="Arial" w:hAnsi="Arial" w:cs="Arial"/>
          <w:lang w:val="es-ES_tradnl"/>
        </w:rPr>
      </w:pPr>
      <w:r w:rsidRPr="00147972">
        <w:rPr>
          <w:rFonts w:ascii="Arial" w:hAnsi="Arial" w:cs="Arial"/>
          <w:lang w:val="es-ES_tradnl"/>
        </w:rPr>
        <w:t>supervisar la aplicación de las decisiones y recomendaciones del ICG;</w:t>
      </w:r>
    </w:p>
    <w:p w14:paraId="3A6A6574" w14:textId="77777777" w:rsidR="004738A2" w:rsidRPr="00147972" w:rsidRDefault="004738A2" w:rsidP="002E50B1">
      <w:pPr>
        <w:pStyle w:val="Prrafodelista"/>
        <w:numPr>
          <w:ilvl w:val="0"/>
          <w:numId w:val="58"/>
        </w:numPr>
        <w:autoSpaceDE w:val="0"/>
        <w:autoSpaceDN w:val="0"/>
        <w:adjustRightInd w:val="0"/>
        <w:snapToGrid w:val="0"/>
        <w:spacing w:before="120" w:after="120" w:line="240" w:lineRule="atLeast"/>
        <w:ind w:left="1276" w:hanging="567"/>
        <w:contextualSpacing w:val="0"/>
        <w:jc w:val="both"/>
        <w:rPr>
          <w:rFonts w:ascii="Arial" w:hAnsi="Arial" w:cs="Arial"/>
          <w:lang w:val="es-ES_tradnl"/>
        </w:rPr>
      </w:pPr>
      <w:r w:rsidRPr="00147972">
        <w:rPr>
          <w:rFonts w:ascii="Arial" w:hAnsi="Arial" w:cs="Arial"/>
          <w:lang w:val="es-ES_tradnl"/>
        </w:rPr>
        <w:t>formular una estrategia para financiar las actividades del CARIBE-EWS;</w:t>
      </w:r>
    </w:p>
    <w:p w14:paraId="1EC2F3CD" w14:textId="77777777" w:rsidR="004738A2" w:rsidRPr="00147972" w:rsidRDefault="004738A2" w:rsidP="002E50B1">
      <w:pPr>
        <w:pStyle w:val="Prrafodelista"/>
        <w:numPr>
          <w:ilvl w:val="0"/>
          <w:numId w:val="58"/>
        </w:numPr>
        <w:autoSpaceDE w:val="0"/>
        <w:autoSpaceDN w:val="0"/>
        <w:adjustRightInd w:val="0"/>
        <w:snapToGrid w:val="0"/>
        <w:spacing w:before="120" w:after="120" w:line="240" w:lineRule="atLeast"/>
        <w:ind w:left="1276" w:hanging="567"/>
        <w:contextualSpacing w:val="0"/>
        <w:jc w:val="both"/>
        <w:rPr>
          <w:rFonts w:ascii="Arial" w:hAnsi="Arial" w:cs="Arial"/>
          <w:lang w:val="es-ES_tradnl"/>
        </w:rPr>
      </w:pPr>
      <w:r w:rsidRPr="00147972">
        <w:rPr>
          <w:rFonts w:ascii="Arial" w:hAnsi="Arial" w:cs="Arial"/>
          <w:lang w:val="es-ES_tradnl"/>
        </w:rPr>
        <w:t>hacer un seguimiento de los resultados y velar por el cumplimiento permanente por parte de los proveedores de servicios sobre tsunamis (TSP) de las funciones y los requisitos operacionales y organizativos aprobados;</w:t>
      </w:r>
    </w:p>
    <w:p w14:paraId="380FBF16" w14:textId="7555E8D4" w:rsidR="004738A2" w:rsidRPr="00147972" w:rsidRDefault="004738A2" w:rsidP="002E50B1">
      <w:pPr>
        <w:pStyle w:val="Prrafodelista"/>
        <w:numPr>
          <w:ilvl w:val="0"/>
          <w:numId w:val="58"/>
        </w:numPr>
        <w:autoSpaceDE w:val="0"/>
        <w:autoSpaceDN w:val="0"/>
        <w:adjustRightInd w:val="0"/>
        <w:snapToGrid w:val="0"/>
        <w:spacing w:before="120" w:after="120" w:line="240" w:lineRule="atLeast"/>
        <w:ind w:left="1276" w:hanging="567"/>
        <w:contextualSpacing w:val="0"/>
        <w:jc w:val="both"/>
        <w:rPr>
          <w:rFonts w:ascii="Arial" w:hAnsi="Arial" w:cs="Arial"/>
          <w:lang w:val="es-ES_tradnl"/>
        </w:rPr>
      </w:pPr>
      <w:r w:rsidRPr="00147972">
        <w:rPr>
          <w:rFonts w:ascii="Arial" w:hAnsi="Arial" w:cs="Arial"/>
          <w:lang w:val="es-ES_tradnl"/>
        </w:rPr>
        <w:t xml:space="preserve">orientar el trabajo del CARIBE-EWS para ayudar a alcanzar los objetivos del Programa de Tsunamis del Decenio del Océano de las Naciones Unidas y, de esa forma, respaldar el Plan de Investigación, Desarrollo y Ejecución decenal de </w:t>
      </w:r>
      <w:r w:rsidR="004C149C" w:rsidRPr="00147972">
        <w:rPr>
          <w:rFonts w:ascii="Arial" w:hAnsi="Arial" w:cs="Arial"/>
          <w:lang w:val="es-ES_tradnl"/>
        </w:rPr>
        <w:t>dicho</w:t>
      </w:r>
      <w:r w:rsidRPr="00147972">
        <w:rPr>
          <w:rFonts w:ascii="Arial" w:hAnsi="Arial" w:cs="Arial"/>
          <w:lang w:val="es-ES_tradnl"/>
        </w:rPr>
        <w:t xml:space="preserve"> Programa;</w:t>
      </w:r>
    </w:p>
    <w:p w14:paraId="4F2290FF" w14:textId="3AD7C5ED" w:rsidR="004738A2" w:rsidRPr="00147972" w:rsidRDefault="004738A2" w:rsidP="002E50B1">
      <w:pPr>
        <w:pStyle w:val="Prrafodelista"/>
        <w:numPr>
          <w:ilvl w:val="0"/>
          <w:numId w:val="58"/>
        </w:numPr>
        <w:autoSpaceDE w:val="0"/>
        <w:autoSpaceDN w:val="0"/>
        <w:adjustRightInd w:val="0"/>
        <w:snapToGrid w:val="0"/>
        <w:spacing w:before="120" w:after="120" w:line="240" w:lineRule="atLeast"/>
        <w:ind w:left="1276" w:hanging="567"/>
        <w:contextualSpacing w:val="0"/>
        <w:jc w:val="both"/>
        <w:rPr>
          <w:rFonts w:ascii="Arial" w:hAnsi="Arial" w:cs="Arial"/>
          <w:lang w:val="es-ES_tradnl"/>
        </w:rPr>
      </w:pPr>
      <w:r w:rsidRPr="00147972">
        <w:rPr>
          <w:rFonts w:ascii="Arial" w:hAnsi="Arial" w:cs="Arial"/>
          <w:lang w:val="es-ES_tradnl"/>
        </w:rPr>
        <w:t>informar al ICG/CARIBE-EWS de los progresos realizados en relación con los indicadores clave del desempeño del Plan de Investigación, Desarrollo y Ejecución del Programa de Tsunamis del Decenio del Océano de las Naciones Unidas;</w:t>
      </w:r>
    </w:p>
    <w:p w14:paraId="7C2176F3" w14:textId="10BF6B86" w:rsidR="004738A2" w:rsidRPr="00147972" w:rsidRDefault="004738A2" w:rsidP="00BE1E88">
      <w:pPr>
        <w:pStyle w:val="Prrafodelista"/>
        <w:numPr>
          <w:ilvl w:val="0"/>
          <w:numId w:val="58"/>
        </w:numPr>
        <w:autoSpaceDE w:val="0"/>
        <w:autoSpaceDN w:val="0"/>
        <w:adjustRightInd w:val="0"/>
        <w:snapToGrid w:val="0"/>
        <w:spacing w:before="120" w:after="120" w:line="240" w:lineRule="atLeast"/>
        <w:ind w:left="1276" w:hanging="567"/>
        <w:contextualSpacing w:val="0"/>
        <w:jc w:val="both"/>
        <w:rPr>
          <w:rFonts w:ascii="Arial" w:hAnsi="Arial" w:cs="Arial"/>
          <w:lang w:val="es-ES_tradnl"/>
        </w:rPr>
      </w:pPr>
      <w:r w:rsidRPr="00147972">
        <w:rPr>
          <w:rFonts w:ascii="Arial" w:hAnsi="Arial" w:cs="Arial"/>
          <w:lang w:val="es-ES_tradnl"/>
        </w:rPr>
        <w:t>formular una estrategia para una coordinación eficaz con la Subcomisión de la COI para el Caribe y Regiones Adyacentes (IOCARIBE), la UNDRR, la OMM y otras partes interesadas regionales;</w:t>
      </w:r>
    </w:p>
    <w:p w14:paraId="2ADD5332" w14:textId="75188B2A" w:rsidR="004738A2" w:rsidRPr="00147972" w:rsidRDefault="00CA5A24" w:rsidP="00BE1E88">
      <w:pPr>
        <w:pStyle w:val="Prrafodelista"/>
        <w:numPr>
          <w:ilvl w:val="0"/>
          <w:numId w:val="58"/>
        </w:numPr>
        <w:autoSpaceDE w:val="0"/>
        <w:autoSpaceDN w:val="0"/>
        <w:adjustRightInd w:val="0"/>
        <w:snapToGrid w:val="0"/>
        <w:spacing w:before="120" w:after="120" w:line="240" w:lineRule="atLeast"/>
        <w:ind w:left="1276" w:hanging="567"/>
        <w:contextualSpacing w:val="0"/>
        <w:jc w:val="both"/>
        <w:rPr>
          <w:rFonts w:ascii="Arial" w:hAnsi="Arial" w:cs="Arial"/>
          <w:lang w:val="es-ES_tradnl"/>
        </w:rPr>
      </w:pPr>
      <w:r w:rsidRPr="00147972">
        <w:rPr>
          <w:rFonts w:ascii="Arial" w:hAnsi="Arial" w:cs="Arial"/>
          <w:lang w:val="es-ES_tradnl"/>
        </w:rPr>
        <w:t>reformar</w:t>
      </w:r>
      <w:r w:rsidR="004738A2" w:rsidRPr="00147972">
        <w:rPr>
          <w:rFonts w:ascii="Arial" w:hAnsi="Arial" w:cs="Arial"/>
          <w:lang w:val="es-ES_tradnl"/>
        </w:rPr>
        <w:t xml:space="preserve"> la iniciativa del grupo de expertos sobre </w:t>
      </w:r>
      <w:r w:rsidRPr="00147972">
        <w:rPr>
          <w:rFonts w:ascii="Arial" w:hAnsi="Arial" w:cs="Arial"/>
          <w:lang w:val="es-ES_tradnl"/>
        </w:rPr>
        <w:t>el plan de trabajo y de ejecución para</w:t>
      </w:r>
      <w:r w:rsidR="004738A2" w:rsidRPr="00147972">
        <w:rPr>
          <w:rFonts w:ascii="Arial" w:hAnsi="Arial" w:cs="Arial"/>
          <w:lang w:val="es-ES_tradnl"/>
        </w:rPr>
        <w:t xml:space="preserve"> mejorar el sistema de alerta mediante la inclusión de otros peligros costeros, durante el periodo entre reuniones, en coordinación con la Secretaría de IOCARIBE</w:t>
      </w:r>
      <w:r w:rsidR="00010119" w:rsidRPr="00147972">
        <w:rPr>
          <w:rFonts w:ascii="Arial" w:hAnsi="Arial" w:cs="Arial"/>
          <w:lang w:val="es-ES_tradnl"/>
        </w:rPr>
        <w:t xml:space="preserve"> y</w:t>
      </w:r>
      <w:r w:rsidR="004738A2" w:rsidRPr="00147972">
        <w:rPr>
          <w:rFonts w:ascii="Arial" w:hAnsi="Arial" w:cs="Arial"/>
          <w:lang w:val="es-ES_tradnl"/>
        </w:rPr>
        <w:t xml:space="preserve"> teniendo en cuenta la iniciativa Alertas Tempranas para Todos de la OMM y la UNDRR; </w:t>
      </w:r>
    </w:p>
    <w:p w14:paraId="07CD75DE" w14:textId="7D002480" w:rsidR="004738A2" w:rsidRPr="00147972" w:rsidRDefault="004738A2" w:rsidP="00BE1E88">
      <w:pPr>
        <w:pStyle w:val="Prrafodelista"/>
        <w:numPr>
          <w:ilvl w:val="0"/>
          <w:numId w:val="58"/>
        </w:numPr>
        <w:autoSpaceDE w:val="0"/>
        <w:autoSpaceDN w:val="0"/>
        <w:adjustRightInd w:val="0"/>
        <w:snapToGrid w:val="0"/>
        <w:spacing w:before="120" w:after="120" w:line="240" w:lineRule="atLeast"/>
        <w:ind w:left="1276" w:hanging="567"/>
        <w:contextualSpacing w:val="0"/>
        <w:jc w:val="both"/>
        <w:rPr>
          <w:rFonts w:ascii="Arial" w:hAnsi="Arial" w:cs="Arial"/>
          <w:lang w:val="es-ES_tradnl"/>
        </w:rPr>
      </w:pPr>
      <w:r w:rsidRPr="00147972">
        <w:rPr>
          <w:rFonts w:ascii="Arial" w:hAnsi="Arial" w:cs="Arial"/>
          <w:lang w:val="es-ES_tradnl"/>
        </w:rPr>
        <w:t>supervisar el Centro de Información sobre los Tsunamis en el Caribe (CTIC) y ofrecerle orientación estratégica en lo que se refiere a la ejecución de sus actividades de sensibilización y desarrollo de capacidades en materia de tsunamis;</w:t>
      </w:r>
    </w:p>
    <w:p w14:paraId="5DE22658" w14:textId="0BB7D618" w:rsidR="004738A2" w:rsidRPr="00147972" w:rsidRDefault="004738A2" w:rsidP="00BE1E88">
      <w:pPr>
        <w:pStyle w:val="Prrafodelista"/>
        <w:numPr>
          <w:ilvl w:val="0"/>
          <w:numId w:val="58"/>
        </w:numPr>
        <w:autoSpaceDE w:val="0"/>
        <w:autoSpaceDN w:val="0"/>
        <w:adjustRightInd w:val="0"/>
        <w:spacing w:before="120" w:after="240" w:line="240" w:lineRule="auto"/>
        <w:ind w:left="1276" w:hanging="567"/>
        <w:contextualSpacing w:val="0"/>
        <w:jc w:val="both"/>
        <w:rPr>
          <w:rFonts w:ascii="Arial" w:hAnsi="Arial" w:cs="Arial"/>
          <w:lang w:val="es-ES_tradnl"/>
        </w:rPr>
      </w:pPr>
      <w:r w:rsidRPr="00147972">
        <w:rPr>
          <w:rFonts w:ascii="Arial" w:hAnsi="Arial" w:cs="Arial"/>
          <w:lang w:val="es-ES_tradnl"/>
        </w:rPr>
        <w:t xml:space="preserve">organizar eventos y otras </w:t>
      </w:r>
      <w:r w:rsidR="00F64EBB" w:rsidRPr="00147972">
        <w:rPr>
          <w:rFonts w:ascii="Arial" w:hAnsi="Arial" w:cs="Arial"/>
          <w:lang w:val="es-ES_tradnl"/>
        </w:rPr>
        <w:t xml:space="preserve">iniciativas </w:t>
      </w:r>
      <w:r w:rsidRPr="00147972">
        <w:rPr>
          <w:rFonts w:ascii="Arial" w:hAnsi="Arial" w:cs="Arial"/>
          <w:lang w:val="es-ES_tradnl"/>
        </w:rPr>
        <w:t xml:space="preserve">y actividades </w:t>
      </w:r>
      <w:r w:rsidR="00017C28" w:rsidRPr="00147972">
        <w:rPr>
          <w:rFonts w:ascii="Arial" w:hAnsi="Arial" w:cs="Arial"/>
          <w:lang w:val="es-ES_tradnl"/>
        </w:rPr>
        <w:t>en relación con</w:t>
      </w:r>
      <w:r w:rsidRPr="00147972">
        <w:rPr>
          <w:rFonts w:ascii="Arial" w:hAnsi="Arial" w:cs="Arial"/>
          <w:lang w:val="es-ES_tradnl"/>
        </w:rPr>
        <w:t xml:space="preserve"> los </w:t>
      </w:r>
      <w:r w:rsidR="00044968" w:rsidRPr="00147972">
        <w:rPr>
          <w:rFonts w:ascii="Arial" w:hAnsi="Arial" w:cs="Arial"/>
          <w:lang w:val="es-ES_tradnl"/>
        </w:rPr>
        <w:t xml:space="preserve">vigésimos </w:t>
      </w:r>
      <w:r w:rsidR="00017C28" w:rsidRPr="00147972">
        <w:rPr>
          <w:rFonts w:ascii="Arial" w:hAnsi="Arial" w:cs="Arial"/>
          <w:lang w:val="es-ES_tradnl"/>
        </w:rPr>
        <w:t xml:space="preserve">aniversarios </w:t>
      </w:r>
      <w:r w:rsidRPr="00147972">
        <w:rPr>
          <w:rFonts w:ascii="Arial" w:hAnsi="Arial" w:cs="Arial"/>
          <w:lang w:val="es-ES_tradnl"/>
        </w:rPr>
        <w:t>del ICG/CARIBE-EWS.</w:t>
      </w:r>
    </w:p>
    <w:p w14:paraId="5EC18D2A" w14:textId="7ECA9405" w:rsidR="00B753AD" w:rsidRPr="00147972" w:rsidRDefault="00B753AD" w:rsidP="00634FDF">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felicitó</w:t>
      </w:r>
      <w:r w:rsidRPr="00147972">
        <w:rPr>
          <w:rFonts w:ascii="Arial" w:hAnsi="Arial" w:cs="Arial"/>
          <w:lang w:val="es-ES_tradnl"/>
        </w:rPr>
        <w:t xml:space="preserve"> a los Estados Miembros y comunidades que habían recibido la acreditación Tsunami Ready en el periodo entre reuniones, a saber, Saint George (San Vicente y las Granadinas), Christ Church West (Barbados) y Deshaies (Guadalupe, Francia).</w:t>
      </w:r>
    </w:p>
    <w:p w14:paraId="0317400F" w14:textId="1F42DDA4" w:rsidR="000E178F" w:rsidRPr="00147972" w:rsidRDefault="000E178F" w:rsidP="00634FDF">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 xml:space="preserve">El ICG </w:t>
      </w:r>
      <w:r w:rsidR="00017C28" w:rsidRPr="00147972">
        <w:rPr>
          <w:rFonts w:ascii="Arial" w:hAnsi="Arial" w:cs="Arial"/>
          <w:b/>
          <w:bCs/>
          <w:lang w:val="es-ES_tradnl"/>
        </w:rPr>
        <w:t>tomó nota</w:t>
      </w:r>
      <w:r w:rsidRPr="00147972">
        <w:rPr>
          <w:rFonts w:ascii="Arial" w:hAnsi="Arial" w:cs="Arial"/>
          <w:b/>
          <w:bCs/>
          <w:lang w:val="es-ES_tradnl"/>
        </w:rPr>
        <w:t xml:space="preserve"> </w:t>
      </w:r>
      <w:r w:rsidR="00017C28" w:rsidRPr="00147972">
        <w:rPr>
          <w:rFonts w:ascii="Arial" w:hAnsi="Arial" w:cs="Arial"/>
          <w:bCs/>
          <w:lang w:val="es-ES_tradnl"/>
        </w:rPr>
        <w:t>de</w:t>
      </w:r>
      <w:r w:rsidR="00017C28" w:rsidRPr="00147972">
        <w:rPr>
          <w:rFonts w:ascii="Arial" w:hAnsi="Arial" w:cs="Arial"/>
          <w:b/>
          <w:bCs/>
          <w:lang w:val="es-ES_tradnl"/>
        </w:rPr>
        <w:t xml:space="preserve"> </w:t>
      </w:r>
      <w:r w:rsidRPr="00147972">
        <w:rPr>
          <w:rFonts w:ascii="Arial" w:hAnsi="Arial" w:cs="Arial"/>
          <w:lang w:val="es-ES_tradnl"/>
        </w:rPr>
        <w:t>la necesidad de centrarse más en encontrar y emplear estrategias adecuadas en el Caribe y las regiones adyacentes para alcanzar el segundo objetivo del Programa de Tsunamis del Decenio del Océano de lograr que la totalidad de las comunidades en situación de riesgo estén preparadas y sean resilientes a los tsunamis de aquí a 2030, gracias</w:t>
      </w:r>
      <w:r w:rsidR="00E42261" w:rsidRPr="00147972">
        <w:rPr>
          <w:rFonts w:ascii="Arial" w:hAnsi="Arial" w:cs="Arial"/>
          <w:lang w:val="es-ES_tradnl"/>
        </w:rPr>
        <w:t xml:space="preserve"> a iniciativas como</w:t>
      </w:r>
      <w:r w:rsidRPr="00147972">
        <w:rPr>
          <w:rFonts w:ascii="Arial" w:hAnsi="Arial" w:cs="Arial"/>
          <w:lang w:val="es-ES_tradnl"/>
        </w:rPr>
        <w:t xml:space="preserve"> </w:t>
      </w:r>
      <w:r w:rsidR="00E42261" w:rsidRPr="00147972">
        <w:rPr>
          <w:rFonts w:ascii="Arial" w:hAnsi="Arial" w:cs="Arial"/>
          <w:lang w:val="es-ES_tradnl"/>
        </w:rPr>
        <w:t>e</w:t>
      </w:r>
      <w:r w:rsidRPr="00147972">
        <w:rPr>
          <w:rFonts w:ascii="Arial" w:hAnsi="Arial" w:cs="Arial"/>
          <w:lang w:val="es-ES_tradnl"/>
        </w:rPr>
        <w:t>l Programa de Reconocimiento Tsunami Ready de la UNESCO/COI.</w:t>
      </w:r>
    </w:p>
    <w:p w14:paraId="38060531" w14:textId="2B0AF01F" w:rsidR="00A1767B" w:rsidRPr="00147972" w:rsidRDefault="00A1767B" w:rsidP="00634FDF">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agradeció</w:t>
      </w:r>
      <w:r w:rsidRPr="00147972">
        <w:rPr>
          <w:rFonts w:ascii="Arial" w:hAnsi="Arial" w:cs="Arial"/>
          <w:lang w:val="es-ES_tradnl"/>
        </w:rPr>
        <w:t xml:space="preserve"> la financiación de la Oficina de Asistencia Humanitaria de la Agencia de los Estados Unidos para el Desarrollo Internacional (USAID/BHA), Australia, Noruega y el Programa de Preparación ante Desastres del Departamento de Ayuda Humanitaria de la Comisión Europea (DIPECHO) para ejecu</w:t>
      </w:r>
      <w:r w:rsidR="00776C7C" w:rsidRPr="00147972">
        <w:rPr>
          <w:rFonts w:ascii="Arial" w:hAnsi="Arial" w:cs="Arial"/>
          <w:lang w:val="es-ES_tradnl"/>
        </w:rPr>
        <w:t>tar</w:t>
      </w:r>
      <w:r w:rsidRPr="00147972">
        <w:rPr>
          <w:rFonts w:ascii="Arial" w:hAnsi="Arial" w:cs="Arial"/>
          <w:lang w:val="es-ES_tradnl"/>
        </w:rPr>
        <w:t xml:space="preserve"> el programa Tsunami Ready.</w:t>
      </w:r>
    </w:p>
    <w:p w14:paraId="1B03B58E" w14:textId="34F1D03D" w:rsidR="00A1767B" w:rsidRPr="00147972" w:rsidRDefault="00A1767B" w:rsidP="00634FDF">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b/>
          <w:bCs/>
          <w:lang w:val="es-ES_tradnl"/>
        </w:rPr>
      </w:pPr>
      <w:r w:rsidRPr="00147972">
        <w:rPr>
          <w:rFonts w:ascii="Arial" w:hAnsi="Arial" w:cs="Arial"/>
          <w:b/>
          <w:bCs/>
          <w:lang w:val="es-ES_tradnl"/>
        </w:rPr>
        <w:lastRenderedPageBreak/>
        <w:t>El ICG invitó</w:t>
      </w:r>
      <w:r w:rsidRPr="00147972">
        <w:rPr>
          <w:rFonts w:ascii="Arial" w:hAnsi="Arial" w:cs="Arial"/>
          <w:lang w:val="es-ES_tradnl"/>
        </w:rPr>
        <w:t xml:space="preserve"> a todos los Estados Miembros a poner en marcha o apoyar la puesta en marcha de Tsunami Ready en sus comunidades o en las de otro Estado Miembro.</w:t>
      </w:r>
    </w:p>
    <w:p w14:paraId="5DD62D94" w14:textId="1BBE968E" w:rsidR="000964B2" w:rsidRPr="00147972" w:rsidRDefault="000E178F" w:rsidP="00634FDF">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b/>
          <w:bCs/>
          <w:lang w:val="es-ES_tradnl"/>
        </w:rPr>
      </w:pPr>
      <w:r w:rsidRPr="00147972">
        <w:rPr>
          <w:rFonts w:ascii="Arial" w:hAnsi="Arial" w:cs="Arial"/>
          <w:b/>
          <w:bCs/>
          <w:lang w:val="es-ES_tradnl"/>
        </w:rPr>
        <w:t>El ICG decidió</w:t>
      </w:r>
      <w:r w:rsidRPr="00147972">
        <w:rPr>
          <w:rFonts w:ascii="Arial" w:hAnsi="Arial" w:cs="Arial"/>
          <w:lang w:val="es-ES_tradnl"/>
        </w:rPr>
        <w:t xml:space="preserve"> crear un equipo de trabajo sobre Tsunami Ready.</w:t>
      </w:r>
    </w:p>
    <w:p w14:paraId="6C464180" w14:textId="0543F24C" w:rsidR="000964B2" w:rsidRPr="00147972" w:rsidRDefault="000964B2" w:rsidP="00634FDF">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agradeció</w:t>
      </w:r>
      <w:r w:rsidRPr="00147972">
        <w:rPr>
          <w:rFonts w:ascii="Arial" w:hAnsi="Arial" w:cs="Arial"/>
          <w:lang w:val="es-ES_tradnl"/>
        </w:rPr>
        <w:t xml:space="preserve"> el ofrecimiento de la Oficina del Caribe del Centro Internacional de Información sobre los Tsunamis (ITIC-CAR) de poner a disposición a un pasante durante 10 semanas para </w:t>
      </w:r>
      <w:r w:rsidR="00776C7C" w:rsidRPr="00147972">
        <w:rPr>
          <w:rFonts w:ascii="Arial" w:hAnsi="Arial" w:cs="Arial"/>
          <w:lang w:val="es-ES_tradnl"/>
        </w:rPr>
        <w:t>ayudar a realizar</w:t>
      </w:r>
      <w:r w:rsidRPr="00147972">
        <w:rPr>
          <w:rFonts w:ascii="Arial" w:hAnsi="Arial" w:cs="Arial"/>
          <w:lang w:val="es-ES_tradnl"/>
        </w:rPr>
        <w:t xml:space="preserve"> la encuesta de Tsunami Ready en el ICG/CARIBE-EWS, y </w:t>
      </w:r>
      <w:r w:rsidRPr="00147972">
        <w:rPr>
          <w:rFonts w:ascii="Arial" w:hAnsi="Arial" w:cs="Arial"/>
          <w:b/>
          <w:bCs/>
          <w:lang w:val="es-ES_tradnl"/>
        </w:rPr>
        <w:t>tomó nota</w:t>
      </w:r>
      <w:r w:rsidRPr="00147972">
        <w:rPr>
          <w:rFonts w:ascii="Arial" w:hAnsi="Arial" w:cs="Arial"/>
          <w:lang w:val="es-ES_tradnl"/>
        </w:rPr>
        <w:t xml:space="preserve"> de la solicitud del Grupo de Trabajo sobre los Sistemas de Alerta contra los Tsunamis y Otros Peligros relacionados con el Nivel del Mar y Atenuación de sus Efectos (TOWS-WG) de </w:t>
      </w:r>
      <w:r w:rsidR="002E50B1" w:rsidRPr="00147972">
        <w:rPr>
          <w:rFonts w:ascii="Arial" w:hAnsi="Arial" w:cs="Arial"/>
          <w:lang w:val="es-ES_tradnl"/>
        </w:rPr>
        <w:t>“</w:t>
      </w:r>
      <w:r w:rsidRPr="00147972">
        <w:rPr>
          <w:rFonts w:ascii="Arial" w:hAnsi="Arial" w:cs="Arial"/>
          <w:lang w:val="es-ES_tradnl"/>
        </w:rPr>
        <w:t>xiii) que el TT-DMP considere la posibilidad de introducir un formulario de evaluación de Tsunami Ready en los demás grupos intergubernamentales de coordinación además del ICG/CARIBE-EWS, traducirlo al español y al francés, y distribuirlo por medio de la Sección de Resiliencia frente a los Tsunamis de la COI</w:t>
      </w:r>
      <w:r w:rsidR="002E50B1" w:rsidRPr="00147972">
        <w:rPr>
          <w:rFonts w:ascii="Arial" w:hAnsi="Arial" w:cs="Arial"/>
          <w:lang w:val="es-ES_tradnl"/>
        </w:rPr>
        <w:t>”</w:t>
      </w:r>
      <w:r w:rsidRPr="00147972">
        <w:rPr>
          <w:rFonts w:ascii="Arial" w:hAnsi="Arial" w:cs="Arial"/>
          <w:lang w:val="es-ES_tradnl"/>
        </w:rPr>
        <w:t>.</w:t>
      </w:r>
    </w:p>
    <w:p w14:paraId="0C8E665A" w14:textId="269D1A75" w:rsidR="000964B2" w:rsidRPr="00147972" w:rsidRDefault="000964B2" w:rsidP="00634FDF">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recomendó</w:t>
      </w:r>
      <w:r w:rsidRPr="00147972">
        <w:rPr>
          <w:rFonts w:ascii="Arial" w:hAnsi="Arial" w:cs="Arial"/>
          <w:lang w:val="es-ES_tradnl"/>
        </w:rPr>
        <w:t xml:space="preserve"> a su Comité de Dirección y a la Secretaría que evaluaran el proceso de ejecución en el ICG/CARIBE-EWS e informaran al ICG/CARIBE-EWS sobre la puesta en marcha de </w:t>
      </w:r>
      <w:r w:rsidR="00044968" w:rsidRPr="00147972">
        <w:rPr>
          <w:rFonts w:ascii="Arial" w:hAnsi="Arial" w:cs="Arial"/>
          <w:lang w:val="es-ES_tradnl"/>
        </w:rPr>
        <w:t>esta iniciativa</w:t>
      </w:r>
      <w:r w:rsidRPr="00147972">
        <w:rPr>
          <w:rFonts w:ascii="Arial" w:hAnsi="Arial" w:cs="Arial"/>
          <w:lang w:val="es-ES_tradnl"/>
        </w:rPr>
        <w:t xml:space="preserve"> en otros ICG, de conformidad con la recomendación de la TOWS-WG-XVII.</w:t>
      </w:r>
    </w:p>
    <w:p w14:paraId="2C97A9F6" w14:textId="16558E4E" w:rsidR="000E178F" w:rsidRPr="00147972" w:rsidRDefault="000E178F" w:rsidP="00634FDF">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tomó nota además</w:t>
      </w:r>
      <w:r w:rsidRPr="00147972">
        <w:rPr>
          <w:rFonts w:ascii="Arial" w:hAnsi="Arial" w:cs="Arial"/>
          <w:lang w:val="es-ES_tradnl"/>
        </w:rPr>
        <w:t xml:space="preserve"> de los progresos realizados en la aplicación de la iniciativa sobre cables SMART en el Pacífico y el Atlántico, respaldada por el Decenio del Océano de las Naciones Unidas.</w:t>
      </w:r>
    </w:p>
    <w:p w14:paraId="6CD6C991" w14:textId="49BBB4A5" w:rsidR="000E178F" w:rsidRPr="00147972" w:rsidRDefault="000E178F" w:rsidP="00634FDF">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decidió</w:t>
      </w:r>
      <w:r w:rsidRPr="00147972">
        <w:rPr>
          <w:rFonts w:ascii="Arial" w:hAnsi="Arial" w:cs="Arial"/>
          <w:lang w:val="es-ES_tradnl"/>
        </w:rPr>
        <w:t xml:space="preserve"> crear un subgrupo dentro del grupo de trabajo 2 para que se ocupe específicamente de la aplicación de dicha tecnología en el CARIBE-EWS.</w:t>
      </w:r>
    </w:p>
    <w:p w14:paraId="7DC3B9BF" w14:textId="2F315C26" w:rsidR="000E178F" w:rsidRPr="00147972" w:rsidRDefault="000E178F" w:rsidP="00634FDF">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pidió</w:t>
      </w:r>
      <w:r w:rsidRPr="00147972">
        <w:rPr>
          <w:rFonts w:ascii="Arial" w:hAnsi="Arial" w:cs="Arial"/>
          <w:lang w:val="es-ES_tradnl"/>
        </w:rPr>
        <w:t xml:space="preserve"> al Comité de Dirección que reformara la iniciativa del grupo de expertos sobre el plan de trabajo y de ejecución para mejorar el sistema de alerta mediante la inclusión de otros peligros costeros, durante el periodo entre reuniones, en coordinación con la Secretaría de IOCARIBE y las oficinas regionales de la OMM y la UNDRR, con el apoyo del Comité de Dirección y el Secretario Técnico del ICG/CARIBE-EWS.</w:t>
      </w:r>
    </w:p>
    <w:p w14:paraId="78B79C91" w14:textId="26A63A68" w:rsidR="00EF7BBB" w:rsidRPr="00147972" w:rsidRDefault="000964B2" w:rsidP="00634FDF">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 xml:space="preserve">El ICG </w:t>
      </w:r>
      <w:r w:rsidR="00044968" w:rsidRPr="00147972">
        <w:rPr>
          <w:rFonts w:ascii="Arial" w:hAnsi="Arial" w:cs="Arial"/>
          <w:b/>
          <w:bCs/>
          <w:lang w:val="es-ES_tradnl"/>
        </w:rPr>
        <w:t>tomó nota</w:t>
      </w:r>
      <w:r w:rsidR="00044968" w:rsidRPr="00147972">
        <w:rPr>
          <w:rFonts w:ascii="Arial" w:hAnsi="Arial" w:cs="Arial"/>
          <w:lang w:val="es-ES_tradnl"/>
        </w:rPr>
        <w:t xml:space="preserve"> de </w:t>
      </w:r>
      <w:r w:rsidRPr="00147972">
        <w:rPr>
          <w:rFonts w:ascii="Arial" w:hAnsi="Arial" w:cs="Arial"/>
          <w:lang w:val="es-ES_tradnl"/>
        </w:rPr>
        <w:t xml:space="preserve">la realización del taller sobre evacuación en caso de tsunamis celebrado en Costa Rica en abril de 2024, en el que participaron siete Estados Miembros del ICG/CARIBE-EWS </w:t>
      </w:r>
      <w:r w:rsidR="00B54329" w:rsidRPr="00147972">
        <w:rPr>
          <w:rFonts w:ascii="Arial" w:hAnsi="Arial" w:cs="Arial"/>
          <w:lang w:val="es-ES_tradnl"/>
        </w:rPr>
        <w:t>—</w:t>
      </w:r>
      <w:r w:rsidRPr="00147972">
        <w:rPr>
          <w:rFonts w:ascii="Arial" w:hAnsi="Arial" w:cs="Arial"/>
          <w:lang w:val="es-ES_tradnl"/>
        </w:rPr>
        <w:t>República Dominicana, México, Guatemala, Nicaragua, Costa Rica, Panamá, Colombia y los Estados Unidos de América (Puerto Rico)</w:t>
      </w:r>
      <w:r w:rsidR="00B54329" w:rsidRPr="00147972">
        <w:rPr>
          <w:rFonts w:ascii="Arial" w:hAnsi="Arial" w:cs="Arial"/>
          <w:lang w:val="es-ES_tradnl"/>
        </w:rPr>
        <w:t>—</w:t>
      </w:r>
      <w:r w:rsidRPr="00147972">
        <w:rPr>
          <w:rFonts w:ascii="Arial" w:hAnsi="Arial" w:cs="Arial"/>
          <w:lang w:val="es-ES_tradnl"/>
        </w:rPr>
        <w:t xml:space="preserve"> </w:t>
      </w:r>
      <w:r w:rsidRPr="00147972">
        <w:rPr>
          <w:rFonts w:ascii="Arial" w:hAnsi="Arial" w:cs="Arial"/>
          <w:b/>
          <w:bCs/>
          <w:lang w:val="es-ES_tradnl"/>
        </w:rPr>
        <w:t>y agradeció</w:t>
      </w:r>
      <w:r w:rsidRPr="00147972">
        <w:rPr>
          <w:rFonts w:ascii="Arial" w:hAnsi="Arial" w:cs="Arial"/>
          <w:lang w:val="es-ES_tradnl"/>
        </w:rPr>
        <w:t xml:space="preserve"> el liderazgo del Instituto de Eventos Extremos de la Universidad Internacional de Florida, la financiación proporcionada por la USAID/BHA y la Secretaría del ICG/CARIBE-EWS, y el apoyo del Programa SINAMOT de la Universidad Nacional de Costa Rica, la ITIC-CAR y la PRSN para organizar el taller.</w:t>
      </w:r>
    </w:p>
    <w:p w14:paraId="119E0E9F" w14:textId="50C5EA8C" w:rsidR="00EF7BBB" w:rsidRPr="00147972" w:rsidRDefault="000964B2" w:rsidP="002E7DE0">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reconoció</w:t>
      </w:r>
      <w:r w:rsidRPr="00147972">
        <w:rPr>
          <w:rFonts w:ascii="Arial" w:hAnsi="Arial" w:cs="Arial"/>
          <w:lang w:val="es-ES_tradnl"/>
        </w:rPr>
        <w:t xml:space="preserve"> el éxito del curso de formación sobre mareas, que se </w:t>
      </w:r>
      <w:r w:rsidR="00164368" w:rsidRPr="00147972">
        <w:rPr>
          <w:rFonts w:ascii="Arial" w:hAnsi="Arial" w:cs="Arial"/>
          <w:lang w:val="es-ES_tradnl"/>
        </w:rPr>
        <w:t>había impartido</w:t>
      </w:r>
      <w:r w:rsidRPr="00147972">
        <w:rPr>
          <w:rFonts w:ascii="Arial" w:hAnsi="Arial" w:cs="Arial"/>
          <w:lang w:val="es-ES_tradnl"/>
        </w:rPr>
        <w:t xml:space="preserve"> en español del 13 al 17 de noviembre de 2023 en Costa Rica, organizado y financiado conjuntamente por la Organización Hidrográfica Internacional (OHI), la Organización Marítima Internacional (OMI), la Comisión Oceanográfica Intergubernamental de la UNESCO (UNESCO-COI) y la Oficina Nacional de Administración Oceánica y Atmosférica (NOAA, Estados Unidos de América).</w:t>
      </w:r>
    </w:p>
    <w:p w14:paraId="485B2380" w14:textId="521B7ABA" w:rsidR="00EF7BBB" w:rsidRPr="00147972" w:rsidRDefault="000964B2" w:rsidP="002E7DE0">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 xml:space="preserve">El ICG </w:t>
      </w:r>
      <w:r w:rsidR="00044968" w:rsidRPr="00147972">
        <w:rPr>
          <w:rFonts w:ascii="Arial" w:hAnsi="Arial" w:cs="Arial"/>
          <w:b/>
          <w:bCs/>
          <w:lang w:val="es-ES_tradnl"/>
        </w:rPr>
        <w:t xml:space="preserve">alentó </w:t>
      </w:r>
      <w:r w:rsidRPr="00147972">
        <w:rPr>
          <w:rFonts w:ascii="Arial" w:hAnsi="Arial" w:cs="Arial"/>
          <w:lang w:val="es-ES_tradnl"/>
        </w:rPr>
        <w:t xml:space="preserve">a la Secretaría a </w:t>
      </w:r>
      <w:r w:rsidR="004C73B0" w:rsidRPr="00147972">
        <w:rPr>
          <w:rFonts w:ascii="Arial" w:hAnsi="Arial" w:cs="Arial"/>
          <w:lang w:val="es-ES_tradnl"/>
        </w:rPr>
        <w:t xml:space="preserve">que </w:t>
      </w:r>
      <w:r w:rsidRPr="00147972">
        <w:rPr>
          <w:rFonts w:ascii="Arial" w:hAnsi="Arial" w:cs="Arial"/>
          <w:lang w:val="es-ES_tradnl"/>
        </w:rPr>
        <w:t>organizar</w:t>
      </w:r>
      <w:r w:rsidR="004C73B0" w:rsidRPr="00147972">
        <w:rPr>
          <w:rFonts w:ascii="Arial" w:hAnsi="Arial" w:cs="Arial"/>
          <w:lang w:val="es-ES_tradnl"/>
        </w:rPr>
        <w:t>a</w:t>
      </w:r>
      <w:r w:rsidRPr="00147972">
        <w:rPr>
          <w:rFonts w:ascii="Arial" w:hAnsi="Arial" w:cs="Arial"/>
          <w:lang w:val="es-ES_tradnl"/>
        </w:rPr>
        <w:t xml:space="preserve">, con el grupo de trabajo 2, cursos de formación sobre el nivel del mar en </w:t>
      </w:r>
      <w:r w:rsidR="00F27F0E" w:rsidRPr="00147972">
        <w:rPr>
          <w:rFonts w:ascii="Arial" w:hAnsi="Arial" w:cs="Arial"/>
          <w:lang w:val="es-ES_tradnl"/>
        </w:rPr>
        <w:t xml:space="preserve">español e </w:t>
      </w:r>
      <w:r w:rsidRPr="00147972">
        <w:rPr>
          <w:rFonts w:ascii="Arial" w:hAnsi="Arial" w:cs="Arial"/>
          <w:lang w:val="es-ES_tradnl"/>
        </w:rPr>
        <w:t>inglés en años alternos, con el apoyo de la NOAA y la Secretaría, y en estrecha colaboración con la OHI y la OMI.</w:t>
      </w:r>
    </w:p>
    <w:p w14:paraId="14C87019" w14:textId="4178EE4A" w:rsidR="00EF7BBB" w:rsidRPr="00147972" w:rsidRDefault="000964B2" w:rsidP="002E7DE0">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observó</w:t>
      </w:r>
      <w:r w:rsidRPr="00147972">
        <w:rPr>
          <w:rFonts w:ascii="Arial" w:hAnsi="Arial" w:cs="Arial"/>
          <w:lang w:val="es-ES_tradnl"/>
        </w:rPr>
        <w:t xml:space="preserve"> que se ha</w:t>
      </w:r>
      <w:r w:rsidR="00830A19" w:rsidRPr="00147972">
        <w:rPr>
          <w:rFonts w:ascii="Arial" w:hAnsi="Arial" w:cs="Arial"/>
          <w:lang w:val="es-ES_tradnl"/>
        </w:rPr>
        <w:t>bía</w:t>
      </w:r>
      <w:r w:rsidRPr="00147972">
        <w:rPr>
          <w:rFonts w:ascii="Arial" w:hAnsi="Arial" w:cs="Arial"/>
          <w:lang w:val="es-ES_tradnl"/>
        </w:rPr>
        <w:t xml:space="preserve"> programado una reunión conjunta de expertos sobre fuentes sísmicas en el Caribe Noroccidental y sobre fuentes no sísmicas de tsunamis para el Caribe y regiones adyacentes, que se celebrar</w:t>
      </w:r>
      <w:r w:rsidR="00830A19" w:rsidRPr="00147972">
        <w:rPr>
          <w:rFonts w:ascii="Arial" w:hAnsi="Arial" w:cs="Arial"/>
          <w:lang w:val="es-ES_tradnl"/>
        </w:rPr>
        <w:t>ía</w:t>
      </w:r>
      <w:r w:rsidRPr="00147972">
        <w:rPr>
          <w:rFonts w:ascii="Arial" w:hAnsi="Arial" w:cs="Arial"/>
          <w:lang w:val="es-ES_tradnl"/>
        </w:rPr>
        <w:t xml:space="preserve"> del 2 al 5 de diciembre de 2024 en Heredia (Costa Rica).</w:t>
      </w:r>
    </w:p>
    <w:p w14:paraId="41EED59E" w14:textId="1529E1CA" w:rsidR="00EF7BBB" w:rsidRPr="00147972" w:rsidRDefault="000964B2" w:rsidP="002E7DE0">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tomó nota</w:t>
      </w:r>
      <w:r w:rsidRPr="00147972">
        <w:rPr>
          <w:rFonts w:ascii="Arial" w:hAnsi="Arial" w:cs="Arial"/>
          <w:lang w:val="es-ES_tradnl"/>
        </w:rPr>
        <w:t xml:space="preserve"> de que los tiempos de evacuación </w:t>
      </w:r>
      <w:r w:rsidR="0043339C" w:rsidRPr="00147972">
        <w:rPr>
          <w:rFonts w:ascii="Arial" w:hAnsi="Arial" w:cs="Arial"/>
          <w:lang w:val="es-ES_tradnl"/>
        </w:rPr>
        <w:t>eran</w:t>
      </w:r>
      <w:r w:rsidRPr="00147972">
        <w:rPr>
          <w:rFonts w:ascii="Arial" w:hAnsi="Arial" w:cs="Arial"/>
          <w:lang w:val="es-ES_tradnl"/>
        </w:rPr>
        <w:t xml:space="preserve"> necesarios para determinar la viabilidad de los mapas y planes de evacuación en caso de tsunami y </w:t>
      </w:r>
      <w:r w:rsidRPr="00147972">
        <w:rPr>
          <w:rFonts w:ascii="Arial" w:hAnsi="Arial" w:cs="Arial"/>
          <w:b/>
          <w:bCs/>
          <w:lang w:val="es-ES_tradnl"/>
        </w:rPr>
        <w:t>recomendó</w:t>
      </w:r>
      <w:r w:rsidRPr="00147972">
        <w:rPr>
          <w:rFonts w:ascii="Arial" w:hAnsi="Arial" w:cs="Arial"/>
          <w:lang w:val="es-ES_tradnl"/>
        </w:rPr>
        <w:t xml:space="preserve"> a la Secretaría </w:t>
      </w:r>
      <w:r w:rsidRPr="00147972">
        <w:rPr>
          <w:rFonts w:ascii="Arial" w:hAnsi="Arial" w:cs="Arial"/>
          <w:lang w:val="es-ES_tradnl"/>
        </w:rPr>
        <w:lastRenderedPageBreak/>
        <w:t xml:space="preserve">que, junto con el grupo de trabajo 4, buscara financiación </w:t>
      </w:r>
      <w:r w:rsidR="00830A19" w:rsidRPr="00147972">
        <w:rPr>
          <w:rFonts w:ascii="Arial" w:hAnsi="Arial" w:cs="Arial"/>
          <w:lang w:val="es-ES_tradnl"/>
        </w:rPr>
        <w:t>para</w:t>
      </w:r>
      <w:r w:rsidRPr="00147972">
        <w:rPr>
          <w:rFonts w:ascii="Arial" w:hAnsi="Arial" w:cs="Arial"/>
          <w:lang w:val="es-ES_tradnl"/>
        </w:rPr>
        <w:t xml:space="preserve"> organizar un taller </w:t>
      </w:r>
      <w:r w:rsidR="00830A19" w:rsidRPr="00147972">
        <w:rPr>
          <w:rFonts w:ascii="Arial" w:hAnsi="Arial" w:cs="Arial"/>
          <w:lang w:val="es-ES_tradnl"/>
        </w:rPr>
        <w:t>destinado a evaluar</w:t>
      </w:r>
      <w:r w:rsidRPr="00147972">
        <w:rPr>
          <w:rFonts w:ascii="Arial" w:hAnsi="Arial" w:cs="Arial"/>
          <w:lang w:val="es-ES_tradnl"/>
        </w:rPr>
        <w:t xml:space="preserve"> </w:t>
      </w:r>
      <w:r w:rsidR="00830A19" w:rsidRPr="00147972">
        <w:rPr>
          <w:rFonts w:ascii="Arial" w:hAnsi="Arial" w:cs="Arial"/>
          <w:lang w:val="es-ES_tradnl"/>
        </w:rPr>
        <w:t>la</w:t>
      </w:r>
      <w:r w:rsidRPr="00147972">
        <w:rPr>
          <w:rFonts w:ascii="Arial" w:hAnsi="Arial" w:cs="Arial"/>
          <w:lang w:val="es-ES_tradnl"/>
        </w:rPr>
        <w:t xml:space="preserve"> model</w:t>
      </w:r>
      <w:r w:rsidR="00830A19" w:rsidRPr="00147972">
        <w:rPr>
          <w:rFonts w:ascii="Arial" w:hAnsi="Arial" w:cs="Arial"/>
          <w:lang w:val="es-ES_tradnl"/>
        </w:rPr>
        <w:t>ización</w:t>
      </w:r>
      <w:r w:rsidRPr="00147972">
        <w:rPr>
          <w:rFonts w:ascii="Arial" w:hAnsi="Arial" w:cs="Arial"/>
          <w:lang w:val="es-ES_tradnl"/>
        </w:rPr>
        <w:t xml:space="preserve"> de </w:t>
      </w:r>
      <w:r w:rsidR="00830A19" w:rsidRPr="00147972">
        <w:rPr>
          <w:rFonts w:ascii="Arial" w:hAnsi="Arial" w:cs="Arial"/>
          <w:lang w:val="es-ES_tradnl"/>
        </w:rPr>
        <w:t xml:space="preserve">la </w:t>
      </w:r>
      <w:r w:rsidRPr="00147972">
        <w:rPr>
          <w:rFonts w:ascii="Arial" w:hAnsi="Arial" w:cs="Arial"/>
          <w:lang w:val="es-ES_tradnl"/>
        </w:rPr>
        <w:t>evacuación.</w:t>
      </w:r>
    </w:p>
    <w:p w14:paraId="2EF7D4D9" w14:textId="03400E56" w:rsidR="00EF7BBB" w:rsidRPr="00147972" w:rsidRDefault="000964B2" w:rsidP="002E7DE0">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tomó nota</w:t>
      </w:r>
      <w:r w:rsidR="00044968" w:rsidRPr="00147972">
        <w:rPr>
          <w:rFonts w:ascii="Arial" w:hAnsi="Arial" w:cs="Arial"/>
          <w:b/>
          <w:bCs/>
          <w:lang w:val="es-ES_tradnl"/>
        </w:rPr>
        <w:t xml:space="preserve"> también</w:t>
      </w:r>
      <w:r w:rsidRPr="00147972">
        <w:rPr>
          <w:rFonts w:ascii="Arial" w:hAnsi="Arial" w:cs="Arial"/>
          <w:lang w:val="es-ES_tradnl"/>
        </w:rPr>
        <w:t xml:space="preserve"> de que en el periodo entre reuniones se </w:t>
      </w:r>
      <w:r w:rsidR="0043339C" w:rsidRPr="00147972">
        <w:rPr>
          <w:rFonts w:ascii="Arial" w:hAnsi="Arial" w:cs="Arial"/>
          <w:lang w:val="es-ES_tradnl"/>
        </w:rPr>
        <w:t>había finalizado</w:t>
      </w:r>
      <w:r w:rsidRPr="00147972">
        <w:rPr>
          <w:rFonts w:ascii="Arial" w:hAnsi="Arial" w:cs="Arial"/>
          <w:lang w:val="es-ES_tradnl"/>
        </w:rPr>
        <w:t xml:space="preserve"> y public</w:t>
      </w:r>
      <w:r w:rsidR="0043339C" w:rsidRPr="00147972">
        <w:rPr>
          <w:rFonts w:ascii="Arial" w:hAnsi="Arial" w:cs="Arial"/>
          <w:lang w:val="es-ES_tradnl"/>
        </w:rPr>
        <w:t>ado</w:t>
      </w:r>
      <w:r w:rsidRPr="00147972">
        <w:rPr>
          <w:rFonts w:ascii="Arial" w:hAnsi="Arial" w:cs="Arial"/>
          <w:lang w:val="es-ES_tradnl"/>
        </w:rPr>
        <w:t xml:space="preserve"> la versión en español de Manuales y Guías </w:t>
      </w:r>
      <w:hyperlink r:id="rId13" w:history="1">
        <w:r w:rsidRPr="00147972">
          <w:rPr>
            <w:rStyle w:val="Hipervnculo"/>
            <w:rFonts w:ascii="Arial" w:hAnsi="Arial" w:cs="Arial"/>
            <w:lang w:val="es-ES_tradnl"/>
          </w:rPr>
          <w:t>86</w:t>
        </w:r>
      </w:hyperlink>
      <w:r w:rsidRPr="00147972">
        <w:rPr>
          <w:rFonts w:ascii="Arial" w:hAnsi="Arial" w:cs="Arial"/>
          <w:lang w:val="es-ES_tradnl"/>
        </w:rPr>
        <w:t xml:space="preserve"> de la COI, </w:t>
      </w:r>
      <w:r w:rsidR="002E50B1" w:rsidRPr="00147972">
        <w:rPr>
          <w:rFonts w:ascii="Arial" w:hAnsi="Arial" w:cs="Arial"/>
          <w:lang w:val="es-ES_tradnl"/>
        </w:rPr>
        <w:t>“</w:t>
      </w:r>
      <w:r w:rsidRPr="00147972">
        <w:rPr>
          <w:rFonts w:ascii="Arial" w:hAnsi="Arial" w:cs="Arial"/>
          <w:lang w:val="es-ES_tradnl"/>
        </w:rPr>
        <w:t>Programa plurianual de ejercicios comunitarios de simulación de tsunamis: Directrices para el Sistema de Alerta contra los Tsunamis y otras Amenazas Costeras en el Caribe y Regiones Adyacentes</w:t>
      </w:r>
      <w:r w:rsidR="002E50B1" w:rsidRPr="00147972">
        <w:rPr>
          <w:rFonts w:ascii="Arial" w:hAnsi="Arial" w:cs="Arial"/>
          <w:lang w:val="es-ES_tradnl"/>
        </w:rPr>
        <w:t>”</w:t>
      </w:r>
      <w:r w:rsidRPr="00147972">
        <w:rPr>
          <w:rFonts w:ascii="Arial" w:hAnsi="Arial" w:cs="Arial"/>
          <w:lang w:val="es-ES_tradnl"/>
        </w:rPr>
        <w:t>.</w:t>
      </w:r>
    </w:p>
    <w:p w14:paraId="0FEB9060" w14:textId="7664A83A" w:rsidR="00EF7BBB" w:rsidRPr="00147972" w:rsidRDefault="000964B2" w:rsidP="002E7DE0">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tomó nota además</w:t>
      </w:r>
      <w:r w:rsidRPr="00147972">
        <w:rPr>
          <w:rFonts w:ascii="Arial" w:hAnsi="Arial" w:cs="Arial"/>
          <w:lang w:val="es-ES_tradnl"/>
        </w:rPr>
        <w:t xml:space="preserve"> de la posibilidad de que se celebrara</w:t>
      </w:r>
      <w:r w:rsidR="009E0B91" w:rsidRPr="00147972">
        <w:rPr>
          <w:rFonts w:ascii="Arial" w:hAnsi="Arial" w:cs="Arial"/>
          <w:lang w:val="es-ES_tradnl"/>
        </w:rPr>
        <w:t xml:space="preserve"> un taller de este tipo</w:t>
      </w:r>
      <w:r w:rsidRPr="00147972">
        <w:rPr>
          <w:rFonts w:ascii="Arial" w:hAnsi="Arial" w:cs="Arial"/>
          <w:lang w:val="es-ES_tradnl"/>
        </w:rPr>
        <w:t xml:space="preserve"> en Antigua y Barbuda con financiación parcial de la USAID/BHA, </w:t>
      </w:r>
      <w:r w:rsidR="00B51285" w:rsidRPr="00147972">
        <w:rPr>
          <w:rFonts w:ascii="Arial" w:hAnsi="Arial" w:cs="Arial"/>
          <w:lang w:val="es-ES_tradnl"/>
        </w:rPr>
        <w:t>en el marco de</w:t>
      </w:r>
      <w:r w:rsidRPr="00147972">
        <w:rPr>
          <w:rFonts w:ascii="Arial" w:hAnsi="Arial" w:cs="Arial"/>
          <w:lang w:val="es-ES_tradnl"/>
        </w:rPr>
        <w:t xml:space="preserve"> Tsunami Ready, y </w:t>
      </w:r>
      <w:r w:rsidRPr="00147972">
        <w:rPr>
          <w:rFonts w:ascii="Arial" w:hAnsi="Arial" w:cs="Arial"/>
          <w:b/>
          <w:bCs/>
          <w:lang w:val="es-ES_tradnl"/>
        </w:rPr>
        <w:t>recomendó</w:t>
      </w:r>
      <w:r w:rsidRPr="00147972">
        <w:rPr>
          <w:rFonts w:ascii="Arial" w:hAnsi="Arial" w:cs="Arial"/>
          <w:lang w:val="es-ES_tradnl"/>
        </w:rPr>
        <w:t xml:space="preserve"> al CTIC y a la ITIC-CAR que, en coordinación con el grupo de trabajo 4 y el Equipo de Trabajo sobre CARIBE WAVE, organizaran una formación conjunta sobre Manuales y Guías 86 y una reunión del Equipo de Trabajo sobre CARIBE WAVE en Antigua y Barbuda durante el siguiente periodo entre reuniones.</w:t>
      </w:r>
    </w:p>
    <w:p w14:paraId="3FCCD8CB" w14:textId="5E5219A7" w:rsidR="00EF7BBB" w:rsidRPr="00147972" w:rsidRDefault="00227DFA" w:rsidP="002E7DE0">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tomó nota</w:t>
      </w:r>
      <w:r w:rsidRPr="00147972">
        <w:rPr>
          <w:rFonts w:ascii="Arial" w:hAnsi="Arial" w:cs="Arial"/>
          <w:lang w:val="es-ES_tradnl"/>
        </w:rPr>
        <w:t xml:space="preserve"> del inventario de métodos de difusión y comunicación de alertas de tsunami para el Caribe y regiones adyacentes, preparado por el grupo de trabajo 3.</w:t>
      </w:r>
    </w:p>
    <w:p w14:paraId="6AEE5195" w14:textId="684D69D0" w:rsidR="00EF7BBB" w:rsidRPr="00147972" w:rsidRDefault="000964B2" w:rsidP="002E7DE0">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agradeció</w:t>
      </w:r>
      <w:r w:rsidRPr="00147972">
        <w:rPr>
          <w:rFonts w:ascii="Arial" w:hAnsi="Arial" w:cs="Arial"/>
          <w:lang w:val="es-ES_tradnl"/>
        </w:rPr>
        <w:t xml:space="preserve"> el apoyo prestado por la ITIC-CAR para preparar este documento, así como las contribuciones de otras partes interesadas.</w:t>
      </w:r>
    </w:p>
    <w:p w14:paraId="097916D4" w14:textId="2237F89E" w:rsidR="00EF7BBB" w:rsidRPr="00147972" w:rsidRDefault="000964B2" w:rsidP="002E7DE0">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recomendó</w:t>
      </w:r>
      <w:r w:rsidRPr="00147972">
        <w:rPr>
          <w:rFonts w:ascii="Arial" w:hAnsi="Arial" w:cs="Arial"/>
          <w:lang w:val="es-ES_tradnl"/>
        </w:rPr>
        <w:t xml:space="preserve"> al grupo de trabajo 3 que finalizara y presentara el documento de inventario, comprendidos los resultados del ejercicio CARIBE WAVE 24, y </w:t>
      </w:r>
      <w:r w:rsidRPr="00147972">
        <w:rPr>
          <w:rFonts w:ascii="Arial" w:hAnsi="Arial" w:cs="Arial"/>
          <w:b/>
          <w:bCs/>
          <w:lang w:val="es-ES_tradnl"/>
        </w:rPr>
        <w:t xml:space="preserve">recomendó asimismo </w:t>
      </w:r>
      <w:r w:rsidRPr="00147972">
        <w:rPr>
          <w:rFonts w:ascii="Arial" w:hAnsi="Arial" w:cs="Arial"/>
          <w:lang w:val="es-ES_tradnl"/>
        </w:rPr>
        <w:t>a la Sección de Resiliencia frente a los Tsunamis de la UNESCO-COI que promoviera el documento final y lo pusiera a disposición de los Estados Miembros del ICG/CARIBE-EWS y otras partes interesadas.</w:t>
      </w:r>
    </w:p>
    <w:p w14:paraId="1FBF43B3" w14:textId="1280A152" w:rsidR="00EF7BBB" w:rsidRPr="00147972" w:rsidRDefault="00CE20ED" w:rsidP="002E7DE0">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agradeció</w:t>
      </w:r>
      <w:r w:rsidRPr="00147972">
        <w:rPr>
          <w:rFonts w:ascii="Arial" w:hAnsi="Arial" w:cs="Arial"/>
          <w:lang w:val="es-ES_tradnl"/>
        </w:rPr>
        <w:t xml:space="preserve"> a la ITIC-CAR de la NOAA y al Centro de Alerta contra los Sunamis en el Pacífico (PTWC) la mejora del tratamiento automatizado de información sobre el estado de las estaciones sísmicas y de nivel del mar, y su presentación continua.</w:t>
      </w:r>
    </w:p>
    <w:p w14:paraId="28A6874B" w14:textId="4382CB90" w:rsidR="00EF7BBB" w:rsidRPr="00147972" w:rsidRDefault="00CE20ED" w:rsidP="002E7DE0">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 xml:space="preserve">El ICG </w:t>
      </w:r>
      <w:r w:rsidR="00777998" w:rsidRPr="00147972">
        <w:rPr>
          <w:rFonts w:ascii="Arial" w:hAnsi="Arial" w:cs="Arial"/>
          <w:b/>
          <w:bCs/>
          <w:lang w:val="es-ES_tradnl"/>
        </w:rPr>
        <w:t>observó</w:t>
      </w:r>
      <w:r w:rsidRPr="00147972">
        <w:rPr>
          <w:rFonts w:ascii="Arial" w:hAnsi="Arial" w:cs="Arial"/>
          <w:lang w:val="es-ES_tradnl"/>
        </w:rPr>
        <w:t xml:space="preserve"> que un alto porcentaje de las estaciones de la red de medición del nivel del mar y de la red sísmica del CARIBE-EWS no est</w:t>
      </w:r>
      <w:r w:rsidR="00486D47" w:rsidRPr="00147972">
        <w:rPr>
          <w:rFonts w:ascii="Arial" w:hAnsi="Arial" w:cs="Arial"/>
          <w:lang w:val="es-ES_tradnl"/>
        </w:rPr>
        <w:t>aba</w:t>
      </w:r>
      <w:r w:rsidRPr="00147972">
        <w:rPr>
          <w:rFonts w:ascii="Arial" w:hAnsi="Arial" w:cs="Arial"/>
          <w:lang w:val="es-ES_tradnl"/>
        </w:rPr>
        <w:t xml:space="preserve">n </w:t>
      </w:r>
      <w:r w:rsidR="00777998" w:rsidRPr="00147972">
        <w:rPr>
          <w:rFonts w:ascii="Arial" w:hAnsi="Arial" w:cs="Arial"/>
          <w:lang w:val="es-ES_tradnl"/>
        </w:rPr>
        <w:t xml:space="preserve">funcionando </w:t>
      </w:r>
      <w:r w:rsidR="00486D47" w:rsidRPr="00147972">
        <w:rPr>
          <w:rFonts w:ascii="Arial" w:hAnsi="Arial" w:cs="Arial"/>
          <w:lang w:val="es-ES_tradnl"/>
        </w:rPr>
        <w:t>en ese momento</w:t>
      </w:r>
      <w:r w:rsidRPr="00147972">
        <w:rPr>
          <w:rFonts w:ascii="Arial" w:hAnsi="Arial" w:cs="Arial"/>
          <w:lang w:val="es-ES_tradnl"/>
        </w:rPr>
        <w:t xml:space="preserve"> y, por lo tanto, </w:t>
      </w:r>
      <w:r w:rsidR="00486D47" w:rsidRPr="00147972">
        <w:rPr>
          <w:rFonts w:ascii="Arial" w:hAnsi="Arial" w:cs="Arial"/>
          <w:lang w:val="es-ES_tradnl"/>
        </w:rPr>
        <w:t>podían</w:t>
      </w:r>
      <w:r w:rsidRPr="00147972">
        <w:rPr>
          <w:rFonts w:ascii="Arial" w:hAnsi="Arial" w:cs="Arial"/>
          <w:lang w:val="es-ES_tradnl"/>
        </w:rPr>
        <w:t xml:space="preserve"> retrasar la evaluación adecuada de los eventos de tsunami y la emisión de alertas de tsunami a tiempo y precisas.</w:t>
      </w:r>
    </w:p>
    <w:p w14:paraId="7F4F327D" w14:textId="513FD8F9" w:rsidR="00EF7BBB" w:rsidRPr="00147972" w:rsidRDefault="00CE20ED" w:rsidP="002E7DE0">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instó</w:t>
      </w:r>
      <w:r w:rsidRPr="00147972">
        <w:rPr>
          <w:rFonts w:ascii="Arial" w:hAnsi="Arial" w:cs="Arial"/>
          <w:lang w:val="es-ES_tradnl"/>
        </w:rPr>
        <w:t xml:space="preserve"> a los Estados Miembros y a los operadores de estaciones sísmicas y de medición del nivel del mar que contribuyen al CARIBE-EWS a mantener sus estaciones operativas y </w:t>
      </w:r>
      <w:r w:rsidR="009E15F5" w:rsidRPr="00147972">
        <w:rPr>
          <w:rFonts w:ascii="Arial" w:hAnsi="Arial" w:cs="Arial"/>
          <w:lang w:val="es-ES_tradnl"/>
        </w:rPr>
        <w:t xml:space="preserve">a </w:t>
      </w:r>
      <w:r w:rsidRPr="00147972">
        <w:rPr>
          <w:rFonts w:ascii="Arial" w:hAnsi="Arial" w:cs="Arial"/>
          <w:lang w:val="es-ES_tradnl"/>
        </w:rPr>
        <w:t xml:space="preserve">examinar y actualizar periódicamente </w:t>
      </w:r>
      <w:r w:rsidR="009E15F5" w:rsidRPr="00147972">
        <w:rPr>
          <w:rFonts w:ascii="Arial" w:hAnsi="Arial" w:cs="Arial"/>
          <w:lang w:val="es-ES_tradnl"/>
        </w:rPr>
        <w:t>el estado</w:t>
      </w:r>
      <w:r w:rsidRPr="00147972">
        <w:rPr>
          <w:rFonts w:ascii="Arial" w:hAnsi="Arial" w:cs="Arial"/>
          <w:lang w:val="es-ES_tradnl"/>
        </w:rPr>
        <w:t xml:space="preserve"> de sus estaciones en el servicio de observación del nivel del mar de la COI y en los mapas mensuales del PTWC publicados en el sitio web del ITIC, </w:t>
      </w:r>
      <w:r w:rsidR="006A7285" w:rsidRPr="00147972">
        <w:rPr>
          <w:rFonts w:ascii="Arial" w:hAnsi="Arial" w:cs="Arial"/>
          <w:lang w:val="es-ES_tradnl"/>
        </w:rPr>
        <w:t>así como</w:t>
      </w:r>
      <w:r w:rsidRPr="00147972">
        <w:rPr>
          <w:rFonts w:ascii="Arial" w:hAnsi="Arial" w:cs="Arial"/>
          <w:lang w:val="es-ES_tradnl"/>
        </w:rPr>
        <w:t xml:space="preserve"> a informar a la ITIC-CAR y a la Secretaría sobre los planes de reparación.</w:t>
      </w:r>
    </w:p>
    <w:p w14:paraId="0DAA8BC1" w14:textId="0037BE6B" w:rsidR="00EF7BBB" w:rsidRPr="00147972" w:rsidRDefault="000964B2" w:rsidP="002E7DE0">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instó</w:t>
      </w:r>
      <w:r w:rsidRPr="00147972">
        <w:rPr>
          <w:rFonts w:ascii="Arial" w:hAnsi="Arial" w:cs="Arial"/>
          <w:lang w:val="es-ES_tradnl"/>
        </w:rPr>
        <w:t xml:space="preserve"> a los Estados Miembros a contar con planes de respuesta en caso de tsunami y procedimientos operativos estándar actualizados, que abarquen los tsunamis locales, así como con organismos a cargo de las alertas designados y formados.</w:t>
      </w:r>
    </w:p>
    <w:p w14:paraId="046D1AAA" w14:textId="1D2A3BF4" w:rsidR="00EF7BBB" w:rsidRPr="00147972" w:rsidRDefault="00490467" w:rsidP="002E7DE0">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pidió</w:t>
      </w:r>
      <w:r w:rsidRPr="00147972">
        <w:rPr>
          <w:rFonts w:ascii="Arial" w:hAnsi="Arial" w:cs="Arial"/>
          <w:lang w:val="es-ES_tradnl"/>
        </w:rPr>
        <w:t xml:space="preserve"> al grupo de trabajo 3 que examinara y revisara los requisitos técnicos, logísticos y administrativos de un proveedor regional de servicios sobre tsunamis del CARIBE-EWS, y los presentara a más tardar en su 18ª reunión.</w:t>
      </w:r>
    </w:p>
    <w:p w14:paraId="478A0073" w14:textId="204DE73D" w:rsidR="00EF7BBB" w:rsidRPr="00147972" w:rsidRDefault="00490467" w:rsidP="002E7DE0">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 xml:space="preserve">El ICG tomó nota </w:t>
      </w:r>
      <w:r w:rsidRPr="00147972">
        <w:rPr>
          <w:rFonts w:ascii="Arial" w:hAnsi="Arial" w:cs="Arial"/>
          <w:lang w:val="es-ES_tradnl"/>
        </w:rPr>
        <w:t xml:space="preserve">de los progresos realizados por el Centro de Asesoramiento de Tsunami para América Central (CATAC) en materia de alerta temprana contra terremotos y las posibles aplicaciones para la alerta contra tsunamis y la comunicación, y </w:t>
      </w:r>
      <w:r w:rsidRPr="00147972">
        <w:rPr>
          <w:rFonts w:ascii="Arial" w:hAnsi="Arial" w:cs="Arial"/>
          <w:b/>
          <w:bCs/>
          <w:lang w:val="es-ES_tradnl"/>
        </w:rPr>
        <w:t>recomendó</w:t>
      </w:r>
      <w:r w:rsidRPr="00147972">
        <w:rPr>
          <w:rFonts w:ascii="Arial" w:hAnsi="Arial" w:cs="Arial"/>
          <w:lang w:val="es-ES_tradnl"/>
        </w:rPr>
        <w:t xml:space="preserve"> </w:t>
      </w:r>
      <w:r w:rsidR="00B346AB" w:rsidRPr="00147972">
        <w:rPr>
          <w:rFonts w:ascii="Arial" w:hAnsi="Arial" w:cs="Arial"/>
          <w:lang w:val="es-ES_tradnl"/>
        </w:rPr>
        <w:t>a</w:t>
      </w:r>
      <w:r w:rsidRPr="00147972">
        <w:rPr>
          <w:rFonts w:ascii="Arial" w:hAnsi="Arial" w:cs="Arial"/>
          <w:lang w:val="es-ES_tradnl"/>
        </w:rPr>
        <w:t xml:space="preserve">l CATAC </w:t>
      </w:r>
      <w:r w:rsidR="00B346AB" w:rsidRPr="00147972">
        <w:rPr>
          <w:rFonts w:ascii="Arial" w:hAnsi="Arial" w:cs="Arial"/>
          <w:lang w:val="es-ES_tradnl"/>
        </w:rPr>
        <w:t xml:space="preserve">que </w:t>
      </w:r>
      <w:r w:rsidRPr="00147972">
        <w:rPr>
          <w:rFonts w:ascii="Arial" w:hAnsi="Arial" w:cs="Arial"/>
          <w:lang w:val="es-ES_tradnl"/>
        </w:rPr>
        <w:t>estudiara la integra</w:t>
      </w:r>
      <w:r w:rsidR="00B346AB" w:rsidRPr="00147972">
        <w:rPr>
          <w:rFonts w:ascii="Arial" w:hAnsi="Arial" w:cs="Arial"/>
          <w:lang w:val="es-ES_tradnl"/>
        </w:rPr>
        <w:t>ción de</w:t>
      </w:r>
      <w:r w:rsidRPr="00147972">
        <w:rPr>
          <w:rFonts w:ascii="Arial" w:hAnsi="Arial" w:cs="Arial"/>
          <w:lang w:val="es-ES_tradnl"/>
        </w:rPr>
        <w:t xml:space="preserve"> las aplicaciones de alerta temprana contra terremotos en la difusión de sus servicios y productos </w:t>
      </w:r>
      <w:r w:rsidR="00B346AB" w:rsidRPr="00147972">
        <w:rPr>
          <w:rFonts w:ascii="Arial" w:hAnsi="Arial" w:cs="Arial"/>
          <w:lang w:val="es-ES_tradnl"/>
        </w:rPr>
        <w:t>de</w:t>
      </w:r>
      <w:r w:rsidRPr="00147972">
        <w:rPr>
          <w:rFonts w:ascii="Arial" w:hAnsi="Arial" w:cs="Arial"/>
          <w:lang w:val="es-ES_tradnl"/>
        </w:rPr>
        <w:t xml:space="preserve"> tsunamis a sus puntos de contacto de alerta contra los tsunamis (TWFP) y centros nacionales de alerta contra los tsunamis (NTWC) </w:t>
      </w:r>
      <w:r w:rsidR="00B346AB" w:rsidRPr="00147972">
        <w:rPr>
          <w:rFonts w:ascii="Arial" w:hAnsi="Arial" w:cs="Arial"/>
          <w:lang w:val="es-ES_tradnl"/>
        </w:rPr>
        <w:t>y que</w:t>
      </w:r>
      <w:r w:rsidRPr="00147972">
        <w:rPr>
          <w:rFonts w:ascii="Arial" w:hAnsi="Arial" w:cs="Arial"/>
          <w:lang w:val="es-ES_tradnl"/>
        </w:rPr>
        <w:t xml:space="preserve"> informara al respecto en la 18ª reunión del ICG/CARIBE-EWS.</w:t>
      </w:r>
    </w:p>
    <w:p w14:paraId="4722A1C6" w14:textId="31811242" w:rsidR="00EF7BBB" w:rsidRPr="00147972" w:rsidRDefault="004738A2" w:rsidP="002E7DE0">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lastRenderedPageBreak/>
        <w:t>El ICG también tomó nota</w:t>
      </w:r>
      <w:r w:rsidRPr="00147972">
        <w:rPr>
          <w:rFonts w:ascii="Arial" w:hAnsi="Arial" w:cs="Arial"/>
          <w:lang w:val="es-ES_tradnl"/>
        </w:rPr>
        <w:t xml:space="preserve"> de la renovación del memorando de entendimiento entre el Gobierno de Barbados y la UNESCO-COI relativo al CTIC, que se ha</w:t>
      </w:r>
      <w:r w:rsidR="00E16AAF" w:rsidRPr="00147972">
        <w:rPr>
          <w:rFonts w:ascii="Arial" w:hAnsi="Arial" w:cs="Arial"/>
          <w:lang w:val="es-ES_tradnl"/>
        </w:rPr>
        <w:t>bía</w:t>
      </w:r>
      <w:r w:rsidRPr="00147972">
        <w:rPr>
          <w:rFonts w:ascii="Arial" w:hAnsi="Arial" w:cs="Arial"/>
          <w:lang w:val="es-ES_tradnl"/>
        </w:rPr>
        <w:t xml:space="preserve"> reforzado con la ampliación de su duración de 3 a 5 años.</w:t>
      </w:r>
    </w:p>
    <w:p w14:paraId="6920D267" w14:textId="3FA643C5" w:rsidR="00EF7BBB" w:rsidRPr="00147972" w:rsidRDefault="004738A2" w:rsidP="00417D4A">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tomó nota con reconocimiento</w:t>
      </w:r>
      <w:r w:rsidRPr="00147972">
        <w:rPr>
          <w:rFonts w:ascii="Arial" w:hAnsi="Arial" w:cs="Arial"/>
          <w:lang w:val="es-ES_tradnl"/>
        </w:rPr>
        <w:t xml:space="preserve"> de la estrecha cooperación entre el CTIC, la ITIC-CAR, el grupo de trabajo 4, el </w:t>
      </w:r>
      <w:r w:rsidR="0093068C" w:rsidRPr="00147972">
        <w:rPr>
          <w:rFonts w:ascii="Arial" w:hAnsi="Arial" w:cs="Arial"/>
          <w:lang w:val="es-ES_tradnl"/>
        </w:rPr>
        <w:t xml:space="preserve">Equipo de Trabajo sobre CARIBE WAVE </w:t>
      </w:r>
      <w:r w:rsidRPr="00147972">
        <w:rPr>
          <w:rFonts w:ascii="Arial" w:hAnsi="Arial" w:cs="Arial"/>
          <w:lang w:val="es-ES_tradnl"/>
        </w:rPr>
        <w:t>y la UNDRR para fomentar la preparación, la disponibilidad operacional y la resiliencia</w:t>
      </w:r>
      <w:r w:rsidR="006E1421" w:rsidRPr="00147972">
        <w:rPr>
          <w:rFonts w:ascii="Arial" w:hAnsi="Arial" w:cs="Arial"/>
          <w:lang w:val="es-ES_tradnl"/>
        </w:rPr>
        <w:t xml:space="preserve"> a fin de </w:t>
      </w:r>
      <w:r w:rsidRPr="00147972">
        <w:rPr>
          <w:rFonts w:ascii="Arial" w:hAnsi="Arial" w:cs="Arial"/>
          <w:lang w:val="es-ES_tradnl"/>
        </w:rPr>
        <w:t xml:space="preserve">mitigar los efectos de los tsunamis y otras amenazas costeras en la región del CARIBE-EWS, en particular en relación con la ejecución del programa Tsunami Ready, la </w:t>
      </w:r>
      <w:r w:rsidR="006E1421" w:rsidRPr="00147972">
        <w:rPr>
          <w:rFonts w:ascii="Arial" w:hAnsi="Arial" w:cs="Arial"/>
          <w:lang w:val="es-ES_tradnl"/>
        </w:rPr>
        <w:t xml:space="preserve">elaboración y </w:t>
      </w:r>
      <w:r w:rsidRPr="00147972">
        <w:rPr>
          <w:rFonts w:ascii="Arial" w:hAnsi="Arial" w:cs="Arial"/>
          <w:lang w:val="es-ES_tradnl"/>
        </w:rPr>
        <w:t xml:space="preserve">difusión de recursos de divulgación y </w:t>
      </w:r>
      <w:r w:rsidR="006E1421" w:rsidRPr="00147972">
        <w:rPr>
          <w:rFonts w:ascii="Arial" w:hAnsi="Arial" w:cs="Arial"/>
          <w:lang w:val="es-ES_tradnl"/>
        </w:rPr>
        <w:t>formación</w:t>
      </w:r>
      <w:r w:rsidRPr="00147972">
        <w:rPr>
          <w:rFonts w:ascii="Arial" w:hAnsi="Arial" w:cs="Arial"/>
          <w:lang w:val="es-ES_tradnl"/>
        </w:rPr>
        <w:t>, y el apoyo al Decenio de las Naciones Unidas de las Ciencias Oceánicas para el Desarrollo Sostenible, incluida la labor del Grupo de Trabajo sobre seguridad oceánica del Decenio para América Tropical y el Caribe.</w:t>
      </w:r>
    </w:p>
    <w:p w14:paraId="0C278AFE" w14:textId="65474221" w:rsidR="00EF7BBB" w:rsidRPr="00147972" w:rsidRDefault="004738A2" w:rsidP="000713B5">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acogió con satisfacción</w:t>
      </w:r>
      <w:r w:rsidRPr="00147972">
        <w:rPr>
          <w:rFonts w:ascii="Arial" w:hAnsi="Arial" w:cs="Arial"/>
          <w:lang w:val="es-ES_tradnl"/>
        </w:rPr>
        <w:t xml:space="preserve"> la ampliación del mandato del CTIC desde su creación debido a la armonización con marcos y programas estratégicos de políticas, como los Objetivos de Desarrollo Sostenible de las Naciones Unidas, el Marco de Sendái para la Reducción del Riesgo de Desastres, el Decenio del Océano de las Naciones Unidas, la iniciativa Alertas Tempranas para Todos de las Naciones Unidas, la Estrategia Integral de Gestión de Desastres y el Marco de Programación dirigidos por la Agencia Caribeña para el Manejo de Emergencias por Desastres (CDEMA) y el Programa Tsunami Ready de la UNESCO-COI, lo que ha</w:t>
      </w:r>
      <w:r w:rsidR="00E04D9B" w:rsidRPr="00147972">
        <w:rPr>
          <w:rFonts w:ascii="Arial" w:hAnsi="Arial" w:cs="Arial"/>
          <w:lang w:val="es-ES_tradnl"/>
        </w:rPr>
        <w:t>bía</w:t>
      </w:r>
      <w:r w:rsidRPr="00147972">
        <w:rPr>
          <w:rFonts w:ascii="Arial" w:hAnsi="Arial" w:cs="Arial"/>
          <w:lang w:val="es-ES_tradnl"/>
        </w:rPr>
        <w:t xml:space="preserve"> dado lugar a un aumento de la carga de trabajo y de las oportunidades para integrar plenamente el papel y las funciones del CTIC (incluidos otros peligros costeros) en los planos regional y mundial, y </w:t>
      </w:r>
      <w:r w:rsidRPr="00147972">
        <w:rPr>
          <w:rFonts w:ascii="Arial" w:hAnsi="Arial" w:cs="Arial"/>
          <w:b/>
          <w:bCs/>
          <w:lang w:val="es-ES_tradnl"/>
        </w:rPr>
        <w:t xml:space="preserve">valoró además </w:t>
      </w:r>
      <w:r w:rsidRPr="00147972">
        <w:rPr>
          <w:rFonts w:ascii="Arial" w:hAnsi="Arial" w:cs="Arial"/>
          <w:lang w:val="es-ES_tradnl"/>
        </w:rPr>
        <w:t>las nuevas cuestiones políticas, como la necesidad de integrar las ciencias sociales, el cambio de comportamiento y las personas discapacitadas y vulnerables (jóvenes, mujeres, grupos indígenas o pobres).</w:t>
      </w:r>
    </w:p>
    <w:p w14:paraId="1103E12E" w14:textId="5601A5C5" w:rsidR="00EF7BBB" w:rsidRPr="00147972" w:rsidRDefault="004738A2" w:rsidP="000713B5">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recomendó</w:t>
      </w:r>
      <w:r w:rsidRPr="00147972">
        <w:rPr>
          <w:rFonts w:ascii="Arial" w:hAnsi="Arial" w:cs="Arial"/>
          <w:lang w:val="es-ES_tradnl"/>
        </w:rPr>
        <w:t xml:space="preserve"> </w:t>
      </w:r>
      <w:r w:rsidR="00336C8D" w:rsidRPr="00147972">
        <w:rPr>
          <w:rFonts w:ascii="Arial" w:hAnsi="Arial" w:cs="Arial"/>
          <w:lang w:val="es-ES_tradnl"/>
        </w:rPr>
        <w:t>al</w:t>
      </w:r>
      <w:r w:rsidRPr="00147972">
        <w:rPr>
          <w:rFonts w:ascii="Arial" w:hAnsi="Arial" w:cs="Arial"/>
          <w:lang w:val="es-ES_tradnl"/>
        </w:rPr>
        <w:t xml:space="preserve"> Comité de Dirección de CARIBE-EWS </w:t>
      </w:r>
      <w:r w:rsidR="00336C8D" w:rsidRPr="00147972">
        <w:rPr>
          <w:rFonts w:ascii="Arial" w:hAnsi="Arial" w:cs="Arial"/>
          <w:lang w:val="es-ES_tradnl"/>
        </w:rPr>
        <w:t xml:space="preserve">que </w:t>
      </w:r>
      <w:r w:rsidRPr="00147972">
        <w:rPr>
          <w:rFonts w:ascii="Arial" w:hAnsi="Arial" w:cs="Arial"/>
          <w:lang w:val="es-ES_tradnl"/>
        </w:rPr>
        <w:t xml:space="preserve">realizara un examen estratégico de los recursos humanos necesarios para garantizar que el CTIC </w:t>
      </w:r>
      <w:r w:rsidR="00595E5B" w:rsidRPr="00147972">
        <w:rPr>
          <w:rFonts w:ascii="Arial" w:hAnsi="Arial" w:cs="Arial"/>
          <w:lang w:val="es-ES_tradnl"/>
        </w:rPr>
        <w:t>tuviera</w:t>
      </w:r>
      <w:r w:rsidRPr="00147972">
        <w:rPr>
          <w:rFonts w:ascii="Arial" w:hAnsi="Arial" w:cs="Arial"/>
          <w:lang w:val="es-ES_tradnl"/>
        </w:rPr>
        <w:t xml:space="preserve"> la capacidad adecuada para ejecutar y aplicar eficazmente las actividades de los programas y proyectos y así apoyar los marcos de</w:t>
      </w:r>
      <w:r w:rsidR="00595E5B" w:rsidRPr="00147972">
        <w:rPr>
          <w:rFonts w:ascii="Arial" w:hAnsi="Arial" w:cs="Arial"/>
          <w:lang w:val="es-ES_tradnl"/>
        </w:rPr>
        <w:t>l</w:t>
      </w:r>
      <w:r w:rsidRPr="00147972">
        <w:rPr>
          <w:rFonts w:ascii="Arial" w:hAnsi="Arial" w:cs="Arial"/>
          <w:lang w:val="es-ES_tradnl"/>
        </w:rPr>
        <w:t xml:space="preserve"> lCG/CARIBE-EWS y la iniciativa Alertas Tempranas para Todos.</w:t>
      </w:r>
    </w:p>
    <w:p w14:paraId="683A5A9E" w14:textId="2AACF45D" w:rsidR="00EF7BBB" w:rsidRPr="00147972" w:rsidRDefault="00490467" w:rsidP="000713B5">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recordó</w:t>
      </w:r>
      <w:r w:rsidRPr="00147972">
        <w:rPr>
          <w:rFonts w:ascii="Arial" w:hAnsi="Arial" w:cs="Arial"/>
          <w:lang w:val="es-ES_tradnl"/>
        </w:rPr>
        <w:t xml:space="preserve"> que el Día Mundial de Concienciación sobre los Tsunamis se celebra</w:t>
      </w:r>
      <w:r w:rsidR="00911690" w:rsidRPr="00147972">
        <w:rPr>
          <w:rFonts w:ascii="Arial" w:hAnsi="Arial" w:cs="Arial"/>
          <w:lang w:val="es-ES_tradnl"/>
        </w:rPr>
        <w:t>ba</w:t>
      </w:r>
      <w:r w:rsidRPr="00147972">
        <w:rPr>
          <w:rFonts w:ascii="Arial" w:hAnsi="Arial" w:cs="Arial"/>
          <w:lang w:val="es-ES_tradnl"/>
        </w:rPr>
        <w:t xml:space="preserve"> anualmente el 5 de noviembre y </w:t>
      </w:r>
      <w:r w:rsidRPr="00147972">
        <w:rPr>
          <w:rFonts w:ascii="Arial" w:hAnsi="Arial" w:cs="Arial"/>
          <w:b/>
          <w:bCs/>
          <w:lang w:val="es-ES_tradnl"/>
        </w:rPr>
        <w:t>señaló</w:t>
      </w:r>
      <w:r w:rsidRPr="00147972">
        <w:rPr>
          <w:rFonts w:ascii="Arial" w:hAnsi="Arial" w:cs="Arial"/>
          <w:lang w:val="es-ES_tradnl"/>
        </w:rPr>
        <w:t xml:space="preserve"> que el tema de 2024, </w:t>
      </w:r>
      <w:r w:rsidR="002E50B1" w:rsidRPr="00147972">
        <w:rPr>
          <w:rFonts w:ascii="Arial" w:hAnsi="Arial" w:cs="Arial"/>
          <w:lang w:val="es-ES_tradnl"/>
        </w:rPr>
        <w:t>“</w:t>
      </w:r>
      <w:r w:rsidRPr="00147972">
        <w:rPr>
          <w:rFonts w:ascii="Arial" w:hAnsi="Arial" w:cs="Arial"/>
          <w:lang w:val="es-ES_tradnl"/>
        </w:rPr>
        <w:t>Empoderar a los niños y los jóvenes para garantizar que la próxima generación esté preparada para los tsunamis</w:t>
      </w:r>
      <w:r w:rsidR="002E50B1" w:rsidRPr="00147972">
        <w:rPr>
          <w:rFonts w:ascii="Arial" w:hAnsi="Arial" w:cs="Arial"/>
          <w:lang w:val="es-ES_tradnl"/>
        </w:rPr>
        <w:t>”</w:t>
      </w:r>
      <w:r w:rsidRPr="00147972">
        <w:rPr>
          <w:rFonts w:ascii="Arial" w:hAnsi="Arial" w:cs="Arial"/>
          <w:lang w:val="es-ES_tradnl"/>
        </w:rPr>
        <w:t>, complementa</w:t>
      </w:r>
      <w:r w:rsidR="003F373F" w:rsidRPr="00147972">
        <w:rPr>
          <w:rFonts w:ascii="Arial" w:hAnsi="Arial" w:cs="Arial"/>
          <w:lang w:val="es-ES_tradnl"/>
        </w:rPr>
        <w:t>ba</w:t>
      </w:r>
      <w:r w:rsidRPr="00147972">
        <w:rPr>
          <w:rFonts w:ascii="Arial" w:hAnsi="Arial" w:cs="Arial"/>
          <w:lang w:val="es-ES_tradnl"/>
        </w:rPr>
        <w:t xml:space="preserve"> los esfuerzos de CARIBE WAVE 24.</w:t>
      </w:r>
    </w:p>
    <w:p w14:paraId="3017245F" w14:textId="6882B594" w:rsidR="00EF7BBB" w:rsidRPr="00147972" w:rsidRDefault="00490467" w:rsidP="000713B5">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reconoció</w:t>
      </w:r>
      <w:r w:rsidRPr="00147972">
        <w:rPr>
          <w:rFonts w:ascii="Arial" w:hAnsi="Arial" w:cs="Arial"/>
          <w:lang w:val="es-ES_tradnl"/>
        </w:rPr>
        <w:t xml:space="preserve"> el liderazgo del CTIC </w:t>
      </w:r>
      <w:r w:rsidR="00355669" w:rsidRPr="00147972">
        <w:rPr>
          <w:rFonts w:ascii="Arial" w:hAnsi="Arial" w:cs="Arial"/>
          <w:lang w:val="es-ES_tradnl"/>
        </w:rPr>
        <w:t>en la organización de</w:t>
      </w:r>
      <w:r w:rsidRPr="00147972">
        <w:rPr>
          <w:rFonts w:ascii="Arial" w:hAnsi="Arial" w:cs="Arial"/>
          <w:lang w:val="es-ES_tradnl"/>
        </w:rPr>
        <w:t xml:space="preserve"> actividades que </w:t>
      </w:r>
      <w:r w:rsidR="00307F12" w:rsidRPr="00147972">
        <w:rPr>
          <w:rFonts w:ascii="Arial" w:hAnsi="Arial" w:cs="Arial"/>
          <w:lang w:val="es-ES_tradnl"/>
        </w:rPr>
        <w:t>promovieron</w:t>
      </w:r>
      <w:r w:rsidR="00097CFD" w:rsidRPr="00147972">
        <w:rPr>
          <w:rFonts w:ascii="Arial" w:hAnsi="Arial" w:cs="Arial"/>
          <w:lang w:val="es-ES_tradnl"/>
        </w:rPr>
        <w:t xml:space="preserve"> </w:t>
      </w:r>
      <w:r w:rsidRPr="00147972">
        <w:rPr>
          <w:rFonts w:ascii="Arial" w:hAnsi="Arial" w:cs="Arial"/>
          <w:lang w:val="es-ES_tradnl"/>
        </w:rPr>
        <w:t>una mayor visibilidad del Día Mundial de Concienciación sobre los Tsunamis en 2021, 2022 y 2023</w:t>
      </w:r>
      <w:r w:rsidR="00307F12" w:rsidRPr="00147972">
        <w:rPr>
          <w:rFonts w:ascii="Arial" w:hAnsi="Arial" w:cs="Arial"/>
          <w:lang w:val="es-ES_tradnl"/>
        </w:rPr>
        <w:t>, y una importante participación en él,</w:t>
      </w:r>
      <w:r w:rsidRPr="00147972">
        <w:rPr>
          <w:rFonts w:ascii="Arial" w:hAnsi="Arial" w:cs="Arial"/>
          <w:lang w:val="es-ES_tradnl"/>
        </w:rPr>
        <w:t xml:space="preserve"> y </w:t>
      </w:r>
      <w:r w:rsidRPr="00147972">
        <w:rPr>
          <w:rFonts w:ascii="Arial" w:hAnsi="Arial" w:cs="Arial"/>
          <w:b/>
          <w:bCs/>
          <w:lang w:val="es-ES_tradnl"/>
        </w:rPr>
        <w:t>alentó</w:t>
      </w:r>
      <w:r w:rsidRPr="00147972">
        <w:rPr>
          <w:rFonts w:ascii="Arial" w:hAnsi="Arial" w:cs="Arial"/>
          <w:lang w:val="es-ES_tradnl"/>
        </w:rPr>
        <w:t xml:space="preserve"> a los Estados Miembros a celebrar el Día Mundial y a informar de sus actividades al CTIC.</w:t>
      </w:r>
    </w:p>
    <w:p w14:paraId="42B8094C" w14:textId="1074A8BA" w:rsidR="00EF7BBB" w:rsidRPr="00147972" w:rsidRDefault="00C07FB6" w:rsidP="000713B5">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tomó nota</w:t>
      </w:r>
      <w:r w:rsidRPr="00147972">
        <w:rPr>
          <w:rFonts w:ascii="Arial" w:hAnsi="Arial" w:cs="Arial"/>
          <w:lang w:val="es-ES_tradnl"/>
        </w:rPr>
        <w:t xml:space="preserve"> del éxito del ejercicio CARIBE WAVE 24, en el que participaron todos los Estados Miembros y al que se inscribieron más de 475 000 personas, e </w:t>
      </w:r>
      <w:r w:rsidRPr="00147972">
        <w:rPr>
          <w:rFonts w:ascii="Arial" w:hAnsi="Arial" w:cs="Arial"/>
          <w:b/>
          <w:bCs/>
          <w:lang w:val="es-ES_tradnl"/>
        </w:rPr>
        <w:t>instó</w:t>
      </w:r>
      <w:r w:rsidRPr="00147972">
        <w:rPr>
          <w:rFonts w:ascii="Arial" w:hAnsi="Arial" w:cs="Arial"/>
          <w:lang w:val="es-ES_tradnl"/>
        </w:rPr>
        <w:t xml:space="preserve"> a los Estados Miembros a responder en el debido plazo a las evaluaciones de la encuesta CARIBE WAVE 24.</w:t>
      </w:r>
    </w:p>
    <w:p w14:paraId="60C4BCDE" w14:textId="1B34E022" w:rsidR="00EF7BBB" w:rsidRPr="00147972" w:rsidRDefault="00C07FB6" w:rsidP="000713B5">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decidió</w:t>
      </w:r>
      <w:r w:rsidRPr="00147972">
        <w:rPr>
          <w:rFonts w:ascii="Arial" w:hAnsi="Arial" w:cs="Arial"/>
          <w:lang w:val="es-ES_tradnl"/>
        </w:rPr>
        <w:t xml:space="preserve"> que el ejercicio CARIBE WAVE 25 tendría lugar el jueves 20 de marzo de 2025 y comenzaría con un mensaje ficticio a las 15:00 UTC para la prueba de comunicación desde el PTWC y el CATAC a los TWFP y NTWC, y </w:t>
      </w:r>
      <w:r w:rsidRPr="00147972">
        <w:rPr>
          <w:rFonts w:ascii="Arial" w:hAnsi="Arial" w:cs="Arial"/>
          <w:b/>
          <w:bCs/>
          <w:lang w:val="es-ES_tradnl"/>
        </w:rPr>
        <w:t>confirmó</w:t>
      </w:r>
      <w:r w:rsidRPr="00147972">
        <w:rPr>
          <w:rFonts w:ascii="Arial" w:hAnsi="Arial" w:cs="Arial"/>
          <w:lang w:val="es-ES_tradnl"/>
        </w:rPr>
        <w:t xml:space="preserve"> que en el ejercicio CARIBE WAVE 25 se utilizarían las dos hipótesis de CARIBE WAVE 20, esto es, 1)</w:t>
      </w:r>
      <w:r w:rsidR="00B745DA" w:rsidRPr="00147972">
        <w:rPr>
          <w:rFonts w:ascii="Arial" w:hAnsi="Arial" w:cs="Arial"/>
          <w:lang w:val="es-ES_tradnl"/>
        </w:rPr>
        <w:t> </w:t>
      </w:r>
      <w:r w:rsidRPr="00147972">
        <w:rPr>
          <w:rFonts w:ascii="Arial" w:hAnsi="Arial" w:cs="Arial"/>
          <w:lang w:val="es-ES_tradnl"/>
        </w:rPr>
        <w:t>la hipótesis de Jamaica de 1692 y 2)</w:t>
      </w:r>
      <w:r w:rsidR="00B745DA" w:rsidRPr="00147972">
        <w:rPr>
          <w:rFonts w:ascii="Arial" w:hAnsi="Arial" w:cs="Arial"/>
          <w:lang w:val="es-ES_tradnl"/>
        </w:rPr>
        <w:t> </w:t>
      </w:r>
      <w:r w:rsidRPr="00147972">
        <w:rPr>
          <w:rFonts w:ascii="Arial" w:hAnsi="Arial" w:cs="Arial"/>
          <w:lang w:val="es-ES_tradnl"/>
        </w:rPr>
        <w:t>la hipótesis de Lisboa de 1755.</w:t>
      </w:r>
    </w:p>
    <w:p w14:paraId="73C09DA1" w14:textId="7E3F1E7F" w:rsidR="00EF7BBB" w:rsidRPr="00147972" w:rsidRDefault="00C07FB6" w:rsidP="00B5424F">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pidió</w:t>
      </w:r>
      <w:r w:rsidRPr="00147972">
        <w:rPr>
          <w:rFonts w:ascii="Arial" w:hAnsi="Arial" w:cs="Arial"/>
          <w:lang w:val="es-ES_tradnl"/>
        </w:rPr>
        <w:t xml:space="preserve"> a los Estados Miembros que consideraran la posibilidad de llevar a cabo la totalidad o parte de sus actividades de respuesta al ejercicio durante horas no laborables, en particular por la noche, para estar mejor preparados para los tsunamis</w:t>
      </w:r>
      <w:r w:rsidR="00C34F02" w:rsidRPr="00147972">
        <w:rPr>
          <w:rFonts w:ascii="Arial" w:hAnsi="Arial" w:cs="Arial"/>
          <w:lang w:val="es-ES_tradnl"/>
        </w:rPr>
        <w:t>,</w:t>
      </w:r>
      <w:r w:rsidRPr="00147972">
        <w:rPr>
          <w:rFonts w:ascii="Arial" w:hAnsi="Arial" w:cs="Arial"/>
          <w:lang w:val="es-ES_tradnl"/>
        </w:rPr>
        <w:t xml:space="preserve"> que tienen más probabilidades de ocurrir durante las horas no laborables</w:t>
      </w:r>
      <w:r w:rsidR="00C34F02" w:rsidRPr="00147972">
        <w:rPr>
          <w:rFonts w:ascii="Arial" w:hAnsi="Arial" w:cs="Arial"/>
          <w:lang w:val="es-ES_tradnl"/>
        </w:rPr>
        <w:t>,</w:t>
      </w:r>
      <w:r w:rsidRPr="00147972">
        <w:rPr>
          <w:rFonts w:ascii="Arial" w:hAnsi="Arial" w:cs="Arial"/>
          <w:lang w:val="es-ES_tradnl"/>
        </w:rPr>
        <w:t xml:space="preserve"> y, además, </w:t>
      </w:r>
      <w:r w:rsidRPr="00147972">
        <w:rPr>
          <w:rFonts w:ascii="Arial" w:hAnsi="Arial" w:cs="Arial"/>
          <w:b/>
          <w:bCs/>
          <w:lang w:val="es-ES_tradnl"/>
        </w:rPr>
        <w:t>recordó</w:t>
      </w:r>
      <w:r w:rsidRPr="00147972">
        <w:rPr>
          <w:rFonts w:ascii="Arial" w:hAnsi="Arial" w:cs="Arial"/>
          <w:lang w:val="es-ES_tradnl"/>
        </w:rPr>
        <w:t xml:space="preserve"> a los Estados Miembros que consideraran la posibilidad de incluir su hipótesis seleccionada para CARIBE WAVE</w:t>
      </w:r>
      <w:r w:rsidR="001350D0" w:rsidRPr="00147972">
        <w:rPr>
          <w:rFonts w:ascii="Arial" w:hAnsi="Arial" w:cs="Arial"/>
          <w:lang w:val="es-ES_tradnl"/>
        </w:rPr>
        <w:t> </w:t>
      </w:r>
      <w:r w:rsidRPr="00147972">
        <w:rPr>
          <w:rFonts w:ascii="Arial" w:hAnsi="Arial" w:cs="Arial"/>
          <w:lang w:val="es-ES_tradnl"/>
        </w:rPr>
        <w:t xml:space="preserve">25 </w:t>
      </w:r>
      <w:r w:rsidR="001350D0" w:rsidRPr="00147972">
        <w:rPr>
          <w:rFonts w:ascii="Arial" w:hAnsi="Arial" w:cs="Arial"/>
          <w:lang w:val="es-ES_tradnl"/>
        </w:rPr>
        <w:t>en</w:t>
      </w:r>
      <w:r w:rsidRPr="00147972">
        <w:rPr>
          <w:rFonts w:ascii="Arial" w:hAnsi="Arial" w:cs="Arial"/>
          <w:lang w:val="es-ES_tradnl"/>
        </w:rPr>
        <w:t xml:space="preserve"> un marco de riesgos múltiples siempre que fuera posible.</w:t>
      </w:r>
    </w:p>
    <w:p w14:paraId="53BBE032" w14:textId="4677CF10" w:rsidR="00EF7BBB" w:rsidRPr="00147972" w:rsidRDefault="006428A4" w:rsidP="00B5424F">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lastRenderedPageBreak/>
        <w:t>El ICG sugirió</w:t>
      </w:r>
      <w:r w:rsidRPr="00147972">
        <w:rPr>
          <w:rFonts w:ascii="Arial" w:hAnsi="Arial" w:cs="Arial"/>
          <w:lang w:val="es-ES_tradnl"/>
        </w:rPr>
        <w:t xml:space="preserve"> </w:t>
      </w:r>
      <w:r w:rsidR="001350D0" w:rsidRPr="00147972">
        <w:rPr>
          <w:rFonts w:ascii="Arial" w:hAnsi="Arial" w:cs="Arial"/>
          <w:lang w:val="es-ES_tradnl"/>
        </w:rPr>
        <w:t>a</w:t>
      </w:r>
      <w:r w:rsidRPr="00147972">
        <w:rPr>
          <w:rFonts w:ascii="Arial" w:hAnsi="Arial" w:cs="Arial"/>
          <w:lang w:val="es-ES_tradnl"/>
        </w:rPr>
        <w:t xml:space="preserve">l Equipo de Trabajo sobre CARIBE WAVE </w:t>
      </w:r>
      <w:r w:rsidR="001350D0" w:rsidRPr="00147972">
        <w:rPr>
          <w:rFonts w:ascii="Arial" w:hAnsi="Arial" w:cs="Arial"/>
          <w:lang w:val="es-ES_tradnl"/>
        </w:rPr>
        <w:t xml:space="preserve">que </w:t>
      </w:r>
      <w:r w:rsidRPr="00147972">
        <w:rPr>
          <w:rFonts w:ascii="Arial" w:hAnsi="Arial" w:cs="Arial"/>
          <w:lang w:val="es-ES_tradnl"/>
        </w:rPr>
        <w:t xml:space="preserve">estudiara la manera de hacer participar en mayor medida a los turistas y las organizaciones turísticas, como la Organización de Turismo del Caribe (OTC), en los ejercicios de CARIBE WAVE, con el objetivo de elaborar directrices y recursos </w:t>
      </w:r>
      <w:r w:rsidR="001350D0" w:rsidRPr="00147972">
        <w:rPr>
          <w:rFonts w:ascii="Arial" w:hAnsi="Arial" w:cs="Arial"/>
          <w:lang w:val="es-ES_tradnl"/>
        </w:rPr>
        <w:t>multilingües</w:t>
      </w:r>
      <w:r w:rsidRPr="00147972">
        <w:rPr>
          <w:rFonts w:ascii="Arial" w:hAnsi="Arial" w:cs="Arial"/>
          <w:lang w:val="es-ES_tradnl"/>
        </w:rPr>
        <w:t xml:space="preserve"> sobre la participación de los turistas en los ejercicios CARIBE WAVE, y </w:t>
      </w:r>
      <w:r w:rsidRPr="00147972">
        <w:rPr>
          <w:rFonts w:ascii="Arial" w:hAnsi="Arial" w:cs="Arial"/>
          <w:b/>
          <w:bCs/>
          <w:lang w:val="es-ES_tradnl"/>
        </w:rPr>
        <w:t>sugirió además</w:t>
      </w:r>
      <w:r w:rsidRPr="00147972">
        <w:rPr>
          <w:rFonts w:ascii="Arial" w:hAnsi="Arial" w:cs="Arial"/>
          <w:lang w:val="es-ES_tradnl"/>
        </w:rPr>
        <w:t xml:space="preserve"> </w:t>
      </w:r>
      <w:r w:rsidR="001350D0" w:rsidRPr="00147972">
        <w:rPr>
          <w:rFonts w:ascii="Arial" w:hAnsi="Arial" w:cs="Arial"/>
          <w:lang w:val="es-ES_tradnl"/>
        </w:rPr>
        <w:t>a</w:t>
      </w:r>
      <w:r w:rsidRPr="00147972">
        <w:rPr>
          <w:rFonts w:ascii="Arial" w:hAnsi="Arial" w:cs="Arial"/>
          <w:lang w:val="es-ES_tradnl"/>
        </w:rPr>
        <w:t xml:space="preserve">l Equipo de Trabajo sobre CARIBE WAVE </w:t>
      </w:r>
      <w:r w:rsidR="001350D0" w:rsidRPr="00147972">
        <w:rPr>
          <w:rFonts w:ascii="Arial" w:hAnsi="Arial" w:cs="Arial"/>
          <w:lang w:val="es-ES_tradnl"/>
        </w:rPr>
        <w:t xml:space="preserve">que </w:t>
      </w:r>
      <w:r w:rsidRPr="00147972">
        <w:rPr>
          <w:rFonts w:ascii="Arial" w:hAnsi="Arial" w:cs="Arial"/>
          <w:lang w:val="es-ES_tradnl"/>
        </w:rPr>
        <w:t xml:space="preserve">estudiara la manera de hacer participar en mayor medida a las autoridades marítimas y portuarias nacionales y regionales para que </w:t>
      </w:r>
      <w:r w:rsidR="001350D0" w:rsidRPr="00147972">
        <w:rPr>
          <w:rFonts w:ascii="Arial" w:hAnsi="Arial" w:cs="Arial"/>
          <w:lang w:val="es-ES_tradnl"/>
        </w:rPr>
        <w:t>pudieran</w:t>
      </w:r>
      <w:r w:rsidRPr="00147972">
        <w:rPr>
          <w:rFonts w:ascii="Arial" w:hAnsi="Arial" w:cs="Arial"/>
          <w:lang w:val="es-ES_tradnl"/>
        </w:rPr>
        <w:t xml:space="preserve"> poner a prueba sus planes y procedimientos.</w:t>
      </w:r>
    </w:p>
    <w:p w14:paraId="7A9FB8AD" w14:textId="4C24E7E1" w:rsidR="00EF7BBB" w:rsidRPr="00147972" w:rsidRDefault="007614AF" w:rsidP="00B5424F">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agradeció</w:t>
      </w:r>
      <w:r w:rsidRPr="00147972">
        <w:rPr>
          <w:rFonts w:ascii="Arial" w:hAnsi="Arial" w:cs="Arial"/>
          <w:lang w:val="es-ES_tradnl"/>
        </w:rPr>
        <w:t xml:space="preserve"> el informe y los progresos realizados por el CATAC durante el periodo entre reuniones, así como </w:t>
      </w:r>
      <w:r w:rsidR="00A91659" w:rsidRPr="00147972">
        <w:rPr>
          <w:rFonts w:ascii="Arial" w:hAnsi="Arial" w:cs="Arial"/>
          <w:lang w:val="es-ES_tradnl"/>
        </w:rPr>
        <w:t>sus</w:t>
      </w:r>
      <w:r w:rsidRPr="00147972">
        <w:rPr>
          <w:rFonts w:ascii="Arial" w:hAnsi="Arial" w:cs="Arial"/>
          <w:lang w:val="es-ES_tradnl"/>
        </w:rPr>
        <w:t xml:space="preserve"> continuos esfuerzos para seguir mejorando su sistema sismológico y poder determinar la fuente y enviar productos sobre tsunamis procesables y a tiempo en caso de terremotos de propagación lenta (sismos tsunamigénicos), que se producen en América Central, </w:t>
      </w:r>
      <w:r w:rsidR="00F254EC" w:rsidRPr="00147972">
        <w:rPr>
          <w:rFonts w:ascii="Arial" w:hAnsi="Arial" w:cs="Arial"/>
          <w:lang w:val="es-ES_tradnl"/>
        </w:rPr>
        <w:t>así como</w:t>
      </w:r>
      <w:r w:rsidRPr="00147972">
        <w:rPr>
          <w:rFonts w:ascii="Arial" w:hAnsi="Arial" w:cs="Arial"/>
          <w:lang w:val="es-ES_tradnl"/>
        </w:rPr>
        <w:t xml:space="preserve"> para mejorar la capacidad de sus usuarios e informarles de estos posibles eventos.</w:t>
      </w:r>
    </w:p>
    <w:p w14:paraId="55E7FEDC" w14:textId="0BC8261D" w:rsidR="00EF7BBB" w:rsidRPr="00147972" w:rsidRDefault="007614AF" w:rsidP="00B5424F">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recomendó</w:t>
      </w:r>
      <w:r w:rsidRPr="00147972">
        <w:rPr>
          <w:rFonts w:ascii="Arial" w:hAnsi="Arial" w:cs="Arial"/>
          <w:lang w:val="es-ES_tradnl"/>
        </w:rPr>
        <w:t xml:space="preserve"> </w:t>
      </w:r>
      <w:r w:rsidR="00A614D2" w:rsidRPr="00147972">
        <w:rPr>
          <w:rFonts w:ascii="Arial" w:hAnsi="Arial" w:cs="Arial"/>
          <w:lang w:val="es-ES_tradnl"/>
        </w:rPr>
        <w:t>a</w:t>
      </w:r>
      <w:r w:rsidRPr="00147972">
        <w:rPr>
          <w:rFonts w:ascii="Arial" w:hAnsi="Arial" w:cs="Arial"/>
          <w:lang w:val="es-ES_tradnl"/>
        </w:rPr>
        <w:t xml:space="preserve">l CATAC </w:t>
      </w:r>
      <w:r w:rsidR="00A614D2" w:rsidRPr="00147972">
        <w:rPr>
          <w:rFonts w:ascii="Arial" w:hAnsi="Arial" w:cs="Arial"/>
          <w:lang w:val="es-ES_tradnl"/>
        </w:rPr>
        <w:t xml:space="preserve">que </w:t>
      </w:r>
      <w:r w:rsidRPr="00147972">
        <w:rPr>
          <w:rFonts w:ascii="Arial" w:hAnsi="Arial" w:cs="Arial"/>
          <w:lang w:val="es-ES_tradnl"/>
        </w:rPr>
        <w:t xml:space="preserve">siguiera aplicando los métodos de alerta temprana contra </w:t>
      </w:r>
      <w:r w:rsidR="00777998" w:rsidRPr="00147972">
        <w:rPr>
          <w:rFonts w:ascii="Arial" w:hAnsi="Arial" w:cs="Arial"/>
          <w:lang w:val="es-ES_tradnl"/>
        </w:rPr>
        <w:t xml:space="preserve">seísmos </w:t>
      </w:r>
      <w:r w:rsidRPr="00147972">
        <w:rPr>
          <w:rFonts w:ascii="Arial" w:hAnsi="Arial" w:cs="Arial"/>
          <w:lang w:val="es-ES_tradnl"/>
        </w:rPr>
        <w:t xml:space="preserve">para acelerar y mejorar las alertas contra tsunamis para América Central y </w:t>
      </w:r>
      <w:r w:rsidRPr="00147972">
        <w:rPr>
          <w:rFonts w:ascii="Arial" w:hAnsi="Arial" w:cs="Arial"/>
          <w:b/>
          <w:bCs/>
          <w:lang w:val="es-ES_tradnl"/>
        </w:rPr>
        <w:t xml:space="preserve">tomó nota </w:t>
      </w:r>
      <w:r w:rsidRPr="00147972">
        <w:rPr>
          <w:rFonts w:ascii="Arial" w:hAnsi="Arial" w:cs="Arial"/>
          <w:lang w:val="es-ES_tradnl"/>
        </w:rPr>
        <w:t xml:space="preserve">de que el CATAC había presentado y analizado en la conferencia </w:t>
      </w:r>
      <w:r w:rsidR="002E50B1" w:rsidRPr="00147972">
        <w:rPr>
          <w:rFonts w:ascii="Arial" w:hAnsi="Arial" w:cs="Arial"/>
          <w:lang w:val="es-ES_tradnl"/>
        </w:rPr>
        <w:t>“</w:t>
      </w:r>
      <w:r w:rsidRPr="00147972">
        <w:rPr>
          <w:rFonts w:ascii="Arial" w:hAnsi="Arial" w:cs="Arial"/>
          <w:lang w:val="es-ES_tradnl"/>
        </w:rPr>
        <w:t>Cities on Volcanoes</w:t>
      </w:r>
      <w:r w:rsidR="002E50B1" w:rsidRPr="00147972">
        <w:rPr>
          <w:rFonts w:ascii="Arial" w:hAnsi="Arial" w:cs="Arial"/>
          <w:lang w:val="es-ES_tradnl"/>
        </w:rPr>
        <w:t>”</w:t>
      </w:r>
      <w:r w:rsidRPr="00147972">
        <w:rPr>
          <w:rFonts w:ascii="Arial" w:hAnsi="Arial" w:cs="Arial"/>
          <w:lang w:val="es-ES_tradnl"/>
        </w:rPr>
        <w:t>, celebrada en Antigua (Guatemala) del 11 al 17 de febrero de 2024, un concepto de sistema de alerta contra los tsunamis para fenómenos volcánicos en los grandes lagos de Nicaragua.</w:t>
      </w:r>
    </w:p>
    <w:p w14:paraId="31D3AB28" w14:textId="186ACF00" w:rsidR="00EF7BBB" w:rsidRPr="00147972" w:rsidRDefault="000151D3" w:rsidP="000E736D">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tomó nota</w:t>
      </w:r>
      <w:r w:rsidRPr="00147972">
        <w:rPr>
          <w:rFonts w:ascii="Arial" w:hAnsi="Arial" w:cs="Arial"/>
          <w:lang w:val="es-ES_tradnl"/>
        </w:rPr>
        <w:t xml:space="preserve"> de los desafíos del CATAC durante el ejercicio CARIBE WAVE 24 y </w:t>
      </w:r>
      <w:r w:rsidRPr="00147972">
        <w:rPr>
          <w:rFonts w:ascii="Arial" w:hAnsi="Arial" w:cs="Arial"/>
          <w:b/>
          <w:bCs/>
          <w:lang w:val="es-ES_tradnl"/>
        </w:rPr>
        <w:t>tomó nota además</w:t>
      </w:r>
      <w:r w:rsidRPr="00147972">
        <w:rPr>
          <w:rFonts w:ascii="Arial" w:hAnsi="Arial" w:cs="Arial"/>
          <w:lang w:val="es-ES_tradnl"/>
        </w:rPr>
        <w:t xml:space="preserve"> de que el CATAC proporcionaría la guía del usuario actualizada a más tardar en marzo de 2025 para que el ICG/CARIBE-EWS la examinara en su 1</w:t>
      </w:r>
      <w:r w:rsidR="005540E2" w:rsidRPr="00147972">
        <w:rPr>
          <w:rFonts w:ascii="Arial" w:hAnsi="Arial" w:cs="Arial"/>
          <w:lang w:val="es-ES_tradnl"/>
        </w:rPr>
        <w:t>8</w:t>
      </w:r>
      <w:r w:rsidR="00523990" w:rsidRPr="00147972">
        <w:rPr>
          <w:rFonts w:ascii="Arial" w:hAnsi="Arial" w:cs="Arial"/>
          <w:lang w:val="es-ES_tradnl"/>
        </w:rPr>
        <w:t>ª</w:t>
      </w:r>
      <w:r w:rsidRPr="00147972">
        <w:rPr>
          <w:rFonts w:ascii="Arial" w:hAnsi="Arial" w:cs="Arial"/>
          <w:lang w:val="es-ES_tradnl"/>
        </w:rPr>
        <w:t xml:space="preserve"> reunión.</w:t>
      </w:r>
    </w:p>
    <w:p w14:paraId="1743094A" w14:textId="65C63F15" w:rsidR="000151D3" w:rsidRPr="00147972" w:rsidRDefault="000151D3" w:rsidP="002E50B1">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recomendó</w:t>
      </w:r>
      <w:r w:rsidRPr="00147972">
        <w:rPr>
          <w:rFonts w:ascii="Arial" w:hAnsi="Arial" w:cs="Arial"/>
          <w:lang w:val="es-ES_tradnl"/>
        </w:rPr>
        <w:t xml:space="preserve"> </w:t>
      </w:r>
      <w:r w:rsidR="0021753B" w:rsidRPr="00147972">
        <w:rPr>
          <w:rFonts w:ascii="Arial" w:hAnsi="Arial" w:cs="Arial"/>
          <w:lang w:val="es-ES_tradnl"/>
        </w:rPr>
        <w:t>a</w:t>
      </w:r>
      <w:r w:rsidRPr="00147972">
        <w:rPr>
          <w:rFonts w:ascii="Arial" w:hAnsi="Arial" w:cs="Arial"/>
          <w:lang w:val="es-ES_tradnl"/>
        </w:rPr>
        <w:t xml:space="preserve">l CATAC </w:t>
      </w:r>
      <w:r w:rsidR="0021753B" w:rsidRPr="00147972">
        <w:rPr>
          <w:rFonts w:ascii="Arial" w:hAnsi="Arial" w:cs="Arial"/>
          <w:lang w:val="es-ES_tradnl"/>
        </w:rPr>
        <w:t xml:space="preserve">que </w:t>
      </w:r>
      <w:r w:rsidRPr="00147972">
        <w:rPr>
          <w:rFonts w:ascii="Arial" w:hAnsi="Arial" w:cs="Arial"/>
          <w:lang w:val="es-ES_tradnl"/>
        </w:rPr>
        <w:t xml:space="preserve">mantuviera su plena funcionalidad de manera provisional para poder ayudar a los NTWC, los TWFP y las autoridades de gestión de emergencias de América Central a hacer frente a esos desafíos, y </w:t>
      </w:r>
      <w:r w:rsidRPr="00147972">
        <w:rPr>
          <w:rFonts w:ascii="Arial" w:hAnsi="Arial" w:cs="Arial"/>
          <w:b/>
          <w:bCs/>
          <w:lang w:val="es-ES_tradnl"/>
        </w:rPr>
        <w:t xml:space="preserve">recomendó además </w:t>
      </w:r>
      <w:r w:rsidRPr="00147972">
        <w:rPr>
          <w:rFonts w:ascii="Arial" w:hAnsi="Arial" w:cs="Arial"/>
          <w:lang w:val="es-ES_tradnl"/>
        </w:rPr>
        <w:t>que se designara al CATAC como TSP en su 18ª reunión en 2025 para que la Asamblea de la COI pudiera examinar la admisión definitiva del CATAC como TSP en junio de 2025.</w:t>
      </w:r>
    </w:p>
    <w:p w14:paraId="25C2DE0F" w14:textId="497C224D" w:rsidR="002F1821" w:rsidRPr="00147972" w:rsidRDefault="002F1821" w:rsidP="000E736D">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tomó nota</w:t>
      </w:r>
      <w:r w:rsidRPr="00147972">
        <w:rPr>
          <w:rFonts w:ascii="Arial" w:hAnsi="Arial" w:cs="Arial"/>
          <w:lang w:val="es-ES_tradnl"/>
        </w:rPr>
        <w:t xml:space="preserve"> de la recomendación de la UNESCO, comunicada por la Secretaría, de celebrar reuniones reglamentarias y conferencias periódicas </w:t>
      </w:r>
      <w:r w:rsidR="00777998" w:rsidRPr="00147972">
        <w:rPr>
          <w:rFonts w:ascii="Arial" w:hAnsi="Arial" w:cs="Arial"/>
          <w:lang w:val="es-ES_tradnl"/>
        </w:rPr>
        <w:t>de forma presencial</w:t>
      </w:r>
      <w:r w:rsidRPr="00147972">
        <w:rPr>
          <w:rFonts w:ascii="Arial" w:hAnsi="Arial" w:cs="Arial"/>
          <w:lang w:val="es-ES_tradnl"/>
        </w:rPr>
        <w:t xml:space="preserve"> solo una de cada dos veces, y las demás </w:t>
      </w:r>
      <w:r w:rsidR="00777998" w:rsidRPr="00147972">
        <w:rPr>
          <w:rFonts w:ascii="Arial" w:hAnsi="Arial" w:cs="Arial"/>
          <w:lang w:val="es-ES_tradnl"/>
        </w:rPr>
        <w:t>de forma virtual</w:t>
      </w:r>
      <w:r w:rsidRPr="00147972">
        <w:rPr>
          <w:rFonts w:ascii="Arial" w:hAnsi="Arial" w:cs="Arial"/>
          <w:lang w:val="es-ES_tradnl"/>
        </w:rPr>
        <w:t>, a fin de reducir la huella de carbono de la UNESCO y poder cumplir su objetivo de reducir sus emisiones en un 31 % de aquí a 2030, en consonancia con los objetivos del Acuerdo de París.</w:t>
      </w:r>
    </w:p>
    <w:p w14:paraId="3FCD9EC5" w14:textId="48CBD4E8" w:rsidR="002F1821" w:rsidRPr="00147972" w:rsidRDefault="002F1821" w:rsidP="000E736D">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tomó nota</w:t>
      </w:r>
      <w:r w:rsidRPr="00147972">
        <w:rPr>
          <w:rFonts w:ascii="Arial" w:hAnsi="Arial" w:cs="Arial"/>
          <w:lang w:val="es-ES_tradnl"/>
        </w:rPr>
        <w:t xml:space="preserve"> de los diversos </w:t>
      </w:r>
      <w:r w:rsidR="00777998" w:rsidRPr="00147972">
        <w:rPr>
          <w:rFonts w:ascii="Arial" w:hAnsi="Arial" w:cs="Arial"/>
          <w:lang w:val="es-ES_tradnl"/>
        </w:rPr>
        <w:t xml:space="preserve">vigésimos </w:t>
      </w:r>
      <w:r w:rsidRPr="00147972">
        <w:rPr>
          <w:rFonts w:ascii="Arial" w:hAnsi="Arial" w:cs="Arial"/>
          <w:lang w:val="es-ES_tradnl"/>
        </w:rPr>
        <w:t>aniversarios del ICG/CARIBE-EWS, a saber, el 20º aniversario de la creación del ICG/CARIBE-EWS (2025), el 20º aniversario de la primera reunión del ICG/CARIBE-EWS (2026) y la 20</w:t>
      </w:r>
      <w:r w:rsidR="00823BD3" w:rsidRPr="00147972">
        <w:rPr>
          <w:rFonts w:ascii="Arial" w:hAnsi="Arial" w:cs="Arial"/>
          <w:lang w:val="es-ES_tradnl"/>
        </w:rPr>
        <w:t>ª</w:t>
      </w:r>
      <w:r w:rsidRPr="00147972">
        <w:rPr>
          <w:rFonts w:ascii="Arial" w:hAnsi="Arial" w:cs="Arial"/>
          <w:lang w:val="es-ES_tradnl"/>
        </w:rPr>
        <w:t xml:space="preserve"> reunión del ICG/CARIBE-EWS (2027).</w:t>
      </w:r>
    </w:p>
    <w:p w14:paraId="4E50C3AE" w14:textId="49BF9DAC" w:rsidR="002F1821" w:rsidRPr="00147972" w:rsidRDefault="002F1821" w:rsidP="000E736D">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tomó nota además</w:t>
      </w:r>
      <w:r w:rsidRPr="00147972">
        <w:rPr>
          <w:rFonts w:ascii="Arial" w:hAnsi="Arial" w:cs="Arial"/>
          <w:lang w:val="es-ES_tradnl"/>
        </w:rPr>
        <w:t xml:space="preserve"> de que estos aniversarios ya se habían considerado una importante oportunidad para sensibilizar sobre los logros y los retos pendientes en lo que se refiere a garantizar la resiliencia a los tsunamis en el Caribe y sus regiones adyacentes</w:t>
      </w:r>
      <w:r w:rsidR="00D915BD" w:rsidRPr="00147972">
        <w:rPr>
          <w:rFonts w:ascii="Arial" w:hAnsi="Arial" w:cs="Arial"/>
          <w:lang w:val="es-ES_tradnl"/>
        </w:rPr>
        <w:t>,</w:t>
      </w:r>
      <w:r w:rsidRPr="00147972">
        <w:rPr>
          <w:rFonts w:ascii="Arial" w:hAnsi="Arial" w:cs="Arial"/>
          <w:lang w:val="es-ES_tradnl"/>
        </w:rPr>
        <w:t xml:space="preserve"> en el contexto más amplio de los sistemas de alerta temprana de peligros múltiples (MHEWS) y la iniciativa Alertas Tempranas para Todos del Secretario General de las Naciones Unidas y</w:t>
      </w:r>
      <w:r w:rsidR="00D915BD" w:rsidRPr="00147972">
        <w:rPr>
          <w:rFonts w:ascii="Arial" w:hAnsi="Arial" w:cs="Arial"/>
          <w:lang w:val="es-ES_tradnl"/>
        </w:rPr>
        <w:t xml:space="preserve"> de</w:t>
      </w:r>
      <w:r w:rsidRPr="00147972">
        <w:rPr>
          <w:rFonts w:ascii="Arial" w:hAnsi="Arial" w:cs="Arial"/>
          <w:lang w:val="es-ES_tradnl"/>
        </w:rPr>
        <w:t xml:space="preserve"> la reanudación tras la pandemia de las actividades de preparación para casos de tsunamis.</w:t>
      </w:r>
    </w:p>
    <w:p w14:paraId="0B6FDB6E" w14:textId="367AB0F5" w:rsidR="002F1821" w:rsidRPr="00147972" w:rsidRDefault="002F1821" w:rsidP="000E736D">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tomó nota</w:t>
      </w:r>
      <w:r w:rsidR="00777998" w:rsidRPr="00147972">
        <w:rPr>
          <w:rFonts w:ascii="Arial" w:hAnsi="Arial" w:cs="Arial"/>
          <w:b/>
          <w:bCs/>
          <w:lang w:val="es-ES_tradnl"/>
        </w:rPr>
        <w:t xml:space="preserve"> en particular</w:t>
      </w:r>
      <w:r w:rsidRPr="00147972">
        <w:rPr>
          <w:rFonts w:ascii="Arial" w:hAnsi="Arial" w:cs="Arial"/>
          <w:lang w:val="es-ES_tradnl"/>
        </w:rPr>
        <w:t xml:space="preserve"> de la importancia de las reuniones presenciales, que brinda</w:t>
      </w:r>
      <w:r w:rsidR="00ED0A80" w:rsidRPr="00147972">
        <w:rPr>
          <w:rFonts w:ascii="Arial" w:hAnsi="Arial" w:cs="Arial"/>
          <w:lang w:val="es-ES_tradnl"/>
        </w:rPr>
        <w:t>ba</w:t>
      </w:r>
      <w:r w:rsidRPr="00147972">
        <w:rPr>
          <w:rFonts w:ascii="Arial" w:hAnsi="Arial" w:cs="Arial"/>
          <w:lang w:val="es-ES_tradnl"/>
        </w:rPr>
        <w:t xml:space="preserve">n oportunidades de intercambio </w:t>
      </w:r>
      <w:r w:rsidR="00777998" w:rsidRPr="00147972">
        <w:rPr>
          <w:rFonts w:ascii="Arial" w:hAnsi="Arial" w:cs="Arial"/>
          <w:lang w:val="es-ES_tradnl"/>
        </w:rPr>
        <w:t xml:space="preserve">oficioso </w:t>
      </w:r>
      <w:r w:rsidRPr="00147972">
        <w:rPr>
          <w:rFonts w:ascii="Arial" w:hAnsi="Arial" w:cs="Arial"/>
          <w:lang w:val="es-ES_tradnl"/>
        </w:rPr>
        <w:t xml:space="preserve">fuera de las </w:t>
      </w:r>
      <w:r w:rsidR="00777998" w:rsidRPr="00147972">
        <w:rPr>
          <w:rFonts w:ascii="Arial" w:hAnsi="Arial" w:cs="Arial"/>
          <w:lang w:val="es-ES_tradnl"/>
        </w:rPr>
        <w:t>reuniones oficiales</w:t>
      </w:r>
      <w:r w:rsidRPr="00147972">
        <w:rPr>
          <w:rFonts w:ascii="Arial" w:hAnsi="Arial" w:cs="Arial"/>
          <w:lang w:val="es-ES_tradnl"/>
        </w:rPr>
        <w:t xml:space="preserve"> para abordar cuestiones que facilita</w:t>
      </w:r>
      <w:r w:rsidR="00CD45F6" w:rsidRPr="00147972">
        <w:rPr>
          <w:rFonts w:ascii="Arial" w:hAnsi="Arial" w:cs="Arial"/>
          <w:lang w:val="es-ES_tradnl"/>
        </w:rPr>
        <w:t>ba</w:t>
      </w:r>
      <w:r w:rsidRPr="00147972">
        <w:rPr>
          <w:rFonts w:ascii="Arial" w:hAnsi="Arial" w:cs="Arial"/>
          <w:lang w:val="es-ES_tradnl"/>
        </w:rPr>
        <w:t>n el trabajo del ICG.</w:t>
      </w:r>
    </w:p>
    <w:p w14:paraId="5D41D00B" w14:textId="61B3732A" w:rsidR="002F1821" w:rsidRPr="00147972" w:rsidRDefault="002F1821" w:rsidP="000E736D">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decidió</w:t>
      </w:r>
      <w:r w:rsidRPr="00147972">
        <w:rPr>
          <w:rFonts w:ascii="Arial" w:hAnsi="Arial" w:cs="Arial"/>
          <w:lang w:val="es-ES_tradnl"/>
        </w:rPr>
        <w:t xml:space="preserve"> celebrar la 18</w:t>
      </w:r>
      <w:r w:rsidR="00823BD3" w:rsidRPr="00147972">
        <w:rPr>
          <w:rFonts w:ascii="Arial" w:hAnsi="Arial" w:cs="Arial"/>
          <w:lang w:val="es-ES_tradnl"/>
        </w:rPr>
        <w:t>ª</w:t>
      </w:r>
      <w:r w:rsidRPr="00147972">
        <w:rPr>
          <w:rFonts w:ascii="Arial" w:hAnsi="Arial" w:cs="Arial"/>
          <w:lang w:val="es-ES_tradnl"/>
        </w:rPr>
        <w:t xml:space="preserve"> reunión del ICG/CARIBE-EWS (ICG/CARIBE-EWS-XVIII) </w:t>
      </w:r>
      <w:r w:rsidR="00777998" w:rsidRPr="00147972">
        <w:rPr>
          <w:rFonts w:ascii="Arial" w:hAnsi="Arial" w:cs="Arial"/>
          <w:lang w:val="es-ES_tradnl"/>
        </w:rPr>
        <w:t>de forma presencial</w:t>
      </w:r>
      <w:r w:rsidRPr="00147972">
        <w:rPr>
          <w:rFonts w:ascii="Arial" w:hAnsi="Arial" w:cs="Arial"/>
          <w:lang w:val="es-ES_tradnl"/>
        </w:rPr>
        <w:t xml:space="preserve"> la semana del 5 de mayo de 2025 y estudiar la posibilidad de organizar inmediatamente después una cumbre de Tsunami Ready para examinar </w:t>
      </w:r>
      <w:r w:rsidR="00823BD3" w:rsidRPr="00147972">
        <w:rPr>
          <w:rFonts w:ascii="Arial" w:hAnsi="Arial" w:cs="Arial"/>
          <w:lang w:val="es-ES_tradnl"/>
        </w:rPr>
        <w:t>las ventajas</w:t>
      </w:r>
      <w:r w:rsidRPr="00147972">
        <w:rPr>
          <w:rFonts w:ascii="Arial" w:hAnsi="Arial" w:cs="Arial"/>
          <w:lang w:val="es-ES_tradnl"/>
        </w:rPr>
        <w:t xml:space="preserve"> y las enseñanzas extraídas y establecer una hoja de ruta para que la totalidad de las comunidades </w:t>
      </w:r>
      <w:r w:rsidR="00C55439" w:rsidRPr="00147972">
        <w:rPr>
          <w:rFonts w:ascii="Arial" w:hAnsi="Arial" w:cs="Arial"/>
          <w:lang w:val="es-ES_tradnl"/>
        </w:rPr>
        <w:t>estuvieran</w:t>
      </w:r>
      <w:r w:rsidRPr="00147972">
        <w:rPr>
          <w:rFonts w:ascii="Arial" w:hAnsi="Arial" w:cs="Arial"/>
          <w:lang w:val="es-ES_tradnl"/>
        </w:rPr>
        <w:t xml:space="preserve"> preparadas y </w:t>
      </w:r>
      <w:r w:rsidR="00C55439" w:rsidRPr="00147972">
        <w:rPr>
          <w:rFonts w:ascii="Arial" w:hAnsi="Arial" w:cs="Arial"/>
          <w:lang w:val="es-ES_tradnl"/>
        </w:rPr>
        <w:t>fueran</w:t>
      </w:r>
      <w:r w:rsidRPr="00147972">
        <w:rPr>
          <w:rFonts w:ascii="Arial" w:hAnsi="Arial" w:cs="Arial"/>
          <w:lang w:val="es-ES_tradnl"/>
        </w:rPr>
        <w:t xml:space="preserve"> resilientes</w:t>
      </w:r>
      <w:r w:rsidR="00777998" w:rsidRPr="00147972">
        <w:rPr>
          <w:rFonts w:ascii="Arial" w:hAnsi="Arial" w:cs="Arial"/>
          <w:lang w:val="es-ES_tradnl"/>
        </w:rPr>
        <w:t xml:space="preserve"> frente</w:t>
      </w:r>
      <w:r w:rsidRPr="00147972">
        <w:rPr>
          <w:rFonts w:ascii="Arial" w:hAnsi="Arial" w:cs="Arial"/>
          <w:lang w:val="es-ES_tradnl"/>
        </w:rPr>
        <w:t xml:space="preserve"> a los tsunamis gracias a iniciativas como Tsunami Ready.</w:t>
      </w:r>
    </w:p>
    <w:p w14:paraId="40D721F8" w14:textId="3C55ED4C" w:rsidR="002F1821" w:rsidRPr="00147972" w:rsidRDefault="002F1821" w:rsidP="000E736D">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lastRenderedPageBreak/>
        <w:t>El ICG tomó nota con reconocimiento</w:t>
      </w:r>
      <w:r w:rsidRPr="00147972">
        <w:rPr>
          <w:rFonts w:ascii="Arial" w:hAnsi="Arial" w:cs="Arial"/>
          <w:lang w:val="es-ES_tradnl"/>
        </w:rPr>
        <w:t xml:space="preserve"> de las consideraciones expresadas por Francia (Martinica) </w:t>
      </w:r>
      <w:r w:rsidR="00E45B91" w:rsidRPr="00147972">
        <w:rPr>
          <w:rFonts w:ascii="Arial" w:hAnsi="Arial" w:cs="Arial"/>
          <w:lang w:val="es-ES_tradnl"/>
        </w:rPr>
        <w:t>y</w:t>
      </w:r>
      <w:r w:rsidRPr="00147972">
        <w:rPr>
          <w:rFonts w:ascii="Arial" w:hAnsi="Arial" w:cs="Arial"/>
          <w:lang w:val="es-ES_tradnl"/>
        </w:rPr>
        <w:t xml:space="preserve"> Panamá para acoger la </w:t>
      </w:r>
      <w:r w:rsidR="00823BD3" w:rsidRPr="00147972">
        <w:rPr>
          <w:rFonts w:ascii="Arial" w:hAnsi="Arial" w:cs="Arial"/>
          <w:lang w:val="es-ES_tradnl"/>
        </w:rPr>
        <w:t xml:space="preserve">18ª reunión del </w:t>
      </w:r>
      <w:r w:rsidRPr="00147972">
        <w:rPr>
          <w:rFonts w:ascii="Arial" w:hAnsi="Arial" w:cs="Arial"/>
          <w:lang w:val="es-ES_tradnl"/>
        </w:rPr>
        <w:t>ICG/CARIBE-EWS.</w:t>
      </w:r>
    </w:p>
    <w:p w14:paraId="183EF71F" w14:textId="477D4AAF" w:rsidR="002F1821" w:rsidRPr="00147972" w:rsidRDefault="002F1821" w:rsidP="00237A9B">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decidió</w:t>
      </w:r>
      <w:r w:rsidRPr="00147972">
        <w:rPr>
          <w:rFonts w:ascii="Arial" w:hAnsi="Arial" w:cs="Arial"/>
          <w:lang w:val="es-ES_tradnl"/>
        </w:rPr>
        <w:t xml:space="preserve"> celebrar la</w:t>
      </w:r>
      <w:r w:rsidR="00823BD3" w:rsidRPr="00147972">
        <w:rPr>
          <w:rFonts w:ascii="Arial" w:hAnsi="Arial" w:cs="Arial"/>
          <w:lang w:val="es-ES_tradnl"/>
        </w:rPr>
        <w:t xml:space="preserve"> 18ª reunión del</w:t>
      </w:r>
      <w:r w:rsidRPr="00147972">
        <w:rPr>
          <w:rFonts w:ascii="Arial" w:hAnsi="Arial" w:cs="Arial"/>
          <w:lang w:val="es-ES_tradnl"/>
        </w:rPr>
        <w:t xml:space="preserve"> ICG/CARIBE-EWS de forma virtual si no se transmit</w:t>
      </w:r>
      <w:r w:rsidR="002671C9" w:rsidRPr="00147972">
        <w:rPr>
          <w:rFonts w:ascii="Arial" w:hAnsi="Arial" w:cs="Arial"/>
          <w:lang w:val="es-ES_tradnl"/>
        </w:rPr>
        <w:t>ía</w:t>
      </w:r>
      <w:r w:rsidRPr="00147972">
        <w:rPr>
          <w:rFonts w:ascii="Arial" w:hAnsi="Arial" w:cs="Arial"/>
          <w:lang w:val="es-ES_tradnl"/>
        </w:rPr>
        <w:t xml:space="preserve"> oficialmente a la Secretaría, antes del 9 de agosto de 2024, una comunicación oficial de Francia (Martinica), Panamá u otro Estado Miembro interesado en acoger la reunión.</w:t>
      </w:r>
    </w:p>
    <w:p w14:paraId="429B1370" w14:textId="1DAE6356" w:rsidR="002F1821" w:rsidRPr="00147972" w:rsidRDefault="002F1821" w:rsidP="00B5424F">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recomendó</w:t>
      </w:r>
      <w:r w:rsidRPr="00147972">
        <w:rPr>
          <w:rFonts w:ascii="Arial" w:hAnsi="Arial" w:cs="Arial"/>
          <w:lang w:val="es-ES_tradnl"/>
        </w:rPr>
        <w:t xml:space="preserve"> celebrar la 19</w:t>
      </w:r>
      <w:r w:rsidR="009F069E" w:rsidRPr="00147972">
        <w:rPr>
          <w:rFonts w:ascii="Arial" w:hAnsi="Arial" w:cs="Arial"/>
          <w:lang w:val="es-ES_tradnl"/>
        </w:rPr>
        <w:t>ª</w:t>
      </w:r>
      <w:r w:rsidRPr="00147972">
        <w:rPr>
          <w:rFonts w:ascii="Arial" w:hAnsi="Arial" w:cs="Arial"/>
          <w:lang w:val="es-ES_tradnl"/>
        </w:rPr>
        <w:t xml:space="preserve"> reunión del ICG/CARIBE-EWS (ICG/CARIBE-EWS-XIX) </w:t>
      </w:r>
      <w:r w:rsidR="00823BD3" w:rsidRPr="00147972">
        <w:rPr>
          <w:rFonts w:ascii="Arial" w:hAnsi="Arial" w:cs="Arial"/>
          <w:lang w:val="es-ES_tradnl"/>
        </w:rPr>
        <w:t>de forma presencial</w:t>
      </w:r>
      <w:r w:rsidRPr="00147972">
        <w:rPr>
          <w:rFonts w:ascii="Arial" w:hAnsi="Arial" w:cs="Arial"/>
          <w:lang w:val="es-ES_tradnl"/>
        </w:rPr>
        <w:t>, posiblemente la semana del 20 de abril de 2026.</w:t>
      </w:r>
    </w:p>
    <w:p w14:paraId="52458BD9" w14:textId="46259403" w:rsidR="002F1821" w:rsidRPr="00147972" w:rsidRDefault="002F1821" w:rsidP="00B5424F">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tomó nota con satisfacción</w:t>
      </w:r>
      <w:r w:rsidRPr="00147972">
        <w:rPr>
          <w:rFonts w:ascii="Arial" w:hAnsi="Arial" w:cs="Arial"/>
          <w:lang w:val="es-ES_tradnl"/>
        </w:rPr>
        <w:t xml:space="preserve"> de la posibilidad de que Barbados </w:t>
      </w:r>
      <w:r w:rsidR="000264E9" w:rsidRPr="00147972">
        <w:rPr>
          <w:rFonts w:ascii="Arial" w:hAnsi="Arial" w:cs="Arial"/>
          <w:lang w:val="es-ES_tradnl"/>
        </w:rPr>
        <w:t>acogiera</w:t>
      </w:r>
      <w:r w:rsidRPr="00147972">
        <w:rPr>
          <w:rFonts w:ascii="Arial" w:hAnsi="Arial" w:cs="Arial"/>
          <w:lang w:val="es-ES_tradnl"/>
        </w:rPr>
        <w:t xml:space="preserve"> la </w:t>
      </w:r>
      <w:r w:rsidR="00823BD3" w:rsidRPr="00147972">
        <w:rPr>
          <w:rFonts w:ascii="Arial" w:hAnsi="Arial" w:cs="Arial"/>
          <w:lang w:val="es-ES_tradnl"/>
        </w:rPr>
        <w:t xml:space="preserve">19º reunión del </w:t>
      </w:r>
      <w:r w:rsidRPr="00147972">
        <w:rPr>
          <w:rFonts w:ascii="Arial" w:hAnsi="Arial" w:cs="Arial"/>
          <w:lang w:val="es-ES_tradnl"/>
        </w:rPr>
        <w:t>ICG/CARIBE-EWS.</w:t>
      </w:r>
    </w:p>
    <w:p w14:paraId="1ACF8235" w14:textId="26546929" w:rsidR="002F1821" w:rsidRPr="00147972" w:rsidRDefault="002F1821" w:rsidP="00B5424F">
      <w:pPr>
        <w:pStyle w:val="Prrafodelista"/>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s-ES_tradnl"/>
        </w:rPr>
      </w:pPr>
      <w:r w:rsidRPr="00147972">
        <w:rPr>
          <w:rFonts w:ascii="Arial" w:hAnsi="Arial" w:cs="Arial"/>
          <w:b/>
          <w:bCs/>
          <w:lang w:val="es-ES_tradnl"/>
        </w:rPr>
        <w:t>El ICG decidió</w:t>
      </w:r>
      <w:r w:rsidRPr="00147972">
        <w:rPr>
          <w:rFonts w:ascii="Arial" w:hAnsi="Arial" w:cs="Arial"/>
          <w:lang w:val="es-ES_tradnl"/>
        </w:rPr>
        <w:t xml:space="preserve"> considerar la posibilidad, a partir de 2026, de celebrar sus futuras reuniones </w:t>
      </w:r>
      <w:r w:rsidR="00823BD3" w:rsidRPr="00147972">
        <w:rPr>
          <w:rFonts w:ascii="Arial" w:hAnsi="Arial" w:cs="Arial"/>
          <w:lang w:val="es-ES_tradnl"/>
        </w:rPr>
        <w:t>de forma presencial</w:t>
      </w:r>
      <w:r w:rsidRPr="00147972">
        <w:rPr>
          <w:rFonts w:ascii="Arial" w:hAnsi="Arial" w:cs="Arial"/>
          <w:lang w:val="es-ES_tradnl"/>
        </w:rPr>
        <w:t xml:space="preserve"> solo cada dos años, y las demás veces </w:t>
      </w:r>
      <w:r w:rsidR="00823BD3" w:rsidRPr="00147972">
        <w:rPr>
          <w:rFonts w:ascii="Arial" w:hAnsi="Arial" w:cs="Arial"/>
          <w:lang w:val="es-ES_tradnl"/>
        </w:rPr>
        <w:t>de forma virtual</w:t>
      </w:r>
      <w:r w:rsidRPr="00147972">
        <w:rPr>
          <w:rFonts w:ascii="Arial" w:hAnsi="Arial" w:cs="Arial"/>
          <w:lang w:val="es-ES_tradnl"/>
        </w:rPr>
        <w:t>.</w:t>
      </w:r>
    </w:p>
    <w:p w14:paraId="285A13C3" w14:textId="0F53113B" w:rsidR="003B6D4C" w:rsidRPr="00147972" w:rsidRDefault="009F069E" w:rsidP="00B5424F">
      <w:pPr>
        <w:keepNext/>
        <w:jc w:val="both"/>
        <w:rPr>
          <w:rFonts w:ascii="Arial" w:hAnsi="Arial" w:cs="Arial"/>
          <w:lang w:val="es-ES_tradnl"/>
        </w:rPr>
      </w:pPr>
      <w:hyperlink r:id="rId14" w:history="1">
        <w:r w:rsidR="000E736D" w:rsidRPr="00147972">
          <w:rPr>
            <w:rStyle w:val="Hipervnculo"/>
            <w:rFonts w:ascii="Arial" w:hAnsi="Arial" w:cs="Arial"/>
            <w:lang w:val="es-ES_tradnl"/>
          </w:rPr>
          <w:t>Para más detalles, véanse las recomendaciones de la</w:t>
        </w:r>
        <w:r w:rsidR="00823BD3" w:rsidRPr="00147972">
          <w:rPr>
            <w:rStyle w:val="Hipervnculo"/>
            <w:rFonts w:ascii="Arial" w:hAnsi="Arial" w:cs="Arial"/>
            <w:lang w:val="es-ES_tradnl"/>
          </w:rPr>
          <w:t xml:space="preserve"> 17ª reunión del</w:t>
        </w:r>
        <w:r w:rsidR="000E736D" w:rsidRPr="00147972">
          <w:rPr>
            <w:rStyle w:val="Hipervnculo"/>
            <w:rFonts w:ascii="Arial" w:hAnsi="Arial" w:cs="Arial"/>
            <w:lang w:val="es-ES_tradnl"/>
          </w:rPr>
          <w:t xml:space="preserve"> ICG/CARIBE-EWS.</w:t>
        </w:r>
      </w:hyperlink>
    </w:p>
    <w:sectPr w:rsidR="003B6D4C" w:rsidRPr="00147972" w:rsidSect="00B96458">
      <w:headerReference w:type="even" r:id="rId15"/>
      <w:headerReference w:type="default" r:id="rId16"/>
      <w:headerReference w:type="first" r:id="rId17"/>
      <w:pgSz w:w="11907" w:h="16840" w:code="9"/>
      <w:pgMar w:top="1134" w:right="1134" w:bottom="1134"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5BF02" w14:textId="77777777" w:rsidR="00F01CD4" w:rsidRDefault="00F01CD4">
      <w:r>
        <w:separator/>
      </w:r>
    </w:p>
  </w:endnote>
  <w:endnote w:type="continuationSeparator" w:id="0">
    <w:p w14:paraId="34056E60" w14:textId="77777777" w:rsidR="00F01CD4" w:rsidRDefault="00F0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D71B" w14:textId="77777777" w:rsidR="00F01CD4" w:rsidRDefault="00F01CD4">
      <w:r>
        <w:separator/>
      </w:r>
    </w:p>
  </w:footnote>
  <w:footnote w:type="continuationSeparator" w:id="0">
    <w:p w14:paraId="14D46649" w14:textId="77777777" w:rsidR="00F01CD4" w:rsidRDefault="00F01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6B3B" w14:textId="6A5DCF38" w:rsidR="0023152A" w:rsidRPr="00BE1E88" w:rsidRDefault="0023152A" w:rsidP="00BE1E88">
    <w:pPr>
      <w:pStyle w:val="Encabezado"/>
      <w:snapToGrid/>
      <w:spacing w:after="240"/>
      <w:rPr>
        <w:szCs w:val="22"/>
        <w:lang w:val="en-AU"/>
      </w:rPr>
    </w:pPr>
    <w:r w:rsidRPr="00BE1E88">
      <w:rPr>
        <w:szCs w:val="22"/>
        <w:lang w:val="en-AU"/>
      </w:rPr>
      <w:t>I</w:t>
    </w:r>
    <w:r w:rsidR="00233C55" w:rsidRPr="00BE1E88">
      <w:rPr>
        <w:szCs w:val="22"/>
        <w:lang w:val="en-AU"/>
      </w:rPr>
      <w:t>CG/</w:t>
    </w:r>
    <w:r w:rsidR="0098300C" w:rsidRPr="00BE1E88">
      <w:rPr>
        <w:szCs w:val="22"/>
        <w:lang w:val="en-AU"/>
      </w:rPr>
      <w:t>CARIBE EWS-XVI</w:t>
    </w:r>
    <w:r w:rsidR="00D53D36" w:rsidRPr="00BE1E88">
      <w:rPr>
        <w:szCs w:val="22"/>
        <w:lang w:val="en-AU"/>
      </w:rPr>
      <w:t>I</w:t>
    </w:r>
    <w:r w:rsidRPr="00BE1E88">
      <w:rPr>
        <w:szCs w:val="22"/>
        <w:lang w:val="en-AU"/>
      </w:rPr>
      <w:t>/</w:t>
    </w:r>
    <w:r w:rsidR="003B7C02" w:rsidRPr="00BE1E88">
      <w:rPr>
        <w:szCs w:val="22"/>
        <w:lang w:val="en-AU"/>
      </w:rPr>
      <w:t>3</w:t>
    </w:r>
    <w:r w:rsidRPr="00BE1E88">
      <w:rPr>
        <w:szCs w:val="22"/>
        <w:lang w:val="en-AU"/>
      </w:rPr>
      <w:t>s</w:t>
    </w:r>
    <w:r w:rsidR="0002560F" w:rsidRPr="00BE1E88">
      <w:rPr>
        <w:szCs w:val="22"/>
        <w:lang w:val="en-AU"/>
      </w:rPr>
      <w:t xml:space="preserve"> –</w:t>
    </w:r>
    <w:r w:rsidR="00D200BC" w:rsidRPr="00BE1E88">
      <w:rPr>
        <w:szCs w:val="22"/>
        <w:lang w:val="en-AU"/>
      </w:rPr>
      <w:t xml:space="preserve"> p</w:t>
    </w:r>
    <w:r w:rsidR="00BE1E88" w:rsidRPr="00BE1E88">
      <w:rPr>
        <w:szCs w:val="22"/>
        <w:lang w:val="en-AU"/>
      </w:rPr>
      <w:t>ág.</w:t>
    </w:r>
    <w:r w:rsidR="00D200BC" w:rsidRPr="00BE1E88">
      <w:rPr>
        <w:szCs w:val="22"/>
        <w:lang w:val="en-AU"/>
      </w:rPr>
      <w:t xml:space="preserve"> </w:t>
    </w:r>
    <w:r w:rsidR="00D200BC" w:rsidRPr="00BE1E88">
      <w:rPr>
        <w:szCs w:val="22"/>
        <w:lang w:val="en-AU"/>
      </w:rPr>
      <w:fldChar w:fldCharType="begin"/>
    </w:r>
    <w:r w:rsidR="00D200BC" w:rsidRPr="00BE1E88">
      <w:rPr>
        <w:szCs w:val="22"/>
        <w:lang w:val="en-AU"/>
      </w:rPr>
      <w:instrText>PAGE   \* MERGEFORMAT</w:instrText>
    </w:r>
    <w:r w:rsidR="00D200BC" w:rsidRPr="00BE1E88">
      <w:rPr>
        <w:szCs w:val="22"/>
        <w:lang w:val="en-AU"/>
      </w:rPr>
      <w:fldChar w:fldCharType="separate"/>
    </w:r>
    <w:r w:rsidR="001024FE" w:rsidRPr="00BE1E88">
      <w:rPr>
        <w:szCs w:val="22"/>
        <w:lang w:val="en-AU"/>
      </w:rPr>
      <w:t>6</w:t>
    </w:r>
    <w:r w:rsidR="00D200BC" w:rsidRPr="00BE1E88">
      <w:rPr>
        <w:szCs w:val="22"/>
        <w:lang w:val="en-A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ABEC" w14:textId="5DCCCD47" w:rsidR="00ED4416" w:rsidRPr="00BE1E88" w:rsidRDefault="0002560F" w:rsidP="00BE1E88">
    <w:pPr>
      <w:pStyle w:val="Encabezado"/>
      <w:snapToGrid/>
      <w:spacing w:after="240"/>
      <w:ind w:left="6095"/>
      <w:rPr>
        <w:szCs w:val="22"/>
        <w:lang w:val="en-AU"/>
      </w:rPr>
    </w:pPr>
    <w:r w:rsidRPr="00BE1E88">
      <w:rPr>
        <w:szCs w:val="22"/>
        <w:lang w:val="en-AU"/>
      </w:rPr>
      <w:t>ICG/</w:t>
    </w:r>
    <w:r w:rsidR="0098300C" w:rsidRPr="00BE1E88">
      <w:rPr>
        <w:szCs w:val="22"/>
        <w:lang w:val="en-AU"/>
      </w:rPr>
      <w:t>CARIBE EWS-XVI</w:t>
    </w:r>
    <w:r w:rsidR="00D53D36" w:rsidRPr="00BE1E88">
      <w:rPr>
        <w:szCs w:val="22"/>
        <w:lang w:val="en-AU"/>
      </w:rPr>
      <w:t>I</w:t>
    </w:r>
    <w:r w:rsidRPr="00BE1E88">
      <w:rPr>
        <w:szCs w:val="22"/>
        <w:lang w:val="en-AU"/>
      </w:rPr>
      <w:t>/3s</w:t>
    </w:r>
    <w:r w:rsidR="003B6D4C" w:rsidRPr="00BE1E88">
      <w:rPr>
        <w:szCs w:val="22"/>
        <w:lang w:val="en-AU"/>
      </w:rPr>
      <w:t xml:space="preserve"> </w:t>
    </w:r>
    <w:r w:rsidRPr="00BE1E88">
      <w:rPr>
        <w:szCs w:val="22"/>
        <w:lang w:val="en-AU"/>
      </w:rPr>
      <w:t>– p</w:t>
    </w:r>
    <w:r w:rsidR="00BE1E88" w:rsidRPr="00BE1E88">
      <w:rPr>
        <w:szCs w:val="22"/>
        <w:lang w:val="en-AU"/>
      </w:rPr>
      <w:t>ág.</w:t>
    </w:r>
    <w:r w:rsidRPr="00BE1E88">
      <w:rPr>
        <w:szCs w:val="22"/>
        <w:lang w:val="en-AU"/>
      </w:rPr>
      <w:t xml:space="preserve"> </w:t>
    </w:r>
    <w:r w:rsidRPr="00BE1E88">
      <w:rPr>
        <w:szCs w:val="22"/>
        <w:lang w:val="en-AU"/>
      </w:rPr>
      <w:fldChar w:fldCharType="begin"/>
    </w:r>
    <w:r w:rsidRPr="00BE1E88">
      <w:rPr>
        <w:szCs w:val="22"/>
        <w:lang w:val="en-AU"/>
      </w:rPr>
      <w:instrText>PAGE   \* MERGEFORMAT</w:instrText>
    </w:r>
    <w:r w:rsidRPr="00BE1E88">
      <w:rPr>
        <w:szCs w:val="22"/>
        <w:lang w:val="en-AU"/>
      </w:rPr>
      <w:fldChar w:fldCharType="separate"/>
    </w:r>
    <w:r w:rsidR="001024FE" w:rsidRPr="00BE1E88">
      <w:rPr>
        <w:noProof/>
        <w:szCs w:val="22"/>
        <w:lang w:val="en-AU"/>
      </w:rPr>
      <w:t>5</w:t>
    </w:r>
    <w:r w:rsidRPr="00BE1E88">
      <w:rPr>
        <w:szCs w:val="22"/>
        <w:lang w:val="en-A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2FE7" w14:textId="54C4233B" w:rsidR="0002560F" w:rsidRPr="002E50B1" w:rsidRDefault="00292939" w:rsidP="002E50B1">
    <w:pPr>
      <w:ind w:left="5529" w:right="96"/>
      <w:rPr>
        <w:rFonts w:asciiTheme="minorBidi" w:eastAsia="Arial" w:hAnsiTheme="minorBidi" w:cstheme="minorBidi"/>
        <w:b/>
        <w:bCs/>
        <w:sz w:val="32"/>
        <w:szCs w:val="32"/>
        <w:lang w:val="es-ES"/>
      </w:rPr>
    </w:pPr>
    <w:r w:rsidRPr="002E50B1">
      <w:rPr>
        <w:rFonts w:asciiTheme="minorBidi" w:hAnsiTheme="minorBidi" w:cstheme="minorBidi"/>
        <w:b/>
        <w:bCs/>
        <w:noProof/>
        <w:sz w:val="32"/>
        <w:szCs w:val="32"/>
        <w:lang w:val="es-ES" w:eastAsia="fr-FR"/>
      </w:rPr>
      <w:drawing>
        <wp:anchor distT="0" distB="0" distL="114300" distR="114300" simplePos="0" relativeHeight="251659264" behindDoc="0" locked="0" layoutInCell="1" allowOverlap="1" wp14:anchorId="14F6AA34" wp14:editId="5C81D43D">
          <wp:simplePos x="0" y="0"/>
          <wp:positionH relativeFrom="column">
            <wp:posOffset>0</wp:posOffset>
          </wp:positionH>
          <wp:positionV relativeFrom="paragraph">
            <wp:posOffset>-5605</wp:posOffset>
          </wp:positionV>
          <wp:extent cx="1578610" cy="1047115"/>
          <wp:effectExtent l="0" t="0" r="0" b="0"/>
          <wp:wrapSquare wrapText="bothSides"/>
          <wp:docPr id="6"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0B1">
      <w:rPr>
        <w:rFonts w:asciiTheme="minorBidi" w:hAnsiTheme="minorBidi" w:cstheme="minorBidi"/>
        <w:b/>
        <w:bCs/>
        <w:sz w:val="32"/>
        <w:szCs w:val="32"/>
        <w:lang w:val="es-ES"/>
      </w:rPr>
      <w:t>ICG/CARIBE</w:t>
    </w:r>
    <w:r w:rsidR="006046B1" w:rsidRPr="002E50B1">
      <w:rPr>
        <w:rFonts w:asciiTheme="minorBidi" w:hAnsiTheme="minorBidi" w:cstheme="minorBidi"/>
        <w:b/>
        <w:bCs/>
        <w:sz w:val="32"/>
        <w:szCs w:val="32"/>
        <w:lang w:val="es-ES"/>
      </w:rPr>
      <w:t>-</w:t>
    </w:r>
    <w:r w:rsidRPr="002E50B1">
      <w:rPr>
        <w:rFonts w:asciiTheme="minorBidi" w:hAnsiTheme="minorBidi" w:cstheme="minorBidi"/>
        <w:b/>
        <w:bCs/>
        <w:sz w:val="32"/>
        <w:szCs w:val="32"/>
        <w:lang w:val="es-ES"/>
      </w:rPr>
      <w:t>EWS-XVII/3s</w:t>
    </w:r>
  </w:p>
  <w:p w14:paraId="47AEA249" w14:textId="5FB9EB00" w:rsidR="0002560F" w:rsidRPr="002E50B1" w:rsidRDefault="00265795" w:rsidP="002E50B1">
    <w:pPr>
      <w:tabs>
        <w:tab w:val="left" w:pos="613"/>
        <w:tab w:val="right" w:pos="6247"/>
      </w:tabs>
      <w:ind w:left="5529" w:right="96"/>
      <w:rPr>
        <w:rFonts w:asciiTheme="minorBidi" w:eastAsia="Arial" w:hAnsiTheme="minorBidi" w:cstheme="minorBidi"/>
        <w:lang w:val="es-ES"/>
      </w:rPr>
    </w:pPr>
    <w:r w:rsidRPr="002E50B1">
      <w:rPr>
        <w:rFonts w:asciiTheme="minorBidi" w:hAnsiTheme="minorBidi" w:cstheme="minorBidi"/>
        <w:lang w:val="es-ES"/>
      </w:rPr>
      <w:t>27 de mayo de 2024</w:t>
    </w:r>
  </w:p>
  <w:p w14:paraId="11949D9E" w14:textId="77777777" w:rsidR="0002560F" w:rsidRPr="002E50B1" w:rsidRDefault="0002560F" w:rsidP="002E50B1">
    <w:pPr>
      <w:tabs>
        <w:tab w:val="left" w:pos="613"/>
        <w:tab w:val="right" w:pos="6247"/>
      </w:tabs>
      <w:ind w:left="5529" w:right="96"/>
      <w:rPr>
        <w:rFonts w:asciiTheme="minorBidi" w:eastAsia="Arial" w:hAnsiTheme="minorBidi" w:cstheme="minorBidi"/>
      </w:rPr>
    </w:pPr>
    <w:r w:rsidRPr="002E50B1">
      <w:rPr>
        <w:rFonts w:asciiTheme="minorBidi" w:hAnsiTheme="minorBidi" w:cstheme="minorBidi"/>
        <w:lang w:val="es-ES"/>
      </w:rPr>
      <w:t>Original: inglés</w:t>
    </w:r>
  </w:p>
  <w:p w14:paraId="0D6F7ABD" w14:textId="77777777" w:rsidR="0002560F" w:rsidRPr="00B14399" w:rsidRDefault="0002560F" w:rsidP="0002560F">
    <w:pPr>
      <w:spacing w:before="100" w:beforeAutospacing="1"/>
      <w:ind w:left="5670" w:right="296" w:hanging="56"/>
      <w:jc w:val="right"/>
      <w:rPr>
        <w:rFonts w:ascii="Arial" w:eastAsia="Arial" w:hAnsi="Arial" w:cs="Arial"/>
      </w:rPr>
    </w:pPr>
  </w:p>
  <w:p w14:paraId="4DC3CA99" w14:textId="77777777" w:rsidR="0002560F" w:rsidRPr="00292939" w:rsidRDefault="0002560F">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303"/>
    <w:multiLevelType w:val="hybridMultilevel"/>
    <w:tmpl w:val="E3BC53A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76259"/>
    <w:multiLevelType w:val="hybridMultilevel"/>
    <w:tmpl w:val="EF5E68C4"/>
    <w:lvl w:ilvl="0" w:tplc="0409000F">
      <w:start w:val="1"/>
      <w:numFmt w:val="decimal"/>
      <w:lvlText w:val="%1."/>
      <w:lvlJc w:val="left"/>
      <w:pPr>
        <w:tabs>
          <w:tab w:val="num" w:pos="360"/>
        </w:tabs>
        <w:ind w:left="360" w:hanging="360"/>
      </w:pPr>
      <w:rPr>
        <w:rFonts w:hint="default"/>
      </w:rPr>
    </w:lvl>
    <w:lvl w:ilvl="1" w:tplc="E7985A96">
      <w:start w:val="1"/>
      <w:numFmt w:val="lowerLetter"/>
      <w:lvlText w:val="%2."/>
      <w:lvlJc w:val="left"/>
      <w:pPr>
        <w:tabs>
          <w:tab w:val="num" w:pos="1080"/>
        </w:tabs>
        <w:ind w:left="1080" w:hanging="360"/>
      </w:pPr>
      <w:rPr>
        <w:b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07CC5061"/>
    <w:multiLevelType w:val="hybridMultilevel"/>
    <w:tmpl w:val="8D66E700"/>
    <w:lvl w:ilvl="0" w:tplc="A34076D2">
      <w:start w:val="1"/>
      <w:numFmt w:val="bullet"/>
      <w:lvlText w:val=""/>
      <w:lvlJc w:val="left"/>
      <w:pPr>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223D1"/>
    <w:multiLevelType w:val="hybridMultilevel"/>
    <w:tmpl w:val="90D60C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D01BD"/>
    <w:multiLevelType w:val="hybridMultilevel"/>
    <w:tmpl w:val="C65ADF7A"/>
    <w:lvl w:ilvl="0" w:tplc="0178C176">
      <w:start w:val="1"/>
      <w:numFmt w:val="bullet"/>
      <w:lvlText w:val="•"/>
      <w:lvlJc w:val="left"/>
      <w:pPr>
        <w:tabs>
          <w:tab w:val="num" w:pos="720"/>
        </w:tabs>
        <w:ind w:left="720" w:hanging="360"/>
      </w:pPr>
      <w:rPr>
        <w:rFonts w:ascii="Arial" w:hAnsi="Arial" w:hint="default"/>
      </w:rPr>
    </w:lvl>
    <w:lvl w:ilvl="1" w:tplc="5ACA94D4">
      <w:start w:val="1"/>
      <w:numFmt w:val="bullet"/>
      <w:lvlText w:val="•"/>
      <w:lvlJc w:val="left"/>
      <w:pPr>
        <w:tabs>
          <w:tab w:val="num" w:pos="1440"/>
        </w:tabs>
        <w:ind w:left="1440" w:hanging="360"/>
      </w:pPr>
      <w:rPr>
        <w:rFonts w:ascii="Arial" w:hAnsi="Arial" w:hint="default"/>
      </w:rPr>
    </w:lvl>
    <w:lvl w:ilvl="2" w:tplc="27FEA434" w:tentative="1">
      <w:start w:val="1"/>
      <w:numFmt w:val="bullet"/>
      <w:lvlText w:val="•"/>
      <w:lvlJc w:val="left"/>
      <w:pPr>
        <w:tabs>
          <w:tab w:val="num" w:pos="2160"/>
        </w:tabs>
        <w:ind w:left="2160" w:hanging="360"/>
      </w:pPr>
      <w:rPr>
        <w:rFonts w:ascii="Arial" w:hAnsi="Arial" w:hint="default"/>
      </w:rPr>
    </w:lvl>
    <w:lvl w:ilvl="3" w:tplc="CB52C08C" w:tentative="1">
      <w:start w:val="1"/>
      <w:numFmt w:val="bullet"/>
      <w:lvlText w:val="•"/>
      <w:lvlJc w:val="left"/>
      <w:pPr>
        <w:tabs>
          <w:tab w:val="num" w:pos="2880"/>
        </w:tabs>
        <w:ind w:left="2880" w:hanging="360"/>
      </w:pPr>
      <w:rPr>
        <w:rFonts w:ascii="Arial" w:hAnsi="Arial" w:hint="default"/>
      </w:rPr>
    </w:lvl>
    <w:lvl w:ilvl="4" w:tplc="3410C1E4" w:tentative="1">
      <w:start w:val="1"/>
      <w:numFmt w:val="bullet"/>
      <w:lvlText w:val="•"/>
      <w:lvlJc w:val="left"/>
      <w:pPr>
        <w:tabs>
          <w:tab w:val="num" w:pos="3600"/>
        </w:tabs>
        <w:ind w:left="3600" w:hanging="360"/>
      </w:pPr>
      <w:rPr>
        <w:rFonts w:ascii="Arial" w:hAnsi="Arial" w:hint="default"/>
      </w:rPr>
    </w:lvl>
    <w:lvl w:ilvl="5" w:tplc="CEDAFB56" w:tentative="1">
      <w:start w:val="1"/>
      <w:numFmt w:val="bullet"/>
      <w:lvlText w:val="•"/>
      <w:lvlJc w:val="left"/>
      <w:pPr>
        <w:tabs>
          <w:tab w:val="num" w:pos="4320"/>
        </w:tabs>
        <w:ind w:left="4320" w:hanging="360"/>
      </w:pPr>
      <w:rPr>
        <w:rFonts w:ascii="Arial" w:hAnsi="Arial" w:hint="default"/>
      </w:rPr>
    </w:lvl>
    <w:lvl w:ilvl="6" w:tplc="B9521506" w:tentative="1">
      <w:start w:val="1"/>
      <w:numFmt w:val="bullet"/>
      <w:lvlText w:val="•"/>
      <w:lvlJc w:val="left"/>
      <w:pPr>
        <w:tabs>
          <w:tab w:val="num" w:pos="5040"/>
        </w:tabs>
        <w:ind w:left="5040" w:hanging="360"/>
      </w:pPr>
      <w:rPr>
        <w:rFonts w:ascii="Arial" w:hAnsi="Arial" w:hint="default"/>
      </w:rPr>
    </w:lvl>
    <w:lvl w:ilvl="7" w:tplc="FD204EC8" w:tentative="1">
      <w:start w:val="1"/>
      <w:numFmt w:val="bullet"/>
      <w:lvlText w:val="•"/>
      <w:lvlJc w:val="left"/>
      <w:pPr>
        <w:tabs>
          <w:tab w:val="num" w:pos="5760"/>
        </w:tabs>
        <w:ind w:left="5760" w:hanging="360"/>
      </w:pPr>
      <w:rPr>
        <w:rFonts w:ascii="Arial" w:hAnsi="Arial" w:hint="default"/>
      </w:rPr>
    </w:lvl>
    <w:lvl w:ilvl="8" w:tplc="B6E02B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DB284A"/>
    <w:multiLevelType w:val="hybridMultilevel"/>
    <w:tmpl w:val="78442958"/>
    <w:lvl w:ilvl="0" w:tplc="2708D2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65FB0"/>
    <w:multiLevelType w:val="hybridMultilevel"/>
    <w:tmpl w:val="D56C3986"/>
    <w:lvl w:ilvl="0" w:tplc="080282E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8B0859"/>
    <w:multiLevelType w:val="hybridMultilevel"/>
    <w:tmpl w:val="F7D08472"/>
    <w:lvl w:ilvl="0" w:tplc="A3C06B5A">
      <w:start w:val="1"/>
      <w:numFmt w:val="decimal"/>
      <w:lvlText w:val="%1."/>
      <w:lvlJc w:val="left"/>
      <w:pPr>
        <w:tabs>
          <w:tab w:val="num" w:pos="720"/>
        </w:tabs>
        <w:ind w:left="720" w:hanging="360"/>
      </w:pPr>
    </w:lvl>
    <w:lvl w:ilvl="1" w:tplc="D0D8919C" w:tentative="1">
      <w:start w:val="1"/>
      <w:numFmt w:val="decimal"/>
      <w:lvlText w:val="%2."/>
      <w:lvlJc w:val="left"/>
      <w:pPr>
        <w:tabs>
          <w:tab w:val="num" w:pos="1440"/>
        </w:tabs>
        <w:ind w:left="1440" w:hanging="360"/>
      </w:pPr>
    </w:lvl>
    <w:lvl w:ilvl="2" w:tplc="9A4857EA" w:tentative="1">
      <w:start w:val="1"/>
      <w:numFmt w:val="decimal"/>
      <w:lvlText w:val="%3."/>
      <w:lvlJc w:val="left"/>
      <w:pPr>
        <w:tabs>
          <w:tab w:val="num" w:pos="2160"/>
        </w:tabs>
        <w:ind w:left="2160" w:hanging="360"/>
      </w:pPr>
    </w:lvl>
    <w:lvl w:ilvl="3" w:tplc="259C3360" w:tentative="1">
      <w:start w:val="1"/>
      <w:numFmt w:val="decimal"/>
      <w:lvlText w:val="%4."/>
      <w:lvlJc w:val="left"/>
      <w:pPr>
        <w:tabs>
          <w:tab w:val="num" w:pos="2880"/>
        </w:tabs>
        <w:ind w:left="2880" w:hanging="360"/>
      </w:pPr>
    </w:lvl>
    <w:lvl w:ilvl="4" w:tplc="35A66850" w:tentative="1">
      <w:start w:val="1"/>
      <w:numFmt w:val="decimal"/>
      <w:lvlText w:val="%5."/>
      <w:lvlJc w:val="left"/>
      <w:pPr>
        <w:tabs>
          <w:tab w:val="num" w:pos="3600"/>
        </w:tabs>
        <w:ind w:left="3600" w:hanging="360"/>
      </w:pPr>
    </w:lvl>
    <w:lvl w:ilvl="5" w:tplc="608A098C" w:tentative="1">
      <w:start w:val="1"/>
      <w:numFmt w:val="decimal"/>
      <w:lvlText w:val="%6."/>
      <w:lvlJc w:val="left"/>
      <w:pPr>
        <w:tabs>
          <w:tab w:val="num" w:pos="4320"/>
        </w:tabs>
        <w:ind w:left="4320" w:hanging="360"/>
      </w:pPr>
    </w:lvl>
    <w:lvl w:ilvl="6" w:tplc="8C14815A" w:tentative="1">
      <w:start w:val="1"/>
      <w:numFmt w:val="decimal"/>
      <w:lvlText w:val="%7."/>
      <w:lvlJc w:val="left"/>
      <w:pPr>
        <w:tabs>
          <w:tab w:val="num" w:pos="5040"/>
        </w:tabs>
        <w:ind w:left="5040" w:hanging="360"/>
      </w:pPr>
    </w:lvl>
    <w:lvl w:ilvl="7" w:tplc="F39896DC" w:tentative="1">
      <w:start w:val="1"/>
      <w:numFmt w:val="decimal"/>
      <w:lvlText w:val="%8."/>
      <w:lvlJc w:val="left"/>
      <w:pPr>
        <w:tabs>
          <w:tab w:val="num" w:pos="5760"/>
        </w:tabs>
        <w:ind w:left="5760" w:hanging="360"/>
      </w:pPr>
    </w:lvl>
    <w:lvl w:ilvl="8" w:tplc="03A0641E" w:tentative="1">
      <w:start w:val="1"/>
      <w:numFmt w:val="decimal"/>
      <w:lvlText w:val="%9."/>
      <w:lvlJc w:val="left"/>
      <w:pPr>
        <w:tabs>
          <w:tab w:val="num" w:pos="6480"/>
        </w:tabs>
        <w:ind w:left="6480" w:hanging="360"/>
      </w:pPr>
    </w:lvl>
  </w:abstractNum>
  <w:abstractNum w:abstractNumId="8" w15:restartNumberingAfterBreak="0">
    <w:nsid w:val="10C04703"/>
    <w:multiLevelType w:val="hybridMultilevel"/>
    <w:tmpl w:val="EB16638E"/>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5D6049"/>
    <w:multiLevelType w:val="hybridMultilevel"/>
    <w:tmpl w:val="3E20B6E0"/>
    <w:lvl w:ilvl="0" w:tplc="1320F3D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A3099"/>
    <w:multiLevelType w:val="hybridMultilevel"/>
    <w:tmpl w:val="1E9C9DD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1" w15:restartNumberingAfterBreak="0">
    <w:nsid w:val="1F677BD5"/>
    <w:multiLevelType w:val="hybridMultilevel"/>
    <w:tmpl w:val="DFECEE5E"/>
    <w:lvl w:ilvl="0" w:tplc="2DC0975C">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3E13F2"/>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5514DBB"/>
    <w:multiLevelType w:val="hybridMultilevel"/>
    <w:tmpl w:val="38C2C72E"/>
    <w:lvl w:ilvl="0" w:tplc="5CC8D52A">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526AF6"/>
    <w:multiLevelType w:val="hybridMultilevel"/>
    <w:tmpl w:val="61D22A70"/>
    <w:lvl w:ilvl="0" w:tplc="921E0BCC">
      <w:start w:val="1"/>
      <w:numFmt w:val="decimal"/>
      <w:lvlText w:val="%1."/>
      <w:lvlJc w:val="left"/>
      <w:pPr>
        <w:tabs>
          <w:tab w:val="num" w:pos="720"/>
        </w:tabs>
        <w:ind w:left="720" w:hanging="360"/>
      </w:pPr>
    </w:lvl>
    <w:lvl w:ilvl="1" w:tplc="0C2E8C16" w:tentative="1">
      <w:start w:val="1"/>
      <w:numFmt w:val="decimal"/>
      <w:lvlText w:val="%2."/>
      <w:lvlJc w:val="left"/>
      <w:pPr>
        <w:tabs>
          <w:tab w:val="num" w:pos="1440"/>
        </w:tabs>
        <w:ind w:left="1440" w:hanging="360"/>
      </w:pPr>
    </w:lvl>
    <w:lvl w:ilvl="2" w:tplc="CB38E170" w:tentative="1">
      <w:start w:val="1"/>
      <w:numFmt w:val="decimal"/>
      <w:lvlText w:val="%3."/>
      <w:lvlJc w:val="left"/>
      <w:pPr>
        <w:tabs>
          <w:tab w:val="num" w:pos="2160"/>
        </w:tabs>
        <w:ind w:left="2160" w:hanging="360"/>
      </w:pPr>
    </w:lvl>
    <w:lvl w:ilvl="3" w:tplc="06AA198C" w:tentative="1">
      <w:start w:val="1"/>
      <w:numFmt w:val="decimal"/>
      <w:lvlText w:val="%4."/>
      <w:lvlJc w:val="left"/>
      <w:pPr>
        <w:tabs>
          <w:tab w:val="num" w:pos="2880"/>
        </w:tabs>
        <w:ind w:left="2880" w:hanging="360"/>
      </w:pPr>
    </w:lvl>
    <w:lvl w:ilvl="4" w:tplc="55C4A866" w:tentative="1">
      <w:start w:val="1"/>
      <w:numFmt w:val="decimal"/>
      <w:lvlText w:val="%5."/>
      <w:lvlJc w:val="left"/>
      <w:pPr>
        <w:tabs>
          <w:tab w:val="num" w:pos="3600"/>
        </w:tabs>
        <w:ind w:left="3600" w:hanging="360"/>
      </w:pPr>
    </w:lvl>
    <w:lvl w:ilvl="5" w:tplc="F44496E8" w:tentative="1">
      <w:start w:val="1"/>
      <w:numFmt w:val="decimal"/>
      <w:lvlText w:val="%6."/>
      <w:lvlJc w:val="left"/>
      <w:pPr>
        <w:tabs>
          <w:tab w:val="num" w:pos="4320"/>
        </w:tabs>
        <w:ind w:left="4320" w:hanging="360"/>
      </w:pPr>
    </w:lvl>
    <w:lvl w:ilvl="6" w:tplc="F2040E2A" w:tentative="1">
      <w:start w:val="1"/>
      <w:numFmt w:val="decimal"/>
      <w:lvlText w:val="%7."/>
      <w:lvlJc w:val="left"/>
      <w:pPr>
        <w:tabs>
          <w:tab w:val="num" w:pos="5040"/>
        </w:tabs>
        <w:ind w:left="5040" w:hanging="360"/>
      </w:pPr>
    </w:lvl>
    <w:lvl w:ilvl="7" w:tplc="CC2A1210" w:tentative="1">
      <w:start w:val="1"/>
      <w:numFmt w:val="decimal"/>
      <w:lvlText w:val="%8."/>
      <w:lvlJc w:val="left"/>
      <w:pPr>
        <w:tabs>
          <w:tab w:val="num" w:pos="5760"/>
        </w:tabs>
        <w:ind w:left="5760" w:hanging="360"/>
      </w:pPr>
    </w:lvl>
    <w:lvl w:ilvl="8" w:tplc="4B22D8D2" w:tentative="1">
      <w:start w:val="1"/>
      <w:numFmt w:val="decimal"/>
      <w:lvlText w:val="%9."/>
      <w:lvlJc w:val="left"/>
      <w:pPr>
        <w:tabs>
          <w:tab w:val="num" w:pos="6480"/>
        </w:tabs>
        <w:ind w:left="6480" w:hanging="360"/>
      </w:pPr>
    </w:lvl>
  </w:abstractNum>
  <w:abstractNum w:abstractNumId="15" w15:restartNumberingAfterBreak="0">
    <w:nsid w:val="29945E8A"/>
    <w:multiLevelType w:val="hybridMultilevel"/>
    <w:tmpl w:val="470CF724"/>
    <w:lvl w:ilvl="0" w:tplc="921E0BCC">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4C4F9E"/>
    <w:multiLevelType w:val="hybridMultilevel"/>
    <w:tmpl w:val="723861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172DB5"/>
    <w:multiLevelType w:val="hybridMultilevel"/>
    <w:tmpl w:val="5E648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DA533E"/>
    <w:multiLevelType w:val="hybridMultilevel"/>
    <w:tmpl w:val="902C87EE"/>
    <w:lvl w:ilvl="0" w:tplc="93604B2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4A6456"/>
    <w:multiLevelType w:val="hybridMultilevel"/>
    <w:tmpl w:val="276CE808"/>
    <w:lvl w:ilvl="0" w:tplc="38E88C8E">
      <w:start w:val="1"/>
      <w:numFmt w:val="decimal"/>
      <w:lvlText w:val="%1."/>
      <w:lvlJc w:val="left"/>
      <w:pPr>
        <w:tabs>
          <w:tab w:val="num" w:pos="720"/>
        </w:tabs>
        <w:ind w:left="720" w:hanging="360"/>
      </w:pPr>
    </w:lvl>
    <w:lvl w:ilvl="1" w:tplc="928CB39A" w:tentative="1">
      <w:start w:val="1"/>
      <w:numFmt w:val="decimal"/>
      <w:lvlText w:val="%2."/>
      <w:lvlJc w:val="left"/>
      <w:pPr>
        <w:tabs>
          <w:tab w:val="num" w:pos="1440"/>
        </w:tabs>
        <w:ind w:left="1440" w:hanging="360"/>
      </w:pPr>
    </w:lvl>
    <w:lvl w:ilvl="2" w:tplc="890C29EA" w:tentative="1">
      <w:start w:val="1"/>
      <w:numFmt w:val="decimal"/>
      <w:lvlText w:val="%3."/>
      <w:lvlJc w:val="left"/>
      <w:pPr>
        <w:tabs>
          <w:tab w:val="num" w:pos="2160"/>
        </w:tabs>
        <w:ind w:left="2160" w:hanging="360"/>
      </w:pPr>
    </w:lvl>
    <w:lvl w:ilvl="3" w:tplc="6C72BB1C" w:tentative="1">
      <w:start w:val="1"/>
      <w:numFmt w:val="decimal"/>
      <w:lvlText w:val="%4."/>
      <w:lvlJc w:val="left"/>
      <w:pPr>
        <w:tabs>
          <w:tab w:val="num" w:pos="2880"/>
        </w:tabs>
        <w:ind w:left="2880" w:hanging="360"/>
      </w:pPr>
    </w:lvl>
    <w:lvl w:ilvl="4" w:tplc="A46E783C" w:tentative="1">
      <w:start w:val="1"/>
      <w:numFmt w:val="decimal"/>
      <w:lvlText w:val="%5."/>
      <w:lvlJc w:val="left"/>
      <w:pPr>
        <w:tabs>
          <w:tab w:val="num" w:pos="3600"/>
        </w:tabs>
        <w:ind w:left="3600" w:hanging="360"/>
      </w:pPr>
    </w:lvl>
    <w:lvl w:ilvl="5" w:tplc="398E7060" w:tentative="1">
      <w:start w:val="1"/>
      <w:numFmt w:val="decimal"/>
      <w:lvlText w:val="%6."/>
      <w:lvlJc w:val="left"/>
      <w:pPr>
        <w:tabs>
          <w:tab w:val="num" w:pos="4320"/>
        </w:tabs>
        <w:ind w:left="4320" w:hanging="360"/>
      </w:pPr>
    </w:lvl>
    <w:lvl w:ilvl="6" w:tplc="84CE33BE" w:tentative="1">
      <w:start w:val="1"/>
      <w:numFmt w:val="decimal"/>
      <w:lvlText w:val="%7."/>
      <w:lvlJc w:val="left"/>
      <w:pPr>
        <w:tabs>
          <w:tab w:val="num" w:pos="5040"/>
        </w:tabs>
        <w:ind w:left="5040" w:hanging="360"/>
      </w:pPr>
    </w:lvl>
    <w:lvl w:ilvl="7" w:tplc="5130100C" w:tentative="1">
      <w:start w:val="1"/>
      <w:numFmt w:val="decimal"/>
      <w:lvlText w:val="%8."/>
      <w:lvlJc w:val="left"/>
      <w:pPr>
        <w:tabs>
          <w:tab w:val="num" w:pos="5760"/>
        </w:tabs>
        <w:ind w:left="5760" w:hanging="360"/>
      </w:pPr>
    </w:lvl>
    <w:lvl w:ilvl="8" w:tplc="FCC221AE" w:tentative="1">
      <w:start w:val="1"/>
      <w:numFmt w:val="decimal"/>
      <w:lvlText w:val="%9."/>
      <w:lvlJc w:val="left"/>
      <w:pPr>
        <w:tabs>
          <w:tab w:val="num" w:pos="6480"/>
        </w:tabs>
        <w:ind w:left="6480" w:hanging="360"/>
      </w:pPr>
    </w:lvl>
  </w:abstractNum>
  <w:abstractNum w:abstractNumId="20" w15:restartNumberingAfterBreak="0">
    <w:nsid w:val="31217E4E"/>
    <w:multiLevelType w:val="hybridMultilevel"/>
    <w:tmpl w:val="7CE86FEE"/>
    <w:lvl w:ilvl="0" w:tplc="A1526BE6">
      <w:start w:val="1"/>
      <w:numFmt w:val="decimal"/>
      <w:lvlText w:val="%1."/>
      <w:lvlJc w:val="left"/>
      <w:pPr>
        <w:tabs>
          <w:tab w:val="num" w:pos="1080"/>
        </w:tabs>
        <w:ind w:left="1080" w:hanging="360"/>
      </w:pPr>
    </w:lvl>
    <w:lvl w:ilvl="1" w:tplc="C4D81006" w:tentative="1">
      <w:start w:val="1"/>
      <w:numFmt w:val="decimal"/>
      <w:lvlText w:val="%2."/>
      <w:lvlJc w:val="left"/>
      <w:pPr>
        <w:tabs>
          <w:tab w:val="num" w:pos="1800"/>
        </w:tabs>
        <w:ind w:left="1800" w:hanging="360"/>
      </w:pPr>
    </w:lvl>
    <w:lvl w:ilvl="2" w:tplc="1456978A" w:tentative="1">
      <w:start w:val="1"/>
      <w:numFmt w:val="decimal"/>
      <w:lvlText w:val="%3."/>
      <w:lvlJc w:val="left"/>
      <w:pPr>
        <w:tabs>
          <w:tab w:val="num" w:pos="2520"/>
        </w:tabs>
        <w:ind w:left="2520" w:hanging="360"/>
      </w:pPr>
    </w:lvl>
    <w:lvl w:ilvl="3" w:tplc="F8D21CF2" w:tentative="1">
      <w:start w:val="1"/>
      <w:numFmt w:val="decimal"/>
      <w:lvlText w:val="%4."/>
      <w:lvlJc w:val="left"/>
      <w:pPr>
        <w:tabs>
          <w:tab w:val="num" w:pos="3240"/>
        </w:tabs>
        <w:ind w:left="3240" w:hanging="360"/>
      </w:pPr>
    </w:lvl>
    <w:lvl w:ilvl="4" w:tplc="DDF486DA" w:tentative="1">
      <w:start w:val="1"/>
      <w:numFmt w:val="decimal"/>
      <w:lvlText w:val="%5."/>
      <w:lvlJc w:val="left"/>
      <w:pPr>
        <w:tabs>
          <w:tab w:val="num" w:pos="3960"/>
        </w:tabs>
        <w:ind w:left="3960" w:hanging="360"/>
      </w:pPr>
    </w:lvl>
    <w:lvl w:ilvl="5" w:tplc="CD3292A2" w:tentative="1">
      <w:start w:val="1"/>
      <w:numFmt w:val="decimal"/>
      <w:lvlText w:val="%6."/>
      <w:lvlJc w:val="left"/>
      <w:pPr>
        <w:tabs>
          <w:tab w:val="num" w:pos="4680"/>
        </w:tabs>
        <w:ind w:left="4680" w:hanging="360"/>
      </w:pPr>
    </w:lvl>
    <w:lvl w:ilvl="6" w:tplc="C224913C" w:tentative="1">
      <w:start w:val="1"/>
      <w:numFmt w:val="decimal"/>
      <w:lvlText w:val="%7."/>
      <w:lvlJc w:val="left"/>
      <w:pPr>
        <w:tabs>
          <w:tab w:val="num" w:pos="5400"/>
        </w:tabs>
        <w:ind w:left="5400" w:hanging="360"/>
      </w:pPr>
    </w:lvl>
    <w:lvl w:ilvl="7" w:tplc="285E11A8" w:tentative="1">
      <w:start w:val="1"/>
      <w:numFmt w:val="decimal"/>
      <w:lvlText w:val="%8."/>
      <w:lvlJc w:val="left"/>
      <w:pPr>
        <w:tabs>
          <w:tab w:val="num" w:pos="6120"/>
        </w:tabs>
        <w:ind w:left="6120" w:hanging="360"/>
      </w:pPr>
    </w:lvl>
    <w:lvl w:ilvl="8" w:tplc="CF84A344" w:tentative="1">
      <w:start w:val="1"/>
      <w:numFmt w:val="decimal"/>
      <w:lvlText w:val="%9."/>
      <w:lvlJc w:val="left"/>
      <w:pPr>
        <w:tabs>
          <w:tab w:val="num" w:pos="6840"/>
        </w:tabs>
        <w:ind w:left="6840" w:hanging="360"/>
      </w:pPr>
    </w:lvl>
  </w:abstractNum>
  <w:abstractNum w:abstractNumId="21" w15:restartNumberingAfterBreak="0">
    <w:nsid w:val="318915C9"/>
    <w:multiLevelType w:val="hybridMultilevel"/>
    <w:tmpl w:val="5044A33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4E44216"/>
    <w:multiLevelType w:val="hybridMultilevel"/>
    <w:tmpl w:val="04CED530"/>
    <w:lvl w:ilvl="0" w:tplc="0D643634">
      <w:start w:val="1"/>
      <w:numFmt w:val="bullet"/>
      <w:lvlText w:val=""/>
      <w:lvlJc w:val="left"/>
      <w:pPr>
        <w:tabs>
          <w:tab w:val="num" w:pos="720"/>
        </w:tabs>
        <w:ind w:left="720" w:hanging="360"/>
      </w:pPr>
      <w:rPr>
        <w:rFonts w:ascii="Symbol" w:hAnsi="Symbol" w:hint="default"/>
      </w:rPr>
    </w:lvl>
    <w:lvl w:ilvl="1" w:tplc="CB04E492" w:tentative="1">
      <w:start w:val="1"/>
      <w:numFmt w:val="bullet"/>
      <w:lvlText w:val=""/>
      <w:lvlJc w:val="left"/>
      <w:pPr>
        <w:tabs>
          <w:tab w:val="num" w:pos="1440"/>
        </w:tabs>
        <w:ind w:left="1440" w:hanging="360"/>
      </w:pPr>
      <w:rPr>
        <w:rFonts w:ascii="Symbol" w:hAnsi="Symbol" w:hint="default"/>
      </w:rPr>
    </w:lvl>
    <w:lvl w:ilvl="2" w:tplc="5058B968" w:tentative="1">
      <w:start w:val="1"/>
      <w:numFmt w:val="bullet"/>
      <w:lvlText w:val=""/>
      <w:lvlJc w:val="left"/>
      <w:pPr>
        <w:tabs>
          <w:tab w:val="num" w:pos="2160"/>
        </w:tabs>
        <w:ind w:left="2160" w:hanging="360"/>
      </w:pPr>
      <w:rPr>
        <w:rFonts w:ascii="Symbol" w:hAnsi="Symbol" w:hint="default"/>
      </w:rPr>
    </w:lvl>
    <w:lvl w:ilvl="3" w:tplc="48348194" w:tentative="1">
      <w:start w:val="1"/>
      <w:numFmt w:val="bullet"/>
      <w:lvlText w:val=""/>
      <w:lvlJc w:val="left"/>
      <w:pPr>
        <w:tabs>
          <w:tab w:val="num" w:pos="2880"/>
        </w:tabs>
        <w:ind w:left="2880" w:hanging="360"/>
      </w:pPr>
      <w:rPr>
        <w:rFonts w:ascii="Symbol" w:hAnsi="Symbol" w:hint="default"/>
      </w:rPr>
    </w:lvl>
    <w:lvl w:ilvl="4" w:tplc="97D8B06A" w:tentative="1">
      <w:start w:val="1"/>
      <w:numFmt w:val="bullet"/>
      <w:lvlText w:val=""/>
      <w:lvlJc w:val="left"/>
      <w:pPr>
        <w:tabs>
          <w:tab w:val="num" w:pos="3600"/>
        </w:tabs>
        <w:ind w:left="3600" w:hanging="360"/>
      </w:pPr>
      <w:rPr>
        <w:rFonts w:ascii="Symbol" w:hAnsi="Symbol" w:hint="default"/>
      </w:rPr>
    </w:lvl>
    <w:lvl w:ilvl="5" w:tplc="7D76ABCA" w:tentative="1">
      <w:start w:val="1"/>
      <w:numFmt w:val="bullet"/>
      <w:lvlText w:val=""/>
      <w:lvlJc w:val="left"/>
      <w:pPr>
        <w:tabs>
          <w:tab w:val="num" w:pos="4320"/>
        </w:tabs>
        <w:ind w:left="4320" w:hanging="360"/>
      </w:pPr>
      <w:rPr>
        <w:rFonts w:ascii="Symbol" w:hAnsi="Symbol" w:hint="default"/>
      </w:rPr>
    </w:lvl>
    <w:lvl w:ilvl="6" w:tplc="071048DE" w:tentative="1">
      <w:start w:val="1"/>
      <w:numFmt w:val="bullet"/>
      <w:lvlText w:val=""/>
      <w:lvlJc w:val="left"/>
      <w:pPr>
        <w:tabs>
          <w:tab w:val="num" w:pos="5040"/>
        </w:tabs>
        <w:ind w:left="5040" w:hanging="360"/>
      </w:pPr>
      <w:rPr>
        <w:rFonts w:ascii="Symbol" w:hAnsi="Symbol" w:hint="default"/>
      </w:rPr>
    </w:lvl>
    <w:lvl w:ilvl="7" w:tplc="BCEAFA90" w:tentative="1">
      <w:start w:val="1"/>
      <w:numFmt w:val="bullet"/>
      <w:lvlText w:val=""/>
      <w:lvlJc w:val="left"/>
      <w:pPr>
        <w:tabs>
          <w:tab w:val="num" w:pos="5760"/>
        </w:tabs>
        <w:ind w:left="5760" w:hanging="360"/>
      </w:pPr>
      <w:rPr>
        <w:rFonts w:ascii="Symbol" w:hAnsi="Symbol" w:hint="default"/>
      </w:rPr>
    </w:lvl>
    <w:lvl w:ilvl="8" w:tplc="ED22D42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5251275"/>
    <w:multiLevelType w:val="hybridMultilevel"/>
    <w:tmpl w:val="78EA1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1634E9"/>
    <w:multiLevelType w:val="hybridMultilevel"/>
    <w:tmpl w:val="992C9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9928AC"/>
    <w:multiLevelType w:val="hybridMultilevel"/>
    <w:tmpl w:val="F31C1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D54203"/>
    <w:multiLevelType w:val="hybridMultilevel"/>
    <w:tmpl w:val="522E36F2"/>
    <w:lvl w:ilvl="0" w:tplc="485EBBD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EB27D04"/>
    <w:multiLevelType w:val="hybridMultilevel"/>
    <w:tmpl w:val="B7A4A0B4"/>
    <w:lvl w:ilvl="0" w:tplc="C41AD51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671904"/>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3FCD5C30"/>
    <w:multiLevelType w:val="hybridMultilevel"/>
    <w:tmpl w:val="74E27108"/>
    <w:lvl w:ilvl="0" w:tplc="ADC04F20">
      <w:start w:val="1"/>
      <w:numFmt w:val="bullet"/>
      <w:lvlText w:val=""/>
      <w:lvlJc w:val="left"/>
      <w:pPr>
        <w:ind w:left="720" w:hanging="360"/>
      </w:pPr>
      <w:rPr>
        <w:rFonts w:ascii="Symbol" w:hAnsi="Symbol" w:hint="default"/>
        <w:lang w:val="en-AU"/>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E109BB"/>
    <w:multiLevelType w:val="hybridMultilevel"/>
    <w:tmpl w:val="9530DB58"/>
    <w:lvl w:ilvl="0" w:tplc="50A8B494">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69E6002"/>
    <w:multiLevelType w:val="multilevel"/>
    <w:tmpl w:val="E5A2257A"/>
    <w:lvl w:ilvl="0">
      <w:start w:val="1"/>
      <w:numFmt w:val="decimal"/>
      <w:pStyle w:val="Ttulo1"/>
      <w:suff w:val="space"/>
      <w:lvlText w:val="%1. "/>
      <w:lvlJc w:val="left"/>
      <w:pPr>
        <w:ind w:left="480" w:hanging="480"/>
      </w:pPr>
      <w:rPr>
        <w:rFonts w:hint="default"/>
        <w:color w:val="auto"/>
      </w:rPr>
    </w:lvl>
    <w:lvl w:ilvl="1">
      <w:start w:val="1"/>
      <w:numFmt w:val="decimal"/>
      <w:pStyle w:val="Ttulo2"/>
      <w:suff w:val="space"/>
      <w:lvlText w:val="%1.%2"/>
      <w:lvlJc w:val="left"/>
      <w:pPr>
        <w:ind w:left="480" w:hanging="480"/>
      </w:pPr>
      <w:rPr>
        <w:rFonts w:hint="default"/>
        <w:color w:val="auto"/>
      </w:rPr>
    </w:lvl>
    <w:lvl w:ilvl="2">
      <w:start w:val="1"/>
      <w:numFmt w:val="decimal"/>
      <w:pStyle w:val="Ttulo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AF7E1D"/>
    <w:multiLevelType w:val="hybridMultilevel"/>
    <w:tmpl w:val="DE5A9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B967106"/>
    <w:multiLevelType w:val="hybridMultilevel"/>
    <w:tmpl w:val="A944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7C42D5"/>
    <w:multiLevelType w:val="hybridMultilevel"/>
    <w:tmpl w:val="2434393E"/>
    <w:lvl w:ilvl="0" w:tplc="803CE420">
      <w:start w:val="1"/>
      <w:numFmt w:val="bullet"/>
      <w:pStyle w:val="COI"/>
      <w:lvlText w:val="•"/>
      <w:lvlJc w:val="left"/>
      <w:pPr>
        <w:ind w:left="1140" w:hanging="360"/>
      </w:pPr>
      <w:rPr>
        <w:rFont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5" w15:restartNumberingAfterBreak="0">
    <w:nsid w:val="4F50644F"/>
    <w:multiLevelType w:val="hybridMultilevel"/>
    <w:tmpl w:val="F92E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F95947"/>
    <w:multiLevelType w:val="hybridMultilevel"/>
    <w:tmpl w:val="3DB25688"/>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E369B7"/>
    <w:multiLevelType w:val="hybridMultilevel"/>
    <w:tmpl w:val="E45430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3BA3B8B"/>
    <w:multiLevelType w:val="hybridMultilevel"/>
    <w:tmpl w:val="F1DAD58E"/>
    <w:lvl w:ilvl="0" w:tplc="4998D6EA">
      <w:start w:val="1"/>
      <w:numFmt w:val="decimal"/>
      <w:lvlText w:val="%1."/>
      <w:lvlJc w:val="left"/>
      <w:pPr>
        <w:tabs>
          <w:tab w:val="num" w:pos="360"/>
        </w:tabs>
        <w:ind w:left="360" w:hanging="360"/>
      </w:pPr>
    </w:lvl>
    <w:lvl w:ilvl="1" w:tplc="86C6BF7E">
      <w:start w:val="1"/>
      <w:numFmt w:val="decimal"/>
      <w:lvlText w:val="%2."/>
      <w:lvlJc w:val="left"/>
      <w:pPr>
        <w:tabs>
          <w:tab w:val="num" w:pos="1080"/>
        </w:tabs>
        <w:ind w:left="1080" w:hanging="360"/>
      </w:pPr>
    </w:lvl>
    <w:lvl w:ilvl="2" w:tplc="BA46A694" w:tentative="1">
      <w:start w:val="1"/>
      <w:numFmt w:val="decimal"/>
      <w:lvlText w:val="%3."/>
      <w:lvlJc w:val="left"/>
      <w:pPr>
        <w:tabs>
          <w:tab w:val="num" w:pos="1800"/>
        </w:tabs>
        <w:ind w:left="1800" w:hanging="360"/>
      </w:pPr>
    </w:lvl>
    <w:lvl w:ilvl="3" w:tplc="06764488" w:tentative="1">
      <w:start w:val="1"/>
      <w:numFmt w:val="decimal"/>
      <w:lvlText w:val="%4."/>
      <w:lvlJc w:val="left"/>
      <w:pPr>
        <w:tabs>
          <w:tab w:val="num" w:pos="2520"/>
        </w:tabs>
        <w:ind w:left="2520" w:hanging="360"/>
      </w:pPr>
    </w:lvl>
    <w:lvl w:ilvl="4" w:tplc="62301F54" w:tentative="1">
      <w:start w:val="1"/>
      <w:numFmt w:val="decimal"/>
      <w:lvlText w:val="%5."/>
      <w:lvlJc w:val="left"/>
      <w:pPr>
        <w:tabs>
          <w:tab w:val="num" w:pos="3240"/>
        </w:tabs>
        <w:ind w:left="3240" w:hanging="360"/>
      </w:pPr>
    </w:lvl>
    <w:lvl w:ilvl="5" w:tplc="637AB906" w:tentative="1">
      <w:start w:val="1"/>
      <w:numFmt w:val="decimal"/>
      <w:lvlText w:val="%6."/>
      <w:lvlJc w:val="left"/>
      <w:pPr>
        <w:tabs>
          <w:tab w:val="num" w:pos="3960"/>
        </w:tabs>
        <w:ind w:left="3960" w:hanging="360"/>
      </w:pPr>
    </w:lvl>
    <w:lvl w:ilvl="6" w:tplc="8B748202" w:tentative="1">
      <w:start w:val="1"/>
      <w:numFmt w:val="decimal"/>
      <w:lvlText w:val="%7."/>
      <w:lvlJc w:val="left"/>
      <w:pPr>
        <w:tabs>
          <w:tab w:val="num" w:pos="4680"/>
        </w:tabs>
        <w:ind w:left="4680" w:hanging="360"/>
      </w:pPr>
    </w:lvl>
    <w:lvl w:ilvl="7" w:tplc="F284744A" w:tentative="1">
      <w:start w:val="1"/>
      <w:numFmt w:val="decimal"/>
      <w:lvlText w:val="%8."/>
      <w:lvlJc w:val="left"/>
      <w:pPr>
        <w:tabs>
          <w:tab w:val="num" w:pos="5400"/>
        </w:tabs>
        <w:ind w:left="5400" w:hanging="360"/>
      </w:pPr>
    </w:lvl>
    <w:lvl w:ilvl="8" w:tplc="DDCA1E9E" w:tentative="1">
      <w:start w:val="1"/>
      <w:numFmt w:val="decimal"/>
      <w:lvlText w:val="%9."/>
      <w:lvlJc w:val="left"/>
      <w:pPr>
        <w:tabs>
          <w:tab w:val="num" w:pos="6120"/>
        </w:tabs>
        <w:ind w:left="6120" w:hanging="360"/>
      </w:pPr>
    </w:lvl>
  </w:abstractNum>
  <w:abstractNum w:abstractNumId="39" w15:restartNumberingAfterBreak="0">
    <w:nsid w:val="58F62EBD"/>
    <w:multiLevelType w:val="hybridMultilevel"/>
    <w:tmpl w:val="6AA0D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750AAD"/>
    <w:multiLevelType w:val="hybridMultilevel"/>
    <w:tmpl w:val="175ECCA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E7757EC"/>
    <w:multiLevelType w:val="hybridMultilevel"/>
    <w:tmpl w:val="9D5675D4"/>
    <w:lvl w:ilvl="0" w:tplc="5CC8D5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133DA"/>
    <w:multiLevelType w:val="hybridMultilevel"/>
    <w:tmpl w:val="F79E2AC6"/>
    <w:lvl w:ilvl="0" w:tplc="51884ED6">
      <w:start w:val="1"/>
      <w:numFmt w:val="bullet"/>
      <w:lvlText w:val=""/>
      <w:lvlJc w:val="left"/>
      <w:pPr>
        <w:tabs>
          <w:tab w:val="num" w:pos="720"/>
        </w:tabs>
        <w:ind w:left="720" w:hanging="360"/>
      </w:pPr>
      <w:rPr>
        <w:rFonts w:ascii="Wingdings" w:hAnsi="Wingdings" w:hint="default"/>
      </w:rPr>
    </w:lvl>
    <w:lvl w:ilvl="1" w:tplc="FD460D6E" w:tentative="1">
      <w:start w:val="1"/>
      <w:numFmt w:val="bullet"/>
      <w:lvlText w:val=""/>
      <w:lvlJc w:val="left"/>
      <w:pPr>
        <w:tabs>
          <w:tab w:val="num" w:pos="1440"/>
        </w:tabs>
        <w:ind w:left="1440" w:hanging="360"/>
      </w:pPr>
      <w:rPr>
        <w:rFonts w:ascii="Wingdings" w:hAnsi="Wingdings" w:hint="default"/>
      </w:rPr>
    </w:lvl>
    <w:lvl w:ilvl="2" w:tplc="8156268E" w:tentative="1">
      <w:start w:val="1"/>
      <w:numFmt w:val="bullet"/>
      <w:lvlText w:val=""/>
      <w:lvlJc w:val="left"/>
      <w:pPr>
        <w:tabs>
          <w:tab w:val="num" w:pos="2160"/>
        </w:tabs>
        <w:ind w:left="2160" w:hanging="360"/>
      </w:pPr>
      <w:rPr>
        <w:rFonts w:ascii="Wingdings" w:hAnsi="Wingdings" w:hint="default"/>
      </w:rPr>
    </w:lvl>
    <w:lvl w:ilvl="3" w:tplc="82962E8C" w:tentative="1">
      <w:start w:val="1"/>
      <w:numFmt w:val="bullet"/>
      <w:lvlText w:val=""/>
      <w:lvlJc w:val="left"/>
      <w:pPr>
        <w:tabs>
          <w:tab w:val="num" w:pos="2880"/>
        </w:tabs>
        <w:ind w:left="2880" w:hanging="360"/>
      </w:pPr>
      <w:rPr>
        <w:rFonts w:ascii="Wingdings" w:hAnsi="Wingdings" w:hint="default"/>
      </w:rPr>
    </w:lvl>
    <w:lvl w:ilvl="4" w:tplc="FB4A07DA" w:tentative="1">
      <w:start w:val="1"/>
      <w:numFmt w:val="bullet"/>
      <w:lvlText w:val=""/>
      <w:lvlJc w:val="left"/>
      <w:pPr>
        <w:tabs>
          <w:tab w:val="num" w:pos="3600"/>
        </w:tabs>
        <w:ind w:left="3600" w:hanging="360"/>
      </w:pPr>
      <w:rPr>
        <w:rFonts w:ascii="Wingdings" w:hAnsi="Wingdings" w:hint="default"/>
      </w:rPr>
    </w:lvl>
    <w:lvl w:ilvl="5" w:tplc="B3601E32" w:tentative="1">
      <w:start w:val="1"/>
      <w:numFmt w:val="bullet"/>
      <w:lvlText w:val=""/>
      <w:lvlJc w:val="left"/>
      <w:pPr>
        <w:tabs>
          <w:tab w:val="num" w:pos="4320"/>
        </w:tabs>
        <w:ind w:left="4320" w:hanging="360"/>
      </w:pPr>
      <w:rPr>
        <w:rFonts w:ascii="Wingdings" w:hAnsi="Wingdings" w:hint="default"/>
      </w:rPr>
    </w:lvl>
    <w:lvl w:ilvl="6" w:tplc="CD84BC72" w:tentative="1">
      <w:start w:val="1"/>
      <w:numFmt w:val="bullet"/>
      <w:lvlText w:val=""/>
      <w:lvlJc w:val="left"/>
      <w:pPr>
        <w:tabs>
          <w:tab w:val="num" w:pos="5040"/>
        </w:tabs>
        <w:ind w:left="5040" w:hanging="360"/>
      </w:pPr>
      <w:rPr>
        <w:rFonts w:ascii="Wingdings" w:hAnsi="Wingdings" w:hint="default"/>
      </w:rPr>
    </w:lvl>
    <w:lvl w:ilvl="7" w:tplc="F92236A2" w:tentative="1">
      <w:start w:val="1"/>
      <w:numFmt w:val="bullet"/>
      <w:lvlText w:val=""/>
      <w:lvlJc w:val="left"/>
      <w:pPr>
        <w:tabs>
          <w:tab w:val="num" w:pos="5760"/>
        </w:tabs>
        <w:ind w:left="5760" w:hanging="360"/>
      </w:pPr>
      <w:rPr>
        <w:rFonts w:ascii="Wingdings" w:hAnsi="Wingdings" w:hint="default"/>
      </w:rPr>
    </w:lvl>
    <w:lvl w:ilvl="8" w:tplc="77CC670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E53F71"/>
    <w:multiLevelType w:val="hybridMultilevel"/>
    <w:tmpl w:val="175ECCA4"/>
    <w:lvl w:ilvl="0" w:tplc="5CC8D5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44E51B1"/>
    <w:multiLevelType w:val="hybridMultilevel"/>
    <w:tmpl w:val="85929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4EB5DD6"/>
    <w:multiLevelType w:val="hybridMultilevel"/>
    <w:tmpl w:val="488EE332"/>
    <w:lvl w:ilvl="0" w:tplc="B2469C06">
      <w:start w:val="1"/>
      <w:numFmt w:val="lowerLetter"/>
      <w:lvlText w:val="%1."/>
      <w:lvlJc w:val="left"/>
      <w:pPr>
        <w:tabs>
          <w:tab w:val="num" w:pos="720"/>
        </w:tabs>
        <w:ind w:left="720" w:hanging="360"/>
      </w:pPr>
    </w:lvl>
    <w:lvl w:ilvl="1" w:tplc="0DE8CB2A" w:tentative="1">
      <w:start w:val="1"/>
      <w:numFmt w:val="lowerLetter"/>
      <w:lvlText w:val="%2."/>
      <w:lvlJc w:val="left"/>
      <w:pPr>
        <w:tabs>
          <w:tab w:val="num" w:pos="1440"/>
        </w:tabs>
        <w:ind w:left="1440" w:hanging="360"/>
      </w:pPr>
    </w:lvl>
    <w:lvl w:ilvl="2" w:tplc="973EA6B2" w:tentative="1">
      <w:start w:val="1"/>
      <w:numFmt w:val="lowerLetter"/>
      <w:lvlText w:val="%3."/>
      <w:lvlJc w:val="left"/>
      <w:pPr>
        <w:tabs>
          <w:tab w:val="num" w:pos="2160"/>
        </w:tabs>
        <w:ind w:left="2160" w:hanging="360"/>
      </w:pPr>
    </w:lvl>
    <w:lvl w:ilvl="3" w:tplc="7DE06D04" w:tentative="1">
      <w:start w:val="1"/>
      <w:numFmt w:val="lowerLetter"/>
      <w:lvlText w:val="%4."/>
      <w:lvlJc w:val="left"/>
      <w:pPr>
        <w:tabs>
          <w:tab w:val="num" w:pos="2880"/>
        </w:tabs>
        <w:ind w:left="2880" w:hanging="360"/>
      </w:pPr>
    </w:lvl>
    <w:lvl w:ilvl="4" w:tplc="CC72D13A" w:tentative="1">
      <w:start w:val="1"/>
      <w:numFmt w:val="lowerLetter"/>
      <w:lvlText w:val="%5."/>
      <w:lvlJc w:val="left"/>
      <w:pPr>
        <w:tabs>
          <w:tab w:val="num" w:pos="3600"/>
        </w:tabs>
        <w:ind w:left="3600" w:hanging="360"/>
      </w:pPr>
    </w:lvl>
    <w:lvl w:ilvl="5" w:tplc="23782CB2" w:tentative="1">
      <w:start w:val="1"/>
      <w:numFmt w:val="lowerLetter"/>
      <w:lvlText w:val="%6."/>
      <w:lvlJc w:val="left"/>
      <w:pPr>
        <w:tabs>
          <w:tab w:val="num" w:pos="4320"/>
        </w:tabs>
        <w:ind w:left="4320" w:hanging="360"/>
      </w:pPr>
    </w:lvl>
    <w:lvl w:ilvl="6" w:tplc="FA0C2F70" w:tentative="1">
      <w:start w:val="1"/>
      <w:numFmt w:val="lowerLetter"/>
      <w:lvlText w:val="%7."/>
      <w:lvlJc w:val="left"/>
      <w:pPr>
        <w:tabs>
          <w:tab w:val="num" w:pos="5040"/>
        </w:tabs>
        <w:ind w:left="5040" w:hanging="360"/>
      </w:pPr>
    </w:lvl>
    <w:lvl w:ilvl="7" w:tplc="262A976A" w:tentative="1">
      <w:start w:val="1"/>
      <w:numFmt w:val="lowerLetter"/>
      <w:lvlText w:val="%8."/>
      <w:lvlJc w:val="left"/>
      <w:pPr>
        <w:tabs>
          <w:tab w:val="num" w:pos="5760"/>
        </w:tabs>
        <w:ind w:left="5760" w:hanging="360"/>
      </w:pPr>
    </w:lvl>
    <w:lvl w:ilvl="8" w:tplc="47B2F9D2" w:tentative="1">
      <w:start w:val="1"/>
      <w:numFmt w:val="lowerLetter"/>
      <w:lvlText w:val="%9."/>
      <w:lvlJc w:val="left"/>
      <w:pPr>
        <w:tabs>
          <w:tab w:val="num" w:pos="6480"/>
        </w:tabs>
        <w:ind w:left="6480" w:hanging="360"/>
      </w:pPr>
    </w:lvl>
  </w:abstractNum>
  <w:abstractNum w:abstractNumId="46" w15:restartNumberingAfterBreak="0">
    <w:nsid w:val="65FA6348"/>
    <w:multiLevelType w:val="hybridMultilevel"/>
    <w:tmpl w:val="296C9FAE"/>
    <w:lvl w:ilvl="0" w:tplc="DA20B7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C01317"/>
    <w:multiLevelType w:val="hybridMultilevel"/>
    <w:tmpl w:val="FBE6547A"/>
    <w:lvl w:ilvl="0" w:tplc="8B68843A">
      <w:start w:val="5"/>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7D52DA3"/>
    <w:multiLevelType w:val="hybridMultilevel"/>
    <w:tmpl w:val="FD4E1E10"/>
    <w:lvl w:ilvl="0" w:tplc="1D7EE6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684468"/>
    <w:multiLevelType w:val="hybridMultilevel"/>
    <w:tmpl w:val="29D065B2"/>
    <w:lvl w:ilvl="0" w:tplc="87E26ABA">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CF54AA6"/>
    <w:multiLevelType w:val="hybridMultilevel"/>
    <w:tmpl w:val="FC40E91E"/>
    <w:lvl w:ilvl="0" w:tplc="CD607BA0">
      <w:start w:val="1"/>
      <w:numFmt w:val="upperRoman"/>
      <w:lvlText w:val="%1."/>
      <w:lvlJc w:val="left"/>
      <w:pPr>
        <w:ind w:hanging="452"/>
      </w:pPr>
      <w:rPr>
        <w:rFonts w:ascii="Arial" w:eastAsia="Arial" w:hAnsi="Arial" w:hint="default"/>
        <w:spacing w:val="1"/>
        <w:sz w:val="22"/>
        <w:szCs w:val="22"/>
      </w:rPr>
    </w:lvl>
    <w:lvl w:ilvl="1" w:tplc="17D21920">
      <w:start w:val="1"/>
      <w:numFmt w:val="bullet"/>
      <w:lvlText w:val="•"/>
      <w:lvlJc w:val="left"/>
      <w:rPr>
        <w:rFonts w:hint="default"/>
      </w:rPr>
    </w:lvl>
    <w:lvl w:ilvl="2" w:tplc="2BBC137A">
      <w:start w:val="1"/>
      <w:numFmt w:val="bullet"/>
      <w:lvlText w:val="•"/>
      <w:lvlJc w:val="left"/>
      <w:rPr>
        <w:rFonts w:hint="default"/>
      </w:rPr>
    </w:lvl>
    <w:lvl w:ilvl="3" w:tplc="A8E859F4">
      <w:start w:val="1"/>
      <w:numFmt w:val="bullet"/>
      <w:lvlText w:val="•"/>
      <w:lvlJc w:val="left"/>
      <w:rPr>
        <w:rFonts w:hint="default"/>
      </w:rPr>
    </w:lvl>
    <w:lvl w:ilvl="4" w:tplc="71B0DC6A">
      <w:start w:val="1"/>
      <w:numFmt w:val="bullet"/>
      <w:lvlText w:val="•"/>
      <w:lvlJc w:val="left"/>
      <w:rPr>
        <w:rFonts w:hint="default"/>
      </w:rPr>
    </w:lvl>
    <w:lvl w:ilvl="5" w:tplc="5310F3E2">
      <w:start w:val="1"/>
      <w:numFmt w:val="bullet"/>
      <w:lvlText w:val="•"/>
      <w:lvlJc w:val="left"/>
      <w:rPr>
        <w:rFonts w:hint="default"/>
      </w:rPr>
    </w:lvl>
    <w:lvl w:ilvl="6" w:tplc="B6A2E900">
      <w:start w:val="1"/>
      <w:numFmt w:val="bullet"/>
      <w:lvlText w:val="•"/>
      <w:lvlJc w:val="left"/>
      <w:rPr>
        <w:rFonts w:hint="default"/>
      </w:rPr>
    </w:lvl>
    <w:lvl w:ilvl="7" w:tplc="340E534C">
      <w:start w:val="1"/>
      <w:numFmt w:val="bullet"/>
      <w:lvlText w:val="•"/>
      <w:lvlJc w:val="left"/>
      <w:rPr>
        <w:rFonts w:hint="default"/>
      </w:rPr>
    </w:lvl>
    <w:lvl w:ilvl="8" w:tplc="00A63002">
      <w:start w:val="1"/>
      <w:numFmt w:val="bullet"/>
      <w:lvlText w:val="•"/>
      <w:lvlJc w:val="left"/>
      <w:rPr>
        <w:rFonts w:hint="default"/>
      </w:rPr>
    </w:lvl>
  </w:abstractNum>
  <w:abstractNum w:abstractNumId="51" w15:restartNumberingAfterBreak="0">
    <w:nsid w:val="6EA204C4"/>
    <w:multiLevelType w:val="hybridMultilevel"/>
    <w:tmpl w:val="0E38BEEA"/>
    <w:lvl w:ilvl="0" w:tplc="347CD110">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0610762"/>
    <w:multiLevelType w:val="hybridMultilevel"/>
    <w:tmpl w:val="D8527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12D14CF"/>
    <w:multiLevelType w:val="hybridMultilevel"/>
    <w:tmpl w:val="D652B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D13D59"/>
    <w:multiLevelType w:val="hybridMultilevel"/>
    <w:tmpl w:val="17661F20"/>
    <w:lvl w:ilvl="0" w:tplc="BB0E9680">
      <w:start w:val="1"/>
      <w:numFmt w:val="lowerRoman"/>
      <w:lvlText w:val="%1)"/>
      <w:lvlJc w:val="left"/>
      <w:pPr>
        <w:ind w:left="720"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5" w15:restartNumberingAfterBreak="0">
    <w:nsid w:val="74D8583B"/>
    <w:multiLevelType w:val="hybridMultilevel"/>
    <w:tmpl w:val="3C5E3AF2"/>
    <w:lvl w:ilvl="0" w:tplc="A1D2A64A">
      <w:start w:val="1"/>
      <w:numFmt w:val="bullet"/>
      <w:lvlText w:val="•"/>
      <w:lvlJc w:val="left"/>
      <w:pPr>
        <w:tabs>
          <w:tab w:val="num" w:pos="720"/>
        </w:tabs>
        <w:ind w:left="720" w:hanging="360"/>
      </w:pPr>
      <w:rPr>
        <w:rFonts w:ascii="Arial" w:hAnsi="Arial" w:hint="default"/>
      </w:rPr>
    </w:lvl>
    <w:lvl w:ilvl="1" w:tplc="02302424" w:tentative="1">
      <w:start w:val="1"/>
      <w:numFmt w:val="bullet"/>
      <w:lvlText w:val="•"/>
      <w:lvlJc w:val="left"/>
      <w:pPr>
        <w:tabs>
          <w:tab w:val="num" w:pos="1440"/>
        </w:tabs>
        <w:ind w:left="1440" w:hanging="360"/>
      </w:pPr>
      <w:rPr>
        <w:rFonts w:ascii="Arial" w:hAnsi="Arial" w:hint="default"/>
      </w:rPr>
    </w:lvl>
    <w:lvl w:ilvl="2" w:tplc="E182FC2E" w:tentative="1">
      <w:start w:val="1"/>
      <w:numFmt w:val="bullet"/>
      <w:lvlText w:val="•"/>
      <w:lvlJc w:val="left"/>
      <w:pPr>
        <w:tabs>
          <w:tab w:val="num" w:pos="2160"/>
        </w:tabs>
        <w:ind w:left="2160" w:hanging="360"/>
      </w:pPr>
      <w:rPr>
        <w:rFonts w:ascii="Arial" w:hAnsi="Arial" w:hint="default"/>
      </w:rPr>
    </w:lvl>
    <w:lvl w:ilvl="3" w:tplc="351CDF28" w:tentative="1">
      <w:start w:val="1"/>
      <w:numFmt w:val="bullet"/>
      <w:lvlText w:val="•"/>
      <w:lvlJc w:val="left"/>
      <w:pPr>
        <w:tabs>
          <w:tab w:val="num" w:pos="2880"/>
        </w:tabs>
        <w:ind w:left="2880" w:hanging="360"/>
      </w:pPr>
      <w:rPr>
        <w:rFonts w:ascii="Arial" w:hAnsi="Arial" w:hint="default"/>
      </w:rPr>
    </w:lvl>
    <w:lvl w:ilvl="4" w:tplc="B41415EC" w:tentative="1">
      <w:start w:val="1"/>
      <w:numFmt w:val="bullet"/>
      <w:lvlText w:val="•"/>
      <w:lvlJc w:val="left"/>
      <w:pPr>
        <w:tabs>
          <w:tab w:val="num" w:pos="3600"/>
        </w:tabs>
        <w:ind w:left="3600" w:hanging="360"/>
      </w:pPr>
      <w:rPr>
        <w:rFonts w:ascii="Arial" w:hAnsi="Arial" w:hint="default"/>
      </w:rPr>
    </w:lvl>
    <w:lvl w:ilvl="5" w:tplc="85EE6ABC" w:tentative="1">
      <w:start w:val="1"/>
      <w:numFmt w:val="bullet"/>
      <w:lvlText w:val="•"/>
      <w:lvlJc w:val="left"/>
      <w:pPr>
        <w:tabs>
          <w:tab w:val="num" w:pos="4320"/>
        </w:tabs>
        <w:ind w:left="4320" w:hanging="360"/>
      </w:pPr>
      <w:rPr>
        <w:rFonts w:ascii="Arial" w:hAnsi="Arial" w:hint="default"/>
      </w:rPr>
    </w:lvl>
    <w:lvl w:ilvl="6" w:tplc="13FC2A30" w:tentative="1">
      <w:start w:val="1"/>
      <w:numFmt w:val="bullet"/>
      <w:lvlText w:val="•"/>
      <w:lvlJc w:val="left"/>
      <w:pPr>
        <w:tabs>
          <w:tab w:val="num" w:pos="5040"/>
        </w:tabs>
        <w:ind w:left="5040" w:hanging="360"/>
      </w:pPr>
      <w:rPr>
        <w:rFonts w:ascii="Arial" w:hAnsi="Arial" w:hint="default"/>
      </w:rPr>
    </w:lvl>
    <w:lvl w:ilvl="7" w:tplc="E69A46EC" w:tentative="1">
      <w:start w:val="1"/>
      <w:numFmt w:val="bullet"/>
      <w:lvlText w:val="•"/>
      <w:lvlJc w:val="left"/>
      <w:pPr>
        <w:tabs>
          <w:tab w:val="num" w:pos="5760"/>
        </w:tabs>
        <w:ind w:left="5760" w:hanging="360"/>
      </w:pPr>
      <w:rPr>
        <w:rFonts w:ascii="Arial" w:hAnsi="Arial" w:hint="default"/>
      </w:rPr>
    </w:lvl>
    <w:lvl w:ilvl="8" w:tplc="1DC8D72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C8E37CF"/>
    <w:multiLevelType w:val="hybridMultilevel"/>
    <w:tmpl w:val="98C401C0"/>
    <w:lvl w:ilvl="0" w:tplc="74C62CA2">
      <w:start w:val="1"/>
      <w:numFmt w:val="decimal"/>
      <w:lvlText w:val="%1."/>
      <w:lvlJc w:val="left"/>
      <w:pPr>
        <w:tabs>
          <w:tab w:val="num" w:pos="720"/>
        </w:tabs>
        <w:ind w:left="720" w:hanging="360"/>
      </w:pPr>
    </w:lvl>
    <w:lvl w:ilvl="1" w:tplc="8EFCD43C" w:tentative="1">
      <w:start w:val="1"/>
      <w:numFmt w:val="decimal"/>
      <w:lvlText w:val="%2."/>
      <w:lvlJc w:val="left"/>
      <w:pPr>
        <w:tabs>
          <w:tab w:val="num" w:pos="1440"/>
        </w:tabs>
        <w:ind w:left="1440" w:hanging="360"/>
      </w:pPr>
    </w:lvl>
    <w:lvl w:ilvl="2" w:tplc="B590ED12" w:tentative="1">
      <w:start w:val="1"/>
      <w:numFmt w:val="decimal"/>
      <w:lvlText w:val="%3."/>
      <w:lvlJc w:val="left"/>
      <w:pPr>
        <w:tabs>
          <w:tab w:val="num" w:pos="2160"/>
        </w:tabs>
        <w:ind w:left="2160" w:hanging="360"/>
      </w:pPr>
    </w:lvl>
    <w:lvl w:ilvl="3" w:tplc="6D863012" w:tentative="1">
      <w:start w:val="1"/>
      <w:numFmt w:val="decimal"/>
      <w:lvlText w:val="%4."/>
      <w:lvlJc w:val="left"/>
      <w:pPr>
        <w:tabs>
          <w:tab w:val="num" w:pos="2880"/>
        </w:tabs>
        <w:ind w:left="2880" w:hanging="360"/>
      </w:pPr>
    </w:lvl>
    <w:lvl w:ilvl="4" w:tplc="A588D832" w:tentative="1">
      <w:start w:val="1"/>
      <w:numFmt w:val="decimal"/>
      <w:lvlText w:val="%5."/>
      <w:lvlJc w:val="left"/>
      <w:pPr>
        <w:tabs>
          <w:tab w:val="num" w:pos="3600"/>
        </w:tabs>
        <w:ind w:left="3600" w:hanging="360"/>
      </w:pPr>
    </w:lvl>
    <w:lvl w:ilvl="5" w:tplc="AEA0A1EA" w:tentative="1">
      <w:start w:val="1"/>
      <w:numFmt w:val="decimal"/>
      <w:lvlText w:val="%6."/>
      <w:lvlJc w:val="left"/>
      <w:pPr>
        <w:tabs>
          <w:tab w:val="num" w:pos="4320"/>
        </w:tabs>
        <w:ind w:left="4320" w:hanging="360"/>
      </w:pPr>
    </w:lvl>
    <w:lvl w:ilvl="6" w:tplc="1F30F428" w:tentative="1">
      <w:start w:val="1"/>
      <w:numFmt w:val="decimal"/>
      <w:lvlText w:val="%7."/>
      <w:lvlJc w:val="left"/>
      <w:pPr>
        <w:tabs>
          <w:tab w:val="num" w:pos="5040"/>
        </w:tabs>
        <w:ind w:left="5040" w:hanging="360"/>
      </w:pPr>
    </w:lvl>
    <w:lvl w:ilvl="7" w:tplc="6C9051B0" w:tentative="1">
      <w:start w:val="1"/>
      <w:numFmt w:val="decimal"/>
      <w:lvlText w:val="%8."/>
      <w:lvlJc w:val="left"/>
      <w:pPr>
        <w:tabs>
          <w:tab w:val="num" w:pos="5760"/>
        </w:tabs>
        <w:ind w:left="5760" w:hanging="360"/>
      </w:pPr>
    </w:lvl>
    <w:lvl w:ilvl="8" w:tplc="2F02EEB8" w:tentative="1">
      <w:start w:val="1"/>
      <w:numFmt w:val="decimal"/>
      <w:lvlText w:val="%9."/>
      <w:lvlJc w:val="left"/>
      <w:pPr>
        <w:tabs>
          <w:tab w:val="num" w:pos="6480"/>
        </w:tabs>
        <w:ind w:left="6480" w:hanging="360"/>
      </w:pPr>
    </w:lvl>
  </w:abstractNum>
  <w:abstractNum w:abstractNumId="57" w15:restartNumberingAfterBreak="0">
    <w:nsid w:val="7F3B47E0"/>
    <w:multiLevelType w:val="hybridMultilevel"/>
    <w:tmpl w:val="4E684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8807532">
    <w:abstractNumId w:val="31"/>
  </w:num>
  <w:num w:numId="2" w16cid:durableId="1397162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67591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0242870">
    <w:abstractNumId w:val="24"/>
  </w:num>
  <w:num w:numId="5" w16cid:durableId="1608468853">
    <w:abstractNumId w:val="3"/>
  </w:num>
  <w:num w:numId="6" w16cid:durableId="1137181202">
    <w:abstractNumId w:val="37"/>
  </w:num>
  <w:num w:numId="7" w16cid:durableId="462578735">
    <w:abstractNumId w:val="32"/>
  </w:num>
  <w:num w:numId="8" w16cid:durableId="1002781713">
    <w:abstractNumId w:val="52"/>
  </w:num>
  <w:num w:numId="9" w16cid:durableId="858399327">
    <w:abstractNumId w:val="1"/>
  </w:num>
  <w:num w:numId="10" w16cid:durableId="1411928939">
    <w:abstractNumId w:val="44"/>
  </w:num>
  <w:num w:numId="11" w16cid:durableId="1725717535">
    <w:abstractNumId w:val="29"/>
  </w:num>
  <w:num w:numId="12" w16cid:durableId="1073089901">
    <w:abstractNumId w:val="57"/>
  </w:num>
  <w:num w:numId="13" w16cid:durableId="711349727">
    <w:abstractNumId w:val="6"/>
  </w:num>
  <w:num w:numId="14" w16cid:durableId="700202140">
    <w:abstractNumId w:val="30"/>
  </w:num>
  <w:num w:numId="15" w16cid:durableId="802698339">
    <w:abstractNumId w:val="2"/>
  </w:num>
  <w:num w:numId="16" w16cid:durableId="254870501">
    <w:abstractNumId w:val="14"/>
  </w:num>
  <w:num w:numId="17" w16cid:durableId="915556303">
    <w:abstractNumId w:val="56"/>
  </w:num>
  <w:num w:numId="18" w16cid:durableId="1659262753">
    <w:abstractNumId w:val="22"/>
  </w:num>
  <w:num w:numId="19" w16cid:durableId="1710111530">
    <w:abstractNumId w:val="13"/>
  </w:num>
  <w:num w:numId="20" w16cid:durableId="1357463073">
    <w:abstractNumId w:val="45"/>
  </w:num>
  <w:num w:numId="21" w16cid:durableId="1511289879">
    <w:abstractNumId w:val="15"/>
  </w:num>
  <w:num w:numId="22" w16cid:durableId="120266508">
    <w:abstractNumId w:val="20"/>
  </w:num>
  <w:num w:numId="23" w16cid:durableId="1778601498">
    <w:abstractNumId w:val="43"/>
  </w:num>
  <w:num w:numId="24" w16cid:durableId="1514302880">
    <w:abstractNumId w:val="41"/>
  </w:num>
  <w:num w:numId="25" w16cid:durableId="246890306">
    <w:abstractNumId w:val="19"/>
  </w:num>
  <w:num w:numId="26" w16cid:durableId="1961522804">
    <w:abstractNumId w:val="39"/>
  </w:num>
  <w:num w:numId="27" w16cid:durableId="1316765813">
    <w:abstractNumId w:val="35"/>
  </w:num>
  <w:num w:numId="28" w16cid:durableId="791289715">
    <w:abstractNumId w:val="7"/>
  </w:num>
  <w:num w:numId="29" w16cid:durableId="81492384">
    <w:abstractNumId w:val="47"/>
  </w:num>
  <w:num w:numId="30" w16cid:durableId="143663131">
    <w:abstractNumId w:val="25"/>
  </w:num>
  <w:num w:numId="31" w16cid:durableId="120079795">
    <w:abstractNumId w:val="10"/>
  </w:num>
  <w:num w:numId="32" w16cid:durableId="302853523">
    <w:abstractNumId w:val="33"/>
  </w:num>
  <w:num w:numId="33" w16cid:durableId="473647888">
    <w:abstractNumId w:val="23"/>
  </w:num>
  <w:num w:numId="34" w16cid:durableId="1703555619">
    <w:abstractNumId w:val="53"/>
  </w:num>
  <w:num w:numId="35" w16cid:durableId="1678536641">
    <w:abstractNumId w:val="38"/>
  </w:num>
  <w:num w:numId="36" w16cid:durableId="1553885052">
    <w:abstractNumId w:val="55"/>
  </w:num>
  <w:num w:numId="37" w16cid:durableId="822351185">
    <w:abstractNumId w:val="9"/>
  </w:num>
  <w:num w:numId="38" w16cid:durableId="1155410344">
    <w:abstractNumId w:val="42"/>
  </w:num>
  <w:num w:numId="39" w16cid:durableId="834028902">
    <w:abstractNumId w:val="40"/>
  </w:num>
  <w:num w:numId="40" w16cid:durableId="1281958681">
    <w:abstractNumId w:val="4"/>
  </w:num>
  <w:num w:numId="41" w16cid:durableId="28073993">
    <w:abstractNumId w:val="0"/>
  </w:num>
  <w:num w:numId="42" w16cid:durableId="686518055">
    <w:abstractNumId w:val="26"/>
  </w:num>
  <w:num w:numId="43" w16cid:durableId="1908571445">
    <w:abstractNumId w:val="17"/>
  </w:num>
  <w:num w:numId="44" w16cid:durableId="1066340954">
    <w:abstractNumId w:val="8"/>
  </w:num>
  <w:num w:numId="45" w16cid:durableId="1520198128">
    <w:abstractNumId w:val="36"/>
  </w:num>
  <w:num w:numId="46" w16cid:durableId="616256409">
    <w:abstractNumId w:val="46"/>
  </w:num>
  <w:num w:numId="47" w16cid:durableId="1672483212">
    <w:abstractNumId w:val="48"/>
  </w:num>
  <w:num w:numId="48" w16cid:durableId="290789934">
    <w:abstractNumId w:val="18"/>
  </w:num>
  <w:num w:numId="49" w16cid:durableId="1422602486">
    <w:abstractNumId w:val="11"/>
  </w:num>
  <w:num w:numId="50" w16cid:durableId="917325811">
    <w:abstractNumId w:val="51"/>
  </w:num>
  <w:num w:numId="51" w16cid:durableId="198126888">
    <w:abstractNumId w:val="49"/>
  </w:num>
  <w:num w:numId="52" w16cid:durableId="562564759">
    <w:abstractNumId w:val="16"/>
  </w:num>
  <w:num w:numId="53" w16cid:durableId="1120416843">
    <w:abstractNumId w:val="50"/>
  </w:num>
  <w:num w:numId="54" w16cid:durableId="46804465">
    <w:abstractNumId w:val="27"/>
  </w:num>
  <w:num w:numId="55" w16cid:durableId="1853521879">
    <w:abstractNumId w:val="34"/>
  </w:num>
  <w:num w:numId="56" w16cid:durableId="1168905698">
    <w:abstractNumId w:val="21"/>
  </w:num>
  <w:num w:numId="57" w16cid:durableId="586888455">
    <w:abstractNumId w:val="5"/>
  </w:num>
  <w:num w:numId="58" w16cid:durableId="527187101">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3B3"/>
    <w:rsid w:val="000028AE"/>
    <w:rsid w:val="00007232"/>
    <w:rsid w:val="00010119"/>
    <w:rsid w:val="000151D3"/>
    <w:rsid w:val="00016195"/>
    <w:rsid w:val="00017C28"/>
    <w:rsid w:val="0002013A"/>
    <w:rsid w:val="00021DD8"/>
    <w:rsid w:val="000222C5"/>
    <w:rsid w:val="0002560F"/>
    <w:rsid w:val="000264E9"/>
    <w:rsid w:val="000345BF"/>
    <w:rsid w:val="00040660"/>
    <w:rsid w:val="000415AB"/>
    <w:rsid w:val="00044968"/>
    <w:rsid w:val="000455A8"/>
    <w:rsid w:val="00046F60"/>
    <w:rsid w:val="0005367E"/>
    <w:rsid w:val="0006143E"/>
    <w:rsid w:val="00062B7B"/>
    <w:rsid w:val="000662ED"/>
    <w:rsid w:val="00067EF8"/>
    <w:rsid w:val="000713B5"/>
    <w:rsid w:val="00071D44"/>
    <w:rsid w:val="000769BE"/>
    <w:rsid w:val="00081C99"/>
    <w:rsid w:val="00084FB7"/>
    <w:rsid w:val="00087416"/>
    <w:rsid w:val="00091AD2"/>
    <w:rsid w:val="00092601"/>
    <w:rsid w:val="000928F9"/>
    <w:rsid w:val="000964B2"/>
    <w:rsid w:val="00097219"/>
    <w:rsid w:val="00097CFD"/>
    <w:rsid w:val="000A095C"/>
    <w:rsid w:val="000A58AE"/>
    <w:rsid w:val="000B6EC4"/>
    <w:rsid w:val="000C0B00"/>
    <w:rsid w:val="000C394B"/>
    <w:rsid w:val="000D1159"/>
    <w:rsid w:val="000D3316"/>
    <w:rsid w:val="000D5816"/>
    <w:rsid w:val="000E00EE"/>
    <w:rsid w:val="000E110D"/>
    <w:rsid w:val="000E178F"/>
    <w:rsid w:val="000E2837"/>
    <w:rsid w:val="000E33B9"/>
    <w:rsid w:val="000E4926"/>
    <w:rsid w:val="000E6E09"/>
    <w:rsid w:val="000E736D"/>
    <w:rsid w:val="000F0CEB"/>
    <w:rsid w:val="000F5757"/>
    <w:rsid w:val="000F6011"/>
    <w:rsid w:val="000F6655"/>
    <w:rsid w:val="000F7B1C"/>
    <w:rsid w:val="001024FE"/>
    <w:rsid w:val="001048BE"/>
    <w:rsid w:val="001100EC"/>
    <w:rsid w:val="001105BE"/>
    <w:rsid w:val="00113688"/>
    <w:rsid w:val="00123440"/>
    <w:rsid w:val="00131950"/>
    <w:rsid w:val="001322DE"/>
    <w:rsid w:val="001350D0"/>
    <w:rsid w:val="001362F4"/>
    <w:rsid w:val="0014434D"/>
    <w:rsid w:val="001474EE"/>
    <w:rsid w:val="00147972"/>
    <w:rsid w:val="00151636"/>
    <w:rsid w:val="00152ECA"/>
    <w:rsid w:val="00153F37"/>
    <w:rsid w:val="001577ED"/>
    <w:rsid w:val="001616E0"/>
    <w:rsid w:val="0016230E"/>
    <w:rsid w:val="00164368"/>
    <w:rsid w:val="00167CAA"/>
    <w:rsid w:val="001740DD"/>
    <w:rsid w:val="0017491B"/>
    <w:rsid w:val="00175A1B"/>
    <w:rsid w:val="001834E7"/>
    <w:rsid w:val="00190E87"/>
    <w:rsid w:val="0019533D"/>
    <w:rsid w:val="001978CF"/>
    <w:rsid w:val="001A1018"/>
    <w:rsid w:val="001A14AB"/>
    <w:rsid w:val="001A2DDC"/>
    <w:rsid w:val="001A42A2"/>
    <w:rsid w:val="001C1F35"/>
    <w:rsid w:val="001C768E"/>
    <w:rsid w:val="001C7DE3"/>
    <w:rsid w:val="001D19EF"/>
    <w:rsid w:val="001D25A9"/>
    <w:rsid w:val="001D3C3F"/>
    <w:rsid w:val="001E2484"/>
    <w:rsid w:val="001E4830"/>
    <w:rsid w:val="001F501B"/>
    <w:rsid w:val="00206629"/>
    <w:rsid w:val="00210904"/>
    <w:rsid w:val="00212C6C"/>
    <w:rsid w:val="00214108"/>
    <w:rsid w:val="00216C2A"/>
    <w:rsid w:val="0021753B"/>
    <w:rsid w:val="00223225"/>
    <w:rsid w:val="002244DB"/>
    <w:rsid w:val="00227240"/>
    <w:rsid w:val="00227DFA"/>
    <w:rsid w:val="00230469"/>
    <w:rsid w:val="0023152A"/>
    <w:rsid w:val="00232D7A"/>
    <w:rsid w:val="00233C55"/>
    <w:rsid w:val="002346CE"/>
    <w:rsid w:val="00237A9B"/>
    <w:rsid w:val="00243DCA"/>
    <w:rsid w:val="00244EBD"/>
    <w:rsid w:val="002501B1"/>
    <w:rsid w:val="00250383"/>
    <w:rsid w:val="00252C9D"/>
    <w:rsid w:val="00254BA9"/>
    <w:rsid w:val="00256CB1"/>
    <w:rsid w:val="00260F52"/>
    <w:rsid w:val="00264DD3"/>
    <w:rsid w:val="00265795"/>
    <w:rsid w:val="002670ED"/>
    <w:rsid w:val="002671C9"/>
    <w:rsid w:val="002708F3"/>
    <w:rsid w:val="0027267C"/>
    <w:rsid w:val="00274670"/>
    <w:rsid w:val="00276065"/>
    <w:rsid w:val="00280EAF"/>
    <w:rsid w:val="00284862"/>
    <w:rsid w:val="00284BE6"/>
    <w:rsid w:val="002863E9"/>
    <w:rsid w:val="002864B0"/>
    <w:rsid w:val="00286681"/>
    <w:rsid w:val="002870A2"/>
    <w:rsid w:val="00292939"/>
    <w:rsid w:val="0029483A"/>
    <w:rsid w:val="002963C2"/>
    <w:rsid w:val="00297910"/>
    <w:rsid w:val="002A105C"/>
    <w:rsid w:val="002A7FE1"/>
    <w:rsid w:val="002B0CF1"/>
    <w:rsid w:val="002B1D7A"/>
    <w:rsid w:val="002B2067"/>
    <w:rsid w:val="002B7356"/>
    <w:rsid w:val="002B75A8"/>
    <w:rsid w:val="002C20F3"/>
    <w:rsid w:val="002C2D92"/>
    <w:rsid w:val="002C2E8E"/>
    <w:rsid w:val="002C3FE3"/>
    <w:rsid w:val="002C4A1C"/>
    <w:rsid w:val="002C7B1D"/>
    <w:rsid w:val="002D1E01"/>
    <w:rsid w:val="002D32E2"/>
    <w:rsid w:val="002E0C6C"/>
    <w:rsid w:val="002E2128"/>
    <w:rsid w:val="002E3B4A"/>
    <w:rsid w:val="002E50B1"/>
    <w:rsid w:val="002E60A1"/>
    <w:rsid w:val="002E74C2"/>
    <w:rsid w:val="002E7DE0"/>
    <w:rsid w:val="002F154A"/>
    <w:rsid w:val="002F1821"/>
    <w:rsid w:val="002F4A9F"/>
    <w:rsid w:val="0030233B"/>
    <w:rsid w:val="00307F12"/>
    <w:rsid w:val="00313177"/>
    <w:rsid w:val="00313C0D"/>
    <w:rsid w:val="0031493E"/>
    <w:rsid w:val="0031587A"/>
    <w:rsid w:val="003224D8"/>
    <w:rsid w:val="00322FB4"/>
    <w:rsid w:val="003248B5"/>
    <w:rsid w:val="0032738A"/>
    <w:rsid w:val="0032782B"/>
    <w:rsid w:val="00330C5B"/>
    <w:rsid w:val="00334B80"/>
    <w:rsid w:val="00336C8D"/>
    <w:rsid w:val="00337957"/>
    <w:rsid w:val="00337F52"/>
    <w:rsid w:val="00340541"/>
    <w:rsid w:val="003422D1"/>
    <w:rsid w:val="00343536"/>
    <w:rsid w:val="0034357A"/>
    <w:rsid w:val="00343C94"/>
    <w:rsid w:val="003468FB"/>
    <w:rsid w:val="00346F3E"/>
    <w:rsid w:val="003500D9"/>
    <w:rsid w:val="00352F6A"/>
    <w:rsid w:val="00354A21"/>
    <w:rsid w:val="00355669"/>
    <w:rsid w:val="003603E8"/>
    <w:rsid w:val="00360686"/>
    <w:rsid w:val="00360AE3"/>
    <w:rsid w:val="003635C5"/>
    <w:rsid w:val="003667F8"/>
    <w:rsid w:val="00372CED"/>
    <w:rsid w:val="00375F45"/>
    <w:rsid w:val="00382ABE"/>
    <w:rsid w:val="0038382E"/>
    <w:rsid w:val="00383CFC"/>
    <w:rsid w:val="0039106E"/>
    <w:rsid w:val="00391F90"/>
    <w:rsid w:val="00392BD5"/>
    <w:rsid w:val="00397BC3"/>
    <w:rsid w:val="003A7CB5"/>
    <w:rsid w:val="003B0792"/>
    <w:rsid w:val="003B6421"/>
    <w:rsid w:val="003B6D4C"/>
    <w:rsid w:val="003B7C02"/>
    <w:rsid w:val="003C3EA4"/>
    <w:rsid w:val="003C6F53"/>
    <w:rsid w:val="003D0094"/>
    <w:rsid w:val="003D212E"/>
    <w:rsid w:val="003D2D60"/>
    <w:rsid w:val="003D36F0"/>
    <w:rsid w:val="003D508C"/>
    <w:rsid w:val="003D5EF6"/>
    <w:rsid w:val="003E34BF"/>
    <w:rsid w:val="003E5544"/>
    <w:rsid w:val="003F1803"/>
    <w:rsid w:val="003F373F"/>
    <w:rsid w:val="003F5B1B"/>
    <w:rsid w:val="003F73CA"/>
    <w:rsid w:val="00400BB2"/>
    <w:rsid w:val="00405BC4"/>
    <w:rsid w:val="00405DBE"/>
    <w:rsid w:val="00406AAC"/>
    <w:rsid w:val="00406E17"/>
    <w:rsid w:val="00413B75"/>
    <w:rsid w:val="004179D1"/>
    <w:rsid w:val="00417D4A"/>
    <w:rsid w:val="00420D08"/>
    <w:rsid w:val="00426AC3"/>
    <w:rsid w:val="00430EC6"/>
    <w:rsid w:val="00432256"/>
    <w:rsid w:val="0043339C"/>
    <w:rsid w:val="004350D0"/>
    <w:rsid w:val="0043558D"/>
    <w:rsid w:val="004362C1"/>
    <w:rsid w:val="00440E04"/>
    <w:rsid w:val="00445B95"/>
    <w:rsid w:val="00446F2D"/>
    <w:rsid w:val="004470D7"/>
    <w:rsid w:val="00447A37"/>
    <w:rsid w:val="00451926"/>
    <w:rsid w:val="004526D0"/>
    <w:rsid w:val="00454419"/>
    <w:rsid w:val="004557F6"/>
    <w:rsid w:val="00456AA4"/>
    <w:rsid w:val="00457198"/>
    <w:rsid w:val="00464281"/>
    <w:rsid w:val="00465938"/>
    <w:rsid w:val="004661E9"/>
    <w:rsid w:val="004667BD"/>
    <w:rsid w:val="00467ED9"/>
    <w:rsid w:val="004738A2"/>
    <w:rsid w:val="00473EC8"/>
    <w:rsid w:val="004752CC"/>
    <w:rsid w:val="004774D6"/>
    <w:rsid w:val="00480216"/>
    <w:rsid w:val="004857D3"/>
    <w:rsid w:val="00486D47"/>
    <w:rsid w:val="00490467"/>
    <w:rsid w:val="00491656"/>
    <w:rsid w:val="00495B14"/>
    <w:rsid w:val="00495DFE"/>
    <w:rsid w:val="00495FDD"/>
    <w:rsid w:val="00496E4E"/>
    <w:rsid w:val="004A0297"/>
    <w:rsid w:val="004A227E"/>
    <w:rsid w:val="004A5C43"/>
    <w:rsid w:val="004A6E34"/>
    <w:rsid w:val="004B25EE"/>
    <w:rsid w:val="004C0701"/>
    <w:rsid w:val="004C149C"/>
    <w:rsid w:val="004C43B3"/>
    <w:rsid w:val="004C5E24"/>
    <w:rsid w:val="004C73B0"/>
    <w:rsid w:val="004C7706"/>
    <w:rsid w:val="004D6AA1"/>
    <w:rsid w:val="004D79DE"/>
    <w:rsid w:val="004E30F7"/>
    <w:rsid w:val="004E4907"/>
    <w:rsid w:val="004E6AED"/>
    <w:rsid w:val="004E6C7B"/>
    <w:rsid w:val="004F3918"/>
    <w:rsid w:val="004F57BF"/>
    <w:rsid w:val="004F6404"/>
    <w:rsid w:val="004F717A"/>
    <w:rsid w:val="005003A3"/>
    <w:rsid w:val="00500675"/>
    <w:rsid w:val="00501540"/>
    <w:rsid w:val="00502140"/>
    <w:rsid w:val="005027F0"/>
    <w:rsid w:val="00504212"/>
    <w:rsid w:val="005108ED"/>
    <w:rsid w:val="00512CE2"/>
    <w:rsid w:val="005131F6"/>
    <w:rsid w:val="00513812"/>
    <w:rsid w:val="00513920"/>
    <w:rsid w:val="005170CF"/>
    <w:rsid w:val="00517DCE"/>
    <w:rsid w:val="00521DD9"/>
    <w:rsid w:val="005234CB"/>
    <w:rsid w:val="00523990"/>
    <w:rsid w:val="00531D0A"/>
    <w:rsid w:val="005328C7"/>
    <w:rsid w:val="00534168"/>
    <w:rsid w:val="005366C4"/>
    <w:rsid w:val="00544E7F"/>
    <w:rsid w:val="00552A5F"/>
    <w:rsid w:val="005540E2"/>
    <w:rsid w:val="00555060"/>
    <w:rsid w:val="00557F6B"/>
    <w:rsid w:val="00561651"/>
    <w:rsid w:val="005657CD"/>
    <w:rsid w:val="00573759"/>
    <w:rsid w:val="00574792"/>
    <w:rsid w:val="005826D6"/>
    <w:rsid w:val="00584F71"/>
    <w:rsid w:val="00587E35"/>
    <w:rsid w:val="005925C2"/>
    <w:rsid w:val="0059288B"/>
    <w:rsid w:val="00593B35"/>
    <w:rsid w:val="00595E5B"/>
    <w:rsid w:val="0059603A"/>
    <w:rsid w:val="005A17BC"/>
    <w:rsid w:val="005A36A5"/>
    <w:rsid w:val="005A47AE"/>
    <w:rsid w:val="005A580E"/>
    <w:rsid w:val="005A6545"/>
    <w:rsid w:val="005A72D3"/>
    <w:rsid w:val="005A7FCF"/>
    <w:rsid w:val="005B7CF1"/>
    <w:rsid w:val="005C2F5E"/>
    <w:rsid w:val="005C3618"/>
    <w:rsid w:val="005C3E0A"/>
    <w:rsid w:val="005C7187"/>
    <w:rsid w:val="005D2CEB"/>
    <w:rsid w:val="005D3F66"/>
    <w:rsid w:val="005D4281"/>
    <w:rsid w:val="005D6A06"/>
    <w:rsid w:val="005E17FB"/>
    <w:rsid w:val="005E4DA5"/>
    <w:rsid w:val="005E502D"/>
    <w:rsid w:val="006046B1"/>
    <w:rsid w:val="0060629F"/>
    <w:rsid w:val="00611CCF"/>
    <w:rsid w:val="00613CA3"/>
    <w:rsid w:val="0061626A"/>
    <w:rsid w:val="006162A8"/>
    <w:rsid w:val="00620C97"/>
    <w:rsid w:val="006223BC"/>
    <w:rsid w:val="00622F24"/>
    <w:rsid w:val="00624056"/>
    <w:rsid w:val="00624592"/>
    <w:rsid w:val="00630731"/>
    <w:rsid w:val="00633693"/>
    <w:rsid w:val="00634FDF"/>
    <w:rsid w:val="006379A1"/>
    <w:rsid w:val="006428A4"/>
    <w:rsid w:val="00642C2D"/>
    <w:rsid w:val="00644FB8"/>
    <w:rsid w:val="0064557C"/>
    <w:rsid w:val="00655444"/>
    <w:rsid w:val="00667EEC"/>
    <w:rsid w:val="006700B1"/>
    <w:rsid w:val="00672545"/>
    <w:rsid w:val="00675589"/>
    <w:rsid w:val="00677032"/>
    <w:rsid w:val="0068183F"/>
    <w:rsid w:val="00681C8D"/>
    <w:rsid w:val="00683F75"/>
    <w:rsid w:val="006903A1"/>
    <w:rsid w:val="00691B4F"/>
    <w:rsid w:val="00692754"/>
    <w:rsid w:val="00692EAF"/>
    <w:rsid w:val="00695921"/>
    <w:rsid w:val="00697EAB"/>
    <w:rsid w:val="006A083A"/>
    <w:rsid w:val="006A2045"/>
    <w:rsid w:val="006A3FAA"/>
    <w:rsid w:val="006A5012"/>
    <w:rsid w:val="006A7285"/>
    <w:rsid w:val="006B0977"/>
    <w:rsid w:val="006B410C"/>
    <w:rsid w:val="006B6117"/>
    <w:rsid w:val="006B6591"/>
    <w:rsid w:val="006C0682"/>
    <w:rsid w:val="006C094C"/>
    <w:rsid w:val="006C5D0B"/>
    <w:rsid w:val="006C71E7"/>
    <w:rsid w:val="006E1421"/>
    <w:rsid w:val="006E3204"/>
    <w:rsid w:val="006E4934"/>
    <w:rsid w:val="006F2184"/>
    <w:rsid w:val="006F5380"/>
    <w:rsid w:val="007017E5"/>
    <w:rsid w:val="00701A5F"/>
    <w:rsid w:val="0070487B"/>
    <w:rsid w:val="00705E7C"/>
    <w:rsid w:val="00706404"/>
    <w:rsid w:val="00706651"/>
    <w:rsid w:val="007067FD"/>
    <w:rsid w:val="00710047"/>
    <w:rsid w:val="00712B56"/>
    <w:rsid w:val="00713ED1"/>
    <w:rsid w:val="007147F7"/>
    <w:rsid w:val="007207BC"/>
    <w:rsid w:val="007220D5"/>
    <w:rsid w:val="00723888"/>
    <w:rsid w:val="00735A9C"/>
    <w:rsid w:val="007367A9"/>
    <w:rsid w:val="00737789"/>
    <w:rsid w:val="00742174"/>
    <w:rsid w:val="007426D7"/>
    <w:rsid w:val="0075069A"/>
    <w:rsid w:val="00753398"/>
    <w:rsid w:val="007614AF"/>
    <w:rsid w:val="00766995"/>
    <w:rsid w:val="007706E0"/>
    <w:rsid w:val="00771BB0"/>
    <w:rsid w:val="00772DE2"/>
    <w:rsid w:val="00775376"/>
    <w:rsid w:val="007757FF"/>
    <w:rsid w:val="00776C7C"/>
    <w:rsid w:val="00777998"/>
    <w:rsid w:val="00780354"/>
    <w:rsid w:val="00780A7E"/>
    <w:rsid w:val="00780C67"/>
    <w:rsid w:val="0078168E"/>
    <w:rsid w:val="0078470A"/>
    <w:rsid w:val="007869DA"/>
    <w:rsid w:val="00787067"/>
    <w:rsid w:val="0079106A"/>
    <w:rsid w:val="00791B4E"/>
    <w:rsid w:val="0079589F"/>
    <w:rsid w:val="00797688"/>
    <w:rsid w:val="007A121B"/>
    <w:rsid w:val="007A31A5"/>
    <w:rsid w:val="007A4F17"/>
    <w:rsid w:val="007A7CD2"/>
    <w:rsid w:val="007B0703"/>
    <w:rsid w:val="007B096B"/>
    <w:rsid w:val="007B1CB3"/>
    <w:rsid w:val="007B7B8C"/>
    <w:rsid w:val="007C6513"/>
    <w:rsid w:val="007C6B88"/>
    <w:rsid w:val="007E1425"/>
    <w:rsid w:val="007E3326"/>
    <w:rsid w:val="007E33FA"/>
    <w:rsid w:val="007F3093"/>
    <w:rsid w:val="007F3C5B"/>
    <w:rsid w:val="007F421D"/>
    <w:rsid w:val="007F5B10"/>
    <w:rsid w:val="007F70C2"/>
    <w:rsid w:val="00800CAE"/>
    <w:rsid w:val="00803403"/>
    <w:rsid w:val="0080426C"/>
    <w:rsid w:val="00807F42"/>
    <w:rsid w:val="00810D2B"/>
    <w:rsid w:val="008112A5"/>
    <w:rsid w:val="00823BD3"/>
    <w:rsid w:val="00825326"/>
    <w:rsid w:val="00825AC2"/>
    <w:rsid w:val="008271DC"/>
    <w:rsid w:val="00827F94"/>
    <w:rsid w:val="00830877"/>
    <w:rsid w:val="00830A19"/>
    <w:rsid w:val="00831742"/>
    <w:rsid w:val="008447C2"/>
    <w:rsid w:val="00845B89"/>
    <w:rsid w:val="00845D67"/>
    <w:rsid w:val="00845EF2"/>
    <w:rsid w:val="008608DA"/>
    <w:rsid w:val="00862177"/>
    <w:rsid w:val="00863201"/>
    <w:rsid w:val="0086480C"/>
    <w:rsid w:val="00864D3F"/>
    <w:rsid w:val="00865E10"/>
    <w:rsid w:val="00875477"/>
    <w:rsid w:val="00876D39"/>
    <w:rsid w:val="00882C34"/>
    <w:rsid w:val="00891153"/>
    <w:rsid w:val="00892174"/>
    <w:rsid w:val="008925A1"/>
    <w:rsid w:val="0089672B"/>
    <w:rsid w:val="008A0BA8"/>
    <w:rsid w:val="008A0CD0"/>
    <w:rsid w:val="008A2E82"/>
    <w:rsid w:val="008A35AC"/>
    <w:rsid w:val="008A5293"/>
    <w:rsid w:val="008A52B5"/>
    <w:rsid w:val="008A56CD"/>
    <w:rsid w:val="008B226E"/>
    <w:rsid w:val="008B2A26"/>
    <w:rsid w:val="008B2BD3"/>
    <w:rsid w:val="008B3BA1"/>
    <w:rsid w:val="008B41EE"/>
    <w:rsid w:val="008B4593"/>
    <w:rsid w:val="008B4F45"/>
    <w:rsid w:val="008B5BA9"/>
    <w:rsid w:val="008C68D5"/>
    <w:rsid w:val="008D0B48"/>
    <w:rsid w:val="008D1AC4"/>
    <w:rsid w:val="008D23A7"/>
    <w:rsid w:val="008D3B5D"/>
    <w:rsid w:val="008D4127"/>
    <w:rsid w:val="008D6203"/>
    <w:rsid w:val="008D7692"/>
    <w:rsid w:val="008E00AF"/>
    <w:rsid w:val="008E031B"/>
    <w:rsid w:val="008E0E79"/>
    <w:rsid w:val="008E1331"/>
    <w:rsid w:val="008E7EE4"/>
    <w:rsid w:val="008F1E7D"/>
    <w:rsid w:val="008F636F"/>
    <w:rsid w:val="008F6998"/>
    <w:rsid w:val="008F7410"/>
    <w:rsid w:val="0090097F"/>
    <w:rsid w:val="009012FB"/>
    <w:rsid w:val="0090637E"/>
    <w:rsid w:val="00906C32"/>
    <w:rsid w:val="00910D40"/>
    <w:rsid w:val="00911690"/>
    <w:rsid w:val="0091329A"/>
    <w:rsid w:val="00914D1B"/>
    <w:rsid w:val="00926F56"/>
    <w:rsid w:val="0093068C"/>
    <w:rsid w:val="009328C6"/>
    <w:rsid w:val="00934BC2"/>
    <w:rsid w:val="00935F43"/>
    <w:rsid w:val="0094074C"/>
    <w:rsid w:val="00945D82"/>
    <w:rsid w:val="00946C06"/>
    <w:rsid w:val="0095457D"/>
    <w:rsid w:val="00956D94"/>
    <w:rsid w:val="00961A04"/>
    <w:rsid w:val="00961CBC"/>
    <w:rsid w:val="00965D35"/>
    <w:rsid w:val="00967FB1"/>
    <w:rsid w:val="00973394"/>
    <w:rsid w:val="00974348"/>
    <w:rsid w:val="00980298"/>
    <w:rsid w:val="00982E9A"/>
    <w:rsid w:val="0098300C"/>
    <w:rsid w:val="009835F7"/>
    <w:rsid w:val="00985E91"/>
    <w:rsid w:val="00986B09"/>
    <w:rsid w:val="00990B2E"/>
    <w:rsid w:val="0099773E"/>
    <w:rsid w:val="009A16EB"/>
    <w:rsid w:val="009A2421"/>
    <w:rsid w:val="009A5EF3"/>
    <w:rsid w:val="009B40C0"/>
    <w:rsid w:val="009B4F5E"/>
    <w:rsid w:val="009B6F5D"/>
    <w:rsid w:val="009B6FED"/>
    <w:rsid w:val="009B7735"/>
    <w:rsid w:val="009C3259"/>
    <w:rsid w:val="009C7258"/>
    <w:rsid w:val="009D00E1"/>
    <w:rsid w:val="009D1A97"/>
    <w:rsid w:val="009D2284"/>
    <w:rsid w:val="009D383D"/>
    <w:rsid w:val="009D6D3B"/>
    <w:rsid w:val="009D728B"/>
    <w:rsid w:val="009D7586"/>
    <w:rsid w:val="009D795A"/>
    <w:rsid w:val="009E0B91"/>
    <w:rsid w:val="009E15F5"/>
    <w:rsid w:val="009E38F6"/>
    <w:rsid w:val="009E40ED"/>
    <w:rsid w:val="009E66B7"/>
    <w:rsid w:val="009E7609"/>
    <w:rsid w:val="009F069E"/>
    <w:rsid w:val="009F2DB1"/>
    <w:rsid w:val="009F358B"/>
    <w:rsid w:val="00A01196"/>
    <w:rsid w:val="00A11EAA"/>
    <w:rsid w:val="00A131F3"/>
    <w:rsid w:val="00A15F51"/>
    <w:rsid w:val="00A16F2E"/>
    <w:rsid w:val="00A1767B"/>
    <w:rsid w:val="00A22A5D"/>
    <w:rsid w:val="00A2593A"/>
    <w:rsid w:val="00A312AE"/>
    <w:rsid w:val="00A35B4B"/>
    <w:rsid w:val="00A36557"/>
    <w:rsid w:val="00A4296D"/>
    <w:rsid w:val="00A614D2"/>
    <w:rsid w:val="00A63A44"/>
    <w:rsid w:val="00A650E7"/>
    <w:rsid w:val="00A67A5A"/>
    <w:rsid w:val="00A72DEB"/>
    <w:rsid w:val="00A72F48"/>
    <w:rsid w:val="00A7384A"/>
    <w:rsid w:val="00A73909"/>
    <w:rsid w:val="00A7523E"/>
    <w:rsid w:val="00A77034"/>
    <w:rsid w:val="00A80062"/>
    <w:rsid w:val="00A84C0A"/>
    <w:rsid w:val="00A87789"/>
    <w:rsid w:val="00A87E73"/>
    <w:rsid w:val="00A91659"/>
    <w:rsid w:val="00A9166D"/>
    <w:rsid w:val="00A9248B"/>
    <w:rsid w:val="00A9582C"/>
    <w:rsid w:val="00AA5F8E"/>
    <w:rsid w:val="00AA79CA"/>
    <w:rsid w:val="00AB0B28"/>
    <w:rsid w:val="00AB4A4C"/>
    <w:rsid w:val="00AB5D77"/>
    <w:rsid w:val="00AC23D0"/>
    <w:rsid w:val="00AC26F5"/>
    <w:rsid w:val="00AC62E5"/>
    <w:rsid w:val="00AC774E"/>
    <w:rsid w:val="00AD0754"/>
    <w:rsid w:val="00AD3217"/>
    <w:rsid w:val="00AD32DA"/>
    <w:rsid w:val="00AD514D"/>
    <w:rsid w:val="00AD5EF1"/>
    <w:rsid w:val="00AD69EB"/>
    <w:rsid w:val="00AD7B70"/>
    <w:rsid w:val="00AE4CA8"/>
    <w:rsid w:val="00AE59C0"/>
    <w:rsid w:val="00AE5E89"/>
    <w:rsid w:val="00AF1361"/>
    <w:rsid w:val="00AF630E"/>
    <w:rsid w:val="00B01FD3"/>
    <w:rsid w:val="00B03C9D"/>
    <w:rsid w:val="00B04E29"/>
    <w:rsid w:val="00B06E1C"/>
    <w:rsid w:val="00B15367"/>
    <w:rsid w:val="00B16D90"/>
    <w:rsid w:val="00B24E37"/>
    <w:rsid w:val="00B278E7"/>
    <w:rsid w:val="00B30BA8"/>
    <w:rsid w:val="00B346AB"/>
    <w:rsid w:val="00B35B9C"/>
    <w:rsid w:val="00B37B66"/>
    <w:rsid w:val="00B4120C"/>
    <w:rsid w:val="00B440F6"/>
    <w:rsid w:val="00B4553A"/>
    <w:rsid w:val="00B4665F"/>
    <w:rsid w:val="00B51285"/>
    <w:rsid w:val="00B531EE"/>
    <w:rsid w:val="00B53212"/>
    <w:rsid w:val="00B53726"/>
    <w:rsid w:val="00B5424F"/>
    <w:rsid w:val="00B54329"/>
    <w:rsid w:val="00B5460D"/>
    <w:rsid w:val="00B653B0"/>
    <w:rsid w:val="00B745DA"/>
    <w:rsid w:val="00B753AD"/>
    <w:rsid w:val="00B82A4B"/>
    <w:rsid w:val="00B83266"/>
    <w:rsid w:val="00B87FAB"/>
    <w:rsid w:val="00B907B7"/>
    <w:rsid w:val="00B93AF3"/>
    <w:rsid w:val="00B93D7F"/>
    <w:rsid w:val="00B96458"/>
    <w:rsid w:val="00BA03C2"/>
    <w:rsid w:val="00BA04FB"/>
    <w:rsid w:val="00BA3C9F"/>
    <w:rsid w:val="00BA5892"/>
    <w:rsid w:val="00BB0D11"/>
    <w:rsid w:val="00BB40C0"/>
    <w:rsid w:val="00BB463C"/>
    <w:rsid w:val="00BB6328"/>
    <w:rsid w:val="00BB7A0A"/>
    <w:rsid w:val="00BC1FDA"/>
    <w:rsid w:val="00BC5A53"/>
    <w:rsid w:val="00BC71C4"/>
    <w:rsid w:val="00BD3991"/>
    <w:rsid w:val="00BD5436"/>
    <w:rsid w:val="00BD77DB"/>
    <w:rsid w:val="00BE1E88"/>
    <w:rsid w:val="00BE3304"/>
    <w:rsid w:val="00BE4116"/>
    <w:rsid w:val="00BE49DF"/>
    <w:rsid w:val="00BE4EC7"/>
    <w:rsid w:val="00BE548F"/>
    <w:rsid w:val="00BF0539"/>
    <w:rsid w:val="00BF1047"/>
    <w:rsid w:val="00BF29E7"/>
    <w:rsid w:val="00BF5E0E"/>
    <w:rsid w:val="00C01EA7"/>
    <w:rsid w:val="00C05C91"/>
    <w:rsid w:val="00C07FB6"/>
    <w:rsid w:val="00C101A5"/>
    <w:rsid w:val="00C11792"/>
    <w:rsid w:val="00C12B73"/>
    <w:rsid w:val="00C17591"/>
    <w:rsid w:val="00C20B6E"/>
    <w:rsid w:val="00C20C1D"/>
    <w:rsid w:val="00C21D4A"/>
    <w:rsid w:val="00C2267C"/>
    <w:rsid w:val="00C252E8"/>
    <w:rsid w:val="00C26E6F"/>
    <w:rsid w:val="00C30A50"/>
    <w:rsid w:val="00C34F02"/>
    <w:rsid w:val="00C37AA2"/>
    <w:rsid w:val="00C44B9E"/>
    <w:rsid w:val="00C451DA"/>
    <w:rsid w:val="00C45CE4"/>
    <w:rsid w:val="00C473B1"/>
    <w:rsid w:val="00C540AA"/>
    <w:rsid w:val="00C55101"/>
    <w:rsid w:val="00C55439"/>
    <w:rsid w:val="00C55AD9"/>
    <w:rsid w:val="00C56440"/>
    <w:rsid w:val="00C567B1"/>
    <w:rsid w:val="00C609E6"/>
    <w:rsid w:val="00C62833"/>
    <w:rsid w:val="00C6421B"/>
    <w:rsid w:val="00C64F5D"/>
    <w:rsid w:val="00C66FBE"/>
    <w:rsid w:val="00C75B2E"/>
    <w:rsid w:val="00C91A9D"/>
    <w:rsid w:val="00C91C36"/>
    <w:rsid w:val="00C93B82"/>
    <w:rsid w:val="00CA04F9"/>
    <w:rsid w:val="00CA25E2"/>
    <w:rsid w:val="00CA395C"/>
    <w:rsid w:val="00CA5A24"/>
    <w:rsid w:val="00CA6637"/>
    <w:rsid w:val="00CB2996"/>
    <w:rsid w:val="00CB47C8"/>
    <w:rsid w:val="00CC1617"/>
    <w:rsid w:val="00CC1C7E"/>
    <w:rsid w:val="00CC1DEE"/>
    <w:rsid w:val="00CD0E4A"/>
    <w:rsid w:val="00CD170E"/>
    <w:rsid w:val="00CD45F6"/>
    <w:rsid w:val="00CD5999"/>
    <w:rsid w:val="00CD6DEB"/>
    <w:rsid w:val="00CE043C"/>
    <w:rsid w:val="00CE1201"/>
    <w:rsid w:val="00CE20ED"/>
    <w:rsid w:val="00CE3E74"/>
    <w:rsid w:val="00CE7A15"/>
    <w:rsid w:val="00CE7C81"/>
    <w:rsid w:val="00CF0CBB"/>
    <w:rsid w:val="00CF1773"/>
    <w:rsid w:val="00D021EB"/>
    <w:rsid w:val="00D0618C"/>
    <w:rsid w:val="00D105B3"/>
    <w:rsid w:val="00D16052"/>
    <w:rsid w:val="00D1724B"/>
    <w:rsid w:val="00D200BC"/>
    <w:rsid w:val="00D21A30"/>
    <w:rsid w:val="00D23D69"/>
    <w:rsid w:val="00D24AF1"/>
    <w:rsid w:val="00D314D7"/>
    <w:rsid w:val="00D325A4"/>
    <w:rsid w:val="00D3492F"/>
    <w:rsid w:val="00D34FB6"/>
    <w:rsid w:val="00D35E41"/>
    <w:rsid w:val="00D3638C"/>
    <w:rsid w:val="00D363B0"/>
    <w:rsid w:val="00D37991"/>
    <w:rsid w:val="00D42CDE"/>
    <w:rsid w:val="00D44B26"/>
    <w:rsid w:val="00D46F18"/>
    <w:rsid w:val="00D46FF6"/>
    <w:rsid w:val="00D47C62"/>
    <w:rsid w:val="00D5319D"/>
    <w:rsid w:val="00D53D36"/>
    <w:rsid w:val="00D567B8"/>
    <w:rsid w:val="00D56E2F"/>
    <w:rsid w:val="00D63BB5"/>
    <w:rsid w:val="00D64521"/>
    <w:rsid w:val="00D646E1"/>
    <w:rsid w:val="00D6533E"/>
    <w:rsid w:val="00D656BF"/>
    <w:rsid w:val="00D679ED"/>
    <w:rsid w:val="00D703FF"/>
    <w:rsid w:val="00D727B3"/>
    <w:rsid w:val="00D7677F"/>
    <w:rsid w:val="00D812F3"/>
    <w:rsid w:val="00D814EB"/>
    <w:rsid w:val="00D83CFB"/>
    <w:rsid w:val="00D8762F"/>
    <w:rsid w:val="00D915BD"/>
    <w:rsid w:val="00D92195"/>
    <w:rsid w:val="00D924F7"/>
    <w:rsid w:val="00D92505"/>
    <w:rsid w:val="00D92BC4"/>
    <w:rsid w:val="00D93951"/>
    <w:rsid w:val="00D93E88"/>
    <w:rsid w:val="00D94B20"/>
    <w:rsid w:val="00DB2841"/>
    <w:rsid w:val="00DB33DB"/>
    <w:rsid w:val="00DB595F"/>
    <w:rsid w:val="00DB7FDE"/>
    <w:rsid w:val="00DC3293"/>
    <w:rsid w:val="00DC6AD4"/>
    <w:rsid w:val="00DD21B5"/>
    <w:rsid w:val="00DD4CBC"/>
    <w:rsid w:val="00DD5C67"/>
    <w:rsid w:val="00DD634E"/>
    <w:rsid w:val="00DE36C4"/>
    <w:rsid w:val="00DE3758"/>
    <w:rsid w:val="00DE6D07"/>
    <w:rsid w:val="00DF11DE"/>
    <w:rsid w:val="00DF4111"/>
    <w:rsid w:val="00DF7C2F"/>
    <w:rsid w:val="00E04A98"/>
    <w:rsid w:val="00E04D9B"/>
    <w:rsid w:val="00E07A98"/>
    <w:rsid w:val="00E123A4"/>
    <w:rsid w:val="00E12E4B"/>
    <w:rsid w:val="00E152DE"/>
    <w:rsid w:val="00E16A6D"/>
    <w:rsid w:val="00E16AAF"/>
    <w:rsid w:val="00E21C30"/>
    <w:rsid w:val="00E24AA2"/>
    <w:rsid w:val="00E25A01"/>
    <w:rsid w:val="00E3020D"/>
    <w:rsid w:val="00E40BA2"/>
    <w:rsid w:val="00E42261"/>
    <w:rsid w:val="00E43611"/>
    <w:rsid w:val="00E45B91"/>
    <w:rsid w:val="00E4633C"/>
    <w:rsid w:val="00E507A8"/>
    <w:rsid w:val="00E52DBC"/>
    <w:rsid w:val="00E60136"/>
    <w:rsid w:val="00E66912"/>
    <w:rsid w:val="00E66B93"/>
    <w:rsid w:val="00E70B0C"/>
    <w:rsid w:val="00E73F98"/>
    <w:rsid w:val="00E74D27"/>
    <w:rsid w:val="00E750B3"/>
    <w:rsid w:val="00E830E6"/>
    <w:rsid w:val="00E83C62"/>
    <w:rsid w:val="00E87446"/>
    <w:rsid w:val="00E9087D"/>
    <w:rsid w:val="00E97785"/>
    <w:rsid w:val="00EA06F9"/>
    <w:rsid w:val="00EB5A1B"/>
    <w:rsid w:val="00EB77D3"/>
    <w:rsid w:val="00EC0733"/>
    <w:rsid w:val="00EC3D7D"/>
    <w:rsid w:val="00EC3E66"/>
    <w:rsid w:val="00EC51BC"/>
    <w:rsid w:val="00EC7990"/>
    <w:rsid w:val="00ED06DF"/>
    <w:rsid w:val="00ED0A80"/>
    <w:rsid w:val="00ED1E3F"/>
    <w:rsid w:val="00ED25B6"/>
    <w:rsid w:val="00ED386B"/>
    <w:rsid w:val="00ED4416"/>
    <w:rsid w:val="00ED59AF"/>
    <w:rsid w:val="00ED743D"/>
    <w:rsid w:val="00EE2BB9"/>
    <w:rsid w:val="00EE415A"/>
    <w:rsid w:val="00EF07EB"/>
    <w:rsid w:val="00EF0831"/>
    <w:rsid w:val="00EF43CF"/>
    <w:rsid w:val="00EF7631"/>
    <w:rsid w:val="00EF7BBB"/>
    <w:rsid w:val="00F0149C"/>
    <w:rsid w:val="00F01CD4"/>
    <w:rsid w:val="00F0287B"/>
    <w:rsid w:val="00F04D60"/>
    <w:rsid w:val="00F05B77"/>
    <w:rsid w:val="00F05BF2"/>
    <w:rsid w:val="00F06E82"/>
    <w:rsid w:val="00F10511"/>
    <w:rsid w:val="00F10B6C"/>
    <w:rsid w:val="00F1126D"/>
    <w:rsid w:val="00F15DCF"/>
    <w:rsid w:val="00F254EC"/>
    <w:rsid w:val="00F26183"/>
    <w:rsid w:val="00F27F0E"/>
    <w:rsid w:val="00F3046C"/>
    <w:rsid w:val="00F31EBF"/>
    <w:rsid w:val="00F33935"/>
    <w:rsid w:val="00F34644"/>
    <w:rsid w:val="00F35EE4"/>
    <w:rsid w:val="00F35FCF"/>
    <w:rsid w:val="00F36C9A"/>
    <w:rsid w:val="00F371EF"/>
    <w:rsid w:val="00F37BE0"/>
    <w:rsid w:val="00F4194C"/>
    <w:rsid w:val="00F44251"/>
    <w:rsid w:val="00F50B5E"/>
    <w:rsid w:val="00F5113F"/>
    <w:rsid w:val="00F5174F"/>
    <w:rsid w:val="00F51C44"/>
    <w:rsid w:val="00F546F1"/>
    <w:rsid w:val="00F56928"/>
    <w:rsid w:val="00F62F46"/>
    <w:rsid w:val="00F631D6"/>
    <w:rsid w:val="00F64EBB"/>
    <w:rsid w:val="00F652F1"/>
    <w:rsid w:val="00F65D16"/>
    <w:rsid w:val="00F726C9"/>
    <w:rsid w:val="00F74D25"/>
    <w:rsid w:val="00F74EFD"/>
    <w:rsid w:val="00F755B8"/>
    <w:rsid w:val="00F76A55"/>
    <w:rsid w:val="00F85BC7"/>
    <w:rsid w:val="00F85F10"/>
    <w:rsid w:val="00F8662B"/>
    <w:rsid w:val="00F8743F"/>
    <w:rsid w:val="00F9091D"/>
    <w:rsid w:val="00F90A7B"/>
    <w:rsid w:val="00F90DC3"/>
    <w:rsid w:val="00F934FD"/>
    <w:rsid w:val="00F96A18"/>
    <w:rsid w:val="00F96A9C"/>
    <w:rsid w:val="00FA4BF2"/>
    <w:rsid w:val="00FB0B3A"/>
    <w:rsid w:val="00FB0B78"/>
    <w:rsid w:val="00FB3B0A"/>
    <w:rsid w:val="00FB4A6C"/>
    <w:rsid w:val="00FB752D"/>
    <w:rsid w:val="00FC10D6"/>
    <w:rsid w:val="00FC5B72"/>
    <w:rsid w:val="00FC714A"/>
    <w:rsid w:val="00FD05FF"/>
    <w:rsid w:val="00FD08B8"/>
    <w:rsid w:val="00FD156D"/>
    <w:rsid w:val="00FD6224"/>
    <w:rsid w:val="00FD7626"/>
    <w:rsid w:val="00FE0583"/>
    <w:rsid w:val="00FE0C99"/>
    <w:rsid w:val="00FE2A67"/>
    <w:rsid w:val="00FF11E8"/>
    <w:rsid w:val="00FF4F6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4E922B"/>
  <w15:chartTrackingRefBased/>
  <w15:docId w15:val="{DDC6A4B2-E1A7-4CB7-A029-9C166F64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Ttulo1">
    <w:name w:val="heading 1"/>
    <w:basedOn w:val="Normal"/>
    <w:next w:val="Normal"/>
    <w:link w:val="Ttulo1Car"/>
    <w:qFormat/>
    <w:pPr>
      <w:keepNext/>
      <w:numPr>
        <w:numId w:val="1"/>
      </w:numPr>
      <w:spacing w:before="240" w:after="60"/>
      <w:outlineLvl w:val="0"/>
    </w:pPr>
    <w:rPr>
      <w:rFonts w:ascii="Times New Roman Bold" w:hAnsi="Times New Roman Bold" w:cs="Arial"/>
      <w:bCs/>
      <w:kern w:val="32"/>
    </w:rPr>
  </w:style>
  <w:style w:type="paragraph" w:styleId="Ttulo2">
    <w:name w:val="heading 2"/>
    <w:basedOn w:val="Normal"/>
    <w:next w:val="Normal"/>
    <w:qFormat/>
    <w:rsid w:val="00C473B1"/>
    <w:pPr>
      <w:numPr>
        <w:ilvl w:val="1"/>
        <w:numId w:val="1"/>
      </w:numPr>
      <w:spacing w:before="240" w:after="60"/>
      <w:ind w:left="0" w:firstLine="0"/>
      <w:outlineLvl w:val="1"/>
    </w:pPr>
    <w:rPr>
      <w:rFonts w:hAnsi="Times New Roman Bold" w:cs="Arial"/>
      <w:bCs/>
      <w:iCs/>
    </w:rPr>
  </w:style>
  <w:style w:type="paragraph" w:styleId="Ttulo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8D23A7"/>
    <w:pPr>
      <w:keepNext/>
      <w:tabs>
        <w:tab w:val="num" w:pos="864"/>
      </w:tabs>
      <w:spacing w:before="240" w:after="60"/>
      <w:ind w:left="864" w:hanging="864"/>
      <w:outlineLvl w:val="3"/>
    </w:pPr>
    <w:rPr>
      <w:b/>
      <w:bCs/>
      <w:sz w:val="28"/>
      <w:szCs w:val="28"/>
      <w:lang w:val="en-US"/>
    </w:rPr>
  </w:style>
  <w:style w:type="paragraph" w:styleId="Ttulo5">
    <w:name w:val="heading 5"/>
    <w:basedOn w:val="Normal"/>
    <w:next w:val="Normal"/>
    <w:qFormat/>
    <w:rsid w:val="008D23A7"/>
    <w:pPr>
      <w:tabs>
        <w:tab w:val="num" w:pos="1008"/>
      </w:tabs>
      <w:spacing w:before="240" w:after="60"/>
      <w:ind w:left="1008" w:hanging="1008"/>
      <w:outlineLvl w:val="4"/>
    </w:pPr>
    <w:rPr>
      <w:b/>
      <w:bCs/>
      <w:i/>
      <w:iCs/>
      <w:sz w:val="26"/>
      <w:szCs w:val="26"/>
      <w:lang w:val="en-US"/>
    </w:rPr>
  </w:style>
  <w:style w:type="paragraph" w:styleId="Ttulo6">
    <w:name w:val="heading 6"/>
    <w:basedOn w:val="Normal"/>
    <w:next w:val="Normal"/>
    <w:qFormat/>
    <w:rsid w:val="008D23A7"/>
    <w:pPr>
      <w:tabs>
        <w:tab w:val="num" w:pos="1152"/>
      </w:tabs>
      <w:spacing w:before="240" w:after="60"/>
      <w:ind w:left="1152" w:hanging="1152"/>
      <w:outlineLvl w:val="5"/>
    </w:pPr>
    <w:rPr>
      <w:b/>
      <w:bCs/>
      <w:sz w:val="22"/>
      <w:szCs w:val="22"/>
      <w:lang w:val="en-US"/>
    </w:rPr>
  </w:style>
  <w:style w:type="paragraph" w:styleId="Ttulo7">
    <w:name w:val="heading 7"/>
    <w:basedOn w:val="Normal"/>
    <w:next w:val="Normal"/>
    <w:qFormat/>
    <w:rsid w:val="008D23A7"/>
    <w:pPr>
      <w:tabs>
        <w:tab w:val="num" w:pos="1296"/>
      </w:tabs>
      <w:spacing w:before="240" w:after="60"/>
      <w:ind w:left="1296" w:hanging="1296"/>
      <w:outlineLvl w:val="6"/>
    </w:pPr>
    <w:rPr>
      <w:lang w:val="en-US"/>
    </w:rPr>
  </w:style>
  <w:style w:type="paragraph" w:styleId="Ttulo8">
    <w:name w:val="heading 8"/>
    <w:basedOn w:val="Normal"/>
    <w:next w:val="Normal"/>
    <w:qFormat/>
    <w:rsid w:val="008D23A7"/>
    <w:pPr>
      <w:tabs>
        <w:tab w:val="num" w:pos="1440"/>
      </w:tabs>
      <w:spacing w:before="240" w:after="60"/>
      <w:ind w:left="1440" w:hanging="1440"/>
      <w:outlineLvl w:val="7"/>
    </w:pPr>
    <w:rPr>
      <w:i/>
      <w:iCs/>
      <w:lang w:val="en-US"/>
    </w:rPr>
  </w:style>
  <w:style w:type="paragraph" w:styleId="Ttulo9">
    <w:name w:val="heading 9"/>
    <w:basedOn w:val="Normal"/>
    <w:next w:val="Normal"/>
    <w:qFormat/>
    <w:pPr>
      <w:keepNext/>
      <w:tabs>
        <w:tab w:val="left" w:pos="567"/>
      </w:tabs>
      <w:snapToGrid w:val="0"/>
      <w:jc w:val="center"/>
      <w:outlineLvl w:val="8"/>
    </w:pPr>
    <w:rPr>
      <w:rFonts w:ascii="Arial Narrow" w:eastAsia="SimSun" w:hAnsi="Arial Narrow" w:cs="Arial Unicode MS"/>
      <w:snapToGrid w:val="0"/>
      <w:color w:val="0000FF"/>
      <w:spacing w:val="4"/>
      <w:sz w:val="18"/>
      <w:szCs w:val="18"/>
      <w:lang w:val="fr-F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character" w:styleId="Hipervnculo">
    <w:name w:val="Hyperlink"/>
    <w:rsid w:val="00D34FB6"/>
    <w:rPr>
      <w:color w:val="0000FF"/>
      <w:u w:val="single"/>
    </w:rPr>
  </w:style>
  <w:style w:type="character" w:styleId="Refdecomentario">
    <w:name w:val="annotation reference"/>
    <w:uiPriority w:val="99"/>
    <w:semiHidden/>
    <w:rsid w:val="00BA03C2"/>
    <w:rPr>
      <w:sz w:val="16"/>
      <w:szCs w:val="16"/>
    </w:rPr>
  </w:style>
  <w:style w:type="paragraph" w:styleId="Textocomentario">
    <w:name w:val="annotation text"/>
    <w:basedOn w:val="Normal"/>
    <w:link w:val="TextocomentarioCar"/>
    <w:uiPriority w:val="99"/>
    <w:semiHidden/>
    <w:rsid w:val="00BA03C2"/>
    <w:rPr>
      <w:sz w:val="20"/>
      <w:szCs w:val="20"/>
    </w:rPr>
  </w:style>
  <w:style w:type="paragraph" w:styleId="Asuntodelcomentario">
    <w:name w:val="annotation subject"/>
    <w:basedOn w:val="Textocomentario"/>
    <w:next w:val="Textocomentario"/>
    <w:semiHidden/>
    <w:rsid w:val="00BA03C2"/>
    <w:rPr>
      <w:b/>
      <w:bCs/>
    </w:rPr>
  </w:style>
  <w:style w:type="paragraph" w:styleId="Encabezado">
    <w:name w:val="header"/>
    <w:basedOn w:val="Normal"/>
    <w:link w:val="EncabezadoCar"/>
    <w:uiPriority w:val="99"/>
    <w:rsid w:val="00D47C62"/>
    <w:pPr>
      <w:tabs>
        <w:tab w:val="left" w:pos="567"/>
        <w:tab w:val="center" w:pos="4153"/>
        <w:tab w:val="right" w:pos="8306"/>
      </w:tabs>
      <w:snapToGrid w:val="0"/>
    </w:pPr>
    <w:rPr>
      <w:rFonts w:ascii="Arial" w:hAnsi="Arial"/>
      <w:snapToGrid w:val="0"/>
      <w:sz w:val="22"/>
      <w:lang w:val="fr-FR"/>
    </w:rPr>
  </w:style>
  <w:style w:type="paragraph" w:customStyle="1" w:styleId="Marge">
    <w:name w:val="Marge"/>
    <w:basedOn w:val="Normal"/>
    <w:rsid w:val="00D47C62"/>
    <w:pPr>
      <w:tabs>
        <w:tab w:val="left" w:pos="567"/>
      </w:tabs>
      <w:snapToGrid w:val="0"/>
      <w:spacing w:after="240"/>
      <w:jc w:val="both"/>
    </w:pPr>
    <w:rPr>
      <w:rFonts w:ascii="Arial" w:hAnsi="Arial"/>
      <w:snapToGrid w:val="0"/>
      <w:sz w:val="22"/>
      <w:lang w:val="fr-FR"/>
    </w:rPr>
  </w:style>
  <w:style w:type="paragraph" w:customStyle="1" w:styleId="CharCharCharCharCharCharCharCharCharCharCharCharCharCharChar">
    <w:name w:val="Char Char Char Char Char Char Char Char Char Char Char Char Char Char Char"/>
    <w:basedOn w:val="Normal"/>
    <w:rsid w:val="00F85F10"/>
    <w:pPr>
      <w:spacing w:after="160" w:line="240" w:lineRule="exact"/>
    </w:pPr>
    <w:rPr>
      <w:rFonts w:ascii="Arial" w:hAnsi="Arial" w:cs="Arial"/>
      <w:sz w:val="20"/>
      <w:szCs w:val="20"/>
      <w:lang w:val="en-US"/>
    </w:rPr>
  </w:style>
  <w:style w:type="paragraph" w:styleId="Piedepgina">
    <w:name w:val="footer"/>
    <w:basedOn w:val="Normal"/>
    <w:rsid w:val="008D23A7"/>
    <w:pPr>
      <w:tabs>
        <w:tab w:val="center" w:pos="4153"/>
        <w:tab w:val="right" w:pos="8306"/>
      </w:tabs>
    </w:pPr>
    <w:rPr>
      <w:lang w:val="en-US"/>
    </w:rPr>
  </w:style>
  <w:style w:type="paragraph" w:styleId="Sangra3detindependiente">
    <w:name w:val="Body Text Indent 3"/>
    <w:basedOn w:val="Normal"/>
    <w:rsid w:val="008D23A7"/>
    <w:pPr>
      <w:ind w:left="7200"/>
    </w:pPr>
    <w:rPr>
      <w:sz w:val="22"/>
      <w:lang w:val="fr-FR"/>
    </w:rPr>
  </w:style>
  <w:style w:type="paragraph" w:customStyle="1" w:styleId="COI">
    <w:name w:val="COI"/>
    <w:basedOn w:val="Marge"/>
    <w:autoRedefine/>
    <w:rsid w:val="005A47AE"/>
    <w:pPr>
      <w:numPr>
        <w:numId w:val="55"/>
      </w:numPr>
      <w:tabs>
        <w:tab w:val="clear" w:pos="567"/>
      </w:tabs>
      <w:spacing w:line="240" w:lineRule="atLeast"/>
      <w:ind w:hanging="431"/>
    </w:pPr>
    <w:rPr>
      <w:rFonts w:eastAsia="Arial Unicode MS" w:cs="Arial"/>
      <w:lang w:val="en-GB"/>
    </w:rPr>
  </w:style>
  <w:style w:type="paragraph" w:customStyle="1" w:styleId="Default">
    <w:name w:val="Default"/>
    <w:rsid w:val="008D23A7"/>
    <w:pPr>
      <w:autoSpaceDE w:val="0"/>
      <w:autoSpaceDN w:val="0"/>
      <w:adjustRightInd w:val="0"/>
    </w:pPr>
    <w:rPr>
      <w:rFonts w:ascii="Arial" w:hAnsi="Arial" w:cs="Arial"/>
      <w:color w:val="000000"/>
      <w:sz w:val="24"/>
      <w:szCs w:val="24"/>
      <w:lang w:val="en-AU" w:eastAsia="en-AU"/>
    </w:rPr>
  </w:style>
  <w:style w:type="paragraph" w:customStyle="1" w:styleId="WW-Default">
    <w:name w:val="WW-Default"/>
    <w:rsid w:val="008D23A7"/>
    <w:pPr>
      <w:suppressAutoHyphens/>
      <w:autoSpaceDE w:val="0"/>
    </w:pPr>
    <w:rPr>
      <w:rFonts w:ascii="Arial" w:eastAsia="Arial" w:hAnsi="Arial" w:cs="Arial"/>
      <w:color w:val="000000"/>
      <w:sz w:val="24"/>
      <w:szCs w:val="24"/>
      <w:lang w:val="en-US" w:eastAsia="ar-SA"/>
    </w:rPr>
  </w:style>
  <w:style w:type="character" w:styleId="Nmerodepgina">
    <w:name w:val="page number"/>
    <w:basedOn w:val="Fuentedeprrafopredeter"/>
    <w:rsid w:val="007A121B"/>
  </w:style>
  <w:style w:type="table" w:styleId="Tablaconcuadrcula">
    <w:name w:val="Table Grid"/>
    <w:basedOn w:val="Tablanormal"/>
    <w:rsid w:val="0060629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locked/>
    <w:rsid w:val="00D814EB"/>
    <w:rPr>
      <w:rFonts w:ascii="Times New Roman Bold" w:hAnsi="Times New Roman Bold" w:cs="Arial"/>
      <w:bCs/>
      <w:kern w:val="32"/>
      <w:sz w:val="24"/>
      <w:szCs w:val="24"/>
      <w:lang w:val="en-AU" w:eastAsia="en-US"/>
    </w:rPr>
  </w:style>
  <w:style w:type="character" w:customStyle="1" w:styleId="CharChar">
    <w:name w:val="Char Char"/>
    <w:locked/>
    <w:rsid w:val="007B1CB3"/>
    <w:rPr>
      <w:rFonts w:ascii="Times New Roman Bold" w:hAnsi="Times New Roman Bold" w:cs="Arial"/>
      <w:bCs/>
      <w:kern w:val="32"/>
      <w:sz w:val="24"/>
      <w:szCs w:val="24"/>
      <w:lang w:val="en-AU" w:eastAsia="en-US" w:bidi="ar-SA"/>
    </w:rPr>
  </w:style>
  <w:style w:type="paragraph" w:styleId="Textonotapie">
    <w:name w:val="footnote text"/>
    <w:basedOn w:val="Normal"/>
    <w:semiHidden/>
    <w:rsid w:val="009C7258"/>
    <w:rPr>
      <w:sz w:val="20"/>
      <w:szCs w:val="20"/>
    </w:rPr>
  </w:style>
  <w:style w:type="character" w:styleId="Refdenotaalpie">
    <w:name w:val="footnote reference"/>
    <w:semiHidden/>
    <w:rsid w:val="009C7258"/>
    <w:rPr>
      <w:vertAlign w:val="superscript"/>
    </w:rPr>
  </w:style>
  <w:style w:type="paragraph" w:styleId="Sinespaciado">
    <w:name w:val="No Spacing"/>
    <w:uiPriority w:val="1"/>
    <w:qFormat/>
    <w:rsid w:val="00244EBD"/>
    <w:rPr>
      <w:rFonts w:ascii="Calibri" w:eastAsia="Calibri" w:hAnsi="Calibri"/>
      <w:sz w:val="22"/>
      <w:szCs w:val="22"/>
      <w:lang w:val="en-AU" w:eastAsia="en-US"/>
    </w:rPr>
  </w:style>
  <w:style w:type="paragraph" w:styleId="Prrafodelista">
    <w:name w:val="List Paragraph"/>
    <w:aliases w:val="List Paragraph (numbered (a)),Lapis Bulleted List,Dot pt,F5 List Paragraph,No Spacing1,List Paragraph Char Char Char,Indicator Text,Numbered Para 1,Bullet 1,List Paragraph12,Bullet Points,MAIN CONTENT,WB Para,List 100s"/>
    <w:basedOn w:val="Normal"/>
    <w:uiPriority w:val="1"/>
    <w:qFormat/>
    <w:rsid w:val="00244EBD"/>
    <w:pPr>
      <w:spacing w:after="200" w:line="276" w:lineRule="auto"/>
      <w:ind w:left="720"/>
      <w:contextualSpacing/>
    </w:pPr>
    <w:rPr>
      <w:rFonts w:ascii="Calibri" w:eastAsia="Calibri" w:hAnsi="Calibri"/>
      <w:sz w:val="22"/>
      <w:szCs w:val="22"/>
    </w:rPr>
  </w:style>
  <w:style w:type="character" w:customStyle="1" w:styleId="st">
    <w:name w:val="st"/>
    <w:rsid w:val="00007232"/>
  </w:style>
  <w:style w:type="character" w:customStyle="1" w:styleId="preferred">
    <w:name w:val="preferred"/>
    <w:rsid w:val="002D1E01"/>
  </w:style>
  <w:style w:type="character" w:styleId="Hipervnculovisitado">
    <w:name w:val="FollowedHyperlink"/>
    <w:rsid w:val="00DD5C67"/>
    <w:rPr>
      <w:color w:val="954F72"/>
      <w:u w:val="single"/>
    </w:rPr>
  </w:style>
  <w:style w:type="character" w:customStyle="1" w:styleId="EncabezadoCar">
    <w:name w:val="Encabezado Car"/>
    <w:link w:val="Encabezado"/>
    <w:uiPriority w:val="99"/>
    <w:rsid w:val="00D200BC"/>
    <w:rPr>
      <w:rFonts w:ascii="Arial" w:hAnsi="Arial"/>
      <w:snapToGrid w:val="0"/>
      <w:sz w:val="22"/>
      <w:szCs w:val="24"/>
      <w:lang w:eastAsia="en-US"/>
    </w:rPr>
  </w:style>
  <w:style w:type="paragraph" w:styleId="NormalWeb">
    <w:name w:val="Normal (Web)"/>
    <w:basedOn w:val="Normal"/>
    <w:uiPriority w:val="99"/>
    <w:unhideWhenUsed/>
    <w:rsid w:val="00046F60"/>
    <w:pPr>
      <w:spacing w:before="100" w:beforeAutospacing="1" w:after="100" w:afterAutospacing="1"/>
    </w:pPr>
    <w:rPr>
      <w:lang w:val="en-US" w:eastAsia="zh-CN"/>
    </w:rPr>
  </w:style>
  <w:style w:type="paragraph" w:customStyle="1" w:styleId="ydp5ce225aamsolistparagraph">
    <w:name w:val="ydp5ce225aamsolistparagraph"/>
    <w:basedOn w:val="Normal"/>
    <w:rsid w:val="00040660"/>
    <w:pPr>
      <w:spacing w:before="100" w:beforeAutospacing="1" w:after="100" w:afterAutospacing="1"/>
    </w:pPr>
    <w:rPr>
      <w:rFonts w:ascii="Calibri" w:eastAsia="DengXian" w:hAnsi="Calibri" w:cs="Calibri"/>
      <w:sz w:val="22"/>
      <w:szCs w:val="22"/>
      <w:lang w:val="en-US" w:eastAsia="zh-CN"/>
    </w:rPr>
  </w:style>
  <w:style w:type="character" w:customStyle="1" w:styleId="UnresolvedMention1">
    <w:name w:val="Unresolved Mention1"/>
    <w:uiPriority w:val="99"/>
    <w:semiHidden/>
    <w:unhideWhenUsed/>
    <w:rsid w:val="009A5EF3"/>
    <w:rPr>
      <w:color w:val="605E5C"/>
      <w:shd w:val="clear" w:color="auto" w:fill="E1DFDD"/>
    </w:rPr>
  </w:style>
  <w:style w:type="paragraph" w:styleId="Revisin">
    <w:name w:val="Revision"/>
    <w:hidden/>
    <w:uiPriority w:val="99"/>
    <w:semiHidden/>
    <w:rsid w:val="000A58AE"/>
    <w:rPr>
      <w:sz w:val="24"/>
      <w:szCs w:val="24"/>
      <w:lang w:val="en-AU" w:eastAsia="en-US"/>
    </w:rPr>
  </w:style>
  <w:style w:type="paragraph" w:styleId="Textoindependiente">
    <w:name w:val="Body Text"/>
    <w:basedOn w:val="Normal"/>
    <w:link w:val="TextoindependienteCar"/>
    <w:rsid w:val="003B7C02"/>
    <w:pPr>
      <w:spacing w:after="120"/>
    </w:pPr>
  </w:style>
  <w:style w:type="character" w:customStyle="1" w:styleId="TextoindependienteCar">
    <w:name w:val="Texto independiente Car"/>
    <w:link w:val="Textoindependiente"/>
    <w:rsid w:val="003B7C02"/>
    <w:rPr>
      <w:sz w:val="24"/>
      <w:szCs w:val="24"/>
      <w:lang w:val="en-AU" w:eastAsia="en-US"/>
    </w:rPr>
  </w:style>
  <w:style w:type="character" w:customStyle="1" w:styleId="Aucun">
    <w:name w:val="Aucun"/>
    <w:rsid w:val="00EC7990"/>
    <w:rPr>
      <w:lang w:val="en-US"/>
    </w:rPr>
  </w:style>
  <w:style w:type="paragraph" w:customStyle="1" w:styleId="Corps">
    <w:name w:val="Corps"/>
    <w:rsid w:val="00EC7990"/>
    <w:pPr>
      <w:pBdr>
        <w:top w:val="nil"/>
        <w:left w:val="nil"/>
        <w:bottom w:val="nil"/>
        <w:right w:val="nil"/>
        <w:between w:val="nil"/>
        <w:bar w:val="nil"/>
      </w:pBdr>
    </w:pPr>
    <w:rPr>
      <w:rFonts w:ascii="Helvetica Neue" w:eastAsia="Helvetica Neue" w:hAnsi="Helvetica Neue" w:cs="Helvetica Neue"/>
      <w:color w:val="000000"/>
      <w:sz w:val="22"/>
      <w:szCs w:val="22"/>
      <w:bdr w:val="nil"/>
      <w:lang w:val="en-US" w:eastAsia="en-US"/>
      <w14:textOutline w14:w="0" w14:cap="flat" w14:cmpd="sng" w14:algn="ctr">
        <w14:noFill/>
        <w14:prstDash w14:val="solid"/>
        <w14:bevel/>
      </w14:textOutline>
    </w:rPr>
  </w:style>
  <w:style w:type="character" w:customStyle="1" w:styleId="TextocomentarioCar">
    <w:name w:val="Texto comentario Car"/>
    <w:basedOn w:val="Fuentedeprrafopredeter"/>
    <w:link w:val="Textocomentario"/>
    <w:uiPriority w:val="99"/>
    <w:semiHidden/>
    <w:rsid w:val="000151D3"/>
    <w:rPr>
      <w:lang w:val="en-AU" w:eastAsia="en-US"/>
    </w:rPr>
  </w:style>
  <w:style w:type="character" w:styleId="Mencinsinresolver">
    <w:name w:val="Unresolved Mention"/>
    <w:basedOn w:val="Fuentedeprrafopredeter"/>
    <w:uiPriority w:val="99"/>
    <w:semiHidden/>
    <w:unhideWhenUsed/>
    <w:rsid w:val="00405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3271">
      <w:bodyDiv w:val="1"/>
      <w:marLeft w:val="0"/>
      <w:marRight w:val="0"/>
      <w:marTop w:val="0"/>
      <w:marBottom w:val="0"/>
      <w:divBdr>
        <w:top w:val="none" w:sz="0" w:space="0" w:color="auto"/>
        <w:left w:val="none" w:sz="0" w:space="0" w:color="auto"/>
        <w:bottom w:val="none" w:sz="0" w:space="0" w:color="auto"/>
        <w:right w:val="none" w:sz="0" w:space="0" w:color="auto"/>
      </w:divBdr>
      <w:divsChild>
        <w:div w:id="696657768">
          <w:marLeft w:val="1138"/>
          <w:marRight w:val="0"/>
          <w:marTop w:val="0"/>
          <w:marBottom w:val="0"/>
          <w:divBdr>
            <w:top w:val="none" w:sz="0" w:space="0" w:color="auto"/>
            <w:left w:val="none" w:sz="0" w:space="0" w:color="auto"/>
            <w:bottom w:val="none" w:sz="0" w:space="0" w:color="auto"/>
            <w:right w:val="none" w:sz="0" w:space="0" w:color="auto"/>
          </w:divBdr>
        </w:div>
        <w:div w:id="912549738">
          <w:marLeft w:val="1138"/>
          <w:marRight w:val="0"/>
          <w:marTop w:val="0"/>
          <w:marBottom w:val="0"/>
          <w:divBdr>
            <w:top w:val="none" w:sz="0" w:space="0" w:color="auto"/>
            <w:left w:val="none" w:sz="0" w:space="0" w:color="auto"/>
            <w:bottom w:val="none" w:sz="0" w:space="0" w:color="auto"/>
            <w:right w:val="none" w:sz="0" w:space="0" w:color="auto"/>
          </w:divBdr>
        </w:div>
        <w:div w:id="919943135">
          <w:marLeft w:val="1138"/>
          <w:marRight w:val="0"/>
          <w:marTop w:val="0"/>
          <w:marBottom w:val="0"/>
          <w:divBdr>
            <w:top w:val="none" w:sz="0" w:space="0" w:color="auto"/>
            <w:left w:val="none" w:sz="0" w:space="0" w:color="auto"/>
            <w:bottom w:val="none" w:sz="0" w:space="0" w:color="auto"/>
            <w:right w:val="none" w:sz="0" w:space="0" w:color="auto"/>
          </w:divBdr>
        </w:div>
        <w:div w:id="1975140740">
          <w:marLeft w:val="1138"/>
          <w:marRight w:val="0"/>
          <w:marTop w:val="0"/>
          <w:marBottom w:val="0"/>
          <w:divBdr>
            <w:top w:val="none" w:sz="0" w:space="0" w:color="auto"/>
            <w:left w:val="none" w:sz="0" w:space="0" w:color="auto"/>
            <w:bottom w:val="none" w:sz="0" w:space="0" w:color="auto"/>
            <w:right w:val="none" w:sz="0" w:space="0" w:color="auto"/>
          </w:divBdr>
        </w:div>
      </w:divsChild>
    </w:div>
    <w:div w:id="57637506">
      <w:bodyDiv w:val="1"/>
      <w:marLeft w:val="0"/>
      <w:marRight w:val="0"/>
      <w:marTop w:val="0"/>
      <w:marBottom w:val="0"/>
      <w:divBdr>
        <w:top w:val="none" w:sz="0" w:space="0" w:color="auto"/>
        <w:left w:val="none" w:sz="0" w:space="0" w:color="auto"/>
        <w:bottom w:val="none" w:sz="0" w:space="0" w:color="auto"/>
        <w:right w:val="none" w:sz="0" w:space="0" w:color="auto"/>
      </w:divBdr>
    </w:div>
    <w:div w:id="255093777">
      <w:bodyDiv w:val="1"/>
      <w:marLeft w:val="0"/>
      <w:marRight w:val="0"/>
      <w:marTop w:val="0"/>
      <w:marBottom w:val="0"/>
      <w:divBdr>
        <w:top w:val="none" w:sz="0" w:space="0" w:color="auto"/>
        <w:left w:val="none" w:sz="0" w:space="0" w:color="auto"/>
        <w:bottom w:val="none" w:sz="0" w:space="0" w:color="auto"/>
        <w:right w:val="none" w:sz="0" w:space="0" w:color="auto"/>
      </w:divBdr>
      <w:divsChild>
        <w:div w:id="1351832946">
          <w:marLeft w:val="446"/>
          <w:marRight w:val="0"/>
          <w:marTop w:val="0"/>
          <w:marBottom w:val="0"/>
          <w:divBdr>
            <w:top w:val="none" w:sz="0" w:space="0" w:color="auto"/>
            <w:left w:val="none" w:sz="0" w:space="0" w:color="auto"/>
            <w:bottom w:val="none" w:sz="0" w:space="0" w:color="auto"/>
            <w:right w:val="none" w:sz="0" w:space="0" w:color="auto"/>
          </w:divBdr>
        </w:div>
        <w:div w:id="2082680629">
          <w:marLeft w:val="446"/>
          <w:marRight w:val="0"/>
          <w:marTop w:val="0"/>
          <w:marBottom w:val="0"/>
          <w:divBdr>
            <w:top w:val="none" w:sz="0" w:space="0" w:color="auto"/>
            <w:left w:val="none" w:sz="0" w:space="0" w:color="auto"/>
            <w:bottom w:val="none" w:sz="0" w:space="0" w:color="auto"/>
            <w:right w:val="none" w:sz="0" w:space="0" w:color="auto"/>
          </w:divBdr>
        </w:div>
      </w:divsChild>
    </w:div>
    <w:div w:id="282616317">
      <w:bodyDiv w:val="1"/>
      <w:marLeft w:val="0"/>
      <w:marRight w:val="0"/>
      <w:marTop w:val="0"/>
      <w:marBottom w:val="0"/>
      <w:divBdr>
        <w:top w:val="none" w:sz="0" w:space="0" w:color="auto"/>
        <w:left w:val="none" w:sz="0" w:space="0" w:color="auto"/>
        <w:bottom w:val="none" w:sz="0" w:space="0" w:color="auto"/>
        <w:right w:val="none" w:sz="0" w:space="0" w:color="auto"/>
      </w:divBdr>
      <w:divsChild>
        <w:div w:id="341130448">
          <w:marLeft w:val="360"/>
          <w:marRight w:val="0"/>
          <w:marTop w:val="200"/>
          <w:marBottom w:val="0"/>
          <w:divBdr>
            <w:top w:val="none" w:sz="0" w:space="0" w:color="auto"/>
            <w:left w:val="none" w:sz="0" w:space="0" w:color="auto"/>
            <w:bottom w:val="none" w:sz="0" w:space="0" w:color="auto"/>
            <w:right w:val="none" w:sz="0" w:space="0" w:color="auto"/>
          </w:divBdr>
        </w:div>
        <w:div w:id="563029772">
          <w:marLeft w:val="360"/>
          <w:marRight w:val="0"/>
          <w:marTop w:val="200"/>
          <w:marBottom w:val="0"/>
          <w:divBdr>
            <w:top w:val="none" w:sz="0" w:space="0" w:color="auto"/>
            <w:left w:val="none" w:sz="0" w:space="0" w:color="auto"/>
            <w:bottom w:val="none" w:sz="0" w:space="0" w:color="auto"/>
            <w:right w:val="none" w:sz="0" w:space="0" w:color="auto"/>
          </w:divBdr>
        </w:div>
        <w:div w:id="1095400960">
          <w:marLeft w:val="360"/>
          <w:marRight w:val="0"/>
          <w:marTop w:val="200"/>
          <w:marBottom w:val="0"/>
          <w:divBdr>
            <w:top w:val="none" w:sz="0" w:space="0" w:color="auto"/>
            <w:left w:val="none" w:sz="0" w:space="0" w:color="auto"/>
            <w:bottom w:val="none" w:sz="0" w:space="0" w:color="auto"/>
            <w:right w:val="none" w:sz="0" w:space="0" w:color="auto"/>
          </w:divBdr>
        </w:div>
      </w:divsChild>
    </w:div>
    <w:div w:id="306785198">
      <w:bodyDiv w:val="1"/>
      <w:marLeft w:val="0"/>
      <w:marRight w:val="0"/>
      <w:marTop w:val="0"/>
      <w:marBottom w:val="0"/>
      <w:divBdr>
        <w:top w:val="none" w:sz="0" w:space="0" w:color="auto"/>
        <w:left w:val="none" w:sz="0" w:space="0" w:color="auto"/>
        <w:bottom w:val="none" w:sz="0" w:space="0" w:color="auto"/>
        <w:right w:val="none" w:sz="0" w:space="0" w:color="auto"/>
      </w:divBdr>
    </w:div>
    <w:div w:id="344211175">
      <w:bodyDiv w:val="1"/>
      <w:marLeft w:val="0"/>
      <w:marRight w:val="0"/>
      <w:marTop w:val="0"/>
      <w:marBottom w:val="0"/>
      <w:divBdr>
        <w:top w:val="none" w:sz="0" w:space="0" w:color="auto"/>
        <w:left w:val="none" w:sz="0" w:space="0" w:color="auto"/>
        <w:bottom w:val="none" w:sz="0" w:space="0" w:color="auto"/>
        <w:right w:val="none" w:sz="0" w:space="0" w:color="auto"/>
      </w:divBdr>
    </w:div>
    <w:div w:id="377123206">
      <w:bodyDiv w:val="1"/>
      <w:marLeft w:val="0"/>
      <w:marRight w:val="0"/>
      <w:marTop w:val="0"/>
      <w:marBottom w:val="0"/>
      <w:divBdr>
        <w:top w:val="none" w:sz="0" w:space="0" w:color="auto"/>
        <w:left w:val="none" w:sz="0" w:space="0" w:color="auto"/>
        <w:bottom w:val="none" w:sz="0" w:space="0" w:color="auto"/>
        <w:right w:val="none" w:sz="0" w:space="0" w:color="auto"/>
      </w:divBdr>
    </w:div>
    <w:div w:id="423109365">
      <w:bodyDiv w:val="1"/>
      <w:marLeft w:val="0"/>
      <w:marRight w:val="0"/>
      <w:marTop w:val="0"/>
      <w:marBottom w:val="0"/>
      <w:divBdr>
        <w:top w:val="none" w:sz="0" w:space="0" w:color="auto"/>
        <w:left w:val="none" w:sz="0" w:space="0" w:color="auto"/>
        <w:bottom w:val="none" w:sz="0" w:space="0" w:color="auto"/>
        <w:right w:val="none" w:sz="0" w:space="0" w:color="auto"/>
      </w:divBdr>
    </w:div>
    <w:div w:id="473762959">
      <w:bodyDiv w:val="1"/>
      <w:marLeft w:val="0"/>
      <w:marRight w:val="0"/>
      <w:marTop w:val="0"/>
      <w:marBottom w:val="0"/>
      <w:divBdr>
        <w:top w:val="none" w:sz="0" w:space="0" w:color="auto"/>
        <w:left w:val="none" w:sz="0" w:space="0" w:color="auto"/>
        <w:bottom w:val="none" w:sz="0" w:space="0" w:color="auto"/>
        <w:right w:val="none" w:sz="0" w:space="0" w:color="auto"/>
      </w:divBdr>
      <w:divsChild>
        <w:div w:id="98767894">
          <w:marLeft w:val="547"/>
          <w:marRight w:val="0"/>
          <w:marTop w:val="200"/>
          <w:marBottom w:val="0"/>
          <w:divBdr>
            <w:top w:val="none" w:sz="0" w:space="0" w:color="auto"/>
            <w:left w:val="none" w:sz="0" w:space="0" w:color="auto"/>
            <w:bottom w:val="none" w:sz="0" w:space="0" w:color="auto"/>
            <w:right w:val="none" w:sz="0" w:space="0" w:color="auto"/>
          </w:divBdr>
        </w:div>
        <w:div w:id="170874553">
          <w:marLeft w:val="547"/>
          <w:marRight w:val="0"/>
          <w:marTop w:val="200"/>
          <w:marBottom w:val="0"/>
          <w:divBdr>
            <w:top w:val="none" w:sz="0" w:space="0" w:color="auto"/>
            <w:left w:val="none" w:sz="0" w:space="0" w:color="auto"/>
            <w:bottom w:val="none" w:sz="0" w:space="0" w:color="auto"/>
            <w:right w:val="none" w:sz="0" w:space="0" w:color="auto"/>
          </w:divBdr>
        </w:div>
        <w:div w:id="221986309">
          <w:marLeft w:val="547"/>
          <w:marRight w:val="0"/>
          <w:marTop w:val="200"/>
          <w:marBottom w:val="0"/>
          <w:divBdr>
            <w:top w:val="none" w:sz="0" w:space="0" w:color="auto"/>
            <w:left w:val="none" w:sz="0" w:space="0" w:color="auto"/>
            <w:bottom w:val="none" w:sz="0" w:space="0" w:color="auto"/>
            <w:right w:val="none" w:sz="0" w:space="0" w:color="auto"/>
          </w:divBdr>
        </w:div>
        <w:div w:id="257099834">
          <w:marLeft w:val="547"/>
          <w:marRight w:val="0"/>
          <w:marTop w:val="200"/>
          <w:marBottom w:val="0"/>
          <w:divBdr>
            <w:top w:val="none" w:sz="0" w:space="0" w:color="auto"/>
            <w:left w:val="none" w:sz="0" w:space="0" w:color="auto"/>
            <w:bottom w:val="none" w:sz="0" w:space="0" w:color="auto"/>
            <w:right w:val="none" w:sz="0" w:space="0" w:color="auto"/>
          </w:divBdr>
        </w:div>
        <w:div w:id="1149831981">
          <w:marLeft w:val="547"/>
          <w:marRight w:val="0"/>
          <w:marTop w:val="200"/>
          <w:marBottom w:val="0"/>
          <w:divBdr>
            <w:top w:val="none" w:sz="0" w:space="0" w:color="auto"/>
            <w:left w:val="none" w:sz="0" w:space="0" w:color="auto"/>
            <w:bottom w:val="none" w:sz="0" w:space="0" w:color="auto"/>
            <w:right w:val="none" w:sz="0" w:space="0" w:color="auto"/>
          </w:divBdr>
        </w:div>
        <w:div w:id="1202594261">
          <w:marLeft w:val="547"/>
          <w:marRight w:val="0"/>
          <w:marTop w:val="200"/>
          <w:marBottom w:val="0"/>
          <w:divBdr>
            <w:top w:val="none" w:sz="0" w:space="0" w:color="auto"/>
            <w:left w:val="none" w:sz="0" w:space="0" w:color="auto"/>
            <w:bottom w:val="none" w:sz="0" w:space="0" w:color="auto"/>
            <w:right w:val="none" w:sz="0" w:space="0" w:color="auto"/>
          </w:divBdr>
        </w:div>
        <w:div w:id="1274291017">
          <w:marLeft w:val="547"/>
          <w:marRight w:val="0"/>
          <w:marTop w:val="200"/>
          <w:marBottom w:val="0"/>
          <w:divBdr>
            <w:top w:val="none" w:sz="0" w:space="0" w:color="auto"/>
            <w:left w:val="none" w:sz="0" w:space="0" w:color="auto"/>
            <w:bottom w:val="none" w:sz="0" w:space="0" w:color="auto"/>
            <w:right w:val="none" w:sz="0" w:space="0" w:color="auto"/>
          </w:divBdr>
        </w:div>
        <w:div w:id="1305618927">
          <w:marLeft w:val="547"/>
          <w:marRight w:val="0"/>
          <w:marTop w:val="200"/>
          <w:marBottom w:val="0"/>
          <w:divBdr>
            <w:top w:val="none" w:sz="0" w:space="0" w:color="auto"/>
            <w:left w:val="none" w:sz="0" w:space="0" w:color="auto"/>
            <w:bottom w:val="none" w:sz="0" w:space="0" w:color="auto"/>
            <w:right w:val="none" w:sz="0" w:space="0" w:color="auto"/>
          </w:divBdr>
        </w:div>
        <w:div w:id="1595554146">
          <w:marLeft w:val="547"/>
          <w:marRight w:val="0"/>
          <w:marTop w:val="200"/>
          <w:marBottom w:val="0"/>
          <w:divBdr>
            <w:top w:val="none" w:sz="0" w:space="0" w:color="auto"/>
            <w:left w:val="none" w:sz="0" w:space="0" w:color="auto"/>
            <w:bottom w:val="none" w:sz="0" w:space="0" w:color="auto"/>
            <w:right w:val="none" w:sz="0" w:space="0" w:color="auto"/>
          </w:divBdr>
        </w:div>
        <w:div w:id="2003073221">
          <w:marLeft w:val="547"/>
          <w:marRight w:val="0"/>
          <w:marTop w:val="200"/>
          <w:marBottom w:val="0"/>
          <w:divBdr>
            <w:top w:val="none" w:sz="0" w:space="0" w:color="auto"/>
            <w:left w:val="none" w:sz="0" w:space="0" w:color="auto"/>
            <w:bottom w:val="none" w:sz="0" w:space="0" w:color="auto"/>
            <w:right w:val="none" w:sz="0" w:space="0" w:color="auto"/>
          </w:divBdr>
        </w:div>
      </w:divsChild>
    </w:div>
    <w:div w:id="497232873">
      <w:bodyDiv w:val="1"/>
      <w:marLeft w:val="0"/>
      <w:marRight w:val="0"/>
      <w:marTop w:val="0"/>
      <w:marBottom w:val="0"/>
      <w:divBdr>
        <w:top w:val="none" w:sz="0" w:space="0" w:color="auto"/>
        <w:left w:val="none" w:sz="0" w:space="0" w:color="auto"/>
        <w:bottom w:val="none" w:sz="0" w:space="0" w:color="auto"/>
        <w:right w:val="none" w:sz="0" w:space="0" w:color="auto"/>
      </w:divBdr>
    </w:div>
    <w:div w:id="513811742">
      <w:bodyDiv w:val="1"/>
      <w:marLeft w:val="0"/>
      <w:marRight w:val="0"/>
      <w:marTop w:val="0"/>
      <w:marBottom w:val="0"/>
      <w:divBdr>
        <w:top w:val="none" w:sz="0" w:space="0" w:color="auto"/>
        <w:left w:val="none" w:sz="0" w:space="0" w:color="auto"/>
        <w:bottom w:val="none" w:sz="0" w:space="0" w:color="auto"/>
        <w:right w:val="none" w:sz="0" w:space="0" w:color="auto"/>
      </w:divBdr>
      <w:divsChild>
        <w:div w:id="333192152">
          <w:marLeft w:val="360"/>
          <w:marRight w:val="0"/>
          <w:marTop w:val="200"/>
          <w:marBottom w:val="0"/>
          <w:divBdr>
            <w:top w:val="none" w:sz="0" w:space="0" w:color="auto"/>
            <w:left w:val="none" w:sz="0" w:space="0" w:color="auto"/>
            <w:bottom w:val="none" w:sz="0" w:space="0" w:color="auto"/>
            <w:right w:val="none" w:sz="0" w:space="0" w:color="auto"/>
          </w:divBdr>
        </w:div>
        <w:div w:id="663432145">
          <w:marLeft w:val="360"/>
          <w:marRight w:val="0"/>
          <w:marTop w:val="200"/>
          <w:marBottom w:val="0"/>
          <w:divBdr>
            <w:top w:val="none" w:sz="0" w:space="0" w:color="auto"/>
            <w:left w:val="none" w:sz="0" w:space="0" w:color="auto"/>
            <w:bottom w:val="none" w:sz="0" w:space="0" w:color="auto"/>
            <w:right w:val="none" w:sz="0" w:space="0" w:color="auto"/>
          </w:divBdr>
        </w:div>
        <w:div w:id="1789665530">
          <w:marLeft w:val="360"/>
          <w:marRight w:val="0"/>
          <w:marTop w:val="200"/>
          <w:marBottom w:val="0"/>
          <w:divBdr>
            <w:top w:val="none" w:sz="0" w:space="0" w:color="auto"/>
            <w:left w:val="none" w:sz="0" w:space="0" w:color="auto"/>
            <w:bottom w:val="none" w:sz="0" w:space="0" w:color="auto"/>
            <w:right w:val="none" w:sz="0" w:space="0" w:color="auto"/>
          </w:divBdr>
        </w:div>
        <w:div w:id="1798527777">
          <w:marLeft w:val="360"/>
          <w:marRight w:val="0"/>
          <w:marTop w:val="200"/>
          <w:marBottom w:val="0"/>
          <w:divBdr>
            <w:top w:val="none" w:sz="0" w:space="0" w:color="auto"/>
            <w:left w:val="none" w:sz="0" w:space="0" w:color="auto"/>
            <w:bottom w:val="none" w:sz="0" w:space="0" w:color="auto"/>
            <w:right w:val="none" w:sz="0" w:space="0" w:color="auto"/>
          </w:divBdr>
        </w:div>
        <w:div w:id="2049406086">
          <w:marLeft w:val="360"/>
          <w:marRight w:val="0"/>
          <w:marTop w:val="200"/>
          <w:marBottom w:val="0"/>
          <w:divBdr>
            <w:top w:val="none" w:sz="0" w:space="0" w:color="auto"/>
            <w:left w:val="none" w:sz="0" w:space="0" w:color="auto"/>
            <w:bottom w:val="none" w:sz="0" w:space="0" w:color="auto"/>
            <w:right w:val="none" w:sz="0" w:space="0" w:color="auto"/>
          </w:divBdr>
        </w:div>
      </w:divsChild>
    </w:div>
    <w:div w:id="587689584">
      <w:bodyDiv w:val="1"/>
      <w:marLeft w:val="0"/>
      <w:marRight w:val="0"/>
      <w:marTop w:val="0"/>
      <w:marBottom w:val="0"/>
      <w:divBdr>
        <w:top w:val="none" w:sz="0" w:space="0" w:color="auto"/>
        <w:left w:val="none" w:sz="0" w:space="0" w:color="auto"/>
        <w:bottom w:val="none" w:sz="0" w:space="0" w:color="auto"/>
        <w:right w:val="none" w:sz="0" w:space="0" w:color="auto"/>
      </w:divBdr>
    </w:div>
    <w:div w:id="590434929">
      <w:bodyDiv w:val="1"/>
      <w:marLeft w:val="0"/>
      <w:marRight w:val="0"/>
      <w:marTop w:val="0"/>
      <w:marBottom w:val="0"/>
      <w:divBdr>
        <w:top w:val="none" w:sz="0" w:space="0" w:color="auto"/>
        <w:left w:val="none" w:sz="0" w:space="0" w:color="auto"/>
        <w:bottom w:val="none" w:sz="0" w:space="0" w:color="auto"/>
        <w:right w:val="none" w:sz="0" w:space="0" w:color="auto"/>
      </w:divBdr>
      <w:divsChild>
        <w:div w:id="231814639">
          <w:marLeft w:val="547"/>
          <w:marRight w:val="0"/>
          <w:marTop w:val="200"/>
          <w:marBottom w:val="0"/>
          <w:divBdr>
            <w:top w:val="none" w:sz="0" w:space="0" w:color="auto"/>
            <w:left w:val="none" w:sz="0" w:space="0" w:color="auto"/>
            <w:bottom w:val="none" w:sz="0" w:space="0" w:color="auto"/>
            <w:right w:val="none" w:sz="0" w:space="0" w:color="auto"/>
          </w:divBdr>
        </w:div>
        <w:div w:id="772431534">
          <w:marLeft w:val="547"/>
          <w:marRight w:val="0"/>
          <w:marTop w:val="200"/>
          <w:marBottom w:val="0"/>
          <w:divBdr>
            <w:top w:val="none" w:sz="0" w:space="0" w:color="auto"/>
            <w:left w:val="none" w:sz="0" w:space="0" w:color="auto"/>
            <w:bottom w:val="none" w:sz="0" w:space="0" w:color="auto"/>
            <w:right w:val="none" w:sz="0" w:space="0" w:color="auto"/>
          </w:divBdr>
        </w:div>
        <w:div w:id="1143081161">
          <w:marLeft w:val="547"/>
          <w:marRight w:val="0"/>
          <w:marTop w:val="200"/>
          <w:marBottom w:val="0"/>
          <w:divBdr>
            <w:top w:val="none" w:sz="0" w:space="0" w:color="auto"/>
            <w:left w:val="none" w:sz="0" w:space="0" w:color="auto"/>
            <w:bottom w:val="none" w:sz="0" w:space="0" w:color="auto"/>
            <w:right w:val="none" w:sz="0" w:space="0" w:color="auto"/>
          </w:divBdr>
        </w:div>
        <w:div w:id="1290940811">
          <w:marLeft w:val="547"/>
          <w:marRight w:val="0"/>
          <w:marTop w:val="200"/>
          <w:marBottom w:val="0"/>
          <w:divBdr>
            <w:top w:val="none" w:sz="0" w:space="0" w:color="auto"/>
            <w:left w:val="none" w:sz="0" w:space="0" w:color="auto"/>
            <w:bottom w:val="none" w:sz="0" w:space="0" w:color="auto"/>
            <w:right w:val="none" w:sz="0" w:space="0" w:color="auto"/>
          </w:divBdr>
        </w:div>
        <w:div w:id="1668289868">
          <w:marLeft w:val="547"/>
          <w:marRight w:val="0"/>
          <w:marTop w:val="200"/>
          <w:marBottom w:val="0"/>
          <w:divBdr>
            <w:top w:val="none" w:sz="0" w:space="0" w:color="auto"/>
            <w:left w:val="none" w:sz="0" w:space="0" w:color="auto"/>
            <w:bottom w:val="none" w:sz="0" w:space="0" w:color="auto"/>
            <w:right w:val="none" w:sz="0" w:space="0" w:color="auto"/>
          </w:divBdr>
        </w:div>
      </w:divsChild>
    </w:div>
    <w:div w:id="682517717">
      <w:bodyDiv w:val="1"/>
      <w:marLeft w:val="0"/>
      <w:marRight w:val="0"/>
      <w:marTop w:val="0"/>
      <w:marBottom w:val="0"/>
      <w:divBdr>
        <w:top w:val="none" w:sz="0" w:space="0" w:color="auto"/>
        <w:left w:val="none" w:sz="0" w:space="0" w:color="auto"/>
        <w:bottom w:val="none" w:sz="0" w:space="0" w:color="auto"/>
        <w:right w:val="none" w:sz="0" w:space="0" w:color="auto"/>
      </w:divBdr>
      <w:divsChild>
        <w:div w:id="558900865">
          <w:marLeft w:val="547"/>
          <w:marRight w:val="0"/>
          <w:marTop w:val="200"/>
          <w:marBottom w:val="150"/>
          <w:divBdr>
            <w:top w:val="none" w:sz="0" w:space="0" w:color="auto"/>
            <w:left w:val="none" w:sz="0" w:space="0" w:color="auto"/>
            <w:bottom w:val="none" w:sz="0" w:space="0" w:color="auto"/>
            <w:right w:val="none" w:sz="0" w:space="0" w:color="auto"/>
          </w:divBdr>
        </w:div>
        <w:div w:id="748159962">
          <w:marLeft w:val="547"/>
          <w:marRight w:val="0"/>
          <w:marTop w:val="200"/>
          <w:marBottom w:val="150"/>
          <w:divBdr>
            <w:top w:val="none" w:sz="0" w:space="0" w:color="auto"/>
            <w:left w:val="none" w:sz="0" w:space="0" w:color="auto"/>
            <w:bottom w:val="none" w:sz="0" w:space="0" w:color="auto"/>
            <w:right w:val="none" w:sz="0" w:space="0" w:color="auto"/>
          </w:divBdr>
        </w:div>
        <w:div w:id="900409761">
          <w:marLeft w:val="547"/>
          <w:marRight w:val="0"/>
          <w:marTop w:val="200"/>
          <w:marBottom w:val="150"/>
          <w:divBdr>
            <w:top w:val="none" w:sz="0" w:space="0" w:color="auto"/>
            <w:left w:val="none" w:sz="0" w:space="0" w:color="auto"/>
            <w:bottom w:val="none" w:sz="0" w:space="0" w:color="auto"/>
            <w:right w:val="none" w:sz="0" w:space="0" w:color="auto"/>
          </w:divBdr>
        </w:div>
        <w:div w:id="1031222347">
          <w:marLeft w:val="547"/>
          <w:marRight w:val="0"/>
          <w:marTop w:val="200"/>
          <w:marBottom w:val="150"/>
          <w:divBdr>
            <w:top w:val="none" w:sz="0" w:space="0" w:color="auto"/>
            <w:left w:val="none" w:sz="0" w:space="0" w:color="auto"/>
            <w:bottom w:val="none" w:sz="0" w:space="0" w:color="auto"/>
            <w:right w:val="none" w:sz="0" w:space="0" w:color="auto"/>
          </w:divBdr>
        </w:div>
        <w:div w:id="1066563509">
          <w:marLeft w:val="547"/>
          <w:marRight w:val="0"/>
          <w:marTop w:val="200"/>
          <w:marBottom w:val="150"/>
          <w:divBdr>
            <w:top w:val="none" w:sz="0" w:space="0" w:color="auto"/>
            <w:left w:val="none" w:sz="0" w:space="0" w:color="auto"/>
            <w:bottom w:val="none" w:sz="0" w:space="0" w:color="auto"/>
            <w:right w:val="none" w:sz="0" w:space="0" w:color="auto"/>
          </w:divBdr>
        </w:div>
        <w:div w:id="1639915489">
          <w:marLeft w:val="547"/>
          <w:marRight w:val="0"/>
          <w:marTop w:val="200"/>
          <w:marBottom w:val="150"/>
          <w:divBdr>
            <w:top w:val="none" w:sz="0" w:space="0" w:color="auto"/>
            <w:left w:val="none" w:sz="0" w:space="0" w:color="auto"/>
            <w:bottom w:val="none" w:sz="0" w:space="0" w:color="auto"/>
            <w:right w:val="none" w:sz="0" w:space="0" w:color="auto"/>
          </w:divBdr>
        </w:div>
        <w:div w:id="1643999707">
          <w:marLeft w:val="547"/>
          <w:marRight w:val="0"/>
          <w:marTop w:val="200"/>
          <w:marBottom w:val="150"/>
          <w:divBdr>
            <w:top w:val="none" w:sz="0" w:space="0" w:color="auto"/>
            <w:left w:val="none" w:sz="0" w:space="0" w:color="auto"/>
            <w:bottom w:val="none" w:sz="0" w:space="0" w:color="auto"/>
            <w:right w:val="none" w:sz="0" w:space="0" w:color="auto"/>
          </w:divBdr>
        </w:div>
        <w:div w:id="1851678680">
          <w:marLeft w:val="547"/>
          <w:marRight w:val="0"/>
          <w:marTop w:val="200"/>
          <w:marBottom w:val="150"/>
          <w:divBdr>
            <w:top w:val="none" w:sz="0" w:space="0" w:color="auto"/>
            <w:left w:val="none" w:sz="0" w:space="0" w:color="auto"/>
            <w:bottom w:val="none" w:sz="0" w:space="0" w:color="auto"/>
            <w:right w:val="none" w:sz="0" w:space="0" w:color="auto"/>
          </w:divBdr>
        </w:div>
        <w:div w:id="2047287892">
          <w:marLeft w:val="547"/>
          <w:marRight w:val="0"/>
          <w:marTop w:val="200"/>
          <w:marBottom w:val="150"/>
          <w:divBdr>
            <w:top w:val="none" w:sz="0" w:space="0" w:color="auto"/>
            <w:left w:val="none" w:sz="0" w:space="0" w:color="auto"/>
            <w:bottom w:val="none" w:sz="0" w:space="0" w:color="auto"/>
            <w:right w:val="none" w:sz="0" w:space="0" w:color="auto"/>
          </w:divBdr>
        </w:div>
      </w:divsChild>
    </w:div>
    <w:div w:id="718674233">
      <w:bodyDiv w:val="1"/>
      <w:marLeft w:val="0"/>
      <w:marRight w:val="0"/>
      <w:marTop w:val="0"/>
      <w:marBottom w:val="0"/>
      <w:divBdr>
        <w:top w:val="none" w:sz="0" w:space="0" w:color="auto"/>
        <w:left w:val="none" w:sz="0" w:space="0" w:color="auto"/>
        <w:bottom w:val="none" w:sz="0" w:space="0" w:color="auto"/>
        <w:right w:val="none" w:sz="0" w:space="0" w:color="auto"/>
      </w:divBdr>
      <w:divsChild>
        <w:div w:id="39400446">
          <w:marLeft w:val="547"/>
          <w:marRight w:val="0"/>
          <w:marTop w:val="200"/>
          <w:marBottom w:val="0"/>
          <w:divBdr>
            <w:top w:val="none" w:sz="0" w:space="0" w:color="auto"/>
            <w:left w:val="none" w:sz="0" w:space="0" w:color="auto"/>
            <w:bottom w:val="none" w:sz="0" w:space="0" w:color="auto"/>
            <w:right w:val="none" w:sz="0" w:space="0" w:color="auto"/>
          </w:divBdr>
        </w:div>
        <w:div w:id="137264607">
          <w:marLeft w:val="547"/>
          <w:marRight w:val="0"/>
          <w:marTop w:val="200"/>
          <w:marBottom w:val="0"/>
          <w:divBdr>
            <w:top w:val="none" w:sz="0" w:space="0" w:color="auto"/>
            <w:left w:val="none" w:sz="0" w:space="0" w:color="auto"/>
            <w:bottom w:val="none" w:sz="0" w:space="0" w:color="auto"/>
            <w:right w:val="none" w:sz="0" w:space="0" w:color="auto"/>
          </w:divBdr>
        </w:div>
        <w:div w:id="143938693">
          <w:marLeft w:val="547"/>
          <w:marRight w:val="0"/>
          <w:marTop w:val="200"/>
          <w:marBottom w:val="0"/>
          <w:divBdr>
            <w:top w:val="none" w:sz="0" w:space="0" w:color="auto"/>
            <w:left w:val="none" w:sz="0" w:space="0" w:color="auto"/>
            <w:bottom w:val="none" w:sz="0" w:space="0" w:color="auto"/>
            <w:right w:val="none" w:sz="0" w:space="0" w:color="auto"/>
          </w:divBdr>
        </w:div>
        <w:div w:id="227961861">
          <w:marLeft w:val="547"/>
          <w:marRight w:val="0"/>
          <w:marTop w:val="200"/>
          <w:marBottom w:val="0"/>
          <w:divBdr>
            <w:top w:val="none" w:sz="0" w:space="0" w:color="auto"/>
            <w:left w:val="none" w:sz="0" w:space="0" w:color="auto"/>
            <w:bottom w:val="none" w:sz="0" w:space="0" w:color="auto"/>
            <w:right w:val="none" w:sz="0" w:space="0" w:color="auto"/>
          </w:divBdr>
        </w:div>
        <w:div w:id="735669030">
          <w:marLeft w:val="547"/>
          <w:marRight w:val="0"/>
          <w:marTop w:val="200"/>
          <w:marBottom w:val="0"/>
          <w:divBdr>
            <w:top w:val="none" w:sz="0" w:space="0" w:color="auto"/>
            <w:left w:val="none" w:sz="0" w:space="0" w:color="auto"/>
            <w:bottom w:val="none" w:sz="0" w:space="0" w:color="auto"/>
            <w:right w:val="none" w:sz="0" w:space="0" w:color="auto"/>
          </w:divBdr>
        </w:div>
        <w:div w:id="783501555">
          <w:marLeft w:val="547"/>
          <w:marRight w:val="0"/>
          <w:marTop w:val="200"/>
          <w:marBottom w:val="0"/>
          <w:divBdr>
            <w:top w:val="none" w:sz="0" w:space="0" w:color="auto"/>
            <w:left w:val="none" w:sz="0" w:space="0" w:color="auto"/>
            <w:bottom w:val="none" w:sz="0" w:space="0" w:color="auto"/>
            <w:right w:val="none" w:sz="0" w:space="0" w:color="auto"/>
          </w:divBdr>
        </w:div>
        <w:div w:id="1356224658">
          <w:marLeft w:val="547"/>
          <w:marRight w:val="0"/>
          <w:marTop w:val="200"/>
          <w:marBottom w:val="0"/>
          <w:divBdr>
            <w:top w:val="none" w:sz="0" w:space="0" w:color="auto"/>
            <w:left w:val="none" w:sz="0" w:space="0" w:color="auto"/>
            <w:bottom w:val="none" w:sz="0" w:space="0" w:color="auto"/>
            <w:right w:val="none" w:sz="0" w:space="0" w:color="auto"/>
          </w:divBdr>
        </w:div>
        <w:div w:id="1434015010">
          <w:marLeft w:val="547"/>
          <w:marRight w:val="0"/>
          <w:marTop w:val="200"/>
          <w:marBottom w:val="0"/>
          <w:divBdr>
            <w:top w:val="none" w:sz="0" w:space="0" w:color="auto"/>
            <w:left w:val="none" w:sz="0" w:space="0" w:color="auto"/>
            <w:bottom w:val="none" w:sz="0" w:space="0" w:color="auto"/>
            <w:right w:val="none" w:sz="0" w:space="0" w:color="auto"/>
          </w:divBdr>
        </w:div>
        <w:div w:id="1554736830">
          <w:marLeft w:val="547"/>
          <w:marRight w:val="0"/>
          <w:marTop w:val="200"/>
          <w:marBottom w:val="0"/>
          <w:divBdr>
            <w:top w:val="none" w:sz="0" w:space="0" w:color="auto"/>
            <w:left w:val="none" w:sz="0" w:space="0" w:color="auto"/>
            <w:bottom w:val="none" w:sz="0" w:space="0" w:color="auto"/>
            <w:right w:val="none" w:sz="0" w:space="0" w:color="auto"/>
          </w:divBdr>
        </w:div>
        <w:div w:id="1686514898">
          <w:marLeft w:val="547"/>
          <w:marRight w:val="0"/>
          <w:marTop w:val="200"/>
          <w:marBottom w:val="0"/>
          <w:divBdr>
            <w:top w:val="none" w:sz="0" w:space="0" w:color="auto"/>
            <w:left w:val="none" w:sz="0" w:space="0" w:color="auto"/>
            <w:bottom w:val="none" w:sz="0" w:space="0" w:color="auto"/>
            <w:right w:val="none" w:sz="0" w:space="0" w:color="auto"/>
          </w:divBdr>
        </w:div>
      </w:divsChild>
    </w:div>
    <w:div w:id="731347010">
      <w:bodyDiv w:val="1"/>
      <w:marLeft w:val="0"/>
      <w:marRight w:val="0"/>
      <w:marTop w:val="0"/>
      <w:marBottom w:val="0"/>
      <w:divBdr>
        <w:top w:val="none" w:sz="0" w:space="0" w:color="auto"/>
        <w:left w:val="none" w:sz="0" w:space="0" w:color="auto"/>
        <w:bottom w:val="none" w:sz="0" w:space="0" w:color="auto"/>
        <w:right w:val="none" w:sz="0" w:space="0" w:color="auto"/>
      </w:divBdr>
    </w:div>
    <w:div w:id="819882211">
      <w:bodyDiv w:val="1"/>
      <w:marLeft w:val="0"/>
      <w:marRight w:val="0"/>
      <w:marTop w:val="0"/>
      <w:marBottom w:val="0"/>
      <w:divBdr>
        <w:top w:val="none" w:sz="0" w:space="0" w:color="auto"/>
        <w:left w:val="none" w:sz="0" w:space="0" w:color="auto"/>
        <w:bottom w:val="none" w:sz="0" w:space="0" w:color="auto"/>
        <w:right w:val="none" w:sz="0" w:space="0" w:color="auto"/>
      </w:divBdr>
      <w:divsChild>
        <w:div w:id="214784187">
          <w:marLeft w:val="720"/>
          <w:marRight w:val="0"/>
          <w:marTop w:val="200"/>
          <w:marBottom w:val="0"/>
          <w:divBdr>
            <w:top w:val="none" w:sz="0" w:space="0" w:color="auto"/>
            <w:left w:val="none" w:sz="0" w:space="0" w:color="auto"/>
            <w:bottom w:val="none" w:sz="0" w:space="0" w:color="auto"/>
            <w:right w:val="none" w:sz="0" w:space="0" w:color="auto"/>
          </w:divBdr>
        </w:div>
        <w:div w:id="1068724701">
          <w:marLeft w:val="720"/>
          <w:marRight w:val="0"/>
          <w:marTop w:val="200"/>
          <w:marBottom w:val="0"/>
          <w:divBdr>
            <w:top w:val="none" w:sz="0" w:space="0" w:color="auto"/>
            <w:left w:val="none" w:sz="0" w:space="0" w:color="auto"/>
            <w:bottom w:val="none" w:sz="0" w:space="0" w:color="auto"/>
            <w:right w:val="none" w:sz="0" w:space="0" w:color="auto"/>
          </w:divBdr>
        </w:div>
        <w:div w:id="1231693507">
          <w:marLeft w:val="720"/>
          <w:marRight w:val="0"/>
          <w:marTop w:val="200"/>
          <w:marBottom w:val="0"/>
          <w:divBdr>
            <w:top w:val="none" w:sz="0" w:space="0" w:color="auto"/>
            <w:left w:val="none" w:sz="0" w:space="0" w:color="auto"/>
            <w:bottom w:val="none" w:sz="0" w:space="0" w:color="auto"/>
            <w:right w:val="none" w:sz="0" w:space="0" w:color="auto"/>
          </w:divBdr>
        </w:div>
        <w:div w:id="1437209766">
          <w:marLeft w:val="720"/>
          <w:marRight w:val="0"/>
          <w:marTop w:val="200"/>
          <w:marBottom w:val="0"/>
          <w:divBdr>
            <w:top w:val="none" w:sz="0" w:space="0" w:color="auto"/>
            <w:left w:val="none" w:sz="0" w:space="0" w:color="auto"/>
            <w:bottom w:val="none" w:sz="0" w:space="0" w:color="auto"/>
            <w:right w:val="none" w:sz="0" w:space="0" w:color="auto"/>
          </w:divBdr>
        </w:div>
        <w:div w:id="1615937382">
          <w:marLeft w:val="720"/>
          <w:marRight w:val="0"/>
          <w:marTop w:val="200"/>
          <w:marBottom w:val="0"/>
          <w:divBdr>
            <w:top w:val="none" w:sz="0" w:space="0" w:color="auto"/>
            <w:left w:val="none" w:sz="0" w:space="0" w:color="auto"/>
            <w:bottom w:val="none" w:sz="0" w:space="0" w:color="auto"/>
            <w:right w:val="none" w:sz="0" w:space="0" w:color="auto"/>
          </w:divBdr>
        </w:div>
        <w:div w:id="1638606609">
          <w:marLeft w:val="720"/>
          <w:marRight w:val="0"/>
          <w:marTop w:val="200"/>
          <w:marBottom w:val="0"/>
          <w:divBdr>
            <w:top w:val="none" w:sz="0" w:space="0" w:color="auto"/>
            <w:left w:val="none" w:sz="0" w:space="0" w:color="auto"/>
            <w:bottom w:val="none" w:sz="0" w:space="0" w:color="auto"/>
            <w:right w:val="none" w:sz="0" w:space="0" w:color="auto"/>
          </w:divBdr>
        </w:div>
        <w:div w:id="1779327485">
          <w:marLeft w:val="720"/>
          <w:marRight w:val="0"/>
          <w:marTop w:val="200"/>
          <w:marBottom w:val="150"/>
          <w:divBdr>
            <w:top w:val="none" w:sz="0" w:space="0" w:color="auto"/>
            <w:left w:val="none" w:sz="0" w:space="0" w:color="auto"/>
            <w:bottom w:val="none" w:sz="0" w:space="0" w:color="auto"/>
            <w:right w:val="none" w:sz="0" w:space="0" w:color="auto"/>
          </w:divBdr>
        </w:div>
        <w:div w:id="2003049518">
          <w:marLeft w:val="720"/>
          <w:marRight w:val="0"/>
          <w:marTop w:val="200"/>
          <w:marBottom w:val="0"/>
          <w:divBdr>
            <w:top w:val="none" w:sz="0" w:space="0" w:color="auto"/>
            <w:left w:val="none" w:sz="0" w:space="0" w:color="auto"/>
            <w:bottom w:val="none" w:sz="0" w:space="0" w:color="auto"/>
            <w:right w:val="none" w:sz="0" w:space="0" w:color="auto"/>
          </w:divBdr>
        </w:div>
      </w:divsChild>
    </w:div>
    <w:div w:id="848250024">
      <w:bodyDiv w:val="1"/>
      <w:marLeft w:val="0"/>
      <w:marRight w:val="0"/>
      <w:marTop w:val="0"/>
      <w:marBottom w:val="0"/>
      <w:divBdr>
        <w:top w:val="none" w:sz="0" w:space="0" w:color="auto"/>
        <w:left w:val="none" w:sz="0" w:space="0" w:color="auto"/>
        <w:bottom w:val="none" w:sz="0" w:space="0" w:color="auto"/>
        <w:right w:val="none" w:sz="0" w:space="0" w:color="auto"/>
      </w:divBdr>
      <w:divsChild>
        <w:div w:id="79180271">
          <w:marLeft w:val="806"/>
          <w:marRight w:val="0"/>
          <w:marTop w:val="200"/>
          <w:marBottom w:val="0"/>
          <w:divBdr>
            <w:top w:val="none" w:sz="0" w:space="0" w:color="auto"/>
            <w:left w:val="none" w:sz="0" w:space="0" w:color="auto"/>
            <w:bottom w:val="none" w:sz="0" w:space="0" w:color="auto"/>
            <w:right w:val="none" w:sz="0" w:space="0" w:color="auto"/>
          </w:divBdr>
        </w:div>
        <w:div w:id="796878757">
          <w:marLeft w:val="806"/>
          <w:marRight w:val="0"/>
          <w:marTop w:val="200"/>
          <w:marBottom w:val="0"/>
          <w:divBdr>
            <w:top w:val="none" w:sz="0" w:space="0" w:color="auto"/>
            <w:left w:val="none" w:sz="0" w:space="0" w:color="auto"/>
            <w:bottom w:val="none" w:sz="0" w:space="0" w:color="auto"/>
            <w:right w:val="none" w:sz="0" w:space="0" w:color="auto"/>
          </w:divBdr>
        </w:div>
        <w:div w:id="908730145">
          <w:marLeft w:val="806"/>
          <w:marRight w:val="0"/>
          <w:marTop w:val="200"/>
          <w:marBottom w:val="0"/>
          <w:divBdr>
            <w:top w:val="none" w:sz="0" w:space="0" w:color="auto"/>
            <w:left w:val="none" w:sz="0" w:space="0" w:color="auto"/>
            <w:bottom w:val="none" w:sz="0" w:space="0" w:color="auto"/>
            <w:right w:val="none" w:sz="0" w:space="0" w:color="auto"/>
          </w:divBdr>
        </w:div>
        <w:div w:id="1114440101">
          <w:marLeft w:val="806"/>
          <w:marRight w:val="0"/>
          <w:marTop w:val="200"/>
          <w:marBottom w:val="0"/>
          <w:divBdr>
            <w:top w:val="none" w:sz="0" w:space="0" w:color="auto"/>
            <w:left w:val="none" w:sz="0" w:space="0" w:color="auto"/>
            <w:bottom w:val="none" w:sz="0" w:space="0" w:color="auto"/>
            <w:right w:val="none" w:sz="0" w:space="0" w:color="auto"/>
          </w:divBdr>
        </w:div>
        <w:div w:id="1164858561">
          <w:marLeft w:val="806"/>
          <w:marRight w:val="0"/>
          <w:marTop w:val="200"/>
          <w:marBottom w:val="0"/>
          <w:divBdr>
            <w:top w:val="none" w:sz="0" w:space="0" w:color="auto"/>
            <w:left w:val="none" w:sz="0" w:space="0" w:color="auto"/>
            <w:bottom w:val="none" w:sz="0" w:space="0" w:color="auto"/>
            <w:right w:val="none" w:sz="0" w:space="0" w:color="auto"/>
          </w:divBdr>
        </w:div>
        <w:div w:id="1958363991">
          <w:marLeft w:val="806"/>
          <w:marRight w:val="0"/>
          <w:marTop w:val="200"/>
          <w:marBottom w:val="0"/>
          <w:divBdr>
            <w:top w:val="none" w:sz="0" w:space="0" w:color="auto"/>
            <w:left w:val="none" w:sz="0" w:space="0" w:color="auto"/>
            <w:bottom w:val="none" w:sz="0" w:space="0" w:color="auto"/>
            <w:right w:val="none" w:sz="0" w:space="0" w:color="auto"/>
          </w:divBdr>
        </w:div>
      </w:divsChild>
    </w:div>
    <w:div w:id="880363272">
      <w:bodyDiv w:val="1"/>
      <w:marLeft w:val="0"/>
      <w:marRight w:val="0"/>
      <w:marTop w:val="0"/>
      <w:marBottom w:val="0"/>
      <w:divBdr>
        <w:top w:val="none" w:sz="0" w:space="0" w:color="auto"/>
        <w:left w:val="none" w:sz="0" w:space="0" w:color="auto"/>
        <w:bottom w:val="none" w:sz="0" w:space="0" w:color="auto"/>
        <w:right w:val="none" w:sz="0" w:space="0" w:color="auto"/>
      </w:divBdr>
      <w:divsChild>
        <w:div w:id="101269385">
          <w:marLeft w:val="547"/>
          <w:marRight w:val="0"/>
          <w:marTop w:val="0"/>
          <w:marBottom w:val="0"/>
          <w:divBdr>
            <w:top w:val="none" w:sz="0" w:space="0" w:color="auto"/>
            <w:left w:val="none" w:sz="0" w:space="0" w:color="auto"/>
            <w:bottom w:val="none" w:sz="0" w:space="0" w:color="auto"/>
            <w:right w:val="none" w:sz="0" w:space="0" w:color="auto"/>
          </w:divBdr>
        </w:div>
        <w:div w:id="568808183">
          <w:marLeft w:val="547"/>
          <w:marRight w:val="0"/>
          <w:marTop w:val="0"/>
          <w:marBottom w:val="0"/>
          <w:divBdr>
            <w:top w:val="none" w:sz="0" w:space="0" w:color="auto"/>
            <w:left w:val="none" w:sz="0" w:space="0" w:color="auto"/>
            <w:bottom w:val="none" w:sz="0" w:space="0" w:color="auto"/>
            <w:right w:val="none" w:sz="0" w:space="0" w:color="auto"/>
          </w:divBdr>
        </w:div>
        <w:div w:id="1107385515">
          <w:marLeft w:val="547"/>
          <w:marRight w:val="0"/>
          <w:marTop w:val="0"/>
          <w:marBottom w:val="0"/>
          <w:divBdr>
            <w:top w:val="none" w:sz="0" w:space="0" w:color="auto"/>
            <w:left w:val="none" w:sz="0" w:space="0" w:color="auto"/>
            <w:bottom w:val="none" w:sz="0" w:space="0" w:color="auto"/>
            <w:right w:val="none" w:sz="0" w:space="0" w:color="auto"/>
          </w:divBdr>
        </w:div>
        <w:div w:id="1360862597">
          <w:marLeft w:val="547"/>
          <w:marRight w:val="0"/>
          <w:marTop w:val="0"/>
          <w:marBottom w:val="0"/>
          <w:divBdr>
            <w:top w:val="none" w:sz="0" w:space="0" w:color="auto"/>
            <w:left w:val="none" w:sz="0" w:space="0" w:color="auto"/>
            <w:bottom w:val="none" w:sz="0" w:space="0" w:color="auto"/>
            <w:right w:val="none" w:sz="0" w:space="0" w:color="auto"/>
          </w:divBdr>
        </w:div>
        <w:div w:id="1803186914">
          <w:marLeft w:val="547"/>
          <w:marRight w:val="0"/>
          <w:marTop w:val="0"/>
          <w:marBottom w:val="0"/>
          <w:divBdr>
            <w:top w:val="none" w:sz="0" w:space="0" w:color="auto"/>
            <w:left w:val="none" w:sz="0" w:space="0" w:color="auto"/>
            <w:bottom w:val="none" w:sz="0" w:space="0" w:color="auto"/>
            <w:right w:val="none" w:sz="0" w:space="0" w:color="auto"/>
          </w:divBdr>
        </w:div>
      </w:divsChild>
    </w:div>
    <w:div w:id="941381205">
      <w:bodyDiv w:val="1"/>
      <w:marLeft w:val="0"/>
      <w:marRight w:val="0"/>
      <w:marTop w:val="0"/>
      <w:marBottom w:val="0"/>
      <w:divBdr>
        <w:top w:val="none" w:sz="0" w:space="0" w:color="auto"/>
        <w:left w:val="none" w:sz="0" w:space="0" w:color="auto"/>
        <w:bottom w:val="none" w:sz="0" w:space="0" w:color="auto"/>
        <w:right w:val="none" w:sz="0" w:space="0" w:color="auto"/>
      </w:divBdr>
      <w:divsChild>
        <w:div w:id="2125883077">
          <w:marLeft w:val="446"/>
          <w:marRight w:val="0"/>
          <w:marTop w:val="0"/>
          <w:marBottom w:val="0"/>
          <w:divBdr>
            <w:top w:val="none" w:sz="0" w:space="0" w:color="auto"/>
            <w:left w:val="none" w:sz="0" w:space="0" w:color="auto"/>
            <w:bottom w:val="none" w:sz="0" w:space="0" w:color="auto"/>
            <w:right w:val="none" w:sz="0" w:space="0" w:color="auto"/>
          </w:divBdr>
        </w:div>
      </w:divsChild>
    </w:div>
    <w:div w:id="1060059722">
      <w:bodyDiv w:val="1"/>
      <w:marLeft w:val="0"/>
      <w:marRight w:val="0"/>
      <w:marTop w:val="0"/>
      <w:marBottom w:val="0"/>
      <w:divBdr>
        <w:top w:val="none" w:sz="0" w:space="0" w:color="auto"/>
        <w:left w:val="none" w:sz="0" w:space="0" w:color="auto"/>
        <w:bottom w:val="none" w:sz="0" w:space="0" w:color="auto"/>
        <w:right w:val="none" w:sz="0" w:space="0" w:color="auto"/>
      </w:divBdr>
    </w:div>
    <w:div w:id="1121461206">
      <w:bodyDiv w:val="1"/>
      <w:marLeft w:val="0"/>
      <w:marRight w:val="0"/>
      <w:marTop w:val="0"/>
      <w:marBottom w:val="0"/>
      <w:divBdr>
        <w:top w:val="none" w:sz="0" w:space="0" w:color="auto"/>
        <w:left w:val="none" w:sz="0" w:space="0" w:color="auto"/>
        <w:bottom w:val="none" w:sz="0" w:space="0" w:color="auto"/>
        <w:right w:val="none" w:sz="0" w:space="0" w:color="auto"/>
      </w:divBdr>
    </w:div>
    <w:div w:id="1155268994">
      <w:bodyDiv w:val="1"/>
      <w:marLeft w:val="0"/>
      <w:marRight w:val="0"/>
      <w:marTop w:val="0"/>
      <w:marBottom w:val="0"/>
      <w:divBdr>
        <w:top w:val="none" w:sz="0" w:space="0" w:color="auto"/>
        <w:left w:val="none" w:sz="0" w:space="0" w:color="auto"/>
        <w:bottom w:val="none" w:sz="0" w:space="0" w:color="auto"/>
        <w:right w:val="none" w:sz="0" w:space="0" w:color="auto"/>
      </w:divBdr>
      <w:divsChild>
        <w:div w:id="1114324065">
          <w:marLeft w:val="547"/>
          <w:marRight w:val="0"/>
          <w:marTop w:val="0"/>
          <w:marBottom w:val="200"/>
          <w:divBdr>
            <w:top w:val="none" w:sz="0" w:space="0" w:color="auto"/>
            <w:left w:val="none" w:sz="0" w:space="0" w:color="auto"/>
            <w:bottom w:val="none" w:sz="0" w:space="0" w:color="auto"/>
            <w:right w:val="none" w:sz="0" w:space="0" w:color="auto"/>
          </w:divBdr>
        </w:div>
        <w:div w:id="1362197494">
          <w:marLeft w:val="547"/>
          <w:marRight w:val="0"/>
          <w:marTop w:val="0"/>
          <w:marBottom w:val="200"/>
          <w:divBdr>
            <w:top w:val="none" w:sz="0" w:space="0" w:color="auto"/>
            <w:left w:val="none" w:sz="0" w:space="0" w:color="auto"/>
            <w:bottom w:val="none" w:sz="0" w:space="0" w:color="auto"/>
            <w:right w:val="none" w:sz="0" w:space="0" w:color="auto"/>
          </w:divBdr>
        </w:div>
        <w:div w:id="1871335209">
          <w:marLeft w:val="547"/>
          <w:marRight w:val="0"/>
          <w:marTop w:val="0"/>
          <w:marBottom w:val="200"/>
          <w:divBdr>
            <w:top w:val="none" w:sz="0" w:space="0" w:color="auto"/>
            <w:left w:val="none" w:sz="0" w:space="0" w:color="auto"/>
            <w:bottom w:val="none" w:sz="0" w:space="0" w:color="auto"/>
            <w:right w:val="none" w:sz="0" w:space="0" w:color="auto"/>
          </w:divBdr>
        </w:div>
      </w:divsChild>
    </w:div>
    <w:div w:id="1182356527">
      <w:bodyDiv w:val="1"/>
      <w:marLeft w:val="0"/>
      <w:marRight w:val="0"/>
      <w:marTop w:val="0"/>
      <w:marBottom w:val="0"/>
      <w:divBdr>
        <w:top w:val="none" w:sz="0" w:space="0" w:color="auto"/>
        <w:left w:val="none" w:sz="0" w:space="0" w:color="auto"/>
        <w:bottom w:val="none" w:sz="0" w:space="0" w:color="auto"/>
        <w:right w:val="none" w:sz="0" w:space="0" w:color="auto"/>
      </w:divBdr>
    </w:div>
    <w:div w:id="1337461381">
      <w:bodyDiv w:val="1"/>
      <w:marLeft w:val="0"/>
      <w:marRight w:val="0"/>
      <w:marTop w:val="0"/>
      <w:marBottom w:val="0"/>
      <w:divBdr>
        <w:top w:val="none" w:sz="0" w:space="0" w:color="auto"/>
        <w:left w:val="none" w:sz="0" w:space="0" w:color="auto"/>
        <w:bottom w:val="none" w:sz="0" w:space="0" w:color="auto"/>
        <w:right w:val="none" w:sz="0" w:space="0" w:color="auto"/>
      </w:divBdr>
      <w:divsChild>
        <w:div w:id="511258351">
          <w:marLeft w:val="547"/>
          <w:marRight w:val="0"/>
          <w:marTop w:val="200"/>
          <w:marBottom w:val="160"/>
          <w:divBdr>
            <w:top w:val="none" w:sz="0" w:space="0" w:color="auto"/>
            <w:left w:val="none" w:sz="0" w:space="0" w:color="auto"/>
            <w:bottom w:val="none" w:sz="0" w:space="0" w:color="auto"/>
            <w:right w:val="none" w:sz="0" w:space="0" w:color="auto"/>
          </w:divBdr>
        </w:div>
        <w:div w:id="713502191">
          <w:marLeft w:val="547"/>
          <w:marRight w:val="0"/>
          <w:marTop w:val="200"/>
          <w:marBottom w:val="160"/>
          <w:divBdr>
            <w:top w:val="none" w:sz="0" w:space="0" w:color="auto"/>
            <w:left w:val="none" w:sz="0" w:space="0" w:color="auto"/>
            <w:bottom w:val="none" w:sz="0" w:space="0" w:color="auto"/>
            <w:right w:val="none" w:sz="0" w:space="0" w:color="auto"/>
          </w:divBdr>
        </w:div>
        <w:div w:id="1090615579">
          <w:marLeft w:val="547"/>
          <w:marRight w:val="0"/>
          <w:marTop w:val="200"/>
          <w:marBottom w:val="160"/>
          <w:divBdr>
            <w:top w:val="none" w:sz="0" w:space="0" w:color="auto"/>
            <w:left w:val="none" w:sz="0" w:space="0" w:color="auto"/>
            <w:bottom w:val="none" w:sz="0" w:space="0" w:color="auto"/>
            <w:right w:val="none" w:sz="0" w:space="0" w:color="auto"/>
          </w:divBdr>
        </w:div>
      </w:divsChild>
    </w:div>
    <w:div w:id="1493839795">
      <w:bodyDiv w:val="1"/>
      <w:marLeft w:val="0"/>
      <w:marRight w:val="0"/>
      <w:marTop w:val="0"/>
      <w:marBottom w:val="0"/>
      <w:divBdr>
        <w:top w:val="none" w:sz="0" w:space="0" w:color="auto"/>
        <w:left w:val="none" w:sz="0" w:space="0" w:color="auto"/>
        <w:bottom w:val="none" w:sz="0" w:space="0" w:color="auto"/>
        <w:right w:val="none" w:sz="0" w:space="0" w:color="auto"/>
      </w:divBdr>
    </w:div>
    <w:div w:id="1552887294">
      <w:bodyDiv w:val="1"/>
      <w:marLeft w:val="0"/>
      <w:marRight w:val="0"/>
      <w:marTop w:val="0"/>
      <w:marBottom w:val="0"/>
      <w:divBdr>
        <w:top w:val="none" w:sz="0" w:space="0" w:color="auto"/>
        <w:left w:val="none" w:sz="0" w:space="0" w:color="auto"/>
        <w:bottom w:val="none" w:sz="0" w:space="0" w:color="auto"/>
        <w:right w:val="none" w:sz="0" w:space="0" w:color="auto"/>
      </w:divBdr>
      <w:divsChild>
        <w:div w:id="418985536">
          <w:marLeft w:val="850"/>
          <w:marRight w:val="0"/>
          <w:marTop w:val="0"/>
          <w:marBottom w:val="0"/>
          <w:divBdr>
            <w:top w:val="none" w:sz="0" w:space="0" w:color="auto"/>
            <w:left w:val="none" w:sz="0" w:space="0" w:color="auto"/>
            <w:bottom w:val="none" w:sz="0" w:space="0" w:color="auto"/>
            <w:right w:val="none" w:sz="0" w:space="0" w:color="auto"/>
          </w:divBdr>
        </w:div>
      </w:divsChild>
    </w:div>
    <w:div w:id="1779912178">
      <w:bodyDiv w:val="1"/>
      <w:marLeft w:val="0"/>
      <w:marRight w:val="0"/>
      <w:marTop w:val="0"/>
      <w:marBottom w:val="0"/>
      <w:divBdr>
        <w:top w:val="none" w:sz="0" w:space="0" w:color="auto"/>
        <w:left w:val="none" w:sz="0" w:space="0" w:color="auto"/>
        <w:bottom w:val="none" w:sz="0" w:space="0" w:color="auto"/>
        <w:right w:val="none" w:sz="0" w:space="0" w:color="auto"/>
      </w:divBdr>
      <w:divsChild>
        <w:div w:id="128210739">
          <w:marLeft w:val="806"/>
          <w:marRight w:val="0"/>
          <w:marTop w:val="75"/>
          <w:marBottom w:val="0"/>
          <w:divBdr>
            <w:top w:val="none" w:sz="0" w:space="0" w:color="auto"/>
            <w:left w:val="none" w:sz="0" w:space="0" w:color="auto"/>
            <w:bottom w:val="none" w:sz="0" w:space="0" w:color="auto"/>
            <w:right w:val="none" w:sz="0" w:space="0" w:color="auto"/>
          </w:divBdr>
        </w:div>
        <w:div w:id="146286819">
          <w:marLeft w:val="806"/>
          <w:marRight w:val="0"/>
          <w:marTop w:val="75"/>
          <w:marBottom w:val="0"/>
          <w:divBdr>
            <w:top w:val="none" w:sz="0" w:space="0" w:color="auto"/>
            <w:left w:val="none" w:sz="0" w:space="0" w:color="auto"/>
            <w:bottom w:val="none" w:sz="0" w:space="0" w:color="auto"/>
            <w:right w:val="none" w:sz="0" w:space="0" w:color="auto"/>
          </w:divBdr>
        </w:div>
        <w:div w:id="941573731">
          <w:marLeft w:val="806"/>
          <w:marRight w:val="0"/>
          <w:marTop w:val="75"/>
          <w:marBottom w:val="0"/>
          <w:divBdr>
            <w:top w:val="none" w:sz="0" w:space="0" w:color="auto"/>
            <w:left w:val="none" w:sz="0" w:space="0" w:color="auto"/>
            <w:bottom w:val="none" w:sz="0" w:space="0" w:color="auto"/>
            <w:right w:val="none" w:sz="0" w:space="0" w:color="auto"/>
          </w:divBdr>
        </w:div>
      </w:divsChild>
    </w:div>
    <w:div w:id="1836997394">
      <w:bodyDiv w:val="1"/>
      <w:marLeft w:val="0"/>
      <w:marRight w:val="0"/>
      <w:marTop w:val="0"/>
      <w:marBottom w:val="0"/>
      <w:divBdr>
        <w:top w:val="none" w:sz="0" w:space="0" w:color="auto"/>
        <w:left w:val="none" w:sz="0" w:space="0" w:color="auto"/>
        <w:bottom w:val="none" w:sz="0" w:space="0" w:color="auto"/>
        <w:right w:val="none" w:sz="0" w:space="0" w:color="auto"/>
      </w:divBdr>
      <w:divsChild>
        <w:div w:id="240411969">
          <w:marLeft w:val="446"/>
          <w:marRight w:val="58"/>
          <w:marTop w:val="100"/>
          <w:marBottom w:val="0"/>
          <w:divBdr>
            <w:top w:val="none" w:sz="0" w:space="0" w:color="auto"/>
            <w:left w:val="none" w:sz="0" w:space="0" w:color="auto"/>
            <w:bottom w:val="none" w:sz="0" w:space="0" w:color="auto"/>
            <w:right w:val="none" w:sz="0" w:space="0" w:color="auto"/>
          </w:divBdr>
        </w:div>
        <w:div w:id="1505364384">
          <w:marLeft w:val="446"/>
          <w:marRight w:val="58"/>
          <w:marTop w:val="0"/>
          <w:marBottom w:val="0"/>
          <w:divBdr>
            <w:top w:val="none" w:sz="0" w:space="0" w:color="auto"/>
            <w:left w:val="none" w:sz="0" w:space="0" w:color="auto"/>
            <w:bottom w:val="none" w:sz="0" w:space="0" w:color="auto"/>
            <w:right w:val="none" w:sz="0" w:space="0" w:color="auto"/>
          </w:divBdr>
        </w:div>
        <w:div w:id="1579173763">
          <w:marLeft w:val="446"/>
          <w:marRight w:val="58"/>
          <w:marTop w:val="62"/>
          <w:marBottom w:val="0"/>
          <w:divBdr>
            <w:top w:val="none" w:sz="0" w:space="0" w:color="auto"/>
            <w:left w:val="none" w:sz="0" w:space="0" w:color="auto"/>
            <w:bottom w:val="none" w:sz="0" w:space="0" w:color="auto"/>
            <w:right w:val="none" w:sz="0" w:space="0" w:color="auto"/>
          </w:divBdr>
        </w:div>
        <w:div w:id="1753114624">
          <w:marLeft w:val="446"/>
          <w:marRight w:val="0"/>
          <w:marTop w:val="0"/>
          <w:marBottom w:val="0"/>
          <w:divBdr>
            <w:top w:val="none" w:sz="0" w:space="0" w:color="auto"/>
            <w:left w:val="none" w:sz="0" w:space="0" w:color="auto"/>
            <w:bottom w:val="none" w:sz="0" w:space="0" w:color="auto"/>
            <w:right w:val="none" w:sz="0" w:space="0" w:color="auto"/>
          </w:divBdr>
        </w:div>
        <w:div w:id="1917087362">
          <w:marLeft w:val="446"/>
          <w:marRight w:val="58"/>
          <w:marTop w:val="62"/>
          <w:marBottom w:val="0"/>
          <w:divBdr>
            <w:top w:val="none" w:sz="0" w:space="0" w:color="auto"/>
            <w:left w:val="none" w:sz="0" w:space="0" w:color="auto"/>
            <w:bottom w:val="none" w:sz="0" w:space="0" w:color="auto"/>
            <w:right w:val="none" w:sz="0" w:space="0" w:color="auto"/>
          </w:divBdr>
        </w:div>
      </w:divsChild>
    </w:div>
    <w:div w:id="1837843530">
      <w:bodyDiv w:val="1"/>
      <w:marLeft w:val="0"/>
      <w:marRight w:val="0"/>
      <w:marTop w:val="0"/>
      <w:marBottom w:val="0"/>
      <w:divBdr>
        <w:top w:val="none" w:sz="0" w:space="0" w:color="auto"/>
        <w:left w:val="none" w:sz="0" w:space="0" w:color="auto"/>
        <w:bottom w:val="none" w:sz="0" w:space="0" w:color="auto"/>
        <w:right w:val="none" w:sz="0" w:space="0" w:color="auto"/>
      </w:divBdr>
      <w:divsChild>
        <w:div w:id="380594767">
          <w:marLeft w:val="1267"/>
          <w:marRight w:val="0"/>
          <w:marTop w:val="0"/>
          <w:marBottom w:val="0"/>
          <w:divBdr>
            <w:top w:val="none" w:sz="0" w:space="0" w:color="auto"/>
            <w:left w:val="none" w:sz="0" w:space="0" w:color="auto"/>
            <w:bottom w:val="none" w:sz="0" w:space="0" w:color="auto"/>
            <w:right w:val="none" w:sz="0" w:space="0" w:color="auto"/>
          </w:divBdr>
        </w:div>
        <w:div w:id="937177236">
          <w:marLeft w:val="1267"/>
          <w:marRight w:val="0"/>
          <w:marTop w:val="0"/>
          <w:marBottom w:val="0"/>
          <w:divBdr>
            <w:top w:val="none" w:sz="0" w:space="0" w:color="auto"/>
            <w:left w:val="none" w:sz="0" w:space="0" w:color="auto"/>
            <w:bottom w:val="none" w:sz="0" w:space="0" w:color="auto"/>
            <w:right w:val="none" w:sz="0" w:space="0" w:color="auto"/>
          </w:divBdr>
        </w:div>
        <w:div w:id="938483662">
          <w:marLeft w:val="1267"/>
          <w:marRight w:val="0"/>
          <w:marTop w:val="0"/>
          <w:marBottom w:val="0"/>
          <w:divBdr>
            <w:top w:val="none" w:sz="0" w:space="0" w:color="auto"/>
            <w:left w:val="none" w:sz="0" w:space="0" w:color="auto"/>
            <w:bottom w:val="none" w:sz="0" w:space="0" w:color="auto"/>
            <w:right w:val="none" w:sz="0" w:space="0" w:color="auto"/>
          </w:divBdr>
        </w:div>
        <w:div w:id="1510020167">
          <w:marLeft w:val="1267"/>
          <w:marRight w:val="0"/>
          <w:marTop w:val="0"/>
          <w:marBottom w:val="0"/>
          <w:divBdr>
            <w:top w:val="none" w:sz="0" w:space="0" w:color="auto"/>
            <w:left w:val="none" w:sz="0" w:space="0" w:color="auto"/>
            <w:bottom w:val="none" w:sz="0" w:space="0" w:color="auto"/>
            <w:right w:val="none" w:sz="0" w:space="0" w:color="auto"/>
          </w:divBdr>
        </w:div>
        <w:div w:id="1964730997">
          <w:marLeft w:val="1267"/>
          <w:marRight w:val="0"/>
          <w:marTop w:val="0"/>
          <w:marBottom w:val="0"/>
          <w:divBdr>
            <w:top w:val="none" w:sz="0" w:space="0" w:color="auto"/>
            <w:left w:val="none" w:sz="0" w:space="0" w:color="auto"/>
            <w:bottom w:val="none" w:sz="0" w:space="0" w:color="auto"/>
            <w:right w:val="none" w:sz="0" w:space="0" w:color="auto"/>
          </w:divBdr>
        </w:div>
      </w:divsChild>
    </w:div>
    <w:div w:id="1956449274">
      <w:bodyDiv w:val="1"/>
      <w:marLeft w:val="0"/>
      <w:marRight w:val="0"/>
      <w:marTop w:val="0"/>
      <w:marBottom w:val="0"/>
      <w:divBdr>
        <w:top w:val="none" w:sz="0" w:space="0" w:color="auto"/>
        <w:left w:val="none" w:sz="0" w:space="0" w:color="auto"/>
        <w:bottom w:val="none" w:sz="0" w:space="0" w:color="auto"/>
        <w:right w:val="none" w:sz="0" w:space="0" w:color="auto"/>
      </w:divBdr>
    </w:div>
    <w:div w:id="2032098132">
      <w:bodyDiv w:val="1"/>
      <w:marLeft w:val="0"/>
      <w:marRight w:val="0"/>
      <w:marTop w:val="0"/>
      <w:marBottom w:val="0"/>
      <w:divBdr>
        <w:top w:val="none" w:sz="0" w:space="0" w:color="auto"/>
        <w:left w:val="none" w:sz="0" w:space="0" w:color="auto"/>
        <w:bottom w:val="none" w:sz="0" w:space="0" w:color="auto"/>
        <w:right w:val="none" w:sz="0" w:space="0" w:color="auto"/>
      </w:divBdr>
    </w:div>
    <w:div w:id="2041860503">
      <w:bodyDiv w:val="1"/>
      <w:marLeft w:val="0"/>
      <w:marRight w:val="0"/>
      <w:marTop w:val="0"/>
      <w:marBottom w:val="0"/>
      <w:divBdr>
        <w:top w:val="none" w:sz="0" w:space="0" w:color="auto"/>
        <w:left w:val="none" w:sz="0" w:space="0" w:color="auto"/>
        <w:bottom w:val="none" w:sz="0" w:space="0" w:color="auto"/>
        <w:right w:val="none" w:sz="0" w:space="0" w:color="auto"/>
      </w:divBdr>
      <w:divsChild>
        <w:div w:id="154614154">
          <w:marLeft w:val="547"/>
          <w:marRight w:val="0"/>
          <w:marTop w:val="200"/>
          <w:marBottom w:val="0"/>
          <w:divBdr>
            <w:top w:val="none" w:sz="0" w:space="0" w:color="auto"/>
            <w:left w:val="none" w:sz="0" w:space="0" w:color="auto"/>
            <w:bottom w:val="none" w:sz="0" w:space="0" w:color="auto"/>
            <w:right w:val="none" w:sz="0" w:space="0" w:color="auto"/>
          </w:divBdr>
        </w:div>
        <w:div w:id="520361687">
          <w:marLeft w:val="547"/>
          <w:marRight w:val="0"/>
          <w:marTop w:val="200"/>
          <w:marBottom w:val="0"/>
          <w:divBdr>
            <w:top w:val="none" w:sz="0" w:space="0" w:color="auto"/>
            <w:left w:val="none" w:sz="0" w:space="0" w:color="auto"/>
            <w:bottom w:val="none" w:sz="0" w:space="0" w:color="auto"/>
            <w:right w:val="none" w:sz="0" w:space="0" w:color="auto"/>
          </w:divBdr>
        </w:div>
        <w:div w:id="967515974">
          <w:marLeft w:val="547"/>
          <w:marRight w:val="0"/>
          <w:marTop w:val="200"/>
          <w:marBottom w:val="0"/>
          <w:divBdr>
            <w:top w:val="none" w:sz="0" w:space="0" w:color="auto"/>
            <w:left w:val="none" w:sz="0" w:space="0" w:color="auto"/>
            <w:bottom w:val="none" w:sz="0" w:space="0" w:color="auto"/>
            <w:right w:val="none" w:sz="0" w:space="0" w:color="auto"/>
          </w:divBdr>
        </w:div>
        <w:div w:id="1687244855">
          <w:marLeft w:val="547"/>
          <w:marRight w:val="0"/>
          <w:marTop w:val="200"/>
          <w:marBottom w:val="0"/>
          <w:divBdr>
            <w:top w:val="none" w:sz="0" w:space="0" w:color="auto"/>
            <w:left w:val="none" w:sz="0" w:space="0" w:color="auto"/>
            <w:bottom w:val="none" w:sz="0" w:space="0" w:color="auto"/>
            <w:right w:val="none" w:sz="0" w:space="0" w:color="auto"/>
          </w:divBdr>
        </w:div>
        <w:div w:id="1920020936">
          <w:marLeft w:val="547"/>
          <w:marRight w:val="0"/>
          <w:marTop w:val="200"/>
          <w:marBottom w:val="0"/>
          <w:divBdr>
            <w:top w:val="none" w:sz="0" w:space="0" w:color="auto"/>
            <w:left w:val="none" w:sz="0" w:space="0" w:color="auto"/>
            <w:bottom w:val="none" w:sz="0" w:space="0" w:color="auto"/>
            <w:right w:val="none" w:sz="0" w:space="0" w:color="auto"/>
          </w:divBdr>
        </w:div>
      </w:divsChild>
    </w:div>
    <w:div w:id="20679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sdoc.unesco.org/ark:/48223/pf0000380540_spa.locale=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ceanexpert.org/event/408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eanexpert.org/event/408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ceanexpert.org/document/3449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e86eab3-7e79-4a6c-9299-b0d67a87b4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9AA4DCB672843B9D3A23330FAD3FA" ma:contentTypeVersion="13" ma:contentTypeDescription="Create a new document." ma:contentTypeScope="" ma:versionID="54c9b0a2b689ef2da8e0a4cbcaf69984">
  <xsd:schema xmlns:xsd="http://www.w3.org/2001/XMLSchema" xmlns:xs="http://www.w3.org/2001/XMLSchema" xmlns:p="http://schemas.microsoft.com/office/2006/metadata/properties" xmlns:ns3="de86eab3-7e79-4a6c-9299-b0d67a87b48e" xmlns:ns4="ad7c873b-b406-4c8b-ac2c-9c1e4433ca36" targetNamespace="http://schemas.microsoft.com/office/2006/metadata/properties" ma:root="true" ma:fieldsID="d97c04faa73e9881abb96865bf0b4abc" ns3:_="" ns4:_="">
    <xsd:import namespace="de86eab3-7e79-4a6c-9299-b0d67a87b48e"/>
    <xsd:import namespace="ad7c873b-b406-4c8b-ac2c-9c1e4433ca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6eab3-7e79-4a6c-9299-b0d67a87b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c873b-b406-4c8b-ac2c-9c1e4433c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A7F8E-31F3-D349-851E-4333D1C05D1F}">
  <ds:schemaRefs>
    <ds:schemaRef ds:uri="http://schemas.openxmlformats.org/officeDocument/2006/bibliography"/>
  </ds:schemaRefs>
</ds:datastoreItem>
</file>

<file path=customXml/itemProps2.xml><?xml version="1.0" encoding="utf-8"?>
<ds:datastoreItem xmlns:ds="http://schemas.openxmlformats.org/officeDocument/2006/customXml" ds:itemID="{FB8569D7-DF91-478F-975C-764F1FA7EFCA}">
  <ds:schemaRefs>
    <ds:schemaRef ds:uri="http://schemas.microsoft.com/sharepoint/v3/contenttype/forms"/>
  </ds:schemaRefs>
</ds:datastoreItem>
</file>

<file path=customXml/itemProps3.xml><?xml version="1.0" encoding="utf-8"?>
<ds:datastoreItem xmlns:ds="http://schemas.openxmlformats.org/officeDocument/2006/customXml" ds:itemID="{E0BCD7F4-036F-470C-B0EC-21210DC32E62}">
  <ds:schemaRefs>
    <ds:schemaRef ds:uri="http://schemas.microsoft.com/office/2006/metadata/properties"/>
    <ds:schemaRef ds:uri="http://schemas.microsoft.com/office/infopath/2007/PartnerControls"/>
    <ds:schemaRef ds:uri="de86eab3-7e79-4a6c-9299-b0d67a87b48e"/>
  </ds:schemaRefs>
</ds:datastoreItem>
</file>

<file path=customXml/itemProps4.xml><?xml version="1.0" encoding="utf-8"?>
<ds:datastoreItem xmlns:ds="http://schemas.openxmlformats.org/officeDocument/2006/customXml" ds:itemID="{D4DA886E-9634-4B2E-B743-E0DB5AEA5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6eab3-7e79-4a6c-9299-b0d67a87b48e"/>
    <ds:schemaRef ds:uri="ad7c873b-b406-4c8b-ac2c-9c1e4433c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3682</Words>
  <Characters>18621</Characters>
  <Application>Microsoft Office Word</Application>
  <DocSecurity>0</DocSecurity>
  <Lines>305</Lines>
  <Paragraphs>67</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Comisión Oceanográfica Intergubernamental_x000d_
(de la UNESCO)_x000d_
17ª reunión del grupo intergubernamental de coordinación del sistema de alerta contra los tsunamis y otras amenazas costeras en el Caribe y regiones adyacentes_x000d_
6-9 de mayo de 2024, Managua (Nicar</vt:lpstr>
      <vt:lpstr/>
      <vt:lpstr/>
    </vt:vector>
  </TitlesOfParts>
  <Company>IOC</Company>
  <LinksUpToDate>false</LinksUpToDate>
  <CharactersWithSpaces>22236</CharactersWithSpaces>
  <SharedDoc>false</SharedDoc>
  <HLinks>
    <vt:vector size="6" baseType="variant">
      <vt:variant>
        <vt:i4>3735604</vt:i4>
      </vt:variant>
      <vt:variant>
        <vt:i4>0</vt:i4>
      </vt:variant>
      <vt:variant>
        <vt:i4>0</vt:i4>
      </vt:variant>
      <vt:variant>
        <vt:i4>5</vt:i4>
      </vt:variant>
      <vt:variant>
        <vt:lpwstr>https://oceanexpert.org/event/3861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Oceanográfica Intergubernamental_x000d_
(de la UNESCO)_x000d_
17ª reunión del grupo intergubernamental de coordinación del sistema de alerta contra los tsunamis y otras amenazas costeras en el Caribe y regiones adyacentes_x000d_
6-9 de mayo de 2024, Managua (Nicaragua)</dc:title>
  <dc:subject>IOC/ICG-CARIBE EWS-XVII/3s</dc:subject>
  <dc:creator>bille</dc:creator>
  <cp:keywords/>
  <dc:description/>
  <cp:lastModifiedBy>Burgos Pratx, Juan Pablo</cp:lastModifiedBy>
  <cp:revision>2</cp:revision>
  <cp:lastPrinted>2024-05-27T13:24:00Z</cp:lastPrinted>
  <dcterms:created xsi:type="dcterms:W3CDTF">2024-06-04T10:10:00Z</dcterms:created>
  <dcterms:modified xsi:type="dcterms:W3CDTF">2024-06-04T10:10:00Z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0x0101003F19AA4DCB672843B9D3A23330FAD3FA</vt:lpwstr>
  </property>
  <property fmtid="{D5CDD505-2E9C-101B-9397-08002B2CF9AE}" pid="3" name="TranslatedWith">
    <vt:lpwstr>Mercury</vt:lpwstr>
  </property>
  <property fmtid="{D5CDD505-2E9C-101B-9397-08002B2CF9AE}" pid="4" name="GeneratedBy">
    <vt:lpwstr>karin.bou.habib</vt:lpwstr>
  </property>
  <property fmtid="{D5CDD505-2E9C-101B-9397-08002B2CF9AE}" pid="5" name="GeneratedDate">
    <vt:lpwstr>05/30/2024 14:02:22</vt:lpwstr>
  </property>
  <property fmtid="{D5CDD505-2E9C-101B-9397-08002B2CF9AE}" pid="6" name="OriginalDocID">
    <vt:lpwstr>5fcfb58f-01cd-49cb-896d-5bae0819e8f8</vt:lpwstr>
  </property>
  <property fmtid="{D5CDD505-2E9C-101B-9397-08002B2CF9AE}" pid="7" name="JobDCPMS">
    <vt:lpwstr>202402820</vt:lpwstr>
  </property>
  <property fmtid="{D5CDD505-2E9C-101B-9397-08002B2CF9AE}" pid="8" name="Language">
    <vt:lpwstr>S</vt:lpwstr>
  </property>
</Properties>
</file>