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6F15" w14:textId="77777777" w:rsidR="00EB3895" w:rsidRDefault="00EB3895" w:rsidP="00EB3895">
      <w:pPr>
        <w:pStyle w:val="Titre1"/>
        <w:spacing w:before="480"/>
        <w:jc w:val="left"/>
      </w:pPr>
    </w:p>
    <w:p w14:paraId="748272EF" w14:textId="435004E9" w:rsidR="00EB3895" w:rsidRPr="00EB3895" w:rsidRDefault="00EB3895" w:rsidP="00FD078F">
      <w:pPr>
        <w:pStyle w:val="Titre1"/>
        <w:spacing w:before="1680" w:after="0"/>
      </w:pPr>
      <w:r w:rsidRPr="00EB3895">
        <w:t xml:space="preserve">COMMISSION OCÉANOGRAPHIQUE </w:t>
      </w:r>
      <w:r w:rsidR="00DA71B9">
        <w:t>I</w:t>
      </w:r>
      <w:r w:rsidRPr="00EB3895">
        <w:t>NTERGOUVERNEMENTALE</w:t>
      </w:r>
    </w:p>
    <w:p w14:paraId="0F1DC779" w14:textId="0A54CC80" w:rsidR="00EB3895" w:rsidRPr="00EB3895" w:rsidRDefault="00EB3895" w:rsidP="00EB3895">
      <w:pPr>
        <w:jc w:val="center"/>
        <w:rPr>
          <w:bCs/>
        </w:rPr>
      </w:pPr>
      <w:r w:rsidRPr="00EB3895">
        <w:rPr>
          <w:bCs/>
        </w:rPr>
        <w:t>(de l</w:t>
      </w:r>
      <w:r w:rsidR="00BE6632">
        <w:rPr>
          <w:bCs/>
        </w:rPr>
        <w:t>’</w:t>
      </w:r>
      <w:r w:rsidRPr="00EB3895">
        <w:rPr>
          <w:bCs/>
        </w:rPr>
        <w:t>UNESCO)</w:t>
      </w:r>
    </w:p>
    <w:p w14:paraId="5B0D4193" w14:textId="1AEEC740" w:rsidR="00EB3895" w:rsidRPr="00EB3895" w:rsidRDefault="00EB3895" w:rsidP="00562336">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300E3674" w:rsidR="00EB3895" w:rsidRPr="00E54757" w:rsidRDefault="00E54757" w:rsidP="00562336">
      <w:pPr>
        <w:pStyle w:val="Marge"/>
        <w:spacing w:after="600"/>
        <w:rPr>
          <w:u w:val="single"/>
        </w:rPr>
      </w:pPr>
      <w:r w:rsidRPr="00E54757">
        <w:rPr>
          <w:u w:val="single"/>
        </w:rPr>
        <w:t xml:space="preserve">Point </w:t>
      </w:r>
      <w:r w:rsidRPr="00E54757">
        <w:rPr>
          <w:b/>
          <w:bCs/>
          <w:u w:val="single"/>
        </w:rPr>
        <w:t>4.</w:t>
      </w:r>
      <w:r w:rsidR="003D0A4C">
        <w:rPr>
          <w:b/>
          <w:bCs/>
          <w:u w:val="single"/>
        </w:rPr>
        <w:t>4</w:t>
      </w:r>
      <w:r w:rsidRPr="00E54757">
        <w:rPr>
          <w:u w:val="single"/>
        </w:rPr>
        <w:t xml:space="preserve"> de l’ordre du jour provisoire</w:t>
      </w:r>
    </w:p>
    <w:p w14:paraId="4D532EDB" w14:textId="4CA80EEC" w:rsidR="00B2519D" w:rsidRDefault="00030118" w:rsidP="003D0A4C">
      <w:pPr>
        <w:pStyle w:val="Titre1"/>
        <w:spacing w:after="360"/>
      </w:pPr>
      <w:r w:rsidRPr="00030118">
        <w:t xml:space="preserve">RAPPORT </w:t>
      </w:r>
      <w:r w:rsidR="003D0A4C" w:rsidRPr="003D0A4C">
        <w:t xml:space="preserve">ET RECOMMANDATION DE L’ÉQUIPE CHARGÉE </w:t>
      </w:r>
      <w:r w:rsidR="003D0A4C">
        <w:br/>
      </w:r>
      <w:r w:rsidR="003D0A4C" w:rsidRPr="003D0A4C">
        <w:t>DU PROJET D’EXAMEN DE LA GOUVERNANCE DE LA GEBCO (2024)</w:t>
      </w:r>
    </w:p>
    <w:tbl>
      <w:tblPr>
        <w:tblStyle w:val="Grilledutableau1"/>
        <w:tblW w:w="7933" w:type="dxa"/>
        <w:jc w:val="center"/>
        <w:tblLayout w:type="fixed"/>
        <w:tblLook w:val="04A0" w:firstRow="1" w:lastRow="0" w:firstColumn="1" w:lastColumn="0" w:noHBand="0" w:noVBand="1"/>
      </w:tblPr>
      <w:tblGrid>
        <w:gridCol w:w="7933"/>
      </w:tblGrid>
      <w:tr w:rsidR="00562336" w:rsidRPr="00562336" w14:paraId="39DE0B67" w14:textId="77777777" w:rsidTr="005172C2">
        <w:trPr>
          <w:trHeight w:val="4350"/>
          <w:jc w:val="center"/>
        </w:trPr>
        <w:tc>
          <w:tcPr>
            <w:tcW w:w="7933" w:type="dxa"/>
          </w:tcPr>
          <w:p w14:paraId="754BC36C" w14:textId="77777777" w:rsidR="00562336" w:rsidRPr="00562336" w:rsidRDefault="00562336" w:rsidP="00562336">
            <w:pPr>
              <w:tabs>
                <w:tab w:val="clear" w:pos="567"/>
              </w:tabs>
              <w:snapToGrid/>
              <w:spacing w:before="120" w:after="240"/>
              <w:jc w:val="center"/>
              <w:rPr>
                <w:rFonts w:cs="Arial"/>
                <w:bCs/>
                <w:szCs w:val="22"/>
                <w:u w:val="single"/>
                <w:lang w:eastAsia="en-US"/>
              </w:rPr>
            </w:pPr>
            <w:r w:rsidRPr="00562336">
              <w:rPr>
                <w:u w:val="single"/>
                <w:lang w:eastAsia="en-US"/>
              </w:rPr>
              <w:t>Résumé</w:t>
            </w:r>
          </w:p>
          <w:p w14:paraId="452E42EE" w14:textId="36FC632A" w:rsidR="003D0A4C" w:rsidRPr="003D0A4C" w:rsidRDefault="003D0A4C" w:rsidP="003D0A4C">
            <w:pPr>
              <w:tabs>
                <w:tab w:val="clear" w:pos="567"/>
              </w:tabs>
              <w:snapToGrid/>
              <w:spacing w:after="240"/>
              <w:ind w:left="283" w:right="283"/>
              <w:jc w:val="both"/>
              <w:rPr>
                <w:rFonts w:cs="Arial"/>
                <w:szCs w:val="22"/>
                <w:lang w:val="fr-BE" w:eastAsia="en-US"/>
              </w:rPr>
            </w:pPr>
            <w:r w:rsidRPr="003D0A4C">
              <w:rPr>
                <w:rFonts w:cs="Arial"/>
                <w:szCs w:val="22"/>
                <w:lang w:eastAsia="en-US"/>
              </w:rPr>
              <w:t>Le présent rapport fait suite à la décision du Comité directeur mixte OHI</w:t>
            </w:r>
            <w:r w:rsidR="00561283">
              <w:rPr>
                <w:rFonts w:cs="Arial"/>
                <w:szCs w:val="22"/>
                <w:lang w:eastAsia="en-US"/>
              </w:rPr>
              <w:noBreakHyphen/>
            </w:r>
            <w:r w:rsidRPr="003D0A4C">
              <w:rPr>
                <w:rFonts w:cs="Arial"/>
                <w:szCs w:val="22"/>
                <w:lang w:eastAsia="en-US"/>
              </w:rPr>
              <w:t>COI de la Carte générale bathymétrique des océans (GC-GEBCO) de lancer un examen de la Carte générale bathymétrique des océans (GEBCO) en 2022 et à la décision </w:t>
            </w:r>
            <w:r w:rsidRPr="005172C2">
              <w:rPr>
                <w:rFonts w:cs="Arial"/>
                <w:szCs w:val="22"/>
                <w:lang w:eastAsia="en-US"/>
              </w:rPr>
              <w:t xml:space="preserve">A-32/4.1 </w:t>
            </w:r>
            <w:r w:rsidR="007B764F" w:rsidRPr="005172C2">
              <w:rPr>
                <w:rFonts w:cs="Arial"/>
                <w:szCs w:val="22"/>
                <w:lang w:eastAsia="en-US"/>
              </w:rPr>
              <w:t xml:space="preserve">de l’Assemblée de la COI </w:t>
            </w:r>
            <w:r w:rsidRPr="005172C2">
              <w:rPr>
                <w:rFonts w:cs="Arial"/>
                <w:szCs w:val="22"/>
                <w:lang w:eastAsia="en-US"/>
              </w:rPr>
              <w:t>d’en présenter les conclusions à la présente session du Conseil exécutif</w:t>
            </w:r>
            <w:r w:rsidRPr="003D0A4C">
              <w:rPr>
                <w:rFonts w:cs="Arial"/>
                <w:szCs w:val="22"/>
                <w:lang w:eastAsia="en-US"/>
              </w:rPr>
              <w:t xml:space="preserve"> de la</w:t>
            </w:r>
            <w:r w:rsidR="005172C2">
              <w:rPr>
                <w:rFonts w:cs="Arial"/>
                <w:szCs w:val="22"/>
                <w:lang w:eastAsia="en-US"/>
              </w:rPr>
              <w:t> </w:t>
            </w:r>
            <w:r w:rsidRPr="003D0A4C">
              <w:rPr>
                <w:rFonts w:cs="Arial"/>
                <w:szCs w:val="22"/>
                <w:lang w:eastAsia="en-US"/>
              </w:rPr>
              <w:t xml:space="preserve">COI. Ce rapport complet préparé par l’équipe chargée du projet d’examen de la gouvernance de la GEBCO est joint au présent récapitulatif des conclusions et recommandations. </w:t>
            </w:r>
          </w:p>
          <w:p w14:paraId="1ACA869F" w14:textId="6A83B859" w:rsidR="003D0A4C" w:rsidRPr="003D0A4C" w:rsidRDefault="003D0A4C" w:rsidP="003D0A4C">
            <w:pPr>
              <w:tabs>
                <w:tab w:val="clear" w:pos="567"/>
              </w:tabs>
              <w:snapToGrid/>
              <w:spacing w:after="240"/>
              <w:ind w:left="283" w:right="283"/>
              <w:jc w:val="both"/>
              <w:rPr>
                <w:rFonts w:cs="Arial"/>
                <w:szCs w:val="22"/>
                <w:lang w:val="fr-BE" w:eastAsia="en-US"/>
              </w:rPr>
            </w:pPr>
            <w:r w:rsidRPr="003D0A4C">
              <w:rPr>
                <w:rFonts w:cs="Arial"/>
                <w:szCs w:val="22"/>
                <w:lang w:eastAsia="en-US"/>
              </w:rPr>
              <w:t>Le présent document doit être interprété compte tenu de la nouvelle stratégie pour la GEBCO présentée au Conseil dans le document d’information IOC/INF-1538. Le Conseil exécutif est invité à formuler ses observations en ce qui concerne les résultats de cette analyse en vue d’un</w:t>
            </w:r>
            <w:r w:rsidR="00561283">
              <w:rPr>
                <w:rFonts w:cs="Arial"/>
                <w:szCs w:val="22"/>
                <w:lang w:eastAsia="en-US"/>
              </w:rPr>
              <w:t> </w:t>
            </w:r>
            <w:r w:rsidRPr="003D0A4C">
              <w:rPr>
                <w:rFonts w:cs="Arial"/>
                <w:szCs w:val="22"/>
                <w:lang w:eastAsia="en-US"/>
              </w:rPr>
              <w:t>plan de mise en œuvre qui sera élaboré par le Comité directeur de la</w:t>
            </w:r>
            <w:r w:rsidR="00561283">
              <w:rPr>
                <w:rFonts w:cs="Arial"/>
                <w:szCs w:val="22"/>
                <w:lang w:eastAsia="en-US"/>
              </w:rPr>
              <w:t> </w:t>
            </w:r>
            <w:r w:rsidRPr="003D0A4C">
              <w:rPr>
                <w:rFonts w:cs="Arial"/>
                <w:szCs w:val="22"/>
                <w:lang w:eastAsia="en-US"/>
              </w:rPr>
              <w:t>GEBCO.</w:t>
            </w:r>
          </w:p>
          <w:p w14:paraId="669B334A" w14:textId="77777777" w:rsidR="003D0A4C" w:rsidRPr="003D0A4C" w:rsidRDefault="003D0A4C" w:rsidP="003D0A4C">
            <w:pPr>
              <w:tabs>
                <w:tab w:val="clear" w:pos="567"/>
              </w:tabs>
              <w:snapToGrid/>
              <w:spacing w:after="240"/>
              <w:ind w:left="283" w:right="283"/>
              <w:jc w:val="both"/>
              <w:rPr>
                <w:rFonts w:cs="Arial"/>
                <w:szCs w:val="22"/>
                <w:lang w:val="fr-BE" w:eastAsia="en-US"/>
              </w:rPr>
            </w:pPr>
            <w:r w:rsidRPr="003D0A4C">
              <w:rPr>
                <w:rFonts w:cs="Arial"/>
                <w:szCs w:val="22"/>
                <w:u w:val="single"/>
                <w:lang w:eastAsia="en-US"/>
              </w:rPr>
              <w:t>Incidences financières et administratives</w:t>
            </w:r>
            <w:r w:rsidRPr="003D0A4C">
              <w:rPr>
                <w:rFonts w:cs="Arial"/>
                <w:szCs w:val="22"/>
                <w:lang w:eastAsia="en-US"/>
              </w:rPr>
              <w:t> : Celles-ci seront prises en compte dans le Programme et budget approuvés (42 C/5).</w:t>
            </w:r>
          </w:p>
          <w:p w14:paraId="2DF562DA" w14:textId="6B0B7A31" w:rsidR="00562336" w:rsidRPr="00562336" w:rsidRDefault="003D0A4C" w:rsidP="003D0A4C">
            <w:pPr>
              <w:tabs>
                <w:tab w:val="clear" w:pos="567"/>
              </w:tabs>
              <w:snapToGrid/>
              <w:spacing w:after="240"/>
              <w:ind w:left="283" w:right="283"/>
              <w:jc w:val="both"/>
              <w:rPr>
                <w:rFonts w:cs="Arial"/>
                <w:b/>
                <w:bCs/>
                <w:spacing w:val="-3"/>
                <w:szCs w:val="22"/>
                <w:lang w:eastAsia="en-US"/>
              </w:rPr>
            </w:pPr>
            <w:r w:rsidRPr="003D0A4C">
              <w:rPr>
                <w:rFonts w:cs="Arial"/>
                <w:szCs w:val="22"/>
                <w:lang w:eastAsia="en-US"/>
              </w:rPr>
              <w:t xml:space="preserve">La </w:t>
            </w:r>
            <w:r w:rsidRPr="003D0A4C">
              <w:rPr>
                <w:rFonts w:cs="Arial"/>
                <w:szCs w:val="22"/>
                <w:u w:val="single"/>
                <w:lang w:eastAsia="en-US"/>
              </w:rPr>
              <w:t>décision proposée</w:t>
            </w:r>
            <w:r w:rsidRPr="003D0A4C">
              <w:rPr>
                <w:rFonts w:cs="Arial"/>
                <w:szCs w:val="22"/>
                <w:lang w:eastAsia="en-US"/>
              </w:rPr>
              <w:t xml:space="preserve"> porte la cote EC-57/[4.4.II] dans le Document révisé relatif aux décisions à adopter (document IOC/EC-57/AP Prov. Rev.)</w:t>
            </w:r>
          </w:p>
        </w:tc>
      </w:tr>
    </w:tbl>
    <w:p w14:paraId="5C238DF7" w14:textId="77777777" w:rsidR="00E54757" w:rsidRDefault="00E54757" w:rsidP="00E54757">
      <w:pPr>
        <w:pStyle w:val="Marge"/>
      </w:pPr>
    </w:p>
    <w:p w14:paraId="2E979F20" w14:textId="4FADF084" w:rsidR="00436275" w:rsidRDefault="00436275">
      <w:pPr>
        <w:tabs>
          <w:tab w:val="clear" w:pos="567"/>
        </w:tabs>
        <w:snapToGrid/>
        <w:rPr>
          <w:rFonts w:eastAsia="Times New Roman"/>
          <w:lang w:eastAsia="en-US"/>
        </w:rPr>
      </w:pPr>
      <w:r>
        <w:br w:type="page"/>
      </w:r>
    </w:p>
    <w:p w14:paraId="4FEF1063" w14:textId="5D793204" w:rsidR="00436275" w:rsidRDefault="00030118" w:rsidP="006A07AB">
      <w:pPr>
        <w:pStyle w:val="Titre3"/>
        <w:spacing w:after="220"/>
        <w:rPr>
          <w:snapToGrid/>
        </w:rPr>
      </w:pPr>
      <w:bookmarkStart w:id="0" w:name="_Toc163216996"/>
      <w:bookmarkStart w:id="1" w:name="_Toc130909576"/>
      <w:bookmarkEnd w:id="0"/>
      <w:r>
        <w:rPr>
          <w:snapToGrid/>
        </w:rPr>
        <w:lastRenderedPageBreak/>
        <w:t>Contexte</w:t>
      </w:r>
    </w:p>
    <w:p w14:paraId="64CF4652" w14:textId="5A4DFA0B" w:rsidR="003D0A4C" w:rsidRPr="003D0A4C" w:rsidRDefault="003D0A4C" w:rsidP="006A07AB">
      <w:pPr>
        <w:pStyle w:val="Marge"/>
        <w:spacing w:after="220"/>
        <w:rPr>
          <w:rFonts w:eastAsia="Arial Unicode MS"/>
          <w:lang w:val="fr-BE"/>
        </w:rPr>
      </w:pPr>
      <w:r w:rsidRPr="003D0A4C">
        <w:rPr>
          <w:rFonts w:eastAsia="Arial Unicode MS"/>
        </w:rPr>
        <w:t>1.</w:t>
      </w:r>
      <w:r>
        <w:rPr>
          <w:rFonts w:eastAsia="Arial Unicode MS"/>
        </w:rPr>
        <w:tab/>
      </w:r>
      <w:r w:rsidRPr="003D0A4C">
        <w:rPr>
          <w:rFonts w:eastAsia="Arial Unicode MS"/>
        </w:rPr>
        <w:t>Le Rapport sur l’examen de la gouvernance de la GEBCO (Carte générale bathymétrique des océans) apporte une analyse approfondie des pratiques et des structures de gouvernance de l’entité, en vue d’améliorer son efficacité opérationnelle et de la mettre davantage en adéquation avec les objectifs stratégiques des organisations dont elle relève, l’Organisation hydrographique internationale (OHI) et la COI. L’examen est motivé par le constat que le paysage de l’océanographie et de la cartographie des fonds marins évolue rapidement, ce qui impose de renforcer la gestion de programme et d’adopter une démarche d’amélioration continue.</w:t>
      </w:r>
    </w:p>
    <w:p w14:paraId="7EC999DE" w14:textId="29800D2E" w:rsidR="003D0A4C" w:rsidRPr="003D0A4C" w:rsidRDefault="003D0A4C" w:rsidP="006A07AB">
      <w:pPr>
        <w:pStyle w:val="Marge"/>
        <w:spacing w:after="220"/>
        <w:rPr>
          <w:rFonts w:eastAsia="Arial Unicode MS"/>
          <w:lang w:val="fr-BE"/>
        </w:rPr>
      </w:pPr>
      <w:r>
        <w:rPr>
          <w:rFonts w:eastAsia="Arial Unicode MS"/>
        </w:rPr>
        <w:t>2.</w:t>
      </w:r>
      <w:r>
        <w:rPr>
          <w:rFonts w:eastAsia="Arial Unicode MS"/>
        </w:rPr>
        <w:tab/>
      </w:r>
      <w:r w:rsidRPr="006A07AB">
        <w:rPr>
          <w:rFonts w:eastAsia="Arial Unicode MS"/>
          <w:spacing w:val="-2"/>
        </w:rPr>
        <w:t>Parmi les composantes principales de l’examen figurent un examen des modalités d’organisation et de gouvernance de la GEBCO et de ses comités, et ses interactions avec les organes externes. L’examen met aussi en évidence l’importance du travail de la GEBCO dans le cadre de la Décennie des Nations Unies pour les sciences océaniques au service du développement durable et la nécessité d’une coordination internationale accrue en matière de collecte de données océaniques.</w:t>
      </w:r>
    </w:p>
    <w:p w14:paraId="1720D0F0" w14:textId="32DDDAE6" w:rsidR="003D0A4C" w:rsidRPr="003D0A4C" w:rsidRDefault="003D0A4C" w:rsidP="006A07AB">
      <w:pPr>
        <w:pStyle w:val="Marge"/>
        <w:spacing w:after="220"/>
        <w:rPr>
          <w:rFonts w:eastAsia="Arial Unicode MS"/>
          <w:lang w:val="fr-BE"/>
        </w:rPr>
      </w:pPr>
      <w:r>
        <w:rPr>
          <w:rFonts w:eastAsia="Arial Unicode MS"/>
        </w:rPr>
        <w:t>3.</w:t>
      </w:r>
      <w:r>
        <w:rPr>
          <w:rFonts w:eastAsia="Arial Unicode MS"/>
        </w:rPr>
        <w:tab/>
      </w:r>
      <w:r w:rsidRPr="003D0A4C">
        <w:rPr>
          <w:rFonts w:eastAsia="Arial Unicode MS"/>
        </w:rPr>
        <w:t>Les conclusions et les recommandations portent sur la nécessité de structures de gouvernance plus c</w:t>
      </w:r>
      <w:r w:rsidRPr="009F768F">
        <w:rPr>
          <w:rFonts w:eastAsia="Arial Unicode MS"/>
        </w:rPr>
        <w:t xml:space="preserve">laires, l’amélioration de la mobilisation des parties prenantes et des pratiques de gestion des risques, et </w:t>
      </w:r>
      <w:r w:rsidR="005C72F1" w:rsidRPr="009F768F">
        <w:rPr>
          <w:rFonts w:eastAsia="Arial Unicode MS"/>
        </w:rPr>
        <w:t>l’instauration</w:t>
      </w:r>
      <w:r w:rsidRPr="009F768F">
        <w:rPr>
          <w:rFonts w:eastAsia="Arial Unicode MS"/>
        </w:rPr>
        <w:t xml:space="preserve"> d’une culture </w:t>
      </w:r>
      <w:r w:rsidR="005C72F1" w:rsidRPr="009F768F">
        <w:rPr>
          <w:rFonts w:eastAsia="Arial Unicode MS"/>
        </w:rPr>
        <w:t>d</w:t>
      </w:r>
      <w:r w:rsidRPr="009F768F">
        <w:rPr>
          <w:rFonts w:eastAsia="Arial Unicode MS"/>
        </w:rPr>
        <w:t>’amélioration continue. L’examen met en lumière l’importance d’aligner les travaux de la GEBCO sur la nouvelle stratégie de la GEBCO établie, élaborée parallèlement à cet examen de la gouvernance.</w:t>
      </w:r>
    </w:p>
    <w:p w14:paraId="60FC4141" w14:textId="4D4977A7" w:rsidR="003D0A4C" w:rsidRPr="003D0A4C" w:rsidRDefault="003D0A4C" w:rsidP="006A07AB">
      <w:pPr>
        <w:pStyle w:val="Marge"/>
        <w:spacing w:after="220"/>
        <w:rPr>
          <w:rFonts w:eastAsia="Arial Unicode MS"/>
          <w:lang w:val="fr-BE"/>
        </w:rPr>
      </w:pPr>
      <w:r>
        <w:rPr>
          <w:rFonts w:eastAsia="Arial Unicode MS"/>
        </w:rPr>
        <w:t>4.</w:t>
      </w:r>
      <w:r>
        <w:rPr>
          <w:rFonts w:eastAsia="Arial Unicode MS"/>
        </w:rPr>
        <w:tab/>
      </w:r>
      <w:r w:rsidRPr="003D0A4C">
        <w:rPr>
          <w:rFonts w:eastAsia="Arial Unicode MS"/>
        </w:rPr>
        <w:t xml:space="preserve">Le rapport comporte plusieurs </w:t>
      </w:r>
      <w:r w:rsidR="005C72F1">
        <w:rPr>
          <w:rFonts w:eastAsia="Arial Unicode MS"/>
        </w:rPr>
        <w:t xml:space="preserve">suggestions concernant les </w:t>
      </w:r>
      <w:r w:rsidRPr="003D0A4C">
        <w:rPr>
          <w:rFonts w:eastAsia="Arial Unicode MS"/>
        </w:rPr>
        <w:t xml:space="preserve">prochaines étapes, notamment la soumission pour examen du rapport au Comité directeur de la GEBCO, l’examen individuel des recommandations, la mise sur pied d’un plan de mise en œuvre et l’intégration d’un </w:t>
      </w:r>
      <w:r w:rsidR="007539B4">
        <w:rPr>
          <w:rFonts w:eastAsia="Arial Unicode MS"/>
        </w:rPr>
        <w:t>modèle</w:t>
      </w:r>
      <w:r w:rsidR="007539B4" w:rsidRPr="003D0A4C">
        <w:rPr>
          <w:rFonts w:eastAsia="Arial Unicode MS"/>
        </w:rPr>
        <w:t xml:space="preserve"> </w:t>
      </w:r>
      <w:r w:rsidRPr="003D0A4C">
        <w:rPr>
          <w:rFonts w:eastAsia="Arial Unicode MS"/>
        </w:rPr>
        <w:t>d’amélioration continue. En outre, il y est préconisé de mener un examen de la gouvernance du Sous-Comité des noms du relief sous</w:t>
      </w:r>
      <w:r w:rsidR="00E67EA4">
        <w:rPr>
          <w:rFonts w:eastAsia="Arial Unicode MS"/>
        </w:rPr>
        <w:noBreakHyphen/>
      </w:r>
      <w:r w:rsidRPr="003D0A4C">
        <w:rPr>
          <w:rFonts w:eastAsia="Arial Unicode MS"/>
        </w:rPr>
        <w:t>marin (SCUFN) et un examen de la supervision du projet «</w:t>
      </w:r>
      <w:r w:rsidR="00D3309F">
        <w:rPr>
          <w:rFonts w:eastAsia="Arial Unicode MS"/>
        </w:rPr>
        <w:t> </w:t>
      </w:r>
      <w:r w:rsidRPr="003D0A4C">
        <w:rPr>
          <w:rFonts w:eastAsia="Arial Unicode MS"/>
        </w:rPr>
        <w:t>Seabed</w:t>
      </w:r>
      <w:r w:rsidR="00E67EA4">
        <w:rPr>
          <w:rFonts w:eastAsia="Arial Unicode MS"/>
        </w:rPr>
        <w:t> </w:t>
      </w:r>
      <w:r w:rsidRPr="003D0A4C">
        <w:rPr>
          <w:rFonts w:eastAsia="Arial Unicode MS"/>
        </w:rPr>
        <w:t>2030</w:t>
      </w:r>
      <w:r w:rsidR="00D3309F">
        <w:rPr>
          <w:rFonts w:eastAsia="Arial Unicode MS"/>
        </w:rPr>
        <w:t> </w:t>
      </w:r>
      <w:r w:rsidRPr="003D0A4C">
        <w:rPr>
          <w:rFonts w:eastAsia="Arial Unicode MS"/>
        </w:rPr>
        <w:t>» mené conjointement par la Nippon Foundation et la GEBCO.</w:t>
      </w:r>
    </w:p>
    <w:p w14:paraId="4860520C" w14:textId="478395C9" w:rsidR="003D0A4C" w:rsidRPr="003D0A4C" w:rsidRDefault="003D0A4C" w:rsidP="006A07AB">
      <w:pPr>
        <w:pStyle w:val="Marge"/>
        <w:spacing w:after="220"/>
        <w:rPr>
          <w:rFonts w:eastAsia="Arial Unicode MS"/>
          <w:lang w:val="fr-BE"/>
        </w:rPr>
      </w:pPr>
      <w:r>
        <w:rPr>
          <w:rFonts w:eastAsia="Arial Unicode MS"/>
        </w:rPr>
        <w:t>5.</w:t>
      </w:r>
      <w:r>
        <w:rPr>
          <w:rFonts w:eastAsia="Arial Unicode MS"/>
        </w:rPr>
        <w:tab/>
      </w:r>
      <w:r w:rsidRPr="003D0A4C">
        <w:rPr>
          <w:rFonts w:eastAsia="Arial Unicode MS"/>
        </w:rPr>
        <w:t>Dans sa conclusion, l’examen inclut la nécessité pour la GEBCO de faire évoluer ses structures et processus de gouvernance afin qu’elle demeure pertinente et efficace dans le contexte en constante évolution des sciences océaniques et de la cartographie des fonds marins.</w:t>
      </w:r>
    </w:p>
    <w:p w14:paraId="323884BB" w14:textId="77777777" w:rsidR="003D0A4C" w:rsidRPr="005C72F1" w:rsidRDefault="003D0A4C" w:rsidP="006A07AB">
      <w:pPr>
        <w:keepNext/>
        <w:keepLines/>
        <w:spacing w:after="220"/>
        <w:outlineLvl w:val="2"/>
        <w:rPr>
          <w:rFonts w:eastAsia="Arial Unicode MS"/>
          <w:b/>
          <w:bCs/>
          <w:szCs w:val="22"/>
          <w:lang w:eastAsia="en-US"/>
        </w:rPr>
      </w:pPr>
      <w:r w:rsidRPr="003D0A4C">
        <w:rPr>
          <w:rFonts w:eastAsia="Arial Unicode MS"/>
          <w:b/>
          <w:bCs/>
          <w:szCs w:val="22"/>
          <w:lang w:eastAsia="en-US"/>
        </w:rPr>
        <w:t>Conclusion et prochaines étapes</w:t>
      </w:r>
    </w:p>
    <w:p w14:paraId="3D48C2C4" w14:textId="78934FE4" w:rsidR="003D0A4C" w:rsidRPr="003D0A4C" w:rsidRDefault="003D0A4C" w:rsidP="006A07AB">
      <w:pPr>
        <w:pStyle w:val="Marge"/>
        <w:spacing w:after="220"/>
        <w:rPr>
          <w:rFonts w:eastAsia="Arial Unicode MS"/>
          <w:lang w:val="fr-BE"/>
        </w:rPr>
      </w:pPr>
      <w:r>
        <w:rPr>
          <w:rFonts w:eastAsia="Arial Unicode MS"/>
        </w:rPr>
        <w:t>6.</w:t>
      </w:r>
      <w:r>
        <w:rPr>
          <w:rFonts w:eastAsia="Arial Unicode MS"/>
        </w:rPr>
        <w:tab/>
      </w:r>
      <w:r w:rsidRPr="003D0A4C">
        <w:rPr>
          <w:rFonts w:eastAsia="Arial Unicode MS"/>
        </w:rPr>
        <w:t>Le processus d’examen de la gouvernance a été considérablement plus vaste et compliqué qu’initialement prévu, ce qui a mis en lumière la nature complexe des structures concernées. Au cœur des problèmes recensés figuraient la nécessité d’une meilleure formalisation des processus et une définition plus claire des rôles, des responsabilités et des obligations, qui</w:t>
      </w:r>
      <w:r w:rsidR="00E67EA4">
        <w:rPr>
          <w:rFonts w:eastAsia="Arial Unicode MS"/>
        </w:rPr>
        <w:t xml:space="preserve">, </w:t>
      </w:r>
      <w:r w:rsidRPr="003D0A4C">
        <w:rPr>
          <w:rFonts w:eastAsia="Arial Unicode MS"/>
        </w:rPr>
        <w:t>ensemble</w:t>
      </w:r>
      <w:r w:rsidR="00E67EA4">
        <w:rPr>
          <w:rFonts w:eastAsia="Arial Unicode MS"/>
        </w:rPr>
        <w:t>,</w:t>
      </w:r>
      <w:r w:rsidRPr="003D0A4C">
        <w:rPr>
          <w:rFonts w:eastAsia="Arial Unicode MS"/>
        </w:rPr>
        <w:t xml:space="preserve"> peuvent mener à un manque systématique de clarté qui pourrait entraver l’efficacité opérationnelle. L’une des principales lacunes constatées était l’absence d’un programme consacré à la gestion des ressources qui permettrait idéalement de combler l’écart opérationnel entre les présidents des sous</w:t>
      </w:r>
      <w:r w:rsidR="00E67EA4">
        <w:rPr>
          <w:rFonts w:eastAsia="Arial Unicode MS"/>
        </w:rPr>
        <w:noBreakHyphen/>
      </w:r>
      <w:r w:rsidRPr="003D0A4C">
        <w:rPr>
          <w:rFonts w:eastAsia="Arial Unicode MS"/>
        </w:rPr>
        <w:t>comités et le GC-GEBCO.</w:t>
      </w:r>
    </w:p>
    <w:p w14:paraId="2B64A1F6" w14:textId="354AEE07" w:rsidR="003D0A4C" w:rsidRPr="003D0A4C" w:rsidRDefault="003D0A4C" w:rsidP="006A07AB">
      <w:pPr>
        <w:pStyle w:val="Marge"/>
        <w:spacing w:after="220"/>
        <w:rPr>
          <w:rFonts w:eastAsia="Arial Unicode MS"/>
          <w:lang w:val="fr-BE"/>
        </w:rPr>
      </w:pPr>
      <w:r>
        <w:rPr>
          <w:rFonts w:eastAsia="Arial Unicode MS"/>
        </w:rPr>
        <w:t>7.</w:t>
      </w:r>
      <w:r>
        <w:rPr>
          <w:rFonts w:eastAsia="Arial Unicode MS"/>
        </w:rPr>
        <w:tab/>
      </w:r>
      <w:r w:rsidRPr="003D0A4C">
        <w:rPr>
          <w:rFonts w:eastAsia="Arial Unicode MS"/>
        </w:rPr>
        <w:t xml:space="preserve">Il est également ressorti </w:t>
      </w:r>
      <w:r w:rsidR="005C72F1">
        <w:rPr>
          <w:rFonts w:eastAsia="Arial Unicode MS"/>
        </w:rPr>
        <w:t>parmi</w:t>
      </w:r>
      <w:r w:rsidR="005C72F1" w:rsidRPr="003D0A4C">
        <w:rPr>
          <w:rFonts w:eastAsia="Arial Unicode MS"/>
        </w:rPr>
        <w:t xml:space="preserve"> </w:t>
      </w:r>
      <w:r w:rsidRPr="003D0A4C">
        <w:rPr>
          <w:rFonts w:eastAsia="Arial Unicode MS"/>
        </w:rPr>
        <w:t xml:space="preserve">les </w:t>
      </w:r>
      <w:r w:rsidR="005C72F1" w:rsidRPr="003D0A4C">
        <w:rPr>
          <w:rFonts w:eastAsia="Arial Unicode MS"/>
        </w:rPr>
        <w:t xml:space="preserve">principales </w:t>
      </w:r>
      <w:r w:rsidRPr="003D0A4C">
        <w:rPr>
          <w:rFonts w:eastAsia="Arial Unicode MS"/>
        </w:rPr>
        <w:t xml:space="preserve">conclusions que la taille, la structure et la fonction du </w:t>
      </w:r>
      <w:r w:rsidRPr="009F768F">
        <w:rPr>
          <w:rFonts w:eastAsia="Arial Unicode MS"/>
        </w:rPr>
        <w:t xml:space="preserve">GC-GEBCO devaient être révisées. Cette réforme est considérée </w:t>
      </w:r>
      <w:r w:rsidR="00E67EA4" w:rsidRPr="009F768F">
        <w:rPr>
          <w:rFonts w:eastAsia="Arial Unicode MS"/>
        </w:rPr>
        <w:t xml:space="preserve">comme </w:t>
      </w:r>
      <w:r w:rsidRPr="009F768F">
        <w:rPr>
          <w:rFonts w:eastAsia="Arial Unicode MS"/>
        </w:rPr>
        <w:t xml:space="preserve">essentielle et devrait mobiliser les organisations dont relève la GEBCO. En outre, il convient de veiller tout particulièrement à ne pas </w:t>
      </w:r>
      <w:r w:rsidR="005C72F1" w:rsidRPr="009F768F">
        <w:rPr>
          <w:rFonts w:eastAsia="Arial Unicode MS"/>
        </w:rPr>
        <w:t xml:space="preserve">diluer </w:t>
      </w:r>
      <w:r w:rsidRPr="009F768F">
        <w:rPr>
          <w:rFonts w:eastAsia="Arial Unicode MS"/>
        </w:rPr>
        <w:t>l’objectif et l’efficacité en augmentant le nombre de membres du G</w:t>
      </w:r>
      <w:r w:rsidR="00E67EA4" w:rsidRPr="009F768F">
        <w:rPr>
          <w:rFonts w:eastAsia="Arial Unicode MS"/>
        </w:rPr>
        <w:t>C-</w:t>
      </w:r>
      <w:r w:rsidRPr="009F768F">
        <w:rPr>
          <w:rFonts w:eastAsia="Arial Unicode MS"/>
        </w:rPr>
        <w:t>G</w:t>
      </w:r>
      <w:r w:rsidR="00E67EA4" w:rsidRPr="009F768F">
        <w:rPr>
          <w:rFonts w:eastAsia="Arial Unicode MS"/>
        </w:rPr>
        <w:t>EBCO</w:t>
      </w:r>
      <w:r w:rsidRPr="009F768F">
        <w:rPr>
          <w:rFonts w:eastAsia="Arial Unicode MS"/>
        </w:rPr>
        <w:t xml:space="preserve"> dans le cadre de la recherche de l’inclusivité.</w:t>
      </w:r>
    </w:p>
    <w:p w14:paraId="4EA61C27" w14:textId="637E2648" w:rsidR="003D0A4C" w:rsidRPr="006A07AB" w:rsidRDefault="003D0A4C" w:rsidP="006A07AB">
      <w:pPr>
        <w:pStyle w:val="Marge"/>
        <w:spacing w:after="200"/>
        <w:rPr>
          <w:rFonts w:eastAsia="Arial Unicode MS"/>
          <w:spacing w:val="-2"/>
          <w:lang w:val="fr-BE"/>
        </w:rPr>
      </w:pPr>
      <w:r>
        <w:rPr>
          <w:rFonts w:eastAsia="Arial Unicode MS"/>
        </w:rPr>
        <w:t>8.</w:t>
      </w:r>
      <w:r>
        <w:rPr>
          <w:rFonts w:eastAsia="Arial Unicode MS"/>
        </w:rPr>
        <w:tab/>
      </w:r>
      <w:r w:rsidRPr="006A07AB">
        <w:rPr>
          <w:rFonts w:eastAsia="Arial Unicode MS"/>
          <w:spacing w:val="-2"/>
        </w:rPr>
        <w:t>Alors que la GEBCO poursuit sa trajectoire de croissance, il est clair que ses pratiques de gouvernance doivent évoluer en parallèle pour appuyer efficacement cette évolution. L’absence d’une stratégie de la GEBCO lors de l’examen de la go</w:t>
      </w:r>
      <w:r w:rsidRPr="009F768F">
        <w:rPr>
          <w:rFonts w:eastAsia="Arial Unicode MS"/>
          <w:spacing w:val="-2"/>
        </w:rPr>
        <w:t xml:space="preserve">uvernance a limité la capacité à recenser des réformes structurelles spécifiques. Cela met en évidence la nécessité d’aligner étroitement les </w:t>
      </w:r>
      <w:r w:rsidR="004F72BC" w:rsidRPr="009F768F">
        <w:rPr>
          <w:rFonts w:eastAsia="Arial Unicode MS"/>
          <w:spacing w:val="-2"/>
        </w:rPr>
        <w:t xml:space="preserve">modes de </w:t>
      </w:r>
      <w:r w:rsidRPr="009F768F">
        <w:rPr>
          <w:rFonts w:eastAsia="Arial Unicode MS"/>
          <w:spacing w:val="-2"/>
        </w:rPr>
        <w:t xml:space="preserve">gouvernance à venir sur la nouvelle stratégie une fois que celle-ci sera instaurée, en intégrant un </w:t>
      </w:r>
      <w:r w:rsidR="007539B4" w:rsidRPr="009F768F">
        <w:rPr>
          <w:rFonts w:eastAsia="Arial Unicode MS"/>
          <w:spacing w:val="-2"/>
        </w:rPr>
        <w:t xml:space="preserve">modèle </w:t>
      </w:r>
      <w:r w:rsidRPr="009F768F">
        <w:rPr>
          <w:rFonts w:eastAsia="Arial Unicode MS"/>
          <w:spacing w:val="-2"/>
        </w:rPr>
        <w:t>d’amélioration continue comme aspect fondamental de la philosophie opérationnelle de la GEBCO. Conjointement, ces observations dressent le portrait</w:t>
      </w:r>
      <w:r w:rsidRPr="006A07AB">
        <w:rPr>
          <w:rFonts w:eastAsia="Arial Unicode MS"/>
          <w:spacing w:val="-2"/>
        </w:rPr>
        <w:t xml:space="preserve"> d’une organisation à la croisée des </w:t>
      </w:r>
      <w:r w:rsidRPr="006A07AB">
        <w:rPr>
          <w:rFonts w:eastAsia="Arial Unicode MS"/>
          <w:spacing w:val="-2"/>
        </w:rPr>
        <w:lastRenderedPageBreak/>
        <w:t>chemins, où la planification stratégique, une gouvernance claire et la création de ressources consacrées à la gestion seront essentielles à son orientation future et à son efficacité.</w:t>
      </w:r>
    </w:p>
    <w:p w14:paraId="5592F070" w14:textId="77777777" w:rsidR="003D0A4C" w:rsidRPr="003D0A4C" w:rsidRDefault="003D0A4C" w:rsidP="003D0A4C">
      <w:pPr>
        <w:pStyle w:val="Titre3"/>
        <w:rPr>
          <w:rFonts w:eastAsia="Arial Unicode MS"/>
          <w:lang w:val="en-GB"/>
        </w:rPr>
      </w:pPr>
      <w:r w:rsidRPr="003D0A4C">
        <w:rPr>
          <w:rFonts w:eastAsia="Arial Unicode MS"/>
        </w:rPr>
        <w:t>Liste des recommandations</w:t>
      </w:r>
    </w:p>
    <w:tbl>
      <w:tblPr>
        <w:tblStyle w:val="Grilledutableau2"/>
        <w:tblW w:w="5000" w:type="pct"/>
        <w:tblLayout w:type="fixed"/>
        <w:tblLook w:val="04A0" w:firstRow="1" w:lastRow="0" w:firstColumn="1" w:lastColumn="0" w:noHBand="0" w:noVBand="1"/>
      </w:tblPr>
      <w:tblGrid>
        <w:gridCol w:w="1271"/>
        <w:gridCol w:w="3260"/>
        <w:gridCol w:w="5097"/>
      </w:tblGrid>
      <w:tr w:rsidR="003D0A4C" w:rsidRPr="003D0A4C" w14:paraId="645D5C9A" w14:textId="77777777" w:rsidTr="00871F2D">
        <w:trPr>
          <w:tblHeader/>
        </w:trPr>
        <w:tc>
          <w:tcPr>
            <w:tcW w:w="660" w:type="pct"/>
            <w:tcMar>
              <w:left w:w="57" w:type="dxa"/>
              <w:right w:w="28" w:type="dxa"/>
            </w:tcMar>
            <w:vAlign w:val="center"/>
          </w:tcPr>
          <w:p w14:paraId="011EE497" w14:textId="58AF53DF" w:rsidR="003D0A4C" w:rsidRPr="003D0A4C" w:rsidRDefault="003D0A4C" w:rsidP="006A07AB">
            <w:pPr>
              <w:rPr>
                <w:b/>
                <w:bCs/>
                <w:spacing w:val="-3"/>
                <w:lang w:val="en-GB" w:eastAsia="en-US"/>
              </w:rPr>
            </w:pPr>
            <w:r w:rsidRPr="003D0A4C">
              <w:rPr>
                <w:b/>
                <w:bCs/>
                <w:spacing w:val="-3"/>
                <w:lang w:eastAsia="en-US"/>
              </w:rPr>
              <w:t xml:space="preserve">Numéro </w:t>
            </w:r>
            <w:r w:rsidR="006A07AB">
              <w:rPr>
                <w:b/>
                <w:bCs/>
                <w:spacing w:val="-3"/>
                <w:lang w:eastAsia="en-US"/>
              </w:rPr>
              <w:br/>
            </w:r>
            <w:r w:rsidRPr="003D0A4C">
              <w:rPr>
                <w:b/>
                <w:bCs/>
                <w:spacing w:val="-3"/>
                <w:lang w:eastAsia="en-US"/>
              </w:rPr>
              <w:t>de section</w:t>
            </w:r>
            <w:r w:rsidRPr="003D0A4C">
              <w:rPr>
                <w:spacing w:val="-3"/>
                <w:vertAlign w:val="superscript"/>
                <w:lang w:eastAsia="en-US"/>
              </w:rPr>
              <w:footnoteReference w:id="1"/>
            </w:r>
          </w:p>
        </w:tc>
        <w:tc>
          <w:tcPr>
            <w:tcW w:w="1693" w:type="pct"/>
            <w:tcMar>
              <w:left w:w="57" w:type="dxa"/>
              <w:right w:w="28" w:type="dxa"/>
            </w:tcMar>
            <w:vAlign w:val="center"/>
          </w:tcPr>
          <w:p w14:paraId="1934178D" w14:textId="77777777" w:rsidR="003D0A4C" w:rsidRPr="003D0A4C" w:rsidRDefault="003D0A4C" w:rsidP="006A07AB">
            <w:pPr>
              <w:rPr>
                <w:b/>
                <w:bCs/>
                <w:lang w:val="en-GB" w:eastAsia="en-US"/>
              </w:rPr>
            </w:pPr>
            <w:r w:rsidRPr="003D0A4C">
              <w:rPr>
                <w:b/>
                <w:bCs/>
                <w:lang w:eastAsia="en-US"/>
              </w:rPr>
              <w:t>Objet</w:t>
            </w:r>
          </w:p>
        </w:tc>
        <w:tc>
          <w:tcPr>
            <w:tcW w:w="2647" w:type="pct"/>
            <w:tcMar>
              <w:left w:w="57" w:type="dxa"/>
            </w:tcMar>
            <w:vAlign w:val="center"/>
          </w:tcPr>
          <w:p w14:paraId="7E783384" w14:textId="77777777" w:rsidR="003D0A4C" w:rsidRPr="003D0A4C" w:rsidRDefault="003D0A4C" w:rsidP="006A07AB">
            <w:pPr>
              <w:rPr>
                <w:b/>
                <w:bCs/>
                <w:lang w:val="en-GB" w:eastAsia="en-US"/>
              </w:rPr>
            </w:pPr>
            <w:r w:rsidRPr="003D0A4C">
              <w:rPr>
                <w:b/>
                <w:bCs/>
                <w:lang w:eastAsia="en-US"/>
              </w:rPr>
              <w:t>Recommandation</w:t>
            </w:r>
          </w:p>
        </w:tc>
      </w:tr>
      <w:tr w:rsidR="003D0A4C" w:rsidRPr="003D0A4C" w14:paraId="3F148165" w14:textId="77777777" w:rsidTr="00871F2D">
        <w:tc>
          <w:tcPr>
            <w:tcW w:w="660" w:type="pct"/>
            <w:tcMar>
              <w:left w:w="57" w:type="dxa"/>
              <w:right w:w="85" w:type="dxa"/>
            </w:tcMar>
          </w:tcPr>
          <w:p w14:paraId="6CB67C19" w14:textId="77777777" w:rsidR="003D0A4C" w:rsidRPr="003D0A4C" w:rsidRDefault="003D0A4C" w:rsidP="006A07AB">
            <w:pPr>
              <w:spacing w:before="20" w:after="20"/>
              <w:rPr>
                <w:lang w:val="en-GB" w:eastAsia="en-US"/>
              </w:rPr>
            </w:pPr>
            <w:r w:rsidRPr="003D0A4C">
              <w:rPr>
                <w:lang w:eastAsia="en-US"/>
              </w:rPr>
              <w:t>8.1</w:t>
            </w:r>
          </w:p>
        </w:tc>
        <w:tc>
          <w:tcPr>
            <w:tcW w:w="1693" w:type="pct"/>
            <w:tcMar>
              <w:left w:w="57" w:type="dxa"/>
              <w:right w:w="28" w:type="dxa"/>
            </w:tcMar>
          </w:tcPr>
          <w:p w14:paraId="2FC3CA76" w14:textId="77777777" w:rsidR="003D0A4C" w:rsidRPr="003D0A4C" w:rsidRDefault="003D0A4C" w:rsidP="006A07AB">
            <w:pPr>
              <w:spacing w:before="20" w:after="20"/>
              <w:rPr>
                <w:lang w:val="en-GB" w:eastAsia="en-US"/>
              </w:rPr>
            </w:pPr>
            <w:r w:rsidRPr="003D0A4C">
              <w:rPr>
                <w:lang w:eastAsia="en-US"/>
              </w:rPr>
              <w:t>Structure organisationnelle</w:t>
            </w:r>
          </w:p>
        </w:tc>
        <w:tc>
          <w:tcPr>
            <w:tcW w:w="2647" w:type="pct"/>
            <w:tcMar>
              <w:left w:w="57" w:type="dxa"/>
            </w:tcMar>
          </w:tcPr>
          <w:p w14:paraId="053AE29E" w14:textId="6862110E" w:rsidR="003D0A4C" w:rsidRPr="003D0A4C" w:rsidRDefault="003D0A4C" w:rsidP="006A07AB">
            <w:pPr>
              <w:spacing w:before="20" w:after="20"/>
              <w:rPr>
                <w:lang w:val="fr-BE" w:eastAsia="en-US"/>
              </w:rPr>
            </w:pPr>
            <w:r w:rsidRPr="003D0A4C">
              <w:rPr>
                <w:lang w:eastAsia="en-US"/>
              </w:rPr>
              <w:t>L’organigramme devrait être examiné par le GC</w:t>
            </w:r>
            <w:r w:rsidR="00871F2D">
              <w:rPr>
                <w:lang w:eastAsia="en-US"/>
              </w:rPr>
              <w:noBreakHyphen/>
            </w:r>
            <w:r w:rsidRPr="003D0A4C">
              <w:rPr>
                <w:lang w:eastAsia="en-US"/>
              </w:rPr>
              <w:t>GEBCO et une version définitive adoptée et ajoutée au mandat et au règlement intérieur du GC-GEBCO.</w:t>
            </w:r>
          </w:p>
        </w:tc>
      </w:tr>
      <w:tr w:rsidR="003D0A4C" w:rsidRPr="003D0A4C" w14:paraId="4C8F0A51" w14:textId="77777777" w:rsidTr="00871F2D">
        <w:tc>
          <w:tcPr>
            <w:tcW w:w="660" w:type="pct"/>
            <w:tcMar>
              <w:left w:w="57" w:type="dxa"/>
              <w:right w:w="85" w:type="dxa"/>
            </w:tcMar>
          </w:tcPr>
          <w:p w14:paraId="10B4C9CC"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02AE633E" w14:textId="1DEC2AF5" w:rsidR="003D0A4C" w:rsidRPr="003D0A4C" w:rsidRDefault="003D0A4C" w:rsidP="006A07AB">
            <w:pPr>
              <w:spacing w:before="20" w:after="20"/>
              <w:rPr>
                <w:lang w:val="fr-BE" w:eastAsia="en-US"/>
              </w:rPr>
            </w:pPr>
            <w:r w:rsidRPr="003D0A4C">
              <w:rPr>
                <w:lang w:eastAsia="en-US"/>
              </w:rPr>
              <w:t>Relation et cartographie des</w:t>
            </w:r>
            <w:r w:rsidR="008769DD">
              <w:rPr>
                <w:lang w:eastAsia="en-US"/>
              </w:rPr>
              <w:t> </w:t>
            </w:r>
            <w:r w:rsidRPr="003D0A4C">
              <w:rPr>
                <w:lang w:eastAsia="en-US"/>
              </w:rPr>
              <w:t xml:space="preserve"> rapports – OHI – COI</w:t>
            </w:r>
          </w:p>
          <w:p w14:paraId="7721E39D" w14:textId="77777777" w:rsidR="003D0A4C" w:rsidRPr="003D0A4C" w:rsidRDefault="003D0A4C" w:rsidP="006A07AB">
            <w:pPr>
              <w:spacing w:before="20" w:after="20"/>
              <w:rPr>
                <w:lang w:val="fr-BE" w:eastAsia="en-US"/>
              </w:rPr>
            </w:pPr>
          </w:p>
        </w:tc>
        <w:tc>
          <w:tcPr>
            <w:tcW w:w="2647" w:type="pct"/>
            <w:tcMar>
              <w:left w:w="57" w:type="dxa"/>
            </w:tcMar>
          </w:tcPr>
          <w:p w14:paraId="6A25F0AD" w14:textId="77777777" w:rsidR="003D0A4C" w:rsidRPr="003D0A4C" w:rsidRDefault="003D0A4C" w:rsidP="006A07AB">
            <w:pPr>
              <w:spacing w:before="20" w:after="20"/>
              <w:rPr>
                <w:lang w:val="fr-BE" w:eastAsia="en-US"/>
              </w:rPr>
            </w:pPr>
            <w:r w:rsidRPr="003D0A4C">
              <w:rPr>
                <w:lang w:eastAsia="en-US"/>
              </w:rPr>
              <w:t>Le mémorandum d’accord devrait être réétudié et mis à jour pour veiller à ce qu’il reflète l’ensemble des initiatives en cours.</w:t>
            </w:r>
          </w:p>
        </w:tc>
      </w:tr>
      <w:tr w:rsidR="003D0A4C" w:rsidRPr="003D0A4C" w14:paraId="2F280F82" w14:textId="77777777" w:rsidTr="00871F2D">
        <w:tc>
          <w:tcPr>
            <w:tcW w:w="660" w:type="pct"/>
            <w:tcMar>
              <w:left w:w="57" w:type="dxa"/>
              <w:right w:w="85" w:type="dxa"/>
            </w:tcMar>
          </w:tcPr>
          <w:p w14:paraId="268BADBA"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57948C6A" w14:textId="021DF246" w:rsidR="003D0A4C" w:rsidRPr="003D0A4C" w:rsidRDefault="003D0A4C" w:rsidP="006A07AB">
            <w:pPr>
              <w:spacing w:before="20" w:after="20"/>
              <w:rPr>
                <w:lang w:val="fr-BE" w:eastAsia="en-US"/>
              </w:rPr>
            </w:pPr>
            <w:r w:rsidRPr="003D0A4C">
              <w:rPr>
                <w:lang w:eastAsia="en-US"/>
              </w:rPr>
              <w:t>Relation et cartographie des</w:t>
            </w:r>
            <w:r w:rsidR="008769DD">
              <w:rPr>
                <w:lang w:eastAsia="en-US"/>
              </w:rPr>
              <w:t> </w:t>
            </w:r>
            <w:r w:rsidRPr="003D0A4C">
              <w:rPr>
                <w:lang w:eastAsia="en-US"/>
              </w:rPr>
              <w:t>rapports – OHI – COI</w:t>
            </w:r>
          </w:p>
          <w:p w14:paraId="78DBA229" w14:textId="77777777" w:rsidR="003D0A4C" w:rsidRPr="003D0A4C" w:rsidRDefault="003D0A4C" w:rsidP="006A07AB">
            <w:pPr>
              <w:spacing w:before="20" w:after="20"/>
              <w:rPr>
                <w:lang w:val="fr-BE" w:eastAsia="en-US"/>
              </w:rPr>
            </w:pPr>
          </w:p>
        </w:tc>
        <w:tc>
          <w:tcPr>
            <w:tcW w:w="2647" w:type="pct"/>
            <w:tcMar>
              <w:left w:w="57" w:type="dxa"/>
            </w:tcMar>
          </w:tcPr>
          <w:p w14:paraId="1CE8EF11" w14:textId="4C4DE4FE" w:rsidR="003D0A4C" w:rsidRPr="003D0A4C" w:rsidRDefault="003D0A4C" w:rsidP="006A07AB">
            <w:pPr>
              <w:spacing w:before="20" w:after="20"/>
              <w:rPr>
                <w:lang w:val="fr-BE" w:eastAsia="en-US"/>
              </w:rPr>
            </w:pPr>
            <w:r w:rsidRPr="003D0A4C">
              <w:rPr>
                <w:lang w:eastAsia="en-US"/>
              </w:rPr>
              <w:t>Un accord de partenariat devrait être noué entre les deux organisations pour permettre la distribution/détention de fonds dans le fonds central de la GEBCO au sein de l’OHI.</w:t>
            </w:r>
          </w:p>
        </w:tc>
      </w:tr>
      <w:tr w:rsidR="003D0A4C" w:rsidRPr="003D0A4C" w14:paraId="79896489" w14:textId="77777777" w:rsidTr="00871F2D">
        <w:tc>
          <w:tcPr>
            <w:tcW w:w="660" w:type="pct"/>
            <w:tcMar>
              <w:left w:w="57" w:type="dxa"/>
              <w:right w:w="85" w:type="dxa"/>
            </w:tcMar>
          </w:tcPr>
          <w:p w14:paraId="2EE7A7C6"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081C1D97" w14:textId="77777777" w:rsidR="003D0A4C" w:rsidRPr="003D0A4C" w:rsidRDefault="003D0A4C" w:rsidP="006A07AB">
            <w:pPr>
              <w:spacing w:before="20" w:after="20"/>
              <w:rPr>
                <w:lang w:val="fr-BE" w:eastAsia="en-US"/>
              </w:rPr>
            </w:pPr>
            <w:r w:rsidRPr="003D0A4C">
              <w:rPr>
                <w:lang w:eastAsia="en-US"/>
              </w:rPr>
              <w:t>Relation et cartographie des rapports – OHI – NOAA (DCDB)</w:t>
            </w:r>
          </w:p>
        </w:tc>
        <w:tc>
          <w:tcPr>
            <w:tcW w:w="2647" w:type="pct"/>
            <w:tcMar>
              <w:left w:w="57" w:type="dxa"/>
            </w:tcMar>
          </w:tcPr>
          <w:p w14:paraId="39A7E859" w14:textId="77777777" w:rsidR="003D0A4C" w:rsidRPr="003D0A4C" w:rsidRDefault="003D0A4C" w:rsidP="006A07AB">
            <w:pPr>
              <w:spacing w:before="20" w:after="20"/>
              <w:rPr>
                <w:lang w:val="fr-BE" w:eastAsia="en-US"/>
              </w:rPr>
            </w:pPr>
            <w:r w:rsidRPr="003D0A4C">
              <w:rPr>
                <w:lang w:eastAsia="en-US"/>
              </w:rPr>
              <w:t>Examiner le mémorandum d’accord périodiquement ou après tout changement organisationnel afin de s’assurer qu’il soit à jour et adapté à sa finalité.</w:t>
            </w:r>
          </w:p>
        </w:tc>
      </w:tr>
      <w:tr w:rsidR="003D0A4C" w:rsidRPr="003D0A4C" w14:paraId="1BCCB3F2" w14:textId="77777777" w:rsidTr="00871F2D">
        <w:tc>
          <w:tcPr>
            <w:tcW w:w="660" w:type="pct"/>
            <w:tcMar>
              <w:left w:w="57" w:type="dxa"/>
              <w:right w:w="85" w:type="dxa"/>
            </w:tcMar>
          </w:tcPr>
          <w:p w14:paraId="26E2E38B"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69400411" w14:textId="77777777" w:rsidR="003D0A4C" w:rsidRPr="003D0A4C" w:rsidRDefault="003D0A4C" w:rsidP="006A07AB">
            <w:pPr>
              <w:spacing w:before="20" w:after="20"/>
              <w:rPr>
                <w:lang w:val="fr-BE" w:eastAsia="en-US"/>
              </w:rPr>
            </w:pPr>
            <w:r w:rsidRPr="003D0A4C">
              <w:rPr>
                <w:lang w:eastAsia="en-US"/>
              </w:rPr>
              <w:t>Relation et cartographie des rapports – OHI/COI – GEBCO</w:t>
            </w:r>
          </w:p>
        </w:tc>
        <w:tc>
          <w:tcPr>
            <w:tcW w:w="2647" w:type="pct"/>
            <w:tcMar>
              <w:left w:w="57" w:type="dxa"/>
            </w:tcMar>
          </w:tcPr>
          <w:p w14:paraId="57E8DF55" w14:textId="3EC6D287" w:rsidR="003D0A4C" w:rsidRPr="003D0A4C" w:rsidRDefault="003D0A4C" w:rsidP="006A07AB">
            <w:pPr>
              <w:spacing w:before="20" w:after="20"/>
              <w:rPr>
                <w:lang w:val="fr-BE" w:eastAsia="en-US"/>
              </w:rPr>
            </w:pPr>
            <w:r w:rsidRPr="003D0A4C">
              <w:rPr>
                <w:lang w:eastAsia="en-US"/>
              </w:rPr>
              <w:t>Le statut exact du GC-GEBCO doit être clarifié car</w:t>
            </w:r>
            <w:r w:rsidR="008B7523">
              <w:rPr>
                <w:lang w:eastAsia="en-US"/>
              </w:rPr>
              <w:t> </w:t>
            </w:r>
            <w:r w:rsidRPr="003D0A4C">
              <w:rPr>
                <w:lang w:eastAsia="en-US"/>
              </w:rPr>
              <w:t>il se rapporte à la structure opérationnelle de l’OHI.</w:t>
            </w:r>
          </w:p>
        </w:tc>
      </w:tr>
      <w:tr w:rsidR="003D0A4C" w:rsidRPr="003D0A4C" w14:paraId="071D4912" w14:textId="77777777" w:rsidTr="00871F2D">
        <w:tc>
          <w:tcPr>
            <w:tcW w:w="660" w:type="pct"/>
            <w:tcMar>
              <w:left w:w="57" w:type="dxa"/>
              <w:right w:w="85" w:type="dxa"/>
            </w:tcMar>
          </w:tcPr>
          <w:p w14:paraId="17200C41"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4382DC13" w14:textId="77777777" w:rsidR="003D0A4C" w:rsidRPr="003D0A4C" w:rsidRDefault="003D0A4C" w:rsidP="006A07AB">
            <w:pPr>
              <w:spacing w:before="20" w:after="20"/>
              <w:rPr>
                <w:lang w:val="fr-BE" w:eastAsia="en-US"/>
              </w:rPr>
            </w:pPr>
            <w:r w:rsidRPr="003D0A4C">
              <w:rPr>
                <w:lang w:eastAsia="en-US"/>
              </w:rPr>
              <w:t>Relation et cartographie des rapports – OHI/COI – GEBCO</w:t>
            </w:r>
          </w:p>
        </w:tc>
        <w:tc>
          <w:tcPr>
            <w:tcW w:w="2647" w:type="pct"/>
            <w:tcMar>
              <w:left w:w="57" w:type="dxa"/>
            </w:tcMar>
          </w:tcPr>
          <w:p w14:paraId="0E41A32A" w14:textId="77777777" w:rsidR="003D0A4C" w:rsidRPr="003D0A4C" w:rsidRDefault="003D0A4C" w:rsidP="006A07AB">
            <w:pPr>
              <w:spacing w:before="20" w:after="20"/>
              <w:rPr>
                <w:lang w:val="fr-BE" w:eastAsia="en-US"/>
              </w:rPr>
            </w:pPr>
            <w:r w:rsidRPr="003D0A4C">
              <w:rPr>
                <w:lang w:eastAsia="en-US"/>
              </w:rPr>
              <w:t>Le mandat et le règlement intérieur doivent être mis à jour pour rendre compte de la décision GGC38 de donner au projet de la GEBCO la classification de Programme.</w:t>
            </w:r>
          </w:p>
        </w:tc>
      </w:tr>
      <w:tr w:rsidR="003D0A4C" w:rsidRPr="003D0A4C" w14:paraId="1364DE63" w14:textId="77777777" w:rsidTr="00871F2D">
        <w:tc>
          <w:tcPr>
            <w:tcW w:w="660" w:type="pct"/>
            <w:tcMar>
              <w:left w:w="57" w:type="dxa"/>
              <w:right w:w="85" w:type="dxa"/>
            </w:tcMar>
          </w:tcPr>
          <w:p w14:paraId="0988DD9B"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62AA4146" w14:textId="479E069E" w:rsidR="003D0A4C" w:rsidRPr="003D0A4C" w:rsidRDefault="003D0A4C" w:rsidP="006A07AB">
            <w:pPr>
              <w:spacing w:before="20" w:after="20"/>
              <w:rPr>
                <w:lang w:val="fr-BE" w:eastAsia="en-US"/>
              </w:rPr>
            </w:pPr>
            <w:r w:rsidRPr="003D0A4C">
              <w:rPr>
                <w:lang w:eastAsia="en-US"/>
              </w:rPr>
              <w:t>Relation et cartographie des rapports – GEBCO/SCOPE</w:t>
            </w:r>
            <w:r w:rsidR="008769DD">
              <w:rPr>
                <w:lang w:eastAsia="en-US"/>
              </w:rPr>
              <w:t xml:space="preserve"> </w:t>
            </w:r>
            <w:r w:rsidRPr="003D0A4C">
              <w:rPr>
                <w:lang w:eastAsia="en-US"/>
              </w:rPr>
              <w:t>– Map the Gaps</w:t>
            </w:r>
          </w:p>
        </w:tc>
        <w:tc>
          <w:tcPr>
            <w:tcW w:w="2647" w:type="pct"/>
            <w:tcMar>
              <w:left w:w="57" w:type="dxa"/>
            </w:tcMar>
          </w:tcPr>
          <w:p w14:paraId="3896FC96" w14:textId="6C8762C7" w:rsidR="003D0A4C" w:rsidRPr="003D0A4C" w:rsidRDefault="003D0A4C" w:rsidP="006A07AB">
            <w:pPr>
              <w:spacing w:before="20" w:after="20"/>
              <w:rPr>
                <w:lang w:val="fr-BE" w:eastAsia="en-US"/>
              </w:rPr>
            </w:pPr>
            <w:r w:rsidRPr="003D0A4C">
              <w:rPr>
                <w:lang w:eastAsia="en-US"/>
              </w:rPr>
              <w:t>Concevoir un mémorandum d’accord ou un accord de partenariat qui définisse clairement la nature de la relation entre le projet GEBCO et le projet Map the Gaps. Il faudrait a minima définir clairement l’ensemble des processus conjoints de prise de décision</w:t>
            </w:r>
            <w:r w:rsidR="008B7523">
              <w:rPr>
                <w:lang w:eastAsia="en-US"/>
              </w:rPr>
              <w:t>s</w:t>
            </w:r>
            <w:r w:rsidRPr="003D0A4C">
              <w:rPr>
                <w:lang w:eastAsia="en-US"/>
              </w:rPr>
              <w:t>, des responsabilités, des niveaux d’autonomie et des détails en ce qui concerne la valorisation de la marque et le recensement.</w:t>
            </w:r>
          </w:p>
        </w:tc>
      </w:tr>
      <w:tr w:rsidR="003D0A4C" w:rsidRPr="003D0A4C" w14:paraId="0CBBC780" w14:textId="77777777" w:rsidTr="00871F2D">
        <w:tc>
          <w:tcPr>
            <w:tcW w:w="660" w:type="pct"/>
            <w:tcMar>
              <w:left w:w="57" w:type="dxa"/>
              <w:right w:w="85" w:type="dxa"/>
            </w:tcMar>
          </w:tcPr>
          <w:p w14:paraId="1FB431EA"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5EEBAF74" w14:textId="77777777" w:rsidR="003D0A4C" w:rsidRPr="003D0A4C" w:rsidRDefault="003D0A4C" w:rsidP="006A07AB">
            <w:pPr>
              <w:spacing w:before="20" w:after="20"/>
              <w:rPr>
                <w:lang w:val="en-GB" w:eastAsia="en-US"/>
              </w:rPr>
            </w:pPr>
            <w:r w:rsidRPr="003D0A4C">
              <w:rPr>
                <w:lang w:eastAsia="en-US"/>
              </w:rPr>
              <w:t>GC-GEBCO – Seabed 2030</w:t>
            </w:r>
          </w:p>
        </w:tc>
        <w:tc>
          <w:tcPr>
            <w:tcW w:w="2647" w:type="pct"/>
            <w:tcMar>
              <w:left w:w="57" w:type="dxa"/>
              <w:right w:w="28" w:type="dxa"/>
            </w:tcMar>
          </w:tcPr>
          <w:p w14:paraId="12B6DFFE" w14:textId="17BF69E4" w:rsidR="003D0A4C" w:rsidRPr="003D0A4C" w:rsidRDefault="003D0A4C" w:rsidP="006A07AB">
            <w:pPr>
              <w:spacing w:before="20" w:after="20"/>
              <w:rPr>
                <w:spacing w:val="-3"/>
                <w:lang w:val="fr-BE" w:eastAsia="en-US"/>
              </w:rPr>
            </w:pPr>
            <w:r w:rsidRPr="003D0A4C">
              <w:rPr>
                <w:spacing w:val="-3"/>
                <w:lang w:eastAsia="en-US"/>
              </w:rPr>
              <w:t xml:space="preserve">Les documents de gouvernance relatifs au projet </w:t>
            </w:r>
            <w:r w:rsidR="00D3309F">
              <w:rPr>
                <w:spacing w:val="-3"/>
                <w:lang w:eastAsia="en-US"/>
              </w:rPr>
              <w:t>« </w:t>
            </w:r>
            <w:r w:rsidRPr="003D0A4C">
              <w:rPr>
                <w:spacing w:val="-3"/>
                <w:lang w:eastAsia="en-US"/>
              </w:rPr>
              <w:t>Seabed 2030</w:t>
            </w:r>
            <w:r w:rsidR="00D3309F">
              <w:rPr>
                <w:spacing w:val="-3"/>
                <w:lang w:eastAsia="en-US"/>
              </w:rPr>
              <w:t> »</w:t>
            </w:r>
            <w:r w:rsidRPr="003D0A4C">
              <w:rPr>
                <w:spacing w:val="-3"/>
                <w:lang w:eastAsia="en-US"/>
              </w:rPr>
              <w:t xml:space="preserve"> doivent être révisés et les versions les plus récentes envoyées au GC</w:t>
            </w:r>
            <w:r w:rsidR="006A07AB">
              <w:rPr>
                <w:spacing w:val="-3"/>
                <w:lang w:eastAsia="en-US"/>
              </w:rPr>
              <w:noBreakHyphen/>
            </w:r>
            <w:r w:rsidRPr="003D0A4C">
              <w:rPr>
                <w:spacing w:val="-3"/>
                <w:lang w:eastAsia="en-US"/>
              </w:rPr>
              <w:t xml:space="preserve">GEBCO et aux parrains du projet </w:t>
            </w:r>
            <w:r w:rsidR="00D3309F">
              <w:rPr>
                <w:spacing w:val="-3"/>
                <w:lang w:eastAsia="en-US"/>
              </w:rPr>
              <w:t>« </w:t>
            </w:r>
            <w:r w:rsidRPr="003D0A4C">
              <w:rPr>
                <w:spacing w:val="-3"/>
                <w:lang w:eastAsia="en-US"/>
              </w:rPr>
              <w:t>Seabed 2030</w:t>
            </w:r>
            <w:r w:rsidR="00D3309F">
              <w:rPr>
                <w:spacing w:val="-3"/>
                <w:lang w:eastAsia="en-US"/>
              </w:rPr>
              <w:t> »</w:t>
            </w:r>
            <w:r w:rsidRPr="003D0A4C">
              <w:rPr>
                <w:spacing w:val="-3"/>
                <w:lang w:eastAsia="en-US"/>
              </w:rPr>
              <w:t xml:space="preserve"> afin de s’assurer que toutes les parties sont au fait des modalités de gouvernance actuelles.</w:t>
            </w:r>
          </w:p>
        </w:tc>
      </w:tr>
      <w:tr w:rsidR="003D0A4C" w:rsidRPr="003D0A4C" w14:paraId="0CE13B24" w14:textId="77777777" w:rsidTr="00871F2D">
        <w:tc>
          <w:tcPr>
            <w:tcW w:w="660" w:type="pct"/>
            <w:tcMar>
              <w:left w:w="57" w:type="dxa"/>
              <w:right w:w="85" w:type="dxa"/>
            </w:tcMar>
          </w:tcPr>
          <w:p w14:paraId="1AE14422" w14:textId="77777777" w:rsidR="003D0A4C" w:rsidRPr="003D0A4C" w:rsidRDefault="003D0A4C" w:rsidP="006A07AB">
            <w:pPr>
              <w:spacing w:before="20" w:after="20"/>
              <w:rPr>
                <w:lang w:val="en-GB" w:eastAsia="en-US"/>
              </w:rPr>
            </w:pPr>
            <w:r w:rsidRPr="003D0A4C">
              <w:rPr>
                <w:lang w:eastAsia="en-US"/>
              </w:rPr>
              <w:t>8.3</w:t>
            </w:r>
          </w:p>
        </w:tc>
        <w:tc>
          <w:tcPr>
            <w:tcW w:w="1693" w:type="pct"/>
            <w:tcMar>
              <w:left w:w="57" w:type="dxa"/>
              <w:right w:w="28" w:type="dxa"/>
            </w:tcMar>
          </w:tcPr>
          <w:p w14:paraId="4EFF7C88" w14:textId="60EC1B2C" w:rsidR="003D0A4C" w:rsidRPr="003D0A4C" w:rsidRDefault="003D0A4C" w:rsidP="006A07AB">
            <w:pPr>
              <w:spacing w:before="20" w:after="20"/>
              <w:rPr>
                <w:spacing w:val="-3"/>
                <w:lang w:val="fr-BE" w:eastAsia="en-US"/>
              </w:rPr>
            </w:pPr>
            <w:r w:rsidRPr="003D0A4C">
              <w:rPr>
                <w:spacing w:val="-3"/>
                <w:lang w:eastAsia="en-US"/>
              </w:rPr>
              <w:t>Relation et cartographie des</w:t>
            </w:r>
            <w:r w:rsidR="008769DD">
              <w:rPr>
                <w:spacing w:val="-3"/>
                <w:lang w:eastAsia="en-US"/>
              </w:rPr>
              <w:t> </w:t>
            </w:r>
            <w:r w:rsidRPr="003D0A4C">
              <w:rPr>
                <w:spacing w:val="-3"/>
                <w:lang w:eastAsia="en-US"/>
              </w:rPr>
              <w:t>rapports – Sous-Comité de</w:t>
            </w:r>
            <w:r w:rsidR="008769DD">
              <w:rPr>
                <w:spacing w:val="-3"/>
                <w:lang w:eastAsia="en-US"/>
              </w:rPr>
              <w:t> </w:t>
            </w:r>
            <w:r w:rsidRPr="003D0A4C">
              <w:rPr>
                <w:spacing w:val="-3"/>
                <w:lang w:eastAsia="en-US"/>
              </w:rPr>
              <w:t>l’éducation et de la formation de la GEBCO/GC-GEBCO – Programme de formation GEBCO-Nippon Foundation</w:t>
            </w:r>
          </w:p>
        </w:tc>
        <w:tc>
          <w:tcPr>
            <w:tcW w:w="2647" w:type="pct"/>
            <w:tcMar>
              <w:left w:w="57" w:type="dxa"/>
            </w:tcMar>
          </w:tcPr>
          <w:p w14:paraId="3A593F61" w14:textId="77777777" w:rsidR="003D0A4C" w:rsidRPr="003D0A4C" w:rsidRDefault="003D0A4C" w:rsidP="006A07AB">
            <w:pPr>
              <w:spacing w:before="20" w:after="40"/>
              <w:rPr>
                <w:lang w:val="fr-BE" w:eastAsia="en-US"/>
              </w:rPr>
            </w:pPr>
            <w:r w:rsidRPr="003D0A4C">
              <w:rPr>
                <w:lang w:eastAsia="en-US"/>
              </w:rPr>
              <w:t>Clarifier la relation entre le Sous-Comité de l’éducation et de la formation de la GEBCO et le Programme de formation GEBCO-Nippon Foundation, notamment en ce qui concerne la supervision, et veiller à ce que les instruments existants soient adaptés ou que de nouveaux soient créés pour décrire les modalités de gouvernance.</w:t>
            </w:r>
          </w:p>
        </w:tc>
      </w:tr>
      <w:tr w:rsidR="003D0A4C" w:rsidRPr="003D0A4C" w14:paraId="2C35BD27" w14:textId="77777777" w:rsidTr="00871F2D">
        <w:tc>
          <w:tcPr>
            <w:tcW w:w="660" w:type="pct"/>
            <w:tcMar>
              <w:left w:w="57" w:type="dxa"/>
              <w:right w:w="85" w:type="dxa"/>
            </w:tcMar>
          </w:tcPr>
          <w:p w14:paraId="37A691D2" w14:textId="77777777" w:rsidR="003D0A4C" w:rsidRPr="003D0A4C" w:rsidRDefault="003D0A4C" w:rsidP="006A07AB">
            <w:pPr>
              <w:spacing w:before="20" w:after="20"/>
              <w:rPr>
                <w:lang w:val="en-GB" w:eastAsia="en-US"/>
              </w:rPr>
            </w:pPr>
            <w:r w:rsidRPr="003D0A4C">
              <w:rPr>
                <w:lang w:eastAsia="en-US"/>
              </w:rPr>
              <w:lastRenderedPageBreak/>
              <w:t>8.3</w:t>
            </w:r>
          </w:p>
        </w:tc>
        <w:tc>
          <w:tcPr>
            <w:tcW w:w="1693" w:type="pct"/>
            <w:tcMar>
              <w:left w:w="57" w:type="dxa"/>
              <w:right w:w="28" w:type="dxa"/>
            </w:tcMar>
          </w:tcPr>
          <w:p w14:paraId="0C34F28B" w14:textId="77777777" w:rsidR="003D0A4C" w:rsidRPr="003D0A4C" w:rsidRDefault="003D0A4C" w:rsidP="006A07AB">
            <w:pPr>
              <w:spacing w:before="20" w:after="20"/>
              <w:rPr>
                <w:lang w:val="fr-BE" w:eastAsia="en-US"/>
              </w:rPr>
            </w:pPr>
            <w:r w:rsidRPr="003D0A4C">
              <w:rPr>
                <w:lang w:eastAsia="en-US"/>
              </w:rPr>
              <w:t>Relation et cartographie des rapports – SCTCO – BODC</w:t>
            </w:r>
          </w:p>
        </w:tc>
        <w:tc>
          <w:tcPr>
            <w:tcW w:w="2647" w:type="pct"/>
            <w:tcMar>
              <w:left w:w="57" w:type="dxa"/>
              <w:right w:w="57" w:type="dxa"/>
            </w:tcMar>
          </w:tcPr>
          <w:p w14:paraId="66497C63" w14:textId="77777777" w:rsidR="003D0A4C" w:rsidRPr="003D0A4C" w:rsidRDefault="003D0A4C" w:rsidP="006A07AB">
            <w:pPr>
              <w:spacing w:before="20" w:after="20"/>
              <w:rPr>
                <w:lang w:val="fr-BE" w:eastAsia="en-US"/>
              </w:rPr>
            </w:pPr>
            <w:r w:rsidRPr="003D0A4C">
              <w:rPr>
                <w:lang w:eastAsia="en-US"/>
              </w:rPr>
              <w:t>Élaborer un accord de prestation de services décrivant les produits convenus du BODC pour le compte du SCTCO/GEBCO.</w:t>
            </w:r>
          </w:p>
        </w:tc>
      </w:tr>
      <w:tr w:rsidR="003D0A4C" w:rsidRPr="003D0A4C" w14:paraId="7ED1A884" w14:textId="77777777" w:rsidTr="00871F2D">
        <w:tc>
          <w:tcPr>
            <w:tcW w:w="660" w:type="pct"/>
            <w:tcMar>
              <w:left w:w="57" w:type="dxa"/>
              <w:right w:w="85" w:type="dxa"/>
            </w:tcMar>
          </w:tcPr>
          <w:p w14:paraId="24A65D2F" w14:textId="77777777" w:rsidR="003D0A4C" w:rsidRPr="003D0A4C" w:rsidRDefault="003D0A4C" w:rsidP="006A07AB">
            <w:pPr>
              <w:spacing w:before="20" w:after="20"/>
              <w:rPr>
                <w:lang w:val="en-GB" w:eastAsia="en-US"/>
              </w:rPr>
            </w:pPr>
            <w:r w:rsidRPr="003D0A4C">
              <w:rPr>
                <w:lang w:eastAsia="en-US"/>
              </w:rPr>
              <w:t>9.3</w:t>
            </w:r>
          </w:p>
        </w:tc>
        <w:tc>
          <w:tcPr>
            <w:tcW w:w="1693" w:type="pct"/>
            <w:tcMar>
              <w:left w:w="57" w:type="dxa"/>
              <w:right w:w="28" w:type="dxa"/>
            </w:tcMar>
          </w:tcPr>
          <w:p w14:paraId="1D5189A7" w14:textId="65A58A0B" w:rsidR="003D0A4C" w:rsidRPr="003D0A4C" w:rsidRDefault="003D0A4C" w:rsidP="006A07AB">
            <w:pPr>
              <w:spacing w:before="20" w:after="20"/>
              <w:rPr>
                <w:lang w:val="fr-BE" w:eastAsia="en-US"/>
              </w:rPr>
            </w:pPr>
            <w:r w:rsidRPr="003D0A4C">
              <w:rPr>
                <w:lang w:eastAsia="en-US"/>
              </w:rPr>
              <w:t>Structure de travail du</w:t>
            </w:r>
            <w:r w:rsidR="008769DD">
              <w:rPr>
                <w:lang w:eastAsia="en-US"/>
              </w:rPr>
              <w:t> </w:t>
            </w:r>
            <w:r w:rsidRPr="003D0A4C">
              <w:rPr>
                <w:lang w:eastAsia="en-US"/>
              </w:rPr>
              <w:t>programme actuel</w:t>
            </w:r>
          </w:p>
        </w:tc>
        <w:tc>
          <w:tcPr>
            <w:tcW w:w="2647" w:type="pct"/>
            <w:tcMar>
              <w:left w:w="57" w:type="dxa"/>
              <w:right w:w="57" w:type="dxa"/>
            </w:tcMar>
          </w:tcPr>
          <w:p w14:paraId="5C1A7A46" w14:textId="77777777" w:rsidR="003D0A4C" w:rsidRPr="003D0A4C" w:rsidRDefault="003D0A4C" w:rsidP="006A07AB">
            <w:pPr>
              <w:spacing w:before="20" w:after="20"/>
              <w:rPr>
                <w:spacing w:val="-3"/>
                <w:kern w:val="0"/>
                <w:lang w:val="fr-BE" w:eastAsia="en-US"/>
              </w:rPr>
            </w:pPr>
            <w:r w:rsidRPr="003D0A4C">
              <w:rPr>
                <w:spacing w:val="-3"/>
                <w:kern w:val="0"/>
                <w:lang w:eastAsia="en-US"/>
              </w:rPr>
              <w:t>Veiller à ce qu’il y ait des retombées et un lien clairs entre les objectifs définis dans la stratégie de la GEBCO et les différents éléments de travail inclus dans les plans de travail.</w:t>
            </w:r>
          </w:p>
        </w:tc>
      </w:tr>
      <w:tr w:rsidR="003D0A4C" w:rsidRPr="003D0A4C" w14:paraId="0571D958" w14:textId="77777777" w:rsidTr="00871F2D">
        <w:tc>
          <w:tcPr>
            <w:tcW w:w="660" w:type="pct"/>
            <w:tcMar>
              <w:left w:w="57" w:type="dxa"/>
              <w:right w:w="85" w:type="dxa"/>
            </w:tcMar>
          </w:tcPr>
          <w:p w14:paraId="4C3ACF08" w14:textId="77777777" w:rsidR="003D0A4C" w:rsidRPr="003D0A4C" w:rsidRDefault="003D0A4C" w:rsidP="006A07AB">
            <w:pPr>
              <w:spacing w:before="20" w:after="20"/>
              <w:rPr>
                <w:lang w:val="en-GB" w:eastAsia="en-US"/>
              </w:rPr>
            </w:pPr>
            <w:r w:rsidRPr="003D0A4C">
              <w:rPr>
                <w:lang w:eastAsia="en-US"/>
              </w:rPr>
              <w:t>9.3</w:t>
            </w:r>
          </w:p>
        </w:tc>
        <w:tc>
          <w:tcPr>
            <w:tcW w:w="1693" w:type="pct"/>
            <w:tcMar>
              <w:left w:w="57" w:type="dxa"/>
              <w:right w:w="28" w:type="dxa"/>
            </w:tcMar>
          </w:tcPr>
          <w:p w14:paraId="07254226" w14:textId="134013BE" w:rsidR="003D0A4C" w:rsidRPr="003D0A4C" w:rsidRDefault="003D0A4C" w:rsidP="006A07AB">
            <w:pPr>
              <w:spacing w:before="20" w:after="20"/>
              <w:rPr>
                <w:lang w:val="fr-BE" w:eastAsia="en-US"/>
              </w:rPr>
            </w:pPr>
            <w:r w:rsidRPr="003D0A4C">
              <w:rPr>
                <w:lang w:eastAsia="en-US"/>
              </w:rPr>
              <w:t>Structure de travail du</w:t>
            </w:r>
            <w:r w:rsidR="008769DD">
              <w:rPr>
                <w:lang w:eastAsia="en-US"/>
              </w:rPr>
              <w:t> </w:t>
            </w:r>
            <w:r w:rsidRPr="003D0A4C">
              <w:rPr>
                <w:lang w:eastAsia="en-US"/>
              </w:rPr>
              <w:t>programme actuel</w:t>
            </w:r>
          </w:p>
        </w:tc>
        <w:tc>
          <w:tcPr>
            <w:tcW w:w="2647" w:type="pct"/>
            <w:tcMar>
              <w:left w:w="57" w:type="dxa"/>
              <w:right w:w="57" w:type="dxa"/>
            </w:tcMar>
          </w:tcPr>
          <w:p w14:paraId="3B674FEC" w14:textId="77777777" w:rsidR="003D0A4C" w:rsidRPr="009F768F" w:rsidRDefault="003D0A4C" w:rsidP="006A07AB">
            <w:pPr>
              <w:spacing w:before="20" w:after="20"/>
              <w:rPr>
                <w:lang w:val="fr-BE" w:eastAsia="en-US"/>
              </w:rPr>
            </w:pPr>
            <w:r w:rsidRPr="009F768F">
              <w:rPr>
                <w:lang w:eastAsia="en-US"/>
              </w:rPr>
              <w:t>Envisager la création d’un conseil de gestion du programme spécifique.</w:t>
            </w:r>
          </w:p>
        </w:tc>
      </w:tr>
      <w:tr w:rsidR="003D0A4C" w:rsidRPr="003D0A4C" w14:paraId="571756B6" w14:textId="77777777" w:rsidTr="00871F2D">
        <w:tc>
          <w:tcPr>
            <w:tcW w:w="660" w:type="pct"/>
            <w:tcMar>
              <w:left w:w="57" w:type="dxa"/>
              <w:right w:w="85" w:type="dxa"/>
            </w:tcMar>
          </w:tcPr>
          <w:p w14:paraId="7BABB8D1" w14:textId="77777777" w:rsidR="003D0A4C" w:rsidRPr="003D0A4C" w:rsidRDefault="003D0A4C" w:rsidP="006A07AB">
            <w:pPr>
              <w:spacing w:before="20" w:after="20"/>
              <w:rPr>
                <w:lang w:val="en-GB" w:eastAsia="en-US"/>
              </w:rPr>
            </w:pPr>
            <w:r w:rsidRPr="003D0A4C">
              <w:rPr>
                <w:lang w:eastAsia="en-US"/>
              </w:rPr>
              <w:t>9.3</w:t>
            </w:r>
          </w:p>
        </w:tc>
        <w:tc>
          <w:tcPr>
            <w:tcW w:w="1693" w:type="pct"/>
            <w:tcMar>
              <w:left w:w="57" w:type="dxa"/>
              <w:right w:w="28" w:type="dxa"/>
            </w:tcMar>
          </w:tcPr>
          <w:p w14:paraId="05DE1E71" w14:textId="309948A7" w:rsidR="003D0A4C" w:rsidRPr="003D0A4C" w:rsidRDefault="003D0A4C" w:rsidP="006A07AB">
            <w:pPr>
              <w:spacing w:before="20" w:after="20"/>
              <w:rPr>
                <w:lang w:val="fr-BE" w:eastAsia="en-US"/>
              </w:rPr>
            </w:pPr>
            <w:r w:rsidRPr="003D0A4C">
              <w:rPr>
                <w:lang w:eastAsia="en-US"/>
              </w:rPr>
              <w:t>Structure de travail du</w:t>
            </w:r>
            <w:r w:rsidR="008769DD">
              <w:rPr>
                <w:lang w:eastAsia="en-US"/>
              </w:rPr>
              <w:t> </w:t>
            </w:r>
            <w:r w:rsidRPr="003D0A4C">
              <w:rPr>
                <w:lang w:eastAsia="en-US"/>
              </w:rPr>
              <w:t>programme actuel</w:t>
            </w:r>
          </w:p>
        </w:tc>
        <w:tc>
          <w:tcPr>
            <w:tcW w:w="2647" w:type="pct"/>
            <w:tcMar>
              <w:left w:w="57" w:type="dxa"/>
              <w:right w:w="57" w:type="dxa"/>
            </w:tcMar>
          </w:tcPr>
          <w:p w14:paraId="354299E9" w14:textId="77777777" w:rsidR="003D0A4C" w:rsidRPr="009F768F" w:rsidRDefault="003D0A4C" w:rsidP="006A07AB">
            <w:pPr>
              <w:spacing w:before="20" w:after="20"/>
              <w:rPr>
                <w:lang w:val="fr-BE" w:eastAsia="en-US"/>
              </w:rPr>
            </w:pPr>
            <w:r w:rsidRPr="009F768F">
              <w:rPr>
                <w:lang w:eastAsia="en-US"/>
              </w:rPr>
              <w:t>Étudier la nécessité d’un responsable du programme spécifique de la GEBCO.</w:t>
            </w:r>
          </w:p>
        </w:tc>
      </w:tr>
      <w:tr w:rsidR="003D0A4C" w:rsidRPr="003D0A4C" w14:paraId="37A62048" w14:textId="77777777" w:rsidTr="00871F2D">
        <w:tc>
          <w:tcPr>
            <w:tcW w:w="660" w:type="pct"/>
            <w:tcMar>
              <w:left w:w="57" w:type="dxa"/>
              <w:right w:w="85" w:type="dxa"/>
            </w:tcMar>
          </w:tcPr>
          <w:p w14:paraId="35666081" w14:textId="77777777" w:rsidR="003D0A4C" w:rsidRPr="003D0A4C" w:rsidRDefault="003D0A4C" w:rsidP="006A07AB">
            <w:pPr>
              <w:spacing w:before="20" w:after="20"/>
              <w:rPr>
                <w:lang w:val="en-GB" w:eastAsia="en-US"/>
              </w:rPr>
            </w:pPr>
            <w:r w:rsidRPr="003D0A4C">
              <w:rPr>
                <w:lang w:eastAsia="en-US"/>
              </w:rPr>
              <w:t>10.2</w:t>
            </w:r>
          </w:p>
        </w:tc>
        <w:tc>
          <w:tcPr>
            <w:tcW w:w="1693" w:type="pct"/>
            <w:tcMar>
              <w:left w:w="57" w:type="dxa"/>
              <w:right w:w="28" w:type="dxa"/>
            </w:tcMar>
          </w:tcPr>
          <w:p w14:paraId="33910D48" w14:textId="77777777" w:rsidR="003D0A4C" w:rsidRPr="003D0A4C" w:rsidRDefault="003D0A4C" w:rsidP="006A07AB">
            <w:pPr>
              <w:spacing w:before="20" w:after="20"/>
              <w:rPr>
                <w:lang w:val="en-GB" w:eastAsia="en-US"/>
              </w:rPr>
            </w:pPr>
            <w:r w:rsidRPr="003D0A4C">
              <w:rPr>
                <w:lang w:eastAsia="en-US"/>
              </w:rPr>
              <w:t>Finances – Ambition future</w:t>
            </w:r>
          </w:p>
        </w:tc>
        <w:tc>
          <w:tcPr>
            <w:tcW w:w="2647" w:type="pct"/>
            <w:tcMar>
              <w:left w:w="57" w:type="dxa"/>
              <w:right w:w="57" w:type="dxa"/>
            </w:tcMar>
          </w:tcPr>
          <w:p w14:paraId="5EB74385" w14:textId="77777777" w:rsidR="003D0A4C" w:rsidRPr="009F768F" w:rsidRDefault="003D0A4C" w:rsidP="006A07AB">
            <w:pPr>
              <w:spacing w:before="20" w:after="20"/>
              <w:rPr>
                <w:spacing w:val="-3"/>
                <w:lang w:val="fr-BE" w:eastAsia="en-US"/>
              </w:rPr>
            </w:pPr>
            <w:r w:rsidRPr="009F768F">
              <w:rPr>
                <w:spacing w:val="-3"/>
                <w:lang w:eastAsia="en-US"/>
              </w:rPr>
              <w:t>Les options proposées dans le rapport sur les propositions de financement doivent être examinées, ainsi que l’examen juridique, dès que cet examen de la gouvernance aura été envisagé et qu’un plan de mise en œuvre sera élaboré. Il conviendrait également de prendre en considération les travaux de l’équipe de projet de financement de l’OHI afin d’éviter les doublons et de tirer parti des synergies.</w:t>
            </w:r>
          </w:p>
        </w:tc>
      </w:tr>
      <w:tr w:rsidR="003D0A4C" w:rsidRPr="003D0A4C" w14:paraId="01E974E5" w14:textId="77777777" w:rsidTr="00871F2D">
        <w:tc>
          <w:tcPr>
            <w:tcW w:w="660" w:type="pct"/>
            <w:tcMar>
              <w:left w:w="57" w:type="dxa"/>
              <w:right w:w="85" w:type="dxa"/>
            </w:tcMar>
          </w:tcPr>
          <w:p w14:paraId="7B313143" w14:textId="77777777" w:rsidR="003D0A4C" w:rsidRPr="003D0A4C" w:rsidRDefault="003D0A4C" w:rsidP="006A07AB">
            <w:pPr>
              <w:spacing w:before="20" w:after="20"/>
              <w:rPr>
                <w:lang w:val="en-GB" w:eastAsia="en-US"/>
              </w:rPr>
            </w:pPr>
            <w:r w:rsidRPr="003D0A4C">
              <w:rPr>
                <w:lang w:eastAsia="en-US"/>
              </w:rPr>
              <w:t>11</w:t>
            </w:r>
          </w:p>
        </w:tc>
        <w:tc>
          <w:tcPr>
            <w:tcW w:w="1693" w:type="pct"/>
            <w:tcMar>
              <w:left w:w="57" w:type="dxa"/>
              <w:right w:w="28" w:type="dxa"/>
            </w:tcMar>
          </w:tcPr>
          <w:p w14:paraId="293BBFA4" w14:textId="77777777" w:rsidR="003D0A4C" w:rsidRPr="003D0A4C" w:rsidRDefault="003D0A4C" w:rsidP="006A07AB">
            <w:pPr>
              <w:spacing w:before="20" w:after="20"/>
              <w:rPr>
                <w:lang w:val="en-GB" w:eastAsia="en-US"/>
              </w:rPr>
            </w:pPr>
            <w:r w:rsidRPr="003D0A4C">
              <w:rPr>
                <w:lang w:eastAsia="en-US"/>
              </w:rPr>
              <w:t>Examen juridique</w:t>
            </w:r>
          </w:p>
        </w:tc>
        <w:tc>
          <w:tcPr>
            <w:tcW w:w="2647" w:type="pct"/>
            <w:tcMar>
              <w:left w:w="57" w:type="dxa"/>
              <w:right w:w="57" w:type="dxa"/>
            </w:tcMar>
          </w:tcPr>
          <w:p w14:paraId="7433CA6C" w14:textId="3649C920" w:rsidR="003D0A4C" w:rsidRPr="003D0A4C" w:rsidRDefault="003D0A4C" w:rsidP="006A07AB">
            <w:pPr>
              <w:spacing w:before="20" w:after="20"/>
              <w:rPr>
                <w:lang w:val="fr-BE" w:eastAsia="en-US"/>
              </w:rPr>
            </w:pPr>
            <w:r w:rsidRPr="003D0A4C">
              <w:rPr>
                <w:lang w:eastAsia="en-US"/>
              </w:rPr>
              <w:t>Un examen complet du statut juridique actuel et futur potentiel du Programme de la GEBCO doit être établi. Cet examen doit examin</w:t>
            </w:r>
            <w:r w:rsidRPr="00950838">
              <w:rPr>
                <w:lang w:eastAsia="en-US"/>
              </w:rPr>
              <w:t>er la Stratégie</w:t>
            </w:r>
            <w:r w:rsidRPr="003D0A4C">
              <w:rPr>
                <w:lang w:eastAsia="en-US"/>
              </w:rPr>
              <w:t xml:space="preserve"> de la GEBCO et la </w:t>
            </w:r>
            <w:r w:rsidR="00D57A87">
              <w:rPr>
                <w:lang w:eastAsia="en-US"/>
              </w:rPr>
              <w:t>s</w:t>
            </w:r>
            <w:r w:rsidRPr="003D0A4C">
              <w:rPr>
                <w:lang w:eastAsia="en-US"/>
              </w:rPr>
              <w:t>tratégie de financement précédemment établie.</w:t>
            </w:r>
          </w:p>
        </w:tc>
      </w:tr>
      <w:tr w:rsidR="003D0A4C" w:rsidRPr="003D0A4C" w14:paraId="3C358C1F" w14:textId="77777777" w:rsidTr="00871F2D">
        <w:tc>
          <w:tcPr>
            <w:tcW w:w="660" w:type="pct"/>
            <w:tcMar>
              <w:left w:w="57" w:type="dxa"/>
              <w:right w:w="85" w:type="dxa"/>
            </w:tcMar>
          </w:tcPr>
          <w:p w14:paraId="743618C8" w14:textId="77777777" w:rsidR="003D0A4C" w:rsidRPr="003D0A4C" w:rsidRDefault="003D0A4C" w:rsidP="006A07AB">
            <w:pPr>
              <w:spacing w:before="20" w:after="20"/>
              <w:rPr>
                <w:lang w:val="en-GB" w:eastAsia="en-US"/>
              </w:rPr>
            </w:pPr>
            <w:r w:rsidRPr="003D0A4C">
              <w:rPr>
                <w:lang w:eastAsia="en-US"/>
              </w:rPr>
              <w:t>12</w:t>
            </w:r>
          </w:p>
        </w:tc>
        <w:tc>
          <w:tcPr>
            <w:tcW w:w="1693" w:type="pct"/>
            <w:tcMar>
              <w:left w:w="57" w:type="dxa"/>
              <w:right w:w="28" w:type="dxa"/>
            </w:tcMar>
          </w:tcPr>
          <w:p w14:paraId="5A619536" w14:textId="77777777" w:rsidR="003D0A4C" w:rsidRPr="003D0A4C" w:rsidRDefault="003D0A4C" w:rsidP="006A07AB">
            <w:pPr>
              <w:spacing w:before="20" w:after="20"/>
              <w:rPr>
                <w:lang w:val="en-GB" w:eastAsia="en-US"/>
              </w:rPr>
            </w:pPr>
            <w:r w:rsidRPr="003D0A4C">
              <w:rPr>
                <w:lang w:eastAsia="en-US"/>
              </w:rPr>
              <w:t>Gestion des risques</w:t>
            </w:r>
          </w:p>
        </w:tc>
        <w:tc>
          <w:tcPr>
            <w:tcW w:w="2647" w:type="pct"/>
            <w:tcMar>
              <w:left w:w="57" w:type="dxa"/>
              <w:right w:w="57" w:type="dxa"/>
            </w:tcMar>
          </w:tcPr>
          <w:p w14:paraId="6CA62064" w14:textId="77777777" w:rsidR="003D0A4C" w:rsidRPr="003D0A4C" w:rsidRDefault="003D0A4C" w:rsidP="006A07AB">
            <w:pPr>
              <w:spacing w:before="20" w:after="20"/>
              <w:rPr>
                <w:lang w:val="fr-BE" w:eastAsia="en-US"/>
              </w:rPr>
            </w:pPr>
            <w:r w:rsidRPr="003D0A4C">
              <w:rPr>
                <w:lang w:eastAsia="en-US"/>
              </w:rPr>
              <w:t>L’ensemble des organes qui ont un plan de travail doivent adopter un processus de gestion des risques pour appuyer une exécution du programme effective.</w:t>
            </w:r>
          </w:p>
        </w:tc>
      </w:tr>
      <w:tr w:rsidR="003D0A4C" w:rsidRPr="003D0A4C" w14:paraId="438153A9" w14:textId="77777777" w:rsidTr="00871F2D">
        <w:tc>
          <w:tcPr>
            <w:tcW w:w="660" w:type="pct"/>
            <w:tcMar>
              <w:left w:w="57" w:type="dxa"/>
              <w:right w:w="85" w:type="dxa"/>
            </w:tcMar>
          </w:tcPr>
          <w:p w14:paraId="6D4D5B66"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4BB84599" w14:textId="721863E0"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57" w:type="dxa"/>
            </w:tcMar>
          </w:tcPr>
          <w:p w14:paraId="7752EDFF" w14:textId="77777777" w:rsidR="003D0A4C" w:rsidRPr="003D0A4C" w:rsidRDefault="003D0A4C" w:rsidP="006A07AB">
            <w:pPr>
              <w:spacing w:before="20" w:after="20"/>
              <w:rPr>
                <w:lang w:val="fr-BE" w:eastAsia="en-US"/>
              </w:rPr>
            </w:pPr>
            <w:r w:rsidRPr="003D0A4C">
              <w:rPr>
                <w:lang w:eastAsia="en-US"/>
              </w:rPr>
              <w:t>Réviser le mandat pour qu’il corresponde à la stratégie.</w:t>
            </w:r>
          </w:p>
        </w:tc>
      </w:tr>
      <w:tr w:rsidR="003D0A4C" w:rsidRPr="003D0A4C" w14:paraId="2B098673" w14:textId="77777777" w:rsidTr="00871F2D">
        <w:tc>
          <w:tcPr>
            <w:tcW w:w="660" w:type="pct"/>
            <w:tcMar>
              <w:left w:w="57" w:type="dxa"/>
              <w:right w:w="85" w:type="dxa"/>
            </w:tcMar>
          </w:tcPr>
          <w:p w14:paraId="53735655"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0AC3CFDA" w14:textId="7DA42B29"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57" w:type="dxa"/>
            </w:tcMar>
          </w:tcPr>
          <w:p w14:paraId="150990ED" w14:textId="77777777" w:rsidR="003D0A4C" w:rsidRPr="003D0A4C" w:rsidRDefault="003D0A4C" w:rsidP="006A07AB">
            <w:pPr>
              <w:spacing w:before="20" w:after="20"/>
              <w:rPr>
                <w:lang w:val="fr-BE" w:eastAsia="en-US"/>
              </w:rPr>
            </w:pPr>
            <w:r w:rsidRPr="003D0A4C">
              <w:rPr>
                <w:lang w:eastAsia="en-US"/>
              </w:rPr>
              <w:t>Tenir compte de ces faiblesses lors de l’approbation des versions futures des programmes de travail.</w:t>
            </w:r>
          </w:p>
        </w:tc>
      </w:tr>
      <w:tr w:rsidR="003D0A4C" w:rsidRPr="003D0A4C" w14:paraId="391B842D" w14:textId="77777777" w:rsidTr="00871F2D">
        <w:tc>
          <w:tcPr>
            <w:tcW w:w="660" w:type="pct"/>
            <w:tcMar>
              <w:left w:w="57" w:type="dxa"/>
              <w:right w:w="85" w:type="dxa"/>
            </w:tcMar>
          </w:tcPr>
          <w:p w14:paraId="2777C604"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38F451EF" w14:textId="36758CD9"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57" w:type="dxa"/>
            </w:tcMar>
          </w:tcPr>
          <w:p w14:paraId="0FF8066F" w14:textId="3A2DEAB6" w:rsidR="003D0A4C" w:rsidRPr="003D0A4C" w:rsidRDefault="003D0A4C" w:rsidP="006A07AB">
            <w:pPr>
              <w:spacing w:before="20" w:after="20"/>
              <w:rPr>
                <w:lang w:val="fr-BE" w:eastAsia="en-US"/>
              </w:rPr>
            </w:pPr>
            <w:r w:rsidRPr="003D0A4C">
              <w:rPr>
                <w:lang w:eastAsia="en-US"/>
              </w:rPr>
              <w:t>Examiner la composition des membres du GC</w:t>
            </w:r>
            <w:r w:rsidR="00871F2D">
              <w:rPr>
                <w:lang w:eastAsia="en-US"/>
              </w:rPr>
              <w:noBreakHyphen/>
            </w:r>
            <w:r w:rsidRPr="003D0A4C">
              <w:rPr>
                <w:lang w:eastAsia="en-US"/>
              </w:rPr>
              <w:t>GEBCO en fonction de la nouvelle stratégie et des normes de gouvernance.</w:t>
            </w:r>
          </w:p>
        </w:tc>
      </w:tr>
      <w:tr w:rsidR="003D0A4C" w:rsidRPr="003D0A4C" w14:paraId="0B1C58BA" w14:textId="77777777" w:rsidTr="00871F2D">
        <w:tc>
          <w:tcPr>
            <w:tcW w:w="660" w:type="pct"/>
            <w:tcMar>
              <w:left w:w="57" w:type="dxa"/>
              <w:right w:w="85" w:type="dxa"/>
            </w:tcMar>
          </w:tcPr>
          <w:p w14:paraId="6FAA807F"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7B107348" w14:textId="34429569"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57" w:type="dxa"/>
            </w:tcMar>
          </w:tcPr>
          <w:p w14:paraId="412387C5" w14:textId="77777777" w:rsidR="003D0A4C" w:rsidRPr="003D0A4C" w:rsidRDefault="003D0A4C" w:rsidP="006A07AB">
            <w:pPr>
              <w:spacing w:before="20" w:after="20"/>
              <w:rPr>
                <w:lang w:val="fr-BE" w:eastAsia="en-US"/>
              </w:rPr>
            </w:pPr>
            <w:r w:rsidRPr="003D0A4C">
              <w:rPr>
                <w:lang w:eastAsia="en-US"/>
              </w:rPr>
              <w:t>En prendre note et le mentionner dans l’examen financier.</w:t>
            </w:r>
          </w:p>
        </w:tc>
      </w:tr>
      <w:tr w:rsidR="003D0A4C" w:rsidRPr="003D0A4C" w14:paraId="46107A85" w14:textId="77777777" w:rsidTr="00871F2D">
        <w:tc>
          <w:tcPr>
            <w:tcW w:w="660" w:type="pct"/>
            <w:tcMar>
              <w:left w:w="57" w:type="dxa"/>
              <w:right w:w="85" w:type="dxa"/>
            </w:tcMar>
          </w:tcPr>
          <w:p w14:paraId="598487F9"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4C614255" w14:textId="0A267F53"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57" w:type="dxa"/>
            </w:tcMar>
          </w:tcPr>
          <w:p w14:paraId="4A3A9FC7" w14:textId="77777777" w:rsidR="003D0A4C" w:rsidRPr="003D0A4C" w:rsidRDefault="003D0A4C" w:rsidP="006A07AB">
            <w:pPr>
              <w:spacing w:before="20" w:after="20"/>
              <w:rPr>
                <w:lang w:val="fr-BE" w:eastAsia="en-US"/>
              </w:rPr>
            </w:pPr>
            <w:r w:rsidRPr="003D0A4C">
              <w:rPr>
                <w:lang w:eastAsia="en-US"/>
              </w:rPr>
              <w:t>Concevoir une politique qui clarifie dans quelle mesure il est attendu que tous les membres du GC-GEBCO financent leurs déplacements.</w:t>
            </w:r>
          </w:p>
        </w:tc>
      </w:tr>
      <w:tr w:rsidR="003D0A4C" w:rsidRPr="003D0A4C" w14:paraId="0535A30C" w14:textId="77777777" w:rsidTr="00871F2D">
        <w:tc>
          <w:tcPr>
            <w:tcW w:w="660" w:type="pct"/>
            <w:tcMar>
              <w:left w:w="57" w:type="dxa"/>
              <w:right w:w="85" w:type="dxa"/>
            </w:tcMar>
          </w:tcPr>
          <w:p w14:paraId="0139295F"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08F4C7F4" w14:textId="5147B940"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57" w:type="dxa"/>
            </w:tcMar>
          </w:tcPr>
          <w:p w14:paraId="31A79616" w14:textId="77777777" w:rsidR="003D0A4C" w:rsidRPr="003D0A4C" w:rsidRDefault="003D0A4C" w:rsidP="006A07AB">
            <w:pPr>
              <w:spacing w:before="20" w:after="20"/>
              <w:rPr>
                <w:lang w:val="fr-BE" w:eastAsia="en-US"/>
              </w:rPr>
            </w:pPr>
            <w:r w:rsidRPr="003D0A4C">
              <w:rPr>
                <w:lang w:eastAsia="en-US"/>
              </w:rPr>
              <w:t>Réfléchir à la forme et la taille du GC-GEBCO.</w:t>
            </w:r>
          </w:p>
        </w:tc>
      </w:tr>
      <w:tr w:rsidR="003D0A4C" w:rsidRPr="003D0A4C" w14:paraId="0D953D07" w14:textId="77777777" w:rsidTr="00871F2D">
        <w:tc>
          <w:tcPr>
            <w:tcW w:w="660" w:type="pct"/>
            <w:tcMar>
              <w:left w:w="57" w:type="dxa"/>
              <w:right w:w="85" w:type="dxa"/>
            </w:tcMar>
          </w:tcPr>
          <w:p w14:paraId="75BCC568" w14:textId="77777777" w:rsidR="003D0A4C" w:rsidRPr="003D0A4C" w:rsidRDefault="003D0A4C" w:rsidP="006A07AB">
            <w:pPr>
              <w:spacing w:before="20" w:after="20"/>
              <w:rPr>
                <w:lang w:val="en-GB" w:eastAsia="en-US"/>
              </w:rPr>
            </w:pPr>
            <w:r w:rsidRPr="003D0A4C">
              <w:rPr>
                <w:lang w:eastAsia="en-US"/>
              </w:rPr>
              <w:t>13.2.1</w:t>
            </w:r>
          </w:p>
        </w:tc>
        <w:tc>
          <w:tcPr>
            <w:tcW w:w="1693" w:type="pct"/>
            <w:tcMar>
              <w:left w:w="57" w:type="dxa"/>
              <w:right w:w="28" w:type="dxa"/>
            </w:tcMar>
          </w:tcPr>
          <w:p w14:paraId="65EE1842" w14:textId="11E5B46A"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GC-GEBCO</w:t>
            </w:r>
          </w:p>
        </w:tc>
        <w:tc>
          <w:tcPr>
            <w:tcW w:w="2647" w:type="pct"/>
            <w:tcMar>
              <w:left w:w="57" w:type="dxa"/>
              <w:right w:w="28" w:type="dxa"/>
            </w:tcMar>
          </w:tcPr>
          <w:p w14:paraId="7A258CBE" w14:textId="367D6613" w:rsidR="003D0A4C" w:rsidRPr="003D0A4C" w:rsidRDefault="003D0A4C" w:rsidP="006A07AB">
            <w:pPr>
              <w:spacing w:before="20" w:after="20"/>
              <w:rPr>
                <w:spacing w:val="-4"/>
                <w:lang w:val="fr-BE" w:eastAsia="en-US"/>
              </w:rPr>
            </w:pPr>
            <w:r w:rsidRPr="003D0A4C">
              <w:rPr>
                <w:spacing w:val="-4"/>
                <w:lang w:eastAsia="en-US"/>
              </w:rPr>
              <w:t>Le mandat et la liste des membres du GC</w:t>
            </w:r>
            <w:r w:rsidR="00871F2D" w:rsidRPr="00871F2D">
              <w:rPr>
                <w:spacing w:val="-4"/>
                <w:lang w:eastAsia="en-US"/>
              </w:rPr>
              <w:noBreakHyphen/>
            </w:r>
            <w:r w:rsidRPr="003D0A4C">
              <w:rPr>
                <w:spacing w:val="-4"/>
                <w:lang w:eastAsia="en-US"/>
              </w:rPr>
              <w:t>GEBCO doivent clarifier les rôles et les responsabilités des membres du GC-GEBCO et indiquer si les catégories de nomination appuient ou entravent la mise en œuvre efficace des activités du GC-GEBCO.</w:t>
            </w:r>
          </w:p>
        </w:tc>
      </w:tr>
      <w:tr w:rsidR="003D0A4C" w:rsidRPr="003D0A4C" w14:paraId="23D97CDE" w14:textId="77777777" w:rsidTr="00871F2D">
        <w:tc>
          <w:tcPr>
            <w:tcW w:w="660" w:type="pct"/>
            <w:tcMar>
              <w:left w:w="57" w:type="dxa"/>
              <w:right w:w="85" w:type="dxa"/>
            </w:tcMar>
          </w:tcPr>
          <w:p w14:paraId="3152ED84"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556EAEBA" w14:textId="231EDCA4"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1232043E" w14:textId="77777777" w:rsidR="003D0A4C" w:rsidRPr="003D0A4C" w:rsidRDefault="003D0A4C" w:rsidP="006A07AB">
            <w:pPr>
              <w:spacing w:before="20" w:after="20"/>
              <w:rPr>
                <w:lang w:val="fr-BE" w:eastAsia="en-US"/>
              </w:rPr>
            </w:pPr>
            <w:r w:rsidRPr="003D0A4C">
              <w:rPr>
                <w:lang w:eastAsia="en-US"/>
              </w:rPr>
              <w:t>Réviser le mandat pour qu’il corresponde à la stratégie.</w:t>
            </w:r>
          </w:p>
        </w:tc>
      </w:tr>
      <w:tr w:rsidR="003D0A4C" w:rsidRPr="003D0A4C" w14:paraId="62D25D33" w14:textId="77777777" w:rsidTr="00871F2D">
        <w:tc>
          <w:tcPr>
            <w:tcW w:w="660" w:type="pct"/>
            <w:tcMar>
              <w:left w:w="57" w:type="dxa"/>
              <w:right w:w="85" w:type="dxa"/>
            </w:tcMar>
          </w:tcPr>
          <w:p w14:paraId="699808EB" w14:textId="77777777" w:rsidR="003D0A4C" w:rsidRPr="003D0A4C" w:rsidRDefault="003D0A4C" w:rsidP="006A07AB">
            <w:pPr>
              <w:spacing w:before="20" w:after="20"/>
              <w:rPr>
                <w:lang w:val="en-GB" w:eastAsia="en-US"/>
              </w:rPr>
            </w:pPr>
            <w:r w:rsidRPr="003D0A4C">
              <w:rPr>
                <w:lang w:eastAsia="en-US"/>
              </w:rPr>
              <w:lastRenderedPageBreak/>
              <w:t>13.2.2</w:t>
            </w:r>
          </w:p>
        </w:tc>
        <w:tc>
          <w:tcPr>
            <w:tcW w:w="1693" w:type="pct"/>
            <w:tcMar>
              <w:left w:w="57" w:type="dxa"/>
              <w:right w:w="28" w:type="dxa"/>
            </w:tcMar>
          </w:tcPr>
          <w:p w14:paraId="089B0906" w14:textId="03DDE2D1"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3EB5E300" w14:textId="28378682" w:rsidR="003D0A4C" w:rsidRPr="003D0A4C" w:rsidRDefault="003D0A4C" w:rsidP="006A07AB">
            <w:pPr>
              <w:spacing w:before="20" w:after="20"/>
              <w:rPr>
                <w:lang w:val="fr-BE" w:eastAsia="en-US"/>
              </w:rPr>
            </w:pPr>
            <w:r w:rsidRPr="003D0A4C">
              <w:rPr>
                <w:lang w:eastAsia="en-US"/>
              </w:rPr>
              <w:t>Rationaliser le plan de travail pour réduire le nombre de tâches et apporter plus de clarté</w:t>
            </w:r>
            <w:r w:rsidR="00D57A87">
              <w:rPr>
                <w:lang w:eastAsia="en-US"/>
              </w:rPr>
              <w:t>.</w:t>
            </w:r>
          </w:p>
        </w:tc>
      </w:tr>
      <w:tr w:rsidR="003D0A4C" w:rsidRPr="003D0A4C" w14:paraId="60999F1C" w14:textId="77777777" w:rsidTr="00871F2D">
        <w:tc>
          <w:tcPr>
            <w:tcW w:w="660" w:type="pct"/>
            <w:tcMar>
              <w:left w:w="57" w:type="dxa"/>
              <w:right w:w="85" w:type="dxa"/>
            </w:tcMar>
          </w:tcPr>
          <w:p w14:paraId="3B4E6470"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497000A4" w14:textId="79E2C458"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68D57941" w14:textId="5ECF2D68" w:rsidR="00D57A87" w:rsidRPr="003D0A4C" w:rsidRDefault="003D0A4C" w:rsidP="00D57A87">
            <w:pPr>
              <w:spacing w:before="20" w:after="20"/>
              <w:rPr>
                <w:lang w:eastAsia="en-US"/>
              </w:rPr>
            </w:pPr>
            <w:r w:rsidRPr="003D0A4C">
              <w:rPr>
                <w:lang w:eastAsia="en-US"/>
              </w:rPr>
              <w:t>Incorporer ce point dans le mémorandum d’accord OHI-DCDB</w:t>
            </w:r>
            <w:r w:rsidR="00D57A87">
              <w:rPr>
                <w:lang w:eastAsia="en-US"/>
              </w:rPr>
              <w:t>.</w:t>
            </w:r>
          </w:p>
        </w:tc>
      </w:tr>
      <w:tr w:rsidR="003D0A4C" w:rsidRPr="003D0A4C" w14:paraId="60242BBE" w14:textId="77777777" w:rsidTr="00871F2D">
        <w:tc>
          <w:tcPr>
            <w:tcW w:w="660" w:type="pct"/>
            <w:tcMar>
              <w:left w:w="57" w:type="dxa"/>
              <w:right w:w="85" w:type="dxa"/>
            </w:tcMar>
          </w:tcPr>
          <w:p w14:paraId="0079CF9D"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5C1E76BA" w14:textId="27C5695E"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17BD9C5C" w14:textId="77777777" w:rsidR="003D0A4C" w:rsidRPr="003D0A4C" w:rsidRDefault="003D0A4C" w:rsidP="006A07AB">
            <w:pPr>
              <w:spacing w:before="20" w:after="20"/>
              <w:rPr>
                <w:lang w:val="fr-BE" w:eastAsia="en-US"/>
              </w:rPr>
            </w:pPr>
            <w:r w:rsidRPr="003D0A4C">
              <w:rPr>
                <w:lang w:eastAsia="en-US"/>
              </w:rPr>
              <w:t>Charger l’OHI/la COI d’envisager l’établissement d’un mémorandum d’accord.</w:t>
            </w:r>
          </w:p>
        </w:tc>
      </w:tr>
      <w:tr w:rsidR="003D0A4C" w:rsidRPr="003D0A4C" w14:paraId="45EE347E" w14:textId="77777777" w:rsidTr="00871F2D">
        <w:tc>
          <w:tcPr>
            <w:tcW w:w="660" w:type="pct"/>
            <w:tcMar>
              <w:left w:w="57" w:type="dxa"/>
              <w:right w:w="85" w:type="dxa"/>
            </w:tcMar>
          </w:tcPr>
          <w:p w14:paraId="66AF0C4F"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64782F4E" w14:textId="01800BB1"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71BB9FCB" w14:textId="77777777" w:rsidR="003D0A4C" w:rsidRPr="003D0A4C" w:rsidRDefault="003D0A4C" w:rsidP="006A07AB">
            <w:pPr>
              <w:spacing w:before="20" w:after="20"/>
              <w:rPr>
                <w:lang w:val="fr-BE" w:eastAsia="en-US"/>
              </w:rPr>
            </w:pPr>
            <w:r w:rsidRPr="003D0A4C">
              <w:rPr>
                <w:lang w:eastAsia="en-US"/>
              </w:rPr>
              <w:t>Désigner un secrétaire parmi les membres, définir ses conditions d’exercice et mettre à jour le mandat en conséquence.</w:t>
            </w:r>
          </w:p>
        </w:tc>
      </w:tr>
      <w:tr w:rsidR="003D0A4C" w:rsidRPr="003D0A4C" w14:paraId="1A56F998" w14:textId="77777777" w:rsidTr="00871F2D">
        <w:tc>
          <w:tcPr>
            <w:tcW w:w="660" w:type="pct"/>
            <w:tcMar>
              <w:left w:w="57" w:type="dxa"/>
              <w:right w:w="85" w:type="dxa"/>
            </w:tcMar>
          </w:tcPr>
          <w:p w14:paraId="5E60A874"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3D2B4C72" w14:textId="3409AD2B"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4120973E" w14:textId="4136628C" w:rsidR="003D0A4C" w:rsidRPr="003D0A4C" w:rsidRDefault="003D0A4C" w:rsidP="006A07AB">
            <w:pPr>
              <w:spacing w:before="20" w:after="20"/>
              <w:rPr>
                <w:lang w:val="fr-BE" w:eastAsia="en-US"/>
              </w:rPr>
            </w:pPr>
            <w:r w:rsidRPr="003D0A4C">
              <w:rPr>
                <w:lang w:eastAsia="en-US"/>
              </w:rPr>
              <w:t xml:space="preserve">Mener un examen sur les documents de gouvernance du projet </w:t>
            </w:r>
            <w:r w:rsidR="00D3309F">
              <w:rPr>
                <w:lang w:eastAsia="en-US"/>
              </w:rPr>
              <w:t>« </w:t>
            </w:r>
            <w:r w:rsidRPr="003D0A4C">
              <w:rPr>
                <w:lang w:eastAsia="en-US"/>
              </w:rPr>
              <w:t>Seabed 2030</w:t>
            </w:r>
            <w:r w:rsidR="00D3309F">
              <w:rPr>
                <w:lang w:eastAsia="en-US"/>
              </w:rPr>
              <w:t> »</w:t>
            </w:r>
            <w:r w:rsidRPr="003D0A4C">
              <w:rPr>
                <w:lang w:eastAsia="en-US"/>
              </w:rPr>
              <w:t>.</w:t>
            </w:r>
          </w:p>
        </w:tc>
      </w:tr>
      <w:tr w:rsidR="003D0A4C" w:rsidRPr="003D0A4C" w14:paraId="75D86D48" w14:textId="77777777" w:rsidTr="00871F2D">
        <w:tc>
          <w:tcPr>
            <w:tcW w:w="660" w:type="pct"/>
            <w:tcMar>
              <w:left w:w="57" w:type="dxa"/>
              <w:right w:w="85" w:type="dxa"/>
            </w:tcMar>
          </w:tcPr>
          <w:p w14:paraId="15B20E6B"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6ADFDC4F" w14:textId="5F2360AA"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2913C0CE" w14:textId="77777777" w:rsidR="003D0A4C" w:rsidRPr="003D0A4C" w:rsidRDefault="003D0A4C" w:rsidP="006A07AB">
            <w:pPr>
              <w:spacing w:before="20" w:after="20"/>
              <w:rPr>
                <w:lang w:val="fr-BE" w:eastAsia="en-US"/>
              </w:rPr>
            </w:pPr>
            <w:r w:rsidRPr="003D0A4C">
              <w:rPr>
                <w:lang w:eastAsia="en-US"/>
              </w:rPr>
              <w:t>Donner à tous les produits de la GEBCO une référence de publication officielle de l’OHI/la COI, par exemple Atlas numérique.</w:t>
            </w:r>
          </w:p>
        </w:tc>
      </w:tr>
      <w:tr w:rsidR="003D0A4C" w:rsidRPr="003D0A4C" w14:paraId="7FC962A0" w14:textId="77777777" w:rsidTr="00871F2D">
        <w:tc>
          <w:tcPr>
            <w:tcW w:w="660" w:type="pct"/>
            <w:tcMar>
              <w:left w:w="57" w:type="dxa"/>
              <w:right w:w="85" w:type="dxa"/>
            </w:tcMar>
          </w:tcPr>
          <w:p w14:paraId="0AE56A2E" w14:textId="77777777" w:rsidR="003D0A4C" w:rsidRPr="003D0A4C" w:rsidRDefault="003D0A4C" w:rsidP="006A07AB">
            <w:pPr>
              <w:spacing w:before="20" w:after="20"/>
              <w:rPr>
                <w:lang w:val="en-GB" w:eastAsia="en-US"/>
              </w:rPr>
            </w:pPr>
            <w:r w:rsidRPr="003D0A4C">
              <w:rPr>
                <w:lang w:eastAsia="en-US"/>
              </w:rPr>
              <w:t>13.2.2</w:t>
            </w:r>
          </w:p>
        </w:tc>
        <w:tc>
          <w:tcPr>
            <w:tcW w:w="1693" w:type="pct"/>
            <w:tcMar>
              <w:left w:w="57" w:type="dxa"/>
              <w:right w:w="28" w:type="dxa"/>
            </w:tcMar>
          </w:tcPr>
          <w:p w14:paraId="1E27267A" w14:textId="1DF34D9D"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SCTCO</w:t>
            </w:r>
          </w:p>
        </w:tc>
        <w:tc>
          <w:tcPr>
            <w:tcW w:w="2647" w:type="pct"/>
            <w:tcMar>
              <w:left w:w="57" w:type="dxa"/>
              <w:right w:w="57" w:type="dxa"/>
            </w:tcMar>
          </w:tcPr>
          <w:p w14:paraId="5EFBDFE6" w14:textId="77777777" w:rsidR="003D0A4C" w:rsidRPr="003D0A4C" w:rsidRDefault="003D0A4C" w:rsidP="006A07AB">
            <w:pPr>
              <w:spacing w:before="20" w:after="20"/>
              <w:rPr>
                <w:lang w:val="fr-BE" w:eastAsia="en-US"/>
              </w:rPr>
            </w:pPr>
            <w:r w:rsidRPr="003D0A4C">
              <w:rPr>
                <w:lang w:eastAsia="en-US"/>
              </w:rPr>
              <w:t>Réviser et éventuellement réduire le nombre de membres titulaires – adapter le mandat le cas échéant.</w:t>
            </w:r>
          </w:p>
        </w:tc>
      </w:tr>
      <w:tr w:rsidR="003D0A4C" w:rsidRPr="003D0A4C" w14:paraId="17299023" w14:textId="77777777" w:rsidTr="00871F2D">
        <w:tc>
          <w:tcPr>
            <w:tcW w:w="660" w:type="pct"/>
            <w:tcMar>
              <w:left w:w="57" w:type="dxa"/>
              <w:right w:w="85" w:type="dxa"/>
            </w:tcMar>
          </w:tcPr>
          <w:p w14:paraId="6BD99FCA" w14:textId="77777777" w:rsidR="003D0A4C" w:rsidRPr="003D0A4C" w:rsidRDefault="003D0A4C" w:rsidP="006A07AB">
            <w:pPr>
              <w:spacing w:before="20" w:after="20"/>
              <w:rPr>
                <w:lang w:val="en-GB" w:eastAsia="en-US"/>
              </w:rPr>
            </w:pPr>
            <w:r w:rsidRPr="003D0A4C">
              <w:rPr>
                <w:lang w:eastAsia="en-US"/>
              </w:rPr>
              <w:t>13.2.3</w:t>
            </w:r>
          </w:p>
        </w:tc>
        <w:tc>
          <w:tcPr>
            <w:tcW w:w="1693" w:type="pct"/>
            <w:tcMar>
              <w:left w:w="57" w:type="dxa"/>
              <w:right w:w="28" w:type="dxa"/>
            </w:tcMar>
          </w:tcPr>
          <w:p w14:paraId="16D3F867" w14:textId="6E69FE66"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SCRUM</w:t>
            </w:r>
          </w:p>
        </w:tc>
        <w:tc>
          <w:tcPr>
            <w:tcW w:w="2647" w:type="pct"/>
            <w:tcMar>
              <w:left w:w="57" w:type="dxa"/>
              <w:right w:w="57" w:type="dxa"/>
            </w:tcMar>
          </w:tcPr>
          <w:p w14:paraId="5CED502C" w14:textId="77777777" w:rsidR="003D0A4C" w:rsidRPr="003D0A4C" w:rsidRDefault="003D0A4C" w:rsidP="006A07AB">
            <w:pPr>
              <w:spacing w:before="20" w:after="20"/>
              <w:rPr>
                <w:lang w:val="fr-BE" w:eastAsia="en-US"/>
              </w:rPr>
            </w:pPr>
            <w:r w:rsidRPr="003D0A4C">
              <w:rPr>
                <w:lang w:eastAsia="en-US"/>
              </w:rPr>
              <w:t>Réviser le mandat pour qu’il corresponde à la stratégie.</w:t>
            </w:r>
          </w:p>
        </w:tc>
      </w:tr>
      <w:tr w:rsidR="003D0A4C" w:rsidRPr="003D0A4C" w14:paraId="1A53E084" w14:textId="77777777" w:rsidTr="00871F2D">
        <w:tc>
          <w:tcPr>
            <w:tcW w:w="660" w:type="pct"/>
            <w:tcMar>
              <w:left w:w="57" w:type="dxa"/>
              <w:right w:w="85" w:type="dxa"/>
            </w:tcMar>
          </w:tcPr>
          <w:p w14:paraId="308B54A0" w14:textId="77777777" w:rsidR="003D0A4C" w:rsidRPr="003D0A4C" w:rsidRDefault="003D0A4C" w:rsidP="006A07AB">
            <w:pPr>
              <w:spacing w:before="20" w:after="20"/>
              <w:rPr>
                <w:lang w:val="en-GB" w:eastAsia="en-US"/>
              </w:rPr>
            </w:pPr>
            <w:r w:rsidRPr="003D0A4C">
              <w:rPr>
                <w:lang w:eastAsia="en-US"/>
              </w:rPr>
              <w:t>13.2.3</w:t>
            </w:r>
          </w:p>
        </w:tc>
        <w:tc>
          <w:tcPr>
            <w:tcW w:w="1693" w:type="pct"/>
            <w:tcMar>
              <w:left w:w="57" w:type="dxa"/>
              <w:right w:w="28" w:type="dxa"/>
            </w:tcMar>
          </w:tcPr>
          <w:p w14:paraId="6C3A43A8" w14:textId="17A48EBF"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SCRUM</w:t>
            </w:r>
          </w:p>
        </w:tc>
        <w:tc>
          <w:tcPr>
            <w:tcW w:w="2647" w:type="pct"/>
            <w:tcMar>
              <w:left w:w="57" w:type="dxa"/>
              <w:right w:w="57" w:type="dxa"/>
            </w:tcMar>
          </w:tcPr>
          <w:p w14:paraId="12427374" w14:textId="0AE3F801" w:rsidR="003D0A4C" w:rsidRPr="003D0A4C" w:rsidRDefault="003D0A4C" w:rsidP="006A07AB">
            <w:pPr>
              <w:spacing w:before="20" w:after="20"/>
              <w:rPr>
                <w:spacing w:val="-4"/>
                <w:lang w:val="fr-BE" w:eastAsia="en-US"/>
              </w:rPr>
            </w:pPr>
            <w:r w:rsidRPr="003D0A4C">
              <w:rPr>
                <w:spacing w:val="-4"/>
                <w:lang w:eastAsia="en-US"/>
              </w:rPr>
              <w:t xml:space="preserve">Travailler avec d’autres sous-comités et l’équipe du projet </w:t>
            </w:r>
            <w:r w:rsidR="00D3309F">
              <w:rPr>
                <w:spacing w:val="-4"/>
                <w:lang w:eastAsia="en-US"/>
              </w:rPr>
              <w:t>« </w:t>
            </w:r>
            <w:r w:rsidRPr="003D0A4C">
              <w:rPr>
                <w:spacing w:val="-4"/>
                <w:lang w:eastAsia="en-US"/>
              </w:rPr>
              <w:t>Seabed 2030</w:t>
            </w:r>
            <w:r w:rsidR="00D3309F">
              <w:rPr>
                <w:spacing w:val="-4"/>
                <w:lang w:eastAsia="en-US"/>
              </w:rPr>
              <w:t> »</w:t>
            </w:r>
            <w:r w:rsidRPr="003D0A4C">
              <w:rPr>
                <w:spacing w:val="-4"/>
                <w:lang w:eastAsia="en-US"/>
              </w:rPr>
              <w:t xml:space="preserve"> pour revoir le plan de travail et ajouter des précisions si nécessaire afin de clarifier les domaines d’intérêt commun.</w:t>
            </w:r>
          </w:p>
        </w:tc>
      </w:tr>
      <w:tr w:rsidR="003D0A4C" w:rsidRPr="003D0A4C" w14:paraId="67FABCE1" w14:textId="77777777" w:rsidTr="00871F2D">
        <w:tc>
          <w:tcPr>
            <w:tcW w:w="660" w:type="pct"/>
            <w:tcMar>
              <w:left w:w="57" w:type="dxa"/>
              <w:right w:w="85" w:type="dxa"/>
            </w:tcMar>
          </w:tcPr>
          <w:p w14:paraId="1ED8E459" w14:textId="77777777" w:rsidR="003D0A4C" w:rsidRPr="003D0A4C" w:rsidRDefault="003D0A4C" w:rsidP="006A07AB">
            <w:pPr>
              <w:spacing w:before="20" w:after="20"/>
              <w:rPr>
                <w:lang w:val="en-GB" w:eastAsia="en-US"/>
              </w:rPr>
            </w:pPr>
            <w:r w:rsidRPr="003D0A4C">
              <w:rPr>
                <w:lang w:eastAsia="en-US"/>
              </w:rPr>
              <w:t>13.2.3</w:t>
            </w:r>
          </w:p>
        </w:tc>
        <w:tc>
          <w:tcPr>
            <w:tcW w:w="1693" w:type="pct"/>
            <w:tcMar>
              <w:left w:w="57" w:type="dxa"/>
              <w:right w:w="28" w:type="dxa"/>
            </w:tcMar>
          </w:tcPr>
          <w:p w14:paraId="01BCED3F" w14:textId="1EBBC60A"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SCRUM</w:t>
            </w:r>
          </w:p>
        </w:tc>
        <w:tc>
          <w:tcPr>
            <w:tcW w:w="2647" w:type="pct"/>
            <w:tcMar>
              <w:left w:w="57" w:type="dxa"/>
              <w:right w:w="57" w:type="dxa"/>
            </w:tcMar>
          </w:tcPr>
          <w:p w14:paraId="47E6453B" w14:textId="77777777" w:rsidR="003D0A4C" w:rsidRPr="003D0A4C" w:rsidRDefault="003D0A4C" w:rsidP="006A07AB">
            <w:pPr>
              <w:spacing w:before="20" w:after="20"/>
              <w:rPr>
                <w:lang w:val="fr-BE" w:eastAsia="en-US"/>
              </w:rPr>
            </w:pPr>
            <w:r w:rsidRPr="003D0A4C">
              <w:rPr>
                <w:lang w:eastAsia="en-US"/>
              </w:rPr>
              <w:t>Réviser le plan de travail une fois la stratégie publiée et convenir d’un ordre de priorité.</w:t>
            </w:r>
          </w:p>
        </w:tc>
      </w:tr>
      <w:tr w:rsidR="003D0A4C" w:rsidRPr="003D0A4C" w14:paraId="7B3EAF99" w14:textId="77777777" w:rsidTr="00871F2D">
        <w:tc>
          <w:tcPr>
            <w:tcW w:w="660" w:type="pct"/>
            <w:tcMar>
              <w:left w:w="57" w:type="dxa"/>
              <w:right w:w="85" w:type="dxa"/>
            </w:tcMar>
          </w:tcPr>
          <w:p w14:paraId="192CE96B" w14:textId="77777777" w:rsidR="003D0A4C" w:rsidRPr="003D0A4C" w:rsidRDefault="003D0A4C" w:rsidP="006A07AB">
            <w:pPr>
              <w:spacing w:before="20" w:after="20"/>
              <w:rPr>
                <w:lang w:val="en-GB" w:eastAsia="en-US"/>
              </w:rPr>
            </w:pPr>
            <w:r w:rsidRPr="003D0A4C">
              <w:rPr>
                <w:lang w:eastAsia="en-US"/>
              </w:rPr>
              <w:t>13.2.3</w:t>
            </w:r>
          </w:p>
        </w:tc>
        <w:tc>
          <w:tcPr>
            <w:tcW w:w="1693" w:type="pct"/>
            <w:tcMar>
              <w:left w:w="57" w:type="dxa"/>
              <w:right w:w="28" w:type="dxa"/>
            </w:tcMar>
          </w:tcPr>
          <w:p w14:paraId="6B037400" w14:textId="0A6A5E30"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SCRUM</w:t>
            </w:r>
          </w:p>
        </w:tc>
        <w:tc>
          <w:tcPr>
            <w:tcW w:w="2647" w:type="pct"/>
            <w:tcMar>
              <w:left w:w="57" w:type="dxa"/>
              <w:right w:w="57" w:type="dxa"/>
            </w:tcMar>
          </w:tcPr>
          <w:p w14:paraId="7E8624CC" w14:textId="77777777" w:rsidR="003D0A4C" w:rsidRPr="003D0A4C" w:rsidRDefault="003D0A4C" w:rsidP="006A07AB">
            <w:pPr>
              <w:spacing w:before="20" w:after="20"/>
              <w:rPr>
                <w:lang w:val="fr-BE" w:eastAsia="en-US"/>
              </w:rPr>
            </w:pPr>
            <w:r w:rsidRPr="003D0A4C">
              <w:rPr>
                <w:lang w:eastAsia="en-US"/>
              </w:rPr>
              <w:t>Charger le SCRUM d’élaborer et d’approuver une routine qui convienne à ses membres.</w:t>
            </w:r>
          </w:p>
        </w:tc>
      </w:tr>
      <w:tr w:rsidR="003D0A4C" w:rsidRPr="003D0A4C" w14:paraId="0CDF51DD" w14:textId="77777777" w:rsidTr="00871F2D">
        <w:tc>
          <w:tcPr>
            <w:tcW w:w="660" w:type="pct"/>
            <w:tcMar>
              <w:left w:w="57" w:type="dxa"/>
              <w:right w:w="85" w:type="dxa"/>
            </w:tcMar>
          </w:tcPr>
          <w:p w14:paraId="2EE38CC6" w14:textId="77777777" w:rsidR="003D0A4C" w:rsidRPr="003D0A4C" w:rsidRDefault="003D0A4C" w:rsidP="006A07AB">
            <w:pPr>
              <w:spacing w:before="20" w:after="20"/>
              <w:rPr>
                <w:lang w:val="en-GB" w:eastAsia="en-US"/>
              </w:rPr>
            </w:pPr>
            <w:r w:rsidRPr="003D0A4C">
              <w:rPr>
                <w:lang w:eastAsia="en-US"/>
              </w:rPr>
              <w:t>13.2.3</w:t>
            </w:r>
          </w:p>
        </w:tc>
        <w:tc>
          <w:tcPr>
            <w:tcW w:w="1693" w:type="pct"/>
            <w:tcMar>
              <w:left w:w="57" w:type="dxa"/>
              <w:right w:w="28" w:type="dxa"/>
            </w:tcMar>
          </w:tcPr>
          <w:p w14:paraId="6A9C5C12" w14:textId="3D50B77D"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SCRUM</w:t>
            </w:r>
          </w:p>
        </w:tc>
        <w:tc>
          <w:tcPr>
            <w:tcW w:w="2647" w:type="pct"/>
            <w:tcMar>
              <w:left w:w="57" w:type="dxa"/>
              <w:right w:w="57" w:type="dxa"/>
            </w:tcMar>
          </w:tcPr>
          <w:p w14:paraId="0B851E12" w14:textId="6BC1C907" w:rsidR="003D0A4C" w:rsidRPr="003D0A4C" w:rsidRDefault="003D0A4C" w:rsidP="006A07AB">
            <w:pPr>
              <w:spacing w:before="20" w:after="20"/>
              <w:rPr>
                <w:lang w:val="fr-BE" w:eastAsia="en-US"/>
              </w:rPr>
            </w:pPr>
            <w:r w:rsidRPr="003D0A4C">
              <w:rPr>
                <w:lang w:eastAsia="en-US"/>
              </w:rPr>
              <w:t>Réviser et éventuellement réduire le nombre de membres titulaires – adapter le mandat le cas échéant.</w:t>
            </w:r>
            <w:r w:rsidR="00D57A87">
              <w:rPr>
                <w:lang w:eastAsia="en-US"/>
              </w:rPr>
              <w:t xml:space="preserve"> </w:t>
            </w:r>
          </w:p>
        </w:tc>
      </w:tr>
      <w:tr w:rsidR="003D0A4C" w:rsidRPr="003D0A4C" w14:paraId="61BB789D" w14:textId="77777777" w:rsidTr="00871F2D">
        <w:tc>
          <w:tcPr>
            <w:tcW w:w="660" w:type="pct"/>
            <w:tcMar>
              <w:left w:w="57" w:type="dxa"/>
              <w:right w:w="85" w:type="dxa"/>
            </w:tcMar>
          </w:tcPr>
          <w:p w14:paraId="6E543D09" w14:textId="77777777" w:rsidR="003D0A4C" w:rsidRPr="003D0A4C" w:rsidRDefault="003D0A4C" w:rsidP="006A07AB">
            <w:pPr>
              <w:spacing w:before="20" w:after="20"/>
              <w:rPr>
                <w:lang w:val="en-GB" w:eastAsia="en-US"/>
              </w:rPr>
            </w:pPr>
            <w:r w:rsidRPr="003D0A4C">
              <w:rPr>
                <w:lang w:eastAsia="en-US"/>
              </w:rPr>
              <w:t>13.2.4</w:t>
            </w:r>
          </w:p>
        </w:tc>
        <w:tc>
          <w:tcPr>
            <w:tcW w:w="1693" w:type="pct"/>
            <w:tcMar>
              <w:left w:w="57" w:type="dxa"/>
              <w:right w:w="28" w:type="dxa"/>
            </w:tcMar>
          </w:tcPr>
          <w:p w14:paraId="30B6737D" w14:textId="6A5636DA"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SCOPE</w:t>
            </w:r>
          </w:p>
        </w:tc>
        <w:tc>
          <w:tcPr>
            <w:tcW w:w="2647" w:type="pct"/>
            <w:tcMar>
              <w:left w:w="57" w:type="dxa"/>
              <w:right w:w="57" w:type="dxa"/>
            </w:tcMar>
          </w:tcPr>
          <w:p w14:paraId="62794791" w14:textId="77777777" w:rsidR="003D0A4C" w:rsidRPr="003D0A4C" w:rsidRDefault="003D0A4C" w:rsidP="006A07AB">
            <w:pPr>
              <w:spacing w:before="20" w:after="20"/>
              <w:rPr>
                <w:lang w:val="fr-BE" w:eastAsia="en-US"/>
              </w:rPr>
            </w:pPr>
            <w:r w:rsidRPr="003D0A4C">
              <w:rPr>
                <w:lang w:eastAsia="en-US"/>
              </w:rPr>
              <w:t>Réviser le mandat pour qu’il corresponde à la stratégie.</w:t>
            </w:r>
          </w:p>
        </w:tc>
      </w:tr>
      <w:tr w:rsidR="003D0A4C" w:rsidRPr="003D0A4C" w14:paraId="0CB53A15" w14:textId="77777777" w:rsidTr="00871F2D">
        <w:tc>
          <w:tcPr>
            <w:tcW w:w="660" w:type="pct"/>
            <w:tcMar>
              <w:left w:w="57" w:type="dxa"/>
              <w:right w:w="85" w:type="dxa"/>
            </w:tcMar>
          </w:tcPr>
          <w:p w14:paraId="700F114C" w14:textId="77777777" w:rsidR="003D0A4C" w:rsidRPr="003D0A4C" w:rsidRDefault="003D0A4C" w:rsidP="006A07AB">
            <w:pPr>
              <w:spacing w:before="20" w:after="20"/>
              <w:rPr>
                <w:lang w:val="en-GB" w:eastAsia="en-US"/>
              </w:rPr>
            </w:pPr>
            <w:r w:rsidRPr="003D0A4C">
              <w:rPr>
                <w:lang w:eastAsia="en-US"/>
              </w:rPr>
              <w:t>13.2.4</w:t>
            </w:r>
          </w:p>
        </w:tc>
        <w:tc>
          <w:tcPr>
            <w:tcW w:w="1693" w:type="pct"/>
            <w:tcMar>
              <w:left w:w="57" w:type="dxa"/>
              <w:right w:w="28" w:type="dxa"/>
            </w:tcMar>
          </w:tcPr>
          <w:p w14:paraId="0D1790E4" w14:textId="2B709019"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SCOPE</w:t>
            </w:r>
          </w:p>
        </w:tc>
        <w:tc>
          <w:tcPr>
            <w:tcW w:w="2647" w:type="pct"/>
            <w:tcMar>
              <w:left w:w="57" w:type="dxa"/>
              <w:right w:w="57" w:type="dxa"/>
            </w:tcMar>
          </w:tcPr>
          <w:p w14:paraId="5C1E2D1B" w14:textId="77777777" w:rsidR="003D0A4C" w:rsidRPr="003D0A4C" w:rsidRDefault="003D0A4C" w:rsidP="006A07AB">
            <w:pPr>
              <w:spacing w:before="20" w:after="20"/>
              <w:rPr>
                <w:lang w:val="fr-BE" w:eastAsia="en-US"/>
              </w:rPr>
            </w:pPr>
            <w:r w:rsidRPr="003D0A4C">
              <w:rPr>
                <w:lang w:eastAsia="en-US"/>
              </w:rPr>
              <w:t>Établir un diagramme du processus pouvant être annexé au mandat.</w:t>
            </w:r>
          </w:p>
        </w:tc>
      </w:tr>
      <w:tr w:rsidR="003D0A4C" w:rsidRPr="003D0A4C" w14:paraId="0FEDECB7" w14:textId="77777777" w:rsidTr="00871F2D">
        <w:tc>
          <w:tcPr>
            <w:tcW w:w="660" w:type="pct"/>
            <w:tcMar>
              <w:left w:w="57" w:type="dxa"/>
              <w:right w:w="85" w:type="dxa"/>
            </w:tcMar>
          </w:tcPr>
          <w:p w14:paraId="1F81DFDE" w14:textId="77777777" w:rsidR="003D0A4C" w:rsidRPr="003D0A4C" w:rsidRDefault="003D0A4C" w:rsidP="006A07AB">
            <w:pPr>
              <w:spacing w:before="20" w:after="20"/>
              <w:rPr>
                <w:lang w:val="en-GB" w:eastAsia="en-US"/>
              </w:rPr>
            </w:pPr>
            <w:r w:rsidRPr="003D0A4C">
              <w:rPr>
                <w:lang w:eastAsia="en-US"/>
              </w:rPr>
              <w:t>13.2.4</w:t>
            </w:r>
          </w:p>
        </w:tc>
        <w:tc>
          <w:tcPr>
            <w:tcW w:w="1693" w:type="pct"/>
            <w:tcMar>
              <w:left w:w="57" w:type="dxa"/>
              <w:right w:w="28" w:type="dxa"/>
            </w:tcMar>
          </w:tcPr>
          <w:p w14:paraId="54760FE1" w14:textId="07AA2EC3"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SCOPE</w:t>
            </w:r>
          </w:p>
        </w:tc>
        <w:tc>
          <w:tcPr>
            <w:tcW w:w="2647" w:type="pct"/>
            <w:tcMar>
              <w:left w:w="57" w:type="dxa"/>
              <w:right w:w="57" w:type="dxa"/>
            </w:tcMar>
          </w:tcPr>
          <w:p w14:paraId="504C0879" w14:textId="77777777" w:rsidR="003D0A4C" w:rsidRPr="003D0A4C" w:rsidRDefault="003D0A4C" w:rsidP="006A07AB">
            <w:pPr>
              <w:spacing w:before="20" w:after="20"/>
              <w:rPr>
                <w:lang w:val="fr-BE" w:eastAsia="en-US"/>
              </w:rPr>
            </w:pPr>
            <w:r w:rsidRPr="003D0A4C">
              <w:rPr>
                <w:lang w:eastAsia="en-US"/>
              </w:rPr>
              <w:t>Charger le SCRUM d’élaborer et d’approuver une routine qui convienne à ses membres.</w:t>
            </w:r>
          </w:p>
        </w:tc>
      </w:tr>
      <w:tr w:rsidR="003D0A4C" w:rsidRPr="003D0A4C" w14:paraId="6C767927" w14:textId="77777777" w:rsidTr="00871F2D">
        <w:tc>
          <w:tcPr>
            <w:tcW w:w="660" w:type="pct"/>
            <w:tcMar>
              <w:left w:w="57" w:type="dxa"/>
              <w:right w:w="85" w:type="dxa"/>
            </w:tcMar>
          </w:tcPr>
          <w:p w14:paraId="359EEB64" w14:textId="77777777" w:rsidR="003D0A4C" w:rsidRPr="003D0A4C" w:rsidRDefault="003D0A4C" w:rsidP="006A07AB">
            <w:pPr>
              <w:spacing w:before="20" w:after="20"/>
              <w:rPr>
                <w:lang w:val="en-GB" w:eastAsia="en-US"/>
              </w:rPr>
            </w:pPr>
            <w:r w:rsidRPr="003D0A4C">
              <w:rPr>
                <w:lang w:eastAsia="en-US"/>
              </w:rPr>
              <w:t>13.2.4</w:t>
            </w:r>
          </w:p>
        </w:tc>
        <w:tc>
          <w:tcPr>
            <w:tcW w:w="1693" w:type="pct"/>
            <w:tcMar>
              <w:left w:w="57" w:type="dxa"/>
              <w:right w:w="28" w:type="dxa"/>
            </w:tcMar>
          </w:tcPr>
          <w:p w14:paraId="2CB93D09" w14:textId="2CBC116D"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SCOPE</w:t>
            </w:r>
          </w:p>
        </w:tc>
        <w:tc>
          <w:tcPr>
            <w:tcW w:w="2647" w:type="pct"/>
            <w:tcMar>
              <w:left w:w="57" w:type="dxa"/>
              <w:right w:w="57" w:type="dxa"/>
            </w:tcMar>
          </w:tcPr>
          <w:p w14:paraId="596756B6" w14:textId="2ACA4BA7" w:rsidR="003D0A4C" w:rsidRPr="003D0A4C" w:rsidRDefault="003D0A4C" w:rsidP="006A07AB">
            <w:pPr>
              <w:spacing w:before="20" w:after="20"/>
              <w:rPr>
                <w:lang w:val="fr-BE" w:eastAsia="en-US"/>
              </w:rPr>
            </w:pPr>
            <w:r w:rsidRPr="003D0A4C">
              <w:rPr>
                <w:lang w:eastAsia="en-US"/>
              </w:rPr>
              <w:t>Envisager de créer une nouvelle catégorie de participation au SCOPE pour les représentants de l’OHI/la COI responsables des communications.</w:t>
            </w:r>
          </w:p>
        </w:tc>
      </w:tr>
      <w:tr w:rsidR="003D0A4C" w:rsidRPr="003D0A4C" w14:paraId="523C638D" w14:textId="77777777" w:rsidTr="00871F2D">
        <w:tc>
          <w:tcPr>
            <w:tcW w:w="660" w:type="pct"/>
            <w:tcMar>
              <w:left w:w="57" w:type="dxa"/>
              <w:right w:w="85" w:type="dxa"/>
            </w:tcMar>
          </w:tcPr>
          <w:p w14:paraId="1812C2BC" w14:textId="77777777" w:rsidR="003D0A4C" w:rsidRPr="003D0A4C" w:rsidRDefault="003D0A4C" w:rsidP="006A07AB">
            <w:pPr>
              <w:spacing w:before="20" w:after="20"/>
              <w:rPr>
                <w:lang w:val="en-GB" w:eastAsia="en-US"/>
              </w:rPr>
            </w:pPr>
            <w:r w:rsidRPr="003D0A4C">
              <w:rPr>
                <w:lang w:eastAsia="en-US"/>
              </w:rPr>
              <w:t>13.2.4</w:t>
            </w:r>
          </w:p>
        </w:tc>
        <w:tc>
          <w:tcPr>
            <w:tcW w:w="1693" w:type="pct"/>
            <w:tcMar>
              <w:left w:w="57" w:type="dxa"/>
              <w:right w:w="28" w:type="dxa"/>
            </w:tcMar>
          </w:tcPr>
          <w:p w14:paraId="22C559A0" w14:textId="70750B88"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SCOPE</w:t>
            </w:r>
          </w:p>
        </w:tc>
        <w:tc>
          <w:tcPr>
            <w:tcW w:w="2647" w:type="pct"/>
            <w:tcMar>
              <w:left w:w="57" w:type="dxa"/>
              <w:right w:w="57" w:type="dxa"/>
            </w:tcMar>
          </w:tcPr>
          <w:p w14:paraId="080C12DD" w14:textId="77777777" w:rsidR="003D0A4C" w:rsidRPr="003D0A4C" w:rsidRDefault="003D0A4C" w:rsidP="006A07AB">
            <w:pPr>
              <w:spacing w:before="20" w:after="20"/>
              <w:rPr>
                <w:lang w:val="fr-BE" w:eastAsia="en-US"/>
              </w:rPr>
            </w:pPr>
            <w:r w:rsidRPr="003D0A4C">
              <w:rPr>
                <w:lang w:eastAsia="en-US"/>
              </w:rPr>
              <w:t>Réviser et éventuellement réduire le nombre de membres titulaires – adapter le mandat le cas échéant.</w:t>
            </w:r>
          </w:p>
        </w:tc>
      </w:tr>
      <w:tr w:rsidR="003D0A4C" w:rsidRPr="003D0A4C" w14:paraId="5FC10C24" w14:textId="77777777" w:rsidTr="00871F2D">
        <w:tc>
          <w:tcPr>
            <w:tcW w:w="660" w:type="pct"/>
            <w:tcMar>
              <w:left w:w="57" w:type="dxa"/>
              <w:right w:w="85" w:type="dxa"/>
            </w:tcMar>
          </w:tcPr>
          <w:p w14:paraId="71C40C0F" w14:textId="77777777" w:rsidR="003D0A4C" w:rsidRPr="003D0A4C" w:rsidRDefault="003D0A4C" w:rsidP="006A07AB">
            <w:pPr>
              <w:spacing w:before="20" w:after="20"/>
              <w:rPr>
                <w:lang w:val="en-GB" w:eastAsia="en-US"/>
              </w:rPr>
            </w:pPr>
            <w:r w:rsidRPr="003D0A4C">
              <w:rPr>
                <w:lang w:eastAsia="en-US"/>
              </w:rPr>
              <w:t>13.2.4</w:t>
            </w:r>
          </w:p>
        </w:tc>
        <w:tc>
          <w:tcPr>
            <w:tcW w:w="1693" w:type="pct"/>
            <w:tcMar>
              <w:left w:w="57" w:type="dxa"/>
              <w:right w:w="28" w:type="dxa"/>
            </w:tcMar>
          </w:tcPr>
          <w:p w14:paraId="090F949D" w14:textId="509301C0" w:rsidR="003D0A4C" w:rsidRPr="003D0A4C" w:rsidRDefault="003D0A4C" w:rsidP="006A07AB">
            <w:pPr>
              <w:spacing w:before="20" w:after="20"/>
              <w:rPr>
                <w:spacing w:val="-3"/>
                <w:lang w:val="fr-BE" w:eastAsia="en-US"/>
              </w:rPr>
            </w:pPr>
            <w:r w:rsidRPr="003D0A4C">
              <w:rPr>
                <w:spacing w:val="-3"/>
                <w:lang w:eastAsia="en-US"/>
              </w:rPr>
              <w:t xml:space="preserve">Analyses des principaux organes de la GEBCO </w:t>
            </w:r>
            <w:r w:rsidR="008769DD">
              <w:rPr>
                <w:spacing w:val="-3"/>
                <w:lang w:eastAsia="en-US"/>
              </w:rPr>
              <w:t>–</w:t>
            </w:r>
            <w:r w:rsidRPr="003D0A4C">
              <w:rPr>
                <w:spacing w:val="-3"/>
                <w:lang w:eastAsia="en-US"/>
              </w:rPr>
              <w:t xml:space="preserve"> SCOPE</w:t>
            </w:r>
          </w:p>
        </w:tc>
        <w:tc>
          <w:tcPr>
            <w:tcW w:w="2647" w:type="pct"/>
            <w:tcMar>
              <w:left w:w="57" w:type="dxa"/>
              <w:right w:w="57" w:type="dxa"/>
            </w:tcMar>
          </w:tcPr>
          <w:p w14:paraId="35C4F393" w14:textId="77777777" w:rsidR="003D0A4C" w:rsidRPr="003D0A4C" w:rsidRDefault="003D0A4C" w:rsidP="006A07AB">
            <w:pPr>
              <w:spacing w:before="20" w:after="20"/>
              <w:rPr>
                <w:lang w:val="fr-BE" w:eastAsia="en-US"/>
              </w:rPr>
            </w:pPr>
            <w:r w:rsidRPr="003D0A4C">
              <w:rPr>
                <w:lang w:eastAsia="en-US"/>
              </w:rPr>
              <w:t>Clarifier et formaliser la relation au moyen d’un instrument adéquat.</w:t>
            </w:r>
          </w:p>
        </w:tc>
      </w:tr>
      <w:tr w:rsidR="003D0A4C" w:rsidRPr="003D0A4C" w14:paraId="455B9FF1" w14:textId="77777777" w:rsidTr="00871F2D">
        <w:tc>
          <w:tcPr>
            <w:tcW w:w="660" w:type="pct"/>
            <w:tcMar>
              <w:left w:w="57" w:type="dxa"/>
              <w:right w:w="85" w:type="dxa"/>
            </w:tcMar>
          </w:tcPr>
          <w:p w14:paraId="0BFBB4B2" w14:textId="77777777" w:rsidR="003D0A4C" w:rsidRPr="003D0A4C" w:rsidRDefault="003D0A4C" w:rsidP="006A07AB">
            <w:pPr>
              <w:spacing w:before="20" w:after="20"/>
              <w:rPr>
                <w:lang w:val="en-GB" w:eastAsia="en-US"/>
              </w:rPr>
            </w:pPr>
            <w:r w:rsidRPr="003D0A4C">
              <w:rPr>
                <w:lang w:eastAsia="en-US"/>
              </w:rPr>
              <w:t>14</w:t>
            </w:r>
          </w:p>
        </w:tc>
        <w:tc>
          <w:tcPr>
            <w:tcW w:w="1693" w:type="pct"/>
            <w:tcMar>
              <w:left w:w="57" w:type="dxa"/>
              <w:right w:w="28" w:type="dxa"/>
            </w:tcMar>
          </w:tcPr>
          <w:p w14:paraId="524FCE8E" w14:textId="77777777" w:rsidR="003D0A4C" w:rsidRPr="003D0A4C" w:rsidRDefault="003D0A4C" w:rsidP="006A07AB">
            <w:pPr>
              <w:spacing w:before="20" w:after="20"/>
              <w:rPr>
                <w:spacing w:val="-3"/>
                <w:lang w:val="en-GB" w:eastAsia="en-US"/>
              </w:rPr>
            </w:pPr>
            <w:r w:rsidRPr="003D0A4C">
              <w:rPr>
                <w:spacing w:val="-3"/>
                <w:lang w:eastAsia="en-US"/>
              </w:rPr>
              <w:t>Amélioration continue</w:t>
            </w:r>
          </w:p>
        </w:tc>
        <w:tc>
          <w:tcPr>
            <w:tcW w:w="2647" w:type="pct"/>
            <w:tcMar>
              <w:left w:w="57" w:type="dxa"/>
              <w:right w:w="57" w:type="dxa"/>
            </w:tcMar>
          </w:tcPr>
          <w:p w14:paraId="5AB3F8C6" w14:textId="77777777" w:rsidR="003D0A4C" w:rsidRPr="003D0A4C" w:rsidRDefault="003D0A4C" w:rsidP="006A07AB">
            <w:pPr>
              <w:spacing w:before="20" w:after="20"/>
              <w:rPr>
                <w:lang w:val="fr-BE" w:eastAsia="en-US"/>
              </w:rPr>
            </w:pPr>
            <w:r w:rsidRPr="003D0A4C">
              <w:rPr>
                <w:lang w:eastAsia="en-US"/>
              </w:rPr>
              <w:t>Étudier la proposition d’un processus d’amélioration continue et le mettre en œuvre dans les activités du Programme de la GEBCO à titre de pratiques fréquentes.</w:t>
            </w:r>
          </w:p>
        </w:tc>
      </w:tr>
    </w:tbl>
    <w:p w14:paraId="7B32DC60" w14:textId="77777777" w:rsidR="003D0A4C" w:rsidRPr="003D0A4C" w:rsidRDefault="003D0A4C" w:rsidP="003D0A4C">
      <w:pPr>
        <w:pStyle w:val="Titre3"/>
        <w:spacing w:before="240"/>
        <w:rPr>
          <w:rFonts w:eastAsia="Arial Unicode MS"/>
          <w:lang w:val="fr-BE"/>
        </w:rPr>
      </w:pPr>
      <w:r w:rsidRPr="003D0A4C">
        <w:rPr>
          <w:rFonts w:eastAsia="Arial Unicode MS"/>
        </w:rPr>
        <w:lastRenderedPageBreak/>
        <w:t>Prochaines étapes et activités à venir</w:t>
      </w:r>
    </w:p>
    <w:p w14:paraId="693D4E53" w14:textId="0B4EDB80" w:rsidR="003D0A4C" w:rsidRPr="009F768F" w:rsidRDefault="003D0A4C" w:rsidP="003D0A4C">
      <w:pPr>
        <w:pStyle w:val="Marge"/>
        <w:rPr>
          <w:rFonts w:eastAsia="Arial Unicode MS"/>
          <w:bCs/>
          <w:lang w:val="fr-BE"/>
        </w:rPr>
      </w:pPr>
      <w:r w:rsidRPr="009F768F">
        <w:rPr>
          <w:rFonts w:eastAsia="Arial Unicode MS"/>
        </w:rPr>
        <w:t>9.</w:t>
      </w:r>
      <w:r w:rsidRPr="009F768F">
        <w:rPr>
          <w:rFonts w:eastAsia="Arial Unicode MS"/>
        </w:rPr>
        <w:tab/>
        <w:t>Les prochaines étapes sont présentées pour examen et afin de faire l’objet de discussion</w:t>
      </w:r>
      <w:r w:rsidR="004F72BC" w:rsidRPr="009F768F">
        <w:rPr>
          <w:rFonts w:eastAsia="Arial Unicode MS"/>
        </w:rPr>
        <w:t>s</w:t>
      </w:r>
      <w:r w:rsidRPr="009F768F">
        <w:rPr>
          <w:rFonts w:eastAsia="Arial Unicode MS"/>
        </w:rPr>
        <w:t xml:space="preserve"> au sein du GC-GEBCO et d’autres </w:t>
      </w:r>
      <w:r w:rsidR="004F72BC" w:rsidRPr="009F768F">
        <w:rPr>
          <w:rFonts w:eastAsia="Arial Unicode MS"/>
        </w:rPr>
        <w:t xml:space="preserve">grandes </w:t>
      </w:r>
      <w:r w:rsidRPr="009F768F">
        <w:rPr>
          <w:rFonts w:eastAsia="Arial Unicode MS"/>
        </w:rPr>
        <w:t>parties prenantes :</w:t>
      </w:r>
    </w:p>
    <w:p w14:paraId="6FF2C54E" w14:textId="04C14BA5" w:rsidR="003D0A4C" w:rsidRPr="009F768F" w:rsidRDefault="003D0A4C" w:rsidP="003D0A4C">
      <w:pPr>
        <w:pStyle w:val="Marge"/>
        <w:rPr>
          <w:rFonts w:eastAsia="Arial Unicode MS"/>
          <w:bCs/>
          <w:lang w:val="fr-BE"/>
        </w:rPr>
      </w:pPr>
      <w:r w:rsidRPr="009F768F">
        <w:rPr>
          <w:rFonts w:eastAsia="Arial Unicode MS"/>
        </w:rPr>
        <w:t>10.</w:t>
      </w:r>
      <w:r w:rsidRPr="009F768F">
        <w:rPr>
          <w:rFonts w:eastAsia="Arial Unicode MS"/>
        </w:rPr>
        <w:tab/>
      </w:r>
      <w:r w:rsidRPr="009F768F">
        <w:rPr>
          <w:rFonts w:eastAsia="Arial Unicode MS"/>
          <w:b/>
          <w:bCs/>
        </w:rPr>
        <w:t>Présentation du rapport.</w:t>
      </w:r>
      <w:r w:rsidRPr="009F768F">
        <w:rPr>
          <w:rFonts w:eastAsia="Arial Unicode MS"/>
        </w:rPr>
        <w:t xml:space="preserve"> Le rapport sera soumis au GC-GEBCO pour examen, tel qu’énoncé dans le mandat et dans le règlement intérieur de l’Équipe chargée du projet d’examen de la gouvernance de la GEBCO.</w:t>
      </w:r>
    </w:p>
    <w:p w14:paraId="4F88248A" w14:textId="5F01F6FF" w:rsidR="003D0A4C" w:rsidRPr="009F768F" w:rsidRDefault="003D0A4C" w:rsidP="003D0A4C">
      <w:pPr>
        <w:pStyle w:val="Marge"/>
        <w:rPr>
          <w:rFonts w:eastAsia="Arial Unicode MS"/>
          <w:bCs/>
          <w:lang w:val="fr-BE"/>
        </w:rPr>
      </w:pPr>
      <w:r w:rsidRPr="009F768F">
        <w:rPr>
          <w:rFonts w:eastAsia="Arial Unicode MS"/>
        </w:rPr>
        <w:t>11.</w:t>
      </w:r>
      <w:r w:rsidRPr="009F768F">
        <w:rPr>
          <w:rFonts w:eastAsia="Arial Unicode MS"/>
        </w:rPr>
        <w:tab/>
      </w:r>
      <w:r w:rsidRPr="009F768F">
        <w:rPr>
          <w:rFonts w:eastAsia="Arial Unicode MS"/>
          <w:b/>
          <w:bCs/>
        </w:rPr>
        <w:t>Examen individuel des recommandations.</w:t>
      </w:r>
      <w:r w:rsidRPr="009F768F">
        <w:rPr>
          <w:rFonts w:eastAsia="Arial Unicode MS"/>
        </w:rPr>
        <w:t xml:space="preserve"> Ces recommandations doivent être examinées soit par le GC-GEBCO dans son ensemble, soit par un sous-groupe nommé. Cette étape </w:t>
      </w:r>
      <w:r w:rsidR="004F72BC" w:rsidRPr="009F768F">
        <w:rPr>
          <w:rFonts w:eastAsia="Arial Unicode MS"/>
        </w:rPr>
        <w:t>permet de faire en sorte qu’</w:t>
      </w:r>
      <w:r w:rsidRPr="009F768F">
        <w:rPr>
          <w:rFonts w:eastAsia="Arial Unicode MS"/>
        </w:rPr>
        <w:t xml:space="preserve">une attention particulière </w:t>
      </w:r>
      <w:r w:rsidR="004F72BC" w:rsidRPr="009F768F">
        <w:rPr>
          <w:rFonts w:eastAsia="Arial Unicode MS"/>
        </w:rPr>
        <w:t xml:space="preserve">soit portée à </w:t>
      </w:r>
      <w:r w:rsidRPr="009F768F">
        <w:rPr>
          <w:rFonts w:eastAsia="Arial Unicode MS"/>
        </w:rPr>
        <w:t>chaque suggestion, facilit</w:t>
      </w:r>
      <w:r w:rsidR="004F72BC" w:rsidRPr="009F768F">
        <w:rPr>
          <w:rFonts w:eastAsia="Arial Unicode MS"/>
        </w:rPr>
        <w:t>ant</w:t>
      </w:r>
      <w:r w:rsidRPr="009F768F">
        <w:rPr>
          <w:rFonts w:eastAsia="Arial Unicode MS"/>
        </w:rPr>
        <w:t xml:space="preserve"> </w:t>
      </w:r>
      <w:r w:rsidR="004F72BC" w:rsidRPr="009F768F">
        <w:rPr>
          <w:rFonts w:eastAsia="Arial Unicode MS"/>
        </w:rPr>
        <w:t xml:space="preserve">ainsi </w:t>
      </w:r>
      <w:r w:rsidRPr="009F768F">
        <w:rPr>
          <w:rFonts w:eastAsia="Arial Unicode MS"/>
        </w:rPr>
        <w:t>une analyse</w:t>
      </w:r>
      <w:r w:rsidR="004F72BC" w:rsidRPr="009F768F">
        <w:rPr>
          <w:rFonts w:eastAsia="Arial Unicode MS"/>
        </w:rPr>
        <w:t xml:space="preserve"> approfondie</w:t>
      </w:r>
      <w:r w:rsidRPr="009F768F">
        <w:rPr>
          <w:rFonts w:eastAsia="Arial Unicode MS"/>
        </w:rPr>
        <w:t xml:space="preserve"> et </w:t>
      </w:r>
      <w:r w:rsidR="004F72BC" w:rsidRPr="009F768F">
        <w:rPr>
          <w:rFonts w:eastAsia="Arial Unicode MS"/>
        </w:rPr>
        <w:t xml:space="preserve">la </w:t>
      </w:r>
      <w:r w:rsidRPr="009F768F">
        <w:rPr>
          <w:rFonts w:eastAsia="Arial Unicode MS"/>
        </w:rPr>
        <w:t>prise de décision</w:t>
      </w:r>
      <w:r w:rsidR="004F72BC" w:rsidRPr="009F768F">
        <w:rPr>
          <w:rFonts w:eastAsia="Arial Unicode MS"/>
        </w:rPr>
        <w:t>s</w:t>
      </w:r>
      <w:r w:rsidRPr="009F768F">
        <w:rPr>
          <w:rFonts w:eastAsia="Arial Unicode MS"/>
        </w:rPr>
        <w:t xml:space="preserve">. Il conviendrait d’être particulièrement attentif </w:t>
      </w:r>
      <w:r w:rsidR="007539B4" w:rsidRPr="009F768F">
        <w:rPr>
          <w:rFonts w:eastAsia="Arial Unicode MS"/>
        </w:rPr>
        <w:t>lorsqu’il s’agit de décider</w:t>
      </w:r>
      <w:r w:rsidRPr="009F768F">
        <w:rPr>
          <w:rFonts w:eastAsia="Arial Unicode MS"/>
        </w:rPr>
        <w:t xml:space="preserve"> de mettre en œuvre </w:t>
      </w:r>
      <w:r w:rsidR="007539B4" w:rsidRPr="009F768F">
        <w:rPr>
          <w:rFonts w:eastAsia="Arial Unicode MS"/>
        </w:rPr>
        <w:t xml:space="preserve">ou non </w:t>
      </w:r>
      <w:r w:rsidRPr="009F768F">
        <w:rPr>
          <w:rFonts w:eastAsia="Arial Unicode MS"/>
        </w:rPr>
        <w:t>une recommandation, car certaines d’entre elles peuvent être mutuellement exclusives ou non.</w:t>
      </w:r>
    </w:p>
    <w:p w14:paraId="34EEAEDB" w14:textId="79D6C311" w:rsidR="003D0A4C" w:rsidRPr="009F768F" w:rsidRDefault="003D0A4C" w:rsidP="003D0A4C">
      <w:pPr>
        <w:pStyle w:val="Marge"/>
        <w:rPr>
          <w:rFonts w:eastAsia="Arial Unicode MS"/>
          <w:bCs/>
          <w:lang w:val="fr-BE"/>
        </w:rPr>
      </w:pPr>
      <w:r w:rsidRPr="009F768F">
        <w:rPr>
          <w:rFonts w:eastAsia="Arial Unicode MS"/>
        </w:rPr>
        <w:t>12.</w:t>
      </w:r>
      <w:r w:rsidRPr="009F768F">
        <w:rPr>
          <w:rFonts w:eastAsia="Arial Unicode MS"/>
        </w:rPr>
        <w:tab/>
      </w:r>
      <w:r w:rsidRPr="009F768F">
        <w:rPr>
          <w:rFonts w:eastAsia="Arial Unicode MS"/>
          <w:b/>
          <w:bCs/>
        </w:rPr>
        <w:t>Élaboration d’un plan de mise en œuvre</w:t>
      </w:r>
      <w:r w:rsidR="00D3309F" w:rsidRPr="009F768F">
        <w:rPr>
          <w:rFonts w:eastAsia="Arial Unicode MS"/>
          <w:b/>
          <w:bCs/>
        </w:rPr>
        <w:t>.</w:t>
      </w:r>
      <w:r w:rsidRPr="009F768F">
        <w:rPr>
          <w:rFonts w:eastAsia="Arial Unicode MS"/>
        </w:rPr>
        <w:t xml:space="preserve"> Un plan structuré de mise en œuvre des recommandations convenues devrait être élaboré. Ce plan servira de feuille de route, décrivant les étapes nécessaires pour apporter les changements et améliorations souhaités.</w:t>
      </w:r>
    </w:p>
    <w:p w14:paraId="43B6D08A" w14:textId="2EC08D80" w:rsidR="003D0A4C" w:rsidRPr="003D0A4C" w:rsidRDefault="003D0A4C" w:rsidP="003D0A4C">
      <w:pPr>
        <w:pStyle w:val="Marge"/>
        <w:rPr>
          <w:rFonts w:eastAsia="Arial Unicode MS"/>
          <w:bCs/>
          <w:lang w:val="fr-BE"/>
        </w:rPr>
      </w:pPr>
      <w:r w:rsidRPr="009F768F">
        <w:rPr>
          <w:rFonts w:eastAsia="Arial Unicode MS"/>
        </w:rPr>
        <w:t>13.</w:t>
      </w:r>
      <w:r w:rsidRPr="009F768F">
        <w:rPr>
          <w:rFonts w:eastAsia="Arial Unicode MS"/>
        </w:rPr>
        <w:tab/>
      </w:r>
      <w:r w:rsidRPr="009F768F">
        <w:rPr>
          <w:rFonts w:eastAsia="Arial Unicode MS"/>
          <w:b/>
          <w:bCs/>
        </w:rPr>
        <w:t xml:space="preserve">Intégration d’un </w:t>
      </w:r>
      <w:r w:rsidR="007539B4" w:rsidRPr="009F768F">
        <w:rPr>
          <w:rFonts w:eastAsia="Arial Unicode MS"/>
          <w:b/>
          <w:bCs/>
        </w:rPr>
        <w:t xml:space="preserve">modèle </w:t>
      </w:r>
      <w:r w:rsidRPr="009F768F">
        <w:rPr>
          <w:rFonts w:eastAsia="Arial Unicode MS"/>
          <w:b/>
          <w:bCs/>
        </w:rPr>
        <w:t>d’amélioration continue</w:t>
      </w:r>
      <w:r w:rsidR="00D3309F" w:rsidRPr="009F768F">
        <w:rPr>
          <w:rFonts w:eastAsia="Arial Unicode MS"/>
          <w:b/>
          <w:bCs/>
        </w:rPr>
        <w:t>.</w:t>
      </w:r>
      <w:r w:rsidRPr="009F768F">
        <w:rPr>
          <w:rFonts w:eastAsia="Arial Unicode MS"/>
        </w:rPr>
        <w:t xml:space="preserve"> Il s’agit d’une directive claire visant </w:t>
      </w:r>
      <w:r w:rsidR="00D3309F" w:rsidRPr="009F768F">
        <w:rPr>
          <w:rFonts w:eastAsia="Arial Unicode MS"/>
        </w:rPr>
        <w:t xml:space="preserve">à </w:t>
      </w:r>
      <w:r w:rsidRPr="009F768F">
        <w:rPr>
          <w:rFonts w:eastAsia="Arial Unicode MS"/>
        </w:rPr>
        <w:t xml:space="preserve">intégrer un cadre continu d’amélioration dans les pratiques de travail de l’ensemble des comités et des sous-comités. Cette approche vise à favoriser une culture continue d’évaluation et d’amélioration, assurant que les mécanismes de gouvernance évoluent conformément </w:t>
      </w:r>
      <w:r w:rsidR="007539B4" w:rsidRPr="009F768F">
        <w:rPr>
          <w:rFonts w:eastAsia="Arial Unicode MS"/>
        </w:rPr>
        <w:t>aux</w:t>
      </w:r>
      <w:r w:rsidRPr="009F768F">
        <w:rPr>
          <w:rFonts w:eastAsia="Arial Unicode MS"/>
        </w:rPr>
        <w:t xml:space="preserve"> besoins et enjeux organisationnels.</w:t>
      </w:r>
    </w:p>
    <w:p w14:paraId="576B14D3" w14:textId="7A9FC7FE" w:rsidR="003D0A4C" w:rsidRPr="003D0A4C" w:rsidRDefault="003D0A4C" w:rsidP="003D0A4C">
      <w:pPr>
        <w:pStyle w:val="Marge"/>
        <w:rPr>
          <w:rFonts w:eastAsia="Arial Unicode MS"/>
          <w:bCs/>
          <w:lang w:val="fr-BE"/>
        </w:rPr>
      </w:pPr>
      <w:r>
        <w:rPr>
          <w:rFonts w:eastAsia="Arial Unicode MS"/>
        </w:rPr>
        <w:t>14.</w:t>
      </w:r>
      <w:r>
        <w:rPr>
          <w:rFonts w:eastAsia="Arial Unicode MS"/>
        </w:rPr>
        <w:tab/>
      </w:r>
      <w:r w:rsidRPr="003D0A4C">
        <w:rPr>
          <w:rFonts w:eastAsia="Arial Unicode MS"/>
          <w:b/>
          <w:bCs/>
        </w:rPr>
        <w:t>Examen de la gouvernance du SCUFN.</w:t>
      </w:r>
      <w:r w:rsidRPr="003D0A4C">
        <w:rPr>
          <w:rFonts w:eastAsia="Arial Unicode MS"/>
        </w:rPr>
        <w:t xml:space="preserve"> Un examen spécifique de la gouvernance utilisant le même modèle que celui utilisé pour l’analyse plus large pourrait être mené pour le Sous-Comité des noms du relief sous-marin (SCUFN). Cet examen ciblé évaluera les structures et processus de gouvernance du SCUFN, et ses conclusions seront transmises au GC-GEBCO.</w:t>
      </w:r>
    </w:p>
    <w:p w14:paraId="420AC290" w14:textId="5466856F" w:rsidR="003D0A4C" w:rsidRPr="009F768F" w:rsidRDefault="003D0A4C" w:rsidP="003D0A4C">
      <w:pPr>
        <w:pStyle w:val="Marge"/>
        <w:rPr>
          <w:rFonts w:eastAsia="Arial Unicode MS"/>
          <w:bCs/>
          <w:lang w:val="fr-BE"/>
        </w:rPr>
      </w:pPr>
      <w:r>
        <w:rPr>
          <w:rFonts w:eastAsia="Arial Unicode MS"/>
        </w:rPr>
        <w:t>15.</w:t>
      </w:r>
      <w:r>
        <w:rPr>
          <w:rFonts w:eastAsia="Arial Unicode MS"/>
        </w:rPr>
        <w:tab/>
      </w:r>
      <w:r w:rsidRPr="003D0A4C">
        <w:rPr>
          <w:rFonts w:eastAsia="Arial Unicode MS"/>
          <w:b/>
          <w:bCs/>
        </w:rPr>
        <w:t xml:space="preserve">Examen de la supervision du projet </w:t>
      </w:r>
      <w:r w:rsidR="00D3309F">
        <w:rPr>
          <w:rFonts w:eastAsia="Arial Unicode MS"/>
          <w:b/>
          <w:bCs/>
        </w:rPr>
        <w:t>« </w:t>
      </w:r>
      <w:r w:rsidRPr="003D0A4C">
        <w:rPr>
          <w:rFonts w:eastAsia="Arial Unicode MS"/>
          <w:b/>
          <w:bCs/>
        </w:rPr>
        <w:t>Seabed 2030</w:t>
      </w:r>
      <w:r w:rsidR="00D3309F">
        <w:rPr>
          <w:rFonts w:eastAsia="Arial Unicode MS"/>
          <w:b/>
          <w:bCs/>
        </w:rPr>
        <w:t> »</w:t>
      </w:r>
      <w:r w:rsidRPr="003D0A4C">
        <w:rPr>
          <w:rFonts w:eastAsia="Arial Unicode MS"/>
          <w:b/>
          <w:bCs/>
        </w:rPr>
        <w:t>.</w:t>
      </w:r>
      <w:r w:rsidRPr="003D0A4C">
        <w:rPr>
          <w:rFonts w:eastAsia="Arial Unicode MS"/>
        </w:rPr>
        <w:t xml:space="preserve"> Un examen portant sur la supervision du projet </w:t>
      </w:r>
      <w:r w:rsidR="00D3309F">
        <w:rPr>
          <w:rFonts w:eastAsia="Arial Unicode MS"/>
        </w:rPr>
        <w:t>« </w:t>
      </w:r>
      <w:r w:rsidRPr="003D0A4C">
        <w:rPr>
          <w:rFonts w:eastAsia="Arial Unicode MS"/>
        </w:rPr>
        <w:t>Seabed 2030</w:t>
      </w:r>
      <w:r w:rsidR="00D3309F">
        <w:rPr>
          <w:rFonts w:eastAsia="Arial Unicode MS"/>
        </w:rPr>
        <w:t> »</w:t>
      </w:r>
      <w:r w:rsidRPr="003D0A4C">
        <w:rPr>
          <w:rFonts w:eastAsia="Arial Unicode MS"/>
        </w:rPr>
        <w:t xml:space="preserve"> pourrait êtr</w:t>
      </w:r>
      <w:r w:rsidRPr="009F768F">
        <w:rPr>
          <w:rFonts w:eastAsia="Arial Unicode MS"/>
        </w:rPr>
        <w:t xml:space="preserve">e envisagé. Un examen de ce type devrait analyser comment la gouvernance du GC-GEBCO doit s’adapter pour appuyer un </w:t>
      </w:r>
      <w:r w:rsidR="007539B4" w:rsidRPr="009F768F">
        <w:rPr>
          <w:rFonts w:eastAsia="Arial Unicode MS"/>
        </w:rPr>
        <w:t xml:space="preserve">portefeuille </w:t>
      </w:r>
      <w:r w:rsidRPr="009F768F">
        <w:rPr>
          <w:rFonts w:eastAsia="Arial Unicode MS"/>
        </w:rPr>
        <w:t xml:space="preserve">grandissant de projets et de programmes. Il est crucial que cet examen soit mené avec précaution afin d’éviter </w:t>
      </w:r>
      <w:r w:rsidR="007539B4" w:rsidRPr="009F768F">
        <w:rPr>
          <w:rFonts w:eastAsia="Arial Unicode MS"/>
        </w:rPr>
        <w:t>l’interruption d</w:t>
      </w:r>
      <w:r w:rsidRPr="009F768F">
        <w:rPr>
          <w:rFonts w:eastAsia="Arial Unicode MS"/>
        </w:rPr>
        <w:t xml:space="preserve">es activités du projet </w:t>
      </w:r>
      <w:r w:rsidR="00D3309F" w:rsidRPr="009F768F">
        <w:rPr>
          <w:rFonts w:eastAsia="Arial Unicode MS"/>
        </w:rPr>
        <w:t>« </w:t>
      </w:r>
      <w:r w:rsidRPr="009F768F">
        <w:rPr>
          <w:rFonts w:eastAsia="Arial Unicode MS"/>
        </w:rPr>
        <w:t>Seabed 2030</w:t>
      </w:r>
      <w:r w:rsidR="00D3309F" w:rsidRPr="009F768F">
        <w:rPr>
          <w:rFonts w:eastAsia="Arial Unicode MS"/>
        </w:rPr>
        <w:t> »</w:t>
      </w:r>
      <w:r w:rsidRPr="009F768F">
        <w:rPr>
          <w:rFonts w:eastAsia="Arial Unicode MS"/>
        </w:rPr>
        <w:t xml:space="preserve">, </w:t>
      </w:r>
      <w:r w:rsidR="007539B4" w:rsidRPr="009F768F">
        <w:rPr>
          <w:rFonts w:eastAsia="Arial Unicode MS"/>
        </w:rPr>
        <w:t xml:space="preserve">dont le bon fonctionnement </w:t>
      </w:r>
      <w:r w:rsidRPr="009F768F">
        <w:rPr>
          <w:rFonts w:eastAsia="Arial Unicode MS"/>
        </w:rPr>
        <w:t>est reconnu. En outre, tout examen devrait faire l’objet de discussion</w:t>
      </w:r>
      <w:r w:rsidR="007539B4" w:rsidRPr="009F768F">
        <w:rPr>
          <w:rFonts w:eastAsia="Arial Unicode MS"/>
        </w:rPr>
        <w:t>s</w:t>
      </w:r>
      <w:r w:rsidRPr="009F768F">
        <w:rPr>
          <w:rFonts w:eastAsia="Arial Unicode MS"/>
        </w:rPr>
        <w:t xml:space="preserve"> et être planifié en consultation avec la Nippon Foundation et les organisations dont relève la GEBCO, afin de s’assurer qu’il adhère et réponde aux besoins de toutes les parties.</w:t>
      </w:r>
    </w:p>
    <w:p w14:paraId="31D6D4F9" w14:textId="51FEF8B7" w:rsidR="003D0A4C" w:rsidRDefault="003D0A4C" w:rsidP="003D0A4C">
      <w:pPr>
        <w:pStyle w:val="Marge"/>
        <w:rPr>
          <w:rFonts w:eastAsia="Arial Unicode MS"/>
        </w:rPr>
      </w:pPr>
      <w:r w:rsidRPr="009F768F">
        <w:rPr>
          <w:rFonts w:eastAsia="Arial Unicode MS"/>
        </w:rPr>
        <w:t>16.</w:t>
      </w:r>
      <w:r w:rsidRPr="009F768F">
        <w:rPr>
          <w:rFonts w:eastAsia="Arial Unicode MS"/>
        </w:rPr>
        <w:tab/>
      </w:r>
      <w:r w:rsidRPr="009F768F">
        <w:rPr>
          <w:rFonts w:eastAsia="Arial Unicode MS"/>
          <w:b/>
          <w:bCs/>
        </w:rPr>
        <w:t>Examen du statut juridique de la GEBCO.</w:t>
      </w:r>
      <w:r w:rsidRPr="009F768F">
        <w:rPr>
          <w:rFonts w:eastAsia="Arial Unicode MS"/>
        </w:rPr>
        <w:t xml:space="preserve"> En fonction des résultats d’activité de la stratégie de la GEBCO, et en tenant compte de l’ambition future de la GEBCO d’entreprendre des levées de fonds pour des activités </w:t>
      </w:r>
      <w:r w:rsidR="007539B4" w:rsidRPr="009F768F">
        <w:rPr>
          <w:rFonts w:eastAsia="Arial Unicode MS"/>
        </w:rPr>
        <w:t>à venir</w:t>
      </w:r>
      <w:r w:rsidRPr="009F768F">
        <w:rPr>
          <w:rFonts w:eastAsia="Arial Unicode MS"/>
        </w:rPr>
        <w:t xml:space="preserve">, un examen ciblé des options du futur statut juridique de la GEBCO doit être mené. Il devrait idéalement être </w:t>
      </w:r>
      <w:r w:rsidR="007539B4" w:rsidRPr="009F768F">
        <w:rPr>
          <w:rFonts w:eastAsia="Arial Unicode MS"/>
        </w:rPr>
        <w:t xml:space="preserve">conduit </w:t>
      </w:r>
      <w:r w:rsidRPr="009F768F">
        <w:rPr>
          <w:rFonts w:eastAsia="Arial Unicode MS"/>
        </w:rPr>
        <w:t>par les organisations dont el</w:t>
      </w:r>
      <w:r w:rsidRPr="003D0A4C">
        <w:rPr>
          <w:rFonts w:eastAsia="Arial Unicode MS"/>
        </w:rPr>
        <w:t>le relève.</w:t>
      </w:r>
    </w:p>
    <w:p w14:paraId="4A4DB7FA" w14:textId="63D4CA3B" w:rsidR="00365425" w:rsidRDefault="00365425">
      <w:pPr>
        <w:tabs>
          <w:tab w:val="clear" w:pos="567"/>
        </w:tabs>
        <w:snapToGrid/>
        <w:rPr>
          <w:rFonts w:eastAsia="Arial Unicode MS"/>
          <w:lang w:eastAsia="en-US"/>
        </w:rPr>
      </w:pPr>
      <w:r>
        <w:rPr>
          <w:rFonts w:eastAsia="Arial Unicode MS"/>
        </w:rPr>
        <w:br w:type="page"/>
      </w:r>
    </w:p>
    <w:p w14:paraId="755F342A" w14:textId="05086FF2" w:rsidR="00365425" w:rsidRPr="003D0A4C" w:rsidRDefault="00365425" w:rsidP="00365425">
      <w:pPr>
        <w:pStyle w:val="Marge"/>
        <w:jc w:val="center"/>
        <w:rPr>
          <w:rFonts w:eastAsia="Arial Unicode MS"/>
          <w:bCs/>
          <w:lang w:val="fr-BE"/>
        </w:rPr>
      </w:pPr>
      <w:r>
        <w:rPr>
          <w:rFonts w:eastAsia="Arial Unicode MS"/>
          <w:bCs/>
          <w:lang w:val="fr-BE"/>
        </w:rPr>
        <w:object w:dxaOrig="1596" w:dyaOrig="1033" w14:anchorId="2FBB4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1.65pt" o:ole="">
            <v:imagedata r:id="rId8" o:title=""/>
          </v:shape>
          <o:OLEObject Type="Embed" ProgID="Acrobat.Document.2020" ShapeID="_x0000_i1025" DrawAspect="Icon" ObjectID="_1780234630" r:id="rId9"/>
        </w:object>
      </w:r>
    </w:p>
    <w:bookmarkEnd w:id="1"/>
    <w:sectPr w:rsidR="00365425" w:rsidRPr="003D0A4C" w:rsidSect="00A16CB1">
      <w:headerReference w:type="even" r:id="rId10"/>
      <w:headerReference w:type="default" r:id="rId11"/>
      <w:headerReference w:type="first" r:id="rId12"/>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EBC7" w14:textId="77777777" w:rsidR="002D374B" w:rsidRDefault="002D374B">
      <w:r>
        <w:separator/>
      </w:r>
    </w:p>
  </w:endnote>
  <w:endnote w:type="continuationSeparator" w:id="0">
    <w:p w14:paraId="5B7DCE11" w14:textId="77777777" w:rsidR="002D374B" w:rsidRDefault="002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36AA" w14:textId="77777777" w:rsidR="002D374B" w:rsidRDefault="002D374B">
      <w:r>
        <w:separator/>
      </w:r>
    </w:p>
  </w:footnote>
  <w:footnote w:type="continuationSeparator" w:id="0">
    <w:p w14:paraId="0039D016" w14:textId="77777777" w:rsidR="002D374B" w:rsidRDefault="002D374B">
      <w:r>
        <w:continuationSeparator/>
      </w:r>
    </w:p>
  </w:footnote>
  <w:footnote w:id="1">
    <w:p w14:paraId="52A4BA7C" w14:textId="0C1FB06E" w:rsidR="003D0A4C" w:rsidRPr="001B1B0C" w:rsidRDefault="003D0A4C" w:rsidP="003D0A4C">
      <w:pPr>
        <w:pStyle w:val="Notedebasdepage"/>
        <w:jc w:val="both"/>
        <w:rPr>
          <w:lang w:val="fr-BE"/>
        </w:rPr>
      </w:pPr>
      <w:r>
        <w:rPr>
          <w:rStyle w:val="Appelnotedebasdep"/>
        </w:rPr>
        <w:footnoteRef/>
      </w:r>
      <w:r>
        <w:t xml:space="preserve"> </w:t>
      </w:r>
      <w:r>
        <w:tab/>
        <w:t xml:space="preserve">Veuillez vous référer aux sections reprises dans </w:t>
      </w:r>
      <w:r w:rsidRPr="00AD7FAF">
        <w:t>l</w:t>
      </w:r>
      <w:r w:rsidR="008769DD" w:rsidRPr="00AD7FAF">
        <w:t>’</w:t>
      </w:r>
      <w:r w:rsidRPr="00AD7FAF">
        <w:t>addendum</w:t>
      </w:r>
      <w:r>
        <w:t xml:space="preserve"> au présent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DA69" w14:textId="4A8795B0" w:rsidR="004B3D31" w:rsidRPr="004B3D31" w:rsidRDefault="004B3D31" w:rsidP="004B3D31">
    <w:pPr>
      <w:pStyle w:val="En-tte"/>
      <w:spacing w:after="240"/>
      <w:rPr>
        <w:rFonts w:cs="Arial"/>
        <w:bCs/>
        <w:szCs w:val="22"/>
      </w:rPr>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r w:rsidR="003D0A4C">
      <w:rPr>
        <w:rFonts w:cs="Arial"/>
        <w:bCs/>
        <w:szCs w:val="22"/>
      </w:rPr>
      <w:t>4</w:t>
    </w:r>
    <w:r>
      <w:rPr>
        <w:rFonts w:cs="Arial"/>
        <w:bCs/>
        <w:szCs w:val="22"/>
      </w:rPr>
      <w:t>.</w:t>
    </w:r>
    <w:r w:rsidRPr="00352423">
      <w:rPr>
        <w:rFonts w:cs="Arial"/>
        <w:bCs/>
        <w:szCs w:val="22"/>
      </w:rPr>
      <w:t>Doc</w:t>
    </w:r>
    <w:r>
      <w:rPr>
        <w:rFonts w:cs="Arial"/>
        <w:bCs/>
        <w:szCs w:val="22"/>
      </w:rPr>
      <w:t>(</w:t>
    </w:r>
    <w:r w:rsidR="00C943C4">
      <w:rPr>
        <w:rFonts w:cs="Arial"/>
        <w:bCs/>
        <w:szCs w:val="22"/>
      </w:rPr>
      <w:t>1</w:t>
    </w:r>
    <w:r>
      <w:rPr>
        <w:rFonts w:cs="Arial"/>
        <w:bCs/>
        <w:szCs w:val="22"/>
      </w:rPr>
      <w:t>)</w:t>
    </w:r>
    <w:r w:rsidRPr="00FF54F5">
      <w:rPr>
        <w:rFonts w:cs="Arial"/>
        <w:bCs/>
        <w:szCs w:val="22"/>
      </w:rPr>
      <w:t xml:space="preserve"> – page </w:t>
    </w:r>
    <w:sdt>
      <w:sdtPr>
        <w:rPr>
          <w:rFonts w:cs="Arial"/>
          <w:bCs/>
          <w:szCs w:val="22"/>
        </w:rPr>
        <w:id w:val="563214198"/>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3</w:t>
        </w:r>
        <w:r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B6FA" w14:textId="46BC4E94" w:rsidR="00A16CB1" w:rsidRPr="00562336" w:rsidRDefault="00A16CB1" w:rsidP="00562336">
    <w:pPr>
      <w:pStyle w:val="En-tte"/>
      <w:spacing w:after="240"/>
      <w:jc w:val="right"/>
      <w:rPr>
        <w:rFonts w:cs="Arial"/>
        <w:bCs/>
        <w:szCs w:val="22"/>
      </w:rPr>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r w:rsidR="003D0A4C">
      <w:rPr>
        <w:rFonts w:cs="Arial"/>
        <w:bCs/>
        <w:szCs w:val="22"/>
      </w:rPr>
      <w:t>4</w:t>
    </w:r>
    <w:r>
      <w:rPr>
        <w:rFonts w:cs="Arial"/>
        <w:bCs/>
        <w:szCs w:val="22"/>
      </w:rPr>
      <w:t>.</w:t>
    </w:r>
    <w:r w:rsidRPr="00352423">
      <w:rPr>
        <w:rFonts w:cs="Arial"/>
        <w:bCs/>
        <w:szCs w:val="22"/>
      </w:rPr>
      <w:t>Doc</w:t>
    </w:r>
    <w:r>
      <w:rPr>
        <w:rFonts w:cs="Arial"/>
        <w:bCs/>
        <w:szCs w:val="22"/>
      </w:rPr>
      <w:t>(</w:t>
    </w:r>
    <w:r w:rsidR="00C943C4">
      <w:rPr>
        <w:rFonts w:cs="Arial"/>
        <w:bCs/>
        <w:szCs w:val="22"/>
      </w:rPr>
      <w:t>1</w:t>
    </w:r>
    <w:r>
      <w:rPr>
        <w:rFonts w:cs="Arial"/>
        <w:bCs/>
        <w:szCs w:val="22"/>
      </w:rPr>
      <w:t>)</w:t>
    </w:r>
    <w:r w:rsidRPr="00FF54F5">
      <w:rPr>
        <w:rFonts w:cs="Arial"/>
        <w:bCs/>
        <w:szCs w:val="22"/>
      </w:rPr>
      <w:t xml:space="preserve"> – page </w:t>
    </w:r>
    <w:sdt>
      <w:sdtPr>
        <w:rPr>
          <w:rFonts w:cs="Arial"/>
          <w:bCs/>
          <w:szCs w:val="22"/>
        </w:rPr>
        <w:id w:val="2048870186"/>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E75A" w14:textId="77777777" w:rsidR="004B3D31" w:rsidRDefault="004B3D31" w:rsidP="004B3D31">
    <w:pPr>
      <w:pStyle w:val="En-tte"/>
    </w:pPr>
    <w:r>
      <w:rPr>
        <w:noProof/>
      </w:rPr>
      <mc:AlternateContent>
        <mc:Choice Requires="wps">
          <w:drawing>
            <wp:anchor distT="45720" distB="45720" distL="114300" distR="114300" simplePos="0" relativeHeight="251660288" behindDoc="0" locked="0" layoutInCell="1" allowOverlap="1" wp14:anchorId="2EBC1BC6" wp14:editId="018237A0">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7A690059" w14:textId="18A2F16F" w:rsidR="004B3D31" w:rsidRPr="002A5D14" w:rsidRDefault="004B3D31" w:rsidP="004B3D31">
                          <w:pPr>
                            <w:pStyle w:val="Marge"/>
                            <w:tabs>
                              <w:tab w:val="left" w:pos="6237"/>
                              <w:tab w:val="left" w:pos="7088"/>
                            </w:tabs>
                            <w:spacing w:after="0"/>
                            <w:rPr>
                              <w:rFonts w:cs="Arial"/>
                              <w:b/>
                              <w:sz w:val="36"/>
                              <w:szCs w:val="36"/>
                            </w:rPr>
                          </w:pPr>
                          <w:bookmarkStart w:id="2"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r w:rsidR="003D0A4C">
                            <w:rPr>
                              <w:rFonts w:cs="Arial"/>
                              <w:b/>
                              <w:sz w:val="36"/>
                              <w:szCs w:val="36"/>
                            </w:rPr>
                            <w:t>4</w:t>
                          </w:r>
                          <w:r w:rsidRPr="002A5D14">
                            <w:rPr>
                              <w:rFonts w:cs="Arial"/>
                              <w:b/>
                              <w:sz w:val="36"/>
                              <w:szCs w:val="36"/>
                            </w:rPr>
                            <w:t>.Doc</w:t>
                          </w:r>
                          <w:bookmarkEnd w:id="2"/>
                          <w:r>
                            <w:rPr>
                              <w:rFonts w:cs="Arial"/>
                              <w:b/>
                              <w:sz w:val="36"/>
                              <w:szCs w:val="36"/>
                            </w:rPr>
                            <w:t>(</w:t>
                          </w:r>
                          <w:r w:rsidR="00C943C4">
                            <w:rPr>
                              <w:rFonts w:cs="Arial"/>
                              <w:b/>
                              <w:sz w:val="36"/>
                              <w:szCs w:val="36"/>
                            </w:rPr>
                            <w:t>1</w:t>
                          </w:r>
                          <w:r>
                            <w:rPr>
                              <w:rFonts w:cs="Arial"/>
                              <w:b/>
                              <w:sz w:val="36"/>
                              <w:szCs w:val="36"/>
                            </w:rPr>
                            <w:t>)</w:t>
                          </w:r>
                        </w:p>
                        <w:p w14:paraId="293F617A" w14:textId="4165717D" w:rsidR="004B3D31" w:rsidRPr="002A5D14" w:rsidRDefault="004B3D31" w:rsidP="004B3D31">
                          <w:pPr>
                            <w:pStyle w:val="Marge"/>
                            <w:tabs>
                              <w:tab w:val="left" w:pos="6237"/>
                            </w:tabs>
                            <w:spacing w:after="0"/>
                            <w:rPr>
                              <w:rFonts w:cs="Arial"/>
                              <w:szCs w:val="22"/>
                            </w:rPr>
                          </w:pPr>
                          <w:r w:rsidRPr="002A5D14">
                            <w:rPr>
                              <w:rFonts w:cs="Arial"/>
                              <w:szCs w:val="22"/>
                            </w:rPr>
                            <w:t xml:space="preserve">Paris, le </w:t>
                          </w:r>
                          <w:r w:rsidR="003D0A4C">
                            <w:rPr>
                              <w:rFonts w:cs="Arial"/>
                              <w:szCs w:val="22"/>
                            </w:rPr>
                            <w:t>2</w:t>
                          </w:r>
                          <w:r>
                            <w:rPr>
                              <w:rFonts w:cs="Arial"/>
                              <w:szCs w:val="22"/>
                            </w:rPr>
                            <w:t>8 mai</w:t>
                          </w:r>
                          <w:r w:rsidRPr="002A5D14">
                            <w:rPr>
                              <w:rFonts w:cs="Arial"/>
                              <w:szCs w:val="22"/>
                            </w:rPr>
                            <w:t xml:space="preserve"> 202</w:t>
                          </w:r>
                          <w:r>
                            <w:rPr>
                              <w:rFonts w:cs="Arial"/>
                              <w:szCs w:val="22"/>
                            </w:rPr>
                            <w:t>4</w:t>
                          </w:r>
                          <w:r w:rsidRPr="002A5D14">
                            <w:rPr>
                              <w:rFonts w:cs="Arial"/>
                              <w:szCs w:val="22"/>
                            </w:rPr>
                            <w:t xml:space="preserve"> </w:t>
                          </w:r>
                        </w:p>
                        <w:p w14:paraId="7F8B44A2" w14:textId="77777777" w:rsidR="004B3D31" w:rsidRPr="00EB3895" w:rsidRDefault="004B3D31" w:rsidP="004B3D31">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1BC6"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7A690059" w14:textId="18A2F16F" w:rsidR="004B3D31" w:rsidRPr="002A5D14" w:rsidRDefault="004B3D31" w:rsidP="004B3D31">
                    <w:pPr>
                      <w:pStyle w:val="Marge"/>
                      <w:tabs>
                        <w:tab w:val="left" w:pos="6237"/>
                        <w:tab w:val="left" w:pos="7088"/>
                      </w:tabs>
                      <w:spacing w:after="0"/>
                      <w:rPr>
                        <w:rFonts w:cs="Arial"/>
                        <w:b/>
                        <w:sz w:val="36"/>
                        <w:szCs w:val="36"/>
                      </w:rPr>
                    </w:pPr>
                    <w:bookmarkStart w:id="69"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proofErr w:type="gramStart"/>
                    <w:r w:rsidR="003D0A4C">
                      <w:rPr>
                        <w:rFonts w:cs="Arial"/>
                        <w:b/>
                        <w:sz w:val="36"/>
                        <w:szCs w:val="36"/>
                      </w:rPr>
                      <w:t>4</w:t>
                    </w:r>
                    <w:r w:rsidRPr="002A5D14">
                      <w:rPr>
                        <w:rFonts w:cs="Arial"/>
                        <w:b/>
                        <w:sz w:val="36"/>
                        <w:szCs w:val="36"/>
                      </w:rPr>
                      <w:t>.Doc</w:t>
                    </w:r>
                    <w:bookmarkEnd w:id="69"/>
                    <w:proofErr w:type="gramEnd"/>
                    <w:r>
                      <w:rPr>
                        <w:rFonts w:cs="Arial"/>
                        <w:b/>
                        <w:sz w:val="36"/>
                        <w:szCs w:val="36"/>
                      </w:rPr>
                      <w:t>(</w:t>
                    </w:r>
                    <w:r w:rsidR="00C943C4">
                      <w:rPr>
                        <w:rFonts w:cs="Arial"/>
                        <w:b/>
                        <w:sz w:val="36"/>
                        <w:szCs w:val="36"/>
                      </w:rPr>
                      <w:t>1</w:t>
                    </w:r>
                    <w:r>
                      <w:rPr>
                        <w:rFonts w:cs="Arial"/>
                        <w:b/>
                        <w:sz w:val="36"/>
                        <w:szCs w:val="36"/>
                      </w:rPr>
                      <w:t>)</w:t>
                    </w:r>
                  </w:p>
                  <w:p w14:paraId="293F617A" w14:textId="4165717D" w:rsidR="004B3D31" w:rsidRPr="002A5D14" w:rsidRDefault="004B3D31" w:rsidP="004B3D31">
                    <w:pPr>
                      <w:pStyle w:val="Marge"/>
                      <w:tabs>
                        <w:tab w:val="left" w:pos="6237"/>
                      </w:tabs>
                      <w:spacing w:after="0"/>
                      <w:rPr>
                        <w:rFonts w:cs="Arial"/>
                        <w:szCs w:val="22"/>
                      </w:rPr>
                    </w:pPr>
                    <w:r w:rsidRPr="002A5D14">
                      <w:rPr>
                        <w:rFonts w:cs="Arial"/>
                        <w:szCs w:val="22"/>
                      </w:rPr>
                      <w:t xml:space="preserve">Paris, le </w:t>
                    </w:r>
                    <w:r w:rsidR="003D0A4C">
                      <w:rPr>
                        <w:rFonts w:cs="Arial"/>
                        <w:szCs w:val="22"/>
                      </w:rPr>
                      <w:t>2</w:t>
                    </w:r>
                    <w:r>
                      <w:rPr>
                        <w:rFonts w:cs="Arial"/>
                        <w:szCs w:val="22"/>
                      </w:rPr>
                      <w:t>8 mai</w:t>
                    </w:r>
                    <w:r w:rsidRPr="002A5D14">
                      <w:rPr>
                        <w:rFonts w:cs="Arial"/>
                        <w:szCs w:val="22"/>
                      </w:rPr>
                      <w:t xml:space="preserve"> 202</w:t>
                    </w:r>
                    <w:r>
                      <w:rPr>
                        <w:rFonts w:cs="Arial"/>
                        <w:szCs w:val="22"/>
                      </w:rPr>
                      <w:t>4</w:t>
                    </w:r>
                    <w:r w:rsidRPr="002A5D14">
                      <w:rPr>
                        <w:rFonts w:cs="Arial"/>
                        <w:szCs w:val="22"/>
                      </w:rPr>
                      <w:t xml:space="preserve"> </w:t>
                    </w:r>
                  </w:p>
                  <w:p w14:paraId="7F8B44A2" w14:textId="77777777" w:rsidR="004B3D31" w:rsidRPr="00EB3895" w:rsidRDefault="004B3D31" w:rsidP="004B3D31">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7B9CAD8B" wp14:editId="44BAA51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p w14:paraId="658F1617" w14:textId="6E55205E" w:rsidR="00A16CB1" w:rsidRPr="00A16CB1" w:rsidRDefault="00A16CB1" w:rsidP="004B3D31">
    <w:pPr>
      <w:pStyle w:val="En-tt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43B0689"/>
    <w:multiLevelType w:val="hybridMultilevel"/>
    <w:tmpl w:val="D7AED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673778F"/>
    <w:multiLevelType w:val="multilevel"/>
    <w:tmpl w:val="D7C8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D2269"/>
    <w:multiLevelType w:val="hybridMultilevel"/>
    <w:tmpl w:val="BB068D26"/>
    <w:lvl w:ilvl="0" w:tplc="32AC4466">
      <w:start w:val="1"/>
      <w:numFmt w:val="lowerRoman"/>
      <w:lvlText w:val="(%1)"/>
      <w:lvlJc w:val="left"/>
      <w:pPr>
        <w:ind w:left="720" w:hanging="360"/>
      </w:pPr>
      <w:rPr>
        <w:rFonts w:ascii="Arial" w:eastAsia="Times New Roman" w:hAnsi="Arial" w:cs="Times" w:hint="default"/>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20902"/>
    <w:multiLevelType w:val="multilevel"/>
    <w:tmpl w:val="9D52BE26"/>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i/>
        <w:iCs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9"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60846">
    <w:abstractNumId w:val="10"/>
  </w:num>
  <w:num w:numId="2" w16cid:durableId="1315404125">
    <w:abstractNumId w:val="10"/>
  </w:num>
  <w:num w:numId="3" w16cid:durableId="754399231">
    <w:abstractNumId w:val="6"/>
  </w:num>
  <w:num w:numId="4" w16cid:durableId="1741367044">
    <w:abstractNumId w:val="22"/>
  </w:num>
  <w:num w:numId="5" w16cid:durableId="1246918798">
    <w:abstractNumId w:val="12"/>
  </w:num>
  <w:num w:numId="6" w16cid:durableId="1934245466">
    <w:abstractNumId w:val="15"/>
  </w:num>
  <w:num w:numId="7" w16cid:durableId="463350528">
    <w:abstractNumId w:val="27"/>
  </w:num>
  <w:num w:numId="8" w16cid:durableId="155417251">
    <w:abstractNumId w:val="20"/>
  </w:num>
  <w:num w:numId="9" w16cid:durableId="422452377">
    <w:abstractNumId w:val="6"/>
  </w:num>
  <w:num w:numId="10" w16cid:durableId="1809277739">
    <w:abstractNumId w:val="6"/>
  </w:num>
  <w:num w:numId="11" w16cid:durableId="1283001203">
    <w:abstractNumId w:val="6"/>
  </w:num>
  <w:num w:numId="12" w16cid:durableId="1872258941">
    <w:abstractNumId w:val="6"/>
  </w:num>
  <w:num w:numId="13" w16cid:durableId="378940417">
    <w:abstractNumId w:val="17"/>
  </w:num>
  <w:num w:numId="14" w16cid:durableId="554203729">
    <w:abstractNumId w:val="1"/>
  </w:num>
  <w:num w:numId="15" w16cid:durableId="303703573">
    <w:abstractNumId w:val="16"/>
  </w:num>
  <w:num w:numId="16" w16cid:durableId="721709804">
    <w:abstractNumId w:val="6"/>
  </w:num>
  <w:num w:numId="17" w16cid:durableId="1239633536">
    <w:abstractNumId w:val="2"/>
  </w:num>
  <w:num w:numId="18" w16cid:durableId="114449888">
    <w:abstractNumId w:val="6"/>
  </w:num>
  <w:num w:numId="19" w16cid:durableId="574515621">
    <w:abstractNumId w:val="0"/>
  </w:num>
  <w:num w:numId="20" w16cid:durableId="1091323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0088754">
    <w:abstractNumId w:val="19"/>
  </w:num>
  <w:num w:numId="22" w16cid:durableId="2046521359">
    <w:abstractNumId w:val="8"/>
  </w:num>
  <w:num w:numId="23" w16cid:durableId="109786165">
    <w:abstractNumId w:val="29"/>
  </w:num>
  <w:num w:numId="24" w16cid:durableId="860584544">
    <w:abstractNumId w:val="4"/>
  </w:num>
  <w:num w:numId="25" w16cid:durableId="91777898">
    <w:abstractNumId w:val="25"/>
  </w:num>
  <w:num w:numId="26" w16cid:durableId="1517846380">
    <w:abstractNumId w:val="9"/>
  </w:num>
  <w:num w:numId="27" w16cid:durableId="876699192">
    <w:abstractNumId w:val="23"/>
  </w:num>
  <w:num w:numId="28" w16cid:durableId="1181162069">
    <w:abstractNumId w:val="13"/>
  </w:num>
  <w:num w:numId="29" w16cid:durableId="1726563897">
    <w:abstractNumId w:val="30"/>
  </w:num>
  <w:num w:numId="30" w16cid:durableId="1393624353">
    <w:abstractNumId w:val="18"/>
  </w:num>
  <w:num w:numId="31" w16cid:durableId="1073889335">
    <w:abstractNumId w:val="26"/>
  </w:num>
  <w:num w:numId="32" w16cid:durableId="141318720">
    <w:abstractNumId w:val="11"/>
  </w:num>
  <w:num w:numId="33" w16cid:durableId="1546912314">
    <w:abstractNumId w:val="5"/>
  </w:num>
  <w:num w:numId="34" w16cid:durableId="879824541">
    <w:abstractNumId w:val="7"/>
  </w:num>
  <w:num w:numId="35" w16cid:durableId="1903708010">
    <w:abstractNumId w:val="24"/>
  </w:num>
  <w:num w:numId="36" w16cid:durableId="1569219307">
    <w:abstractNumId w:val="14"/>
  </w:num>
  <w:num w:numId="37" w16cid:durableId="1575119432">
    <w:abstractNumId w:val="21"/>
  </w:num>
  <w:num w:numId="38" w16cid:durableId="194006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6371"/>
    <w:rsid w:val="00030118"/>
    <w:rsid w:val="000373A7"/>
    <w:rsid w:val="0005569A"/>
    <w:rsid w:val="00074EA3"/>
    <w:rsid w:val="00092A80"/>
    <w:rsid w:val="00092E0B"/>
    <w:rsid w:val="000B0E4E"/>
    <w:rsid w:val="000D39FC"/>
    <w:rsid w:val="000D4E4C"/>
    <w:rsid w:val="000E7AEA"/>
    <w:rsid w:val="000F1DBA"/>
    <w:rsid w:val="000F258B"/>
    <w:rsid w:val="00100A35"/>
    <w:rsid w:val="00105D33"/>
    <w:rsid w:val="0011081B"/>
    <w:rsid w:val="0011114C"/>
    <w:rsid w:val="0011169E"/>
    <w:rsid w:val="00177B08"/>
    <w:rsid w:val="001912E2"/>
    <w:rsid w:val="001954CB"/>
    <w:rsid w:val="001A6C83"/>
    <w:rsid w:val="001A6E27"/>
    <w:rsid w:val="001A789E"/>
    <w:rsid w:val="001C290E"/>
    <w:rsid w:val="001C6211"/>
    <w:rsid w:val="001E1961"/>
    <w:rsid w:val="001E19D4"/>
    <w:rsid w:val="001E413E"/>
    <w:rsid w:val="001E73FE"/>
    <w:rsid w:val="001F1F04"/>
    <w:rsid w:val="001F5D62"/>
    <w:rsid w:val="00201171"/>
    <w:rsid w:val="00213953"/>
    <w:rsid w:val="00226B0D"/>
    <w:rsid w:val="00232429"/>
    <w:rsid w:val="00234C33"/>
    <w:rsid w:val="002370FD"/>
    <w:rsid w:val="00261E65"/>
    <w:rsid w:val="00265314"/>
    <w:rsid w:val="0026619D"/>
    <w:rsid w:val="002750C1"/>
    <w:rsid w:val="002B4B18"/>
    <w:rsid w:val="002D148D"/>
    <w:rsid w:val="002D2C1D"/>
    <w:rsid w:val="002D312F"/>
    <w:rsid w:val="002D374B"/>
    <w:rsid w:val="002E427B"/>
    <w:rsid w:val="002E70A1"/>
    <w:rsid w:val="002E7A80"/>
    <w:rsid w:val="00310E5D"/>
    <w:rsid w:val="00311ECE"/>
    <w:rsid w:val="003210F7"/>
    <w:rsid w:val="0034355C"/>
    <w:rsid w:val="003442AA"/>
    <w:rsid w:val="00346C46"/>
    <w:rsid w:val="003557A8"/>
    <w:rsid w:val="003561FB"/>
    <w:rsid w:val="00363D04"/>
    <w:rsid w:val="00365425"/>
    <w:rsid w:val="00365CD2"/>
    <w:rsid w:val="003705A5"/>
    <w:rsid w:val="003829C6"/>
    <w:rsid w:val="00397DEC"/>
    <w:rsid w:val="003A7B88"/>
    <w:rsid w:val="003B58D6"/>
    <w:rsid w:val="003C328B"/>
    <w:rsid w:val="003D0A4C"/>
    <w:rsid w:val="003D46DA"/>
    <w:rsid w:val="003D4875"/>
    <w:rsid w:val="003D675F"/>
    <w:rsid w:val="003E2147"/>
    <w:rsid w:val="003E27AC"/>
    <w:rsid w:val="003F3C42"/>
    <w:rsid w:val="00401C01"/>
    <w:rsid w:val="004062D2"/>
    <w:rsid w:val="0041299F"/>
    <w:rsid w:val="004213D0"/>
    <w:rsid w:val="00436275"/>
    <w:rsid w:val="004573F3"/>
    <w:rsid w:val="004618DE"/>
    <w:rsid w:val="00463EA2"/>
    <w:rsid w:val="00473EA1"/>
    <w:rsid w:val="00484032"/>
    <w:rsid w:val="00494C58"/>
    <w:rsid w:val="004A327F"/>
    <w:rsid w:val="004B08C6"/>
    <w:rsid w:val="004B3D31"/>
    <w:rsid w:val="004B6DD5"/>
    <w:rsid w:val="004C08D6"/>
    <w:rsid w:val="004C100E"/>
    <w:rsid w:val="004C1526"/>
    <w:rsid w:val="004C1D3F"/>
    <w:rsid w:val="004C3E47"/>
    <w:rsid w:val="004D05D2"/>
    <w:rsid w:val="004D0F08"/>
    <w:rsid w:val="004F72BC"/>
    <w:rsid w:val="00511D63"/>
    <w:rsid w:val="00513180"/>
    <w:rsid w:val="005169D0"/>
    <w:rsid w:val="005172C2"/>
    <w:rsid w:val="00526ED1"/>
    <w:rsid w:val="00533732"/>
    <w:rsid w:val="00561283"/>
    <w:rsid w:val="00562336"/>
    <w:rsid w:val="00572AC5"/>
    <w:rsid w:val="00596B7E"/>
    <w:rsid w:val="005B5EF5"/>
    <w:rsid w:val="005C72F1"/>
    <w:rsid w:val="005D34A5"/>
    <w:rsid w:val="005D54DD"/>
    <w:rsid w:val="005E6087"/>
    <w:rsid w:val="005F3C7D"/>
    <w:rsid w:val="00612922"/>
    <w:rsid w:val="00623957"/>
    <w:rsid w:val="006519AE"/>
    <w:rsid w:val="00655725"/>
    <w:rsid w:val="00673F0C"/>
    <w:rsid w:val="00675705"/>
    <w:rsid w:val="006828F7"/>
    <w:rsid w:val="006835E4"/>
    <w:rsid w:val="00695BA3"/>
    <w:rsid w:val="0069684F"/>
    <w:rsid w:val="006A07AB"/>
    <w:rsid w:val="006A3031"/>
    <w:rsid w:val="006C2C65"/>
    <w:rsid w:val="006D052A"/>
    <w:rsid w:val="006D36DB"/>
    <w:rsid w:val="006D6768"/>
    <w:rsid w:val="006E2A83"/>
    <w:rsid w:val="006F1036"/>
    <w:rsid w:val="00707C1B"/>
    <w:rsid w:val="00713E4D"/>
    <w:rsid w:val="00727624"/>
    <w:rsid w:val="007449EA"/>
    <w:rsid w:val="007539B4"/>
    <w:rsid w:val="00753AFA"/>
    <w:rsid w:val="00755CED"/>
    <w:rsid w:val="0076217F"/>
    <w:rsid w:val="007701CE"/>
    <w:rsid w:val="00773D5C"/>
    <w:rsid w:val="00783CE9"/>
    <w:rsid w:val="007A1081"/>
    <w:rsid w:val="007A1A92"/>
    <w:rsid w:val="007A3E25"/>
    <w:rsid w:val="007A45CC"/>
    <w:rsid w:val="007A49EB"/>
    <w:rsid w:val="007A7EC6"/>
    <w:rsid w:val="007B5170"/>
    <w:rsid w:val="007B764F"/>
    <w:rsid w:val="007C2EE6"/>
    <w:rsid w:val="007C403E"/>
    <w:rsid w:val="007C73D7"/>
    <w:rsid w:val="007E6082"/>
    <w:rsid w:val="007F05DA"/>
    <w:rsid w:val="007F2BA5"/>
    <w:rsid w:val="00807867"/>
    <w:rsid w:val="00814BE9"/>
    <w:rsid w:val="00835BC3"/>
    <w:rsid w:val="008425F5"/>
    <w:rsid w:val="0085153D"/>
    <w:rsid w:val="008608E4"/>
    <w:rsid w:val="00863317"/>
    <w:rsid w:val="00871F2D"/>
    <w:rsid w:val="008735A8"/>
    <w:rsid w:val="00873BED"/>
    <w:rsid w:val="008769DD"/>
    <w:rsid w:val="008852E4"/>
    <w:rsid w:val="008871F2"/>
    <w:rsid w:val="0089608C"/>
    <w:rsid w:val="008A5308"/>
    <w:rsid w:val="008A6802"/>
    <w:rsid w:val="008A680A"/>
    <w:rsid w:val="008B33AC"/>
    <w:rsid w:val="008B7523"/>
    <w:rsid w:val="008C24D0"/>
    <w:rsid w:val="008C3D95"/>
    <w:rsid w:val="008C4434"/>
    <w:rsid w:val="008C59A5"/>
    <w:rsid w:val="00902342"/>
    <w:rsid w:val="00904C98"/>
    <w:rsid w:val="009053BE"/>
    <w:rsid w:val="009063B7"/>
    <w:rsid w:val="00907D3B"/>
    <w:rsid w:val="009173FE"/>
    <w:rsid w:val="00920B40"/>
    <w:rsid w:val="00932970"/>
    <w:rsid w:val="00950838"/>
    <w:rsid w:val="00972BBF"/>
    <w:rsid w:val="00975664"/>
    <w:rsid w:val="0098415A"/>
    <w:rsid w:val="00995CE0"/>
    <w:rsid w:val="009B16C3"/>
    <w:rsid w:val="009B513F"/>
    <w:rsid w:val="009E1B9E"/>
    <w:rsid w:val="009E53F6"/>
    <w:rsid w:val="009E6CEB"/>
    <w:rsid w:val="009F768F"/>
    <w:rsid w:val="00A00B63"/>
    <w:rsid w:val="00A10306"/>
    <w:rsid w:val="00A11434"/>
    <w:rsid w:val="00A16CB1"/>
    <w:rsid w:val="00A23875"/>
    <w:rsid w:val="00A33021"/>
    <w:rsid w:val="00A36041"/>
    <w:rsid w:val="00A45300"/>
    <w:rsid w:val="00A612F8"/>
    <w:rsid w:val="00A660D7"/>
    <w:rsid w:val="00A70F48"/>
    <w:rsid w:val="00AA0893"/>
    <w:rsid w:val="00AC5B09"/>
    <w:rsid w:val="00AD7FAF"/>
    <w:rsid w:val="00B10D0E"/>
    <w:rsid w:val="00B11A91"/>
    <w:rsid w:val="00B1296C"/>
    <w:rsid w:val="00B143FE"/>
    <w:rsid w:val="00B243F2"/>
    <w:rsid w:val="00B2519D"/>
    <w:rsid w:val="00B3786B"/>
    <w:rsid w:val="00B473FC"/>
    <w:rsid w:val="00B54018"/>
    <w:rsid w:val="00B54421"/>
    <w:rsid w:val="00B557FF"/>
    <w:rsid w:val="00B80382"/>
    <w:rsid w:val="00B872CA"/>
    <w:rsid w:val="00B94791"/>
    <w:rsid w:val="00BC1245"/>
    <w:rsid w:val="00BC76D0"/>
    <w:rsid w:val="00BD5A86"/>
    <w:rsid w:val="00BE3F20"/>
    <w:rsid w:val="00BE6632"/>
    <w:rsid w:val="00C05FC8"/>
    <w:rsid w:val="00C108A8"/>
    <w:rsid w:val="00C11D03"/>
    <w:rsid w:val="00C13094"/>
    <w:rsid w:val="00C138E0"/>
    <w:rsid w:val="00C3501E"/>
    <w:rsid w:val="00C41845"/>
    <w:rsid w:val="00C84B6A"/>
    <w:rsid w:val="00C91036"/>
    <w:rsid w:val="00C943C4"/>
    <w:rsid w:val="00CA1880"/>
    <w:rsid w:val="00CA48CF"/>
    <w:rsid w:val="00CB5521"/>
    <w:rsid w:val="00CC085D"/>
    <w:rsid w:val="00CC3A67"/>
    <w:rsid w:val="00CC501A"/>
    <w:rsid w:val="00CE5093"/>
    <w:rsid w:val="00CE7C2F"/>
    <w:rsid w:val="00CF1763"/>
    <w:rsid w:val="00D032AC"/>
    <w:rsid w:val="00D05907"/>
    <w:rsid w:val="00D23B0B"/>
    <w:rsid w:val="00D23EDD"/>
    <w:rsid w:val="00D302AD"/>
    <w:rsid w:val="00D3309F"/>
    <w:rsid w:val="00D4515E"/>
    <w:rsid w:val="00D57A87"/>
    <w:rsid w:val="00D86646"/>
    <w:rsid w:val="00DA71B9"/>
    <w:rsid w:val="00DB3F59"/>
    <w:rsid w:val="00DC1F0C"/>
    <w:rsid w:val="00DC4341"/>
    <w:rsid w:val="00DC7F96"/>
    <w:rsid w:val="00DD53BA"/>
    <w:rsid w:val="00DD6E32"/>
    <w:rsid w:val="00DF1829"/>
    <w:rsid w:val="00E174A3"/>
    <w:rsid w:val="00E54757"/>
    <w:rsid w:val="00E55EEC"/>
    <w:rsid w:val="00E5717B"/>
    <w:rsid w:val="00E621C7"/>
    <w:rsid w:val="00E62C51"/>
    <w:rsid w:val="00E65D5E"/>
    <w:rsid w:val="00E67EA4"/>
    <w:rsid w:val="00E71F05"/>
    <w:rsid w:val="00E72FD7"/>
    <w:rsid w:val="00E80CF6"/>
    <w:rsid w:val="00E912CA"/>
    <w:rsid w:val="00E94A5D"/>
    <w:rsid w:val="00EB0EBC"/>
    <w:rsid w:val="00EB3895"/>
    <w:rsid w:val="00EC2B4A"/>
    <w:rsid w:val="00ED39E0"/>
    <w:rsid w:val="00EE44EE"/>
    <w:rsid w:val="00EF3A55"/>
    <w:rsid w:val="00F017CE"/>
    <w:rsid w:val="00F023D2"/>
    <w:rsid w:val="00F04FBD"/>
    <w:rsid w:val="00F067C8"/>
    <w:rsid w:val="00F077E7"/>
    <w:rsid w:val="00F13119"/>
    <w:rsid w:val="00F20476"/>
    <w:rsid w:val="00F50BF5"/>
    <w:rsid w:val="00F60534"/>
    <w:rsid w:val="00F90CD8"/>
    <w:rsid w:val="00F90FAD"/>
    <w:rsid w:val="00F92310"/>
    <w:rsid w:val="00F94805"/>
    <w:rsid w:val="00FB3993"/>
    <w:rsid w:val="00FC7B23"/>
    <w:rsid w:val="00FD078F"/>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auNormal"/>
    <w:next w:val="Grilledutableau"/>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62336"/>
    <w:rPr>
      <w:color w:val="605E5C"/>
      <w:shd w:val="clear" w:color="auto" w:fill="E1DFDD"/>
    </w:rPr>
  </w:style>
  <w:style w:type="table" w:customStyle="1" w:styleId="Grilledutableau2">
    <w:name w:val="Grille du tableau2"/>
    <w:basedOn w:val="TableauNormal"/>
    <w:next w:val="Grilledutableau"/>
    <w:uiPriority w:val="39"/>
    <w:rsid w:val="003D0A4C"/>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89F1-CDF5-A444-9CF0-E27D4FE4198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2612</Words>
  <Characters>14568</Characters>
  <Application>Microsoft Office Word</Application>
  <DocSecurity>0</DocSecurity>
  <Lines>285</Lines>
  <Paragraphs>168</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Cinquante-septième session du Conseil exécutif – UNESCO, Paris, 25-28 juin 2024 – Point 4.4 de l'ordre du jour provisoire – Rapport et recommandation de l’équipe chargée du projet d’examen de</vt:lpstr>
    </vt:vector>
  </TitlesOfParts>
  <Company>Unesco</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Cinquante-septième session du Conseil exécutif – UNESCO, Paris, 25-28 juin 2024 – Point 4.4 de l'ordre du jour provisoire – Rapport et recommandation de l’équipe chargée du projet d’examen de la gouvernance de la GEBCO (2024)</dc:title>
  <dc:subject>IOC/EC-57/4.4.Doc(1)</dc:subject>
  <dc:creator>as.machu@unesco.org</dc:creator>
  <cp:keywords>18.12F</cp:keywords>
  <dc:description/>
  <cp:lastModifiedBy>Machu, Anne-sophie</cp:lastModifiedBy>
  <cp:revision>6</cp:revision>
  <cp:lastPrinted>2012-08-02T14:52:00Z</cp:lastPrinted>
  <dcterms:created xsi:type="dcterms:W3CDTF">2024-06-18T14:08:00Z</dcterms:created>
  <dcterms:modified xsi:type="dcterms:W3CDTF">2024-06-18T14:50:00Z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202402838</vt:lpwstr>
  </property>
</Properties>
</file>