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E26B3" w14:textId="77777777" w:rsidR="00DC7D73" w:rsidRPr="005C239B" w:rsidRDefault="00DC7D73">
      <w:pPr>
        <w:rPr>
          <w:rFonts w:ascii="Arial" w:hAnsi="Arial" w:cs="Arial"/>
          <w:lang w:val="en-U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5C239B" w:rsidRPr="005C239B" w14:paraId="14CF2520" w14:textId="77777777" w:rsidTr="001B377A">
        <w:tc>
          <w:tcPr>
            <w:tcW w:w="7796" w:type="dxa"/>
            <w:shd w:val="clear" w:color="auto" w:fill="auto"/>
          </w:tcPr>
          <w:p w14:paraId="7107E218" w14:textId="29A94C6F" w:rsidR="005C239B" w:rsidRPr="005C239B" w:rsidRDefault="005C239B" w:rsidP="001B377A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Настоящий обновленный документ о принятых и предлагаемых мерах содержит информацию, необходимую для эффективного участия в обсуждении вопросов повестки дня. Указанная информация включает: (i)</w:t>
            </w:r>
            <w:r w:rsidR="00A141A8">
              <w:rPr>
                <w:rFonts w:ascii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идентификационные данные соответствующих документов; (ii)</w:t>
            </w:r>
            <w:r w:rsidR="00A141A8">
              <w:rPr>
                <w:rFonts w:ascii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сведения, приводимые по каждому пункту основной повестки дня в отношении вынесенных на рассмотрение Исполнительного совета вопросов, а также ожидаемые по ним решения или проекты резолюций, если таковые имеются по состоянию на сегодняшний день; (iii)</w:t>
            </w:r>
            <w:r w:rsidR="00A141A8">
              <w:rPr>
                <w:rFonts w:ascii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справочные документы.</w:t>
            </w:r>
          </w:p>
          <w:p w14:paraId="5679AC2D" w14:textId="77777777" w:rsidR="005C239B" w:rsidRPr="005C239B" w:rsidRDefault="005C239B" w:rsidP="001B377A">
            <w:pPr>
              <w:spacing w:after="240"/>
              <w:ind w:left="3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Данный документ о принятых и предлагаемых мерах является также основой для подготовки проекта краткого доклада сессии, в связи с чем он изложен в прошедшем времени. Резюме дискуссии по каждому пункту повестки дня будет подготовлено Секретариатом и докладчиком и включено в проект краткого доклада. В целях содействия процессу принятия решений на основе сфокусированной дискуссии настоящий документ содержит проекты решений и резолюций. </w:t>
            </w:r>
          </w:p>
        </w:tc>
      </w:tr>
    </w:tbl>
    <w:p w14:paraId="69CFE9E1" w14:textId="77777777" w:rsidR="005C239B" w:rsidRPr="00A141A8" w:rsidRDefault="005C239B" w:rsidP="005C239B">
      <w:pPr>
        <w:rPr>
          <w:rFonts w:ascii="Arial" w:hAnsi="Arial" w:cs="Arial"/>
          <w:color w:val="000000"/>
          <w:sz w:val="22"/>
          <w:szCs w:val="22"/>
        </w:rPr>
      </w:pPr>
    </w:p>
    <w:p w14:paraId="684C51D9" w14:textId="77777777" w:rsidR="005C239B" w:rsidRPr="00A141A8" w:rsidRDefault="005C239B" w:rsidP="005C239B">
      <w:pPr>
        <w:rPr>
          <w:rFonts w:ascii="Arial" w:hAnsi="Arial" w:cs="Arial"/>
          <w:color w:val="000000"/>
          <w:sz w:val="22"/>
          <w:szCs w:val="22"/>
        </w:rPr>
      </w:pPr>
    </w:p>
    <w:p w14:paraId="52ECEE5D" w14:textId="77777777" w:rsidR="005C239B" w:rsidRPr="00A141A8" w:rsidRDefault="005C239B" w:rsidP="005C239B">
      <w:pPr>
        <w:rPr>
          <w:rFonts w:ascii="Arial" w:hAnsi="Arial" w:cs="Arial"/>
          <w:color w:val="000000"/>
          <w:sz w:val="22"/>
          <w:szCs w:val="22"/>
        </w:rPr>
      </w:pPr>
    </w:p>
    <w:p w14:paraId="66813B47" w14:textId="77777777" w:rsidR="005C239B" w:rsidRPr="00A141A8" w:rsidRDefault="005C239B" w:rsidP="005C239B">
      <w:pPr>
        <w:rPr>
          <w:rFonts w:ascii="Arial" w:hAnsi="Arial" w:cs="Arial"/>
          <w:color w:val="000000"/>
          <w:sz w:val="22"/>
          <w:szCs w:val="22"/>
        </w:rPr>
      </w:pPr>
    </w:p>
    <w:p w14:paraId="06CBF64D" w14:textId="77777777" w:rsidR="005C239B" w:rsidRPr="00A141A8" w:rsidRDefault="005C239B" w:rsidP="005C239B">
      <w:pPr>
        <w:jc w:val="center"/>
        <w:rPr>
          <w:rFonts w:ascii="Arial" w:hAnsi="Arial" w:cs="Arial"/>
          <w:b/>
          <w:color w:val="000000"/>
          <w:kern w:val="28"/>
          <w:sz w:val="22"/>
          <w:szCs w:val="22"/>
        </w:rPr>
        <w:sectPr w:rsidR="005C239B" w:rsidRPr="00A141A8" w:rsidSect="002914E2">
          <w:headerReference w:type="even" r:id="rId8"/>
          <w:headerReference w:type="default" r:id="rId9"/>
          <w:pgSz w:w="11907" w:h="16840" w:code="9"/>
          <w:pgMar w:top="1418" w:right="1134" w:bottom="1134" w:left="1134" w:header="680" w:footer="680" w:gutter="0"/>
          <w:pgNumType w:start="1"/>
          <w:cols w:space="708"/>
          <w:docGrid w:linePitch="360"/>
        </w:sectPr>
      </w:pPr>
    </w:p>
    <w:p w14:paraId="59B4A3D7" w14:textId="77777777" w:rsidR="005C239B" w:rsidRPr="005C239B" w:rsidRDefault="005C239B" w:rsidP="005C239B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lastRenderedPageBreak/>
        <w:t>СОДЕРЖАНИЕ</w:t>
      </w:r>
    </w:p>
    <w:p w14:paraId="01FE4DF8" w14:textId="535F34E3" w:rsidR="005C239B" w:rsidRPr="005C239B" w:rsidRDefault="00A141A8" w:rsidP="00A141A8">
      <w:pPr>
        <w:pStyle w:val="Marge"/>
        <w:tabs>
          <w:tab w:val="left" w:pos="3179"/>
          <w:tab w:val="right" w:pos="900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</w:r>
    </w:p>
    <w:p w14:paraId="1401D4ED" w14:textId="77777777" w:rsidR="005C239B" w:rsidRPr="005C239B" w:rsidRDefault="005C239B" w:rsidP="005C239B">
      <w:pPr>
        <w:pStyle w:val="Marge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Стр.</w:t>
      </w:r>
      <w:bookmarkStart w:id="2" w:name="_Toc38080237"/>
      <w:bookmarkStart w:id="3" w:name="_Toc100506249"/>
      <w:bookmarkStart w:id="4" w:name="_Toc135143448"/>
      <w:bookmarkStart w:id="5" w:name="_Toc135143700"/>
      <w:bookmarkStart w:id="6" w:name="_Toc162671327"/>
      <w:bookmarkStart w:id="7" w:name="_Toc164651221"/>
    </w:p>
    <w:p w14:paraId="70C5409F" w14:textId="20B997BA" w:rsidR="00A141A8" w:rsidRDefault="005C239B" w:rsidP="00A05CB3">
      <w:pPr>
        <w:pStyle w:val="TOC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r w:rsidRPr="005C239B">
        <w:fldChar w:fldCharType="begin"/>
      </w:r>
      <w:r w:rsidRPr="005C239B">
        <w:instrText xml:space="preserve"> TOC \o "1-3" \h \z \u </w:instrText>
      </w:r>
      <w:r w:rsidRPr="005C239B">
        <w:fldChar w:fldCharType="separate"/>
      </w:r>
      <w:hyperlink w:anchor="_Toc166740219" w:history="1">
        <w:r w:rsidR="00A141A8" w:rsidRPr="005E0723">
          <w:rPr>
            <w:rStyle w:val="Hyperlink"/>
          </w:rPr>
          <w:t>1.</w:t>
        </w:r>
        <w:r w:rsidR="00A141A8">
          <w:rPr>
            <w:rFonts w:asciiTheme="minorHAnsi" w:eastAsiaTheme="minorEastAsia" w:hAnsiTheme="minorHAnsi" w:cstheme="minorBidi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ОТКРЫТИЕ СЕССИИ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_Toc166740219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1</w:t>
        </w:r>
        <w:r w:rsidR="00A141A8">
          <w:rPr>
            <w:webHidden/>
          </w:rPr>
          <w:fldChar w:fldCharType="end"/>
        </w:r>
      </w:hyperlink>
    </w:p>
    <w:p w14:paraId="5A4D0A5F" w14:textId="4BC7C514" w:rsidR="00A141A8" w:rsidRDefault="00795B47" w:rsidP="00A05CB3">
      <w:pPr>
        <w:pStyle w:val="TOC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hyperlink w:anchor="_Toc166740220" w:history="1">
        <w:r w:rsidR="00A141A8" w:rsidRPr="005E0723">
          <w:rPr>
            <w:rStyle w:val="Hyperlink"/>
          </w:rPr>
          <w:t>2.</w:t>
        </w:r>
        <w:r w:rsidR="00A141A8">
          <w:rPr>
            <w:rFonts w:asciiTheme="minorHAnsi" w:eastAsiaTheme="minorEastAsia" w:hAnsiTheme="minorHAnsi" w:cstheme="minorBidi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ОРГАНИЗАЦИЯ РАБОТЫ СЕССИИ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_Toc166740220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1</w:t>
        </w:r>
        <w:r w:rsidR="00A141A8">
          <w:rPr>
            <w:webHidden/>
          </w:rPr>
          <w:fldChar w:fldCharType="end"/>
        </w:r>
      </w:hyperlink>
    </w:p>
    <w:p w14:paraId="5893CD08" w14:textId="67BFB728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21" w:history="1">
        <w:r w:rsidR="00A141A8" w:rsidRPr="005E0723">
          <w:rPr>
            <w:rStyle w:val="Hyperlink"/>
          </w:rPr>
          <w:t>2.1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УТВЕРЖДЕНИЕ ПОВЕСТКИ ДНЯ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_Toc166740221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1</w:t>
        </w:r>
        <w:r w:rsidR="00A141A8">
          <w:rPr>
            <w:webHidden/>
          </w:rPr>
          <w:fldChar w:fldCharType="end"/>
        </w:r>
      </w:hyperlink>
    </w:p>
    <w:p w14:paraId="392D82AD" w14:textId="2BBBF42A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22" w:history="1">
        <w:r w:rsidR="00A141A8" w:rsidRPr="005E0723">
          <w:rPr>
            <w:rStyle w:val="Hyperlink"/>
          </w:rPr>
          <w:t>2.2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НАЗНАЧЕНИЕ ДОКЛАДЧИКА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_Toc166740222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2</w:t>
        </w:r>
        <w:r w:rsidR="00A141A8">
          <w:rPr>
            <w:webHidden/>
          </w:rPr>
          <w:fldChar w:fldCharType="end"/>
        </w:r>
      </w:hyperlink>
    </w:p>
    <w:p w14:paraId="21FAE75D" w14:textId="4FA228E7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23" w:history="1">
        <w:r w:rsidR="00A141A8" w:rsidRPr="005E0723">
          <w:rPr>
            <w:rStyle w:val="Hyperlink"/>
          </w:rPr>
          <w:t>2.3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УЧРЕЖДЕНИЕ СЕССИОННЫХ КОМИТЕТОВ И РАБОЧИХ ГРУПП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_Toc166740223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2</w:t>
        </w:r>
        <w:r w:rsidR="00A141A8">
          <w:rPr>
            <w:webHidden/>
          </w:rPr>
          <w:fldChar w:fldCharType="end"/>
        </w:r>
      </w:hyperlink>
    </w:p>
    <w:p w14:paraId="318A9D53" w14:textId="11BCEAD6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24" w:history="1">
        <w:r w:rsidR="00A141A8" w:rsidRPr="005E0723">
          <w:rPr>
            <w:rStyle w:val="Hyperlink"/>
            <w:kern w:val="28"/>
          </w:rPr>
          <w:t>2.4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ПРЕДСТАВЛЕНИЕ РАСПИСАНИЯ РАБОТЫ И ДОКУМЕНТОВ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_Toc166740224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2</w:t>
        </w:r>
        <w:r w:rsidR="00A141A8">
          <w:rPr>
            <w:webHidden/>
          </w:rPr>
          <w:fldChar w:fldCharType="end"/>
        </w:r>
      </w:hyperlink>
    </w:p>
    <w:p w14:paraId="2DC23805" w14:textId="66511A04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25" w:history="1">
        <w:r w:rsidR="00A141A8" w:rsidRPr="005E0723">
          <w:rPr>
            <w:rStyle w:val="Hyperlink"/>
          </w:rPr>
          <w:t>2.5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ЛЕКЦИЯ, ПОСВЯЩЕННАЯ ПАМЯТИ РОДЖЕРА РЕВЕЛЛА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_Toc166740225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3</w:t>
        </w:r>
        <w:r w:rsidR="00A141A8">
          <w:rPr>
            <w:webHidden/>
          </w:rPr>
          <w:fldChar w:fldCharType="end"/>
        </w:r>
      </w:hyperlink>
    </w:p>
    <w:p w14:paraId="0EEBDA82" w14:textId="2B00E327" w:rsidR="00A141A8" w:rsidRDefault="00795B47" w:rsidP="00A05CB3">
      <w:pPr>
        <w:pStyle w:val="TOC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hyperlink w:anchor="_Toc166740226" w:history="1">
        <w:r w:rsidR="00A141A8" w:rsidRPr="005E0723">
          <w:rPr>
            <w:rStyle w:val="Hyperlink"/>
          </w:rPr>
          <w:t>3.</w:t>
        </w:r>
        <w:r w:rsidR="00A141A8">
          <w:rPr>
            <w:rFonts w:asciiTheme="minorHAnsi" w:eastAsiaTheme="minorEastAsia" w:hAnsiTheme="minorHAnsi" w:cstheme="minorBidi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ДОКЛАДЫ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_Toc166740226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4</w:t>
        </w:r>
        <w:r w:rsidR="00A141A8">
          <w:rPr>
            <w:webHidden/>
          </w:rPr>
          <w:fldChar w:fldCharType="end"/>
        </w:r>
      </w:hyperlink>
    </w:p>
    <w:p w14:paraId="092A53AB" w14:textId="306E6190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27" w:history="1">
        <w:r w:rsidR="00A141A8" w:rsidRPr="005E0723">
          <w:rPr>
            <w:rStyle w:val="Hyperlink"/>
          </w:rPr>
          <w:t>3.1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 xml:space="preserve">ДОКЛАД ИСПОЛНИТЕЛЬНОГО СЕКРЕТАРЯ О РАБОТЕ, ПРОДЕЛАННОЙ </w:t>
        </w:r>
        <w:r w:rsidR="00B4660A">
          <w:rPr>
            <w:rStyle w:val="Hyperlink"/>
            <w:lang w:val="en-US"/>
          </w:rPr>
          <w:br/>
        </w:r>
        <w:r w:rsidR="00A141A8" w:rsidRPr="005E0723">
          <w:rPr>
            <w:rStyle w:val="Hyperlink"/>
          </w:rPr>
          <w:t>ПОСЛЕ 32-й СЕССИИ АССАМБЛЕИ (июль 2023 г. – май 2024 г.)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_Toc166740227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4</w:t>
        </w:r>
        <w:r w:rsidR="00A141A8">
          <w:rPr>
            <w:webHidden/>
          </w:rPr>
          <w:fldChar w:fldCharType="end"/>
        </w:r>
      </w:hyperlink>
    </w:p>
    <w:p w14:paraId="37D88191" w14:textId="1F70E62B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28" w:history="1">
        <w:r w:rsidR="00A141A8" w:rsidRPr="005E0723">
          <w:rPr>
            <w:rStyle w:val="Hyperlink"/>
          </w:rPr>
          <w:t>3.2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ДОКЛАДЫ ВСПОМОГАТЕЛЬНЫХ ОРГАНОВ МОК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_Toc166740228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6</w:t>
        </w:r>
        <w:r w:rsidR="00A141A8">
          <w:rPr>
            <w:webHidden/>
          </w:rPr>
          <w:fldChar w:fldCharType="end"/>
        </w:r>
      </w:hyperlink>
    </w:p>
    <w:p w14:paraId="07EF653B" w14:textId="40D9D840" w:rsidR="00A141A8" w:rsidRPr="00A141A8" w:rsidRDefault="00795B47">
      <w:pPr>
        <w:pStyle w:val="TOC3"/>
        <w:rPr>
          <w:rFonts w:asciiTheme="minorHAnsi" w:eastAsiaTheme="minorEastAsia" w:hAnsiTheme="minorHAnsi" w:cstheme="minorBidi"/>
          <w:b/>
          <w:bCs/>
          <w:color w:val="auto"/>
          <w:kern w:val="2"/>
          <w:lang w:eastAsia="ru-RU"/>
          <w14:ligatures w14:val="standardContextual"/>
        </w:rPr>
      </w:pPr>
      <w:hyperlink w:anchor="_Toc166740229" w:history="1">
        <w:r w:rsidR="00A141A8" w:rsidRPr="00A141A8">
          <w:rPr>
            <w:rStyle w:val="Hyperlink"/>
            <w:b/>
            <w:bCs/>
          </w:rPr>
          <w:t>3.2.1</w:t>
        </w:r>
        <w:r w:rsidR="00A141A8" w:rsidRPr="00A141A8">
          <w:rPr>
            <w:rFonts w:asciiTheme="minorHAnsi" w:eastAsiaTheme="minorEastAsia" w:hAnsiTheme="minorHAnsi" w:cstheme="minorBidi"/>
            <w:b/>
            <w:bCs/>
            <w:color w:val="auto"/>
            <w:kern w:val="2"/>
            <w:lang w:eastAsia="ru-RU"/>
            <w14:ligatures w14:val="standardContextual"/>
          </w:rPr>
          <w:tab/>
        </w:r>
        <w:r w:rsidR="00A141A8" w:rsidRPr="00A141A8">
          <w:rPr>
            <w:rStyle w:val="Hyperlink"/>
            <w:b/>
            <w:bCs/>
          </w:rPr>
          <w:t>Системы предупреждения об опасных океанических явлениях и смягчения их последствий</w:t>
        </w:r>
        <w:r w:rsidR="00A141A8" w:rsidRPr="00A141A8">
          <w:rPr>
            <w:b/>
            <w:bCs/>
            <w:webHidden/>
          </w:rPr>
          <w:tab/>
        </w:r>
        <w:r w:rsidR="00A141A8" w:rsidRPr="00A141A8">
          <w:rPr>
            <w:b/>
            <w:bCs/>
            <w:webHidden/>
          </w:rPr>
          <w:fldChar w:fldCharType="begin"/>
        </w:r>
        <w:r w:rsidR="00A141A8" w:rsidRPr="00A141A8">
          <w:rPr>
            <w:b/>
            <w:bCs/>
            <w:webHidden/>
          </w:rPr>
          <w:instrText xml:space="preserve"> PAGEREF _Toc166740229 \h </w:instrText>
        </w:r>
        <w:r w:rsidR="00A141A8" w:rsidRPr="00A141A8">
          <w:rPr>
            <w:b/>
            <w:bCs/>
            <w:webHidden/>
          </w:rPr>
        </w:r>
        <w:r w:rsidR="00A141A8" w:rsidRPr="00A141A8">
          <w:rPr>
            <w:b/>
            <w:bCs/>
            <w:webHidden/>
          </w:rPr>
          <w:fldChar w:fldCharType="separate"/>
        </w:r>
        <w:r w:rsidR="002B415A">
          <w:rPr>
            <w:b/>
            <w:bCs/>
            <w:webHidden/>
          </w:rPr>
          <w:t>6</w:t>
        </w:r>
        <w:r w:rsidR="00A141A8" w:rsidRPr="00A141A8">
          <w:rPr>
            <w:b/>
            <w:bCs/>
            <w:webHidden/>
          </w:rPr>
          <w:fldChar w:fldCharType="end"/>
        </w:r>
      </w:hyperlink>
    </w:p>
    <w:p w14:paraId="060B3BD7" w14:textId="0B84BB38" w:rsidR="00A141A8" w:rsidRDefault="00795B47">
      <w:pPr>
        <w:pStyle w:val="TOC3"/>
        <w:rPr>
          <w:rFonts w:asciiTheme="minorHAnsi" w:eastAsiaTheme="minorEastAsia" w:hAnsiTheme="minorHAnsi" w:cstheme="minorBidi"/>
          <w:color w:val="auto"/>
          <w:kern w:val="2"/>
          <w:lang w:eastAsia="ru-RU"/>
          <w14:ligatures w14:val="standardContextual"/>
        </w:rPr>
      </w:pPr>
      <w:hyperlink w:anchor="_Toc166740230" w:history="1">
        <w:r w:rsidR="00A141A8" w:rsidRPr="005E0723">
          <w:rPr>
            <w:rStyle w:val="Hyperlink"/>
            <w:i/>
            <w:iCs/>
          </w:rPr>
          <w:t>3.2.1.1</w:t>
        </w:r>
        <w:r w:rsidR="00A141A8">
          <w:rPr>
            <w:rFonts w:asciiTheme="minorHAnsi" w:eastAsiaTheme="minorEastAsia" w:hAnsiTheme="minorHAnsi" w:cstheme="minorBidi"/>
            <w:color w:val="auto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  <w:i/>
            <w:iCs/>
          </w:rPr>
          <w:t>Региональные службы раннего предупреждения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_Toc166740230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6</w:t>
        </w:r>
        <w:r w:rsidR="00A141A8">
          <w:rPr>
            <w:webHidden/>
          </w:rPr>
          <w:fldChar w:fldCharType="end"/>
        </w:r>
      </w:hyperlink>
    </w:p>
    <w:p w14:paraId="78034B71" w14:textId="10BFC6D0" w:rsidR="00A141A8" w:rsidRDefault="00795B47">
      <w:pPr>
        <w:pStyle w:val="TOC3"/>
        <w:rPr>
          <w:rFonts w:asciiTheme="minorHAnsi" w:eastAsiaTheme="minorEastAsia" w:hAnsiTheme="minorHAnsi" w:cstheme="minorBidi"/>
          <w:color w:val="auto"/>
          <w:kern w:val="2"/>
          <w:lang w:eastAsia="ru-RU"/>
          <w14:ligatures w14:val="standardContextual"/>
        </w:rPr>
      </w:pPr>
      <w:hyperlink w:anchor="_Toc166740231" w:history="1">
        <w:r w:rsidR="00A141A8" w:rsidRPr="005E0723">
          <w:rPr>
            <w:rStyle w:val="Hyperlink"/>
            <w:i/>
            <w:iCs/>
          </w:rPr>
          <w:t>3.2.1.2</w:t>
        </w:r>
        <w:r w:rsidR="00A141A8">
          <w:rPr>
            <w:rFonts w:asciiTheme="minorHAnsi" w:eastAsiaTheme="minorEastAsia" w:hAnsiTheme="minorHAnsi" w:cstheme="minorBidi"/>
            <w:color w:val="auto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  <w:i/>
            <w:iCs/>
          </w:rPr>
          <w:t xml:space="preserve">Глобальная координация систем предупреждения об опасных </w:t>
        </w:r>
        <w:r w:rsidR="00B4660A">
          <w:rPr>
            <w:rStyle w:val="Hyperlink"/>
            <w:i/>
            <w:iCs/>
            <w:lang w:val="en-US"/>
          </w:rPr>
          <w:br/>
        </w:r>
        <w:r w:rsidR="00A141A8" w:rsidRPr="005E0723">
          <w:rPr>
            <w:rStyle w:val="Hyperlink"/>
            <w:i/>
            <w:iCs/>
          </w:rPr>
          <w:t>океанических явлениях и смягчения их последствий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_Toc166740231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7</w:t>
        </w:r>
        <w:r w:rsidR="00A141A8">
          <w:rPr>
            <w:webHidden/>
          </w:rPr>
          <w:fldChar w:fldCharType="end"/>
        </w:r>
      </w:hyperlink>
    </w:p>
    <w:p w14:paraId="317231ED" w14:textId="6DCA33BA" w:rsidR="00A141A8" w:rsidRDefault="00795B47" w:rsidP="00A05CB3">
      <w:pPr>
        <w:pStyle w:val="TOC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hyperlink w:anchor="_Toc166740232" w:history="1">
        <w:r w:rsidR="00A141A8" w:rsidRPr="005E0723">
          <w:rPr>
            <w:rStyle w:val="Hyperlink"/>
          </w:rPr>
          <w:t>4.</w:t>
        </w:r>
        <w:r w:rsidR="00A141A8">
          <w:rPr>
            <w:rFonts w:asciiTheme="minorHAnsi" w:eastAsiaTheme="minorEastAsia" w:hAnsiTheme="minorHAnsi" w:cstheme="minorBidi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ВОПРОСЫ ПРОГРАММЫ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_Toc166740232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15</w:t>
        </w:r>
        <w:r w:rsidR="00A141A8">
          <w:rPr>
            <w:webHidden/>
          </w:rPr>
          <w:fldChar w:fldCharType="end"/>
        </w:r>
      </w:hyperlink>
    </w:p>
    <w:p w14:paraId="04F21EF4" w14:textId="161235A2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33" w:history="1">
        <w:r w:rsidR="00A141A8" w:rsidRPr="005E0723">
          <w:rPr>
            <w:rStyle w:val="Hyperlink"/>
          </w:rPr>
          <w:t>4.1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УПРАВЛЕНИЕ ГЛОБАЛЬНОЙ СИСТЕМОЙ НАБЛЮДЕНИЙ ЗА ОКЕАНОМ (ГСНО)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_Toc166740233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15</w:t>
        </w:r>
        <w:r w:rsidR="00A141A8">
          <w:rPr>
            <w:webHidden/>
          </w:rPr>
          <w:fldChar w:fldCharType="end"/>
        </w:r>
      </w:hyperlink>
    </w:p>
    <w:p w14:paraId="579A1F8D" w14:textId="6577617E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34" w:history="1">
        <w:r w:rsidR="00A141A8" w:rsidRPr="005E0723">
          <w:rPr>
            <w:rStyle w:val="Hyperlink"/>
          </w:rPr>
          <w:t>4.2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ДОКЛАД О ХОДЕ РАБОТЫ ПО НАБЛЮДЕНИЯМ ЗА ОКЕАНОМ В РАЙОНАХ, НАХОДЯЩИХСЯ ПОД НАЦИОНАЛЬНОЙ ЮРИСДИКЦИЕЙ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_Toc166740234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17</w:t>
        </w:r>
        <w:r w:rsidR="00A141A8">
          <w:rPr>
            <w:webHidden/>
          </w:rPr>
          <w:fldChar w:fldCharType="end"/>
        </w:r>
      </w:hyperlink>
    </w:p>
    <w:p w14:paraId="4EB944CE" w14:textId="7CB852FF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35" w:history="1">
        <w:r w:rsidR="00A141A8" w:rsidRPr="00A141A8">
          <w:rPr>
            <w:rStyle w:val="Hyperlink"/>
          </w:rPr>
          <w:t>4.3</w:t>
        </w:r>
        <w:r w:rsidR="00A141A8" w:rsidRP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A141A8">
          <w:rPr>
            <w:rStyle w:val="Hyperlink"/>
          </w:rPr>
          <w:t xml:space="preserve">ПРОЕКТ СТРАТЕГИИ РАЦИОНАЛЬНОГО ПЛАНИРОВАНИЯ И УПРАВЛЕНИЯ </w:t>
        </w:r>
        <w:r w:rsidR="00B617FF">
          <w:rPr>
            <w:rStyle w:val="Hyperlink"/>
          </w:rPr>
          <w:t>В СФЕРЕ МОРЕПОЛЬЗОВАНИЯ</w:t>
        </w:r>
        <w:r w:rsidR="00A141A8" w:rsidRPr="00A141A8">
          <w:rPr>
            <w:webHidden/>
          </w:rPr>
          <w:tab/>
        </w:r>
        <w:r w:rsidR="00A141A8" w:rsidRPr="00A141A8">
          <w:rPr>
            <w:webHidden/>
          </w:rPr>
          <w:fldChar w:fldCharType="begin"/>
        </w:r>
        <w:r w:rsidR="00A141A8" w:rsidRPr="00A141A8">
          <w:rPr>
            <w:webHidden/>
          </w:rPr>
          <w:instrText xml:space="preserve"> PAGEREF _Toc166740235 \h </w:instrText>
        </w:r>
        <w:r w:rsidR="00A141A8" w:rsidRPr="00A141A8">
          <w:rPr>
            <w:webHidden/>
          </w:rPr>
        </w:r>
        <w:r w:rsidR="00A141A8" w:rsidRPr="00A141A8">
          <w:rPr>
            <w:webHidden/>
          </w:rPr>
          <w:fldChar w:fldCharType="separate"/>
        </w:r>
        <w:r w:rsidR="002B415A">
          <w:rPr>
            <w:webHidden/>
          </w:rPr>
          <w:t>18</w:t>
        </w:r>
        <w:r w:rsidR="00A141A8" w:rsidRPr="00A141A8">
          <w:rPr>
            <w:webHidden/>
          </w:rPr>
          <w:fldChar w:fldCharType="end"/>
        </w:r>
      </w:hyperlink>
    </w:p>
    <w:p w14:paraId="349171D9" w14:textId="56116277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36" w:history="1">
        <w:r w:rsidR="00A141A8" w:rsidRPr="005E0723">
          <w:rPr>
            <w:rStyle w:val="Hyperlink"/>
          </w:rPr>
          <w:t>4.4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ОБЗОР МЕХАНИЗМОВ УПРАВЛЕНИЯ ГЕБКО (2023 г.) И ТРЕХГОДИЧНЫЙ ОБЗОР ПОТРЕБНОСТЕЙ ПОЛЬЗОВАТЕЛЕЙ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_Toc166740236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21</w:t>
        </w:r>
        <w:r w:rsidR="00A141A8">
          <w:rPr>
            <w:webHidden/>
          </w:rPr>
          <w:fldChar w:fldCharType="end"/>
        </w:r>
      </w:hyperlink>
    </w:p>
    <w:p w14:paraId="4AC95198" w14:textId="085531EA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37" w:history="1">
        <w:r w:rsidR="00A141A8" w:rsidRPr="005E0723">
          <w:rPr>
            <w:rStyle w:val="Hyperlink"/>
          </w:rPr>
          <w:t>4.5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ОТЧЕТ РЕДАКЦИОННОГО СОВЕТА О ПОДГОТОВКЕ ВТОРОГО ДОКЛАДА МОК О СОСТОЯНИИ МИРОВОГО ОКЕАНА (ДСМО)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_Toc166740237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23</w:t>
        </w:r>
        <w:r w:rsidR="00A141A8">
          <w:rPr>
            <w:webHidden/>
          </w:rPr>
          <w:fldChar w:fldCharType="end"/>
        </w:r>
      </w:hyperlink>
    </w:p>
    <w:p w14:paraId="284C242A" w14:textId="7A94A87A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38" w:history="1">
        <w:r w:rsidR="00A141A8" w:rsidRPr="005E0723">
          <w:rPr>
            <w:rStyle w:val="Hyperlink"/>
          </w:rPr>
          <w:t>4.6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ОСУЩЕСТВЛЕНИЕ СТРАТЕГИИ МОК В ОБЛАСТИ РАЗВИТИЯ ПОТЕНЦИАЛА НА 2023-2030 гг.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_Toc166740238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24</w:t>
        </w:r>
        <w:r w:rsidR="00A141A8">
          <w:rPr>
            <w:webHidden/>
          </w:rPr>
          <w:fldChar w:fldCharType="end"/>
        </w:r>
      </w:hyperlink>
    </w:p>
    <w:p w14:paraId="0C1420F9" w14:textId="4380AA9E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39" w:history="1">
        <w:r w:rsidR="00A141A8" w:rsidRPr="005E0723">
          <w:rPr>
            <w:rStyle w:val="Hyperlink"/>
          </w:rPr>
          <w:t>4.7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ДОКЛАД О ПРОВЕДЕНИИ ДЕСЯТИЛЕТИЯ ОРГАНИЗАЦИИ ОБЪЕДИНЕННЫХ НАЦИЙ, ПОСВЯЩЕННОГО НАУКЕ ОБ ОКЕАНЕ В ИНТЕРЕСАХ УСТОЙЧИВОГО РАЗВИТИЯ (2021-2030 гг.)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_Toc166740239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27</w:t>
        </w:r>
        <w:r w:rsidR="00A141A8">
          <w:rPr>
            <w:webHidden/>
          </w:rPr>
          <w:fldChar w:fldCharType="end"/>
        </w:r>
      </w:hyperlink>
    </w:p>
    <w:p w14:paraId="7B41AF65" w14:textId="2EEE81F1" w:rsidR="00A141A8" w:rsidRDefault="00795B47" w:rsidP="00A05CB3">
      <w:pPr>
        <w:pStyle w:val="TOC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hyperlink w:anchor="_Toc166740240" w:history="1">
        <w:r w:rsidR="00A141A8" w:rsidRPr="005E0723">
          <w:rPr>
            <w:rStyle w:val="Hyperlink"/>
          </w:rPr>
          <w:t>5.</w:t>
        </w:r>
        <w:r w:rsidR="00A141A8">
          <w:rPr>
            <w:rFonts w:asciiTheme="minorHAnsi" w:eastAsiaTheme="minorEastAsia" w:hAnsiTheme="minorHAnsi" w:cstheme="minorBidi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УПРАВЛЕНИЕ И ПОДГОТОВКА ПРОГРАММЫ И БЮДЖЕТА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_Toc166740240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30</w:t>
        </w:r>
        <w:r w:rsidR="00A141A8">
          <w:rPr>
            <w:webHidden/>
          </w:rPr>
          <w:fldChar w:fldCharType="end"/>
        </w:r>
      </w:hyperlink>
    </w:p>
    <w:p w14:paraId="21F2A5B6" w14:textId="382B7481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41" w:history="1">
        <w:r w:rsidR="00A141A8" w:rsidRPr="005E0723">
          <w:rPr>
            <w:rStyle w:val="Hyperlink"/>
          </w:rPr>
          <w:t>5.1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ПЕРЕСМОТРЕННЫЕ ПРОГРАММА И БЮДЖЕТ НА 2024-2025 гг. (42 С/5) И ПРЕДВАРИТЕЛЬНЫЕ ПРЕДЛОЖЕНИЯ НА 2026-2027 гг. (ПРОЕКТ 43 С/5)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_Toc166740241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30</w:t>
        </w:r>
        <w:r w:rsidR="00A141A8">
          <w:rPr>
            <w:webHidden/>
          </w:rPr>
          <w:fldChar w:fldCharType="end"/>
        </w:r>
      </w:hyperlink>
    </w:p>
    <w:p w14:paraId="74CBFFDF" w14:textId="15E486A6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42" w:history="1">
        <w:r w:rsidR="00A141A8" w:rsidRPr="005E0723">
          <w:rPr>
            <w:rStyle w:val="Hyperlink"/>
          </w:rPr>
          <w:t>5.2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 xml:space="preserve">ПЛАН ДЕЙСТВИЙ В СВЯЗИ С ПРОВЕДЕННОЙ IOS ОЦЕНКОЙ </w:t>
        </w:r>
        <w:r w:rsidR="00B4660A">
          <w:rPr>
            <w:rStyle w:val="Hyperlink"/>
            <w:lang w:val="en-US"/>
          </w:rPr>
          <w:br/>
        </w:r>
        <w:r w:rsidR="00A141A8" w:rsidRPr="005E0723">
          <w:rPr>
            <w:rStyle w:val="Hyperlink"/>
          </w:rPr>
          <w:t>СТРАТЕГИЧЕСКОГО ПОЗИЦИОНИРОВАНИЯ МОК – ОБНОВЛЕННАЯ ИНФОРМАЦИЯ ОБ ОСУЩЕСТВЛЕНИИ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_Toc166740242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33</w:t>
        </w:r>
        <w:r w:rsidR="00A141A8">
          <w:rPr>
            <w:webHidden/>
          </w:rPr>
          <w:fldChar w:fldCharType="end"/>
        </w:r>
      </w:hyperlink>
    </w:p>
    <w:p w14:paraId="5123F629" w14:textId="61723A5E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43" w:history="1">
        <w:r w:rsidR="00A141A8" w:rsidRPr="005E0723">
          <w:rPr>
            <w:rStyle w:val="Hyperlink"/>
          </w:rPr>
          <w:t>5.3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ВЫПОЛНЕНИЕ РЕЗОЛЮЦИИ A-32/4 ПО ВОПРОСАМ УПРАВЛЕНИЯ И ПОДГОТОВКИ ПРОГРАММЫ И БЮДЖЕТА КОМИССИИ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_Toc166740243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34</w:t>
        </w:r>
        <w:r w:rsidR="00A141A8">
          <w:rPr>
            <w:webHidden/>
          </w:rPr>
          <w:fldChar w:fldCharType="end"/>
        </w:r>
      </w:hyperlink>
    </w:p>
    <w:p w14:paraId="6BA76F50" w14:textId="67E59594" w:rsidR="00A141A8" w:rsidRDefault="00795B47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lang w:eastAsia="ru-RU"/>
          <w14:ligatures w14:val="standardContextual"/>
        </w:rPr>
      </w:pPr>
      <w:hyperlink w:anchor="_Toc166740244" w:history="1">
        <w:r w:rsidR="00A141A8" w:rsidRPr="005E0723">
          <w:rPr>
            <w:rStyle w:val="Hyperlink"/>
          </w:rPr>
          <w:t>5.4</w:t>
        </w:r>
        <w:r w:rsidR="00A141A8">
          <w:rPr>
            <w:rFonts w:asciiTheme="minorHAnsi" w:eastAsiaTheme="minorEastAsia" w:hAnsiTheme="minorHAnsi" w:cstheme="minorBidi"/>
            <w:bCs w:val="0"/>
            <w:iCs w:val="0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ДОКЛАД ПРЕДСЕДАТЕЛЯ КОМИТЕТА ПО ФИНАНСОВЫМ ВОПРОСАМ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_Toc166740244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35</w:t>
        </w:r>
        <w:r w:rsidR="00A141A8">
          <w:rPr>
            <w:webHidden/>
          </w:rPr>
          <w:fldChar w:fldCharType="end"/>
        </w:r>
      </w:hyperlink>
    </w:p>
    <w:p w14:paraId="116649E6" w14:textId="3AD7C8C4" w:rsidR="00A141A8" w:rsidRDefault="00795B47" w:rsidP="00A05CB3">
      <w:pPr>
        <w:pStyle w:val="TOC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hyperlink w:anchor="_Toc166740245" w:history="1">
        <w:r w:rsidR="00A141A8" w:rsidRPr="005E0723">
          <w:rPr>
            <w:rStyle w:val="Hyperlink"/>
          </w:rPr>
          <w:t>6.</w:t>
        </w:r>
        <w:r w:rsidR="00A141A8">
          <w:rPr>
            <w:rFonts w:asciiTheme="minorHAnsi" w:eastAsiaTheme="minorEastAsia" w:hAnsiTheme="minorHAnsi" w:cstheme="minorBidi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ПОДГОТОВКА СЛЕДУЮЩИХ СЕССИЙ АССАМБЛЕИ И ИСПОЛНИТЕЛЬНОГО СОВЕТА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_Toc166740245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35</w:t>
        </w:r>
        <w:r w:rsidR="00A141A8">
          <w:rPr>
            <w:webHidden/>
          </w:rPr>
          <w:fldChar w:fldCharType="end"/>
        </w:r>
      </w:hyperlink>
    </w:p>
    <w:p w14:paraId="1C2DBD85" w14:textId="0D6BD4B0" w:rsidR="00A141A8" w:rsidRDefault="00795B47" w:rsidP="00A05CB3">
      <w:pPr>
        <w:pStyle w:val="TOC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hyperlink w:anchor="_Toc166740246" w:history="1">
        <w:r w:rsidR="00A141A8" w:rsidRPr="005E0723">
          <w:rPr>
            <w:rStyle w:val="Hyperlink"/>
          </w:rPr>
          <w:t>7.</w:t>
        </w:r>
        <w:r w:rsidR="00A141A8">
          <w:rPr>
            <w:rFonts w:asciiTheme="minorHAnsi" w:eastAsiaTheme="minorEastAsia" w:hAnsiTheme="minorHAnsi" w:cstheme="minorBidi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 xml:space="preserve">ПРИНЯТИЕ РЕЗОЛЮЦИЙ И ПОРЯДОК ЗАВЕРШЕНИЯ РАБОТЫ </w:t>
        </w:r>
        <w:r w:rsidR="00B4660A">
          <w:rPr>
            <w:rStyle w:val="Hyperlink"/>
            <w:lang w:val="en-US"/>
          </w:rPr>
          <w:br/>
        </w:r>
        <w:r w:rsidR="00A141A8" w:rsidRPr="005E0723">
          <w:rPr>
            <w:rStyle w:val="Hyperlink"/>
          </w:rPr>
          <w:t>НАД ДОКЛАДОМ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_Toc166740246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36</w:t>
        </w:r>
        <w:r w:rsidR="00A141A8">
          <w:rPr>
            <w:webHidden/>
          </w:rPr>
          <w:fldChar w:fldCharType="end"/>
        </w:r>
      </w:hyperlink>
    </w:p>
    <w:p w14:paraId="21CC5D4D" w14:textId="7B53649D" w:rsidR="00A141A8" w:rsidRDefault="00795B47" w:rsidP="00A05CB3">
      <w:pPr>
        <w:pStyle w:val="TOC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hyperlink w:anchor="_Toc166740247" w:history="1">
        <w:r w:rsidR="00A141A8" w:rsidRPr="005E0723">
          <w:rPr>
            <w:rStyle w:val="Hyperlink"/>
          </w:rPr>
          <w:t>8.</w:t>
        </w:r>
        <w:r w:rsidR="00A141A8">
          <w:rPr>
            <w:rFonts w:asciiTheme="minorHAnsi" w:eastAsiaTheme="minorEastAsia" w:hAnsiTheme="minorHAnsi" w:cstheme="minorBidi"/>
            <w:kern w:val="2"/>
            <w:lang w:eastAsia="ru-RU"/>
            <w14:ligatures w14:val="standardContextual"/>
          </w:rPr>
          <w:tab/>
        </w:r>
        <w:r w:rsidR="00A141A8" w:rsidRPr="005E0723">
          <w:rPr>
            <w:rStyle w:val="Hyperlink"/>
          </w:rPr>
          <w:t>ЗАКРЫТИЕ СЕССИИ</w:t>
        </w:r>
        <w:r w:rsidR="00A141A8">
          <w:rPr>
            <w:webHidden/>
          </w:rPr>
          <w:tab/>
        </w:r>
        <w:r w:rsidR="00A141A8">
          <w:rPr>
            <w:webHidden/>
          </w:rPr>
          <w:fldChar w:fldCharType="begin"/>
        </w:r>
        <w:r w:rsidR="00A141A8">
          <w:rPr>
            <w:webHidden/>
          </w:rPr>
          <w:instrText xml:space="preserve"> PAGEREF _Toc166740247 \h </w:instrText>
        </w:r>
        <w:r w:rsidR="00A141A8">
          <w:rPr>
            <w:webHidden/>
          </w:rPr>
        </w:r>
        <w:r w:rsidR="00A141A8">
          <w:rPr>
            <w:webHidden/>
          </w:rPr>
          <w:fldChar w:fldCharType="separate"/>
        </w:r>
        <w:r w:rsidR="002B415A">
          <w:rPr>
            <w:webHidden/>
          </w:rPr>
          <w:t>37</w:t>
        </w:r>
        <w:r w:rsidR="00A141A8">
          <w:rPr>
            <w:webHidden/>
          </w:rPr>
          <w:fldChar w:fldCharType="end"/>
        </w:r>
      </w:hyperlink>
    </w:p>
    <w:p w14:paraId="077FCC91" w14:textId="38241F7A" w:rsidR="005C239B" w:rsidRPr="005C239B" w:rsidRDefault="005C239B" w:rsidP="005C239B">
      <w:pPr>
        <w:rPr>
          <w:rFonts w:ascii="Arial" w:hAnsi="Arial" w:cs="Arial"/>
          <w:sz w:val="22"/>
          <w:szCs w:val="22"/>
        </w:rPr>
      </w:pPr>
      <w:r w:rsidRPr="005C239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CD77CBD" w14:textId="77777777" w:rsidR="005C239B" w:rsidRPr="005C239B" w:rsidRDefault="005C239B" w:rsidP="005C239B">
      <w:pPr>
        <w:rPr>
          <w:rFonts w:ascii="Arial" w:hAnsi="Arial" w:cs="Arial"/>
          <w:sz w:val="22"/>
          <w:szCs w:val="22"/>
          <w:lang w:val="en-GB"/>
        </w:rPr>
      </w:pPr>
    </w:p>
    <w:p w14:paraId="01D942FE" w14:textId="77777777" w:rsidR="005C239B" w:rsidRPr="005C239B" w:rsidRDefault="005C239B" w:rsidP="005C239B">
      <w:pPr>
        <w:tabs>
          <w:tab w:val="right" w:leader="dot" w:pos="9351"/>
        </w:tabs>
        <w:spacing w:after="240"/>
        <w:rPr>
          <w:rFonts w:ascii="Arial" w:hAnsi="Arial" w:cs="Arial"/>
          <w:sz w:val="22"/>
          <w:szCs w:val="22"/>
          <w:lang w:val="en-GB"/>
        </w:rPr>
      </w:pPr>
    </w:p>
    <w:p w14:paraId="06EBC612" w14:textId="77777777" w:rsidR="005C239B" w:rsidRPr="005C239B" w:rsidRDefault="005C239B" w:rsidP="005C239B">
      <w:pPr>
        <w:pStyle w:val="Heading2"/>
        <w:spacing w:before="120"/>
        <w:ind w:left="720" w:hanging="720"/>
        <w:rPr>
          <w:rFonts w:cs="Arial"/>
          <w:color w:val="000000"/>
          <w:szCs w:val="22"/>
        </w:rPr>
        <w:sectPr w:rsidR="005C239B" w:rsidRPr="005C239B" w:rsidSect="00B129D7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1418" w:right="1134" w:bottom="1389" w:left="1134" w:header="851" w:footer="737" w:gutter="0"/>
          <w:pgNumType w:fmt="lowerRoman" w:start="1"/>
          <w:cols w:space="708"/>
          <w:titlePg/>
          <w:docGrid w:linePitch="360"/>
        </w:sectPr>
      </w:pPr>
      <w:bookmarkStart w:id="8" w:name="_Toc196145691"/>
      <w:bookmarkStart w:id="9" w:name="_Toc199912183"/>
      <w:bookmarkStart w:id="10" w:name="_Toc225590790"/>
      <w:bookmarkStart w:id="11" w:name="_Toc225660251"/>
      <w:bookmarkStart w:id="12" w:name="_Toc227580615"/>
      <w:bookmarkStart w:id="13" w:name="_Toc289696419"/>
      <w:bookmarkStart w:id="14" w:name="_Toc357517544"/>
      <w:bookmarkStart w:id="15" w:name="_Toc358657257"/>
    </w:p>
    <w:p w14:paraId="1E1A5212" w14:textId="77777777" w:rsidR="005C239B" w:rsidRPr="005C239B" w:rsidRDefault="005C239B" w:rsidP="005C239B">
      <w:pPr>
        <w:pStyle w:val="Heading1"/>
        <w:numPr>
          <w:ilvl w:val="0"/>
          <w:numId w:val="9"/>
        </w:numPr>
        <w:tabs>
          <w:tab w:val="left" w:pos="709"/>
        </w:tabs>
        <w:spacing w:before="360"/>
        <w:ind w:left="709" w:hanging="720"/>
        <w:rPr>
          <w:rFonts w:cs="Arial"/>
          <w:szCs w:val="22"/>
        </w:rPr>
      </w:pPr>
      <w:bookmarkStart w:id="16" w:name="_Toc415051548"/>
      <w:bookmarkStart w:id="17" w:name="_Toc445908043"/>
      <w:bookmarkStart w:id="18" w:name="_Toc57369044"/>
      <w:bookmarkStart w:id="19" w:name="_Toc85469052"/>
      <w:bookmarkStart w:id="20" w:name="_Toc92752482"/>
      <w:bookmarkStart w:id="21" w:name="_Toc166740219"/>
      <w:r>
        <w:lastRenderedPageBreak/>
        <w:t>ОТКРЫТИЕ СЕССИИ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2CB497A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Председатель МОК д-р </w:t>
      </w:r>
      <w:proofErr w:type="spellStart"/>
      <w:r>
        <w:t>Ютака</w:t>
      </w:r>
      <w:proofErr w:type="spellEnd"/>
      <w:r>
        <w:t xml:space="preserve"> </w:t>
      </w:r>
      <w:proofErr w:type="spellStart"/>
      <w:r>
        <w:t>Мичида</w:t>
      </w:r>
      <w:proofErr w:type="spellEnd"/>
      <w:r>
        <w:t xml:space="preserve"> открыл 57-ю сессию Исполнительного совета МОК в 10.00 в зале XI Штаб-квартиры ЮНЕСКО. Перед приветственным обращением и отчетом о своей работе и работе, проделанной другими членами Президиума в период после 32-й сессии Ассамблеи, Председатель МОК от имени государств-членов обратился с кратким приветственным словом к д-ру </w:t>
      </w:r>
      <w:proofErr w:type="spellStart"/>
      <w:r>
        <w:t>Видару</w:t>
      </w:r>
      <w:proofErr w:type="spellEnd"/>
      <w:r>
        <w:t xml:space="preserve"> </w:t>
      </w:r>
      <w:proofErr w:type="spellStart"/>
      <w:r>
        <w:t>Хельгесену</w:t>
      </w:r>
      <w:proofErr w:type="spellEnd"/>
      <w:r>
        <w:t>, новому Исполнительному секретарю МОК, вступившему в эту должность 1 марта текущего года.</w:t>
      </w:r>
    </w:p>
    <w:p w14:paraId="7BCED32D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Д-р </w:t>
      </w:r>
      <w:proofErr w:type="spellStart"/>
      <w:r>
        <w:t>Мичида</w:t>
      </w:r>
      <w:proofErr w:type="spellEnd"/>
      <w:r>
        <w:t xml:space="preserve"> предложил Исполнительному совету воздать должное памяти выдающихся личностей, участвовавших ранее в работе Комиссии и недавно ушедших из жизни. Участвующие почтили минутой молчания память Раймонда Мохаммеда (Фиджи, 1978-2013). </w:t>
      </w:r>
    </w:p>
    <w:p w14:paraId="488865B3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33B263B6" w14:textId="77777777" w:rsidR="005C239B" w:rsidRPr="005C239B" w:rsidRDefault="005C239B" w:rsidP="005C239B">
      <w:pPr>
        <w:pStyle w:val="Heading1"/>
        <w:numPr>
          <w:ilvl w:val="0"/>
          <w:numId w:val="9"/>
        </w:numPr>
        <w:tabs>
          <w:tab w:val="left" w:pos="709"/>
        </w:tabs>
        <w:spacing w:before="360"/>
        <w:ind w:left="709" w:hanging="720"/>
        <w:rPr>
          <w:rFonts w:cs="Arial"/>
          <w:szCs w:val="22"/>
        </w:rPr>
      </w:pPr>
      <w:bookmarkStart w:id="22" w:name="_Toc38080238"/>
      <w:bookmarkStart w:id="23" w:name="_Toc100506250"/>
      <w:bookmarkStart w:id="24" w:name="_Toc135143449"/>
      <w:bookmarkStart w:id="25" w:name="_Toc135143701"/>
      <w:bookmarkStart w:id="26" w:name="_Toc162671328"/>
      <w:bookmarkStart w:id="27" w:name="_Toc164651222"/>
      <w:bookmarkStart w:id="28" w:name="_Toc196145692"/>
      <w:bookmarkStart w:id="29" w:name="_Toc199912184"/>
      <w:bookmarkStart w:id="30" w:name="_Toc225590791"/>
      <w:bookmarkStart w:id="31" w:name="_Toc225660252"/>
      <w:bookmarkStart w:id="32" w:name="_Toc227580616"/>
      <w:bookmarkStart w:id="33" w:name="_Toc289696420"/>
      <w:bookmarkStart w:id="34" w:name="_Toc357517545"/>
      <w:bookmarkStart w:id="35" w:name="_Toc358657258"/>
      <w:bookmarkStart w:id="36" w:name="_Toc415051549"/>
      <w:bookmarkStart w:id="37" w:name="_Toc445908044"/>
      <w:bookmarkStart w:id="38" w:name="_Toc57369045"/>
      <w:bookmarkStart w:id="39" w:name="_Toc85469053"/>
      <w:bookmarkStart w:id="40" w:name="_Toc92752483"/>
      <w:bookmarkStart w:id="41" w:name="_Toc166740220"/>
      <w:r>
        <w:t>ОРГАНИЗАЦИЯ РАБОТЫ СЕССИИ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5DA8153B" w14:textId="38BE069F" w:rsidR="005C239B" w:rsidRPr="005C239B" w:rsidRDefault="005C239B" w:rsidP="005C239B">
      <w:pPr>
        <w:pStyle w:val="Heading2"/>
        <w:numPr>
          <w:ilvl w:val="1"/>
          <w:numId w:val="12"/>
        </w:numPr>
        <w:tabs>
          <w:tab w:val="left" w:pos="709"/>
        </w:tabs>
        <w:ind w:left="709" w:hanging="709"/>
        <w:rPr>
          <w:rFonts w:cs="Arial"/>
          <w:b/>
          <w:caps w:val="0"/>
          <w:szCs w:val="22"/>
        </w:rPr>
      </w:pPr>
      <w:bookmarkStart w:id="42" w:name="_Toc38080239"/>
      <w:bookmarkStart w:id="43" w:name="_Toc289696421"/>
      <w:bookmarkStart w:id="44" w:name="_Toc357517546"/>
      <w:bookmarkStart w:id="45" w:name="_Toc358657259"/>
      <w:bookmarkStart w:id="46" w:name="_Toc415051550"/>
      <w:bookmarkStart w:id="47" w:name="_Toc445908045"/>
      <w:bookmarkStart w:id="48" w:name="_Toc57369046"/>
      <w:bookmarkStart w:id="49" w:name="_Toc85469054"/>
      <w:bookmarkStart w:id="50" w:name="_Toc92752484"/>
      <w:bookmarkStart w:id="51" w:name="_Toc166740221"/>
      <w:bookmarkEnd w:id="42"/>
      <w:r>
        <w:t>УТВЕРЖДЕНИЕ ПОВЕСТКИ ДНЯ</w:t>
      </w:r>
      <w:r>
        <w:br/>
        <w:t>[</w:t>
      </w:r>
      <w:r w:rsidR="004C478F">
        <w:rPr>
          <w:caps w:val="0"/>
        </w:rPr>
        <w:t>статьи 55 и 56 Правил процедуры</w:t>
      </w:r>
      <w:r>
        <w:t>]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>
        <w:rPr>
          <w:b/>
          <w:caps w:val="0"/>
          <w:szCs w:val="22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09"/>
        <w:gridCol w:w="2389"/>
        <w:gridCol w:w="4932"/>
      </w:tblGrid>
      <w:tr w:rsidR="005C239B" w:rsidRPr="005C239B" w14:paraId="7078464E" w14:textId="77777777" w:rsidTr="001B377A">
        <w:tc>
          <w:tcPr>
            <w:tcW w:w="2251" w:type="dxa"/>
            <w:shd w:val="clear" w:color="auto" w:fill="FFFF99"/>
            <w:tcMar>
              <w:top w:w="57" w:type="dxa"/>
              <w:bottom w:w="57" w:type="dxa"/>
            </w:tcMar>
          </w:tcPr>
          <w:p w14:paraId="144369A7" w14:textId="5FCCFFC6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Рабочие </w:t>
            </w:r>
            <w:r w:rsidR="00513877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en-US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документы</w:t>
            </w:r>
          </w:p>
        </w:tc>
        <w:tc>
          <w:tcPr>
            <w:tcW w:w="2427" w:type="dxa"/>
            <w:shd w:val="clear" w:color="auto" w:fill="FFFF99"/>
            <w:tcMar>
              <w:top w:w="57" w:type="dxa"/>
              <w:bottom w:w="57" w:type="dxa"/>
            </w:tcMar>
          </w:tcPr>
          <w:p w14:paraId="7938F0C0" w14:textId="77777777" w:rsidR="005C239B" w:rsidRPr="005C239B" w:rsidRDefault="005C239B" w:rsidP="001B377A">
            <w:pPr>
              <w:ind w:right="-89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IOC/EC-57/2.1.Doc</w:t>
            </w:r>
          </w:p>
        </w:tc>
        <w:tc>
          <w:tcPr>
            <w:tcW w:w="5069" w:type="dxa"/>
            <w:shd w:val="clear" w:color="auto" w:fill="FFFF99"/>
            <w:tcMar>
              <w:top w:w="57" w:type="dxa"/>
              <w:bottom w:w="57" w:type="dxa"/>
            </w:tcMar>
          </w:tcPr>
          <w:p w14:paraId="1878E1B9" w14:textId="77777777" w:rsidR="005C239B" w:rsidRPr="005C239B" w:rsidRDefault="005C239B" w:rsidP="001B377A">
            <w:pPr>
              <w:spacing w:after="60"/>
              <w:ind w:left="-10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Предварительная повестка дня</w:t>
            </w:r>
          </w:p>
        </w:tc>
      </w:tr>
      <w:tr w:rsidR="005C239B" w:rsidRPr="005C239B" w14:paraId="24951EAD" w14:textId="77777777" w:rsidTr="001B377A">
        <w:tc>
          <w:tcPr>
            <w:tcW w:w="2251" w:type="dxa"/>
            <w:shd w:val="clear" w:color="auto" w:fill="FFFF99"/>
            <w:tcMar>
              <w:top w:w="57" w:type="dxa"/>
              <w:bottom w:w="57" w:type="dxa"/>
            </w:tcMar>
          </w:tcPr>
          <w:p w14:paraId="512DFED8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427" w:type="dxa"/>
            <w:shd w:val="clear" w:color="auto" w:fill="FFFF99"/>
            <w:tcMar>
              <w:top w:w="57" w:type="dxa"/>
              <w:bottom w:w="57" w:type="dxa"/>
            </w:tcMar>
          </w:tcPr>
          <w:p w14:paraId="6C967C82" w14:textId="77777777" w:rsidR="005C239B" w:rsidRPr="005C239B" w:rsidRDefault="005C239B" w:rsidP="001B377A">
            <w:pPr>
              <w:ind w:right="-23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IOC/EC-57/2.1.Doc Add.</w:t>
            </w:r>
          </w:p>
        </w:tc>
        <w:tc>
          <w:tcPr>
            <w:tcW w:w="5069" w:type="dxa"/>
            <w:shd w:val="clear" w:color="auto" w:fill="FFFF99"/>
            <w:tcMar>
              <w:top w:w="57" w:type="dxa"/>
              <w:bottom w:w="57" w:type="dxa"/>
            </w:tcMar>
          </w:tcPr>
          <w:p w14:paraId="64337179" w14:textId="77777777" w:rsidR="005C239B" w:rsidRPr="005C239B" w:rsidRDefault="005C239B" w:rsidP="001B377A">
            <w:pPr>
              <w:spacing w:after="60"/>
              <w:ind w:left="-104" w:firstLine="1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Предварительное расписание работы</w:t>
            </w:r>
          </w:p>
        </w:tc>
      </w:tr>
      <w:tr w:rsidR="005C239B" w:rsidRPr="005C239B" w14:paraId="238038FE" w14:textId="77777777" w:rsidTr="001B377A">
        <w:tc>
          <w:tcPr>
            <w:tcW w:w="2251" w:type="dxa"/>
            <w:shd w:val="clear" w:color="auto" w:fill="FFFF99"/>
            <w:tcMar>
              <w:top w:w="57" w:type="dxa"/>
              <w:bottom w:w="57" w:type="dxa"/>
            </w:tcMar>
          </w:tcPr>
          <w:p w14:paraId="07C6A606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427" w:type="dxa"/>
            <w:shd w:val="clear" w:color="auto" w:fill="FFFF99"/>
            <w:tcMar>
              <w:top w:w="57" w:type="dxa"/>
              <w:bottom w:w="57" w:type="dxa"/>
            </w:tcMar>
          </w:tcPr>
          <w:p w14:paraId="6ADBD91E" w14:textId="1F3D90BF" w:rsidR="005C239B" w:rsidRPr="008D045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D045B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IOC/EC-57/AP Prov.</w:t>
            </w:r>
            <w:r w:rsidR="00B617FF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Rev.</w:t>
            </w:r>
          </w:p>
        </w:tc>
        <w:tc>
          <w:tcPr>
            <w:tcW w:w="5069" w:type="dxa"/>
            <w:shd w:val="clear" w:color="auto" w:fill="FFFF99"/>
            <w:tcMar>
              <w:top w:w="57" w:type="dxa"/>
              <w:bottom w:w="57" w:type="dxa"/>
            </w:tcMar>
          </w:tcPr>
          <w:p w14:paraId="0F2542CC" w14:textId="1F8DDACD" w:rsidR="005C239B" w:rsidRPr="005C239B" w:rsidRDefault="005C239B" w:rsidP="001B377A">
            <w:pPr>
              <w:ind w:left="-104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П</w:t>
            </w:r>
            <w:r w:rsidR="00B617FF">
              <w:rPr>
                <w:rFonts w:ascii="Arial" w:hAnsi="Arial"/>
                <w:color w:val="000000"/>
                <w:sz w:val="22"/>
                <w:szCs w:val="22"/>
              </w:rPr>
              <w:t>ересмотренный п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редварительный документ о принятых и предполагаемых мерах </w:t>
            </w:r>
            <w:r>
              <w:rPr>
                <w:rFonts w:ascii="Arial" w:hAnsi="Arial"/>
                <w:i/>
                <w:color w:val="000000"/>
                <w:sz w:val="22"/>
                <w:szCs w:val="22"/>
              </w:rPr>
              <w:t>(настоящий документ)</w:t>
            </w:r>
          </w:p>
        </w:tc>
      </w:tr>
      <w:tr w:rsidR="005C239B" w:rsidRPr="005C239B" w14:paraId="3C1389B0" w14:textId="77777777" w:rsidTr="001B377A">
        <w:tc>
          <w:tcPr>
            <w:tcW w:w="2251" w:type="dxa"/>
            <w:shd w:val="clear" w:color="auto" w:fill="DEEAF6"/>
            <w:tcMar>
              <w:top w:w="57" w:type="dxa"/>
              <w:bottom w:w="57" w:type="dxa"/>
            </w:tcMar>
          </w:tcPr>
          <w:p w14:paraId="09173A8C" w14:textId="567D458A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Справочные </w:t>
            </w:r>
            <w:r w:rsidR="00513877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en-US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документы</w:t>
            </w:r>
          </w:p>
        </w:tc>
        <w:tc>
          <w:tcPr>
            <w:tcW w:w="2427" w:type="dxa"/>
            <w:tcMar>
              <w:top w:w="57" w:type="dxa"/>
              <w:bottom w:w="57" w:type="dxa"/>
            </w:tcMar>
          </w:tcPr>
          <w:p w14:paraId="5B2DD144" w14:textId="5EAB5ADC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</w:t>
            </w:r>
            <w:r w:rsidR="00B617FF">
              <w:rPr>
                <w:rFonts w:ascii="Arial" w:hAnsi="Arial"/>
                <w:color w:val="000000"/>
                <w:sz w:val="22"/>
                <w:szCs w:val="22"/>
              </w:rPr>
              <w:t>/А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-32/SR</w:t>
            </w:r>
          </w:p>
        </w:tc>
        <w:tc>
          <w:tcPr>
            <w:tcW w:w="5069" w:type="dxa"/>
            <w:tcMar>
              <w:top w:w="57" w:type="dxa"/>
              <w:bottom w:w="57" w:type="dxa"/>
            </w:tcMar>
          </w:tcPr>
          <w:p w14:paraId="07C217B1" w14:textId="77777777" w:rsidR="005C239B" w:rsidRPr="005C239B" w:rsidRDefault="005C239B" w:rsidP="001B377A">
            <w:pPr>
              <w:spacing w:after="60"/>
              <w:ind w:left="-1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Краткий доклад 32-й сессии Ассамблеи МОК (Париж, 21-30 июня 2023 г.)</w:t>
            </w:r>
          </w:p>
        </w:tc>
      </w:tr>
      <w:tr w:rsidR="005C239B" w:rsidRPr="005C239B" w14:paraId="5C90538D" w14:textId="77777777" w:rsidTr="001B377A">
        <w:tc>
          <w:tcPr>
            <w:tcW w:w="2251" w:type="dxa"/>
            <w:shd w:val="clear" w:color="auto" w:fill="DEEAF6"/>
            <w:tcMar>
              <w:top w:w="57" w:type="dxa"/>
              <w:bottom w:w="57" w:type="dxa"/>
            </w:tcMar>
          </w:tcPr>
          <w:p w14:paraId="5495FB1B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427" w:type="dxa"/>
            <w:tcMar>
              <w:top w:w="57" w:type="dxa"/>
              <w:bottom w:w="57" w:type="dxa"/>
            </w:tcMar>
          </w:tcPr>
          <w:p w14:paraId="18CF104E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IOC/EC-55/SR</w:t>
            </w:r>
          </w:p>
        </w:tc>
        <w:tc>
          <w:tcPr>
            <w:tcW w:w="5069" w:type="dxa"/>
            <w:tcMar>
              <w:top w:w="57" w:type="dxa"/>
              <w:bottom w:w="57" w:type="dxa"/>
            </w:tcMar>
          </w:tcPr>
          <w:p w14:paraId="5AB13D7A" w14:textId="77777777" w:rsidR="005C239B" w:rsidRPr="005C239B" w:rsidRDefault="005C239B" w:rsidP="001B377A">
            <w:pPr>
              <w:spacing w:after="60"/>
              <w:ind w:left="-1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Краткий доклад 55-й сессии Исполнительного совета МОК, Париж, 13-17 июня 2022 г.</w:t>
            </w:r>
          </w:p>
        </w:tc>
      </w:tr>
    </w:tbl>
    <w:p w14:paraId="27E22715" w14:textId="77777777" w:rsidR="005C239B" w:rsidRPr="00A141A8" w:rsidRDefault="005C239B" w:rsidP="005C239B">
      <w:pPr>
        <w:rPr>
          <w:rFonts w:ascii="Arial" w:hAnsi="Arial" w:cs="Arial"/>
          <w:sz w:val="22"/>
          <w:szCs w:val="22"/>
        </w:rPr>
      </w:pPr>
    </w:p>
    <w:p w14:paraId="2A0228D2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Этот пункт повестки дня представил Председатель МОК. </w:t>
      </w:r>
    </w:p>
    <w:tbl>
      <w:tblPr>
        <w:tblW w:w="0" w:type="auto"/>
        <w:tblInd w:w="108" w:type="dxa"/>
        <w:shd w:val="clear" w:color="auto" w:fill="CCFFCC"/>
        <w:tblLook w:val="0000" w:firstRow="0" w:lastRow="0" w:firstColumn="0" w:lastColumn="0" w:noHBand="0" w:noVBand="0"/>
      </w:tblPr>
      <w:tblGrid>
        <w:gridCol w:w="9530"/>
      </w:tblGrid>
      <w:tr w:rsidR="005C239B" w:rsidRPr="005C239B" w14:paraId="01A6FE5A" w14:textId="77777777" w:rsidTr="001B377A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2FE4D21D" w14:textId="77777777" w:rsidR="005C239B" w:rsidRPr="005C239B" w:rsidRDefault="005C239B" w:rsidP="001B377A">
            <w:pPr>
              <w:spacing w:after="240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/>
                <w:bCs/>
                <w:sz w:val="22"/>
                <w:szCs w:val="22"/>
                <w:u w:val="single"/>
              </w:rPr>
              <w:t>Реш. EC-57/2(I)</w:t>
            </w:r>
          </w:p>
          <w:p w14:paraId="785D637F" w14:textId="77777777" w:rsidR="005C239B" w:rsidRPr="005C239B" w:rsidRDefault="005C239B" w:rsidP="001B377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Исполнительный совет,</w:t>
            </w:r>
          </w:p>
          <w:p w14:paraId="31BEEB7C" w14:textId="77777777" w:rsidR="005C239B" w:rsidRPr="005C239B" w:rsidRDefault="005C239B" w:rsidP="001B377A">
            <w:pPr>
              <w:spacing w:after="240"/>
              <w:ind w:left="4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I.</w:t>
            </w:r>
            <w:r>
              <w:rPr>
                <w:rFonts w:ascii="Arial" w:hAnsi="Arial"/>
                <w:b/>
                <w:sz w:val="22"/>
                <w:szCs w:val="22"/>
              </w:rPr>
              <w:tab/>
              <w:t>Повестка дня</w:t>
            </w:r>
          </w:p>
          <w:p w14:paraId="045CC0B4" w14:textId="24422F72" w:rsidR="005C239B" w:rsidRPr="005C239B" w:rsidRDefault="005C239B" w:rsidP="001B377A">
            <w:pPr>
              <w:spacing w:after="240"/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1.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/>
                <w:color w:val="000000"/>
                <w:sz w:val="22"/>
                <w:szCs w:val="22"/>
                <w:u w:val="single"/>
              </w:rPr>
              <w:t>утверждает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повестку дня и расписание работы, содержащиеся в документе IOC/EC</w:t>
            </w:r>
            <w:r w:rsidR="00203703" w:rsidRPr="00203703">
              <w:rPr>
                <w:rFonts w:ascii="Arial" w:hAnsi="Arial"/>
                <w:color w:val="000000"/>
                <w:sz w:val="22"/>
                <w:szCs w:val="22"/>
              </w:rPr>
              <w:noBreakHyphen/>
            </w:r>
            <w:r>
              <w:rPr>
                <w:rFonts w:ascii="Arial" w:hAnsi="Arial"/>
                <w:color w:val="000000"/>
                <w:sz w:val="22"/>
                <w:szCs w:val="22"/>
              </w:rPr>
              <w:t>57/2.1.Doc. и Add. [со следующими дополнительными поправками:]</w:t>
            </w:r>
          </w:p>
          <w:p w14:paraId="755965E5" w14:textId="77777777" w:rsidR="005C239B" w:rsidRPr="00203703" w:rsidRDefault="005C239B" w:rsidP="001B377A">
            <w:pPr>
              <w:spacing w:after="240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78756B" w14:textId="77777777" w:rsidR="005C239B" w:rsidRPr="00203703" w:rsidRDefault="005C239B" w:rsidP="005C239B">
      <w:pPr>
        <w:rPr>
          <w:rFonts w:ascii="Arial" w:hAnsi="Arial" w:cs="Arial"/>
          <w:sz w:val="22"/>
          <w:szCs w:val="22"/>
        </w:rPr>
      </w:pPr>
    </w:p>
    <w:p w14:paraId="6E3D88F3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</w:t>
      </w:r>
      <w:r>
        <w:lastRenderedPageBreak/>
        <w:t>информационное приложение к докладу настоящей сессии выразили следующие государства-члены: ___________.</w:t>
      </w:r>
    </w:p>
    <w:p w14:paraId="49BBBA0E" w14:textId="484B82D4" w:rsidR="005C239B" w:rsidRPr="005C239B" w:rsidRDefault="005C239B" w:rsidP="005C239B">
      <w:pPr>
        <w:pStyle w:val="Heading2"/>
        <w:numPr>
          <w:ilvl w:val="1"/>
          <w:numId w:val="12"/>
        </w:numPr>
        <w:tabs>
          <w:tab w:val="clear" w:pos="737"/>
          <w:tab w:val="left" w:pos="709"/>
        </w:tabs>
        <w:ind w:left="709" w:hanging="709"/>
        <w:rPr>
          <w:rFonts w:cs="Arial"/>
          <w:b/>
          <w:bCs w:val="0"/>
          <w:color w:val="000000"/>
          <w:szCs w:val="22"/>
        </w:rPr>
      </w:pPr>
      <w:bookmarkStart w:id="52" w:name="_Toc100506252"/>
      <w:bookmarkStart w:id="53" w:name="_Toc289696422"/>
      <w:bookmarkStart w:id="54" w:name="_Toc357517547"/>
      <w:bookmarkStart w:id="55" w:name="_Toc358657260"/>
      <w:bookmarkStart w:id="56" w:name="_Toc415051551"/>
      <w:bookmarkStart w:id="57" w:name="_Toc445908046"/>
      <w:bookmarkStart w:id="58" w:name="_Toc57369047"/>
      <w:bookmarkStart w:id="59" w:name="_Toc85469055"/>
      <w:bookmarkStart w:id="60" w:name="_Toc92752485"/>
      <w:bookmarkStart w:id="61" w:name="_Toc166740222"/>
      <w:bookmarkEnd w:id="52"/>
      <w:r>
        <w:t>НАЗНАЧЕНИЕ ДОКЛАДЧИКА</w:t>
      </w:r>
      <w:r>
        <w:br/>
        <w:t>[</w:t>
      </w:r>
      <w:r w:rsidR="00355FF3">
        <w:rPr>
          <w:caps w:val="0"/>
        </w:rPr>
        <w:t>статья 8.4 Правил процедуры</w:t>
      </w:r>
      <w:r>
        <w:t>]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tbl>
      <w:tblPr>
        <w:tblW w:w="0" w:type="auto"/>
        <w:tblInd w:w="108" w:type="dxa"/>
        <w:shd w:val="clear" w:color="auto" w:fill="CCFFCC"/>
        <w:tblLook w:val="0000" w:firstRow="0" w:lastRow="0" w:firstColumn="0" w:lastColumn="0" w:noHBand="0" w:noVBand="0"/>
      </w:tblPr>
      <w:tblGrid>
        <w:gridCol w:w="9530"/>
      </w:tblGrid>
      <w:tr w:rsidR="005C239B" w:rsidRPr="005C239B" w14:paraId="2DD1C8E5" w14:textId="77777777" w:rsidTr="001B377A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41DD7497" w14:textId="77777777" w:rsidR="005C239B" w:rsidRPr="005C239B" w:rsidRDefault="005C239B" w:rsidP="001B377A">
            <w:pPr>
              <w:spacing w:after="240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/>
                <w:bCs/>
                <w:sz w:val="22"/>
                <w:szCs w:val="22"/>
                <w:u w:val="single"/>
              </w:rPr>
              <w:t>Реш. EC-57/2(II)</w:t>
            </w:r>
          </w:p>
          <w:p w14:paraId="67CEA5F6" w14:textId="77777777" w:rsidR="005C239B" w:rsidRPr="005C239B" w:rsidRDefault="005C239B" w:rsidP="001B377A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II.</w:t>
            </w:r>
            <w:r>
              <w:rPr>
                <w:rFonts w:ascii="Arial" w:hAnsi="Arial"/>
                <w:b/>
                <w:sz w:val="22"/>
                <w:szCs w:val="22"/>
              </w:rPr>
              <w:tab/>
              <w:t>Докладчик</w:t>
            </w:r>
          </w:p>
          <w:p w14:paraId="7DC1B7CA" w14:textId="77777777" w:rsidR="005C239B" w:rsidRPr="005C239B" w:rsidRDefault="005C239B" w:rsidP="00513877">
            <w:pPr>
              <w:spacing w:after="240"/>
              <w:ind w:left="489" w:hanging="489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2.</w:t>
            </w: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ab/>
              <w:t>по предложению [название страны], поддержанному [названия стран],</w:t>
            </w:r>
          </w:p>
          <w:p w14:paraId="0BB4B008" w14:textId="77777777" w:rsidR="005C239B" w:rsidRPr="005C239B" w:rsidRDefault="005C239B" w:rsidP="006E4C50">
            <w:pPr>
              <w:spacing w:after="240"/>
              <w:ind w:left="489" w:hanging="489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3.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/>
                <w:color w:val="000000"/>
                <w:sz w:val="22"/>
                <w:szCs w:val="22"/>
                <w:u w:val="single"/>
              </w:rPr>
              <w:t>назначает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_____________, представителя [название страны, относящейся к избирательной группе II], докладчиком нынешней сессии с задачей оказания содействия Председателю и Исполнительному секретарю в подготовке проекта предварительного доклада сессии; </w:t>
            </w:r>
          </w:p>
        </w:tc>
      </w:tr>
    </w:tbl>
    <w:p w14:paraId="6414D68D" w14:textId="77777777" w:rsidR="005C239B" w:rsidRPr="005C239B" w:rsidRDefault="005C239B" w:rsidP="005C239B">
      <w:pPr>
        <w:pStyle w:val="Heading2"/>
        <w:numPr>
          <w:ilvl w:val="1"/>
          <w:numId w:val="12"/>
        </w:numPr>
        <w:tabs>
          <w:tab w:val="clear" w:pos="737"/>
          <w:tab w:val="left" w:pos="709"/>
        </w:tabs>
        <w:spacing w:before="240"/>
        <w:ind w:left="709" w:hanging="709"/>
        <w:rPr>
          <w:rFonts w:cs="Arial"/>
          <w:caps w:val="0"/>
          <w:szCs w:val="22"/>
        </w:rPr>
      </w:pPr>
      <w:bookmarkStart w:id="62" w:name="_Toc289696423"/>
      <w:bookmarkStart w:id="63" w:name="_Toc357517548"/>
      <w:bookmarkStart w:id="64" w:name="_Toc358657261"/>
      <w:bookmarkStart w:id="65" w:name="_Toc415051552"/>
      <w:bookmarkStart w:id="66" w:name="_Toc445908047"/>
      <w:bookmarkStart w:id="67" w:name="_Toc57369048"/>
      <w:bookmarkStart w:id="68" w:name="_Toc85469056"/>
      <w:bookmarkStart w:id="69" w:name="_Toc92752486"/>
      <w:bookmarkStart w:id="70" w:name="_Toc166740223"/>
      <w:r>
        <w:rPr>
          <w:caps w:val="0"/>
          <w:szCs w:val="22"/>
        </w:rPr>
        <w:t>УЧРЕЖДЕНИЕ СЕССИОННЫХ КОМИТЕТОВ И РАБОЧИХ ГРУПП</w:t>
      </w:r>
      <w:r>
        <w:rPr>
          <w:caps w:val="0"/>
          <w:szCs w:val="22"/>
        </w:rPr>
        <w:br/>
        <w:t>[статья 7 Правил процедуры]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0E77C581" w14:textId="225409FF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812"/>
        </w:tabs>
        <w:ind w:left="0" w:hanging="709"/>
        <w:rPr>
          <w:rFonts w:cs="Arial"/>
        </w:rPr>
      </w:pPr>
      <w:r>
        <w:t xml:space="preserve">Председатель предложил Исполнительному совету сформировать два сессионных комитета: </w:t>
      </w:r>
      <w:r w:rsidR="004C478F">
        <w:t>к</w:t>
      </w:r>
      <w:r>
        <w:t xml:space="preserve">омитет по резолюциям и </w:t>
      </w:r>
      <w:r w:rsidR="004C478F">
        <w:t>к</w:t>
      </w:r>
      <w:r>
        <w:t xml:space="preserve">омитет по финансовым вопросам, а также просил представить предложения в отношении учреждения сессионных рабочих групп. </w:t>
      </w:r>
    </w:p>
    <w:tbl>
      <w:tblPr>
        <w:tblW w:w="0" w:type="auto"/>
        <w:tblInd w:w="108" w:type="dxa"/>
        <w:shd w:val="clear" w:color="auto" w:fill="CCFFCC"/>
        <w:tblLook w:val="0000" w:firstRow="0" w:lastRow="0" w:firstColumn="0" w:lastColumn="0" w:noHBand="0" w:noVBand="0"/>
      </w:tblPr>
      <w:tblGrid>
        <w:gridCol w:w="9530"/>
      </w:tblGrid>
      <w:tr w:rsidR="005C239B" w:rsidRPr="005C239B" w14:paraId="6D32883A" w14:textId="77777777" w:rsidTr="001B377A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23E09705" w14:textId="77777777" w:rsidR="005C239B" w:rsidRPr="005C239B" w:rsidRDefault="005C239B" w:rsidP="001B377A">
            <w:pPr>
              <w:spacing w:after="240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/>
                <w:bCs/>
                <w:sz w:val="22"/>
                <w:szCs w:val="22"/>
                <w:u w:val="single"/>
              </w:rPr>
              <w:t>Реш. EC-57/2(III)</w:t>
            </w:r>
          </w:p>
          <w:p w14:paraId="7A0E5448" w14:textId="77777777" w:rsidR="005C239B" w:rsidRPr="005C239B" w:rsidRDefault="005C239B" w:rsidP="001639F8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III.</w:t>
            </w:r>
            <w:r>
              <w:rPr>
                <w:rFonts w:ascii="Arial" w:hAnsi="Arial"/>
                <w:b/>
                <w:sz w:val="22"/>
                <w:szCs w:val="22"/>
              </w:rPr>
              <w:tab/>
              <w:t>Сессионные комитеты и рабочие группы</w:t>
            </w:r>
          </w:p>
          <w:p w14:paraId="12C45A93" w14:textId="77777777" w:rsidR="005C239B" w:rsidRPr="005C239B" w:rsidRDefault="005C239B" w:rsidP="0052306E">
            <w:pPr>
              <w:numPr>
                <w:ilvl w:val="0"/>
                <w:numId w:val="16"/>
              </w:numPr>
              <w:spacing w:after="120"/>
              <w:ind w:left="599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u w:val="single"/>
              </w:rPr>
              <w:t>учреждает</w:t>
            </w: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следующие сессионные комитеты открытого состава [и ___ рабочих групп] и поручает им рассмотрение следующих пунктов повестки дня и выполнение следующих задач:</w:t>
            </w:r>
          </w:p>
          <w:p w14:paraId="11D37C2B" w14:textId="77777777" w:rsidR="005C239B" w:rsidRPr="005C239B" w:rsidRDefault="005C239B" w:rsidP="001B377A">
            <w:pPr>
              <w:spacing w:after="120"/>
              <w:ind w:left="567" w:firstLine="1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color w:val="000000"/>
                <w:sz w:val="22"/>
                <w:szCs w:val="22"/>
              </w:rPr>
              <w:t>комитет по финансовым вопросам</w:t>
            </w: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: доработка резолюции по пунктам 5.1, 5.2 и 5.3 под руководством г-на Хуана Камило </w:t>
            </w:r>
            <w:proofErr w:type="spellStart"/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Фореро</w:t>
            </w:r>
            <w:proofErr w:type="spellEnd"/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Хаузера (Колумбия, заместитель Председателя) и с участием следующих государств-членов: ______________. </w:t>
            </w:r>
            <w:proofErr w:type="spellStart"/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Секретариатскую</w:t>
            </w:r>
            <w:proofErr w:type="spellEnd"/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поддержку работе комитета по финансовым вопросам оказывала г-жа Ксения </w:t>
            </w:r>
            <w:proofErr w:type="spellStart"/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Ивинек</w:t>
            </w:r>
            <w:proofErr w:type="spellEnd"/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.</w:t>
            </w:r>
          </w:p>
          <w:p w14:paraId="794F2B06" w14:textId="77777777" w:rsidR="005C239B" w:rsidRPr="005C239B" w:rsidRDefault="005C239B" w:rsidP="001B377A">
            <w:pPr>
              <w:spacing w:after="240"/>
              <w:ind w:left="567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color w:val="000000"/>
                <w:sz w:val="22"/>
                <w:szCs w:val="22"/>
              </w:rPr>
              <w:t>комитет по резолюциям</w:t>
            </w: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: информирование обо всех проектах резолюций, должным образом представленных до 20 июня для рассмотрения в ходе нынешней сессии, а также о подготовленном в ходе сессии проекте резолюции, касающейся финансовых аспектов деятельности Комиссии, под руководством ________ (</w:t>
            </w:r>
            <w:r>
              <w:rPr>
                <w:rFonts w:ascii="Arial" w:hAnsi="Arial"/>
                <w:bCs/>
                <w:i/>
                <w:color w:val="000000"/>
                <w:sz w:val="22"/>
                <w:szCs w:val="22"/>
              </w:rPr>
              <w:t>страна</w:t>
            </w: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) и с участием следующих государств-членов: ______________. </w:t>
            </w:r>
            <w:proofErr w:type="spellStart"/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Секретариатскую</w:t>
            </w:r>
            <w:proofErr w:type="spellEnd"/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поддержку работе комитета по резолюциям оказывал г-н </w:t>
            </w:r>
            <w:proofErr w:type="spellStart"/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Жюлиан</w:t>
            </w:r>
            <w:proofErr w:type="spellEnd"/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Барбьер</w:t>
            </w:r>
            <w:proofErr w:type="spellEnd"/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14:paraId="46A10D6F" w14:textId="77777777" w:rsidR="005C239B" w:rsidRPr="00A141A8" w:rsidRDefault="005C239B" w:rsidP="005C239B">
      <w:pPr>
        <w:rPr>
          <w:rFonts w:ascii="Arial" w:hAnsi="Arial" w:cs="Arial"/>
          <w:sz w:val="22"/>
          <w:szCs w:val="22"/>
        </w:rPr>
      </w:pPr>
    </w:p>
    <w:p w14:paraId="2B8D389D" w14:textId="77777777" w:rsidR="005C239B" w:rsidRPr="005C239B" w:rsidRDefault="005C239B" w:rsidP="005C239B">
      <w:pPr>
        <w:pStyle w:val="Heading2"/>
        <w:numPr>
          <w:ilvl w:val="1"/>
          <w:numId w:val="12"/>
        </w:numPr>
        <w:tabs>
          <w:tab w:val="clear" w:pos="737"/>
          <w:tab w:val="left" w:pos="709"/>
        </w:tabs>
        <w:ind w:left="709" w:hanging="709"/>
        <w:rPr>
          <w:rFonts w:cs="Arial"/>
          <w:caps w:val="0"/>
          <w:kern w:val="28"/>
          <w:szCs w:val="22"/>
        </w:rPr>
      </w:pPr>
      <w:bookmarkStart w:id="71" w:name="_Toc38080242"/>
      <w:bookmarkStart w:id="72" w:name="_Toc100506254"/>
      <w:bookmarkStart w:id="73" w:name="_Toc135143453"/>
      <w:bookmarkStart w:id="74" w:name="_Toc135143705"/>
      <w:bookmarkStart w:id="75" w:name="_Toc162671332"/>
      <w:bookmarkStart w:id="76" w:name="_Toc164651226"/>
      <w:bookmarkStart w:id="77" w:name="_Toc196145696"/>
      <w:bookmarkStart w:id="78" w:name="_Toc199912188"/>
      <w:bookmarkStart w:id="79" w:name="_Toc225590795"/>
      <w:bookmarkStart w:id="80" w:name="_Toc225660256"/>
      <w:bookmarkStart w:id="81" w:name="_Toc227580620"/>
      <w:bookmarkStart w:id="82" w:name="_Toc289696424"/>
      <w:bookmarkStart w:id="83" w:name="_Toc357517549"/>
      <w:bookmarkStart w:id="84" w:name="_Toc358657262"/>
      <w:bookmarkStart w:id="85" w:name="_Toc415051553"/>
      <w:bookmarkStart w:id="86" w:name="_Toc445908048"/>
      <w:bookmarkStart w:id="87" w:name="_Toc57369049"/>
      <w:bookmarkStart w:id="88" w:name="_Toc85469057"/>
      <w:bookmarkStart w:id="89" w:name="_Toc92752487"/>
      <w:bookmarkStart w:id="90" w:name="_Toc166740224"/>
      <w:bookmarkEnd w:id="71"/>
      <w:r>
        <w:t>ПРЕДСТАВЛЕНИЕ РАСПИСАНИЯ РАБОТЫ И ДОКУМЕНТОВ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r>
        <w:br/>
      </w:r>
      <w:r>
        <w:rPr>
          <w:caps w:val="0"/>
          <w:szCs w:val="22"/>
        </w:rPr>
        <w:t>[статья 16 Правил процедуры]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27"/>
        <w:gridCol w:w="2201"/>
        <w:gridCol w:w="5102"/>
      </w:tblGrid>
      <w:tr w:rsidR="005C239B" w:rsidRPr="005C239B" w14:paraId="5A274EF6" w14:textId="77777777" w:rsidTr="00BE3348">
        <w:tc>
          <w:tcPr>
            <w:tcW w:w="2227" w:type="dxa"/>
            <w:shd w:val="clear" w:color="auto" w:fill="FBD4B4"/>
            <w:tcMar>
              <w:top w:w="57" w:type="dxa"/>
              <w:bottom w:w="57" w:type="dxa"/>
            </w:tcMar>
          </w:tcPr>
          <w:p w14:paraId="63C197FB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Информационные документы</w:t>
            </w:r>
          </w:p>
        </w:tc>
        <w:tc>
          <w:tcPr>
            <w:tcW w:w="2201" w:type="dxa"/>
            <w:shd w:val="clear" w:color="auto" w:fill="auto"/>
            <w:tcMar>
              <w:top w:w="57" w:type="dxa"/>
              <w:bottom w:w="57" w:type="dxa"/>
            </w:tcMar>
          </w:tcPr>
          <w:p w14:paraId="14F053D3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IOC/EC-57/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DocList</w:t>
            </w:r>
            <w:proofErr w:type="spellEnd"/>
          </w:p>
        </w:tc>
        <w:tc>
          <w:tcPr>
            <w:tcW w:w="5102" w:type="dxa"/>
            <w:shd w:val="clear" w:color="auto" w:fill="auto"/>
            <w:tcMar>
              <w:top w:w="57" w:type="dxa"/>
              <w:bottom w:w="57" w:type="dxa"/>
            </w:tcMar>
          </w:tcPr>
          <w:p w14:paraId="62CC7EBF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Предварительный список документов</w:t>
            </w:r>
          </w:p>
        </w:tc>
      </w:tr>
      <w:tr w:rsidR="005C239B" w:rsidRPr="005C239B" w14:paraId="68FFEE89" w14:textId="77777777" w:rsidTr="00BE3348">
        <w:tc>
          <w:tcPr>
            <w:tcW w:w="2227" w:type="dxa"/>
            <w:shd w:val="clear" w:color="auto" w:fill="FBD4B4"/>
            <w:tcMar>
              <w:top w:w="57" w:type="dxa"/>
              <w:bottom w:w="57" w:type="dxa"/>
            </w:tcMar>
          </w:tcPr>
          <w:p w14:paraId="310D0A96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01" w:type="dxa"/>
            <w:shd w:val="clear" w:color="auto" w:fill="auto"/>
            <w:tcMar>
              <w:top w:w="57" w:type="dxa"/>
              <w:bottom w:w="57" w:type="dxa"/>
            </w:tcMar>
          </w:tcPr>
          <w:p w14:paraId="5C5BE073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IOC/EC-57/2.4.Inf.1</w:t>
            </w:r>
          </w:p>
        </w:tc>
        <w:tc>
          <w:tcPr>
            <w:tcW w:w="5102" w:type="dxa"/>
            <w:shd w:val="clear" w:color="auto" w:fill="auto"/>
            <w:tcMar>
              <w:top w:w="57" w:type="dxa"/>
              <w:bottom w:w="57" w:type="dxa"/>
            </w:tcMar>
          </w:tcPr>
          <w:p w14:paraId="4BBE9250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Организация работы сессии</w:t>
            </w:r>
          </w:p>
        </w:tc>
      </w:tr>
      <w:tr w:rsidR="005C239B" w:rsidRPr="005C239B" w14:paraId="3B70F972" w14:textId="77777777" w:rsidTr="00BE3348">
        <w:tc>
          <w:tcPr>
            <w:tcW w:w="2227" w:type="dxa"/>
            <w:shd w:val="clear" w:color="auto" w:fill="FBD4B4"/>
            <w:tcMar>
              <w:top w:w="57" w:type="dxa"/>
              <w:bottom w:w="57" w:type="dxa"/>
            </w:tcMar>
          </w:tcPr>
          <w:p w14:paraId="3D6EF80E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01" w:type="dxa"/>
            <w:shd w:val="clear" w:color="auto" w:fill="auto"/>
            <w:tcMar>
              <w:top w:w="57" w:type="dxa"/>
              <w:bottom w:w="57" w:type="dxa"/>
            </w:tcMar>
          </w:tcPr>
          <w:p w14:paraId="652EF558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IOC/EC-57/2.4.Inf.2</w:t>
            </w:r>
          </w:p>
        </w:tc>
        <w:tc>
          <w:tcPr>
            <w:tcW w:w="5102" w:type="dxa"/>
            <w:shd w:val="clear" w:color="auto" w:fill="auto"/>
            <w:tcMar>
              <w:top w:w="57" w:type="dxa"/>
              <w:bottom w:w="57" w:type="dxa"/>
            </w:tcMar>
          </w:tcPr>
          <w:p w14:paraId="55871D04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Специальное мероприятие: Сохранение информации об имевших место в прошлом случаях цунами для обеспечения готовности к ним в будущем: проект «Устами очевидцев и выживших» </w:t>
            </w:r>
          </w:p>
        </w:tc>
      </w:tr>
    </w:tbl>
    <w:p w14:paraId="781E5FD4" w14:textId="77777777" w:rsidR="005C239B" w:rsidRPr="00A141A8" w:rsidRDefault="005C239B" w:rsidP="005C239B">
      <w:pPr>
        <w:rPr>
          <w:rFonts w:ascii="Arial" w:hAnsi="Arial" w:cs="Arial"/>
          <w:color w:val="000000"/>
          <w:sz w:val="22"/>
          <w:szCs w:val="22"/>
        </w:rPr>
      </w:pPr>
    </w:p>
    <w:p w14:paraId="404F4AEA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Этот пункт повестки дня представил Исполнительный секретарь. Он напомнил, что проекты решений будут утверждаться по итогам обсуждения каждого пункта повестки дня. Документ о принятых и предлагаемых мерах был намеренно подготовлен в форме предварительного проекта доклада, с тем чтобы упростить работу над этим документом в ходе сессии. Исполнительный секретарь отметил, что по состоянию на 10:00 20 июня 2024 г. был получен [__] проект резолюции. Все представленные к утверждению проекты резолюций были рассмотрены в рамках пункта 7 повестки дня. В соответствии с установившейся в ЮНЕСКО практикой пакет принятых решений и резолюций будет в полном объеме доступен к концу сессии на всех четырех языках. По согласованию с докладчиком нынешней сессии описательная часть доклада будет подготовлена Секретариатом в ходе сессии на английском языке. Полный вариант описательной части доклада, переведенный в установленном порядке, будет доведен до сведения членов Исполнительного совета после завершения сессии. Государствам-членам, пожелавшим, чтобы в докладе были отражены их конкретные, наиболее важные выступления на пленарном заседании, было предложено направить тексты своих выступлений по следующему адресу электронной почты (</w:t>
      </w:r>
      <w:hyperlink r:id="rId14" w:history="1">
        <w:r>
          <w:rPr>
            <w:rStyle w:val="Hyperlink"/>
          </w:rPr>
          <w:t>iocgovbody@unesco.org</w:t>
        </w:r>
      </w:hyperlink>
      <w:r>
        <w:t>), воспользовавшись специально разработанным для этих целей формуляром.</w:t>
      </w:r>
    </w:p>
    <w:p w14:paraId="3CF9D96F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Касательно расписания работы Исполнительный секретарь напомнил, что пленарная сессия продлится 3,5 дня, включая 1,5-часовое параллельное мероприятие в зале пленарных заседаний, посвященное 20-летию цунами на Суматре. Это мероприятие будет транслироваться в прямом эфире, как и все заседание, для участия в котором в Париж приедут некоторые очевидцы и лица, пережившие эту трагедию. Проект «Цунами устами очевидцев и выживших» будет включать такие мероприятия, как выездная выставка, показ документального фильма, параллельные мероприятия в рамках глобальных конференций по проблемам океана и встречи в течение 2024 г. с очевидцами того цунами. </w:t>
      </w:r>
    </w:p>
    <w:tbl>
      <w:tblPr>
        <w:tblW w:w="0" w:type="auto"/>
        <w:shd w:val="clear" w:color="auto" w:fill="CCFFCC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5C239B" w:rsidRPr="005C239B" w14:paraId="134F15E3" w14:textId="77777777" w:rsidTr="001B377A">
        <w:trPr>
          <w:trHeight w:val="380"/>
        </w:trPr>
        <w:tc>
          <w:tcPr>
            <w:tcW w:w="9747" w:type="dxa"/>
            <w:shd w:val="clear" w:color="auto" w:fill="CCFFCC"/>
            <w:tcMar>
              <w:top w:w="113" w:type="dxa"/>
              <w:bottom w:w="113" w:type="dxa"/>
            </w:tcMar>
          </w:tcPr>
          <w:p w14:paraId="58175CC7" w14:textId="77777777" w:rsidR="005C239B" w:rsidRPr="005C239B" w:rsidRDefault="005C239B" w:rsidP="001B377A">
            <w:pPr>
              <w:rPr>
                <w:rFonts w:ascii="Arial" w:hAnsi="Arial" w:cs="Arial"/>
                <w:i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Решения по этому пункту повестки дня не предлагалось. </w:t>
            </w:r>
          </w:p>
        </w:tc>
      </w:tr>
    </w:tbl>
    <w:p w14:paraId="5C0765E7" w14:textId="77777777" w:rsidR="005C239B" w:rsidRPr="00A141A8" w:rsidRDefault="005C239B" w:rsidP="005C239B">
      <w:pPr>
        <w:rPr>
          <w:rFonts w:ascii="Arial" w:hAnsi="Arial" w:cs="Arial"/>
          <w:sz w:val="22"/>
          <w:szCs w:val="22"/>
        </w:rPr>
      </w:pPr>
    </w:p>
    <w:p w14:paraId="22DD30DA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1AA7DE2F" w14:textId="77777777" w:rsidR="005C239B" w:rsidRPr="005C239B" w:rsidRDefault="005C239B" w:rsidP="005C239B">
      <w:pPr>
        <w:pStyle w:val="Heading2"/>
        <w:ind w:left="728" w:hanging="728"/>
        <w:rPr>
          <w:rFonts w:cs="Arial"/>
          <w:szCs w:val="22"/>
        </w:rPr>
      </w:pPr>
      <w:bookmarkStart w:id="91" w:name="_Toc166740225"/>
      <w:r>
        <w:t>2.5</w:t>
      </w:r>
      <w:r>
        <w:tab/>
        <w:t>ЛЕКЦИЯ, ПОСВЯЩЕННАЯ ПАМЯТИ РОДЖЕРА РЕВЕЛЛА</w:t>
      </w:r>
      <w:bookmarkEnd w:id="91"/>
    </w:p>
    <w:tbl>
      <w:tblPr>
        <w:tblW w:w="9889" w:type="dxa"/>
        <w:tblLook w:val="0000" w:firstRow="0" w:lastRow="0" w:firstColumn="0" w:lastColumn="0" w:noHBand="0" w:noVBand="0"/>
      </w:tblPr>
      <w:tblGrid>
        <w:gridCol w:w="2268"/>
        <w:gridCol w:w="2235"/>
        <w:gridCol w:w="5386"/>
      </w:tblGrid>
      <w:tr w:rsidR="005C239B" w:rsidRPr="005C239B" w14:paraId="0F096281" w14:textId="77777777" w:rsidTr="001B377A">
        <w:tc>
          <w:tcPr>
            <w:tcW w:w="2268" w:type="dxa"/>
            <w:shd w:val="clear" w:color="auto" w:fill="FBD4B4"/>
            <w:tcMar>
              <w:top w:w="57" w:type="dxa"/>
              <w:bottom w:w="57" w:type="dxa"/>
            </w:tcMar>
          </w:tcPr>
          <w:p w14:paraId="35037363" w14:textId="749F405F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Информационны</w:t>
            </w:r>
            <w:r w:rsidR="004C478F"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й</w:t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 документ </w:t>
            </w:r>
          </w:p>
        </w:tc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606E6D49" w14:textId="4C19F016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92" w:name="_Hlk163638474"/>
            <w:r>
              <w:rPr>
                <w:rFonts w:ascii="Arial" w:hAnsi="Arial"/>
                <w:color w:val="000000"/>
                <w:sz w:val="22"/>
                <w:szCs w:val="22"/>
              </w:rPr>
              <w:t>IOC/EC-57/2.</w:t>
            </w:r>
            <w:proofErr w:type="gramStart"/>
            <w:r w:rsidR="00B617FF">
              <w:rPr>
                <w:rFonts w:ascii="Arial" w:hAnsi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.Inf.</w:t>
            </w:r>
            <w:proofErr w:type="gramEnd"/>
            <w:r w:rsidR="00B617FF">
              <w:rPr>
                <w:rFonts w:ascii="Arial" w:hAnsi="Arial"/>
                <w:color w:val="000000"/>
                <w:sz w:val="22"/>
                <w:szCs w:val="22"/>
              </w:rPr>
              <w:t>3</w:t>
            </w:r>
            <w:bookmarkEnd w:id="92"/>
          </w:p>
        </w:tc>
        <w:tc>
          <w:tcPr>
            <w:tcW w:w="5386" w:type="dxa"/>
            <w:shd w:val="clear" w:color="auto" w:fill="auto"/>
            <w:tcMar>
              <w:top w:w="57" w:type="dxa"/>
              <w:bottom w:w="57" w:type="dxa"/>
            </w:tcMar>
          </w:tcPr>
          <w:p w14:paraId="07637EF0" w14:textId="77777777" w:rsidR="005C239B" w:rsidRPr="005C239B" w:rsidRDefault="005C239B" w:rsidP="00D1478D">
            <w:pPr>
              <w:spacing w:after="60"/>
              <w:ind w:right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Представление и краткое изложение лекции памяти Роджера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Ревелла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2024 г.: «Двадцать лет спустя после цунами на Суматре: достижения в области науки о цунами и смягчения негативных последствий цунами», автор Эмиль А. Окал </w:t>
            </w:r>
          </w:p>
        </w:tc>
      </w:tr>
    </w:tbl>
    <w:p w14:paraId="7614B3DF" w14:textId="77777777" w:rsidR="005C239B" w:rsidRPr="00A141A8" w:rsidRDefault="005C239B" w:rsidP="005C239B">
      <w:pPr>
        <w:pStyle w:val="Marge"/>
        <w:spacing w:after="0"/>
        <w:rPr>
          <w:rFonts w:ascii="Arial" w:hAnsi="Arial" w:cs="Arial"/>
          <w:sz w:val="22"/>
          <w:szCs w:val="22"/>
          <w:lang w:eastAsia="en-GB"/>
        </w:rPr>
      </w:pPr>
    </w:p>
    <w:p w14:paraId="13455705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Председатель представил этот пункт повестки дня и напомнил, что традиция проведения лекций памяти Роджера </w:t>
      </w:r>
      <w:proofErr w:type="spellStart"/>
      <w:r>
        <w:t>Ревелла</w:t>
      </w:r>
      <w:proofErr w:type="spellEnd"/>
      <w:r>
        <w:t xml:space="preserve"> была заложена МОК в 1991 г. как дань признания выдающегося вклада в морские научные исследования, связанные с климатом, исследователей-энтузиастов, продолжающих делиться с нами своими знаниями и стратегическим видением проблем, стоящих перед нашей планетой, в целях построения лучшего будущего для человечества. Данная лекция была посвящена Роджеру </w:t>
      </w:r>
      <w:proofErr w:type="spellStart"/>
      <w:r>
        <w:t>Ревеллу</w:t>
      </w:r>
      <w:proofErr w:type="spellEnd"/>
      <w:r>
        <w:t xml:space="preserve"> (1909-1991), одному из первых ученых, </w:t>
      </w:r>
      <w:r>
        <w:lastRenderedPageBreak/>
        <w:t>начавших изучать проблему антропогенного глобального потепления. Он же был одним из отцов-основателей МОК.</w:t>
      </w:r>
    </w:p>
    <w:p w14:paraId="66280898" w14:textId="0C5868C5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Эмиль А. Окал из Северо-Западного Университета (США) прочел лекцию МОК памяти Роджера </w:t>
      </w:r>
      <w:proofErr w:type="spellStart"/>
      <w:r>
        <w:t>Ревелла</w:t>
      </w:r>
      <w:proofErr w:type="spellEnd"/>
      <w:r>
        <w:t xml:space="preserve"> 2024 г., посвященную тематике смягчения негативных последствий цунами спустя 20 лет после катастрофического цунами, случившегося в Индийском океане 26 декабря 2004 г. </w:t>
      </w:r>
      <w:r>
        <w:rPr>
          <w:rStyle w:val="Emphasis"/>
          <w:i w:val="0"/>
          <w:iCs/>
        </w:rPr>
        <w:t>Прошло уже почти 20 лет со времени стихийного бедствия на о. Суматра в 2004 г., после которо</w:t>
      </w:r>
      <w:r w:rsidR="00202D5E" w:rsidRPr="00202D5E">
        <w:rPr>
          <w:rStyle w:val="Emphasis"/>
          <w:i w:val="0"/>
          <w:iCs/>
        </w:rPr>
        <w:t>го</w:t>
      </w:r>
      <w:r>
        <w:rPr>
          <w:rStyle w:val="Emphasis"/>
          <w:i w:val="0"/>
          <w:iCs/>
        </w:rPr>
        <w:t xml:space="preserve"> слово «цунами» стало нарицательным. Это бедствие стало, наверное, самым смертоносным в истории человечества. В связи с этим вопросам минимизации рисков, связанных с цунами, в мире стало уделяться существенное внимание. В ходе лекции был представлен анализ положительных изменений, произошедших в ряде областей.</w:t>
      </w:r>
    </w:p>
    <w:p w14:paraId="28DEAEC0" w14:textId="77777777" w:rsidR="005C239B" w:rsidRPr="005C239B" w:rsidRDefault="005C239B" w:rsidP="005C239B">
      <w:pPr>
        <w:pStyle w:val="Heading1"/>
        <w:numPr>
          <w:ilvl w:val="0"/>
          <w:numId w:val="9"/>
        </w:numPr>
        <w:tabs>
          <w:tab w:val="left" w:pos="709"/>
        </w:tabs>
        <w:spacing w:before="360"/>
        <w:ind w:left="709" w:hanging="720"/>
        <w:rPr>
          <w:rFonts w:cs="Arial"/>
          <w:szCs w:val="22"/>
        </w:rPr>
      </w:pPr>
      <w:bookmarkStart w:id="93" w:name="_Toc31634891"/>
      <w:bookmarkStart w:id="94" w:name="_Toc57369050"/>
      <w:bookmarkStart w:id="95" w:name="_Toc85469058"/>
      <w:bookmarkStart w:id="96" w:name="_Toc92752489"/>
      <w:bookmarkStart w:id="97" w:name="_Toc166740226"/>
      <w:r>
        <w:t>ДОКЛАДЫ</w:t>
      </w:r>
      <w:bookmarkEnd w:id="93"/>
      <w:bookmarkEnd w:id="94"/>
      <w:bookmarkEnd w:id="95"/>
      <w:bookmarkEnd w:id="96"/>
      <w:bookmarkEnd w:id="97"/>
    </w:p>
    <w:p w14:paraId="01E2B513" w14:textId="74365897" w:rsidR="005C239B" w:rsidRPr="005C239B" w:rsidRDefault="005C239B" w:rsidP="005C239B">
      <w:pPr>
        <w:pStyle w:val="Heading2"/>
        <w:ind w:left="709" w:hanging="709"/>
        <w:rPr>
          <w:rFonts w:cs="Arial"/>
          <w:szCs w:val="22"/>
        </w:rPr>
      </w:pPr>
      <w:bookmarkStart w:id="98" w:name="_Toc85469059"/>
      <w:bookmarkStart w:id="99" w:name="_Toc92752490"/>
      <w:bookmarkStart w:id="100" w:name="_Toc166740227"/>
      <w:r>
        <w:t>3.1</w:t>
      </w:r>
      <w:r>
        <w:tab/>
        <w:t>ДОКЛАД ИСПОЛНИТЕЛЬНОГО СЕКРЕТАРЯ О РАБОТЕ, ПРОДЕЛАННОЙ ПОСЛЕ 32</w:t>
      </w:r>
      <w:r w:rsidR="002C0618" w:rsidRPr="002C0618">
        <w:noBreakHyphen/>
      </w:r>
      <w:r>
        <w:t>й СЕССИИ АССАМБЛЕИ (июль 2023 г. – май 2024 г.)</w:t>
      </w:r>
      <w:r>
        <w:br/>
        <w:t>[</w:t>
      </w:r>
      <w:r w:rsidR="00355FF3">
        <w:rPr>
          <w:caps w:val="0"/>
        </w:rPr>
        <w:t>статья 31 Правил процедуры</w:t>
      </w:r>
      <w:r>
        <w:t>]</w:t>
      </w:r>
      <w:bookmarkEnd w:id="98"/>
      <w:bookmarkEnd w:id="99"/>
      <w:bookmarkEnd w:id="100"/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2202"/>
        <w:gridCol w:w="2510"/>
        <w:gridCol w:w="4961"/>
      </w:tblGrid>
      <w:tr w:rsidR="005C239B" w:rsidRPr="005C239B" w14:paraId="5B99CA20" w14:textId="77777777" w:rsidTr="002C0618">
        <w:tc>
          <w:tcPr>
            <w:tcW w:w="2202" w:type="dxa"/>
            <w:shd w:val="clear" w:color="auto" w:fill="FFFF99"/>
            <w:tcMar>
              <w:top w:w="57" w:type="dxa"/>
              <w:bottom w:w="57" w:type="dxa"/>
            </w:tcMar>
          </w:tcPr>
          <w:p w14:paraId="71494BA7" w14:textId="4E93FDD3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Рабочие </w:t>
            </w:r>
            <w:r w:rsidR="004A0465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en-US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документы</w:t>
            </w:r>
          </w:p>
        </w:tc>
        <w:tc>
          <w:tcPr>
            <w:tcW w:w="2510" w:type="dxa"/>
            <w:shd w:val="clear" w:color="auto" w:fill="FFFF99"/>
            <w:tcMar>
              <w:top w:w="57" w:type="dxa"/>
              <w:bottom w:w="57" w:type="dxa"/>
            </w:tcMar>
          </w:tcPr>
          <w:p w14:paraId="23E836E4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IOC/EC-57/3.1.Doc(1) и Добавление </w:t>
            </w:r>
          </w:p>
        </w:tc>
        <w:tc>
          <w:tcPr>
            <w:tcW w:w="4961" w:type="dxa"/>
            <w:shd w:val="clear" w:color="auto" w:fill="FFFF99"/>
            <w:tcMar>
              <w:top w:w="57" w:type="dxa"/>
              <w:bottom w:w="57" w:type="dxa"/>
            </w:tcMar>
          </w:tcPr>
          <w:p w14:paraId="1E8E7E8E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Доклад Исполнительного секретаря МОК о работе, проделанной после 32-й сессии Ассамблеи (июль 2023 г. – май 2024 г.)</w:t>
            </w:r>
          </w:p>
        </w:tc>
      </w:tr>
      <w:tr w:rsidR="005C239B" w:rsidRPr="005C239B" w14:paraId="118E2869" w14:textId="77777777" w:rsidTr="002C0618">
        <w:tc>
          <w:tcPr>
            <w:tcW w:w="2202" w:type="dxa"/>
            <w:shd w:val="clear" w:color="auto" w:fill="FFFF99"/>
            <w:tcMar>
              <w:top w:w="57" w:type="dxa"/>
              <w:bottom w:w="57" w:type="dxa"/>
            </w:tcMar>
          </w:tcPr>
          <w:p w14:paraId="35EC24D6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10" w:type="dxa"/>
            <w:shd w:val="clear" w:color="auto" w:fill="FFFF99"/>
            <w:tcMar>
              <w:top w:w="57" w:type="dxa"/>
              <w:bottom w:w="57" w:type="dxa"/>
            </w:tcMar>
          </w:tcPr>
          <w:p w14:paraId="3F4DFF35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IOC/EC-57/3.1.Doc(2)</w:t>
            </w:r>
          </w:p>
        </w:tc>
        <w:tc>
          <w:tcPr>
            <w:tcW w:w="4961" w:type="dxa"/>
            <w:shd w:val="clear" w:color="auto" w:fill="FFFF99"/>
            <w:tcMar>
              <w:top w:w="57" w:type="dxa"/>
              <w:bottom w:w="57" w:type="dxa"/>
            </w:tcMar>
          </w:tcPr>
          <w:p w14:paraId="2E446973" w14:textId="3B7B9C77" w:rsidR="005C239B" w:rsidRPr="005C239B" w:rsidRDefault="005C239B" w:rsidP="001B377A">
            <w:pPr>
              <w:spacing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Доклад об исполнении бюджета на 2022-2023</w:t>
            </w:r>
            <w:r w:rsidR="002C0618">
              <w:rPr>
                <w:rFonts w:ascii="Arial" w:hAnsi="Arial"/>
                <w:bCs/>
                <w:color w:val="000000"/>
                <w:sz w:val="22"/>
                <w:szCs w:val="22"/>
                <w:lang w:val="fr-FR"/>
              </w:rPr>
              <w:t> </w:t>
            </w: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гг. (документ 41 С/5) по состоянию на 31</w:t>
            </w:r>
            <w:r w:rsidR="002C0618">
              <w:rPr>
                <w:rFonts w:ascii="Arial" w:hAnsi="Arial"/>
                <w:bCs/>
                <w:color w:val="000000"/>
                <w:sz w:val="22"/>
                <w:szCs w:val="22"/>
                <w:lang w:val="fr-FR"/>
              </w:rPr>
              <w:t> </w:t>
            </w: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декабря 2023 г.</w:t>
            </w:r>
          </w:p>
        </w:tc>
      </w:tr>
      <w:tr w:rsidR="005C239B" w:rsidRPr="005C239B" w14:paraId="4D66BF03" w14:textId="77777777" w:rsidTr="002C0618">
        <w:tc>
          <w:tcPr>
            <w:tcW w:w="2202" w:type="dxa"/>
            <w:shd w:val="clear" w:color="auto" w:fill="FFFF99"/>
            <w:tcMar>
              <w:top w:w="57" w:type="dxa"/>
              <w:bottom w:w="57" w:type="dxa"/>
            </w:tcMar>
          </w:tcPr>
          <w:p w14:paraId="15B11080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10" w:type="dxa"/>
            <w:shd w:val="clear" w:color="auto" w:fill="FFFF99"/>
            <w:tcMar>
              <w:top w:w="57" w:type="dxa"/>
              <w:bottom w:w="57" w:type="dxa"/>
            </w:tcMar>
          </w:tcPr>
          <w:p w14:paraId="44D2B57F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IOC/EC-57/3.1.Doc(3)</w:t>
            </w:r>
          </w:p>
          <w:p w14:paraId="6289AF69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99"/>
            <w:tcMar>
              <w:top w:w="57" w:type="dxa"/>
              <w:bottom w:w="57" w:type="dxa"/>
            </w:tcMar>
          </w:tcPr>
          <w:p w14:paraId="571B4D06" w14:textId="2A2192CC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Финансовое положение Специального счета МОК</w:t>
            </w:r>
            <w:r w:rsidR="0043466B" w:rsidRPr="0043466B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по состоянию на конец 2023 г. и прогноз на 2024-2025 гг.</w:t>
            </w:r>
          </w:p>
        </w:tc>
      </w:tr>
      <w:tr w:rsidR="005C239B" w:rsidRPr="005C239B" w14:paraId="53088C2B" w14:textId="77777777" w:rsidTr="002C0618">
        <w:tc>
          <w:tcPr>
            <w:tcW w:w="2202" w:type="dxa"/>
            <w:shd w:val="clear" w:color="auto" w:fill="FFFF99"/>
            <w:tcMar>
              <w:top w:w="57" w:type="dxa"/>
              <w:bottom w:w="57" w:type="dxa"/>
            </w:tcMar>
          </w:tcPr>
          <w:p w14:paraId="79BABC24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10" w:type="dxa"/>
            <w:shd w:val="clear" w:color="auto" w:fill="FFFF99"/>
            <w:tcMar>
              <w:top w:w="57" w:type="dxa"/>
              <w:bottom w:w="57" w:type="dxa"/>
            </w:tcMar>
          </w:tcPr>
          <w:p w14:paraId="0BD09A0E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IOC/EC-57/3.1.Doc(4)</w:t>
            </w:r>
          </w:p>
        </w:tc>
        <w:tc>
          <w:tcPr>
            <w:tcW w:w="4961" w:type="dxa"/>
            <w:shd w:val="clear" w:color="auto" w:fill="FFFF99"/>
            <w:tcMar>
              <w:top w:w="57" w:type="dxa"/>
              <w:bottom w:w="57" w:type="dxa"/>
            </w:tcMar>
          </w:tcPr>
          <w:p w14:paraId="5CB2D0FE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Процесс консультаций – МОК и будущее Мирового океана: устойчивое осуществление и расширение деятельности МОК</w:t>
            </w:r>
          </w:p>
        </w:tc>
      </w:tr>
      <w:tr w:rsidR="005C239B" w:rsidRPr="005C239B" w14:paraId="1AEC6B4E" w14:textId="77777777" w:rsidTr="002C0618">
        <w:tc>
          <w:tcPr>
            <w:tcW w:w="2202" w:type="dxa"/>
            <w:shd w:val="clear" w:color="auto" w:fill="FBD4B4"/>
            <w:tcMar>
              <w:top w:w="57" w:type="dxa"/>
              <w:bottom w:w="57" w:type="dxa"/>
            </w:tcMar>
          </w:tcPr>
          <w:p w14:paraId="09F63D0B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Информационные документы</w:t>
            </w:r>
          </w:p>
        </w:tc>
        <w:tc>
          <w:tcPr>
            <w:tcW w:w="2510" w:type="dxa"/>
            <w:shd w:val="clear" w:color="auto" w:fill="auto"/>
            <w:tcMar>
              <w:top w:w="57" w:type="dxa"/>
              <w:bottom w:w="57" w:type="dxa"/>
            </w:tcMar>
          </w:tcPr>
          <w:p w14:paraId="4690864B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IOC/INF-1535</w:t>
            </w:r>
          </w:p>
        </w:tc>
        <w:tc>
          <w:tcPr>
            <w:tcW w:w="4961" w:type="dxa"/>
            <w:shd w:val="clear" w:color="auto" w:fill="auto"/>
            <w:tcMar>
              <w:top w:w="57" w:type="dxa"/>
              <w:bottom w:w="57" w:type="dxa"/>
            </w:tcMar>
          </w:tcPr>
          <w:p w14:paraId="317CC709" w14:textId="24F9A5C3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Пересмотренный меморандум о взаимопонимании в отношении Глобальной системы наблюдений за климатом (ГСНК)</w:t>
            </w:r>
          </w:p>
        </w:tc>
      </w:tr>
      <w:tr w:rsidR="005C239B" w:rsidRPr="005C239B" w14:paraId="33F71DAF" w14:textId="77777777" w:rsidTr="002C0618">
        <w:tc>
          <w:tcPr>
            <w:tcW w:w="2202" w:type="dxa"/>
            <w:shd w:val="clear" w:color="auto" w:fill="FBD4B4"/>
            <w:tcMar>
              <w:top w:w="57" w:type="dxa"/>
              <w:bottom w:w="57" w:type="dxa"/>
            </w:tcMar>
          </w:tcPr>
          <w:p w14:paraId="7ADD4A4D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10" w:type="dxa"/>
            <w:shd w:val="clear" w:color="auto" w:fill="auto"/>
            <w:tcMar>
              <w:top w:w="57" w:type="dxa"/>
              <w:bottom w:w="57" w:type="dxa"/>
            </w:tcMar>
          </w:tcPr>
          <w:p w14:paraId="16786A4E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IOC/INF-1536</w:t>
            </w:r>
          </w:p>
        </w:tc>
        <w:tc>
          <w:tcPr>
            <w:tcW w:w="4961" w:type="dxa"/>
            <w:shd w:val="clear" w:color="auto" w:fill="auto"/>
            <w:tcMar>
              <w:top w:w="57" w:type="dxa"/>
              <w:bottom w:w="57" w:type="dxa"/>
            </w:tcMar>
          </w:tcPr>
          <w:p w14:paraId="2492EF68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Самооценка эффективности деятельности Совместного совета по сотрудничеству между ВМО и МОК</w:t>
            </w:r>
          </w:p>
        </w:tc>
      </w:tr>
      <w:tr w:rsidR="005C239B" w:rsidRPr="005C239B" w14:paraId="50A0EA97" w14:textId="77777777" w:rsidTr="002C0618">
        <w:tc>
          <w:tcPr>
            <w:tcW w:w="2202" w:type="dxa"/>
            <w:shd w:val="clear" w:color="auto" w:fill="D5DCE4"/>
            <w:tcMar>
              <w:top w:w="57" w:type="dxa"/>
              <w:bottom w:w="57" w:type="dxa"/>
            </w:tcMar>
          </w:tcPr>
          <w:p w14:paraId="2A3A7F31" w14:textId="0A45C40F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Справочны</w:t>
            </w:r>
            <w:r w:rsidR="004C478F"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й</w:t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r w:rsidR="002C0618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fr-FR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</w:t>
            </w:r>
          </w:p>
        </w:tc>
        <w:tc>
          <w:tcPr>
            <w:tcW w:w="2510" w:type="dxa"/>
            <w:shd w:val="clear" w:color="auto" w:fill="auto"/>
            <w:tcMar>
              <w:top w:w="57" w:type="dxa"/>
              <w:bottom w:w="57" w:type="dxa"/>
            </w:tcMar>
          </w:tcPr>
          <w:p w14:paraId="212E529E" w14:textId="3C94D249" w:rsidR="005C239B" w:rsidRPr="00A4283E" w:rsidRDefault="00795B47" w:rsidP="001B377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hyperlink r:id="rId15" w:history="1">
              <w:r w:rsidR="005C239B">
                <w:rPr>
                  <w:rStyle w:val="Hyperlink"/>
                  <w:rFonts w:ascii="Arial" w:hAnsi="Arial"/>
                  <w:color w:val="000000"/>
                  <w:sz w:val="22"/>
                  <w:szCs w:val="22"/>
                </w:rPr>
                <w:t>217 EX/</w:t>
              </w:r>
              <w:proofErr w:type="gramStart"/>
              <w:r w:rsidR="005C239B">
                <w:rPr>
                  <w:rStyle w:val="Hyperlink"/>
                  <w:rFonts w:ascii="Arial" w:hAnsi="Arial"/>
                  <w:color w:val="000000"/>
                  <w:sz w:val="22"/>
                  <w:szCs w:val="22"/>
                </w:rPr>
                <w:t>4.I.</w:t>
              </w:r>
              <w:proofErr w:type="gramEnd"/>
            </w:hyperlink>
            <w:r w:rsidR="00B617FF">
              <w:rPr>
                <w:rStyle w:val="Hyperlink"/>
                <w:rFonts w:ascii="Arial" w:hAnsi="Arial"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4961" w:type="dxa"/>
            <w:shd w:val="clear" w:color="auto" w:fill="auto"/>
            <w:tcMar>
              <w:top w:w="57" w:type="dxa"/>
              <w:bottom w:w="57" w:type="dxa"/>
            </w:tcMar>
          </w:tcPr>
          <w:p w14:paraId="09244CBF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ЮНЕСКО и Мировой океан: основные итоги межсекторального взаимодействия в рамках Десятилетия ООН, посвященного науке об океане в интересах устойчивого развития</w:t>
            </w:r>
          </w:p>
        </w:tc>
      </w:tr>
    </w:tbl>
    <w:p w14:paraId="48548D54" w14:textId="77777777" w:rsidR="005C239B" w:rsidRPr="005C239B" w:rsidRDefault="005C239B" w:rsidP="005C239B">
      <w:pPr>
        <w:rPr>
          <w:rFonts w:ascii="Arial" w:hAnsi="Arial" w:cs="Arial"/>
          <w:sz w:val="22"/>
          <w:szCs w:val="22"/>
        </w:rPr>
      </w:pPr>
      <w:bookmarkStart w:id="101" w:name="_Hlk101797503"/>
      <w:bookmarkStart w:id="102" w:name="_Hlk101797204"/>
    </w:p>
    <w:p w14:paraId="6EBEAD9F" w14:textId="77777777" w:rsidR="005C239B" w:rsidRPr="005C239B" w:rsidRDefault="005C239B" w:rsidP="00A4283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Этот пункт повестки дня представил Исполнительный секретарь МОК.</w:t>
      </w:r>
    </w:p>
    <w:p w14:paraId="2417B25C" w14:textId="15C2FFB4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rPr>
          <w:rStyle w:val="Ingen"/>
        </w:rPr>
        <w:t>Он поблагодарил государства-члены за доверие, оказанное ему в прошлом году при выдвижении кандидатур, а также за теплый прием со стороны Организации, в том числе многочисленные теплые письменные поздравления. Он поблагодарил за существенные результаты, которых удалось достичь несмотря на ограниченное число штатных сотрудников МОК, и подчеркнул важность сетевого характера МОК, а также опоры на активную вовлеченность и коллективные усилия учреждений и частных лиц государств-членов.</w:t>
      </w:r>
    </w:p>
    <w:p w14:paraId="3C22482B" w14:textId="32531B7C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lastRenderedPageBreak/>
        <w:t>В связи с увеличением бюджетной сметы на 2024-2025 гг., утвержденной благодаря реальной заинтересованности и поддержке государств</w:t>
      </w:r>
      <w:r w:rsidR="00F73A57" w:rsidRPr="00F73A57">
        <w:t xml:space="preserve"> </w:t>
      </w:r>
      <w:r w:rsidR="00F73A57">
        <w:t>–</w:t>
      </w:r>
      <w:r w:rsidR="00F73A57" w:rsidRPr="00F73A57">
        <w:t xml:space="preserve"> </w:t>
      </w:r>
      <w:r>
        <w:t>членов МОК, осуществление программ Комиссии активизировалось во всех ее функциональных областях и по всей цепочке создания добавленной стоимости. В особенности это коснулось долгосрочных устойчивых наблюдений и систем управления данными и информацией, а также деятельности региональных вспомогательных органов  МОК и мероприятий, касающихся укрепления потенциала государств-членов.</w:t>
      </w:r>
    </w:p>
    <w:p w14:paraId="0A375DCF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Проведение 10-12 апреля 2024 г. в Барселоне международной конференции, посвященной Десятилетию науки об океане, позволило собрать представителей глобального мореведческого сообщества для представления результатов, достигнутых в последние три года, а также для их критической оценки и формулирования коллективной стратегии на период до 2030 г. («Стратегия-2030»). Исполнительный секретарь дал высокую оценку работе сопредседателей и членов десяти рабочих групп, созданных в рамках механизма «На пути к 2030 году».</w:t>
      </w:r>
    </w:p>
    <w:p w14:paraId="09168CEB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Эти новые направления работы в рамках Десятилетия станут важным вкладом в подготовку Конференции ООН по проблемам океана (2025 г.), организуемую совместно Францией и Коста-Рикой, и позволят определить области, требующие принятия дополнительных усилий на национальном и международном уровнях для реализации ЦУР 14.</w:t>
      </w:r>
    </w:p>
    <w:p w14:paraId="4128C81F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Вместе с тем, несмотря на важность проводимых в настоящее время международных конференций, посвященных проблематике Мирового океана, Исполнительный секретарь подчеркнул необходимость принятия на основе накопленного опыта более энергичных мер на национальном уровне для минимизации последствий и реагирования на критические изменения, происходящие сегодня в морской среде и имеющие серьезные и одновременно неопределенные последствия для Мирового океана, нашей планеты и всего человечества.</w:t>
      </w:r>
    </w:p>
    <w:p w14:paraId="5492224E" w14:textId="2621A322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Напомнив о решении IOC/А-32/5 Ассамблеи МОК (2023 г.), Исполнительный секретарь предложил государствам-членам начать новый процесс консультаций по теме «МОК и будущее Мирового океана». На фоне серьезных изменений в состоянии Мирового океана и возросшего внимания к связанным с этим проблемам Ассамблея МОК в своем решении указала, каким образом МОК могла бы на основе сформулированных в ее Уставе целей оказать государствам-членам и другим заинтересованным сторонам содействие в вопросах планирования </w:t>
      </w:r>
      <w:proofErr w:type="spellStart"/>
      <w:r>
        <w:t>морепользовательской</w:t>
      </w:r>
      <w:proofErr w:type="spellEnd"/>
      <w:r>
        <w:t xml:space="preserve"> деятельности на принципах неистощительного освоения, осуществления природоохранных конвенций и рамочных программ ООН с опорой на результаты морских научных исследований, а также в вопросах устойчивого развития морского хозяйства. Указанный консультационный процесс будет осуществляться поэтапно и обеспечит методологическую основу при разработке следующей четырехгодичной программы МОК на 2026-2029 гг., а также базовые положения следующей среднесрочной стратегии на период с 2030</w:t>
      </w:r>
      <w:r w:rsidR="004A0465">
        <w:rPr>
          <w:lang w:val="en-US"/>
        </w:rPr>
        <w:t> </w:t>
      </w:r>
      <w:r>
        <w:t>г. и далее.</w:t>
      </w:r>
    </w:p>
    <w:tbl>
      <w:tblPr>
        <w:tblW w:w="0" w:type="auto"/>
        <w:shd w:val="clear" w:color="auto" w:fill="CCFFCC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5C239B" w:rsidRPr="005C239B" w14:paraId="15C3D8B8" w14:textId="77777777" w:rsidTr="001B377A">
        <w:trPr>
          <w:trHeight w:val="604"/>
        </w:trPr>
        <w:tc>
          <w:tcPr>
            <w:tcW w:w="9747" w:type="dxa"/>
            <w:shd w:val="clear" w:color="auto" w:fill="CCFFCC"/>
            <w:tcMar>
              <w:top w:w="113" w:type="dxa"/>
              <w:bottom w:w="113" w:type="dxa"/>
            </w:tcMar>
          </w:tcPr>
          <w:p w14:paraId="053AEA66" w14:textId="77777777" w:rsidR="005C239B" w:rsidRPr="005C239B" w:rsidRDefault="005C239B" w:rsidP="001B377A">
            <w:pPr>
              <w:spacing w:after="120"/>
              <w:jc w:val="both"/>
              <w:rPr>
                <w:rFonts w:ascii="Arial" w:hAnsi="Arial" w:cs="Arial"/>
                <w:bCs/>
                <w:iCs/>
                <w:sz w:val="22"/>
                <w:szCs w:val="22"/>
                <w:u w:val="single"/>
              </w:rPr>
            </w:pPr>
            <w:bookmarkStart w:id="103" w:name="_Hlk85467353"/>
            <w:bookmarkEnd w:id="101"/>
            <w:r>
              <w:rPr>
                <w:rFonts w:ascii="Arial" w:hAnsi="Arial"/>
                <w:bCs/>
                <w:sz w:val="22"/>
                <w:szCs w:val="22"/>
                <w:u w:val="single"/>
              </w:rPr>
              <w:t>Реш. EC-57/3.1</w:t>
            </w:r>
          </w:p>
          <w:p w14:paraId="403EF949" w14:textId="77777777" w:rsidR="005C239B" w:rsidRPr="005C239B" w:rsidRDefault="005C239B" w:rsidP="001B377A">
            <w:pPr>
              <w:spacing w:after="240"/>
              <w:ind w:left="709" w:hanging="709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Cs/>
                <w:sz w:val="22"/>
                <w:szCs w:val="22"/>
              </w:rPr>
              <w:t>Доклад Исполнительного секретаря</w:t>
            </w:r>
          </w:p>
          <w:p w14:paraId="4AEE4221" w14:textId="77777777" w:rsidR="005C239B" w:rsidRPr="005C239B" w:rsidRDefault="005C239B" w:rsidP="001B377A">
            <w:pPr>
              <w:spacing w:after="120"/>
              <w:ind w:left="709" w:hanging="709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Исполнительный совет,</w:t>
            </w:r>
          </w:p>
          <w:p w14:paraId="316BD94F" w14:textId="77777777" w:rsidR="005C239B" w:rsidRPr="005C239B" w:rsidRDefault="005C239B" w:rsidP="0052306E">
            <w:pPr>
              <w:numPr>
                <w:ilvl w:val="0"/>
                <w:numId w:val="14"/>
              </w:numPr>
              <w:spacing w:after="240"/>
              <w:ind w:left="1134" w:hanging="565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рассмотрев</w:t>
            </w:r>
            <w:r>
              <w:rPr>
                <w:rFonts w:ascii="Arial" w:hAnsi="Arial"/>
                <w:sz w:val="22"/>
                <w:szCs w:val="22"/>
              </w:rPr>
              <w:t xml:space="preserve"> документы IOC/EC-57/3.1.Doc(1), IOC/EC-57/3.1.Doc(2) Part 2 и IOC/EC-57/3.1.Doc(3),</w:t>
            </w:r>
          </w:p>
          <w:p w14:paraId="117C8611" w14:textId="77777777" w:rsidR="005C239B" w:rsidRPr="005C239B" w:rsidRDefault="005C239B" w:rsidP="0052306E">
            <w:pPr>
              <w:numPr>
                <w:ilvl w:val="0"/>
                <w:numId w:val="14"/>
              </w:numPr>
              <w:spacing w:after="240"/>
              <w:ind w:left="1134" w:hanging="565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u w:val="single"/>
              </w:rPr>
              <w:t>благодарит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Исполнительного секретаря за весьма исчерпывающий доклад;</w:t>
            </w:r>
          </w:p>
          <w:p w14:paraId="712FEFE6" w14:textId="77777777" w:rsidR="005C239B" w:rsidRPr="005C239B" w:rsidRDefault="005C239B" w:rsidP="0052306E">
            <w:pPr>
              <w:numPr>
                <w:ilvl w:val="0"/>
                <w:numId w:val="14"/>
              </w:numPr>
              <w:spacing w:after="240"/>
              <w:ind w:left="1134" w:hanging="56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принимает к сведению</w:t>
            </w:r>
            <w:r>
              <w:rPr>
                <w:rFonts w:ascii="Arial" w:hAnsi="Arial"/>
                <w:sz w:val="22"/>
                <w:szCs w:val="22"/>
              </w:rPr>
              <w:t xml:space="preserve"> представленную информацию, с удовлетворением отмечая значимые положительные изменения во многих областях программной деятельности;</w:t>
            </w:r>
          </w:p>
          <w:p w14:paraId="57132D75" w14:textId="77777777" w:rsidR="005C239B" w:rsidRPr="005C239B" w:rsidRDefault="005C239B" w:rsidP="0052306E">
            <w:pPr>
              <w:numPr>
                <w:ilvl w:val="0"/>
                <w:numId w:val="14"/>
              </w:numPr>
              <w:spacing w:after="240"/>
              <w:ind w:left="1134" w:hanging="565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u w:val="single"/>
              </w:rPr>
              <w:lastRenderedPageBreak/>
              <w:t>предлагает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Исполнительному секретарю начать процесс консультаций по теме «МОК и будущее Мирового океана: устойчивое осуществление и расширение деятельности МОК», как это предусмотрено в документе IOC/EC-57/3.1.Doc(4) и с учетом дискуссий и рекомендаций государств-членов по этому вопросу.</w:t>
            </w:r>
          </w:p>
        </w:tc>
      </w:tr>
      <w:bookmarkEnd w:id="102"/>
      <w:bookmarkEnd w:id="103"/>
    </w:tbl>
    <w:p w14:paraId="155DBDF3" w14:textId="77777777" w:rsidR="005C239B" w:rsidRPr="00A141A8" w:rsidRDefault="005C239B" w:rsidP="005C239B">
      <w:pPr>
        <w:rPr>
          <w:rFonts w:ascii="Arial" w:hAnsi="Arial" w:cs="Arial"/>
          <w:sz w:val="22"/>
          <w:szCs w:val="22"/>
        </w:rPr>
      </w:pPr>
    </w:p>
    <w:p w14:paraId="484CC21B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14"/>
        </w:tabs>
        <w:ind w:left="0" w:hanging="686"/>
        <w:rPr>
          <w:rFonts w:cs="Arial"/>
        </w:rPr>
      </w:pPr>
      <w: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43BF73CE" w14:textId="1C58839F" w:rsidR="005C239B" w:rsidRPr="005C239B" w:rsidRDefault="005C239B" w:rsidP="005C239B">
      <w:pPr>
        <w:pStyle w:val="Heading2"/>
        <w:tabs>
          <w:tab w:val="clear" w:pos="737"/>
        </w:tabs>
        <w:ind w:left="709" w:hanging="709"/>
        <w:rPr>
          <w:rFonts w:cs="Arial"/>
          <w:szCs w:val="22"/>
        </w:rPr>
      </w:pPr>
      <w:bookmarkStart w:id="104" w:name="_Toc85469063"/>
      <w:bookmarkStart w:id="105" w:name="_Toc92752494"/>
      <w:bookmarkStart w:id="106" w:name="_Toc166740228"/>
      <w:bookmarkStart w:id="107" w:name="_Toc38080253"/>
      <w:bookmarkStart w:id="108" w:name="_Toc100506265"/>
      <w:bookmarkStart w:id="109" w:name="_Toc135143714"/>
      <w:bookmarkStart w:id="110" w:name="_Toc164651235"/>
      <w:bookmarkStart w:id="111" w:name="_Toc199912196"/>
      <w:bookmarkStart w:id="112" w:name="_Toc225590804"/>
      <w:bookmarkStart w:id="113" w:name="_Toc225660265"/>
      <w:r>
        <w:t>3.2</w:t>
      </w:r>
      <w:r>
        <w:tab/>
        <w:t>ДОКЛАДЫ ВСПОМОГАТЕЛЬНЫХ ОРГАНОВ МОК</w:t>
      </w:r>
      <w:r>
        <w:br/>
        <w:t>[</w:t>
      </w:r>
      <w:r w:rsidR="004C478F">
        <w:rPr>
          <w:caps w:val="0"/>
        </w:rPr>
        <w:t>статья 30.3 Правил процедуры</w:t>
      </w:r>
      <w:r>
        <w:t>]</w:t>
      </w:r>
      <w:bookmarkEnd w:id="104"/>
      <w:bookmarkEnd w:id="105"/>
      <w:bookmarkEnd w:id="106"/>
    </w:p>
    <w:p w14:paraId="22CA7231" w14:textId="7BD115FD" w:rsidR="005C239B" w:rsidRPr="005C239B" w:rsidRDefault="005C239B" w:rsidP="005C239B">
      <w:pPr>
        <w:pStyle w:val="Heading3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970"/>
        </w:tabs>
        <w:ind w:left="709" w:hanging="709"/>
        <w:rPr>
          <w:rFonts w:cs="Arial"/>
          <w:szCs w:val="22"/>
        </w:rPr>
      </w:pPr>
      <w:bookmarkStart w:id="114" w:name="_Toc85469064"/>
      <w:bookmarkStart w:id="115" w:name="_Toc92752495"/>
      <w:bookmarkStart w:id="116" w:name="_Toc166740229"/>
      <w:r>
        <w:t>3.5.1</w:t>
      </w:r>
      <w:r>
        <w:tab/>
      </w:r>
      <w:r w:rsidR="00B23265" w:rsidRPr="00E06DA0">
        <w:tab/>
      </w:r>
      <w:r>
        <w:t>Системы предупреждения об опасных океанических явлениях и смягчения их последствий</w:t>
      </w:r>
      <w:bookmarkEnd w:id="114"/>
      <w:bookmarkEnd w:id="115"/>
      <w:bookmarkEnd w:id="116"/>
    </w:p>
    <w:p w14:paraId="4B8B78CC" w14:textId="77777777" w:rsidR="005C239B" w:rsidRPr="005C239B" w:rsidRDefault="005C239B" w:rsidP="00B23265">
      <w:pPr>
        <w:pStyle w:val="Heading3"/>
        <w:ind w:left="1560" w:hanging="851"/>
        <w:rPr>
          <w:rFonts w:cs="Arial"/>
          <w:b w:val="0"/>
          <w:bCs w:val="0"/>
          <w:i/>
          <w:iCs/>
          <w:szCs w:val="22"/>
        </w:rPr>
      </w:pPr>
      <w:bookmarkStart w:id="117" w:name="_Toc85469065"/>
      <w:bookmarkStart w:id="118" w:name="_Toc92752496"/>
      <w:bookmarkStart w:id="119" w:name="_Toc166740230"/>
      <w:r>
        <w:rPr>
          <w:b w:val="0"/>
          <w:bCs w:val="0"/>
          <w:i/>
          <w:iCs/>
          <w:szCs w:val="22"/>
        </w:rPr>
        <w:t>3.2.1.1</w:t>
      </w:r>
      <w:r>
        <w:rPr>
          <w:b w:val="0"/>
          <w:bCs w:val="0"/>
          <w:i/>
          <w:iCs/>
          <w:szCs w:val="22"/>
        </w:rPr>
        <w:tab/>
        <w:t>Региональные службы раннего предупреждения</w:t>
      </w:r>
      <w:bookmarkEnd w:id="117"/>
      <w:bookmarkEnd w:id="118"/>
      <w:bookmarkEnd w:id="119"/>
    </w:p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1310"/>
        <w:gridCol w:w="3118"/>
        <w:gridCol w:w="5387"/>
      </w:tblGrid>
      <w:tr w:rsidR="005C239B" w:rsidRPr="005C239B" w14:paraId="15462902" w14:textId="77777777" w:rsidTr="002C0618">
        <w:tc>
          <w:tcPr>
            <w:tcW w:w="1310" w:type="dxa"/>
            <w:shd w:val="clear" w:color="auto" w:fill="E2EFD9"/>
            <w:tcMar>
              <w:top w:w="57" w:type="dxa"/>
              <w:bottom w:w="57" w:type="dxa"/>
            </w:tcMar>
          </w:tcPr>
          <w:p w14:paraId="40A61063" w14:textId="77777777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Доклады</w:t>
            </w:r>
          </w:p>
        </w:tc>
        <w:tc>
          <w:tcPr>
            <w:tcW w:w="3118" w:type="dxa"/>
            <w:shd w:val="clear" w:color="auto" w:fill="auto"/>
            <w:tcMar>
              <w:top w:w="57" w:type="dxa"/>
              <w:bottom w:w="57" w:type="dxa"/>
            </w:tcMar>
          </w:tcPr>
          <w:p w14:paraId="3DCF7D7B" w14:textId="062E14E5" w:rsidR="005C239B" w:rsidRPr="00A141A8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141A8">
              <w:rPr>
                <w:rFonts w:ascii="Arial" w:hAnsi="Arial"/>
                <w:sz w:val="22"/>
                <w:szCs w:val="22"/>
                <w:lang w:val="en-US"/>
              </w:rPr>
              <w:t xml:space="preserve">IOC/ICG-CARIBE EWS-XVII/3s </w:t>
            </w:r>
          </w:p>
        </w:tc>
        <w:tc>
          <w:tcPr>
            <w:tcW w:w="5387" w:type="dxa"/>
            <w:shd w:val="clear" w:color="auto" w:fill="auto"/>
            <w:tcMar>
              <w:top w:w="57" w:type="dxa"/>
              <w:bottom w:w="57" w:type="dxa"/>
            </w:tcMar>
          </w:tcPr>
          <w:p w14:paraId="5C0DB784" w14:textId="0DDD469E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Краткий </w:t>
            </w:r>
            <w:r w:rsidR="00B617FF">
              <w:rPr>
                <w:rFonts w:ascii="Arial" w:hAnsi="Arial"/>
                <w:color w:val="000000"/>
                <w:sz w:val="22"/>
                <w:szCs w:val="22"/>
              </w:rPr>
              <w:t xml:space="preserve">рабочий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доклад 1</w:t>
            </w:r>
            <w:r w:rsidR="00B617FF">
              <w:rPr>
                <w:rFonts w:ascii="Arial" w:hAnsi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-й сессии Межправительственной координационной группы по системе предупреждения о цунами и опасности других бедствий в прибрежных районах Карибского бассейна и прилегающих регионах (МКГ/КАРИБ-СРП), 6</w:t>
            </w:r>
            <w:r w:rsidR="002C0618" w:rsidRPr="002C0618">
              <w:rPr>
                <w:rFonts w:ascii="Arial" w:hAnsi="Arial"/>
                <w:color w:val="000000"/>
                <w:sz w:val="22"/>
                <w:szCs w:val="22"/>
              </w:rPr>
              <w:noBreakHyphen/>
            </w:r>
            <w:r>
              <w:rPr>
                <w:rFonts w:ascii="Arial" w:hAnsi="Arial"/>
                <w:color w:val="000000"/>
                <w:sz w:val="22"/>
                <w:szCs w:val="22"/>
              </w:rPr>
              <w:t>9</w:t>
            </w:r>
            <w:r w:rsidR="002C0618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мая 2024 г., Манагуа, Никарагуа</w:t>
            </w:r>
          </w:p>
        </w:tc>
      </w:tr>
      <w:tr w:rsidR="005C239B" w:rsidRPr="005C239B" w14:paraId="73709EA6" w14:textId="77777777" w:rsidTr="002C0618">
        <w:tc>
          <w:tcPr>
            <w:tcW w:w="1310" w:type="dxa"/>
            <w:shd w:val="clear" w:color="auto" w:fill="E2EFD9"/>
            <w:tcMar>
              <w:top w:w="57" w:type="dxa"/>
              <w:bottom w:w="57" w:type="dxa"/>
            </w:tcMar>
          </w:tcPr>
          <w:p w14:paraId="3F9FF457" w14:textId="77777777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shd w:val="clear" w:color="auto" w:fill="auto"/>
            <w:tcMar>
              <w:top w:w="57" w:type="dxa"/>
              <w:bottom w:w="57" w:type="dxa"/>
            </w:tcMar>
          </w:tcPr>
          <w:p w14:paraId="766D7370" w14:textId="4ACC8E55" w:rsidR="005C239B" w:rsidRPr="005C239B" w:rsidRDefault="005C239B" w:rsidP="001B37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IOC/ICG</w:t>
            </w:r>
            <w:r w:rsidR="00B617FF"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22"/>
                <w:szCs w:val="22"/>
              </w:rPr>
              <w:t>NEAMTWS-XVIII/3</w:t>
            </w:r>
          </w:p>
        </w:tc>
        <w:tc>
          <w:tcPr>
            <w:tcW w:w="5387" w:type="dxa"/>
            <w:shd w:val="clear" w:color="auto" w:fill="auto"/>
            <w:tcMar>
              <w:top w:w="57" w:type="dxa"/>
              <w:bottom w:w="57" w:type="dxa"/>
            </w:tcMar>
          </w:tcPr>
          <w:p w14:paraId="5FF2749D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Краткий доклад 18-й сессии Межправительственной координационной группы по системе раннего предупреждения о цунами и смягчения их последствий в Северо-Восточной Атлантике, Средиземном и прилегающих морях (МКГ/СПЦСВАСМ-XVIII), 6-8 февраля 2024 г., Штаб-квартира ЮНЕСКО, Париж</w:t>
            </w:r>
          </w:p>
        </w:tc>
      </w:tr>
      <w:tr w:rsidR="005C239B" w:rsidRPr="005C239B" w14:paraId="75552449" w14:textId="77777777" w:rsidTr="002C0618">
        <w:tc>
          <w:tcPr>
            <w:tcW w:w="1310" w:type="dxa"/>
            <w:shd w:val="clear" w:color="auto" w:fill="E2EFD9"/>
            <w:tcMar>
              <w:top w:w="57" w:type="dxa"/>
              <w:bottom w:w="57" w:type="dxa"/>
            </w:tcMar>
          </w:tcPr>
          <w:p w14:paraId="42832A8F" w14:textId="77777777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shd w:val="clear" w:color="auto" w:fill="auto"/>
            <w:tcMar>
              <w:top w:w="57" w:type="dxa"/>
              <w:bottom w:w="57" w:type="dxa"/>
            </w:tcMar>
          </w:tcPr>
          <w:p w14:paraId="3D048B4A" w14:textId="0CD56192" w:rsidR="005C239B" w:rsidRPr="00BF61BB" w:rsidRDefault="005C239B" w:rsidP="001B377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6A42">
              <w:rPr>
                <w:rFonts w:ascii="Arial" w:hAnsi="Arial"/>
                <w:sz w:val="22"/>
                <w:szCs w:val="22"/>
                <w:lang w:val="en-US"/>
              </w:rPr>
              <w:t>IOC/ICG/PTWS-XXX/3</w:t>
            </w:r>
            <w:r w:rsidR="00B617FF">
              <w:rPr>
                <w:rFonts w:ascii="Arial" w:hAnsi="Arial"/>
                <w:sz w:val="22"/>
                <w:szCs w:val="22"/>
                <w:lang w:val="en-US"/>
              </w:rPr>
              <w:t>s</w:t>
            </w:r>
          </w:p>
        </w:tc>
        <w:tc>
          <w:tcPr>
            <w:tcW w:w="5387" w:type="dxa"/>
            <w:shd w:val="clear" w:color="auto" w:fill="auto"/>
            <w:tcMar>
              <w:top w:w="57" w:type="dxa"/>
              <w:bottom w:w="57" w:type="dxa"/>
            </w:tcMar>
          </w:tcPr>
          <w:p w14:paraId="72605977" w14:textId="0126C9C6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Краткий </w:t>
            </w:r>
            <w:r w:rsidR="00B617FF">
              <w:rPr>
                <w:rFonts w:ascii="Arial" w:hAnsi="Arial"/>
                <w:color w:val="000000"/>
                <w:sz w:val="22"/>
                <w:szCs w:val="22"/>
              </w:rPr>
              <w:t xml:space="preserve">рабочий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доклад 30-й сессии Межправительственной координационной группы по системе предупреждения о цунами и смягчения их последствий в Тихом океане (МКГ/СПЦТО-XXX), </w:t>
            </w:r>
            <w:proofErr w:type="gramStart"/>
            <w:r>
              <w:rPr>
                <w:rFonts w:ascii="Arial" w:hAnsi="Arial"/>
                <w:color w:val="000000"/>
                <w:sz w:val="22"/>
                <w:szCs w:val="22"/>
              </w:rPr>
              <w:t>11-15</w:t>
            </w:r>
            <w:proofErr w:type="gram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сентября 2023 г., Нукуалофа, Тонга</w:t>
            </w:r>
          </w:p>
        </w:tc>
      </w:tr>
    </w:tbl>
    <w:p w14:paraId="5E5E00AD" w14:textId="77777777" w:rsidR="005C239B" w:rsidRPr="005C239B" w:rsidRDefault="005C239B" w:rsidP="00B23265">
      <w:pPr>
        <w:pStyle w:val="Style2"/>
        <w:numPr>
          <w:ilvl w:val="0"/>
          <w:numId w:val="8"/>
        </w:numPr>
        <w:tabs>
          <w:tab w:val="left" w:pos="709"/>
        </w:tabs>
        <w:spacing w:before="240"/>
        <w:ind w:left="0" w:hanging="709"/>
        <w:rPr>
          <w:rFonts w:cs="Arial"/>
        </w:rPr>
      </w:pPr>
      <w:r>
        <w:t>Со вступительным словом по этому пункту повестки дня выступил Председатель МОК, который сообщил Совету о том, что в межсессионный период свои совещания провели три координационные группы региональных служб раннего оповещения, планирующие представить соответствующую информацию Исполнительному совету на текущей сессии. Он приветствовал участвующих в работе сессии председателей МКГ/КАРИБ-СРП, МКГ/СПЦСВАСМ и МКГ/СПЦТО.</w:t>
      </w:r>
    </w:p>
    <w:p w14:paraId="574CC5F0" w14:textId="69FCCE32" w:rsidR="005C239B" w:rsidRPr="005C239B" w:rsidRDefault="005C239B" w:rsidP="00B23265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Доклад 1</w:t>
      </w:r>
      <w:r w:rsidR="004417C0">
        <w:t>7</w:t>
      </w:r>
      <w:r>
        <w:t xml:space="preserve">-й сессии Межправительственной координационной группы по системе предупреждения о цунами и опасности других бедствий в прибрежных районах Карибского бассейна и прилегающих регионах представил председатель МКГ/КАРИБ-СРП г-н Жерар </w:t>
      </w:r>
      <w:proofErr w:type="spellStart"/>
      <w:r>
        <w:t>Метайе</w:t>
      </w:r>
      <w:proofErr w:type="spellEnd"/>
      <w:r>
        <w:t xml:space="preserve"> (Гаити). Он информировал Совет об основных результатах учений «Карибская волна-2024», проведенных 21 марта 2024 г. с участием в общей сложности более 400 тыс. человек. Он рассказал также об итогах проходившей с 6 по 9 мая 2024 г. в Манагуа, Никарагуа, 1</w:t>
      </w:r>
      <w:r w:rsidR="004417C0">
        <w:t>7</w:t>
      </w:r>
      <w:r>
        <w:t xml:space="preserve">-й сессии МКГ/КАРИБ-СРП, </w:t>
      </w:r>
      <w:r w:rsidR="004417C0">
        <w:t xml:space="preserve">таких как: </w:t>
      </w:r>
      <w:r w:rsidR="004417C0" w:rsidRPr="00826A42">
        <w:t>(</w:t>
      </w:r>
      <w:r w:rsidR="004417C0">
        <w:rPr>
          <w:lang w:val="en-US"/>
        </w:rPr>
        <w:t>i</w:t>
      </w:r>
      <w:r w:rsidR="004417C0" w:rsidRPr="00826A42">
        <w:t>)</w:t>
      </w:r>
      <w:r w:rsidR="004417C0">
        <w:rPr>
          <w:lang w:val="en-US"/>
        </w:rPr>
        <w:t> </w:t>
      </w:r>
      <w:r w:rsidR="004417C0">
        <w:t xml:space="preserve">учреждение руководящего комитета МКГ/КАРИБ-СРП; </w:t>
      </w:r>
      <w:r w:rsidR="004417C0" w:rsidRPr="00826A42">
        <w:lastRenderedPageBreak/>
        <w:t>(</w:t>
      </w:r>
      <w:r w:rsidR="004417C0">
        <w:rPr>
          <w:lang w:val="en-US"/>
        </w:rPr>
        <w:t>ii</w:t>
      </w:r>
      <w:r w:rsidR="004417C0" w:rsidRPr="00826A42">
        <w:t>)</w:t>
      </w:r>
      <w:r w:rsidR="004417C0">
        <w:t xml:space="preserve"> принятие рекомендации в отношении </w:t>
      </w:r>
      <w:r w:rsidR="004417C0" w:rsidRPr="004417C0">
        <w:t>продолж</w:t>
      </w:r>
      <w:r w:rsidR="004417C0">
        <w:t xml:space="preserve">ения </w:t>
      </w:r>
      <w:r w:rsidR="004417C0" w:rsidRPr="004417C0">
        <w:t>полноценно</w:t>
      </w:r>
      <w:r w:rsidR="004417C0">
        <w:t>го</w:t>
      </w:r>
      <w:r w:rsidR="004417C0" w:rsidRPr="004417C0">
        <w:t xml:space="preserve"> функционировани</w:t>
      </w:r>
      <w:r w:rsidR="004417C0">
        <w:t>я</w:t>
      </w:r>
      <w:r w:rsidR="004417C0" w:rsidRPr="004417C0">
        <w:t xml:space="preserve"> КЦЦЦА на временной основе</w:t>
      </w:r>
      <w:r w:rsidR="004417C0">
        <w:t xml:space="preserve">; </w:t>
      </w:r>
      <w:r w:rsidR="004417C0" w:rsidRPr="00826A42">
        <w:t>(</w:t>
      </w:r>
      <w:r w:rsidR="004417C0">
        <w:rPr>
          <w:lang w:val="en-US"/>
        </w:rPr>
        <w:t>iii</w:t>
      </w:r>
      <w:r w:rsidR="004417C0" w:rsidRPr="00826A42">
        <w:t>)</w:t>
      </w:r>
      <w:r w:rsidR="004417C0">
        <w:t> </w:t>
      </w:r>
      <w:r w:rsidR="004417C0" w:rsidRPr="004417C0">
        <w:t>запланированное проведение учений «Карибская волна-2025»</w:t>
      </w:r>
      <w:r w:rsidR="004417C0">
        <w:t xml:space="preserve">; </w:t>
      </w:r>
      <w:r w:rsidR="004417C0" w:rsidRPr="004417C0">
        <w:t xml:space="preserve"> </w:t>
      </w:r>
      <w:r w:rsidR="004417C0" w:rsidRPr="00826A42">
        <w:t>(</w:t>
      </w:r>
      <w:r w:rsidR="004417C0">
        <w:rPr>
          <w:lang w:val="en-US"/>
        </w:rPr>
        <w:t>iv</w:t>
      </w:r>
      <w:r w:rsidR="004417C0" w:rsidRPr="00826A42">
        <w:t>)</w:t>
      </w:r>
      <w:r w:rsidR="004417C0">
        <w:t> </w:t>
      </w:r>
      <w:r w:rsidR="004417C0" w:rsidRPr="004417C0">
        <w:t>создание целевой группы по сертификации готовности к цунами</w:t>
      </w:r>
      <w:r w:rsidR="00BE18E4">
        <w:t>;</w:t>
      </w:r>
      <w:r w:rsidR="00BE18E4" w:rsidRPr="00826A42">
        <w:t xml:space="preserve"> (</w:t>
      </w:r>
      <w:r w:rsidR="00BE18E4">
        <w:rPr>
          <w:lang w:val="en-US"/>
        </w:rPr>
        <w:t>v</w:t>
      </w:r>
      <w:r w:rsidR="00BE18E4" w:rsidRPr="00826A42">
        <w:t>)</w:t>
      </w:r>
      <w:r w:rsidR="00BE18E4">
        <w:rPr>
          <w:lang w:val="en-US"/>
        </w:rPr>
        <w:t> </w:t>
      </w:r>
      <w:r w:rsidR="00BE18E4">
        <w:t xml:space="preserve">рассмотрение </w:t>
      </w:r>
      <w:r w:rsidR="00BE18E4" w:rsidRPr="00826A42">
        <w:t>во</w:t>
      </w:r>
      <w:r w:rsidR="00BE18E4">
        <w:t>проса о</w:t>
      </w:r>
      <w:r w:rsidR="00BE18E4" w:rsidRPr="00826A42">
        <w:t xml:space="preserve"> проведени</w:t>
      </w:r>
      <w:r w:rsidR="00BE18E4">
        <w:t>и</w:t>
      </w:r>
      <w:r w:rsidR="00BE18E4" w:rsidRPr="00826A42">
        <w:t xml:space="preserve"> МКГ/КАРИБ-СРП начиная 2026 г. и в последующий период своих сессий в очном формате только один раз в два года и один раз в два года в онлайновом </w:t>
      </w:r>
      <w:r w:rsidR="00BE18E4">
        <w:t>формате</w:t>
      </w:r>
      <w:r>
        <w:t>.</w:t>
      </w:r>
    </w:p>
    <w:p w14:paraId="375260E7" w14:textId="77777777" w:rsidR="005C239B" w:rsidRPr="005C239B" w:rsidRDefault="005C239B" w:rsidP="00B23265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Д-р Алессандро Амато (Италия), председатель Межправительственной координационной группы по системе раннего предупреждения о цунами и смягчения их последствий в Северо-Восточной Атлантике, Средиземном и прилегающих морях, информировал Совет об итогах 18-й сессии МКГ/СПЦСВАСМ, состоявшейся в Штаб-квартире ЮНЕСКО в Париже 6-8 февраля 2024 г. Он отметил, что муниципалитет г. Канны (Франция) стал первым признанным административно-территориальным образованием в регионе СВАСМ, прошедшим программу сертификации готовности к цунами. Кроме того, он отметил, что в ходе сессии МКГ/СПЦСВАСМ с удовлетворением приняла к сведению информацию о завершении подготовки и публикации стратегии деятельности МКГ/СПЦСВАСМ на 2021-2030 гг., а также об успешном проведении учений по проверке готовности к цунами «СВАСМ/Волна-23» и об утверждении финансирования Генеральным директоратом Европейской комиссии по вопросам защиты гражданского населения и гуманитарной помощи второго этапа проекта «Прибрежная волна» на очередной двухлетний период.</w:t>
      </w:r>
    </w:p>
    <w:p w14:paraId="6E5C5A27" w14:textId="3950DB0F" w:rsidR="005C239B" w:rsidRPr="005C239B" w:rsidRDefault="005C239B" w:rsidP="00B23265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Доклад 30-й сессии Межправительственной координационной группы по системе предупреждения о цунами и смягчения их последствий в Тихом океане, проходившей с 11 по 15 сентября 2023 г. в Нукуалофа, Тонга, представил председатель МКГ/СПЦТО г-н </w:t>
      </w:r>
      <w:proofErr w:type="spellStart"/>
      <w:r>
        <w:t>Юи</w:t>
      </w:r>
      <w:proofErr w:type="spellEnd"/>
      <w:r>
        <w:t xml:space="preserve"> </w:t>
      </w:r>
      <w:proofErr w:type="spellStart"/>
      <w:r>
        <w:t>Нишимаэ</w:t>
      </w:r>
      <w:proofErr w:type="spellEnd"/>
      <w:r>
        <w:t xml:space="preserve">. По его словам, в работе сессии приняли участие более 80 делегатов из 17 стран. Участники </w:t>
      </w:r>
      <w:r w:rsidR="00BE18E4">
        <w:t xml:space="preserve">избрали председателя и трех его заместителей и </w:t>
      </w:r>
      <w:r>
        <w:t>выступили с инициативой укрепления потенциала Руководящего комитета в соответствии с целями Десятилетия ООН, посвященного науке об океане в интересах устойчивого развития (2021-2030 гг.), и учредили три новые рабочие группы: по обеспечению готовности к цунами, вызванным извержением вулканов; по передовым методам моделирования прогнозов и по повышению уровня готовности на уровне общин. МКГ постановила провести учения по проверке готовности к цунами («Тихоокеанская волна-2024»), которые пройдут в сентябре-ноябре 2024 г. и будут приурочены к проведению Международного дня по уменьшению опасности стихийных бедствий (13 октября) и Всемирного дня распространения информации о проблеме цунами (5 ноября).</w:t>
      </w:r>
    </w:p>
    <w:p w14:paraId="67FB7B02" w14:textId="77777777" w:rsidR="005C239B" w:rsidRPr="005C239B" w:rsidRDefault="005C239B" w:rsidP="002C0618">
      <w:pPr>
        <w:pStyle w:val="Heading3"/>
        <w:ind w:left="1560" w:hanging="851"/>
        <w:rPr>
          <w:rFonts w:cs="Arial"/>
          <w:b w:val="0"/>
          <w:bCs w:val="0"/>
          <w:i/>
          <w:iCs/>
          <w:szCs w:val="22"/>
        </w:rPr>
      </w:pPr>
      <w:bookmarkStart w:id="120" w:name="_Toc85469066"/>
      <w:bookmarkStart w:id="121" w:name="_Toc92752497"/>
      <w:bookmarkStart w:id="122" w:name="_Toc166740231"/>
      <w:r>
        <w:rPr>
          <w:b w:val="0"/>
          <w:bCs w:val="0"/>
          <w:i/>
          <w:iCs/>
          <w:szCs w:val="22"/>
        </w:rPr>
        <w:t>3.2.1.2</w:t>
      </w:r>
      <w:r>
        <w:rPr>
          <w:b w:val="0"/>
          <w:bCs w:val="0"/>
          <w:i/>
          <w:iCs/>
          <w:szCs w:val="22"/>
        </w:rPr>
        <w:tab/>
        <w:t>Глобальная координация систем предупреждения об опасных океанических явлениях и смягчения их последствий</w:t>
      </w:r>
      <w:bookmarkEnd w:id="120"/>
      <w:bookmarkEnd w:id="121"/>
      <w:bookmarkEnd w:id="122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7"/>
        <w:gridCol w:w="2518"/>
        <w:gridCol w:w="5244"/>
      </w:tblGrid>
      <w:tr w:rsidR="005C239B" w:rsidRPr="005C239B" w14:paraId="5488A918" w14:textId="77777777" w:rsidTr="002C0618">
        <w:tc>
          <w:tcPr>
            <w:tcW w:w="1877" w:type="dxa"/>
            <w:shd w:val="clear" w:color="auto" w:fill="E2EFD9"/>
            <w:tcMar>
              <w:top w:w="57" w:type="dxa"/>
              <w:bottom w:w="57" w:type="dxa"/>
            </w:tcMar>
          </w:tcPr>
          <w:p w14:paraId="35AAEAD9" w14:textId="77777777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Доклад</w:t>
            </w:r>
          </w:p>
        </w:tc>
        <w:tc>
          <w:tcPr>
            <w:tcW w:w="2518" w:type="dxa"/>
            <w:shd w:val="clear" w:color="auto" w:fill="auto"/>
            <w:tcMar>
              <w:top w:w="57" w:type="dxa"/>
              <w:bottom w:w="57" w:type="dxa"/>
            </w:tcMar>
          </w:tcPr>
          <w:p w14:paraId="7900489E" w14:textId="0FAC31DC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IOC/TOWS-WG-XVII</w:t>
            </w:r>
            <w:r w:rsidR="00BE18E4">
              <w:rPr>
                <w:rFonts w:ascii="Arial" w:hAnsi="Arial"/>
                <w:sz w:val="22"/>
                <w:szCs w:val="22"/>
              </w:rPr>
              <w:t>/3</w:t>
            </w:r>
          </w:p>
        </w:tc>
        <w:tc>
          <w:tcPr>
            <w:tcW w:w="5244" w:type="dxa"/>
            <w:shd w:val="clear" w:color="auto" w:fill="auto"/>
            <w:tcMar>
              <w:top w:w="57" w:type="dxa"/>
              <w:bottom w:w="57" w:type="dxa"/>
            </w:tcMar>
          </w:tcPr>
          <w:p w14:paraId="1AEEC1AC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Краткий доклад семнадцатого совещания Рабочей группы по системам предупреждения о цунами и других опасных явлениях, связанных с изменением уровня моря, и смягчения их последствий (РГ-СПЦО-XVII), 22-23 февраля 2024 г., Сендай, Япония</w:t>
            </w:r>
          </w:p>
        </w:tc>
      </w:tr>
    </w:tbl>
    <w:p w14:paraId="19CBCDBF" w14:textId="77777777" w:rsidR="005C239B" w:rsidRPr="00A141A8" w:rsidRDefault="005C239B" w:rsidP="005C239B">
      <w:pPr>
        <w:pStyle w:val="Marge"/>
        <w:spacing w:after="0"/>
        <w:ind w:hanging="567"/>
        <w:rPr>
          <w:rFonts w:ascii="Arial" w:hAnsi="Arial" w:cs="Arial"/>
          <w:sz w:val="22"/>
          <w:szCs w:val="22"/>
        </w:rPr>
      </w:pPr>
    </w:p>
    <w:p w14:paraId="3AA0CB90" w14:textId="77777777" w:rsidR="005C239B" w:rsidRPr="005C239B" w:rsidRDefault="005C239B" w:rsidP="00DB3A6F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Этот пункт повестки дня представил д-р Кумар </w:t>
      </w:r>
      <w:proofErr w:type="spellStart"/>
      <w:r>
        <w:t>Туммала</w:t>
      </w:r>
      <w:proofErr w:type="spellEnd"/>
      <w:r>
        <w:t xml:space="preserve"> (Индия), председатель Рабочей группы по системам предупреждения о цунами и других опасных явлениях, связанных с изменением уровня моря, и смягчения их последствий (РГ-СПЦО). Он проинформировал Совет о последних изменениях, связанных с развитием систем предупреждения о цунами и смягчения их последствий, а также об итогах семнадцатого совещания РГ-СПЦО (22-23 февраля 2024 г., Сендай, Япония. В числе основных рекомендаций РГ-СПЦО-XVII была подчеркнута актуальность более тесного сотрудничества МОК/ЮНЕСКО и Всемирной метеорологической организации (ВМО) с целью увязки деятельности, касающейся цунами, с такими инициативами, как «Раннее предупреждение для всех» (РПДВ), направленной на обеспечение надлежащей готовности к стихийным бедствиям. Кроме того, группа постановила ускорить подготовку докладов и организацию вебинаров для распространения среди соответствующих </w:t>
      </w:r>
      <w:r>
        <w:lastRenderedPageBreak/>
        <w:t>заинтересованных сторон критически важной информации о вулканах, способных вызвать цунами, и связанных с ними опасных природных явлениях.</w:t>
      </w:r>
    </w:p>
    <w:p w14:paraId="45AE2F79" w14:textId="77777777" w:rsidR="005C239B" w:rsidRPr="005C239B" w:rsidRDefault="005C239B" w:rsidP="00DB3A6F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РГ-СПЦО подтвердила и одобрила проведение в Индонезии Национальным агентством по метеорологии, климатологии и геофизике (АМКГ) международного симпозиума МОК по планированию деятельности, связанной с цунами, который пройдет в рамках мероприятий, приуроченных к 20-летию со дня цунами, случившемся в 2004 г. в Индийском океане. Группа приняла к сведению информацию о подготовке комплекта методических материалов по вопросам готовности к цунами, который поможет государствам участвовать в программе сертификации готовности к цунами при поддержке экспертов в области социальных наук, что призвано стимулировать вовлеченность общин на местном уровне и способствовать решению сложных задач по обеспечению готовности к цунами.</w:t>
      </w:r>
    </w:p>
    <w:p w14:paraId="46601ED5" w14:textId="4F96E3EB" w:rsidR="005C239B" w:rsidRPr="005C239B" w:rsidRDefault="005C239B" w:rsidP="00DB3A6F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Д-р Кумар </w:t>
      </w:r>
      <w:proofErr w:type="spellStart"/>
      <w:r>
        <w:t>Туммала</w:t>
      </w:r>
      <w:proofErr w:type="spellEnd"/>
      <w:r>
        <w:t xml:space="preserve"> сообщил, что благодаря партнерству с УСРБ ООН в рамках проведения Всемирного дня распространения информации о проблеме цунами информационно-просветительская кампания #GetToHighGround («Доберись до возвышенности») получила распространение по всему миру. Тема этого всемирного дня в 2024 г. – «Поощрение самостоятельности детей и молодежи» – является наглядной иллюстрацией важнейшей роли просветительской работы среди молодежи в отношении потенциальной угрозы цунами. Наряду с этим РГ-СПЦО выразила признательность Японскому агентству по международному сотрудничеству (ЯАМС) за финансовую поддержку, оказываемую им развивающимся странам на цели предупреждения и ликвидации последствий стихийных бедствий, а также приняла к сведению, что МОК продолжит сотрудничать и обмениваться опытом с экспертами ЯАМС, когда представится такая возможность.</w:t>
      </w:r>
    </w:p>
    <w:tbl>
      <w:tblPr>
        <w:tblW w:w="0" w:type="auto"/>
        <w:shd w:val="clear" w:color="auto" w:fill="CCFFCC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5C239B" w:rsidRPr="005C239B" w14:paraId="20AF0063" w14:textId="77777777" w:rsidTr="001B377A">
        <w:trPr>
          <w:trHeight w:val="604"/>
        </w:trPr>
        <w:tc>
          <w:tcPr>
            <w:tcW w:w="9747" w:type="dxa"/>
            <w:shd w:val="clear" w:color="auto" w:fill="CCFFCC"/>
            <w:tcMar>
              <w:top w:w="113" w:type="dxa"/>
              <w:bottom w:w="113" w:type="dxa"/>
            </w:tcMar>
          </w:tcPr>
          <w:p w14:paraId="708B9E1A" w14:textId="0882D0F8" w:rsidR="005C239B" w:rsidRPr="005C239B" w:rsidRDefault="005C239B" w:rsidP="001B377A">
            <w:pPr>
              <w:spacing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bookmarkStart w:id="123" w:name="_Hlk89095957"/>
            <w:r>
              <w:rPr>
                <w:rFonts w:ascii="Arial" w:hAnsi="Arial"/>
                <w:bCs/>
                <w:sz w:val="22"/>
                <w:szCs w:val="22"/>
              </w:rPr>
              <w:t>Реш. EC-57/3.2.1</w:t>
            </w:r>
          </w:p>
          <w:p w14:paraId="373D4BA6" w14:textId="05DBC162" w:rsidR="005C239B" w:rsidRPr="005C239B" w:rsidRDefault="005C239B" w:rsidP="00DB3A6F">
            <w:pPr>
              <w:spacing w:after="240"/>
              <w:ind w:left="32" w:hanging="32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Cs/>
                <w:sz w:val="22"/>
                <w:szCs w:val="22"/>
              </w:rPr>
              <w:t xml:space="preserve">Системы предупреждения об опасных явлениях в океане и </w:t>
            </w:r>
            <w:r w:rsidR="00DB3A6F" w:rsidRPr="00E06DA0">
              <w:rPr>
                <w:rFonts w:ascii="Arial" w:hAnsi="Arial"/>
                <w:b/>
                <w:bCs/>
                <w:iCs/>
                <w:sz w:val="22"/>
                <w:szCs w:val="22"/>
              </w:rPr>
              <w:br/>
            </w:r>
            <w:r>
              <w:rPr>
                <w:rFonts w:ascii="Arial" w:hAnsi="Arial"/>
                <w:b/>
                <w:bCs/>
                <w:iCs/>
                <w:sz w:val="22"/>
                <w:szCs w:val="22"/>
              </w:rPr>
              <w:t>смягчения их последствий</w:t>
            </w:r>
          </w:p>
          <w:p w14:paraId="458BF10D" w14:textId="77777777" w:rsidR="005C239B" w:rsidRPr="005C239B" w:rsidRDefault="005C239B" w:rsidP="001B377A">
            <w:pPr>
              <w:spacing w:after="120"/>
              <w:ind w:left="709" w:hanging="709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Исполнительный совет,</w:t>
            </w:r>
          </w:p>
          <w:p w14:paraId="24AB6015" w14:textId="77777777" w:rsidR="005C239B" w:rsidRPr="005C239B" w:rsidRDefault="005C239B" w:rsidP="00E12E07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рассмотрев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основные выводы докладов по итогам состоявшихся в последнее время сессий Межправительственной координационной группы по системе предупреждения о цунами и опасности других бедствий в прибрежных районах Карибского бассейна и прилегающих регионах (ICG/CARIBE-EWS-XVII/3s), Межправительственной координационной группы по системе предупреждения о цунами и смягчения их последствий в Северо-Восточной Атлантике, Средиземном и прилегающих морях (ICG/NEAMTWS-XVII/3s), Межправительственной координационной группы по системе предупреждения о цунами и смягчения их последствий в Тихом океане (ICG/PTWS-XXX/3s), а также доклад Рабочей группы по системам предупреждения о цунами и других опасных явлениях, связанных с изменением уровня моря, и смягчения их последствий (TOWS-WG-XVII),</w:t>
            </w:r>
          </w:p>
          <w:p w14:paraId="5D91CFBB" w14:textId="77777777" w:rsidR="005C239B" w:rsidRPr="005C239B" w:rsidRDefault="005C239B" w:rsidP="00E12E07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выражает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солидарность с людьми, которые пострадали в результате землетрясения и цунами, произошедших 1 января 2024 г. в районе полуострова </w:t>
            </w:r>
            <w:proofErr w:type="spellStart"/>
            <w:r>
              <w:rPr>
                <w:rFonts w:ascii="Arial" w:hAnsi="Arial"/>
                <w:iCs/>
                <w:sz w:val="22"/>
                <w:szCs w:val="22"/>
              </w:rPr>
              <w:t>Ното</w:t>
            </w:r>
            <w:proofErr w:type="spellEnd"/>
            <w:r>
              <w:rPr>
                <w:rFonts w:ascii="Arial" w:hAnsi="Arial"/>
                <w:iCs/>
                <w:sz w:val="22"/>
                <w:szCs w:val="22"/>
              </w:rPr>
              <w:t xml:space="preserve"> (Япония);</w:t>
            </w:r>
          </w:p>
          <w:p w14:paraId="3DDB2B6D" w14:textId="77777777" w:rsidR="005C239B" w:rsidRPr="005C239B" w:rsidRDefault="005C239B" w:rsidP="00E12E07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утверждает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доклады, представленные МКГ/МОК и РГ-СПЦО;</w:t>
            </w:r>
          </w:p>
          <w:p w14:paraId="1C1DBD0E" w14:textId="77777777" w:rsidR="005C239B" w:rsidRPr="005C239B" w:rsidRDefault="005C239B" w:rsidP="00E12E07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принимает к сведению с удовлетворением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результаты работы, проделанной в межсессионный период, такие как:</w:t>
            </w:r>
          </w:p>
          <w:p w14:paraId="3BEA8E5D" w14:textId="77777777" w:rsidR="005C239B" w:rsidRPr="005C239B" w:rsidRDefault="005C239B" w:rsidP="00E12E07">
            <w:pPr>
              <w:numPr>
                <w:ilvl w:val="0"/>
                <w:numId w:val="35"/>
              </w:numPr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проведение в 2023 г. учений по проверке готовности к цунами: 23 марта в Карибском бассейне (Карибская волна-23»), 4, 11, 18 и 25 октября в Индийском океане («Индийская волна-23»), 6-7 ноября в Северо-Восточной Атлантике, Средиземном и прилегающих морях  («СВАСМ/Волна-23»);</w:t>
            </w:r>
          </w:p>
          <w:p w14:paraId="30645C2E" w14:textId="77777777" w:rsidR="005C239B" w:rsidRPr="005C239B" w:rsidRDefault="005C239B" w:rsidP="0052306E">
            <w:pPr>
              <w:numPr>
                <w:ilvl w:val="0"/>
                <w:numId w:val="35"/>
              </w:numPr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продолжение деятельности научного комитета Программы по цунами в рамках Десятилетия, посвященного науке об океане (НК-ПЦДО);</w:t>
            </w:r>
          </w:p>
          <w:p w14:paraId="153114C0" w14:textId="77777777" w:rsidR="005C239B" w:rsidRPr="005C239B" w:rsidRDefault="005C239B" w:rsidP="0052306E">
            <w:pPr>
              <w:numPr>
                <w:ilvl w:val="0"/>
                <w:numId w:val="35"/>
              </w:numPr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публикация </w:t>
            </w:r>
            <w:r>
              <w:rPr>
                <w:rFonts w:ascii="Arial" w:hAnsi="Arial"/>
                <w:i/>
                <w:sz w:val="22"/>
                <w:szCs w:val="22"/>
              </w:rPr>
              <w:t>Плана исследовательской работы, развертывания и осуществления Программы по цунами в рамках Десятилетия, посвященного науке об океане (ПИРО-ПЦДО)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hyperlink r:id="rId16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IOC/2023/TS/180</w:t>
              </w:r>
            </w:hyperlink>
            <w:r>
              <w:rPr>
                <w:rFonts w:ascii="Arial" w:hAnsi="Arial"/>
                <w:sz w:val="22"/>
                <w:szCs w:val="22"/>
              </w:rPr>
              <w:t>);</w:t>
            </w:r>
          </w:p>
          <w:p w14:paraId="16F5BA88" w14:textId="77777777" w:rsidR="005C239B" w:rsidRPr="005C239B" w:rsidRDefault="005C239B" w:rsidP="0052306E">
            <w:pPr>
              <w:numPr>
                <w:ilvl w:val="0"/>
                <w:numId w:val="35"/>
              </w:numPr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публикация доклада </w:t>
            </w:r>
            <w:r>
              <w:rPr>
                <w:rFonts w:ascii="Arial" w:hAnsi="Arial"/>
                <w:i/>
                <w:sz w:val="22"/>
                <w:szCs w:val="22"/>
              </w:rPr>
              <w:t>«Мониторинг и предупреждение в отношении цунами вулканического происхождения»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(</w:t>
            </w:r>
            <w:hyperlink r:id="rId17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IOC/2024/TS/183</w:t>
              </w:r>
            </w:hyperlink>
            <w:r>
              <w:rPr>
                <w:rFonts w:ascii="Arial" w:hAnsi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/>
                <w:sz w:val="22"/>
                <w:szCs w:val="22"/>
              </w:rPr>
              <w:t>, подготовленного специальной группой ЦГ-НЦ по цунами, вызванным извержением вулканов;</w:t>
            </w:r>
          </w:p>
          <w:p w14:paraId="6C01B065" w14:textId="754967DD" w:rsidR="005C239B" w:rsidRPr="005C239B" w:rsidRDefault="005C239B" w:rsidP="0052306E">
            <w:pPr>
              <w:numPr>
                <w:ilvl w:val="0"/>
                <w:numId w:val="35"/>
              </w:numPr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представление обновленной информации о совещаниях МГГС, организованных в 2023-2024 гг., в том числе об участии членов МГГС в заседании НК-ПЦДО (25 января 2024 г.), о сотрудничестве в организации 11 сентября 2023 г. в ходе 30-й сессии МКГ/СПЦТО восьмого технического семинара МКГ/СПЦТО и Совместной комиссии МСГГ по цунами, посвященного осмыслению и обобщению уроков, извлеченных в связи с цунами, вызванным извержением вулкана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Хунга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-Тонга-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Хунга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Хаапай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15 января 2022 г., о планируемом участии МГГС во </w:t>
            </w:r>
            <w:hyperlink r:id="rId18" w:history="1">
              <w:r w:rsidR="004C478F">
                <w:rPr>
                  <w:rStyle w:val="Hyperlink"/>
                  <w:rFonts w:ascii="Arial" w:hAnsi="Arial"/>
                  <w:sz w:val="22"/>
                  <w:szCs w:val="22"/>
                </w:rPr>
                <w:t>в</w:t>
              </w:r>
              <w:r>
                <w:rPr>
                  <w:rStyle w:val="Hyperlink"/>
                  <w:rFonts w:ascii="Arial" w:hAnsi="Arial"/>
                  <w:sz w:val="22"/>
                  <w:szCs w:val="22"/>
                </w:rPr>
                <w:t>торо</w:t>
              </w:r>
              <w:r w:rsidR="004C478F">
                <w:rPr>
                  <w:rStyle w:val="Hyperlink"/>
                  <w:rFonts w:ascii="Arial" w:hAnsi="Arial"/>
                  <w:sz w:val="22"/>
                  <w:szCs w:val="22"/>
                </w:rPr>
                <w:t>м</w:t>
              </w:r>
              <w:r>
                <w:rPr>
                  <w:rStyle w:val="Hyperlink"/>
                  <w:rFonts w:ascii="Arial" w:hAnsi="Arial"/>
                  <w:sz w:val="22"/>
                  <w:szCs w:val="22"/>
                </w:rPr>
                <w:t xml:space="preserve"> международн</w:t>
              </w:r>
              <w:r w:rsidR="004C478F">
                <w:rPr>
                  <w:rStyle w:val="Hyperlink"/>
                  <w:rFonts w:ascii="Arial" w:hAnsi="Arial"/>
                  <w:sz w:val="22"/>
                  <w:szCs w:val="22"/>
                </w:rPr>
                <w:t>ом</w:t>
              </w:r>
              <w:r>
                <w:rPr>
                  <w:rStyle w:val="Hyperlink"/>
                  <w:rFonts w:ascii="Arial" w:hAnsi="Arial"/>
                  <w:sz w:val="22"/>
                  <w:szCs w:val="22"/>
                </w:rPr>
                <w:t xml:space="preserve"> симпозиум</w:t>
              </w:r>
              <w:r w:rsidR="004C478F">
                <w:rPr>
                  <w:rStyle w:val="Hyperlink"/>
                  <w:rFonts w:ascii="Arial" w:hAnsi="Arial"/>
                  <w:sz w:val="22"/>
                  <w:szCs w:val="22"/>
                </w:rPr>
                <w:t>е</w:t>
              </w:r>
              <w:r>
                <w:rPr>
                  <w:rStyle w:val="Hyperlink"/>
                  <w:rFonts w:ascii="Arial" w:hAnsi="Arial"/>
                  <w:sz w:val="22"/>
                  <w:szCs w:val="22"/>
                </w:rPr>
                <w:t xml:space="preserve"> ЮНЕСКО-МОК по </w:t>
              </w:r>
              <w:r w:rsidR="004C478F">
                <w:rPr>
                  <w:rStyle w:val="Hyperlink"/>
                  <w:rFonts w:ascii="Arial" w:hAnsi="Arial"/>
                  <w:sz w:val="22"/>
                  <w:szCs w:val="22"/>
                </w:rPr>
                <w:t>ц</w:t>
              </w:r>
              <w:r w:rsidR="004C478F">
                <w:rPr>
                  <w:rStyle w:val="Hyperlink"/>
                  <w:rFonts w:ascii="Arial" w:hAnsi="Arial"/>
                </w:rPr>
                <w:t xml:space="preserve">унами </w:t>
              </w:r>
              <w:r w:rsidR="004C478F" w:rsidRPr="004C478F">
                <w:rPr>
                  <w:rStyle w:val="Hyperlink"/>
                  <w:rFonts w:ascii="Arial" w:hAnsi="Arial"/>
                  <w:sz w:val="22"/>
                  <w:szCs w:val="22"/>
                </w:rPr>
                <w:t>на тему «Осмысление двух десятилетий по прошествии цунами 2004 г. в Индийском океане»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(11-14 ноября 2024 г.), и об участии МГГС в подготовке ряда докладов, в том числе доклада  </w:t>
            </w:r>
            <w:hyperlink r:id="rId19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IOC/2024/TS/183</w:t>
              </w:r>
            </w:hyperlink>
            <w:r>
              <w:rPr>
                <w:rFonts w:ascii="Arial" w:hAnsi="Arial"/>
                <w:sz w:val="22"/>
                <w:szCs w:val="22"/>
              </w:rPr>
              <w:t>;</w:t>
            </w:r>
          </w:p>
          <w:p w14:paraId="17D90D5A" w14:textId="77777777" w:rsidR="005C239B" w:rsidRPr="005C239B" w:rsidRDefault="005C239B" w:rsidP="0052306E">
            <w:pPr>
              <w:numPr>
                <w:ilvl w:val="0"/>
                <w:numId w:val="35"/>
              </w:numPr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взаимодействие МЦИЦ и МКГ/СПЦТО в деле разработки для СПЦТО </w:t>
            </w:r>
            <w:hyperlink r:id="rId20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рамочных требований к уровню компетентности сотрудников НЦПЦ</w:t>
              </w:r>
            </w:hyperlink>
            <w:r>
              <w:rPr>
                <w:rFonts w:ascii="Arial" w:hAnsi="Arial"/>
                <w:color w:val="000000"/>
                <w:sz w:val="22"/>
                <w:szCs w:val="22"/>
              </w:rPr>
              <w:t>;</w:t>
            </w:r>
          </w:p>
          <w:p w14:paraId="7CE1F681" w14:textId="0F7239FD" w:rsidR="005C239B" w:rsidRPr="005C239B" w:rsidRDefault="005C239B" w:rsidP="0052306E">
            <w:pPr>
              <w:numPr>
                <w:ilvl w:val="0"/>
                <w:numId w:val="35"/>
              </w:numPr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большая подготовительная работа и оказание поддержки Агентству по метеорологии, климатологии и геофизике (АМКГ) Индонезии в проведении </w:t>
            </w:r>
            <w:hyperlink r:id="rId21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второго международного симпозиума МОК/ЮНЕСКО по проблематике цунами</w:t>
              </w:r>
            </w:hyperlink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(11-14 ноября 2024 г., Банда-Ачех, Индонезия</w:t>
            </w:r>
            <w:r w:rsidR="00C914AD" w:rsidRPr="00C914AD">
              <w:rPr>
                <w:rFonts w:ascii="Arial" w:hAnsi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;</w:t>
            </w:r>
          </w:p>
          <w:p w14:paraId="03BAB7A4" w14:textId="77777777" w:rsidR="005C239B" w:rsidRPr="005C239B" w:rsidRDefault="005C239B" w:rsidP="0052306E">
            <w:pPr>
              <w:numPr>
                <w:ilvl w:val="0"/>
                <w:numId w:val="35"/>
              </w:numPr>
              <w:tabs>
                <w:tab w:val="left" w:pos="1418"/>
              </w:tabs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усилия ЦГ-НЦ по разработке адаптированных бюллетеней ПДСЦ для морского сообщества в консультации с подкомитетом Международной гидрографической организации (МГО) по всемирной службе навигационных предупреждений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Пк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-ВСНП);</w:t>
            </w:r>
          </w:p>
          <w:p w14:paraId="2D23BCF6" w14:textId="77777777" w:rsidR="005C239B" w:rsidRPr="005C239B" w:rsidRDefault="005C239B" w:rsidP="0052306E">
            <w:pPr>
              <w:numPr>
                <w:ilvl w:val="0"/>
                <w:numId w:val="35"/>
              </w:numPr>
              <w:tabs>
                <w:tab w:val="left" w:pos="1418"/>
              </w:tabs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активное участие центров информации о цунами (ЦИЦ) в деятельности целевой группы по ликвидации последствий стихийных бедствий и обеспечению готовности к ним (ЦГ-ЛПГ) и целевой группы по наблюдению за цунами (ЦГ-НЦ);</w:t>
            </w:r>
          </w:p>
          <w:p w14:paraId="4F14ED8D" w14:textId="0C124C90" w:rsidR="005C239B" w:rsidRPr="005C239B" w:rsidRDefault="00E12E07" w:rsidP="0052306E">
            <w:pPr>
              <w:numPr>
                <w:ilvl w:val="0"/>
                <w:numId w:val="35"/>
              </w:numPr>
              <w:tabs>
                <w:tab w:val="left" w:pos="1418"/>
              </w:tabs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E06DA0">
              <w:rPr>
                <w:rFonts w:ascii="Arial" w:hAnsi="Arial"/>
                <w:sz w:val="22"/>
                <w:szCs w:val="22"/>
              </w:rPr>
              <w:tab/>
            </w:r>
            <w:r w:rsidR="005C239B">
              <w:rPr>
                <w:rFonts w:ascii="Arial" w:hAnsi="Arial"/>
                <w:sz w:val="22"/>
                <w:szCs w:val="22"/>
              </w:rPr>
              <w:t>активное участие центров информации о цунами (ЦИЦ) в  повышении осведомленности и готовности населения в целях эффективного реагирования на предупреждения о цунами, критически важная поддержка, оказанная государствам-членам в вопросах содействия в обеспечении готовности к цунами и устойчивости к их воздействию, а также последовательное осуществление планов работы РГ-СПЦО и ее целевых групп в составе общей целевой группы;</w:t>
            </w:r>
          </w:p>
          <w:p w14:paraId="70EA1F4C" w14:textId="77777777" w:rsidR="005C239B" w:rsidRPr="005C239B" w:rsidRDefault="005C239B" w:rsidP="0052306E">
            <w:pPr>
              <w:numPr>
                <w:ilvl w:val="0"/>
                <w:numId w:val="35"/>
              </w:numPr>
              <w:tabs>
                <w:tab w:val="left" w:pos="1418"/>
              </w:tabs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устойчивый прогресс в осуществлении Программы МОК/ЮНЕСКО по сертификации готовности к цунами (ПСГЦ) в Карибском бассейне, Индийском океане, Тихоокеанском регионе и в регионе СВАСМ;</w:t>
            </w:r>
          </w:p>
          <w:p w14:paraId="60BFA815" w14:textId="77777777" w:rsidR="005C239B" w:rsidRPr="005C239B" w:rsidRDefault="005C239B" w:rsidP="0052306E">
            <w:pPr>
              <w:numPr>
                <w:ilvl w:val="0"/>
                <w:numId w:val="35"/>
              </w:numPr>
              <w:tabs>
                <w:tab w:val="left" w:pos="1418"/>
              </w:tabs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в регионе Северо-Восточной Атлантики, Средиземного и прилегающих морей сертификат «К цунами готов» впервые во Франции получил муниципалитет г. Канны (департамент Приморские Альпы), в регионе Индийского океана им были удостоены муниципальные образования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Нагари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Тапаких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(Индонезия), в Карибском бассейне –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Крайст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-Черч-Уэст (Барбадос),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Дешайес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(Гваделупа) и Сент-Джордж (Сент-Винсент и Гренадины), в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Тихоокеанском регионе –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Доминикаль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Доминикалито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и Бару, Плайя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Эрмоса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Пуэрто-Хименес и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Тививес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 (Коста-Рика),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Навуэву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и Сила (Фиджи);</w:t>
            </w:r>
          </w:p>
          <w:p w14:paraId="33A02909" w14:textId="77777777" w:rsidR="005C239B" w:rsidRPr="005C239B" w:rsidRDefault="005C239B" w:rsidP="0052306E">
            <w:pPr>
              <w:numPr>
                <w:ilvl w:val="0"/>
                <w:numId w:val="35"/>
              </w:numPr>
              <w:tabs>
                <w:tab w:val="left" w:pos="1418"/>
              </w:tabs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успехи, достигнутые МКГ/СПЦТО в отношении изыскания возможностей включения национальных проектов и инициатив, связанных с обеспечением подготовки и готовности к цунами, в программу Десятилетия ООН, посвященного науке об океане, а также то, что вариант использования эквивалентов сертификата «К цунами готов», предусмотренный в рамках других аналогичных инициатив, призван обеспечить возможность представления отчетности о готовности к цунами в соответствии с Программой МОК/ЮНЕСКО по сертификации готовности к цунами (ПСГЦ) на основе действующих в государствах рамочных положений и требований;</w:t>
            </w:r>
          </w:p>
          <w:p w14:paraId="22531E54" w14:textId="77777777" w:rsidR="005C239B" w:rsidRPr="005C239B" w:rsidRDefault="005C239B" w:rsidP="0052306E">
            <w:pPr>
              <w:numPr>
                <w:ilvl w:val="0"/>
                <w:numId w:val="35"/>
              </w:numPr>
              <w:tabs>
                <w:tab w:val="left" w:pos="1418"/>
              </w:tabs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продолжившееся в 2023 г. сотрудничество между УСРБ ООН и МОК/ЮНЕСКО в организации мероприятий, приуроченных ко Всемирному дню распространения информации о проблеме цунами (ВДИПЦ), а также успехи в расширении информационно-просветительской кампании #GetToHighGround («Доберись до возвышенности») с принятием практических мер по всему миру;</w:t>
            </w:r>
          </w:p>
          <w:p w14:paraId="69BF511C" w14:textId="77777777" w:rsidR="005C239B" w:rsidRPr="005C239B" w:rsidRDefault="005C239B" w:rsidP="0052306E">
            <w:pPr>
              <w:numPr>
                <w:ilvl w:val="0"/>
                <w:numId w:val="35"/>
              </w:numPr>
              <w:tabs>
                <w:tab w:val="left" w:pos="1418"/>
              </w:tabs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работа, проведенная в Индонезии на нескольких видах объектов критической инфраструктуры: (1) обеспечение готовности к цунами международного аэропорта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Джокьякарты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(2) обеспечение готовности к цунами гостиницы на о. Бали и (3) учет потребностей промышленной зоны в плане готовности к цунами, на основе опыта промышленной зоны г. 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Чилегон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 Проведенная работа может послужить основой для разработки методического руководства по вопросам обеспечения готовности к цунами объектов критической инфраструктуры в рамках усилий по достижению цели № 2 ПЦДО, предусматривающей обеспечить к 2030 г. 100-процентную готовность населения, проживающего в зонах риска, к цунами и их последствиям;</w:t>
            </w:r>
          </w:p>
          <w:p w14:paraId="6B977BC8" w14:textId="77777777" w:rsidR="005C239B" w:rsidRPr="005C239B" w:rsidRDefault="005C239B" w:rsidP="0052306E">
            <w:pPr>
              <w:numPr>
                <w:ilvl w:val="0"/>
                <w:numId w:val="35"/>
              </w:numPr>
              <w:tabs>
                <w:tab w:val="left" w:pos="1418"/>
              </w:tabs>
              <w:spacing w:after="120"/>
              <w:ind w:left="1701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существенное улучшение положения дел и соответствие стандарту ISO 22328-3 в Индонезии (Наличие на местах систем раннего предупреждения о цунами) с ориентацией на обеспечение готовности к цунами крупных предприятий частного сектора;</w:t>
            </w:r>
          </w:p>
          <w:p w14:paraId="2D7494FA" w14:textId="77777777" w:rsidR="005C239B" w:rsidRPr="005C239B" w:rsidRDefault="005C239B" w:rsidP="00E12E07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принимает также к сведению с удовлетворением</w:t>
            </w:r>
            <w:r>
              <w:rPr>
                <w:rFonts w:ascii="Arial" w:hAnsi="Arial"/>
                <w:sz w:val="22"/>
                <w:szCs w:val="22"/>
              </w:rPr>
              <w:t xml:space="preserve"> деятельность Японского агентства по международному сотрудничеству (ЯАМС), направленную на уменьшение потенциальной опасности стихийных бедствий (УОБ) и создание систем раннего предупреждения о цунами и смягчения их последствий, и </w:t>
            </w:r>
            <w:r>
              <w:rPr>
                <w:rFonts w:ascii="Arial" w:hAnsi="Arial"/>
                <w:sz w:val="22"/>
                <w:szCs w:val="22"/>
                <w:u w:val="single"/>
              </w:rPr>
              <w:t>призывает</w:t>
            </w:r>
            <w:r>
              <w:rPr>
                <w:rFonts w:ascii="Arial" w:hAnsi="Arial"/>
                <w:sz w:val="22"/>
                <w:szCs w:val="22"/>
              </w:rPr>
              <w:t xml:space="preserve"> к более тесному сотрудничеству с ЯАМС;</w:t>
            </w:r>
          </w:p>
          <w:p w14:paraId="6C841542" w14:textId="77777777" w:rsidR="005C239B" w:rsidRPr="005C239B" w:rsidRDefault="005C239B" w:rsidP="00E12E07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принимает далее к сведению с удовлетворением</w:t>
            </w:r>
            <w:r>
              <w:rPr>
                <w:rFonts w:ascii="Arial" w:hAnsi="Arial"/>
                <w:sz w:val="22"/>
                <w:szCs w:val="22"/>
              </w:rPr>
              <w:t xml:space="preserve"> важные обязательства, взятые на себя Барбадосом, Индонезией и США, по размещению у себя КЦИЦ, ЦИЦИО и МЦИЦ в поддержку усилий МКГ, а также обязательство Австралии стать страной местонахождения офиса секретариата МКГ/СПЦСПИО;</w:t>
            </w:r>
          </w:p>
          <w:p w14:paraId="22306809" w14:textId="77777777" w:rsidR="005C239B" w:rsidRPr="005C239B" w:rsidRDefault="005C239B" w:rsidP="00E12E07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приветствует</w:t>
            </w:r>
            <w:r>
              <w:rPr>
                <w:rFonts w:ascii="Arial" w:hAnsi="Arial"/>
                <w:sz w:val="22"/>
                <w:szCs w:val="22"/>
              </w:rPr>
              <w:t xml:space="preserve"> назначение новых должностных лиц в состав МКГ/СПЦСВАСМ и МКГ/СПЦТО на двухлетний период соответственно 2024-2025 гг. и 2023-2025 гг.;</w:t>
            </w:r>
          </w:p>
          <w:p w14:paraId="3613D9D7" w14:textId="09DABBC4" w:rsidR="005C239B" w:rsidRPr="005C239B" w:rsidRDefault="005C239B" w:rsidP="001B377A">
            <w:pPr>
              <w:ind w:left="360"/>
              <w:jc w:val="center"/>
              <w:rPr>
                <w:rFonts w:ascii="Arial" w:hAnsi="Arial" w:cs="Arial"/>
                <w:b/>
                <w:color w:val="0E101A"/>
                <w:sz w:val="22"/>
                <w:szCs w:val="22"/>
              </w:rPr>
            </w:pPr>
            <w:r>
              <w:rPr>
                <w:rFonts w:ascii="Arial" w:hAnsi="Arial"/>
                <w:b/>
                <w:color w:val="0E101A"/>
                <w:sz w:val="22"/>
                <w:szCs w:val="22"/>
              </w:rPr>
              <w:t>Часть I:</w:t>
            </w:r>
            <w:r>
              <w:rPr>
                <w:rFonts w:ascii="Arial" w:hAnsi="Arial"/>
                <w:b/>
                <w:color w:val="0E101A"/>
                <w:sz w:val="22"/>
                <w:szCs w:val="22"/>
              </w:rPr>
              <w:br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Межправительственная координационная группа по системе предупреждения о цунами и опасности других бедствий в прибрежных районах Карибского </w:t>
            </w:r>
            <w:r w:rsidR="00424999" w:rsidRPr="00826A42">
              <w:rPr>
                <w:rFonts w:ascii="Arial" w:hAnsi="Arial"/>
                <w:b/>
                <w:sz w:val="22"/>
                <w:szCs w:val="22"/>
              </w:rPr>
              <w:br/>
            </w:r>
            <w:r>
              <w:rPr>
                <w:rFonts w:ascii="Arial" w:hAnsi="Arial"/>
                <w:b/>
                <w:sz w:val="22"/>
                <w:szCs w:val="22"/>
              </w:rPr>
              <w:t>бассейна и прилегающих регионах (МКГ/КАРИБ-СРП)</w:t>
            </w:r>
          </w:p>
          <w:p w14:paraId="3298EC44" w14:textId="77777777" w:rsidR="005C239B" w:rsidRPr="00A141A8" w:rsidRDefault="005C239B" w:rsidP="00826A42">
            <w:pPr>
              <w:ind w:left="357"/>
              <w:jc w:val="center"/>
              <w:rPr>
                <w:rFonts w:ascii="Arial" w:hAnsi="Arial" w:cs="Arial"/>
                <w:b/>
                <w:color w:val="0E101A"/>
                <w:sz w:val="22"/>
                <w:szCs w:val="22"/>
              </w:rPr>
            </w:pPr>
          </w:p>
          <w:p w14:paraId="73234866" w14:textId="541D1D0D" w:rsidR="00BE18E4" w:rsidRPr="007B3D0B" w:rsidRDefault="00BE18E4" w:rsidP="00826A42">
            <w:pPr>
              <w:numPr>
                <w:ilvl w:val="0"/>
                <w:numId w:val="17"/>
              </w:numPr>
              <w:spacing w:after="120"/>
              <w:ind w:left="1171" w:hanging="604"/>
              <w:rPr>
                <w:rFonts w:ascii="Arial" w:hAnsi="Arial" w:cs="Arial"/>
                <w:b/>
                <w:color w:val="0E101A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u w:val="single"/>
              </w:rPr>
              <w:t>принимает к сведению с удовлетворением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:</w:t>
            </w:r>
          </w:p>
          <w:p w14:paraId="2B9D566F" w14:textId="77777777" w:rsidR="00BE18E4" w:rsidRDefault="00BE18E4" w:rsidP="00826A42">
            <w:pPr>
              <w:numPr>
                <w:ilvl w:val="0"/>
                <w:numId w:val="40"/>
              </w:numPr>
              <w:spacing w:after="120"/>
              <w:ind w:left="1701" w:hanging="567"/>
              <w:jc w:val="both"/>
              <w:rPr>
                <w:rFonts w:ascii="Arial" w:hAnsi="Arial" w:cs="Arial"/>
                <w:bCs/>
                <w:color w:val="0E101A"/>
                <w:sz w:val="22"/>
                <w:szCs w:val="22"/>
              </w:rPr>
            </w:pPr>
            <w:r>
              <w:rPr>
                <w:rFonts w:ascii="Arial" w:hAnsi="Arial"/>
                <w:bCs/>
                <w:color w:val="0E101A"/>
                <w:sz w:val="22"/>
                <w:szCs w:val="22"/>
              </w:rPr>
              <w:t xml:space="preserve">создание руководящего комитета МКГ/КАРИБ-СРП в качестве эффективного инструмента управления, ориентированного на результат, в частности в отношении обеспечения надзора за выполнением его решений и </w:t>
            </w:r>
            <w:r>
              <w:rPr>
                <w:rFonts w:ascii="Arial" w:hAnsi="Arial"/>
                <w:bCs/>
                <w:color w:val="0E101A"/>
                <w:sz w:val="22"/>
                <w:szCs w:val="22"/>
              </w:rPr>
              <w:lastRenderedPageBreak/>
              <w:t>рекомендаций, представляющее собой в числе прочего шаг в направлении унификации глобальных структур управления МКГ;</w:t>
            </w:r>
          </w:p>
          <w:p w14:paraId="4E09B105" w14:textId="77777777" w:rsidR="00BE18E4" w:rsidRDefault="00BE18E4" w:rsidP="00C00AF7">
            <w:pPr>
              <w:numPr>
                <w:ilvl w:val="0"/>
                <w:numId w:val="40"/>
              </w:numPr>
              <w:spacing w:after="120"/>
              <w:ind w:left="1701" w:hanging="567"/>
              <w:jc w:val="both"/>
              <w:rPr>
                <w:rFonts w:ascii="Arial" w:hAnsi="Arial" w:cs="Arial"/>
                <w:bCs/>
                <w:color w:val="0E101A"/>
                <w:sz w:val="22"/>
                <w:szCs w:val="22"/>
              </w:rPr>
            </w:pPr>
            <w:r>
              <w:rPr>
                <w:rFonts w:ascii="Arial" w:hAnsi="Arial"/>
                <w:bCs/>
                <w:color w:val="0E101A"/>
                <w:sz w:val="22"/>
                <w:szCs w:val="22"/>
              </w:rPr>
              <w:t>продолжающееся полноценное функционирование на временной основе Консультативного центра по цунами для региона Центральной Америки (КЦЦЦА) и решение МКГ/КАРИБ-СРП о том, чтобы рассмотреть на своей 18-й сессии в 2025 г. вопрос об использовании КЦЦЦА в качестве провайдера данных слежения за цунами (ПДСЦ), с тем чтобы в июне 2025 г. Ассамблея МОК могла принять окончательное решение по этому вопросу;</w:t>
            </w:r>
          </w:p>
          <w:p w14:paraId="64D8FEB5" w14:textId="77777777" w:rsidR="00BE18E4" w:rsidRDefault="00BE18E4" w:rsidP="00826A42">
            <w:pPr>
              <w:numPr>
                <w:ilvl w:val="0"/>
                <w:numId w:val="40"/>
              </w:numPr>
              <w:spacing w:after="120"/>
              <w:ind w:left="1701" w:hanging="567"/>
              <w:jc w:val="both"/>
              <w:rPr>
                <w:rFonts w:ascii="Arial" w:hAnsi="Arial" w:cs="Arial"/>
                <w:bCs/>
                <w:color w:val="0E101A"/>
                <w:sz w:val="22"/>
                <w:szCs w:val="22"/>
              </w:rPr>
            </w:pPr>
            <w:r>
              <w:rPr>
                <w:rFonts w:ascii="Arial" w:hAnsi="Arial"/>
                <w:bCs/>
                <w:color w:val="0E101A"/>
                <w:sz w:val="22"/>
                <w:szCs w:val="22"/>
              </w:rPr>
              <w:t>запланированное проведение учений «Карибская волна-2025»;</w:t>
            </w:r>
          </w:p>
          <w:p w14:paraId="73B04330" w14:textId="77777777" w:rsidR="00BE18E4" w:rsidRPr="006C3044" w:rsidRDefault="00BE18E4" w:rsidP="00826A42">
            <w:pPr>
              <w:numPr>
                <w:ilvl w:val="0"/>
                <w:numId w:val="40"/>
              </w:numPr>
              <w:spacing w:after="120"/>
              <w:ind w:left="1701" w:hanging="567"/>
              <w:jc w:val="both"/>
              <w:rPr>
                <w:rFonts w:ascii="Arial" w:hAnsi="Arial" w:cs="Arial"/>
                <w:bCs/>
                <w:color w:val="0E101A"/>
                <w:sz w:val="22"/>
                <w:szCs w:val="22"/>
              </w:rPr>
            </w:pPr>
            <w:r>
              <w:rPr>
                <w:rFonts w:ascii="Arial" w:hAnsi="Arial"/>
                <w:bCs/>
                <w:color w:val="0E101A"/>
                <w:sz w:val="22"/>
                <w:szCs w:val="22"/>
              </w:rPr>
              <w:t>создание целевой группы по сертификации готовности к цунами с учетом актуальности продолжения ориентации усилий на выявлении и использовании соответствующих стратегий в Карибском бассейне и прилегающих регионах для достижения второй цели Программы ООН по цунами в рамках Десятилетия, посвященного науке об океане, предусматривающей, что к 2030 г. 100% подверженных риску цунами территориальных сообществ будут подготовлены и способны противостоять такой угрозе посредством  реализации инициатив, подобных Программе сертификации готовности к цунами (ПСГЦ);</w:t>
            </w:r>
          </w:p>
          <w:p w14:paraId="702C02A0" w14:textId="02E05A9E" w:rsidR="006C3044" w:rsidRDefault="006C3044" w:rsidP="00826A42">
            <w:pPr>
              <w:numPr>
                <w:ilvl w:val="0"/>
                <w:numId w:val="40"/>
              </w:numPr>
              <w:spacing w:after="120"/>
              <w:ind w:left="1701" w:hanging="567"/>
              <w:jc w:val="both"/>
              <w:rPr>
                <w:rFonts w:ascii="Arial" w:hAnsi="Arial" w:cs="Arial"/>
                <w:bCs/>
                <w:color w:val="0E101A"/>
                <w:sz w:val="22"/>
                <w:szCs w:val="22"/>
              </w:rPr>
            </w:pPr>
            <w:r>
              <w:rPr>
                <w:rFonts w:ascii="Arial" w:hAnsi="Arial"/>
                <w:bCs/>
                <w:color w:val="0E101A"/>
                <w:sz w:val="22"/>
                <w:szCs w:val="22"/>
              </w:rPr>
              <w:t>возможность проведения МКГ/КАРИБ-СРП начиная</w:t>
            </w:r>
            <w:r w:rsidR="00C00AF7" w:rsidRPr="00C00AF7">
              <w:rPr>
                <w:rFonts w:ascii="Arial" w:hAnsi="Arial"/>
                <w:bCs/>
                <w:color w:val="0E101A"/>
                <w:sz w:val="22"/>
                <w:szCs w:val="22"/>
              </w:rPr>
              <w:t xml:space="preserve"> с</w:t>
            </w:r>
            <w:r>
              <w:rPr>
                <w:rFonts w:ascii="Arial" w:hAnsi="Arial"/>
                <w:bCs/>
                <w:color w:val="0E101A"/>
                <w:sz w:val="22"/>
                <w:szCs w:val="22"/>
              </w:rPr>
              <w:t xml:space="preserve"> 2026 г. и в последующий период своих сессий в очном формате только один раз в два года и один раз в два года проводить их в онлайновом режиме, отмечая при этом стремление ЮНЕСКО уменьшить свой углеродный след для достижения целевого показателя снижения к 2030 г. объема выбросов углерода в атмосферу на 31% в соответствии с целями, установленными в Парижском соглашении;</w:t>
            </w:r>
          </w:p>
          <w:p w14:paraId="1077E91F" w14:textId="77777777" w:rsidR="005C239B" w:rsidRPr="00A141A8" w:rsidRDefault="005C239B" w:rsidP="001B377A">
            <w:pPr>
              <w:rPr>
                <w:rFonts w:ascii="Arial" w:hAnsi="Arial" w:cs="Arial"/>
                <w:bCs/>
                <w:color w:val="0E101A"/>
                <w:sz w:val="22"/>
                <w:szCs w:val="22"/>
                <w:u w:val="single"/>
              </w:rPr>
            </w:pPr>
          </w:p>
          <w:p w14:paraId="51EFF377" w14:textId="2D0AA799" w:rsidR="005C239B" w:rsidRPr="005C239B" w:rsidRDefault="005C239B" w:rsidP="001B377A">
            <w:pPr>
              <w:ind w:left="360"/>
              <w:jc w:val="center"/>
              <w:rPr>
                <w:rFonts w:ascii="Arial" w:hAnsi="Arial" w:cs="Arial"/>
                <w:b/>
                <w:color w:val="0E101A"/>
                <w:sz w:val="22"/>
                <w:szCs w:val="22"/>
              </w:rPr>
            </w:pPr>
            <w:r>
              <w:rPr>
                <w:rFonts w:ascii="Arial" w:hAnsi="Arial"/>
                <w:b/>
                <w:color w:val="0E101A"/>
                <w:sz w:val="22"/>
                <w:szCs w:val="22"/>
              </w:rPr>
              <w:t>Часть II:</w:t>
            </w:r>
            <w:r>
              <w:rPr>
                <w:rFonts w:ascii="Arial" w:hAnsi="Arial"/>
                <w:b/>
                <w:color w:val="0E101A"/>
                <w:sz w:val="22"/>
                <w:szCs w:val="22"/>
              </w:rPr>
              <w:br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Межправительственная координационная группа по системе раннего </w:t>
            </w:r>
            <w:r w:rsidR="001639F8" w:rsidRPr="00377233">
              <w:rPr>
                <w:rFonts w:ascii="Arial" w:hAnsi="Arial"/>
                <w:b/>
                <w:sz w:val="22"/>
                <w:szCs w:val="22"/>
              </w:rPr>
              <w:br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предупреждения о цунами и смягчения их последствий в Северо-Восточной </w:t>
            </w:r>
            <w:r w:rsidR="001639F8" w:rsidRPr="00377233">
              <w:rPr>
                <w:rFonts w:ascii="Arial" w:hAnsi="Arial"/>
                <w:b/>
                <w:sz w:val="22"/>
                <w:szCs w:val="22"/>
              </w:rPr>
              <w:br/>
            </w:r>
            <w:r>
              <w:rPr>
                <w:rFonts w:ascii="Arial" w:hAnsi="Arial"/>
                <w:b/>
                <w:sz w:val="22"/>
                <w:szCs w:val="22"/>
              </w:rPr>
              <w:t>Атлантике, Средиземном и прилегающих морях (МКГ/СПЦСВАСМ)</w:t>
            </w:r>
          </w:p>
          <w:p w14:paraId="7D5C0966" w14:textId="77777777" w:rsidR="005C239B" w:rsidRPr="00A141A8" w:rsidRDefault="005C239B" w:rsidP="001B377A">
            <w:pPr>
              <w:ind w:left="3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EE180D8" w14:textId="77777777" w:rsidR="005C239B" w:rsidRPr="005C239B" w:rsidRDefault="005C239B" w:rsidP="0052306E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принимает к сведению с удовлетворением</w:t>
            </w:r>
            <w:r>
              <w:rPr>
                <w:rFonts w:ascii="Arial" w:hAnsi="Arial"/>
                <w:iCs/>
                <w:sz w:val="22"/>
                <w:szCs w:val="22"/>
              </w:rPr>
              <w:t>:</w:t>
            </w:r>
          </w:p>
          <w:p w14:paraId="3C18C2CC" w14:textId="77777777" w:rsidR="005C239B" w:rsidRPr="005C239B" w:rsidRDefault="005C239B" w:rsidP="0052306E">
            <w:pPr>
              <w:numPr>
                <w:ilvl w:val="0"/>
                <w:numId w:val="36"/>
              </w:numPr>
              <w:spacing w:after="120"/>
              <w:ind w:left="1701" w:hanging="567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положительные результаты пятых учений по проверке готовности к цунами «СВАСМ/Волна-23», проведенных 6-7 ноября 2023 г. в регионе Северо-Восточной Атлантики, Средиземного и прилегающих морей;</w:t>
            </w:r>
          </w:p>
          <w:p w14:paraId="1CF5EE45" w14:textId="77777777" w:rsidR="005C239B" w:rsidRPr="005C239B" w:rsidRDefault="005C239B" w:rsidP="0052306E">
            <w:pPr>
              <w:numPr>
                <w:ilvl w:val="0"/>
                <w:numId w:val="36"/>
              </w:numPr>
              <w:spacing w:after="120"/>
              <w:ind w:left="1701" w:hanging="567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информацию о выдаче муниципалитету г. Канны (департамент Приморские Альпы), Франция, впервые на территории материковой части Франции и в регионе Северо-Восточной Атлантики, Средиземного и прилегающих морей, сертификата МОК/ЮНЕСКО «К цунами готов» и об организованной по этому случаю церемонии, состоявшейся в Каннах 19 января 2024 г.;</w:t>
            </w:r>
          </w:p>
          <w:p w14:paraId="21C27E99" w14:textId="77777777" w:rsidR="005C239B" w:rsidRPr="005C239B" w:rsidRDefault="005C239B" w:rsidP="0052306E">
            <w:pPr>
              <w:numPr>
                <w:ilvl w:val="0"/>
                <w:numId w:val="36"/>
              </w:numPr>
              <w:spacing w:after="120"/>
              <w:ind w:left="1701" w:hanging="567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недавнее продление на два года начиная с 1 июля 2024 г. финансирования по линии Генерального директората Европейской комиссии по вопросам защиты гражданского населения и гуманитарной помощи на цели реализации второй фазы проекта «Прибрежная волна 2.0», предусматривающей масштабирование проекта и повышение потенциала устойчивости прибрежных населенных пунктов в регионе Северо-Восточной Атлантики и Средиземноморья к негативным последствиям цунами и других опасных природных явлений, связанных с изменением уровня моря».</w:t>
            </w:r>
          </w:p>
          <w:p w14:paraId="3D7F6988" w14:textId="27117AFC" w:rsidR="005C239B" w:rsidRPr="005C239B" w:rsidRDefault="005C239B" w:rsidP="0052306E">
            <w:pPr>
              <w:numPr>
                <w:ilvl w:val="0"/>
                <w:numId w:val="36"/>
              </w:numPr>
              <w:spacing w:after="120"/>
              <w:ind w:left="1701" w:hanging="567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lastRenderedPageBreak/>
              <w:t>предложение Египта провести в октябре 2024 г. на своей территории 19</w:t>
            </w:r>
            <w:r w:rsidR="00E12E07" w:rsidRPr="00E12E07">
              <w:rPr>
                <w:rFonts w:ascii="Arial" w:hAnsi="Arial"/>
                <w:iCs/>
                <w:sz w:val="22"/>
                <w:szCs w:val="22"/>
              </w:rPr>
              <w:noBreakHyphen/>
            </w:r>
            <w:r>
              <w:rPr>
                <w:rFonts w:ascii="Arial" w:hAnsi="Arial"/>
                <w:iCs/>
                <w:sz w:val="22"/>
                <w:szCs w:val="22"/>
              </w:rPr>
              <w:t>ю</w:t>
            </w:r>
            <w:r w:rsidR="00E12E07">
              <w:rPr>
                <w:rFonts w:ascii="Arial" w:hAnsi="Arial"/>
                <w:iCs/>
                <w:sz w:val="22"/>
                <w:szCs w:val="22"/>
                <w:lang w:val="fr-FR"/>
              </w:rPr>
              <w:t> </w:t>
            </w:r>
            <w:r>
              <w:rPr>
                <w:rFonts w:ascii="Arial" w:hAnsi="Arial"/>
                <w:iCs/>
                <w:sz w:val="22"/>
                <w:szCs w:val="22"/>
              </w:rPr>
              <w:t>сессию МКГ/СПЦСВАСМ и намерение Италии принять у себя 20</w:t>
            </w:r>
            <w:r w:rsidR="00E12E07" w:rsidRPr="002B1CB6">
              <w:rPr>
                <w:rFonts w:ascii="Arial" w:hAnsi="Arial"/>
                <w:iCs/>
                <w:sz w:val="22"/>
                <w:szCs w:val="22"/>
              </w:rPr>
              <w:noBreakHyphen/>
            </w:r>
            <w:r>
              <w:rPr>
                <w:rFonts w:ascii="Arial" w:hAnsi="Arial"/>
                <w:iCs/>
                <w:sz w:val="22"/>
                <w:szCs w:val="22"/>
              </w:rPr>
              <w:t>ю</w:t>
            </w:r>
            <w:r w:rsidR="00E12E07">
              <w:rPr>
                <w:rFonts w:ascii="Arial" w:hAnsi="Arial"/>
                <w:iCs/>
                <w:sz w:val="22"/>
                <w:szCs w:val="22"/>
                <w:lang w:val="fr-FR"/>
              </w:rPr>
              <w:t> </w:t>
            </w:r>
            <w:r>
              <w:rPr>
                <w:rFonts w:ascii="Arial" w:hAnsi="Arial"/>
                <w:iCs/>
                <w:sz w:val="22"/>
                <w:szCs w:val="22"/>
              </w:rPr>
              <w:t>сессию МКГ/СПЦСВАСМ;</w:t>
            </w:r>
          </w:p>
          <w:p w14:paraId="1437310C" w14:textId="2316F421" w:rsidR="005C239B" w:rsidRPr="005C239B" w:rsidRDefault="005C239B" w:rsidP="00A05CB3">
            <w:pPr>
              <w:spacing w:before="240" w:after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Cs/>
                <w:sz w:val="22"/>
                <w:szCs w:val="22"/>
              </w:rPr>
              <w:t>Часть III:</w:t>
            </w:r>
            <w:r>
              <w:rPr>
                <w:rFonts w:ascii="Arial" w:hAnsi="Arial"/>
                <w:b/>
                <w:bCs/>
                <w:iCs/>
                <w:sz w:val="22"/>
                <w:szCs w:val="22"/>
              </w:rPr>
              <w:br/>
              <w:t xml:space="preserve">Межправительственная координационная группа по системе предупреждения о </w:t>
            </w:r>
            <w:r w:rsidR="002B1CB6" w:rsidRPr="00E06DA0">
              <w:rPr>
                <w:rFonts w:ascii="Arial" w:hAnsi="Arial"/>
                <w:b/>
                <w:bCs/>
                <w:iCs/>
                <w:sz w:val="22"/>
                <w:szCs w:val="22"/>
              </w:rPr>
              <w:br/>
            </w:r>
            <w:r>
              <w:rPr>
                <w:rFonts w:ascii="Arial" w:hAnsi="Arial"/>
                <w:b/>
                <w:bCs/>
                <w:iCs/>
                <w:sz w:val="22"/>
                <w:szCs w:val="22"/>
              </w:rPr>
              <w:t>цунами и смягчения их последствий в Тихом океане (МКГ/СПЦТО)</w:t>
            </w:r>
          </w:p>
          <w:p w14:paraId="24614D96" w14:textId="77777777" w:rsidR="005C239B" w:rsidRPr="005C239B" w:rsidRDefault="005C239B" w:rsidP="0052306E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принимает к сведению с удовлетворением</w:t>
            </w:r>
            <w:r>
              <w:rPr>
                <w:rFonts w:ascii="Arial" w:hAnsi="Arial"/>
                <w:iCs/>
                <w:sz w:val="22"/>
                <w:szCs w:val="22"/>
              </w:rPr>
              <w:t>:</w:t>
            </w:r>
          </w:p>
          <w:p w14:paraId="43EA3E1F" w14:textId="77777777" w:rsidR="005C239B" w:rsidRPr="005C239B" w:rsidRDefault="005C239B" w:rsidP="0052306E">
            <w:pPr>
              <w:numPr>
                <w:ilvl w:val="0"/>
                <w:numId w:val="37"/>
              </w:numPr>
              <w:snapToGrid w:val="0"/>
              <w:spacing w:after="120"/>
              <w:ind w:left="1701" w:hanging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информацию о запланированном на сентябрь-ноябрь 2024 г. проведении одиннадцатых учений по проверке готовности к цунами («Тихоокеанская волна-24»), приуроченных к Международному дню по уменьшению опасности бедствий (13 октября) и Всемирному дню распространения информации о проблеме цунами (5 ноября), в соответствии с утвержденным Кругом ведения;</w:t>
            </w:r>
          </w:p>
          <w:p w14:paraId="0C5E01CF" w14:textId="77777777" w:rsidR="005C239B" w:rsidRPr="005C239B" w:rsidRDefault="005C239B" w:rsidP="0052306E">
            <w:pPr>
              <w:numPr>
                <w:ilvl w:val="0"/>
                <w:numId w:val="37"/>
              </w:numPr>
              <w:snapToGrid w:val="0"/>
              <w:spacing w:after="120"/>
              <w:ind w:left="1701" w:hanging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предложение Китая провести в 2025 г. 31-ю сессию МКГ/СПЦТО в Пекине и предложение Франции провести в 2027 г. 32-ю сессию МКГ/СПЦТО в </w:t>
            </w: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Нумеа</w:t>
            </w:r>
            <w:proofErr w:type="spellEnd"/>
            <w:r>
              <w:rPr>
                <w:rFonts w:ascii="Arial" w:hAnsi="Arial"/>
                <w:bCs/>
                <w:sz w:val="22"/>
                <w:szCs w:val="22"/>
              </w:rPr>
              <w:t>, Новая Каледония;</w:t>
            </w:r>
          </w:p>
          <w:p w14:paraId="0D780DD0" w14:textId="77777777" w:rsidR="005C239B" w:rsidRPr="005C239B" w:rsidRDefault="005C239B" w:rsidP="0052306E">
            <w:pPr>
              <w:numPr>
                <w:ilvl w:val="0"/>
                <w:numId w:val="37"/>
              </w:numPr>
              <w:snapToGrid w:val="0"/>
              <w:spacing w:after="120"/>
              <w:ind w:left="1701" w:hanging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информацию о проведении 14-17 мая 2024 г. в Вануату совещания экспертов, посвященного источникам происхождения цунами, опасным природным явлениям, потенциальным угрозам и факторам неопределенности, связанным с зонами субдукции Вануату, Сан-Кристобаля и Новой Британии;</w:t>
            </w:r>
          </w:p>
          <w:p w14:paraId="51B68D19" w14:textId="77777777" w:rsidR="005C239B" w:rsidRPr="005C239B" w:rsidRDefault="005C239B" w:rsidP="0052306E">
            <w:pPr>
              <w:numPr>
                <w:ilvl w:val="0"/>
                <w:numId w:val="37"/>
              </w:numPr>
              <w:snapToGrid w:val="0"/>
              <w:spacing w:after="120"/>
              <w:ind w:left="1701" w:hanging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решение МКГ/СПЦТО о расширении района осуществляемого СПЦТО мониторинга источников землетрясений с целью включения в него зоны между 63° и 52° </w:t>
            </w: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ю.ш</w:t>
            </w:r>
            <w:proofErr w:type="spellEnd"/>
            <w:r>
              <w:rPr>
                <w:rFonts w:ascii="Arial" w:hAnsi="Arial"/>
                <w:bCs/>
                <w:sz w:val="22"/>
                <w:szCs w:val="22"/>
              </w:rPr>
              <w:t xml:space="preserve">. и 72° и 18° </w:t>
            </w: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з.д</w:t>
            </w:r>
            <w:proofErr w:type="spellEnd"/>
            <w:r>
              <w:rPr>
                <w:rFonts w:ascii="Arial" w:hAnsi="Arial"/>
                <w:bCs/>
                <w:sz w:val="22"/>
                <w:szCs w:val="22"/>
              </w:rPr>
              <w:t>. с охватом Южно-Антильского хребта и прилегающих к нему сейсмических зон;</w:t>
            </w:r>
          </w:p>
          <w:p w14:paraId="634FDC2F" w14:textId="77777777" w:rsidR="005C239B" w:rsidRPr="005C239B" w:rsidRDefault="005C239B" w:rsidP="0052306E">
            <w:pPr>
              <w:numPr>
                <w:ilvl w:val="0"/>
                <w:numId w:val="37"/>
              </w:numPr>
              <w:snapToGrid w:val="0"/>
              <w:spacing w:after="120"/>
              <w:ind w:left="1701" w:hanging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решение МКГ/СПЦТО официально объявить о начале полноценного функционирования Консультативного центра по цунами для региона Центральной Америки (КЦЦЦА), конкретная дата которого будет определена после согласования с МКГ/КАРИБ-СРП;</w:t>
            </w:r>
          </w:p>
          <w:p w14:paraId="09BEEAB1" w14:textId="77777777" w:rsidR="005C239B" w:rsidRPr="005C239B" w:rsidRDefault="005C239B" w:rsidP="0052306E">
            <w:pPr>
              <w:numPr>
                <w:ilvl w:val="0"/>
                <w:numId w:val="37"/>
              </w:numPr>
              <w:spacing w:after="120"/>
              <w:ind w:left="1701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утверждение требований к уровню компетентности, общих принципов деятельности и потребностей в области профессиональной подготовки национальных центров предупреждения о цунами СПЦТО, изложенных в рабочем документе IOC/ICG/PTWS-XXX: </w:t>
            </w:r>
            <w:r>
              <w:rPr>
                <w:rFonts w:ascii="Arial" w:hAnsi="Arial"/>
                <w:bCs/>
                <w:i/>
                <w:sz w:val="22"/>
                <w:szCs w:val="22"/>
              </w:rPr>
              <w:t>«Доклад целевой группы о минимальных требованиях к квалификации сотрудников национального центра предупреждения о цунами (НЦПЦ)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; </w:t>
            </w:r>
          </w:p>
          <w:p w14:paraId="7C3E4630" w14:textId="77777777" w:rsidR="005C239B" w:rsidRPr="005C239B" w:rsidRDefault="005C239B" w:rsidP="0052306E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просит</w:t>
            </w:r>
            <w:r>
              <w:rPr>
                <w:rFonts w:ascii="Arial" w:hAnsi="Arial"/>
                <w:sz w:val="22"/>
                <w:szCs w:val="22"/>
              </w:rPr>
              <w:t xml:space="preserve"> ТЦПЦ завершить необходимые приготовления для обеспечения всех координаторов NAVAREA в Тихом океане и Юго-Западной Атлантике (в частности, координаторов районов NAVAREA VI, X, XI, XII, XIII, XIV, XV и XVI) специальными сообщениями для судов относительно безопасности на море в связи с цунами, которые будут передаваться в НЦПЦ с последующим их препровождением национальным координаторам NAVAREA, либо в отсутствие НЦПЦ непосредственно национальным координаторам NAVAREA по их запросу;</w:t>
            </w:r>
          </w:p>
          <w:p w14:paraId="7C17A0FC" w14:textId="77777777" w:rsidR="005C239B" w:rsidRPr="005C239B" w:rsidRDefault="005C239B" w:rsidP="001B377A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Cs/>
                <w:sz w:val="22"/>
                <w:szCs w:val="22"/>
              </w:rPr>
              <w:t>Часть IV:</w:t>
            </w:r>
            <w:r>
              <w:rPr>
                <w:rFonts w:ascii="Arial" w:hAnsi="Arial"/>
                <w:b/>
                <w:bCs/>
                <w:iCs/>
                <w:sz w:val="22"/>
                <w:szCs w:val="22"/>
              </w:rPr>
              <w:br/>
              <w:t>Рабочая группа по системам предупреждения о цунами и других опасных явлениях, связанных с изменением уровня моря, и смягчения их последствий (РГ-СПЦО)</w:t>
            </w:r>
          </w:p>
          <w:p w14:paraId="3187E600" w14:textId="77777777" w:rsidR="005C239B" w:rsidRPr="005C239B" w:rsidRDefault="005C239B" w:rsidP="0052306E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постановляет</w:t>
            </w:r>
            <w:r>
              <w:rPr>
                <w:rFonts w:ascii="Arial" w:hAnsi="Arial"/>
                <w:sz w:val="22"/>
                <w:szCs w:val="22"/>
              </w:rPr>
              <w:t xml:space="preserve">, что МОК следует более тесно сотрудничать с ВМО в целях увязки своей деятельности, касающейся цунами, с деятельностью служб раннего предупреждения о многофакторных опасных природных явлениях (СРПМОЯ) и инициативой Генерального секретаря ООН «Заблаговременные предупреждения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для всех» (ЗПДВ), в частности, с инициативой ВМО по прогнозированию наводнений в прибрежной зоне (ИПНПЗ), которая является примером многосторонней деятельности по решению проблемы затопления прибрежных районов, вне зависимости от причины такого затопления;</w:t>
            </w:r>
          </w:p>
          <w:p w14:paraId="458F4A9E" w14:textId="77777777" w:rsidR="005C239B" w:rsidRPr="005C239B" w:rsidRDefault="005C239B" w:rsidP="0052306E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приветствует</w:t>
            </w:r>
            <w:r>
              <w:rPr>
                <w:rFonts w:ascii="Arial" w:hAnsi="Arial"/>
                <w:sz w:val="22"/>
                <w:szCs w:val="22"/>
              </w:rPr>
              <w:t xml:space="preserve"> обращенную к Совместному совету по сотрудничеству между ВМО и МОК просьбу ВМО рассмотреть связанные с цунами проблемные аспекты в отношении цунами метеорологического происхождения, уточнить функции и сферы ответственности ВМО и МОК/ЮНЕСКО, а также определить наиболее эффективные возможности укрепления сотрудничества в деле поддержки государств-членов;</w:t>
            </w:r>
          </w:p>
          <w:p w14:paraId="252E6737" w14:textId="77777777" w:rsidR="005C239B" w:rsidRPr="005C239B" w:rsidRDefault="005C239B" w:rsidP="0052306E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поручает</w:t>
            </w:r>
            <w:r>
              <w:rPr>
                <w:rFonts w:ascii="Arial" w:hAnsi="Arial"/>
                <w:sz w:val="22"/>
                <w:szCs w:val="22"/>
              </w:rPr>
              <w:t xml:space="preserve"> региональным межправительственным координационным группам (МКГ):</w:t>
            </w:r>
          </w:p>
          <w:p w14:paraId="003A7E54" w14:textId="77777777" w:rsidR="005C239B" w:rsidRPr="005C239B" w:rsidRDefault="005C239B" w:rsidP="0052306E">
            <w:pPr>
              <w:pStyle w:val="ListParagraph"/>
              <w:numPr>
                <w:ilvl w:val="0"/>
                <w:numId w:val="34"/>
              </w:numPr>
              <w:snapToGrid w:val="0"/>
              <w:spacing w:after="120"/>
              <w:ind w:left="1701" w:hanging="56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рассмотреть возможность проведения учений по проверке готовности к цунами в нерабочее время, в том числе ночью, позаботившись о том, чтобы учесть трудности и возможные проблемы, связанные с привлечением населения к ночным учениям;</w:t>
            </w:r>
          </w:p>
          <w:p w14:paraId="5F0D0BB8" w14:textId="77777777" w:rsidR="005C239B" w:rsidRPr="005C239B" w:rsidRDefault="005C239B" w:rsidP="0052306E">
            <w:pPr>
              <w:pStyle w:val="ListParagraph"/>
              <w:numPr>
                <w:ilvl w:val="0"/>
                <w:numId w:val="34"/>
              </w:numPr>
              <w:snapToGrid w:val="0"/>
              <w:spacing w:after="120"/>
              <w:ind w:left="1701" w:hanging="56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рассмотреть вопрос о том, что провайдерам данных слежения за цунами (ПДСЦ), возможно, необходимо также обеспечить оказание услуг в ситуациях, когда цунами вулканического происхождения может затронуть несколько государств-членов;</w:t>
            </w:r>
          </w:p>
          <w:p w14:paraId="12877C52" w14:textId="77777777" w:rsidR="005C239B" w:rsidRPr="005C239B" w:rsidRDefault="005C239B" w:rsidP="0052306E">
            <w:pPr>
              <w:pStyle w:val="ListParagraph"/>
              <w:numPr>
                <w:ilvl w:val="0"/>
                <w:numId w:val="34"/>
              </w:numPr>
              <w:snapToGrid w:val="0"/>
              <w:spacing w:after="120"/>
              <w:ind w:left="1701" w:hanging="56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использовать учения по проверке готовности к цунами и тестирование систем оповещения населения в числе прочего как возможность контроля наличия и качества имеющихся данных;</w:t>
            </w:r>
          </w:p>
          <w:p w14:paraId="72B91BEB" w14:textId="77777777" w:rsidR="005C239B" w:rsidRPr="005C239B" w:rsidRDefault="005C239B" w:rsidP="0052306E">
            <w:pPr>
              <w:pStyle w:val="ListParagraph"/>
              <w:numPr>
                <w:ilvl w:val="0"/>
                <w:numId w:val="34"/>
              </w:numPr>
              <w:snapToGrid w:val="0"/>
              <w:spacing w:after="120"/>
              <w:ind w:left="1701" w:hanging="56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использовать и поощрять использование многоцелевых станций мониторинга уровня моря в поддержку СРПМОЯ для расширения зоны охвата данными и снижения затрат;</w:t>
            </w:r>
          </w:p>
          <w:p w14:paraId="4271072C" w14:textId="77777777" w:rsidR="005C239B" w:rsidRPr="005C239B" w:rsidRDefault="005C239B" w:rsidP="0052306E">
            <w:pPr>
              <w:pStyle w:val="ListParagraph"/>
              <w:numPr>
                <w:ilvl w:val="0"/>
                <w:numId w:val="34"/>
              </w:numPr>
              <w:snapToGrid w:val="0"/>
              <w:spacing w:after="120"/>
              <w:ind w:left="1701" w:hanging="56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делиться информацией и методами, касающимися развертывания новых технических средств для мониторинга колебаний уровня моря, используемых для целей предупреждения о цунами, таких как текущий проект прокладки подводного кабеля у берегов Португалии (проект CAM SMART), проект TAM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TAM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SMART по прокладке подводного кабеля между Новой Каледонией и Вануату, подводные кабельные сети, развертываемые Индонезией и Индией, и прокладка интеллектуального кабеля в Ионическом море у берегов Сицилии (проект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InSEA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Wet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Demo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);</w:t>
            </w:r>
          </w:p>
          <w:p w14:paraId="052D061E" w14:textId="77777777" w:rsidR="005C239B" w:rsidRPr="005C239B" w:rsidRDefault="005C239B" w:rsidP="006D64F1">
            <w:pPr>
              <w:pStyle w:val="ListParagraph"/>
              <w:numPr>
                <w:ilvl w:val="0"/>
                <w:numId w:val="34"/>
              </w:numPr>
              <w:snapToGrid w:val="0"/>
              <w:spacing w:after="120"/>
              <w:ind w:left="1701" w:hanging="56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предложить ПДСЦ, относящимся к каждой МКГ, провести во второй половине 2024 г. тестовую рассылку навигационных бюллетеней среди соответствующих операторов NAVAREA в их районах обслуживания с прицелом на полноценное внедрение этой услуги в 2025 г.;</w:t>
            </w:r>
          </w:p>
          <w:p w14:paraId="2B506C4A" w14:textId="77777777" w:rsidR="005C239B" w:rsidRPr="005C239B" w:rsidRDefault="005C239B" w:rsidP="0052306E">
            <w:pPr>
              <w:pStyle w:val="ListParagraph"/>
              <w:numPr>
                <w:ilvl w:val="0"/>
                <w:numId w:val="34"/>
              </w:numPr>
              <w:snapToGrid w:val="0"/>
              <w:spacing w:after="120"/>
              <w:ind w:left="1701" w:hanging="567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предложить целевой группе МКГ/СПЦТО по сертификации готовности к цунами распространить практические рекомендации МКГ/СПЦТО в отношении использования эквивалентов сертификата «К цунами готов» для дальнейшего рассмотрения ЦГ-ЛПГ в качестве возможного механизма отчетности в рамках достижения этой цели;</w:t>
            </w:r>
          </w:p>
          <w:p w14:paraId="47571FFC" w14:textId="77777777" w:rsidR="005C239B" w:rsidRPr="005C239B" w:rsidRDefault="005C239B" w:rsidP="0052306E">
            <w:pPr>
              <w:pStyle w:val="ListParagraph"/>
              <w:numPr>
                <w:ilvl w:val="0"/>
                <w:numId w:val="34"/>
              </w:numPr>
              <w:snapToGrid w:val="0"/>
              <w:spacing w:after="120"/>
              <w:ind w:left="1701" w:hanging="567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предложить рабочим группам 1 и 3 МКГ/СПЦСПИО разработать и распространить методическое руководство по обеспечению готовности критической инфраструктуры к цунами;</w:t>
            </w:r>
          </w:p>
          <w:p w14:paraId="7472DCDD" w14:textId="77777777" w:rsidR="005C239B" w:rsidRPr="005C239B" w:rsidRDefault="005C239B" w:rsidP="0052306E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призвать государства-члены вносить добровольные финансовые взносы на специальный счет МОК и взносы в натуральной форме для содействия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осуществлению программы по цунами в рамках Десятилетия, посвященного науке об океане, и программы МОК/ЮНЕСКО по сертификации готовности к цунами;</w:t>
            </w:r>
          </w:p>
          <w:p w14:paraId="758FEDB6" w14:textId="77777777" w:rsidR="005C239B" w:rsidRPr="005C239B" w:rsidRDefault="005C239B" w:rsidP="0052306E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рекомендует</w:t>
            </w:r>
            <w:r>
              <w:rPr>
                <w:rFonts w:ascii="Arial" w:hAnsi="Arial"/>
                <w:sz w:val="22"/>
                <w:szCs w:val="22"/>
              </w:rPr>
              <w:t xml:space="preserve"> для районов, где землетрясение не будет ощущаться, использовать стандартный текст информационного указателя, предусмотренного в рамках программы МОК/ЮНЕСКО по сертификации готовности к цунами, а именно: </w:t>
            </w:r>
            <w:r>
              <w:rPr>
                <w:rFonts w:ascii="Arial" w:hAnsi="Arial"/>
                <w:i/>
                <w:sz w:val="22"/>
                <w:szCs w:val="22"/>
              </w:rPr>
              <w:t>«В случае официального сообщения об опасности цунами поднимитесь на возвышенность или направляйтесь в противоположную от моря сторону»</w:t>
            </w:r>
            <w:r>
              <w:rPr>
                <w:rFonts w:ascii="Arial" w:hAnsi="Arial"/>
                <w:sz w:val="22"/>
                <w:szCs w:val="22"/>
              </w:rPr>
              <w:t xml:space="preserve"> в качестве альтернативы варианту </w:t>
            </w:r>
            <w:r>
              <w:rPr>
                <w:rFonts w:ascii="Arial" w:hAnsi="Arial"/>
                <w:i/>
                <w:sz w:val="22"/>
                <w:szCs w:val="22"/>
              </w:rPr>
              <w:t>«В случае сильного или продолжительного землетрясения, либо официального сообщения об опасности цунами поднимитесь на возвышенность или направляйтесь в противоположную от моря сторону»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  <w:p w14:paraId="2D9F60D2" w14:textId="77777777" w:rsidR="005C239B" w:rsidRPr="005C239B" w:rsidRDefault="005C239B" w:rsidP="0052306E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просит</w:t>
            </w:r>
            <w:r>
              <w:rPr>
                <w:rFonts w:ascii="Arial" w:hAnsi="Arial"/>
                <w:sz w:val="22"/>
                <w:szCs w:val="22"/>
              </w:rPr>
              <w:t xml:space="preserve"> Секретариат МОК:</w:t>
            </w:r>
          </w:p>
          <w:p w14:paraId="56521BF3" w14:textId="77777777" w:rsidR="005C239B" w:rsidRPr="005C239B" w:rsidRDefault="005C239B" w:rsidP="0052306E">
            <w:pPr>
              <w:numPr>
                <w:ilvl w:val="0"/>
                <w:numId w:val="38"/>
              </w:numPr>
              <w:spacing w:after="120"/>
              <w:ind w:left="1701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уведомить все государства-члены посредством циркулярного письма о том, что факсимильная передача ПДСЦ информационных сообщений об опасности цунами будет прекращена через шесть месяцев с даты направления циркулярного письма, если только в течение трех месяцев государства-члены не сообщат о том, что факсимильная передача информационных сообщений об опасности цунами имеет важное значение для функционирования их национальных центров предупреждения о цунами (НЦПЦ) и что у них нет другого резервного средства на этот случай;</w:t>
            </w:r>
          </w:p>
          <w:p w14:paraId="270713F1" w14:textId="77777777" w:rsidR="005C239B" w:rsidRPr="005C239B" w:rsidRDefault="005C239B" w:rsidP="0052306E">
            <w:pPr>
              <w:numPr>
                <w:ilvl w:val="0"/>
                <w:numId w:val="38"/>
              </w:numPr>
              <w:spacing w:after="120"/>
              <w:ind w:left="1701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разработать механизм отчетности, позволяющий МКГ информировать о ходе реализации соответствующих проектов в рамках Десятилетия науки об океане и о достижении ключевых показателей эффективности (КПЭ), предусмотренных в ПИРО-ПЦДО, согласовав его с предложенной глобальной системой КПЭ для программы МОК/ЮНЕСКО по цунами;</w:t>
            </w:r>
          </w:p>
          <w:p w14:paraId="5594D626" w14:textId="417C1536" w:rsidR="005C239B" w:rsidRPr="005C239B" w:rsidRDefault="005C239B" w:rsidP="0052306E">
            <w:pPr>
              <w:numPr>
                <w:ilvl w:val="0"/>
                <w:numId w:val="38"/>
              </w:numPr>
              <w:spacing w:after="120"/>
              <w:ind w:left="1701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распространить среди вулканологических обсерваторий и государств</w:t>
            </w:r>
            <w:r w:rsidR="00860570" w:rsidRPr="00860570">
              <w:rPr>
                <w:rFonts w:ascii="Arial" w:hAnsi="Arial"/>
                <w:sz w:val="22"/>
                <w:szCs w:val="22"/>
              </w:rPr>
              <w:t xml:space="preserve"> – </w:t>
            </w:r>
            <w:r>
              <w:rPr>
                <w:rFonts w:ascii="Arial" w:hAnsi="Arial"/>
                <w:sz w:val="22"/>
                <w:szCs w:val="22"/>
              </w:rPr>
              <w:t xml:space="preserve">членов МОК/ЮНЕСКО доклад </w:t>
            </w:r>
            <w:r>
              <w:rPr>
                <w:rFonts w:ascii="Arial" w:hAnsi="Arial"/>
                <w:i/>
                <w:sz w:val="22"/>
                <w:szCs w:val="22"/>
              </w:rPr>
              <w:t>«Мониторинг и предупреждение в отношении цунами вулканического происхождения»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hyperlink r:id="rId22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IOC/2024/TS/183</w:t>
              </w:r>
            </w:hyperlink>
            <w:r>
              <w:rPr>
                <w:rFonts w:ascii="Arial" w:hAnsi="Arial"/>
                <w:sz w:val="22"/>
                <w:szCs w:val="22"/>
              </w:rPr>
              <w:t>), включая Список вулканов, способных вызвать цунами;</w:t>
            </w:r>
          </w:p>
          <w:p w14:paraId="49E8423A" w14:textId="77777777" w:rsidR="005C239B" w:rsidRPr="005C239B" w:rsidRDefault="005C239B" w:rsidP="0052306E">
            <w:pPr>
              <w:numPr>
                <w:ilvl w:val="0"/>
                <w:numId w:val="38"/>
              </w:numPr>
              <w:spacing w:after="120"/>
              <w:ind w:left="1701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организовать для каждой МКГ онлайновые вебинары с участием соответствующих вулканологических обсерваторий и консультативных центров по вулканическому пеплу (КЦВП), с тем чтобы:</w:t>
            </w:r>
          </w:p>
          <w:p w14:paraId="6E417D6A" w14:textId="77777777" w:rsidR="005C239B" w:rsidRPr="005C239B" w:rsidRDefault="005C239B" w:rsidP="0052306E">
            <w:pPr>
              <w:numPr>
                <w:ilvl w:val="0"/>
                <w:numId w:val="39"/>
              </w:numPr>
              <w:spacing w:after="120"/>
              <w:ind w:left="2268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кратко ознакомить с содержанием доклада </w:t>
            </w:r>
            <w:r>
              <w:rPr>
                <w:rFonts w:ascii="Arial" w:hAnsi="Arial"/>
                <w:i/>
                <w:sz w:val="22"/>
                <w:szCs w:val="22"/>
              </w:rPr>
              <w:t>«Мониторинг и предупреждение в отношении цунами вулканического происхождения»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hyperlink r:id="rId23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IOC/2024/TS/183</w:t>
              </w:r>
            </w:hyperlink>
            <w:r>
              <w:rPr>
                <w:rFonts w:ascii="Arial" w:hAnsi="Arial"/>
                <w:sz w:val="22"/>
                <w:szCs w:val="22"/>
              </w:rPr>
              <w:t>) и сформулированными в нем рекомендациями,</w:t>
            </w:r>
          </w:p>
          <w:p w14:paraId="61753D3F" w14:textId="77777777" w:rsidR="005C239B" w:rsidRPr="005C239B" w:rsidRDefault="005C239B" w:rsidP="0052306E">
            <w:pPr>
              <w:numPr>
                <w:ilvl w:val="0"/>
                <w:numId w:val="39"/>
              </w:numPr>
              <w:spacing w:after="120"/>
              <w:ind w:left="2268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осветить тему этого опасного природного явления и определить уязвимые государства-члены,</w:t>
            </w:r>
          </w:p>
          <w:p w14:paraId="69BB8FE6" w14:textId="77777777" w:rsidR="005C239B" w:rsidRPr="005C239B" w:rsidRDefault="005C239B" w:rsidP="0052306E">
            <w:pPr>
              <w:numPr>
                <w:ilvl w:val="0"/>
                <w:numId w:val="39"/>
              </w:numPr>
              <w:spacing w:after="120"/>
              <w:ind w:left="2268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инициировать необходимое партнерское взаимодействие между НЦПЦ, вулканологическими обсерваториями и КЦВП,</w:t>
            </w:r>
          </w:p>
          <w:p w14:paraId="5B8C479D" w14:textId="77777777" w:rsidR="005C239B" w:rsidRPr="005C239B" w:rsidRDefault="005C239B" w:rsidP="0052306E">
            <w:pPr>
              <w:numPr>
                <w:ilvl w:val="0"/>
                <w:numId w:val="39"/>
              </w:numPr>
              <w:spacing w:after="120"/>
              <w:ind w:left="2268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инициировать рассмотрение вопроса о том, что ПДСЦ, возможно, следует также обеспечить оказание услуг в ситуациях, когда цунами вулканического происхождения может затронуть несколько государств-членов;</w:t>
            </w:r>
          </w:p>
          <w:p w14:paraId="2FA442CE" w14:textId="77777777" w:rsidR="005C239B" w:rsidRPr="005C239B" w:rsidRDefault="005C239B" w:rsidP="0052306E">
            <w:pPr>
              <w:numPr>
                <w:ilvl w:val="0"/>
                <w:numId w:val="38"/>
              </w:numPr>
              <w:spacing w:after="120"/>
              <w:ind w:left="1701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организовать в 2024 г. в координации с МГО вебинары для операторов системы NAVAREA и резервных операторов METAREA с целью ознакомления морского сообщества с новыми услугами и информационными продуктами, а также получения и передачи ПДСЦ контактной информации об их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соответствующих операторах NAVAREA и METAREA для внедрения новых навигационных бюллетеней;</w:t>
            </w:r>
          </w:p>
          <w:p w14:paraId="4BA39A79" w14:textId="77777777" w:rsidR="005C239B" w:rsidRPr="005C239B" w:rsidRDefault="005C239B" w:rsidP="0052306E">
            <w:pPr>
              <w:numPr>
                <w:ilvl w:val="0"/>
                <w:numId w:val="38"/>
              </w:numPr>
              <w:spacing w:after="120"/>
              <w:ind w:left="1701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под руководством ЦИЦ подготовить и распространить комплект методических материалов по вопросам готовности к цунами, который поможет государствам участвовать в реализации ПСГЦ. Указанный комплект методических материалов может включать описание стандартной и понятной процедуры, формата и способа подачи заявки на получение сертификата «К цунами готов» и вспомогательные документы, в том числе разъяснение в отношении термина «сообщество» применительно к программе МОК/ЮНЕСКО по сертификации готовности к цунами;</w:t>
            </w:r>
          </w:p>
          <w:p w14:paraId="5E69F24A" w14:textId="77777777" w:rsidR="005C239B" w:rsidRPr="005C239B" w:rsidRDefault="005C239B" w:rsidP="0052306E">
            <w:pPr>
              <w:numPr>
                <w:ilvl w:val="0"/>
                <w:numId w:val="38"/>
              </w:numPr>
              <w:spacing w:after="120"/>
              <w:ind w:left="1701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информировать государства-члены о возможности использования комплекта методических материалов по вопросам готовности к цунами посредством направления циркулярного письма МОК в адрес национальных контактов по цунами и национальных советов по обеспечению готовности к цунами, а также путем его широкого распространения в качестве приложения к </w:t>
            </w:r>
            <w:r>
              <w:rPr>
                <w:rFonts w:ascii="Arial" w:hAnsi="Arial"/>
                <w:i/>
                <w:sz w:val="22"/>
                <w:szCs w:val="22"/>
              </w:rPr>
              <w:t>Типовым руководящим принципам участия в Программе сертификации готовности к цунами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hyperlink r:id="rId24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IOC/2022/MG/74</w:t>
              </w:r>
            </w:hyperlink>
            <w:r>
              <w:rPr>
                <w:rFonts w:ascii="Arial" w:hAnsi="Arial"/>
                <w:sz w:val="22"/>
                <w:szCs w:val="22"/>
              </w:rPr>
              <w:t>);</w:t>
            </w:r>
          </w:p>
          <w:p w14:paraId="2180F506" w14:textId="3D7E6914" w:rsidR="005C239B" w:rsidRPr="005C239B" w:rsidRDefault="005C239B" w:rsidP="0052306E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продлевает</w:t>
            </w:r>
            <w:r>
              <w:rPr>
                <w:rFonts w:ascii="Arial" w:hAnsi="Arial"/>
                <w:sz w:val="22"/>
                <w:szCs w:val="22"/>
              </w:rPr>
              <w:t xml:space="preserve"> срок полномочий Рабочей группы по системам предупреждения о цунами и других опасных явлениях, связанных с изменением уровня моря, и смягчения их последствий, а также полномочий следующих ее целевых групп: (i)</w:t>
            </w:r>
            <w:r w:rsidR="00C84B7B">
              <w:rPr>
                <w:rFonts w:ascii="Arial" w:hAnsi="Arial"/>
                <w:sz w:val="22"/>
                <w:szCs w:val="22"/>
                <w:lang w:val="fr-FR"/>
              </w:rPr>
              <w:t> </w:t>
            </w:r>
            <w:r>
              <w:rPr>
                <w:rFonts w:ascii="Arial" w:hAnsi="Arial"/>
                <w:sz w:val="22"/>
                <w:szCs w:val="22"/>
              </w:rPr>
              <w:t>целевая группа по ликвидации последствий стихийных бедствий и обеспечению готовности к ним (ЦГ-ЛПГ) и (ii) целевая группа по наблюдению за цунами (ЦГ</w:t>
            </w:r>
            <w:r w:rsidR="00C84B7B" w:rsidRPr="00C84B7B">
              <w:rPr>
                <w:rFonts w:ascii="Arial" w:hAnsi="Arial"/>
                <w:sz w:val="22"/>
                <w:szCs w:val="22"/>
              </w:rPr>
              <w:noBreakHyphen/>
            </w:r>
            <w:r>
              <w:rPr>
                <w:rFonts w:ascii="Arial" w:hAnsi="Arial"/>
                <w:sz w:val="22"/>
                <w:szCs w:val="22"/>
              </w:rPr>
              <w:t>НЦ) с сохранением за ними полномочий, изложенных в резолюции МОК XXIV-14 (для РГ-СПЦО), в докладе IOC/TOWS-WG-VI/3, приложение II (для ЦГ</w:t>
            </w:r>
            <w:r w:rsidR="00C84B7B" w:rsidRPr="00C84B7B">
              <w:rPr>
                <w:rFonts w:ascii="Arial" w:hAnsi="Arial"/>
                <w:sz w:val="22"/>
                <w:szCs w:val="22"/>
              </w:rPr>
              <w:noBreakHyphen/>
            </w:r>
            <w:r>
              <w:rPr>
                <w:rFonts w:ascii="Arial" w:hAnsi="Arial"/>
                <w:sz w:val="22"/>
                <w:szCs w:val="22"/>
              </w:rPr>
              <w:t>ЛПГ) и докладе IOC/TOWS-WG-X/3, приложение II, добавление 1 (для ЦГ</w:t>
            </w:r>
            <w:r w:rsidR="00C84B7B" w:rsidRPr="005A21C4">
              <w:rPr>
                <w:rFonts w:ascii="Arial" w:hAnsi="Arial"/>
                <w:sz w:val="22"/>
                <w:szCs w:val="22"/>
              </w:rPr>
              <w:noBreakHyphen/>
            </w:r>
            <w:r>
              <w:rPr>
                <w:rFonts w:ascii="Arial" w:hAnsi="Arial"/>
                <w:sz w:val="22"/>
                <w:szCs w:val="22"/>
              </w:rPr>
              <w:t>НЦ);</w:t>
            </w:r>
          </w:p>
          <w:p w14:paraId="6B44AF7C" w14:textId="77777777" w:rsidR="005C239B" w:rsidRPr="005C239B" w:rsidRDefault="005C239B" w:rsidP="0052306E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принимает к сведению</w:t>
            </w:r>
            <w:r>
              <w:rPr>
                <w:rFonts w:ascii="Arial" w:hAnsi="Arial"/>
                <w:iCs/>
                <w:sz w:val="22"/>
                <w:szCs w:val="22"/>
              </w:rPr>
              <w:t>, что РГ-СПЦО проведет оценку на предмет актуальности и пересмотр круга ведения ЦГ-ЛПГ и ЦГ-НЦ для их утверждения на следующей сессии Ассамблеи МОК в 2025 г.;</w:t>
            </w:r>
          </w:p>
          <w:p w14:paraId="450D0CC0" w14:textId="77777777" w:rsidR="005C239B" w:rsidRPr="005C239B" w:rsidRDefault="005C239B" w:rsidP="0052306E">
            <w:pPr>
              <w:numPr>
                <w:ilvl w:val="0"/>
                <w:numId w:val="17"/>
              </w:numPr>
              <w:spacing w:after="120"/>
              <w:ind w:left="1134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принимает также к сведению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, что объем ассигнований по линии бюджета обычной программы на цели осуществления указанных мероприятий будет определен в рамках резолюции, касающейся управления, разработки программ и планирования бюджета Комиссии. </w:t>
            </w:r>
          </w:p>
        </w:tc>
      </w:tr>
      <w:bookmarkEnd w:id="123"/>
    </w:tbl>
    <w:p w14:paraId="74AE993F" w14:textId="77777777" w:rsidR="005C239B" w:rsidRPr="00A141A8" w:rsidRDefault="005C239B" w:rsidP="005C239B">
      <w:pPr>
        <w:pStyle w:val="Style2"/>
        <w:tabs>
          <w:tab w:val="clear" w:pos="1400"/>
          <w:tab w:val="left" w:pos="709"/>
        </w:tabs>
        <w:spacing w:after="0"/>
        <w:ind w:left="0"/>
        <w:rPr>
          <w:rFonts w:cs="Arial"/>
        </w:rPr>
      </w:pPr>
    </w:p>
    <w:p w14:paraId="693A0A6F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567"/>
        <w:rPr>
          <w:rFonts w:cs="Arial"/>
        </w:rPr>
      </w:pPr>
      <w: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72AF2A99" w14:textId="77777777" w:rsidR="005C239B" w:rsidRPr="005C239B" w:rsidRDefault="005C239B" w:rsidP="005C239B">
      <w:pPr>
        <w:pStyle w:val="Heading1"/>
        <w:numPr>
          <w:ilvl w:val="0"/>
          <w:numId w:val="9"/>
        </w:numPr>
        <w:tabs>
          <w:tab w:val="left" w:pos="709"/>
        </w:tabs>
        <w:spacing w:before="360"/>
        <w:ind w:left="709" w:hanging="720"/>
        <w:rPr>
          <w:rFonts w:cs="Arial"/>
          <w:szCs w:val="22"/>
        </w:rPr>
      </w:pPr>
      <w:bookmarkStart w:id="124" w:name="_Toc166740232"/>
      <w:r>
        <w:t>ВОПРОСЫ ПРОГРАММЫ</w:t>
      </w:r>
      <w:bookmarkEnd w:id="124"/>
    </w:p>
    <w:p w14:paraId="45022D76" w14:textId="6AB14A47" w:rsidR="005C239B" w:rsidRPr="005C239B" w:rsidRDefault="005C239B" w:rsidP="005C239B">
      <w:pPr>
        <w:pStyle w:val="Heading2"/>
        <w:ind w:left="709" w:hanging="709"/>
        <w:rPr>
          <w:rFonts w:cs="Arial"/>
          <w:szCs w:val="22"/>
        </w:rPr>
      </w:pPr>
      <w:bookmarkStart w:id="125" w:name="_Toc85469070"/>
      <w:bookmarkStart w:id="126" w:name="_Toc92752500"/>
      <w:bookmarkStart w:id="127" w:name="_Toc166740233"/>
      <w:r>
        <w:t>4.1</w:t>
      </w:r>
      <w:r>
        <w:tab/>
        <w:t>УПРАВЛЕНИЕ ГЛОБАЛЬНОЙ СИСТЕМОЙ НАБЛЮДЕНИЙ ЗА ОКЕАНОМ (ГСНО)</w:t>
      </w:r>
      <w:r>
        <w:br/>
        <w:t>[</w:t>
      </w:r>
      <w:r w:rsidR="00355FF3">
        <w:rPr>
          <w:caps w:val="0"/>
        </w:rPr>
        <w:t xml:space="preserve">Реш. </w:t>
      </w:r>
      <w:r>
        <w:t>A-32/4.8.1]</w:t>
      </w:r>
      <w:bookmarkEnd w:id="125"/>
      <w:bookmarkEnd w:id="126"/>
      <w:bookmarkEnd w:id="127"/>
    </w:p>
    <w:tbl>
      <w:tblPr>
        <w:tblW w:w="10571" w:type="dxa"/>
        <w:tblInd w:w="108" w:type="dxa"/>
        <w:tblLook w:val="0000" w:firstRow="0" w:lastRow="0" w:firstColumn="0" w:lastColumn="0" w:noHBand="0" w:noVBand="0"/>
      </w:tblPr>
      <w:tblGrid>
        <w:gridCol w:w="2160"/>
        <w:gridCol w:w="2518"/>
        <w:gridCol w:w="5137"/>
        <w:gridCol w:w="756"/>
      </w:tblGrid>
      <w:tr w:rsidR="005C239B" w:rsidRPr="005C239B" w14:paraId="4082DC19" w14:textId="77777777" w:rsidTr="002D207D">
        <w:trPr>
          <w:gridAfter w:val="1"/>
          <w:wAfter w:w="756" w:type="dxa"/>
        </w:trPr>
        <w:tc>
          <w:tcPr>
            <w:tcW w:w="2160" w:type="dxa"/>
            <w:shd w:val="clear" w:color="auto" w:fill="FFFF99"/>
            <w:tcMar>
              <w:top w:w="57" w:type="dxa"/>
              <w:bottom w:w="57" w:type="dxa"/>
            </w:tcMar>
          </w:tcPr>
          <w:p w14:paraId="7F96E7B2" w14:textId="3F8A5AB3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Рабочий </w:t>
            </w:r>
            <w:r w:rsidR="002D207D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fr-FR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</w:t>
            </w:r>
          </w:p>
        </w:tc>
        <w:tc>
          <w:tcPr>
            <w:tcW w:w="2518" w:type="dxa"/>
            <w:shd w:val="clear" w:color="auto" w:fill="FFFF99"/>
            <w:tcMar>
              <w:top w:w="57" w:type="dxa"/>
              <w:bottom w:w="57" w:type="dxa"/>
            </w:tcMar>
          </w:tcPr>
          <w:p w14:paraId="5B43A414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IOC/EC-57/4.1.Doc(1)</w:t>
            </w:r>
          </w:p>
        </w:tc>
        <w:tc>
          <w:tcPr>
            <w:tcW w:w="5137" w:type="dxa"/>
            <w:shd w:val="clear" w:color="auto" w:fill="FFFF99"/>
            <w:tcMar>
              <w:top w:w="57" w:type="dxa"/>
              <w:bottom w:w="57" w:type="dxa"/>
            </w:tcMar>
          </w:tcPr>
          <w:p w14:paraId="4CFA7C64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Управление глобальной системой наблюдений за океаном (ГСНО)</w:t>
            </w:r>
          </w:p>
        </w:tc>
      </w:tr>
      <w:tr w:rsidR="005C239B" w:rsidRPr="005C239B" w14:paraId="707DBF64" w14:textId="77777777" w:rsidTr="002D207D">
        <w:tc>
          <w:tcPr>
            <w:tcW w:w="2160" w:type="dxa"/>
            <w:shd w:val="clear" w:color="auto" w:fill="D5DCE4"/>
            <w:tcMar>
              <w:top w:w="57" w:type="dxa"/>
              <w:bottom w:w="57" w:type="dxa"/>
            </w:tcMar>
          </w:tcPr>
          <w:p w14:paraId="774287C4" w14:textId="79FDDF6E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Справочные </w:t>
            </w:r>
            <w:r w:rsidR="002D207D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fr-FR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документы</w:t>
            </w:r>
          </w:p>
        </w:tc>
        <w:tc>
          <w:tcPr>
            <w:tcW w:w="2518" w:type="dxa"/>
            <w:shd w:val="clear" w:color="auto" w:fill="auto"/>
            <w:tcMar>
              <w:top w:w="57" w:type="dxa"/>
              <w:bottom w:w="57" w:type="dxa"/>
            </w:tcMar>
          </w:tcPr>
          <w:p w14:paraId="4E5F5E7E" w14:textId="77777777" w:rsidR="005C239B" w:rsidRPr="005C239B" w:rsidRDefault="00795B47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5" w:history="1">
              <w:r w:rsidR="005C239B">
                <w:rPr>
                  <w:rStyle w:val="Hyperlink"/>
                  <w:rFonts w:ascii="Arial" w:hAnsi="Arial"/>
                  <w:sz w:val="22"/>
                  <w:szCs w:val="22"/>
                  <w:shd w:val="clear" w:color="auto" w:fill="FFFFFF"/>
                </w:rPr>
                <w:t>IOC/BRO/2019/5 rev.2</w:t>
              </w:r>
            </w:hyperlink>
          </w:p>
        </w:tc>
        <w:tc>
          <w:tcPr>
            <w:tcW w:w="5137" w:type="dxa"/>
            <w:shd w:val="clear" w:color="auto" w:fill="auto"/>
            <w:tcMar>
              <w:top w:w="57" w:type="dxa"/>
              <w:bottom w:w="57" w:type="dxa"/>
            </w:tcMar>
          </w:tcPr>
          <w:p w14:paraId="3BB8DE04" w14:textId="36266502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Глобальная система наблюдений за океаном: стратегия развития на период до 2030</w:t>
            </w:r>
            <w:r w:rsidR="002D207D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 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г. </w:t>
            </w:r>
          </w:p>
        </w:tc>
        <w:tc>
          <w:tcPr>
            <w:tcW w:w="756" w:type="dxa"/>
          </w:tcPr>
          <w:p w14:paraId="3E2A1BEA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C239B" w:rsidRPr="005C239B" w14:paraId="2E49B5FA" w14:textId="77777777" w:rsidTr="002D207D">
        <w:tc>
          <w:tcPr>
            <w:tcW w:w="2160" w:type="dxa"/>
            <w:shd w:val="clear" w:color="auto" w:fill="D5DCE4"/>
            <w:tcMar>
              <w:top w:w="57" w:type="dxa"/>
              <w:bottom w:w="57" w:type="dxa"/>
            </w:tcMar>
          </w:tcPr>
          <w:p w14:paraId="232441F0" w14:textId="77777777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18" w:type="dxa"/>
            <w:shd w:val="clear" w:color="auto" w:fill="auto"/>
            <w:tcMar>
              <w:top w:w="57" w:type="dxa"/>
              <w:bottom w:w="57" w:type="dxa"/>
            </w:tcMar>
          </w:tcPr>
          <w:p w14:paraId="41024929" w14:textId="77777777" w:rsidR="005C239B" w:rsidRPr="005C239B" w:rsidRDefault="00795B47" w:rsidP="001B377A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hyperlink r:id="rId26" w:history="1">
              <w:r w:rsidR="005C239B">
                <w:rPr>
                  <w:rStyle w:val="Hyperlink"/>
                  <w:rFonts w:ascii="Arial" w:hAnsi="Arial"/>
                  <w:sz w:val="22"/>
                  <w:szCs w:val="22"/>
                </w:rPr>
                <w:t>Резолюция XXVI-8</w:t>
              </w:r>
            </w:hyperlink>
          </w:p>
        </w:tc>
        <w:tc>
          <w:tcPr>
            <w:tcW w:w="5137" w:type="dxa"/>
            <w:shd w:val="clear" w:color="auto" w:fill="auto"/>
            <w:tcMar>
              <w:top w:w="57" w:type="dxa"/>
              <w:bottom w:w="57" w:type="dxa"/>
            </w:tcMar>
          </w:tcPr>
          <w:p w14:paraId="0FBD93D9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Круг ведения руководящего комитета ГСНО (Группы экспертов) (2011 г.)</w:t>
            </w:r>
          </w:p>
        </w:tc>
        <w:tc>
          <w:tcPr>
            <w:tcW w:w="756" w:type="dxa"/>
          </w:tcPr>
          <w:p w14:paraId="76DD9929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C239B" w:rsidRPr="005C239B" w14:paraId="244D3A4C" w14:textId="77777777" w:rsidTr="002D207D">
        <w:tc>
          <w:tcPr>
            <w:tcW w:w="2160" w:type="dxa"/>
            <w:shd w:val="clear" w:color="auto" w:fill="D5DCE4"/>
            <w:tcMar>
              <w:top w:w="57" w:type="dxa"/>
              <w:bottom w:w="57" w:type="dxa"/>
            </w:tcMar>
          </w:tcPr>
          <w:p w14:paraId="5CD709DE" w14:textId="77777777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18" w:type="dxa"/>
            <w:shd w:val="clear" w:color="auto" w:fill="auto"/>
            <w:tcMar>
              <w:top w:w="57" w:type="dxa"/>
              <w:bottom w:w="57" w:type="dxa"/>
            </w:tcMar>
          </w:tcPr>
          <w:p w14:paraId="40A25F84" w14:textId="12ED31A2" w:rsidR="005C239B" w:rsidRPr="007C5FE0" w:rsidRDefault="007C5FE0" w:rsidP="001B377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F0851">
              <w:rPr>
                <w:rFonts w:ascii="Arial" w:hAnsi="Arial" w:cs="Arial"/>
                <w:sz w:val="22"/>
                <w:szCs w:val="22"/>
              </w:rPr>
              <w:t xml:space="preserve">Серия технических докладов МОК, </w:t>
            </w:r>
            <w:proofErr w:type="spellStart"/>
            <w:r w:rsidRPr="002F0851">
              <w:rPr>
                <w:rFonts w:ascii="Arial" w:hAnsi="Arial" w:cs="Arial"/>
                <w:sz w:val="22"/>
                <w:szCs w:val="22"/>
              </w:rPr>
              <w:t>вып</w:t>
            </w:r>
            <w:proofErr w:type="spellEnd"/>
            <w:r w:rsidRPr="002F0851">
              <w:rPr>
                <w:rFonts w:ascii="Arial" w:hAnsi="Arial" w:cs="Arial"/>
                <w:sz w:val="22"/>
                <w:szCs w:val="22"/>
              </w:rPr>
              <w:t>. № 51.7</w:t>
            </w:r>
          </w:p>
        </w:tc>
        <w:tc>
          <w:tcPr>
            <w:tcW w:w="5137" w:type="dxa"/>
            <w:shd w:val="clear" w:color="auto" w:fill="auto"/>
            <w:tcMar>
              <w:top w:w="57" w:type="dxa"/>
              <w:bottom w:w="57" w:type="dxa"/>
            </w:tcMar>
          </w:tcPr>
          <w:p w14:paraId="30372AF0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Приоритетная задача 7 Десятилетия науки об океане: Развитие глобальной системы наблюдений за океаном </w:t>
            </w:r>
          </w:p>
        </w:tc>
        <w:tc>
          <w:tcPr>
            <w:tcW w:w="756" w:type="dxa"/>
          </w:tcPr>
          <w:p w14:paraId="4F7706D0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C23C31" w14:textId="77777777" w:rsidR="005C239B" w:rsidRPr="00A141A8" w:rsidRDefault="005C239B" w:rsidP="005C239B">
      <w:pPr>
        <w:pStyle w:val="Style2"/>
        <w:tabs>
          <w:tab w:val="clear" w:pos="1400"/>
          <w:tab w:val="left" w:pos="709"/>
        </w:tabs>
        <w:spacing w:after="0"/>
        <w:rPr>
          <w:rFonts w:cs="Arial"/>
        </w:rPr>
      </w:pPr>
    </w:p>
    <w:p w14:paraId="538C01AF" w14:textId="77777777" w:rsidR="005C239B" w:rsidRPr="005C239B" w:rsidRDefault="005C239B" w:rsidP="002D207D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Этот пункт повестки дня представила руководитель секции наблюдений за океаном и океанографического обслуживания г-жа Джоанна </w:t>
      </w:r>
      <w:proofErr w:type="spellStart"/>
      <w:r>
        <w:t>Поуст</w:t>
      </w:r>
      <w:proofErr w:type="spellEnd"/>
      <w:r>
        <w:t>. Она рассказала об успехах, достигнутых в области наблюдений за океаном, в том числе в рамках реализации Стратегии развития ГСНО на период до 2030 г. В мире растет понимание настоятельной необходимости последовательного развития глобальной системы наблюдений за океаном и приведения ее в соответствие конкретным потребностям. При этом подчеркивается важность наличия на национальном и глобальном уровнях необходимой инфраструктуры океанографических наблюдений, а также экосистемы данных, удовлетворяющей требованиям конечных потребителей и актуальной с точки зрения оценки и контроля рисков, связанных с океаном, рационального планирования в сфере морепользования, оперативного прогнозирования состояния морской среды и научного понимания происходящих в океане процессов.</w:t>
      </w:r>
    </w:p>
    <w:p w14:paraId="3D298744" w14:textId="352B70F4" w:rsidR="005C239B" w:rsidRPr="005C239B" w:rsidRDefault="005C239B" w:rsidP="002D207D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Г-жа </w:t>
      </w:r>
      <w:proofErr w:type="spellStart"/>
      <w:r>
        <w:t>Поуст</w:t>
      </w:r>
      <w:proofErr w:type="spellEnd"/>
      <w:r>
        <w:t xml:space="preserve"> кратко информировала о ходе реформы системы управления ГСНО после принятия Ассамблеей МОК </w:t>
      </w:r>
      <w:hyperlink r:id="rId27" w:history="1">
        <w:r>
          <w:rPr>
            <w:rStyle w:val="Hyperlink"/>
          </w:rPr>
          <w:t>решения A-32/4.8.1</w:t>
        </w:r>
      </w:hyperlink>
      <w:r>
        <w:t xml:space="preserve">. Она напомнила задачи и функции ГСНО и круг ведения руководящего комитета ГСНО, сформулированный в резолюции XXVI-8 (2011 г.). В соответствии с ним в состав руководящего комитета ГСНО входит 15 экспертов: пять из них назначаются избирательными группами государств-членов в ходе Ассамблеи МОК, остальные десять экспертов, специализирующихся в научно-технических областях знаний, назначаются Исполнительным секретарем в консультации с должностными лицами МОК и организациями соучредителями. В работе РК-ГСНО участвуют, кроме того, лица, входящие в него по должности, а также приглашенные эксперты. В своем </w:t>
      </w:r>
      <w:hyperlink r:id="rId28" w:history="1">
        <w:r>
          <w:rPr>
            <w:rStyle w:val="Hyperlink"/>
          </w:rPr>
          <w:t>решении A-32/4.8.1</w:t>
        </w:r>
      </w:hyperlink>
      <w:r>
        <w:t xml:space="preserve"> Ассамблея приняла к сведению назначение избирательными группами государств-членов, представляющими пять регионов МОК, пяти региональных экспертов на период 2024-2025 гг. В свете истечения срока полномочий предыдущего состава комитета, о чем сообщалось в январском 2024 г. циркулярном письме МОК </w:t>
      </w:r>
      <w:hyperlink r:id="rId29" w:history="1">
        <w:r>
          <w:rPr>
            <w:rStyle w:val="Hyperlink"/>
          </w:rPr>
          <w:t>№ 2983</w:t>
        </w:r>
      </w:hyperlink>
      <w:r>
        <w:t>, Исполнительный секретарь по согласованию с должностными лицами МОК и организациями соучредителями назначил в мае 2024 г. десять новых технических и научных экспертов для содействия ГСНО в выполнении ее мандата.</w:t>
      </w:r>
    </w:p>
    <w:p w14:paraId="7D371CBB" w14:textId="77777777" w:rsidR="005C239B" w:rsidRPr="005C239B" w:rsidRDefault="005C239B" w:rsidP="002D207D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Коснувшись документа IOC/EC-57/41.Doc(1), г-жа </w:t>
      </w:r>
      <w:proofErr w:type="spellStart"/>
      <w:r>
        <w:t>Поуст</w:t>
      </w:r>
      <w:proofErr w:type="spellEnd"/>
      <w:r>
        <w:t xml:space="preserve"> рассказала о планируемых дальнейших шагах. По ее словам, для обеспечения управления ГСНО в соответствии с поставленными задачами указанный документ следует рассматривать как очередной шаг на пути усовершенствования механизмов управления ГСНО с участием МОК, ВМО и других соучредителей в соответствии с потребностями и приоритетами государств-членов. Эта работа должна вестись с учетом сферы компетенций соучредителей ГСНО и ее экспертных групп, меняющихся условий, в том числе в контексте проведения Десятилетия науки об океане и создания механизма «На пути к 2030 году», актуальности коллективного подхода в вопросах изучения систем Земли/разработки проектов, стратегического позиционирования МОК и продуманного планирования ее деятельности, а также с учетом полномочий, предусмотренных в соответствующих многосторонних соглашениях.</w:t>
      </w:r>
    </w:p>
    <w:tbl>
      <w:tblPr>
        <w:tblW w:w="0" w:type="auto"/>
        <w:shd w:val="clear" w:color="auto" w:fill="CCFFCC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5C239B" w:rsidRPr="005C239B" w14:paraId="035ABE59" w14:textId="77777777" w:rsidTr="001B377A">
        <w:trPr>
          <w:trHeight w:val="604"/>
        </w:trPr>
        <w:tc>
          <w:tcPr>
            <w:tcW w:w="9747" w:type="dxa"/>
            <w:shd w:val="clear" w:color="auto" w:fill="CCFFCC"/>
            <w:tcMar>
              <w:top w:w="113" w:type="dxa"/>
              <w:bottom w:w="113" w:type="dxa"/>
            </w:tcMar>
          </w:tcPr>
          <w:p w14:paraId="46563AC1" w14:textId="77777777" w:rsidR="005C239B" w:rsidRPr="005C239B" w:rsidRDefault="005C239B" w:rsidP="001B377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Реш. EC-57/4.1</w:t>
            </w:r>
          </w:p>
          <w:p w14:paraId="7518CBA9" w14:textId="77777777" w:rsidR="005C239B" w:rsidRPr="005C239B" w:rsidRDefault="005C239B" w:rsidP="001B377A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Управление глобальной системой наблюдений за океаном (ГСНО)</w:t>
            </w:r>
          </w:p>
          <w:p w14:paraId="534A1285" w14:textId="77777777" w:rsidR="005C239B" w:rsidRPr="005C239B" w:rsidRDefault="005C239B" w:rsidP="001B377A">
            <w:pPr>
              <w:spacing w:after="120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Исполнительный совет,</w:t>
            </w:r>
          </w:p>
          <w:p w14:paraId="5BB56988" w14:textId="77777777" w:rsidR="005C239B" w:rsidRPr="005C239B" w:rsidRDefault="005C239B" w:rsidP="0052306E">
            <w:pPr>
              <w:numPr>
                <w:ilvl w:val="3"/>
                <w:numId w:val="18"/>
              </w:numPr>
              <w:spacing w:after="240"/>
              <w:ind w:left="992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рассмотрев</w:t>
            </w:r>
            <w:r>
              <w:rPr>
                <w:rFonts w:ascii="Arial" w:hAnsi="Arial"/>
                <w:sz w:val="22"/>
                <w:szCs w:val="22"/>
              </w:rPr>
              <w:t xml:space="preserve"> документ IOC/EC-57/4.1.Doc(1),</w:t>
            </w:r>
          </w:p>
          <w:p w14:paraId="599E71DA" w14:textId="77777777" w:rsidR="005C239B" w:rsidRPr="005C239B" w:rsidRDefault="005C239B" w:rsidP="0052306E">
            <w:pPr>
              <w:numPr>
                <w:ilvl w:val="3"/>
                <w:numId w:val="18"/>
              </w:numPr>
              <w:spacing w:after="240"/>
              <w:ind w:left="994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подтверждая</w:t>
            </w:r>
            <w:r>
              <w:rPr>
                <w:rFonts w:ascii="Arial" w:hAnsi="Arial"/>
                <w:sz w:val="22"/>
                <w:szCs w:val="22"/>
              </w:rPr>
              <w:t>, что развитие ГСНО является приоритетной задачей МОК,</w:t>
            </w:r>
          </w:p>
          <w:p w14:paraId="2E82A42B" w14:textId="77777777" w:rsidR="005C239B" w:rsidRPr="005C239B" w:rsidRDefault="005C239B" w:rsidP="0052306E">
            <w:pPr>
              <w:numPr>
                <w:ilvl w:val="3"/>
                <w:numId w:val="18"/>
              </w:numPr>
              <w:spacing w:after="240"/>
              <w:ind w:left="994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ссылаясь</w:t>
            </w:r>
            <w:r>
              <w:rPr>
                <w:rFonts w:ascii="Arial" w:hAnsi="Arial"/>
                <w:sz w:val="22"/>
                <w:szCs w:val="22"/>
              </w:rPr>
              <w:t xml:space="preserve"> на Стратегию развития ГСНО на период до 2030 г. и </w:t>
            </w:r>
            <w:r>
              <w:rPr>
                <w:rFonts w:ascii="Arial" w:hAnsi="Arial"/>
                <w:sz w:val="22"/>
                <w:szCs w:val="22"/>
                <w:u w:val="single"/>
              </w:rPr>
              <w:t>принимая к сведению</w:t>
            </w:r>
            <w:r>
              <w:rPr>
                <w:rFonts w:ascii="Arial" w:hAnsi="Arial"/>
                <w:sz w:val="22"/>
                <w:szCs w:val="22"/>
              </w:rPr>
              <w:t xml:space="preserve"> экспертный доклад «На пути к 2030 году», посвященный реализации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приоритетной задачи 7 Десятилетия – </w:t>
            </w:r>
            <w:r>
              <w:rPr>
                <w:rFonts w:ascii="Arial" w:hAnsi="Arial"/>
                <w:i/>
                <w:sz w:val="22"/>
                <w:szCs w:val="22"/>
              </w:rPr>
              <w:t>Развитие глобальной системы наблюдений за океаном</w:t>
            </w:r>
            <w:r>
              <w:rPr>
                <w:rFonts w:ascii="Arial" w:hAnsi="Arial"/>
                <w:sz w:val="22"/>
                <w:szCs w:val="22"/>
              </w:rPr>
              <w:t>,</w:t>
            </w:r>
          </w:p>
          <w:p w14:paraId="64E0D5A5" w14:textId="77777777" w:rsidR="005C239B" w:rsidRPr="005C239B" w:rsidRDefault="005C239B" w:rsidP="0052306E">
            <w:pPr>
              <w:numPr>
                <w:ilvl w:val="3"/>
                <w:numId w:val="18"/>
              </w:numPr>
              <w:spacing w:after="240"/>
              <w:ind w:left="994" w:hanging="4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памятуя</w:t>
            </w:r>
            <w:r>
              <w:rPr>
                <w:rFonts w:ascii="Arial" w:hAnsi="Arial"/>
                <w:sz w:val="22"/>
                <w:szCs w:val="22"/>
              </w:rPr>
              <w:t xml:space="preserve"> о решении A-32/4.7,</w:t>
            </w:r>
          </w:p>
          <w:p w14:paraId="2070F47C" w14:textId="77777777" w:rsidR="005C239B" w:rsidRPr="005C239B" w:rsidRDefault="005C239B" w:rsidP="0052306E">
            <w:pPr>
              <w:numPr>
                <w:ilvl w:val="3"/>
                <w:numId w:val="18"/>
              </w:numPr>
              <w:spacing w:after="240"/>
              <w:ind w:left="994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с удовлетворением принимает к сведению</w:t>
            </w:r>
            <w:r>
              <w:rPr>
                <w:rFonts w:ascii="Arial" w:hAnsi="Arial"/>
                <w:sz w:val="22"/>
                <w:szCs w:val="22"/>
              </w:rPr>
              <w:t xml:space="preserve"> информацию и меры, представленные в документе IOC/EC-57/4.1.Doc(1);</w:t>
            </w:r>
          </w:p>
          <w:p w14:paraId="285FEED9" w14:textId="77777777" w:rsidR="005C239B" w:rsidRPr="005C239B" w:rsidRDefault="005C239B" w:rsidP="0052306E">
            <w:pPr>
              <w:numPr>
                <w:ilvl w:val="3"/>
                <w:numId w:val="18"/>
              </w:numPr>
              <w:spacing w:after="240"/>
              <w:ind w:left="994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одобряет</w:t>
            </w:r>
            <w:r>
              <w:rPr>
                <w:rFonts w:ascii="Arial" w:hAnsi="Arial"/>
                <w:sz w:val="22"/>
                <w:szCs w:val="22"/>
              </w:rPr>
              <w:t xml:space="preserve"> предлагаемые меры по совершенствованию механизмов управления ГСНО, в том виде, как они сформулированы в документе IOC/EC-57/4.1.Doc(1), а также любые поправки, которые, возможно, потребуется в них внести по просьбе государств-членов.</w:t>
            </w:r>
          </w:p>
        </w:tc>
      </w:tr>
    </w:tbl>
    <w:p w14:paraId="4B4502B2" w14:textId="77777777" w:rsidR="005C239B" w:rsidRPr="00A141A8" w:rsidRDefault="005C239B" w:rsidP="005C239B">
      <w:pPr>
        <w:pStyle w:val="Style2"/>
        <w:tabs>
          <w:tab w:val="clear" w:pos="1400"/>
          <w:tab w:val="left" w:pos="709"/>
        </w:tabs>
        <w:spacing w:after="0"/>
        <w:rPr>
          <w:rFonts w:cs="Arial"/>
        </w:rPr>
      </w:pPr>
    </w:p>
    <w:p w14:paraId="31854081" w14:textId="77777777" w:rsidR="005C239B" w:rsidRPr="005C239B" w:rsidRDefault="005C239B" w:rsidP="00676BC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60086689" w14:textId="690D09FA" w:rsidR="005C239B" w:rsidRPr="005C239B" w:rsidRDefault="005C239B" w:rsidP="005C239B">
      <w:pPr>
        <w:pStyle w:val="Heading2"/>
        <w:ind w:left="709" w:hanging="709"/>
        <w:rPr>
          <w:rFonts w:cs="Arial"/>
          <w:szCs w:val="22"/>
        </w:rPr>
      </w:pPr>
      <w:bookmarkStart w:id="128" w:name="_Toc92752501"/>
      <w:bookmarkStart w:id="129" w:name="_Toc166740234"/>
      <w:r>
        <w:t>4.2</w:t>
      </w:r>
      <w:r>
        <w:tab/>
      </w:r>
      <w:bookmarkStart w:id="130" w:name="_Toc85469071"/>
      <w:r>
        <w:t>ДОКЛАД О ХОДЕ РАБОТЫ ПО НАБЛЮДЕНИЯМ ЗА ОКЕАНОМ В РАЙОНАХ, НАХОДЯЩИХСЯ ПОД НАЦИОНАЛЬНОЙ ЮРИСДИКЦИЕЙ</w:t>
      </w:r>
      <w:r>
        <w:br/>
        <w:t>[</w:t>
      </w:r>
      <w:r w:rsidR="00355FF3">
        <w:rPr>
          <w:caps w:val="0"/>
        </w:rPr>
        <w:t xml:space="preserve">Реш. </w:t>
      </w:r>
      <w:r>
        <w:t>A-32/4.8.2]</w:t>
      </w:r>
      <w:bookmarkEnd w:id="128"/>
      <w:bookmarkEnd w:id="129"/>
      <w:bookmarkEnd w:id="130"/>
    </w:p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2268"/>
        <w:gridCol w:w="2444"/>
        <w:gridCol w:w="5103"/>
      </w:tblGrid>
      <w:tr w:rsidR="005C239B" w:rsidRPr="005C239B" w14:paraId="29C5686F" w14:textId="77777777" w:rsidTr="00676BCE">
        <w:tc>
          <w:tcPr>
            <w:tcW w:w="2268" w:type="dxa"/>
            <w:shd w:val="clear" w:color="auto" w:fill="FFFF99"/>
            <w:tcMar>
              <w:top w:w="57" w:type="dxa"/>
              <w:bottom w:w="57" w:type="dxa"/>
            </w:tcMar>
          </w:tcPr>
          <w:p w14:paraId="3D526F29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Рабочий документ</w:t>
            </w:r>
          </w:p>
        </w:tc>
        <w:tc>
          <w:tcPr>
            <w:tcW w:w="2444" w:type="dxa"/>
            <w:shd w:val="clear" w:color="auto" w:fill="FFFF99"/>
            <w:tcMar>
              <w:top w:w="57" w:type="dxa"/>
              <w:bottom w:w="57" w:type="dxa"/>
            </w:tcMar>
          </w:tcPr>
          <w:p w14:paraId="1E7F461F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IOC/EC-57/4.2.Doc(1) </w:t>
            </w:r>
          </w:p>
        </w:tc>
        <w:tc>
          <w:tcPr>
            <w:tcW w:w="5103" w:type="dxa"/>
            <w:shd w:val="clear" w:color="auto" w:fill="FFFF99"/>
            <w:tcMar>
              <w:top w:w="57" w:type="dxa"/>
              <w:bottom w:w="57" w:type="dxa"/>
            </w:tcMar>
          </w:tcPr>
          <w:p w14:paraId="13B1DF04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Доклад о результатах работы специальной межсессионной рабочей группы МОК по наблюдениям за океаном в районах, находящихся под национальной юрисдикцией</w:t>
            </w:r>
          </w:p>
        </w:tc>
      </w:tr>
      <w:tr w:rsidR="005C239B" w:rsidRPr="005C239B" w14:paraId="59C66BBD" w14:textId="77777777" w:rsidTr="00676BCE">
        <w:tc>
          <w:tcPr>
            <w:tcW w:w="2268" w:type="dxa"/>
            <w:shd w:val="clear" w:color="auto" w:fill="D5DCE4"/>
            <w:tcMar>
              <w:top w:w="57" w:type="dxa"/>
              <w:bottom w:w="57" w:type="dxa"/>
            </w:tcMar>
          </w:tcPr>
          <w:p w14:paraId="154424D9" w14:textId="2EA6BC19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Справочные </w:t>
            </w:r>
            <w:r w:rsidR="00676BCE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fr-FR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документы</w:t>
            </w:r>
          </w:p>
        </w:tc>
        <w:tc>
          <w:tcPr>
            <w:tcW w:w="2444" w:type="dxa"/>
            <w:shd w:val="clear" w:color="auto" w:fill="auto"/>
            <w:tcMar>
              <w:top w:w="57" w:type="dxa"/>
              <w:bottom w:w="57" w:type="dxa"/>
            </w:tcMar>
          </w:tcPr>
          <w:p w14:paraId="724646FC" w14:textId="77777777" w:rsidR="005C239B" w:rsidRPr="005C239B" w:rsidRDefault="00795B47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0" w:history="1">
              <w:r w:rsidR="005C239B">
                <w:rPr>
                  <w:rStyle w:val="Hyperlink"/>
                  <w:rFonts w:ascii="Arial" w:hAnsi="Arial"/>
                  <w:sz w:val="22"/>
                  <w:szCs w:val="22"/>
                </w:rPr>
                <w:t>Серия докладов ГСНО, выпуск № 246</w:t>
              </w:r>
            </w:hyperlink>
          </w:p>
        </w:tc>
        <w:tc>
          <w:tcPr>
            <w:tcW w:w="5103" w:type="dxa"/>
            <w:shd w:val="clear" w:color="auto" w:fill="auto"/>
            <w:tcMar>
              <w:top w:w="57" w:type="dxa"/>
              <w:bottom w:w="57" w:type="dxa"/>
            </w:tcMar>
          </w:tcPr>
          <w:p w14:paraId="0D1E2D8E" w14:textId="194C1099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«Океанографические наблюдения в районах, находящихся под национальной юрисдикцией» (ОННЮ), доклад семинара, ЮНЕСКО, 12</w:t>
            </w:r>
            <w:r w:rsidR="00F86554" w:rsidRPr="00F86554">
              <w:rPr>
                <w:rFonts w:ascii="Arial" w:hAnsi="Arial"/>
                <w:sz w:val="22"/>
                <w:szCs w:val="22"/>
              </w:rPr>
              <w:noBreakHyphen/>
            </w:r>
            <w:r>
              <w:rPr>
                <w:rFonts w:ascii="Arial" w:hAnsi="Arial"/>
                <w:sz w:val="22"/>
                <w:szCs w:val="22"/>
              </w:rPr>
              <w:t>13</w:t>
            </w:r>
            <w:r w:rsidR="00F86554">
              <w:rPr>
                <w:rFonts w:ascii="Arial" w:hAnsi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/>
                <w:sz w:val="22"/>
                <w:szCs w:val="22"/>
              </w:rPr>
              <w:t>февраля 2020 г.</w:t>
            </w:r>
          </w:p>
        </w:tc>
      </w:tr>
    </w:tbl>
    <w:p w14:paraId="2C20129E" w14:textId="77777777" w:rsidR="005C239B" w:rsidRPr="005C239B" w:rsidRDefault="005C239B" w:rsidP="00676BCE">
      <w:pPr>
        <w:pStyle w:val="Style2"/>
        <w:numPr>
          <w:ilvl w:val="0"/>
          <w:numId w:val="8"/>
        </w:numPr>
        <w:tabs>
          <w:tab w:val="left" w:pos="709"/>
        </w:tabs>
        <w:spacing w:before="240"/>
        <w:ind w:left="0" w:hanging="709"/>
        <w:textDirection w:val="btLr"/>
        <w:rPr>
          <w:rFonts w:eastAsia="Arial" w:cs="Arial"/>
        </w:rPr>
      </w:pPr>
      <w:r>
        <w:t>Этот пункт повестки дня представила г-жа Сюзан М. эль-</w:t>
      </w:r>
      <w:proofErr w:type="spellStart"/>
      <w:r>
        <w:t>Гарабауи</w:t>
      </w:r>
      <w:proofErr w:type="spellEnd"/>
      <w:r>
        <w:t>, сопредседатель специальной межсессионной рабочей группы МОК по наблюдениям за океаном в районах, находящихся под национальной юрисдикцией. Она представила результаты деятельности рабочей группы, созданной в соответствии с решением A-32/4.8.2, отметив, что в составе группы представлены 25 государств-членов.</w:t>
      </w:r>
    </w:p>
    <w:p w14:paraId="657712E2" w14:textId="77777777" w:rsidR="005C239B" w:rsidRPr="005C239B" w:rsidRDefault="005C239B" w:rsidP="00676BC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Рабочая группа использует в своей деятельности предоставляемую информацию и стремится при необходимости опираться на содействие экспертов. В соответствии с утвержденным кругом ведения результаты работы группы и практические рекомендации будут представлены в июне 2025 г. на очередной сессии Ассамблеи МОК.</w:t>
      </w:r>
    </w:p>
    <w:tbl>
      <w:tblPr>
        <w:tblW w:w="0" w:type="auto"/>
        <w:shd w:val="clear" w:color="auto" w:fill="CCFFCC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5C239B" w:rsidRPr="005C239B" w14:paraId="5825B023" w14:textId="77777777" w:rsidTr="001B377A">
        <w:trPr>
          <w:trHeight w:val="604"/>
        </w:trPr>
        <w:tc>
          <w:tcPr>
            <w:tcW w:w="9747" w:type="dxa"/>
            <w:shd w:val="clear" w:color="auto" w:fill="CCFFCC"/>
            <w:tcMar>
              <w:top w:w="113" w:type="dxa"/>
              <w:bottom w:w="113" w:type="dxa"/>
            </w:tcMar>
          </w:tcPr>
          <w:p w14:paraId="241C5FFD" w14:textId="77777777" w:rsidR="005C239B" w:rsidRPr="005C239B" w:rsidRDefault="005C239B" w:rsidP="001B377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Реш. EC-57/4.2</w:t>
            </w:r>
          </w:p>
          <w:p w14:paraId="6F9B385C" w14:textId="77777777" w:rsidR="005C239B" w:rsidRPr="005C239B" w:rsidRDefault="005C239B" w:rsidP="001B377A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Доклад о результатах работы специальной межсессионной рабочей группы МОК по наблюдениям за океаном в районах, находящихся под национальной юрисдикцией</w:t>
            </w:r>
          </w:p>
          <w:p w14:paraId="30CE1E41" w14:textId="77777777" w:rsidR="005C239B" w:rsidRPr="005C239B" w:rsidRDefault="005C239B" w:rsidP="001B377A">
            <w:pPr>
              <w:spacing w:after="240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Исполнительный совет,</w:t>
            </w:r>
          </w:p>
          <w:p w14:paraId="6E6B6EC4" w14:textId="77777777" w:rsidR="005C239B" w:rsidRPr="005C239B" w:rsidRDefault="005C239B" w:rsidP="00F86554">
            <w:pPr>
              <w:numPr>
                <w:ilvl w:val="0"/>
                <w:numId w:val="21"/>
              </w:numPr>
              <w:spacing w:after="120"/>
              <w:ind w:left="1166" w:hanging="60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ссылаясь</w:t>
            </w:r>
            <w:r w:rsidRPr="00392169">
              <w:rPr>
                <w:rFonts w:ascii="Arial" w:hAnsi="Arial"/>
                <w:sz w:val="22"/>
                <w:szCs w:val="22"/>
              </w:rPr>
              <w:t xml:space="preserve"> на</w:t>
            </w:r>
            <w:r>
              <w:rPr>
                <w:rFonts w:ascii="Arial" w:hAnsi="Arial"/>
                <w:sz w:val="22"/>
                <w:szCs w:val="22"/>
              </w:rPr>
              <w:t xml:space="preserve"> решение Ассамблеи МОК A-32/4.8.2,</w:t>
            </w:r>
          </w:p>
          <w:p w14:paraId="2A853629" w14:textId="77777777" w:rsidR="005C239B" w:rsidRPr="005C239B" w:rsidRDefault="005C239B" w:rsidP="00F86554">
            <w:pPr>
              <w:numPr>
                <w:ilvl w:val="0"/>
                <w:numId w:val="21"/>
              </w:numPr>
              <w:spacing w:after="120"/>
              <w:ind w:left="1166" w:hanging="60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приветствует</w:t>
            </w:r>
            <w:r>
              <w:rPr>
                <w:rFonts w:ascii="Arial" w:hAnsi="Arial"/>
                <w:sz w:val="22"/>
                <w:szCs w:val="22"/>
              </w:rPr>
              <w:t xml:space="preserve"> учреждение рабочей группы и избрание ее сопредседателей;</w:t>
            </w:r>
          </w:p>
          <w:p w14:paraId="537B9E88" w14:textId="77777777" w:rsidR="005C239B" w:rsidRPr="005C239B" w:rsidRDefault="005C239B" w:rsidP="00F86554">
            <w:pPr>
              <w:numPr>
                <w:ilvl w:val="0"/>
                <w:numId w:val="21"/>
              </w:numPr>
              <w:spacing w:after="120"/>
              <w:ind w:left="1166" w:hanging="60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lastRenderedPageBreak/>
              <w:t>рассмотрев</w:t>
            </w:r>
            <w:r>
              <w:rPr>
                <w:rFonts w:ascii="Arial" w:hAnsi="Arial"/>
                <w:sz w:val="22"/>
                <w:szCs w:val="22"/>
              </w:rPr>
              <w:t xml:space="preserve"> документ IOC/EC-57/4.2.Doc(1),</w:t>
            </w:r>
          </w:p>
          <w:p w14:paraId="487DA6DD" w14:textId="77777777" w:rsidR="005C239B" w:rsidRPr="005C239B" w:rsidRDefault="005C239B" w:rsidP="00F86554">
            <w:pPr>
              <w:numPr>
                <w:ilvl w:val="0"/>
                <w:numId w:val="21"/>
              </w:numPr>
              <w:spacing w:after="120"/>
              <w:ind w:left="1166" w:hanging="60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призывает</w:t>
            </w:r>
            <w:r>
              <w:rPr>
                <w:rFonts w:ascii="Arial" w:hAnsi="Arial"/>
                <w:sz w:val="22"/>
                <w:szCs w:val="22"/>
              </w:rPr>
              <w:t xml:space="preserve"> рабочую группу продолжить свою деятельность, в том числе рассмотрение любых новых документов, которые могут содержать соответствующую информацию в поддержку ее работы;</w:t>
            </w:r>
          </w:p>
          <w:p w14:paraId="177755DD" w14:textId="77777777" w:rsidR="005C239B" w:rsidRPr="005C239B" w:rsidRDefault="005C239B" w:rsidP="00F86554">
            <w:pPr>
              <w:numPr>
                <w:ilvl w:val="0"/>
                <w:numId w:val="21"/>
              </w:numPr>
              <w:spacing w:after="120"/>
              <w:ind w:left="1166" w:hanging="60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призывает</w:t>
            </w:r>
            <w:r>
              <w:rPr>
                <w:rFonts w:ascii="Arial" w:hAnsi="Arial"/>
                <w:sz w:val="22"/>
                <w:szCs w:val="22"/>
              </w:rPr>
              <w:t xml:space="preserve"> большее число государств-членов содействовать деятельности группы посредством ответа на циркулярное письмо МОК № 2971, а также разрешить рабочей группе ознакомиться с их ответами.</w:t>
            </w:r>
          </w:p>
        </w:tc>
      </w:tr>
    </w:tbl>
    <w:p w14:paraId="38E3190A" w14:textId="77777777" w:rsidR="005C239B" w:rsidRPr="00A141A8" w:rsidRDefault="005C239B" w:rsidP="005C239B">
      <w:pPr>
        <w:pStyle w:val="Style2"/>
        <w:tabs>
          <w:tab w:val="clear" w:pos="1400"/>
          <w:tab w:val="left" w:pos="709"/>
        </w:tabs>
        <w:spacing w:after="0"/>
        <w:ind w:left="0"/>
        <w:rPr>
          <w:rFonts w:cs="Arial"/>
        </w:rPr>
      </w:pPr>
    </w:p>
    <w:p w14:paraId="7B4464CE" w14:textId="77777777" w:rsidR="005C239B" w:rsidRPr="005C239B" w:rsidRDefault="005C239B" w:rsidP="00676BC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09DC1A51" w14:textId="37D02D3B" w:rsidR="005C239B" w:rsidRPr="005C239B" w:rsidRDefault="005C239B" w:rsidP="005C239B">
      <w:pPr>
        <w:pStyle w:val="Heading2"/>
        <w:ind w:left="709" w:hanging="709"/>
        <w:rPr>
          <w:rFonts w:cs="Arial"/>
          <w:szCs w:val="22"/>
        </w:rPr>
      </w:pPr>
      <w:bookmarkStart w:id="131" w:name="_Toc166740235"/>
      <w:r>
        <w:t>4.3</w:t>
      </w:r>
      <w:r>
        <w:tab/>
      </w:r>
      <w:r w:rsidRPr="004C478F">
        <w:t xml:space="preserve">ПРОЕКТ СТРАТЕГИИ РАЦИОНАЛЬНОГО ПЛАНИРОВАНИЯ И УПРАВЛЕНИЯ </w:t>
      </w:r>
      <w:r w:rsidR="007C5FE0">
        <w:t>В СФЕРЕ МОРЕПОЛЬЗОВАНИЯ</w:t>
      </w:r>
      <w:r>
        <w:br/>
        <w:t>[</w:t>
      </w:r>
      <w:r w:rsidR="00355FF3">
        <w:rPr>
          <w:caps w:val="0"/>
        </w:rPr>
        <w:t>Реш.</w:t>
      </w:r>
      <w:r>
        <w:t xml:space="preserve"> A-32/4.7]</w:t>
      </w:r>
      <w:bookmarkEnd w:id="131"/>
    </w:p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2106"/>
        <w:gridCol w:w="2039"/>
        <w:gridCol w:w="5670"/>
      </w:tblGrid>
      <w:tr w:rsidR="005C239B" w:rsidRPr="005C239B" w14:paraId="13D9B04D" w14:textId="77777777" w:rsidTr="009045FC">
        <w:tc>
          <w:tcPr>
            <w:tcW w:w="2106" w:type="dxa"/>
            <w:shd w:val="clear" w:color="auto" w:fill="FFFF99"/>
            <w:tcMar>
              <w:top w:w="57" w:type="dxa"/>
              <w:bottom w:w="57" w:type="dxa"/>
            </w:tcMar>
          </w:tcPr>
          <w:p w14:paraId="5BEA430E" w14:textId="09F3322C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Рабочий </w:t>
            </w:r>
            <w:r w:rsidR="00171F50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fr-FR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</w:t>
            </w:r>
          </w:p>
        </w:tc>
        <w:tc>
          <w:tcPr>
            <w:tcW w:w="2039" w:type="dxa"/>
            <w:shd w:val="clear" w:color="auto" w:fill="FFFF99"/>
            <w:tcMar>
              <w:top w:w="57" w:type="dxa"/>
              <w:bottom w:w="57" w:type="dxa"/>
            </w:tcMar>
          </w:tcPr>
          <w:p w14:paraId="451B61AD" w14:textId="4B970264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IOC/EC-57/4.3.Doc(1)</w:t>
            </w:r>
            <w:r w:rsidR="007C5FE0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7C5FE0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Rev.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shd w:val="clear" w:color="auto" w:fill="FFFF99"/>
            <w:tcMar>
              <w:top w:w="57" w:type="dxa"/>
              <w:bottom w:w="57" w:type="dxa"/>
            </w:tcMar>
          </w:tcPr>
          <w:p w14:paraId="467F11C6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Проект стратегии рационального планирования морской деятельности и управления ресурсами океана</w:t>
            </w:r>
          </w:p>
        </w:tc>
      </w:tr>
      <w:tr w:rsidR="005C239B" w:rsidRPr="005C239B" w14:paraId="4460C15A" w14:textId="77777777" w:rsidTr="009045FC">
        <w:tc>
          <w:tcPr>
            <w:tcW w:w="2106" w:type="dxa"/>
            <w:shd w:val="clear" w:color="auto" w:fill="FBD4B4"/>
            <w:tcMar>
              <w:top w:w="57" w:type="dxa"/>
              <w:bottom w:w="57" w:type="dxa"/>
            </w:tcMar>
          </w:tcPr>
          <w:p w14:paraId="214D2582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Информационные документы</w:t>
            </w:r>
          </w:p>
        </w:tc>
        <w:tc>
          <w:tcPr>
            <w:tcW w:w="2039" w:type="dxa"/>
            <w:shd w:val="clear" w:color="auto" w:fill="auto"/>
            <w:tcMar>
              <w:top w:w="57" w:type="dxa"/>
              <w:bottom w:w="57" w:type="dxa"/>
            </w:tcMar>
          </w:tcPr>
          <w:p w14:paraId="27A4B429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IOC/INF-1537</w:t>
            </w:r>
          </w:p>
        </w:tc>
        <w:tc>
          <w:tcPr>
            <w:tcW w:w="5670" w:type="dxa"/>
            <w:shd w:val="clear" w:color="auto" w:fill="auto"/>
            <w:tcMar>
              <w:top w:w="57" w:type="dxa"/>
              <w:bottom w:w="57" w:type="dxa"/>
            </w:tcMar>
          </w:tcPr>
          <w:p w14:paraId="74A04AC1" w14:textId="0CEA18AF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Компиляция комментариев и предложений государств</w:t>
            </w:r>
            <w:r w:rsidR="006774CE" w:rsidRPr="006774CE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774CE">
              <w:rPr>
                <w:rFonts w:ascii="Arial" w:hAnsi="Arial"/>
                <w:color w:val="000000"/>
                <w:sz w:val="22"/>
                <w:szCs w:val="22"/>
              </w:rPr>
              <w:t>–</w:t>
            </w:r>
            <w:r w:rsidR="006774CE" w:rsidRPr="006774CE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членов МОК, представленных в ответ на циркулярное письмо МОК № 2968 (Общесистемная стратегия МОК по рациональному планированию морской деятельности и управлению ресурсами океана)</w:t>
            </w:r>
          </w:p>
        </w:tc>
      </w:tr>
      <w:tr w:rsidR="005C239B" w:rsidRPr="005C239B" w14:paraId="7CE66B78" w14:textId="77777777" w:rsidTr="009045FC">
        <w:tc>
          <w:tcPr>
            <w:tcW w:w="2106" w:type="dxa"/>
            <w:shd w:val="clear" w:color="auto" w:fill="FBD4B4"/>
            <w:tcMar>
              <w:top w:w="57" w:type="dxa"/>
              <w:bottom w:w="57" w:type="dxa"/>
            </w:tcMar>
          </w:tcPr>
          <w:p w14:paraId="4EE6819F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39" w:type="dxa"/>
            <w:shd w:val="clear" w:color="auto" w:fill="auto"/>
            <w:tcMar>
              <w:top w:w="57" w:type="dxa"/>
              <w:bottom w:w="57" w:type="dxa"/>
            </w:tcMar>
          </w:tcPr>
          <w:p w14:paraId="7C078820" w14:textId="60901B60" w:rsidR="005C239B" w:rsidRPr="005C239B" w:rsidRDefault="001E05B0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05B0">
              <w:rPr>
                <w:rFonts w:ascii="Arial" w:hAnsi="Arial"/>
                <w:color w:val="000000"/>
                <w:sz w:val="22"/>
                <w:szCs w:val="22"/>
              </w:rPr>
              <w:t xml:space="preserve">UNSW SDR </w:t>
            </w:r>
            <w:proofErr w:type="spellStart"/>
            <w:r w:rsidRPr="001E05B0">
              <w:rPr>
                <w:rFonts w:ascii="Arial" w:hAnsi="Arial"/>
                <w:color w:val="000000"/>
                <w:sz w:val="22"/>
                <w:szCs w:val="22"/>
              </w:rPr>
              <w:t>Hub</w:t>
            </w:r>
            <w:proofErr w:type="spellEnd"/>
            <w:r w:rsidRPr="001E05B0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05B0">
              <w:rPr>
                <w:rFonts w:ascii="Arial" w:hAnsi="Arial"/>
                <w:color w:val="000000"/>
                <w:sz w:val="22"/>
                <w:szCs w:val="22"/>
              </w:rPr>
              <w:t>Brief</w:t>
            </w:r>
            <w:proofErr w:type="spellEnd"/>
            <w:r w:rsidRPr="001E05B0">
              <w:rPr>
                <w:rFonts w:ascii="Arial" w:hAnsi="Arial"/>
                <w:color w:val="000000"/>
                <w:sz w:val="22"/>
                <w:szCs w:val="22"/>
              </w:rPr>
              <w:t xml:space="preserve"> 28</w:t>
            </w:r>
          </w:p>
        </w:tc>
        <w:tc>
          <w:tcPr>
            <w:tcW w:w="5670" w:type="dxa"/>
            <w:shd w:val="clear" w:color="auto" w:fill="auto"/>
            <w:tcMar>
              <w:top w:w="57" w:type="dxa"/>
              <w:bottom w:w="57" w:type="dxa"/>
            </w:tcMar>
          </w:tcPr>
          <w:p w14:paraId="47FE2BE2" w14:textId="060F3658" w:rsidR="005C239B" w:rsidRPr="005C239B" w:rsidRDefault="007C5FE0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</w:t>
            </w:r>
            <w:r w:rsidR="005C239B">
              <w:rPr>
                <w:rFonts w:ascii="Arial" w:hAnsi="Arial"/>
                <w:color w:val="000000"/>
                <w:sz w:val="22"/>
                <w:szCs w:val="22"/>
              </w:rPr>
              <w:t xml:space="preserve">езультаты опроса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и интервью как </w:t>
            </w:r>
            <w:r w:rsidR="005A2BDD">
              <w:rPr>
                <w:rFonts w:ascii="Arial" w:hAnsi="Arial"/>
                <w:color w:val="000000"/>
                <w:sz w:val="22"/>
                <w:szCs w:val="22"/>
              </w:rPr>
              <w:t xml:space="preserve">информационная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основа для р</w:t>
            </w:r>
            <w:r w:rsidR="005A2BDD">
              <w:rPr>
                <w:rFonts w:ascii="Arial" w:hAnsi="Arial"/>
                <w:color w:val="000000"/>
                <w:sz w:val="22"/>
                <w:szCs w:val="22"/>
              </w:rPr>
              <w:t xml:space="preserve">еализации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инициатив</w:t>
            </w:r>
            <w:r w:rsidR="005A2BDD">
              <w:rPr>
                <w:rFonts w:ascii="Arial" w:hAnsi="Arial"/>
                <w:color w:val="000000"/>
                <w:sz w:val="22"/>
                <w:szCs w:val="22"/>
              </w:rPr>
              <w:t>, касающихся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5C239B">
              <w:rPr>
                <w:rFonts w:ascii="Arial" w:hAnsi="Arial"/>
                <w:color w:val="000000"/>
                <w:sz w:val="22"/>
                <w:szCs w:val="22"/>
              </w:rPr>
              <w:t xml:space="preserve">рационального планирования и управления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в сфере морепользования: краткая информация о результатах Десятилетия науки об океане </w:t>
            </w:r>
          </w:p>
        </w:tc>
      </w:tr>
    </w:tbl>
    <w:p w14:paraId="2EB5C9CA" w14:textId="77777777" w:rsidR="005C239B" w:rsidRPr="00A141A8" w:rsidRDefault="005C239B" w:rsidP="005C239B">
      <w:pPr>
        <w:pStyle w:val="Marge"/>
        <w:spacing w:after="0"/>
        <w:rPr>
          <w:rFonts w:ascii="Arial" w:hAnsi="Arial" w:cs="Arial"/>
          <w:sz w:val="22"/>
          <w:szCs w:val="22"/>
        </w:rPr>
      </w:pPr>
    </w:p>
    <w:p w14:paraId="0F0B1324" w14:textId="6123B21C" w:rsidR="005C239B" w:rsidRPr="005C239B" w:rsidRDefault="005C239B" w:rsidP="00171F50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Этот пункт повестки дня представил руководитель секции морской политики и региональной координации г-н </w:t>
      </w:r>
      <w:proofErr w:type="spellStart"/>
      <w:r>
        <w:t>Жюлиан</w:t>
      </w:r>
      <w:proofErr w:type="spellEnd"/>
      <w:r>
        <w:t xml:space="preserve"> </w:t>
      </w:r>
      <w:proofErr w:type="spellStart"/>
      <w:r>
        <w:t>Барбьер</w:t>
      </w:r>
      <w:proofErr w:type="spellEnd"/>
      <w:r>
        <w:t>. Он кратко рассказал о новых успехах, достигнутых в сфере управления ресурсами Мирового океана, напомнил о целях Среднесрочной стратегии МОК (2022-2029 гг.), уделив особое внимание вопросам устойчивости морской экономики и морского планирования, а также рекомендациям проведенной IOS оценки позиционирования МОК, в которой в числе прочего содержится призыв определить «наиболее подходящую организационную структуру в свете предусмотренного возложения на МОК глобальной роли в вопросах устойчивого управлени</w:t>
      </w:r>
      <w:r w:rsidR="00DD6B0C" w:rsidRPr="005C7858">
        <w:t>я</w:t>
      </w:r>
      <w:r>
        <w:t xml:space="preserve"> ресурсами Мирового океана на основе научного подхода» и которая послужила основой для разработки общесистемной стратегии МОК по рациональному планированию морской деятельности и управлению ресурсами океана. Указанная стратегия соответствует Уставу МОК, в котором, в частности, содержится призыв использовать получаемые МОК знания об океане «для совершенствования управления, обеспечения устойчивого развития, охраны морской среды и повышения эффективности принятия решений ее государствами-членами» (статья 2, «Цель»).</w:t>
      </w:r>
    </w:p>
    <w:p w14:paraId="36EA0DDE" w14:textId="77777777" w:rsidR="005C239B" w:rsidRPr="005C239B" w:rsidRDefault="005C239B" w:rsidP="00171F50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Таким образом, стратегия призвана направлять усилия Комиссии в таких аспектах ее программной деятельности, как морские научные исследования, наблюдения за океаном и сбор океанографических данных, раннее оповещение об угрозах и оценка состояния океана, посредством оказания специализированных и основанных на научном подходе услуг, разработки инструментов управления и оценки на основе экосистемного подхода, а также </w:t>
      </w:r>
      <w:r>
        <w:lastRenderedPageBreak/>
        <w:t xml:space="preserve">распространения соответствующих информационных материалов, развития потенциала в интересах устойчивого управления ресурсами Мирового океана. Г-н </w:t>
      </w:r>
      <w:proofErr w:type="spellStart"/>
      <w:r>
        <w:t>Барбьер</w:t>
      </w:r>
      <w:proofErr w:type="spellEnd"/>
      <w:r>
        <w:t xml:space="preserve"> напомнил, что первоначальные общие параметры, касающиеся сферы охвата стратегии и процесса ее разработки, были обсуждены Ассамблеей на ее 32-й сессии (см. документ </w:t>
      </w:r>
      <w:hyperlink r:id="rId31" w:history="1">
        <w:r>
          <w:rPr>
            <w:rStyle w:val="Hyperlink"/>
          </w:rPr>
          <w:t>IOC/A-32/4.7.Doc(1)</w:t>
        </w:r>
      </w:hyperlink>
      <w:r>
        <w:t>).</w:t>
      </w:r>
    </w:p>
    <w:p w14:paraId="4C22C38E" w14:textId="7226CF45" w:rsidR="005C239B" w:rsidRPr="005C239B" w:rsidRDefault="005C239B" w:rsidP="00171F50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Направление в ноябре 2023 г. циркулярного письма МОК </w:t>
      </w:r>
      <w:hyperlink r:id="rId32" w:history="1">
        <w:r>
          <w:rPr>
            <w:rStyle w:val="Hyperlink"/>
          </w:rPr>
          <w:t>№ 2968</w:t>
        </w:r>
      </w:hyperlink>
      <w:r>
        <w:t xml:space="preserve"> позволило Секретариату получить от государств-членов, программ и технических органов МОК дополнительные комментарии и предложения по документу IOC/A-32/4.7.Doc(1) с целью представления Исполнительному совету МОК на его 57-й сессии предварительного проекта стратегии. Для расширения фактологической базы, используемой при формулировании стратегии, был подготовлен и проведен опрос, призванный улучшить понимание существующего положения дел с точки зрения рационального планирования морской деятельности и управления ресурсами океана, а также выявить потребности заинтересованных сторон в методологической и научной поддержке. Цель опроса заключалась в том, чтобы проанализировать различные точки зрения участников сообщества МОК и партнеров (как входящих, так и не входящих в систему ООН), а также других международных участников соответствующей деятельности по всей цепочке создания добавленной стоимости, начиная с исследовательской деятельности, наблюдений за океаном, сбора данных, предоставления океанографических услуг и соответствующих информационных продуктов и заканчивая формулированием политики/управленческих мер и развитием потенциала. Итоги этой работы послужили основой для подготовки первоначального проекта стратегии, который был представлен и обсужден государствами</w:t>
      </w:r>
      <w:r w:rsidR="005C7858" w:rsidRPr="005C7858">
        <w:t xml:space="preserve"> – </w:t>
      </w:r>
      <w:r>
        <w:t>членами МОК в ходе двух онлайновых консультативных совещаний, организованных в мае 2024 г. Представленны</w:t>
      </w:r>
      <w:r w:rsidR="005C7858" w:rsidRPr="003F3F1F">
        <w:t>е</w:t>
      </w:r>
      <w:r>
        <w:t xml:space="preserve"> в ходе совещаний дополнительные идеи и предложения нашли отражение в окончательной версии проекта стратегии рационального планирования морской деятельности и управления ресурсами океана, представленной в качестве документа IOC/EC-57/43.Doc(1). </w:t>
      </w:r>
    </w:p>
    <w:tbl>
      <w:tblPr>
        <w:tblW w:w="0" w:type="auto"/>
        <w:shd w:val="clear" w:color="auto" w:fill="CCFFCC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5C239B" w:rsidRPr="005C239B" w14:paraId="0843B477" w14:textId="77777777" w:rsidTr="001B377A">
        <w:trPr>
          <w:trHeight w:val="604"/>
        </w:trPr>
        <w:tc>
          <w:tcPr>
            <w:tcW w:w="9747" w:type="dxa"/>
            <w:shd w:val="clear" w:color="auto" w:fill="CCFFCC"/>
            <w:tcMar>
              <w:top w:w="113" w:type="dxa"/>
              <w:bottom w:w="113" w:type="dxa"/>
            </w:tcMar>
          </w:tcPr>
          <w:p w14:paraId="6CB50A7B" w14:textId="32B49A69" w:rsidR="005C239B" w:rsidRPr="005C239B" w:rsidRDefault="005C239B" w:rsidP="00407BD5">
            <w:pPr>
              <w:spacing w:after="24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Реш. EC-57/4.3 </w:t>
            </w:r>
          </w:p>
          <w:p w14:paraId="78600019" w14:textId="71D28B2D" w:rsidR="005C239B" w:rsidRPr="005C239B" w:rsidRDefault="005C239B" w:rsidP="00407BD5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Стратегия рационального планирования и </w:t>
            </w:r>
            <w:r w:rsidR="00171F50" w:rsidRPr="00E06DA0">
              <w:rPr>
                <w:rFonts w:ascii="Arial" w:hAnsi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управления </w:t>
            </w:r>
            <w:r w:rsidR="001E05B0">
              <w:rPr>
                <w:rFonts w:ascii="Arial" w:hAnsi="Arial"/>
                <w:b/>
                <w:bCs/>
                <w:sz w:val="22"/>
                <w:szCs w:val="22"/>
              </w:rPr>
              <w:t xml:space="preserve">в сфере морепользования на </w:t>
            </w:r>
            <w:proofErr w:type="gramStart"/>
            <w:r w:rsidR="001E05B0">
              <w:rPr>
                <w:rFonts w:ascii="Arial" w:hAnsi="Arial"/>
                <w:b/>
                <w:bCs/>
                <w:sz w:val="22"/>
                <w:szCs w:val="22"/>
              </w:rPr>
              <w:t>2024-2030</w:t>
            </w:r>
            <w:proofErr w:type="gramEnd"/>
            <w:r w:rsidR="001E05B0">
              <w:rPr>
                <w:rFonts w:ascii="Arial" w:hAnsi="Arial"/>
                <w:b/>
                <w:bCs/>
                <w:sz w:val="22"/>
                <w:szCs w:val="22"/>
              </w:rPr>
              <w:t xml:space="preserve"> гг.</w:t>
            </w:r>
          </w:p>
          <w:p w14:paraId="15F0C32F" w14:textId="77777777" w:rsidR="005C239B" w:rsidRPr="005C239B" w:rsidRDefault="005C239B" w:rsidP="00407BD5">
            <w:pPr>
              <w:spacing w:after="240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Исполнительный совет,</w:t>
            </w:r>
          </w:p>
          <w:p w14:paraId="61F9B3FA" w14:textId="77777777" w:rsidR="001E05B0" w:rsidRPr="00B9332E" w:rsidRDefault="001E05B0" w:rsidP="00407BD5">
            <w:pPr>
              <w:numPr>
                <w:ilvl w:val="0"/>
                <w:numId w:val="26"/>
              </w:numPr>
              <w:spacing w:after="240"/>
              <w:ind w:left="1134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u w:val="single"/>
              </w:rPr>
              <w:t>рассмотрев</w:t>
            </w:r>
            <w:r>
              <w:rPr>
                <w:rFonts w:ascii="Arial" w:hAnsi="Arial"/>
              </w:rPr>
              <w:t xml:space="preserve"> документ IOC/EC-57/4.3.Doc(1)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Rev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/>
              </w:rPr>
              <w:t>,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437A56C3" w14:textId="45AA995A" w:rsidR="001E05B0" w:rsidRPr="00923A71" w:rsidRDefault="001E05B0" w:rsidP="00407BD5">
            <w:pPr>
              <w:numPr>
                <w:ilvl w:val="0"/>
                <w:numId w:val="26"/>
              </w:numPr>
              <w:spacing w:after="240"/>
              <w:ind w:left="1134" w:hanging="56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учитывая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значение, которое МОК придает разработке всеобъемлющих рамочных принципов деятельности, направленной на формирование базы научных знаний и создание потенциала в интересах удовлетворения потребностей государств - членов МОК в области рационального планирования и управления в сфере морепользования, в соответствии со своим </w:t>
            </w:r>
            <w:r w:rsidR="005A2BDD">
              <w:rPr>
                <w:rFonts w:ascii="Arial" w:hAnsi="Arial"/>
                <w:iCs/>
                <w:sz w:val="22"/>
                <w:szCs w:val="22"/>
              </w:rPr>
              <w:t>У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ставом и в поддержку реализации Среднесрочной стратегии МОК на 2022-2029 гг., а также </w:t>
            </w:r>
            <w:r w:rsidR="005A2BDD">
              <w:rPr>
                <w:rFonts w:ascii="Arial" w:hAnsi="Arial"/>
                <w:iCs/>
                <w:sz w:val="22"/>
                <w:szCs w:val="22"/>
              </w:rPr>
              <w:t>П</w:t>
            </w:r>
            <w:r>
              <w:rPr>
                <w:rFonts w:ascii="Arial" w:hAnsi="Arial"/>
                <w:iCs/>
                <w:sz w:val="22"/>
                <w:szCs w:val="22"/>
              </w:rPr>
              <w:t>рограммы и бюджета на 2024-2025 гг., утвержденных в документе 42 С/5,</w:t>
            </w:r>
          </w:p>
          <w:p w14:paraId="475F419E" w14:textId="77777777" w:rsidR="001E05B0" w:rsidRPr="00B9332E" w:rsidRDefault="001E05B0" w:rsidP="00407BD5">
            <w:pPr>
              <w:numPr>
                <w:ilvl w:val="0"/>
                <w:numId w:val="26"/>
              </w:numPr>
              <w:spacing w:after="240"/>
              <w:ind w:left="1134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7BD5">
              <w:rPr>
                <w:rFonts w:ascii="Arial" w:hAnsi="Arial"/>
                <w:sz w:val="22"/>
                <w:szCs w:val="22"/>
                <w:u w:val="single"/>
              </w:rPr>
              <w:t>утверждает</w:t>
            </w:r>
            <w:r>
              <w:rPr>
                <w:rFonts w:ascii="Arial" w:hAnsi="Arial"/>
                <w:sz w:val="22"/>
                <w:szCs w:val="22"/>
              </w:rPr>
              <w:t xml:space="preserve"> Стратегию рационального планирования и управления в сфере морепользования на 2024-2030 гг.;</w:t>
            </w:r>
          </w:p>
          <w:p w14:paraId="2C652EE1" w14:textId="77777777" w:rsidR="001E05B0" w:rsidRPr="00B9332E" w:rsidRDefault="001E05B0" w:rsidP="00407BD5">
            <w:pPr>
              <w:numPr>
                <w:ilvl w:val="0"/>
                <w:numId w:val="26"/>
              </w:numPr>
              <w:spacing w:after="240"/>
              <w:ind w:left="1134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постановляет</w:t>
            </w:r>
            <w:r>
              <w:rPr>
                <w:rFonts w:ascii="Arial" w:hAnsi="Arial"/>
                <w:sz w:val="22"/>
                <w:szCs w:val="22"/>
              </w:rPr>
              <w:t xml:space="preserve"> создать рабочую группу МОК по рациональному планированию и управлению в сфере морепользования, круг ведения которой приводится в приложении к настоящему решению; </w:t>
            </w:r>
          </w:p>
          <w:p w14:paraId="40C43778" w14:textId="77777777" w:rsidR="001E05B0" w:rsidRPr="00923A71" w:rsidRDefault="001E05B0" w:rsidP="00407BD5">
            <w:pPr>
              <w:numPr>
                <w:ilvl w:val="0"/>
                <w:numId w:val="26"/>
              </w:numPr>
              <w:spacing w:after="240"/>
              <w:ind w:left="1134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просит</w:t>
            </w:r>
            <w:r>
              <w:rPr>
                <w:rFonts w:ascii="Arial" w:hAnsi="Arial"/>
                <w:sz w:val="22"/>
                <w:szCs w:val="22"/>
              </w:rPr>
              <w:t xml:space="preserve"> рабочую группу представить Ассамблее МОК на ее 33-й сессии соответствующий доклад.</w:t>
            </w:r>
          </w:p>
          <w:p w14:paraId="47121596" w14:textId="77777777" w:rsidR="001E05B0" w:rsidRPr="00407BD5" w:rsidRDefault="001E05B0" w:rsidP="00407BD5">
            <w:pPr>
              <w:keepNext/>
              <w:spacing w:after="24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7BD5">
              <w:rPr>
                <w:rFonts w:ascii="Arial" w:hAnsi="Arial"/>
                <w:sz w:val="22"/>
                <w:szCs w:val="22"/>
              </w:rPr>
              <w:lastRenderedPageBreak/>
              <w:t xml:space="preserve">Приложение к </w:t>
            </w:r>
            <w:r w:rsidRPr="00407BD5">
              <w:rPr>
                <w:rFonts w:ascii="Arial" w:hAnsi="Arial"/>
                <w:sz w:val="22"/>
                <w:szCs w:val="22"/>
                <w:u w:val="single"/>
              </w:rPr>
              <w:t>решению EC-57/4.3</w:t>
            </w:r>
          </w:p>
          <w:p w14:paraId="1BD2E5E6" w14:textId="77777777" w:rsidR="001E05B0" w:rsidRPr="00407BD5" w:rsidRDefault="001E05B0" w:rsidP="00407BD5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7BD5">
              <w:rPr>
                <w:rFonts w:ascii="Arial" w:hAnsi="Arial"/>
                <w:b/>
                <w:bCs/>
                <w:sz w:val="22"/>
                <w:szCs w:val="22"/>
              </w:rPr>
              <w:t>Круг ведения рабочей группы МОК по рациональному планированию и управлению в сфере морепользования (РГ-РПУМ)</w:t>
            </w:r>
            <w:r w:rsidRPr="00407BD5">
              <w:rPr>
                <w:rFonts w:ascii="Arial" w:hAnsi="Arial"/>
                <w:b/>
                <w:bCs/>
                <w:sz w:val="22"/>
                <w:szCs w:val="22"/>
              </w:rPr>
              <w:br/>
              <w:t xml:space="preserve">[Проект] </w:t>
            </w:r>
          </w:p>
          <w:p w14:paraId="04CA6A32" w14:textId="4820F1D7" w:rsidR="001E05B0" w:rsidRPr="00B9332E" w:rsidRDefault="001E05B0" w:rsidP="00407BD5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 состав рабочей группы МОК по рациональному планированию и управлению в сфере морепользования входят представители, назначенные региональными вспомогательными органами МОК и (в соответствующих случаях) руководящими органами программ МОК, а также эксперты, назначенные государствами</w:t>
            </w:r>
            <w:r w:rsidR="00407BD5" w:rsidRPr="00407BD5">
              <w:rPr>
                <w:rFonts w:ascii="Arial" w:hAnsi="Arial"/>
                <w:sz w:val="22"/>
                <w:szCs w:val="22"/>
              </w:rPr>
              <w:t xml:space="preserve"> – </w:t>
            </w:r>
            <w:r>
              <w:rPr>
                <w:rFonts w:ascii="Arial" w:hAnsi="Arial"/>
                <w:sz w:val="22"/>
                <w:szCs w:val="22"/>
              </w:rPr>
              <w:t>членами МОК в соответствии с просьбой, сформулированной в циркулярном письме.</w:t>
            </w:r>
          </w:p>
          <w:p w14:paraId="6458B822" w14:textId="51490C74" w:rsidR="001E05B0" w:rsidRPr="00923A71" w:rsidRDefault="001E05B0" w:rsidP="00407BD5">
            <w:pPr>
              <w:spacing w:after="240"/>
              <w:jc w:val="both"/>
              <w:rPr>
                <w:rFonts w:ascii="Arial" w:eastAsia="Yu Mincho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Рабочая группа МОК по рациональному планированию и управлению в сфере морепользования (РГ-РПУМ) отвечает за выполнение следующих задач: </w:t>
            </w:r>
          </w:p>
          <w:p w14:paraId="3A9CE47E" w14:textId="0140D0C9" w:rsidR="001E05B0" w:rsidRPr="00923A71" w:rsidRDefault="001E05B0" w:rsidP="00407BD5">
            <w:pPr>
              <w:pStyle w:val="ListParagraph"/>
              <w:numPr>
                <w:ilvl w:val="0"/>
                <w:numId w:val="41"/>
              </w:numPr>
              <w:spacing w:after="240"/>
              <w:ind w:left="588" w:hanging="518"/>
              <w:contextualSpacing w:val="0"/>
              <w:jc w:val="both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Консультирование по вопросам эффективной реализации Стратегии РПУМ, мониторинг и методическое руководство ходом выполнения мероприятий, связанных с планированием и управлением в сфере морепользования, в рамках всего спектра программ МОК, содействие в решении конкретных вопросов, связанных с программой, а также возникающих проблем;</w:t>
            </w:r>
            <w:r>
              <w:rPr>
                <w:rFonts w:ascii="Arial" w:hAnsi="Arial"/>
                <w:color w:val="0D0D0D"/>
                <w:sz w:val="22"/>
                <w:szCs w:val="22"/>
              </w:rPr>
              <w:t xml:space="preserve"> </w:t>
            </w:r>
          </w:p>
          <w:p w14:paraId="2FF67E15" w14:textId="55FB1C33" w:rsidR="001E05B0" w:rsidRPr="00923A71" w:rsidRDefault="005A2BDD" w:rsidP="00407BD5">
            <w:pPr>
              <w:pStyle w:val="ListParagraph"/>
              <w:numPr>
                <w:ilvl w:val="0"/>
                <w:numId w:val="41"/>
              </w:numPr>
              <w:spacing w:after="240"/>
              <w:ind w:left="588" w:hanging="518"/>
              <w:contextualSpacing w:val="0"/>
              <w:jc w:val="both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</w:t>
            </w:r>
            <w:r w:rsidR="001E05B0">
              <w:rPr>
                <w:rFonts w:ascii="Arial" w:hAnsi="Arial"/>
                <w:sz w:val="22"/>
                <w:szCs w:val="22"/>
              </w:rPr>
              <w:t>одготовка и регулярная актуализация подлежащего утверждению Ассамблеей МОК двухгодичного плана осуществления Стратегии РПУМ по мере обновления инструментария и международных рамочных подходов в сфере науки;</w:t>
            </w:r>
          </w:p>
          <w:p w14:paraId="1E4FA9F9" w14:textId="239836F6" w:rsidR="001E05B0" w:rsidRPr="00923A71" w:rsidRDefault="005A2BDD" w:rsidP="00407BD5">
            <w:pPr>
              <w:pStyle w:val="ListParagraph"/>
              <w:numPr>
                <w:ilvl w:val="0"/>
                <w:numId w:val="41"/>
              </w:numPr>
              <w:spacing w:after="240"/>
              <w:ind w:left="588" w:hanging="518"/>
              <w:contextualSpacing w:val="0"/>
              <w:jc w:val="both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Ф</w:t>
            </w:r>
            <w:r w:rsidR="001E05B0">
              <w:rPr>
                <w:rFonts w:ascii="Arial" w:hAnsi="Arial"/>
                <w:color w:val="000000"/>
                <w:sz w:val="22"/>
                <w:szCs w:val="22"/>
              </w:rPr>
              <w:t>ормулирование рекомендаций в отношении регулярной оценки связанных с РПУМ потребностей государств-членов в наращивании технического потенциала и консультирование по вопросам планирования мероприятий МОК в области создания потенциала в соответствии со Стратегией МОК в области развития потенциала на 2023-2030 гг.;</w:t>
            </w:r>
          </w:p>
          <w:p w14:paraId="71386DBA" w14:textId="0872C0EE" w:rsidR="001E05B0" w:rsidRPr="00923A71" w:rsidRDefault="005A2BDD" w:rsidP="00407BD5">
            <w:pPr>
              <w:pStyle w:val="ListParagraph"/>
              <w:numPr>
                <w:ilvl w:val="0"/>
                <w:numId w:val="41"/>
              </w:numPr>
              <w:spacing w:after="240"/>
              <w:ind w:left="588" w:hanging="518"/>
              <w:contextualSpacing w:val="0"/>
              <w:jc w:val="both"/>
              <w:rPr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</w:t>
            </w:r>
            <w:r w:rsidR="001E05B0">
              <w:rPr>
                <w:rFonts w:ascii="Arial" w:hAnsi="Arial"/>
                <w:sz w:val="22"/>
                <w:szCs w:val="22"/>
              </w:rPr>
              <w:t xml:space="preserve">одготовка </w:t>
            </w:r>
            <w:r>
              <w:rPr>
                <w:rFonts w:ascii="Arial" w:hAnsi="Arial"/>
                <w:sz w:val="22"/>
                <w:szCs w:val="22"/>
              </w:rPr>
              <w:t>в соответствующих случаях</w:t>
            </w:r>
            <w:r w:rsidR="001E05B0">
              <w:rPr>
                <w:rFonts w:ascii="Arial" w:hAnsi="Arial"/>
                <w:sz w:val="22"/>
                <w:szCs w:val="22"/>
              </w:rPr>
              <w:t xml:space="preserve"> материалов для процесса консультаций по теме «МОК и будущее Мирового океана:</w:t>
            </w:r>
            <w:r w:rsidR="001E05B0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1E05B0">
              <w:rPr>
                <w:rFonts w:ascii="Arial" w:hAnsi="Arial"/>
                <w:sz w:val="22"/>
                <w:szCs w:val="22"/>
              </w:rPr>
              <w:t>устойчивое осуществление и расширение деятельности МОК» в части, касающейся усилий МОК в области РПУМ, а также интеллектуальный вклад в процесс разработки среднесрочной стратегии МОК, который будет запущен в 2027 г.;</w:t>
            </w:r>
          </w:p>
          <w:p w14:paraId="1CD66239" w14:textId="1DA1ECF8" w:rsidR="001E05B0" w:rsidRPr="00923A71" w:rsidRDefault="005A2BDD" w:rsidP="00407BD5">
            <w:pPr>
              <w:numPr>
                <w:ilvl w:val="0"/>
                <w:numId w:val="41"/>
              </w:numPr>
              <w:spacing w:after="240"/>
              <w:ind w:left="588" w:hanging="518"/>
              <w:jc w:val="both"/>
              <w:rPr>
                <w:rFonts w:ascii="Arial" w:eastAsia="Yu Mincho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</w:t>
            </w:r>
            <w:r w:rsidR="001E05B0">
              <w:rPr>
                <w:rFonts w:ascii="Arial" w:hAnsi="Arial"/>
                <w:sz w:val="22"/>
                <w:szCs w:val="22"/>
              </w:rPr>
              <w:t>беспечение координации с 10-летней Программой рационального планирования морской деятельности и ее временной консультативной группой, а также вклад в эти усилия;</w:t>
            </w:r>
          </w:p>
          <w:p w14:paraId="6782DCAD" w14:textId="7436666F" w:rsidR="001E05B0" w:rsidRPr="00923A71" w:rsidRDefault="005A2BDD" w:rsidP="00407BD5">
            <w:pPr>
              <w:numPr>
                <w:ilvl w:val="0"/>
                <w:numId w:val="41"/>
              </w:numPr>
              <w:spacing w:after="240"/>
              <w:ind w:left="588" w:hanging="518"/>
              <w:jc w:val="both"/>
              <w:rPr>
                <w:rFonts w:ascii="Arial" w:eastAsia="Yu Mincho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</w:t>
            </w:r>
            <w:r w:rsidR="001E05B0">
              <w:rPr>
                <w:rFonts w:ascii="Arial" w:hAnsi="Arial"/>
                <w:sz w:val="22"/>
                <w:szCs w:val="22"/>
              </w:rPr>
              <w:t xml:space="preserve">онсультирование государств-членов по вопросам популяризации и распространения текста Стратегии МОК по рациональному планированию и управлению в сфере морепользования в целях содействия в планировании и осуществлении ими усилий на национальном уровне; </w:t>
            </w:r>
          </w:p>
          <w:p w14:paraId="2258CCFD" w14:textId="384C3F1D" w:rsidR="001E05B0" w:rsidRPr="00923A71" w:rsidRDefault="005A2BDD" w:rsidP="00407BD5">
            <w:pPr>
              <w:pStyle w:val="ListParagraph"/>
              <w:numPr>
                <w:ilvl w:val="0"/>
                <w:numId w:val="41"/>
              </w:numPr>
              <w:spacing w:after="240"/>
              <w:ind w:left="588" w:hanging="5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="001E05B0">
              <w:rPr>
                <w:rFonts w:ascii="Arial" w:hAnsi="Arial"/>
                <w:color w:val="000000"/>
                <w:sz w:val="22"/>
                <w:szCs w:val="22"/>
              </w:rPr>
              <w:t xml:space="preserve">существление других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инициатив</w:t>
            </w:r>
            <w:r w:rsidR="001E05B0">
              <w:rPr>
                <w:rFonts w:ascii="Arial" w:hAnsi="Arial"/>
                <w:color w:val="000000"/>
                <w:sz w:val="22"/>
                <w:szCs w:val="22"/>
              </w:rPr>
              <w:t xml:space="preserve"> по поручению руководящих органов МОК;</w:t>
            </w:r>
          </w:p>
          <w:p w14:paraId="43BCCE37" w14:textId="0A18C832" w:rsidR="001E05B0" w:rsidRPr="00923A71" w:rsidRDefault="005A2BDD" w:rsidP="00407BD5">
            <w:pPr>
              <w:pStyle w:val="ListParagraph"/>
              <w:numPr>
                <w:ilvl w:val="0"/>
                <w:numId w:val="41"/>
              </w:numPr>
              <w:spacing w:after="240"/>
              <w:ind w:left="588" w:hanging="5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П</w:t>
            </w:r>
            <w:r w:rsidR="001E05B0">
              <w:rPr>
                <w:rFonts w:ascii="Arial" w:hAnsi="Arial"/>
                <w:color w:val="000000"/>
                <w:sz w:val="22"/>
                <w:szCs w:val="22"/>
              </w:rPr>
              <w:t>редставление на сессиях Ассамблеи МОК информации о реализации Стратегии и плана ее осуществления.</w:t>
            </w:r>
          </w:p>
          <w:p w14:paraId="57DB0460" w14:textId="6A30F6B9" w:rsidR="005C239B" w:rsidRPr="00407BD5" w:rsidRDefault="001E05B0" w:rsidP="00407BD5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Рабочая группа изберет двух сопредседателей из числа своих членов; ее членский состав будет обновляться каждые четыре года.</w:t>
            </w:r>
          </w:p>
        </w:tc>
      </w:tr>
    </w:tbl>
    <w:p w14:paraId="286EE7B0" w14:textId="77777777" w:rsidR="005C239B" w:rsidRPr="00407BD5" w:rsidRDefault="005C239B" w:rsidP="00407BD5">
      <w:pPr>
        <w:pStyle w:val="Style2"/>
        <w:tabs>
          <w:tab w:val="clear" w:pos="1400"/>
          <w:tab w:val="left" w:pos="709"/>
        </w:tabs>
        <w:ind w:left="0"/>
        <w:rPr>
          <w:rFonts w:cs="Arial"/>
        </w:rPr>
      </w:pPr>
    </w:p>
    <w:p w14:paraId="41BB1617" w14:textId="77777777" w:rsidR="005C239B" w:rsidRPr="005C239B" w:rsidRDefault="005C239B" w:rsidP="00171F50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lastRenderedPageBreak/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414B5150" w14:textId="58DBE2C3" w:rsidR="005C239B" w:rsidRPr="005C239B" w:rsidRDefault="005C239B" w:rsidP="005C239B">
      <w:pPr>
        <w:pStyle w:val="Heading2"/>
        <w:ind w:left="709" w:hanging="709"/>
        <w:rPr>
          <w:rFonts w:cs="Arial"/>
          <w:szCs w:val="22"/>
        </w:rPr>
      </w:pPr>
      <w:bookmarkStart w:id="132" w:name="_Toc166740236"/>
      <w:r w:rsidRPr="00377233">
        <w:t>4.4</w:t>
      </w:r>
      <w:r w:rsidRPr="00377233">
        <w:tab/>
        <w:t>ОБЗОР МЕХАНИЗМОВ УПРАВЛЕНИЯ ГЕБКО (2023 г.) И ТРЕХГОДИЧНЫЙ ОБЗОР ПОТРЕБНОСТЕЙ ПОЛЬЗОВАТЕЛЕЙ</w:t>
      </w:r>
      <w:r>
        <w:br/>
        <w:t>[</w:t>
      </w:r>
      <w:r w:rsidR="00355FF3">
        <w:rPr>
          <w:caps w:val="0"/>
        </w:rPr>
        <w:t xml:space="preserve">Реш. </w:t>
      </w:r>
      <w:r>
        <w:t xml:space="preserve">A-31/3.5.1; </w:t>
      </w:r>
      <w:r w:rsidR="00355FF3">
        <w:rPr>
          <w:caps w:val="0"/>
        </w:rPr>
        <w:t xml:space="preserve">Реш. </w:t>
      </w:r>
      <w:r>
        <w:t>A-32/4.1]</w:t>
      </w:r>
      <w:bookmarkEnd w:id="132"/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2093"/>
        <w:gridCol w:w="2477"/>
        <w:gridCol w:w="5103"/>
      </w:tblGrid>
      <w:tr w:rsidR="005C239B" w:rsidRPr="005C239B" w14:paraId="3E95F730" w14:textId="77777777" w:rsidTr="00F51867">
        <w:tc>
          <w:tcPr>
            <w:tcW w:w="2093" w:type="dxa"/>
            <w:shd w:val="clear" w:color="auto" w:fill="FFFF99"/>
            <w:tcMar>
              <w:top w:w="57" w:type="dxa"/>
              <w:bottom w:w="57" w:type="dxa"/>
            </w:tcMar>
          </w:tcPr>
          <w:p w14:paraId="017B458E" w14:textId="26CED023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Рабочие </w:t>
            </w:r>
            <w:r w:rsidR="00F51867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fr-FR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документы</w:t>
            </w:r>
          </w:p>
        </w:tc>
        <w:tc>
          <w:tcPr>
            <w:tcW w:w="2477" w:type="dxa"/>
            <w:shd w:val="clear" w:color="auto" w:fill="FFFF99"/>
            <w:tcMar>
              <w:top w:w="57" w:type="dxa"/>
              <w:bottom w:w="57" w:type="dxa"/>
            </w:tcMar>
          </w:tcPr>
          <w:p w14:paraId="712803BE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IOC/EC-57/4.4.Doc(1) </w:t>
            </w:r>
          </w:p>
        </w:tc>
        <w:tc>
          <w:tcPr>
            <w:tcW w:w="5103" w:type="dxa"/>
            <w:shd w:val="clear" w:color="auto" w:fill="FFFF99"/>
            <w:tcMar>
              <w:top w:w="57" w:type="dxa"/>
              <w:bottom w:w="57" w:type="dxa"/>
            </w:tcMar>
          </w:tcPr>
          <w:p w14:paraId="272481D8" w14:textId="77777777" w:rsidR="005C239B" w:rsidRPr="005C239B" w:rsidRDefault="005C239B" w:rsidP="00F51867">
            <w:pPr>
              <w:spacing w:after="60"/>
              <w:ind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Доклад и рекомендации проектной группы по обзору механизмов управления ГЕБКО (2024 г.)</w:t>
            </w:r>
          </w:p>
        </w:tc>
      </w:tr>
      <w:tr w:rsidR="005C239B" w:rsidRPr="005C239B" w14:paraId="6C3C4ADB" w14:textId="77777777" w:rsidTr="00F51867">
        <w:tc>
          <w:tcPr>
            <w:tcW w:w="2093" w:type="dxa"/>
            <w:shd w:val="clear" w:color="auto" w:fill="FFFF99"/>
            <w:tcMar>
              <w:top w:w="57" w:type="dxa"/>
              <w:bottom w:w="57" w:type="dxa"/>
            </w:tcMar>
          </w:tcPr>
          <w:p w14:paraId="1A38BD5D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477" w:type="dxa"/>
            <w:shd w:val="clear" w:color="auto" w:fill="FFFF99"/>
            <w:tcMar>
              <w:top w:w="57" w:type="dxa"/>
              <w:bottom w:w="57" w:type="dxa"/>
            </w:tcMar>
          </w:tcPr>
          <w:p w14:paraId="0DC552DC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33" w:name="_Hlk164328806"/>
            <w:r>
              <w:rPr>
                <w:rFonts w:ascii="Arial" w:hAnsi="Arial"/>
                <w:color w:val="000000"/>
                <w:sz w:val="22"/>
                <w:szCs w:val="22"/>
              </w:rPr>
              <w:t>IOC/EC-57/4.4.Doc(2)</w:t>
            </w:r>
            <w:bookmarkEnd w:id="133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FFFF99"/>
            <w:tcMar>
              <w:top w:w="57" w:type="dxa"/>
              <w:bottom w:w="57" w:type="dxa"/>
            </w:tcMar>
          </w:tcPr>
          <w:p w14:paraId="66086CA1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Трехгодичный обзор рабочей группы по потребностям пользователей и их участии в создании продуктов ГЕБКО (2024 г.)</w:t>
            </w:r>
          </w:p>
        </w:tc>
      </w:tr>
      <w:tr w:rsidR="005C239B" w:rsidRPr="005C239B" w14:paraId="23FEF888" w14:textId="77777777" w:rsidTr="00F51867">
        <w:tc>
          <w:tcPr>
            <w:tcW w:w="2093" w:type="dxa"/>
            <w:shd w:val="clear" w:color="auto" w:fill="FBD4B4"/>
            <w:tcMar>
              <w:top w:w="57" w:type="dxa"/>
              <w:bottom w:w="57" w:type="dxa"/>
            </w:tcMar>
          </w:tcPr>
          <w:p w14:paraId="6010A2C0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Информационный документ</w:t>
            </w:r>
          </w:p>
        </w:tc>
        <w:tc>
          <w:tcPr>
            <w:tcW w:w="2477" w:type="dxa"/>
            <w:shd w:val="clear" w:color="auto" w:fill="auto"/>
            <w:tcMar>
              <w:top w:w="57" w:type="dxa"/>
              <w:bottom w:w="57" w:type="dxa"/>
            </w:tcMar>
          </w:tcPr>
          <w:p w14:paraId="79408EDE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IOC/INF-1538</w:t>
            </w:r>
          </w:p>
        </w:tc>
        <w:tc>
          <w:tcPr>
            <w:tcW w:w="5103" w:type="dxa"/>
            <w:shd w:val="clear" w:color="auto" w:fill="auto"/>
            <w:tcMar>
              <w:top w:w="57" w:type="dxa"/>
              <w:bottom w:w="57" w:type="dxa"/>
            </w:tcMar>
          </w:tcPr>
          <w:p w14:paraId="3CB5C2CD" w14:textId="77777777" w:rsidR="005C239B" w:rsidRPr="00D53B83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B83">
              <w:rPr>
                <w:rFonts w:ascii="Arial" w:hAnsi="Arial"/>
                <w:color w:val="000000"/>
                <w:sz w:val="22"/>
                <w:szCs w:val="22"/>
              </w:rPr>
              <w:t>Новая стратегия ГЕБКО</w:t>
            </w:r>
          </w:p>
        </w:tc>
      </w:tr>
    </w:tbl>
    <w:p w14:paraId="07914CE1" w14:textId="77777777" w:rsidR="005C239B" w:rsidRPr="005C239B" w:rsidRDefault="005C239B" w:rsidP="005C239B">
      <w:pPr>
        <w:pStyle w:val="Marge"/>
        <w:spacing w:after="0"/>
        <w:rPr>
          <w:rFonts w:ascii="Arial" w:hAnsi="Arial" w:cs="Arial"/>
          <w:sz w:val="22"/>
          <w:szCs w:val="22"/>
          <w:lang w:val="en-GB"/>
        </w:rPr>
      </w:pPr>
    </w:p>
    <w:p w14:paraId="6C3F148D" w14:textId="14ABCC1C" w:rsidR="005C239B" w:rsidRPr="005C239B" w:rsidRDefault="005C239B" w:rsidP="00D53B83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Этот пункт повестки дня в качестве председателя рабочей группы МОК по потребностям пользователей и их участии в создании продуктов ГЕБКО представил заместитель председателя рабочей группы г-н Хуан </w:t>
      </w:r>
      <w:proofErr w:type="spellStart"/>
      <w:r>
        <w:t>Фореро</w:t>
      </w:r>
      <w:proofErr w:type="spellEnd"/>
      <w:r>
        <w:t xml:space="preserve"> Хаузер. Он напомнил полномочия рабочей группы, учрежденной в 2016 г. в соответствии с решением Исполнительного совета ЕС-XLIX/4.4, предусматривающие, в частности: (i) сбор, обобщение и анализ информации о потребностях пользователей с целью учета этих потребностей при создании существующих на сегодняшний день и будущих продуктов ГЕБКО; (ii) изучение путей повышения вклада от осуществления программ МОК и деятельности ее государств-членов в создание наборов батиметрических данных и продуктов ГЕБКО. В соответствии с кругом ведения рабочей группы в ее состав входят представители государств – членов МОК, а также по одному эксперту от руководящего комитета ГЕБКО и соответствующих технических и региональных вспомогательных органов МОК (ГЛОСС, РК-ГСНО, МООД, РГ-СПЦО, МОКАФРИКА, МОКАРИБ, ИОСИНДИО, МГВЦВ, ВЕСТПАК и региональные альянсы ГСНО). Деятельность рабочей группы была возобновлена на основании циркулярного письма МОК </w:t>
      </w:r>
      <w:hyperlink r:id="rId33" w:history="1">
        <w:r>
          <w:rPr>
            <w:rStyle w:val="Hyperlink"/>
          </w:rPr>
          <w:t>№ 2981</w:t>
        </w:r>
      </w:hyperlink>
      <w:r>
        <w:t>, опубликованного в декабре 2023 г. в свете итогов предыдущей оценки, проведенной в 2021 г. В состав группы входят эксперты, назначенные председателями соответствующих технических и региональных вспомогательных органов МОК и региональных альянсов ГСНО, а также национальные эксперты. Заместитель председателя рабочей группы подчеркнул, что представленные предложения и замечания были собраны с помощью вопросника, разосланного государствам</w:t>
      </w:r>
      <w:r w:rsidR="00B26D04" w:rsidRPr="00B26D04">
        <w:t xml:space="preserve"> </w:t>
      </w:r>
      <w:r w:rsidR="00B26D04">
        <w:t>–</w:t>
      </w:r>
      <w:r w:rsidR="00B26D04" w:rsidRPr="00B26D04">
        <w:t xml:space="preserve"> </w:t>
      </w:r>
      <w:r>
        <w:t xml:space="preserve">членам МОК вместе с циркулярным письмом МОК </w:t>
      </w:r>
      <w:hyperlink r:id="rId34" w:history="1">
        <w:r>
          <w:rPr>
            <w:rStyle w:val="Hyperlink"/>
          </w:rPr>
          <w:t>№ 2989</w:t>
        </w:r>
      </w:hyperlink>
      <w:r>
        <w:t xml:space="preserve">. </w:t>
      </w:r>
      <w:r>
        <w:rPr>
          <w:color w:val="000000"/>
        </w:rPr>
        <w:t xml:space="preserve">Благодаря проекту «Морское дно-2030», осуществляемому совместно фондом «Ниппон» и ГЕБКО, вопросник был распространен также в рамках </w:t>
      </w:r>
      <w:proofErr w:type="spellStart"/>
      <w:r>
        <w:rPr>
          <w:color w:val="000000"/>
        </w:rPr>
        <w:t>морепользовательского</w:t>
      </w:r>
      <w:proofErr w:type="spellEnd"/>
      <w:r>
        <w:rPr>
          <w:color w:val="000000"/>
        </w:rPr>
        <w:t xml:space="preserve"> сообщества, включая отраслевые учреждения и организации гражданского общества. Далее заместитель председателя представил основные выводы и рекомендации рабочей группы, содержащиеся в документе IOC/EC-57/4.4.Doc(2).</w:t>
      </w:r>
    </w:p>
    <w:p w14:paraId="4B0443A2" w14:textId="257ABFCB" w:rsidR="005C239B" w:rsidRPr="005C239B" w:rsidRDefault="005C239B" w:rsidP="00D53B83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Г-н Сэм Харпер, технический секретарь МГО и председатель группы по обзору механизмов управления ГЕБКО, сообщил, что доклад об обзоре механизмов управления (документ IOC/EC-57/4.4.Doc(1)) содержит детальный анализ управленческой структуры и практических подходов, используемых в рамках программы ГЕБКО, призванный содействовать повышению ее эффективности и согласованности с стратегическими целями организаций-учредителей – Международной гидрографической организации (МГО) и МОК. Проведение обзора было продиктовано осознанием быстрых изменений в области морских научных исследований и картирования морского дна, что требует укрепления механизмов управления ГЕБКО и постоянного совершенствования используемых в рамках программы подходов. В числе основных аспектов обзора – изучение организационных и управленческих механизмов программы ГЕБКО, эффективность работы ее комитетов и взаимодействие с внешними органами. В обзоре подчеркнута важная роль ГЕБКО в контексте Десятилетия ООН, посвященного науке об океане в </w:t>
      </w:r>
      <w:r>
        <w:lastRenderedPageBreak/>
        <w:t xml:space="preserve">интересах устойчивого развития, а также необходимость повышения координации международных усилий в вопросах сбора океанографических данных. Сформулированные в документе выводы и рекомендации подчеркивают потребность в более четкой структуре управления, актуальность расширения взаимодействия с заинтересованными сторонами, а также необходимость повышения эффективности управления рисками и формирования культуры непрерывного совершенствования. Отдельно в обзоре была подчеркнута важность приведения деятельности в рамках ГЕБКО в соответствие с </w:t>
      </w:r>
      <w:r w:rsidRPr="00355FF3">
        <w:t>новой</w:t>
      </w:r>
      <w:r>
        <w:t xml:space="preserve"> стратегией программы (документ IOC/INF-1538), которая была разработана параллельно с подготовкой данного обзора.</w:t>
      </w:r>
    </w:p>
    <w:tbl>
      <w:tblPr>
        <w:tblW w:w="0" w:type="auto"/>
        <w:shd w:val="clear" w:color="auto" w:fill="CCFFCC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5C239B" w:rsidRPr="005C239B" w14:paraId="55CC2ABC" w14:textId="77777777" w:rsidTr="001B377A">
        <w:trPr>
          <w:trHeight w:val="604"/>
        </w:trPr>
        <w:tc>
          <w:tcPr>
            <w:tcW w:w="9747" w:type="dxa"/>
            <w:shd w:val="clear" w:color="auto" w:fill="CCFFCC"/>
            <w:tcMar>
              <w:top w:w="113" w:type="dxa"/>
              <w:bottom w:w="113" w:type="dxa"/>
            </w:tcMar>
          </w:tcPr>
          <w:p w14:paraId="7DA37298" w14:textId="77777777" w:rsidR="005C239B" w:rsidRPr="005C239B" w:rsidRDefault="005C239B" w:rsidP="001B377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E17FA">
              <w:rPr>
                <w:rFonts w:ascii="Arial" w:hAnsi="Arial"/>
                <w:sz w:val="22"/>
                <w:szCs w:val="22"/>
                <w:u w:val="single"/>
              </w:rPr>
              <w:t>Реш. EC-57/4.4</w:t>
            </w:r>
          </w:p>
          <w:p w14:paraId="02701BC5" w14:textId="30B5F8FB" w:rsidR="005C239B" w:rsidRPr="005C239B" w:rsidRDefault="005C239B" w:rsidP="001B377A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Обзор механизмов управления ГЕБКО (2023 г.) и трехгодичный обзор </w:t>
            </w:r>
            <w:r w:rsidR="00480D55" w:rsidRPr="002B415A">
              <w:rPr>
                <w:rFonts w:ascii="Arial" w:hAnsi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потребностей пользователей</w:t>
            </w:r>
          </w:p>
          <w:p w14:paraId="21E6136F" w14:textId="77777777" w:rsidR="005C239B" w:rsidRPr="005C239B" w:rsidRDefault="005C239B" w:rsidP="001B377A">
            <w:pPr>
              <w:spacing w:after="120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Исполнительный совет,</w:t>
            </w:r>
          </w:p>
          <w:p w14:paraId="12844C04" w14:textId="77777777" w:rsidR="005C239B" w:rsidRPr="005C239B" w:rsidRDefault="005C239B" w:rsidP="001B377A">
            <w:pPr>
              <w:spacing w:after="120"/>
              <w:ind w:left="709" w:hanging="70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 – Трехгодичный обзор потребностей пользователей</w:t>
            </w:r>
          </w:p>
          <w:p w14:paraId="7864F2E4" w14:textId="77777777" w:rsidR="005C239B" w:rsidRPr="005C239B" w:rsidRDefault="005C239B" w:rsidP="0052306E">
            <w:pPr>
              <w:numPr>
                <w:ilvl w:val="0"/>
                <w:numId w:val="25"/>
              </w:numPr>
              <w:tabs>
                <w:tab w:val="left" w:pos="709"/>
              </w:tabs>
              <w:spacing w:after="120"/>
              <w:ind w:left="709" w:hanging="425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ссылаясь</w:t>
            </w:r>
            <w:r>
              <w:rPr>
                <w:rFonts w:ascii="Arial" w:hAnsi="Arial"/>
                <w:sz w:val="22"/>
                <w:szCs w:val="22"/>
              </w:rPr>
              <w:t xml:space="preserve"> на решение А-32/3.5.1, в котором предлагается, в частности, проводить обзор в отношении потребностей пользователей и их участия в создании продуктов ГЕБКО на двухгодичной основе,</w:t>
            </w:r>
          </w:p>
          <w:p w14:paraId="53C712EE" w14:textId="77777777" w:rsidR="005C239B" w:rsidRPr="005C239B" w:rsidRDefault="005C239B" w:rsidP="0052306E">
            <w:pPr>
              <w:numPr>
                <w:ilvl w:val="0"/>
                <w:numId w:val="25"/>
              </w:numPr>
              <w:tabs>
                <w:tab w:val="left" w:pos="709"/>
              </w:tabs>
              <w:spacing w:after="120"/>
              <w:ind w:left="709" w:hanging="425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рассмотрев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доклад рабочей группы по потребностям пользователей и их участии в создании продуктов ГЕБКО, представленный в документе IOC/EC-57/4.4.Doc(2),</w:t>
            </w:r>
          </w:p>
          <w:p w14:paraId="172E2947" w14:textId="77777777" w:rsidR="005C239B" w:rsidRPr="005C239B" w:rsidRDefault="005C239B" w:rsidP="0052306E">
            <w:pPr>
              <w:numPr>
                <w:ilvl w:val="0"/>
                <w:numId w:val="25"/>
              </w:numPr>
              <w:tabs>
                <w:tab w:val="left" w:pos="709"/>
              </w:tabs>
              <w:spacing w:after="120"/>
              <w:ind w:left="709" w:hanging="425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учитывая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постоянную потребность научного сообщества МОК в батиметрических продуктах и тот факт, что доступ к качественным батиметрическим данным важен не только для обеспечения навигации, но и для других целей, включая морские научные исследования, предупреждение о цунами и обеспечение готовности к ним, а также для моделирования климатических прогнозов,</w:t>
            </w:r>
          </w:p>
          <w:p w14:paraId="60F24316" w14:textId="77777777" w:rsidR="005C239B" w:rsidRPr="005C239B" w:rsidRDefault="005C239B" w:rsidP="0052306E">
            <w:pPr>
              <w:numPr>
                <w:ilvl w:val="0"/>
                <w:numId w:val="25"/>
              </w:numPr>
              <w:tabs>
                <w:tab w:val="left" w:pos="709"/>
              </w:tabs>
              <w:spacing w:after="120"/>
              <w:ind w:left="709" w:hanging="425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отмечая</w:t>
            </w:r>
            <w:r>
              <w:rPr>
                <w:rFonts w:ascii="Arial" w:hAnsi="Arial"/>
                <w:iCs/>
                <w:sz w:val="22"/>
                <w:szCs w:val="22"/>
              </w:rPr>
              <w:t>, что значительные объемы батиметрических данных собираются научным и коммерческим секторами для целей, не связанных с усовершенствованием карты, но их нелегко найти или обеспечить к ним доступ для вторичных целей,</w:t>
            </w:r>
          </w:p>
          <w:p w14:paraId="490488F8" w14:textId="78DF528A" w:rsidR="005C239B" w:rsidRPr="005C239B" w:rsidRDefault="005C239B" w:rsidP="0052306E">
            <w:pPr>
              <w:numPr>
                <w:ilvl w:val="0"/>
                <w:numId w:val="25"/>
              </w:numPr>
              <w:tabs>
                <w:tab w:val="left" w:pos="709"/>
              </w:tabs>
              <w:spacing w:after="120"/>
              <w:ind w:left="709" w:hanging="425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принимает к сведению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выводы рабочей группы, изложенные в документе IOC/EC</w:t>
            </w:r>
            <w:r w:rsidR="005852F5" w:rsidRPr="005852F5">
              <w:rPr>
                <w:rFonts w:ascii="Arial" w:hAnsi="Arial"/>
                <w:iCs/>
                <w:sz w:val="22"/>
                <w:szCs w:val="22"/>
              </w:rPr>
              <w:noBreakHyphen/>
            </w:r>
            <w:r>
              <w:rPr>
                <w:rFonts w:ascii="Arial" w:hAnsi="Arial"/>
                <w:iCs/>
                <w:sz w:val="22"/>
                <w:szCs w:val="22"/>
              </w:rPr>
              <w:t>57/4.4.Doc(2);</w:t>
            </w:r>
          </w:p>
          <w:p w14:paraId="4E077419" w14:textId="77777777" w:rsidR="005C239B" w:rsidRPr="005C239B" w:rsidRDefault="005C239B" w:rsidP="0052306E">
            <w:pPr>
              <w:numPr>
                <w:ilvl w:val="0"/>
                <w:numId w:val="25"/>
              </w:numPr>
              <w:tabs>
                <w:tab w:val="left" w:pos="709"/>
              </w:tabs>
              <w:spacing w:after="120"/>
              <w:ind w:left="709" w:hanging="425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просит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Исполнительного секретаря:</w:t>
            </w:r>
          </w:p>
          <w:p w14:paraId="0EFDD367" w14:textId="77777777" w:rsidR="005C239B" w:rsidRPr="005C239B" w:rsidRDefault="005C239B" w:rsidP="0052306E">
            <w:pPr>
              <w:numPr>
                <w:ilvl w:val="1"/>
                <w:numId w:val="29"/>
              </w:numPr>
              <w:tabs>
                <w:tab w:val="left" w:pos="709"/>
              </w:tabs>
              <w:spacing w:after="120"/>
              <w:ind w:left="1276" w:hanging="567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довести результаты проведенного обзора до сведения Международной гидрографической организации (МГО) и руководящего комитета ГЕБКО;</w:t>
            </w:r>
          </w:p>
          <w:p w14:paraId="3AA3D49C" w14:textId="77777777" w:rsidR="005C239B" w:rsidRPr="005C239B" w:rsidRDefault="005C239B" w:rsidP="0052306E">
            <w:pPr>
              <w:numPr>
                <w:ilvl w:val="1"/>
                <w:numId w:val="29"/>
              </w:numPr>
              <w:tabs>
                <w:tab w:val="left" w:pos="709"/>
              </w:tabs>
              <w:spacing w:after="120"/>
              <w:ind w:left="1276" w:hanging="567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определить возможности и способы расширения участия респондентов, в особенности представляющих интересы программ МОК, а также региональных вспомогательных органов, в будущих экспертных оценках, проводимых рабочей группой;</w:t>
            </w:r>
          </w:p>
          <w:p w14:paraId="3A20355F" w14:textId="77777777" w:rsidR="005C239B" w:rsidRPr="005C239B" w:rsidRDefault="005C239B" w:rsidP="0052306E">
            <w:pPr>
              <w:numPr>
                <w:ilvl w:val="1"/>
                <w:numId w:val="29"/>
              </w:numPr>
              <w:tabs>
                <w:tab w:val="left" w:pos="709"/>
              </w:tabs>
              <w:spacing w:after="120"/>
              <w:ind w:left="1276" w:hanging="567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поделиться основными выводами, сделанными по итогам обзора, с соответствующими участниками сообщества МОК;</w:t>
            </w:r>
          </w:p>
          <w:p w14:paraId="00AC490B" w14:textId="77777777" w:rsidR="005C239B" w:rsidRPr="005C239B" w:rsidRDefault="005C239B" w:rsidP="0052306E">
            <w:pPr>
              <w:numPr>
                <w:ilvl w:val="0"/>
                <w:numId w:val="25"/>
              </w:numPr>
              <w:tabs>
                <w:tab w:val="left" w:pos="709"/>
              </w:tabs>
              <w:spacing w:after="120"/>
              <w:ind w:left="709" w:hanging="425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постановляет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провести следующий обзор потребностей пользователей и их потенциального вклада в продукты ГЕБКО и представить результаты следующей оценки Ассамблее МОК в 2027 г.;</w:t>
            </w:r>
          </w:p>
          <w:p w14:paraId="6C7AE211" w14:textId="77777777" w:rsidR="005C239B" w:rsidRPr="005C239B" w:rsidRDefault="005C239B" w:rsidP="0052306E">
            <w:pPr>
              <w:numPr>
                <w:ilvl w:val="0"/>
                <w:numId w:val="25"/>
              </w:numPr>
              <w:tabs>
                <w:tab w:val="left" w:pos="709"/>
              </w:tabs>
              <w:spacing w:after="120"/>
              <w:ind w:left="709" w:hanging="425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предлагает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государствам-членам:</w:t>
            </w:r>
          </w:p>
          <w:p w14:paraId="413F936C" w14:textId="77777777" w:rsidR="005C239B" w:rsidRPr="005C239B" w:rsidRDefault="005C239B" w:rsidP="0052306E">
            <w:pPr>
              <w:numPr>
                <w:ilvl w:val="0"/>
                <w:numId w:val="30"/>
              </w:numPr>
              <w:tabs>
                <w:tab w:val="left" w:pos="709"/>
                <w:tab w:val="left" w:pos="1276"/>
              </w:tabs>
              <w:spacing w:after="120"/>
              <w:ind w:left="1276" w:hanging="567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сотрудничать в продвижении бассейнового подхода в вопросах картирования для ускорения достижения целей ГЕБКО и предоставления общедоступной информации и данных об океане, в частности, посредством оказания поддержки и непосредственного содействия проекту фонда «Ниппон»/ГЕБКО «Морское дно-2030»;</w:t>
            </w:r>
          </w:p>
          <w:p w14:paraId="3F07752B" w14:textId="77777777" w:rsidR="005C239B" w:rsidRPr="005C239B" w:rsidRDefault="005C239B" w:rsidP="0052306E">
            <w:pPr>
              <w:numPr>
                <w:ilvl w:val="0"/>
                <w:numId w:val="30"/>
              </w:numPr>
              <w:tabs>
                <w:tab w:val="left" w:pos="709"/>
                <w:tab w:val="left" w:pos="1276"/>
              </w:tabs>
              <w:spacing w:after="120"/>
              <w:ind w:left="1276" w:hanging="567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lastRenderedPageBreak/>
              <w:t>содействовать укреплению потенциала программы ГЕБКО, в том числе расширению возможностей профессиональной подготовки; и</w:t>
            </w:r>
          </w:p>
          <w:p w14:paraId="1C26D1C8" w14:textId="77777777" w:rsidR="005C239B" w:rsidRPr="005C239B" w:rsidRDefault="005C239B" w:rsidP="0052306E">
            <w:pPr>
              <w:numPr>
                <w:ilvl w:val="0"/>
                <w:numId w:val="30"/>
              </w:numPr>
              <w:tabs>
                <w:tab w:val="left" w:pos="709"/>
                <w:tab w:val="left" w:pos="1276"/>
              </w:tabs>
              <w:spacing w:after="240"/>
              <w:ind w:left="1276" w:hanging="567"/>
              <w:jc w:val="both"/>
              <w:rPr>
                <w:rFonts w:ascii="Arial" w:eastAsia="Calibri" w:hAnsi="Arial" w:cs="Arial"/>
                <w:iCs/>
                <w:sz w:val="22"/>
                <w:szCs w:val="22"/>
                <w:u w:val="single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принять активное участие в следующей экспертной оценке, запланированной к проведению рабочей группой;</w:t>
            </w:r>
          </w:p>
          <w:p w14:paraId="184AB35C" w14:textId="75060B47" w:rsidR="005C239B" w:rsidRPr="005C239B" w:rsidRDefault="005C239B" w:rsidP="001B377A">
            <w:pPr>
              <w:tabs>
                <w:tab w:val="left" w:pos="709"/>
                <w:tab w:val="left" w:pos="1276"/>
              </w:tabs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II – Обзор механизмов управления </w:t>
            </w:r>
            <w:r w:rsidR="00506915">
              <w:rPr>
                <w:rFonts w:ascii="Arial" w:hAnsi="Arial"/>
                <w:b/>
                <w:bCs/>
                <w:sz w:val="22"/>
                <w:szCs w:val="22"/>
              </w:rPr>
              <w:t xml:space="preserve">и стратегия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ГЕБКО</w:t>
            </w:r>
          </w:p>
          <w:p w14:paraId="04CF91C3" w14:textId="77777777" w:rsidR="005C239B" w:rsidRPr="005C239B" w:rsidRDefault="005C239B" w:rsidP="0052306E">
            <w:pPr>
              <w:numPr>
                <w:ilvl w:val="0"/>
                <w:numId w:val="25"/>
              </w:numPr>
              <w:tabs>
                <w:tab w:val="left" w:pos="709"/>
              </w:tabs>
              <w:spacing w:after="120"/>
              <w:ind w:left="709" w:hanging="425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ссылаясь</w:t>
            </w:r>
            <w:r>
              <w:rPr>
                <w:rFonts w:ascii="Arial" w:hAnsi="Arial"/>
                <w:sz w:val="22"/>
                <w:szCs w:val="22"/>
              </w:rPr>
              <w:t xml:space="preserve"> на решение Ассамблеи МОК A-32/4.1,</w:t>
            </w:r>
          </w:p>
          <w:p w14:paraId="2A17A84E" w14:textId="7822C000" w:rsidR="005C239B" w:rsidRPr="005C239B" w:rsidRDefault="005C239B" w:rsidP="0052306E">
            <w:pPr>
              <w:numPr>
                <w:ilvl w:val="0"/>
                <w:numId w:val="25"/>
              </w:numPr>
              <w:tabs>
                <w:tab w:val="left" w:pos="709"/>
              </w:tabs>
              <w:spacing w:after="120"/>
              <w:ind w:left="709" w:hanging="425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рассмотрев</w:t>
            </w:r>
            <w:r>
              <w:rPr>
                <w:rFonts w:ascii="Arial" w:hAnsi="Arial"/>
                <w:sz w:val="22"/>
                <w:szCs w:val="22"/>
              </w:rPr>
              <w:t xml:space="preserve"> документ IOC/EC-57/4.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4.Doc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(1), содержащий доклад и рекомендации </w:t>
            </w:r>
            <w:r w:rsidR="00506915">
              <w:rPr>
                <w:rFonts w:ascii="Arial" w:hAnsi="Arial"/>
                <w:sz w:val="22"/>
                <w:szCs w:val="22"/>
              </w:rPr>
              <w:t xml:space="preserve">рабочей </w:t>
            </w:r>
            <w:r>
              <w:rPr>
                <w:rFonts w:ascii="Arial" w:hAnsi="Arial"/>
                <w:sz w:val="22"/>
                <w:szCs w:val="22"/>
              </w:rPr>
              <w:t>группы по обзору механизмов управления ГЕБКО (2024 г.) и информационный документ IOC/INF-1538, в котором представлена новая стратегия программы ГЕБКО,</w:t>
            </w:r>
          </w:p>
          <w:p w14:paraId="68A0703B" w14:textId="77777777" w:rsidR="005C239B" w:rsidRPr="005C239B" w:rsidRDefault="005C239B" w:rsidP="0052306E">
            <w:pPr>
              <w:numPr>
                <w:ilvl w:val="0"/>
                <w:numId w:val="25"/>
              </w:numPr>
              <w:tabs>
                <w:tab w:val="left" w:pos="709"/>
              </w:tabs>
              <w:spacing w:after="120"/>
              <w:ind w:left="709" w:hanging="425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принимает к сведению</w:t>
            </w:r>
            <w:r>
              <w:rPr>
                <w:rFonts w:ascii="Arial" w:hAnsi="Arial"/>
                <w:sz w:val="22"/>
                <w:szCs w:val="22"/>
              </w:rPr>
              <w:t xml:space="preserve"> доклад и содержащиеся в нем рекомендации, а также стратегию ГЕБКО;</w:t>
            </w:r>
          </w:p>
          <w:p w14:paraId="6DFE749A" w14:textId="333F16EE" w:rsidR="005C239B" w:rsidRPr="005C239B" w:rsidRDefault="005C239B" w:rsidP="0052306E">
            <w:pPr>
              <w:numPr>
                <w:ilvl w:val="0"/>
                <w:numId w:val="25"/>
              </w:numPr>
              <w:tabs>
                <w:tab w:val="left" w:pos="709"/>
              </w:tabs>
              <w:spacing w:after="120"/>
              <w:ind w:left="70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просит</w:t>
            </w:r>
            <w:r>
              <w:rPr>
                <w:rFonts w:ascii="Arial" w:hAnsi="Arial"/>
                <w:sz w:val="22"/>
                <w:szCs w:val="22"/>
              </w:rPr>
              <w:t xml:space="preserve"> руководящий комитет ГЕБКО </w:t>
            </w:r>
            <w:r w:rsidR="00506915">
              <w:rPr>
                <w:rFonts w:ascii="Arial" w:hAnsi="Arial"/>
                <w:sz w:val="22"/>
                <w:szCs w:val="22"/>
              </w:rPr>
              <w:t xml:space="preserve">рассмотреть </w:t>
            </w:r>
            <w:r>
              <w:rPr>
                <w:rFonts w:ascii="Arial" w:hAnsi="Arial"/>
                <w:sz w:val="22"/>
                <w:szCs w:val="22"/>
              </w:rPr>
              <w:t>рекомендаци</w:t>
            </w:r>
            <w:r w:rsidR="00506915">
              <w:rPr>
                <w:rFonts w:ascii="Arial" w:hAnsi="Arial"/>
                <w:sz w:val="22"/>
                <w:szCs w:val="22"/>
              </w:rPr>
              <w:t>и</w:t>
            </w:r>
            <w:r>
              <w:rPr>
                <w:rFonts w:ascii="Arial" w:hAnsi="Arial"/>
                <w:sz w:val="22"/>
                <w:szCs w:val="22"/>
              </w:rPr>
              <w:t>, сформулированны</w:t>
            </w:r>
            <w:r w:rsidR="00506915">
              <w:rPr>
                <w:rFonts w:ascii="Arial" w:hAnsi="Arial"/>
                <w:sz w:val="22"/>
                <w:szCs w:val="22"/>
              </w:rPr>
              <w:t>е</w:t>
            </w:r>
            <w:r>
              <w:rPr>
                <w:rFonts w:ascii="Arial" w:hAnsi="Arial"/>
                <w:sz w:val="22"/>
                <w:szCs w:val="22"/>
              </w:rPr>
              <w:t xml:space="preserve"> по итогам обзора механизмов управления ГЕБКО, </w:t>
            </w:r>
            <w:r w:rsidR="00506915">
              <w:rPr>
                <w:rFonts w:ascii="Arial" w:hAnsi="Arial"/>
                <w:sz w:val="22"/>
                <w:szCs w:val="22"/>
              </w:rPr>
              <w:t xml:space="preserve">разработать план мероприятий по их выполнению </w:t>
            </w:r>
            <w:r>
              <w:rPr>
                <w:rFonts w:ascii="Arial" w:hAnsi="Arial"/>
                <w:sz w:val="22"/>
                <w:szCs w:val="22"/>
              </w:rPr>
              <w:t>и представить руководящим органам МОК информацию о достигнутом прогрессе в рамках доклада председателя ГЕБКО Ассамблее МОК.</w:t>
            </w:r>
          </w:p>
        </w:tc>
      </w:tr>
    </w:tbl>
    <w:p w14:paraId="149052A1" w14:textId="77777777" w:rsidR="005C239B" w:rsidRPr="00A141A8" w:rsidRDefault="005C239B" w:rsidP="005C239B">
      <w:pPr>
        <w:pStyle w:val="Style2"/>
        <w:tabs>
          <w:tab w:val="clear" w:pos="1400"/>
          <w:tab w:val="left" w:pos="709"/>
        </w:tabs>
        <w:spacing w:after="0"/>
        <w:ind w:left="0"/>
        <w:rPr>
          <w:rFonts w:cs="Arial"/>
        </w:rPr>
      </w:pPr>
    </w:p>
    <w:p w14:paraId="7FBEA647" w14:textId="77777777" w:rsidR="005C239B" w:rsidRPr="005C239B" w:rsidRDefault="005C239B" w:rsidP="008710DF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4FFDF00C" w14:textId="275BADA7" w:rsidR="005C239B" w:rsidRPr="005C239B" w:rsidRDefault="005C239B" w:rsidP="005C239B">
      <w:pPr>
        <w:pStyle w:val="Heading2"/>
        <w:ind w:left="709" w:hanging="709"/>
        <w:rPr>
          <w:rFonts w:cs="Arial"/>
          <w:szCs w:val="22"/>
        </w:rPr>
      </w:pPr>
      <w:bookmarkStart w:id="134" w:name="_Toc166740237"/>
      <w:r>
        <w:t>4.5</w:t>
      </w:r>
      <w:r>
        <w:tab/>
        <w:t>ОТЧЕТ РЕДАКЦИОННОГО СОВЕТА О ПОДГОТОВКЕ ВТОРОГО ДОКЛАДА МОК О СОСТОЯНИИ МИРОВОГО ОКЕАНА (ДСМО)</w:t>
      </w:r>
      <w:r>
        <w:br/>
        <w:t>[</w:t>
      </w:r>
      <w:r w:rsidR="00355FF3">
        <w:rPr>
          <w:caps w:val="0"/>
        </w:rPr>
        <w:t>Реш</w:t>
      </w:r>
      <w:r>
        <w:t>.</w:t>
      </w:r>
      <w:r w:rsidR="00355FF3">
        <w:t xml:space="preserve"> </w:t>
      </w:r>
      <w:r>
        <w:t>A-32/4.2]</w:t>
      </w:r>
      <w:bookmarkEnd w:id="134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2410"/>
        <w:gridCol w:w="4960"/>
      </w:tblGrid>
      <w:tr w:rsidR="005C239B" w:rsidRPr="005C239B" w14:paraId="195AE991" w14:textId="77777777" w:rsidTr="00311333">
        <w:tc>
          <w:tcPr>
            <w:tcW w:w="2160" w:type="dxa"/>
            <w:shd w:val="clear" w:color="auto" w:fill="FFFF99"/>
            <w:tcMar>
              <w:top w:w="57" w:type="dxa"/>
              <w:bottom w:w="57" w:type="dxa"/>
            </w:tcMar>
          </w:tcPr>
          <w:p w14:paraId="5BEED8BF" w14:textId="2F6E30CE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Рабочий </w:t>
            </w:r>
            <w:r w:rsidR="00311333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fr-FR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</w:t>
            </w:r>
          </w:p>
        </w:tc>
        <w:tc>
          <w:tcPr>
            <w:tcW w:w="2410" w:type="dxa"/>
            <w:shd w:val="clear" w:color="auto" w:fill="FFFF99"/>
            <w:tcMar>
              <w:top w:w="57" w:type="dxa"/>
              <w:bottom w:w="57" w:type="dxa"/>
            </w:tcMar>
          </w:tcPr>
          <w:p w14:paraId="74FDEFCD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IOC/EC-57/4.5.Doc(1) </w:t>
            </w:r>
          </w:p>
        </w:tc>
        <w:tc>
          <w:tcPr>
            <w:tcW w:w="4960" w:type="dxa"/>
            <w:shd w:val="clear" w:color="auto" w:fill="FFFF99"/>
            <w:tcMar>
              <w:top w:w="57" w:type="dxa"/>
              <w:bottom w:w="57" w:type="dxa"/>
            </w:tcMar>
          </w:tcPr>
          <w:p w14:paraId="4CE57233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Отчет о подготовке второго доклада МОК о состоянии Мирового океана (ДСМО) (2024 г.) и рекомендации в отношении будущих изданий</w:t>
            </w:r>
          </w:p>
        </w:tc>
      </w:tr>
      <w:tr w:rsidR="005C239B" w:rsidRPr="005C239B" w14:paraId="5BD74B58" w14:textId="77777777" w:rsidTr="00311333">
        <w:tc>
          <w:tcPr>
            <w:tcW w:w="2160" w:type="dxa"/>
            <w:shd w:val="clear" w:color="auto" w:fill="FBD4B4"/>
            <w:tcMar>
              <w:top w:w="57" w:type="dxa"/>
              <w:bottom w:w="57" w:type="dxa"/>
            </w:tcMar>
          </w:tcPr>
          <w:p w14:paraId="4FBF2DC0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Информационный документ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744B02ED" w14:textId="643EE4E4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Серия технических докладов МОК,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вып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  <w:r w:rsidR="005852F5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№ 19</w:t>
            </w:r>
            <w:r w:rsidR="00637C74">
              <w:rPr>
                <w:rFonts w:ascii="Arial" w:hAnsi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960" w:type="dxa"/>
            <w:shd w:val="clear" w:color="auto" w:fill="auto"/>
            <w:tcMar>
              <w:top w:w="57" w:type="dxa"/>
              <w:bottom w:w="57" w:type="dxa"/>
            </w:tcMar>
          </w:tcPr>
          <w:p w14:paraId="7CBC38AD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Второй доклад МОК о состоянии Мирового океана (ДСМО)</w:t>
            </w:r>
          </w:p>
        </w:tc>
      </w:tr>
    </w:tbl>
    <w:p w14:paraId="6D724A9B" w14:textId="77777777" w:rsidR="005C239B" w:rsidRPr="00A141A8" w:rsidRDefault="005C239B" w:rsidP="005C239B">
      <w:pPr>
        <w:pStyle w:val="Marge"/>
        <w:spacing w:after="0"/>
        <w:rPr>
          <w:rFonts w:ascii="Arial" w:hAnsi="Arial" w:cs="Arial"/>
          <w:sz w:val="22"/>
          <w:szCs w:val="22"/>
        </w:rPr>
      </w:pPr>
    </w:p>
    <w:p w14:paraId="54A4FBC4" w14:textId="77777777" w:rsidR="005C239B" w:rsidRPr="005C239B" w:rsidRDefault="005C239B" w:rsidP="008710DF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Г-н Маттиас </w:t>
      </w:r>
      <w:proofErr w:type="spellStart"/>
      <w:r>
        <w:t>Вунх</w:t>
      </w:r>
      <w:proofErr w:type="spellEnd"/>
      <w:r>
        <w:t xml:space="preserve"> (Германия), член редакционного совета ДСМО, представил этот пункт повестки дня, сославшись на отчет редакционного совета и его рекомендации в отношении второго доклада МОК о состоянии океана (ДСМО) (документ IOC/A-32/4.2.Doc(1)). В новом ДСМО, опубликованном в июне 2024 г., дана характеристика его нынешнего состояния с точки зрения физических, химических, экологических, социально-экономических и управленческих аспектов, а также прогноз состояния Мирового океана на перспективу, основанный на результатах последних исследований и оценок, проведенных главным образом в рамках программ и проектов МОК. Основной акцент во втором издании ДСМО сделан на достижении семи ожидаемых в рамках Десятилетия </w:t>
      </w:r>
      <w:hyperlink r:id="rId35" w:history="1">
        <w:r>
          <w:rPr>
            <w:rStyle w:val="Hyperlink"/>
          </w:rPr>
          <w:t>результатов</w:t>
        </w:r>
      </w:hyperlink>
      <w:r>
        <w:t>. В публикации были использованы материалы, представленные 100 авторами из 29 стран.</w:t>
      </w:r>
    </w:p>
    <w:p w14:paraId="585B77ED" w14:textId="1D942A88" w:rsidR="005C239B" w:rsidRPr="005C239B" w:rsidRDefault="005C239B" w:rsidP="00311333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По словам г-на </w:t>
      </w:r>
      <w:proofErr w:type="spellStart"/>
      <w:r>
        <w:t>Вунха</w:t>
      </w:r>
      <w:proofErr w:type="spellEnd"/>
      <w:r>
        <w:t>, ключевую роль в определении охвата, критическом осмыслении и редактировании содержания доклада в период после июньской 2023 г. сессии Ассамблеи МОК сыграл редакционный совет ДСМО. В его состав вошли представители девяти государств. Основываясь на комментариях и замечаниях, озвученных в ходе 32-й сессии Ассамблеи МОК, Секретариат при поддержке редакционного совета уточнил концепцию ДСМО. Уточненная концепция была представлена государствам</w:t>
      </w:r>
      <w:r w:rsidR="00B05F6C" w:rsidRPr="00B05F6C">
        <w:t xml:space="preserve"> </w:t>
      </w:r>
      <w:r w:rsidR="00B05F6C">
        <w:t>–</w:t>
      </w:r>
      <w:r w:rsidR="00B05F6C" w:rsidRPr="00B05F6C">
        <w:t xml:space="preserve"> </w:t>
      </w:r>
      <w:r>
        <w:t xml:space="preserve">членам МОК в ходе двух консультативных </w:t>
      </w:r>
      <w:r>
        <w:lastRenderedPageBreak/>
        <w:t xml:space="preserve">совещаний, проведенных в онлайновом режиме 31 октября 2023 г. (см. циркулярное письмо </w:t>
      </w:r>
      <w:hyperlink r:id="rId36" w:history="1">
        <w:r>
          <w:rPr>
            <w:rStyle w:val="Hyperlink"/>
          </w:rPr>
          <w:t>№ 2963</w:t>
        </w:r>
      </w:hyperlink>
      <w:r>
        <w:t>). Отныне в концептуальном обосновании прямо указано, что целевой аудиторией ДСМО являются органы, отвечающие за формирование политики, а также СМИ, которые могут использовать доклад в качестве достоверного источника данных о состоянии Мирового океана. В нем также говорится, что основным источником данных при подготовке доклада стали программы МОК и связанные с ними проекты. При этом для освещения аспектов, касающихся достижения ожидаемых в рамках Десятилетия результатов, в ряде случаев в докладе были использованы данные, полученные от других международных организаций. В соответствии с достигнутой договоренностью ДСМО будет издаваться на регулярной основе, но при условии наличия необходимых для этого финансовых и людских ресурсов.</w:t>
      </w:r>
    </w:p>
    <w:p w14:paraId="4814A440" w14:textId="77777777" w:rsidR="005C239B" w:rsidRPr="005C239B" w:rsidRDefault="005C239B" w:rsidP="00311333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В заключение оратор предложил Совету одобрить регулярную подготовку ДСМО на основе уточненной концепции, отметив при этом, что доклад будет эволюционировать в плане содержания по мере развития научных знаний. </w:t>
      </w:r>
    </w:p>
    <w:tbl>
      <w:tblPr>
        <w:tblW w:w="0" w:type="auto"/>
        <w:shd w:val="clear" w:color="auto" w:fill="CCFFCC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5C239B" w:rsidRPr="005C239B" w14:paraId="7320155A" w14:textId="77777777" w:rsidTr="00B05F6C">
        <w:trPr>
          <w:trHeight w:val="5636"/>
        </w:trPr>
        <w:tc>
          <w:tcPr>
            <w:tcW w:w="9747" w:type="dxa"/>
            <w:shd w:val="clear" w:color="auto" w:fill="auto"/>
            <w:tcMar>
              <w:top w:w="113" w:type="dxa"/>
              <w:bottom w:w="113" w:type="dxa"/>
            </w:tcMar>
          </w:tcPr>
          <w:p w14:paraId="5AEE0D54" w14:textId="77777777" w:rsidR="005C239B" w:rsidRPr="005C239B" w:rsidRDefault="005C239B" w:rsidP="001B377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Реш. EC-57/4.5</w:t>
            </w:r>
          </w:p>
          <w:p w14:paraId="798246CC" w14:textId="77777777" w:rsidR="005C239B" w:rsidRPr="005C239B" w:rsidRDefault="005C239B" w:rsidP="001B377A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Отчет о подготовке второго доклада МОК о состоянии Мирового океана</w:t>
            </w:r>
          </w:p>
          <w:p w14:paraId="15E306E9" w14:textId="77777777" w:rsidR="005C239B" w:rsidRPr="005C239B" w:rsidRDefault="005C239B" w:rsidP="001B377A">
            <w:pPr>
              <w:spacing w:after="120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Исполнительный совет,</w:t>
            </w:r>
          </w:p>
          <w:p w14:paraId="418CC36E" w14:textId="77777777" w:rsidR="005C239B" w:rsidRPr="005C239B" w:rsidRDefault="005C239B" w:rsidP="0052306E">
            <w:pPr>
              <w:numPr>
                <w:ilvl w:val="0"/>
                <w:numId w:val="22"/>
              </w:numPr>
              <w:spacing w:after="240"/>
              <w:ind w:left="91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рассмотрев</w:t>
            </w:r>
            <w:r>
              <w:rPr>
                <w:rFonts w:ascii="Arial" w:hAnsi="Arial"/>
                <w:sz w:val="22"/>
                <w:szCs w:val="22"/>
              </w:rPr>
              <w:t xml:space="preserve"> документ IOC/EC-57/4.5.Doc(1),</w:t>
            </w:r>
          </w:p>
          <w:p w14:paraId="6F5922E1" w14:textId="0F629940" w:rsidR="007B1296" w:rsidRPr="007B1296" w:rsidRDefault="005C239B" w:rsidP="007B1296">
            <w:pPr>
              <w:numPr>
                <w:ilvl w:val="0"/>
                <w:numId w:val="22"/>
              </w:numPr>
              <w:spacing w:after="240"/>
              <w:ind w:left="91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с удовлетворением принимает к сведению</w:t>
            </w:r>
            <w:r>
              <w:rPr>
                <w:rFonts w:ascii="Arial" w:hAnsi="Arial"/>
                <w:sz w:val="22"/>
                <w:szCs w:val="22"/>
              </w:rPr>
              <w:t xml:space="preserve"> выход в свет второго доклада МОК о состоянии Мирового океана (2024 г.), опубликованного в Серии технических докладов МОК,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вып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 № 19</w:t>
            </w:r>
            <w:r w:rsidR="00637C74">
              <w:rPr>
                <w:rFonts w:ascii="Arial" w:hAnsi="Arial"/>
                <w:sz w:val="22"/>
                <w:szCs w:val="22"/>
              </w:rPr>
              <w:t>0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  <w:p w14:paraId="2E4CB8E6" w14:textId="32548403" w:rsidR="005C239B" w:rsidRPr="007B1296" w:rsidRDefault="005C239B" w:rsidP="007B1296">
            <w:pPr>
              <w:numPr>
                <w:ilvl w:val="0"/>
                <w:numId w:val="22"/>
              </w:numPr>
              <w:spacing w:after="240"/>
              <w:ind w:left="91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1296">
              <w:rPr>
                <w:rFonts w:ascii="Arial" w:hAnsi="Arial"/>
                <w:sz w:val="22"/>
                <w:szCs w:val="22"/>
                <w:u w:val="single"/>
              </w:rPr>
              <w:t>высоко оценивает</w:t>
            </w:r>
            <w:r w:rsidRPr="007B1296">
              <w:rPr>
                <w:rFonts w:ascii="Arial" w:hAnsi="Arial"/>
                <w:sz w:val="22"/>
                <w:szCs w:val="22"/>
              </w:rPr>
              <w:t xml:space="preserve"> работу редакционного совета ДСМО и его рекомендации;</w:t>
            </w:r>
          </w:p>
          <w:p w14:paraId="505E18AF" w14:textId="77777777" w:rsidR="005C239B" w:rsidRPr="005C239B" w:rsidRDefault="005C239B" w:rsidP="0052306E">
            <w:pPr>
              <w:numPr>
                <w:ilvl w:val="0"/>
                <w:numId w:val="22"/>
              </w:numPr>
              <w:spacing w:after="240"/>
              <w:ind w:left="91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с удовлетворением принимает к сведению</w:t>
            </w:r>
            <w:r>
              <w:rPr>
                <w:rFonts w:ascii="Arial" w:hAnsi="Arial"/>
                <w:sz w:val="22"/>
                <w:szCs w:val="22"/>
              </w:rPr>
              <w:t xml:space="preserve"> уточненную концепцию и проведение консультаций, о которых говорится в циркулярном письме МОК </w:t>
            </w:r>
            <w:hyperlink r:id="rId37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№ 2963</w:t>
              </w:r>
            </w:hyperlink>
            <w:r>
              <w:rPr>
                <w:rFonts w:ascii="Arial" w:hAnsi="Arial"/>
                <w:sz w:val="22"/>
                <w:szCs w:val="22"/>
              </w:rPr>
              <w:t>;</w:t>
            </w:r>
          </w:p>
          <w:p w14:paraId="44E5D634" w14:textId="77777777" w:rsidR="005C239B" w:rsidRPr="005C239B" w:rsidRDefault="005C239B" w:rsidP="0052306E">
            <w:pPr>
              <w:numPr>
                <w:ilvl w:val="0"/>
                <w:numId w:val="22"/>
              </w:numPr>
              <w:spacing w:after="240"/>
              <w:ind w:left="91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одобряет</w:t>
            </w:r>
            <w:r>
              <w:rPr>
                <w:rFonts w:ascii="Arial" w:hAnsi="Arial"/>
                <w:sz w:val="22"/>
                <w:szCs w:val="22"/>
              </w:rPr>
              <w:t xml:space="preserve"> координацию усилий и публикацию ДСМО на регулярной основе под руководством редакционного совета ДСМО и при условии наличия внебюджетных ресурсов;</w:t>
            </w:r>
          </w:p>
          <w:p w14:paraId="4057608F" w14:textId="77777777" w:rsidR="005C239B" w:rsidRPr="005C239B" w:rsidRDefault="005C239B" w:rsidP="0052306E">
            <w:pPr>
              <w:numPr>
                <w:ilvl w:val="0"/>
                <w:numId w:val="22"/>
              </w:numPr>
              <w:spacing w:after="240"/>
              <w:ind w:left="91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предлагает</w:t>
            </w:r>
            <w:r>
              <w:rPr>
                <w:rFonts w:ascii="Arial" w:hAnsi="Arial"/>
                <w:sz w:val="22"/>
                <w:szCs w:val="22"/>
              </w:rPr>
              <w:t xml:space="preserve"> государствам – членам МОК предоставить внебюджетные финансовые средства на подготовку доклада МОК о состоянии Мирового океана.</w:t>
            </w:r>
          </w:p>
        </w:tc>
      </w:tr>
    </w:tbl>
    <w:p w14:paraId="21802B60" w14:textId="77777777" w:rsidR="005C239B" w:rsidRPr="005C239B" w:rsidRDefault="005C239B" w:rsidP="007B1296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4D0CC0AA" w14:textId="58B7AC3E" w:rsidR="005C239B" w:rsidRPr="005C239B" w:rsidRDefault="005C239B" w:rsidP="005C239B">
      <w:pPr>
        <w:pStyle w:val="Heading2"/>
        <w:ind w:left="709" w:hanging="709"/>
        <w:rPr>
          <w:rFonts w:cs="Arial"/>
          <w:szCs w:val="22"/>
        </w:rPr>
      </w:pPr>
      <w:bookmarkStart w:id="135" w:name="_Toc166740238"/>
      <w:r>
        <w:t>4.6</w:t>
      </w:r>
      <w:r>
        <w:tab/>
        <w:t>ОСУЩЕСТВЛЕНИЕ СТРАТЕГИИ МОК В ОБЛАСТИ РАЗВИТИЯ ПОТЕНЦИАЛА НА 2023-2030 гг.</w:t>
      </w:r>
      <w:r>
        <w:br/>
        <w:t>[</w:t>
      </w:r>
      <w:r w:rsidR="00355FF3">
        <w:rPr>
          <w:caps w:val="0"/>
        </w:rPr>
        <w:t>Реш.</w:t>
      </w:r>
      <w:r>
        <w:t xml:space="preserve"> A-32/4.3]</w:t>
      </w:r>
      <w:bookmarkEnd w:id="135"/>
    </w:p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1877"/>
        <w:gridCol w:w="2482"/>
        <w:gridCol w:w="5456"/>
      </w:tblGrid>
      <w:tr w:rsidR="005C239B" w:rsidRPr="005C239B" w14:paraId="55CA9BE4" w14:textId="77777777" w:rsidTr="00C0634F">
        <w:tc>
          <w:tcPr>
            <w:tcW w:w="1877" w:type="dxa"/>
            <w:shd w:val="clear" w:color="auto" w:fill="FFFF99"/>
            <w:tcMar>
              <w:top w:w="57" w:type="dxa"/>
              <w:bottom w:w="57" w:type="dxa"/>
            </w:tcMar>
          </w:tcPr>
          <w:p w14:paraId="7D481BD6" w14:textId="298D7311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Рабочий </w:t>
            </w:r>
            <w:r w:rsidR="007B1296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fr-FR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</w:t>
            </w:r>
          </w:p>
        </w:tc>
        <w:tc>
          <w:tcPr>
            <w:tcW w:w="2482" w:type="dxa"/>
            <w:shd w:val="clear" w:color="auto" w:fill="FFFF99"/>
            <w:tcMar>
              <w:top w:w="57" w:type="dxa"/>
              <w:bottom w:w="57" w:type="dxa"/>
            </w:tcMar>
          </w:tcPr>
          <w:p w14:paraId="5260D807" w14:textId="77777777" w:rsidR="005C239B" w:rsidRPr="00355FF3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FF3">
              <w:rPr>
                <w:rFonts w:ascii="Arial" w:hAnsi="Arial"/>
                <w:color w:val="000000"/>
                <w:sz w:val="22"/>
                <w:szCs w:val="22"/>
              </w:rPr>
              <w:t xml:space="preserve">IOC/EC-57/4.6.Doc(1) </w:t>
            </w:r>
          </w:p>
        </w:tc>
        <w:tc>
          <w:tcPr>
            <w:tcW w:w="5456" w:type="dxa"/>
            <w:shd w:val="clear" w:color="auto" w:fill="FFFF99"/>
            <w:tcMar>
              <w:top w:w="57" w:type="dxa"/>
              <w:bottom w:w="57" w:type="dxa"/>
            </w:tcMar>
          </w:tcPr>
          <w:p w14:paraId="684C64F9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Осуществление стратегии МОК в области развития потенциала на 2023-2030 гг. </w:t>
            </w:r>
          </w:p>
        </w:tc>
      </w:tr>
      <w:tr w:rsidR="005C239B" w:rsidRPr="005C239B" w14:paraId="6D224D7F" w14:textId="77777777" w:rsidTr="00C0634F">
        <w:tc>
          <w:tcPr>
            <w:tcW w:w="1877" w:type="dxa"/>
            <w:shd w:val="clear" w:color="auto" w:fill="E2EFD9"/>
            <w:tcMar>
              <w:top w:w="57" w:type="dxa"/>
              <w:bottom w:w="57" w:type="dxa"/>
            </w:tcMar>
          </w:tcPr>
          <w:p w14:paraId="58CB6832" w14:textId="77777777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Доклад</w:t>
            </w:r>
          </w:p>
        </w:tc>
        <w:tc>
          <w:tcPr>
            <w:tcW w:w="2482" w:type="dxa"/>
            <w:shd w:val="clear" w:color="auto" w:fill="auto"/>
            <w:tcMar>
              <w:top w:w="57" w:type="dxa"/>
              <w:bottom w:w="57" w:type="dxa"/>
            </w:tcMar>
          </w:tcPr>
          <w:p w14:paraId="0E69355C" w14:textId="77777777" w:rsidR="005C239B" w:rsidRPr="00355FF3" w:rsidRDefault="00795B47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8" w:history="1">
              <w:r w:rsidR="005C239B" w:rsidRPr="00355FF3">
                <w:rPr>
                  <w:rStyle w:val="Hyperlink"/>
                  <w:rFonts w:ascii="Arial" w:hAnsi="Arial"/>
                  <w:sz w:val="22"/>
                  <w:szCs w:val="22"/>
                </w:rPr>
                <w:t>IOC/GE-CD-V/3</w:t>
              </w:r>
            </w:hyperlink>
          </w:p>
        </w:tc>
        <w:tc>
          <w:tcPr>
            <w:tcW w:w="5456" w:type="dxa"/>
            <w:shd w:val="clear" w:color="auto" w:fill="auto"/>
            <w:tcMar>
              <w:top w:w="57" w:type="dxa"/>
              <w:bottom w:w="57" w:type="dxa"/>
            </w:tcMar>
          </w:tcPr>
          <w:p w14:paraId="7530D32D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Отчет о пятом совещании группы экспертов МОК по развитию потенциала (ЮНЕСКО, 27-29 марта 2014 г., Париж, Франция)</w:t>
            </w:r>
          </w:p>
        </w:tc>
      </w:tr>
      <w:tr w:rsidR="005C239B" w:rsidRPr="005C239B" w14:paraId="6595EEA8" w14:textId="77777777" w:rsidTr="00C0634F">
        <w:tc>
          <w:tcPr>
            <w:tcW w:w="1877" w:type="dxa"/>
            <w:shd w:val="clear" w:color="auto" w:fill="D5DCE4"/>
            <w:tcMar>
              <w:top w:w="57" w:type="dxa"/>
              <w:bottom w:w="57" w:type="dxa"/>
            </w:tcMar>
          </w:tcPr>
          <w:p w14:paraId="5803ED8F" w14:textId="32841138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Справочные </w:t>
            </w:r>
            <w:r w:rsidR="007B1296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fr-FR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документы</w:t>
            </w:r>
          </w:p>
        </w:tc>
        <w:tc>
          <w:tcPr>
            <w:tcW w:w="2482" w:type="dxa"/>
            <w:shd w:val="clear" w:color="auto" w:fill="auto"/>
            <w:tcMar>
              <w:top w:w="57" w:type="dxa"/>
              <w:bottom w:w="57" w:type="dxa"/>
            </w:tcMar>
          </w:tcPr>
          <w:p w14:paraId="29BD5A7F" w14:textId="77777777" w:rsidR="005C239B" w:rsidRPr="00355FF3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FF3">
              <w:rPr>
                <w:rFonts w:ascii="Arial" w:hAnsi="Arial"/>
                <w:sz w:val="22"/>
                <w:szCs w:val="22"/>
              </w:rPr>
              <w:t>IOC/INF-1433</w:t>
            </w:r>
          </w:p>
        </w:tc>
        <w:tc>
          <w:tcPr>
            <w:tcW w:w="5456" w:type="dxa"/>
            <w:shd w:val="clear" w:color="auto" w:fill="auto"/>
            <w:tcMar>
              <w:top w:w="57" w:type="dxa"/>
              <w:bottom w:w="57" w:type="dxa"/>
            </w:tcMar>
          </w:tcPr>
          <w:p w14:paraId="604581EB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Стратегия МОК в области развития потенциала на 2023-2030 гг.</w:t>
            </w:r>
          </w:p>
        </w:tc>
      </w:tr>
      <w:tr w:rsidR="005C239B" w:rsidRPr="005C239B" w14:paraId="7C188EFF" w14:textId="77777777" w:rsidTr="00C0634F">
        <w:tc>
          <w:tcPr>
            <w:tcW w:w="1877" w:type="dxa"/>
            <w:shd w:val="clear" w:color="auto" w:fill="D5DCE4"/>
            <w:tcMar>
              <w:top w:w="57" w:type="dxa"/>
              <w:bottom w:w="57" w:type="dxa"/>
            </w:tcMar>
          </w:tcPr>
          <w:p w14:paraId="43F19E83" w14:textId="77777777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482" w:type="dxa"/>
            <w:shd w:val="clear" w:color="auto" w:fill="auto"/>
            <w:tcMar>
              <w:top w:w="57" w:type="dxa"/>
              <w:bottom w:w="57" w:type="dxa"/>
            </w:tcMar>
          </w:tcPr>
          <w:p w14:paraId="275AEE9E" w14:textId="77777777" w:rsidR="005C239B" w:rsidRPr="00355FF3" w:rsidRDefault="00795B47" w:rsidP="001B377A">
            <w:pPr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="005C239B" w:rsidRPr="00355FF3">
                <w:rPr>
                  <w:rStyle w:val="Hyperlink"/>
                  <w:rFonts w:ascii="Arial" w:hAnsi="Arial"/>
                  <w:sz w:val="22"/>
                  <w:szCs w:val="22"/>
                </w:rPr>
                <w:t>IOC-32/4.3.Doc(2)</w:t>
              </w:r>
            </w:hyperlink>
          </w:p>
        </w:tc>
        <w:tc>
          <w:tcPr>
            <w:tcW w:w="5456" w:type="dxa"/>
            <w:shd w:val="clear" w:color="auto" w:fill="auto"/>
            <w:tcMar>
              <w:top w:w="57" w:type="dxa"/>
              <w:bottom w:w="57" w:type="dxa"/>
            </w:tcMar>
          </w:tcPr>
          <w:p w14:paraId="6680F3DF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План информационно-пропагандистского обеспечения по содействию популяризации и распространению текста Стратегии МОК в области развития потенциала на 2023-2030 гг.</w:t>
            </w:r>
          </w:p>
        </w:tc>
      </w:tr>
    </w:tbl>
    <w:p w14:paraId="5532B66F" w14:textId="77777777" w:rsidR="005C239B" w:rsidRPr="00A141A8" w:rsidRDefault="005C239B" w:rsidP="005C239B">
      <w:pPr>
        <w:pStyle w:val="Marge"/>
        <w:spacing w:after="0"/>
        <w:rPr>
          <w:rFonts w:ascii="Arial" w:hAnsi="Arial" w:cs="Arial"/>
          <w:sz w:val="22"/>
          <w:szCs w:val="22"/>
        </w:rPr>
      </w:pPr>
    </w:p>
    <w:p w14:paraId="158DAC73" w14:textId="0E8CD052" w:rsidR="005C239B" w:rsidRPr="005C239B" w:rsidRDefault="005C239B" w:rsidP="00C0634F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Этот пункт повестки дня представил д-р Алан Эванс, председатель группы экспертов МОК по развитию потенциала (ГЭМОК-РП). Он напомнил о решениях, которыми руководствовалась в своей работе группа с момента ее создания в 2017 г. (решение </w:t>
      </w:r>
      <w:hyperlink r:id="rId40" w:history="1">
        <w:r>
          <w:rPr>
            <w:rStyle w:val="Hyperlink"/>
          </w:rPr>
          <w:t>IOC-XXIX/10.1</w:t>
        </w:r>
      </w:hyperlink>
      <w:r>
        <w:t xml:space="preserve">) до поручения ей в 2021 г. задания провести обзор действующей стратегии МОК в области развития потенциала и подготовить предложения по популяризации и распространению текста Стратегии  (решение </w:t>
      </w:r>
      <w:hyperlink r:id="rId41" w:history="1">
        <w:r>
          <w:rPr>
            <w:rStyle w:val="Hyperlink"/>
          </w:rPr>
          <w:t>A-31/3.5.3</w:t>
        </w:r>
      </w:hyperlink>
      <w:r>
        <w:t>). Он напомнил также, что на протяжении ряда лет в задачу группы входило оказание международным и региональным программам содействия в оценке потребностей в области развити</w:t>
      </w:r>
      <w:r w:rsidR="00131D4B">
        <w:t>я</w:t>
      </w:r>
      <w:r>
        <w:t xml:space="preserve"> потенциала, разработке соответствующих планов работы и мобилизации ресурсов, а также консультирование указанных программ в отношении подходящих методов и инструментов развития потенциала.</w:t>
      </w:r>
    </w:p>
    <w:p w14:paraId="771D6F5F" w14:textId="77777777" w:rsidR="005C239B" w:rsidRPr="005C239B" w:rsidRDefault="005C239B" w:rsidP="00C0634F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Своим решением </w:t>
      </w:r>
      <w:hyperlink r:id="rId42" w:history="1">
        <w:r>
          <w:rPr>
            <w:rStyle w:val="Hyperlink"/>
          </w:rPr>
          <w:t>IOC-32/4.3</w:t>
        </w:r>
      </w:hyperlink>
      <w:r>
        <w:t xml:space="preserve"> Ассамблея утвердила на своей 32-й сессии стратегию МОК в области развития потенциала на 2023-2030 гг., изложенную в документе IOC/INF-1433, а также соответствующий план ее информационно-пропагандистского обеспечения </w:t>
      </w:r>
      <w:r>
        <w:rPr>
          <w:color w:val="000000"/>
        </w:rPr>
        <w:t xml:space="preserve">(документ </w:t>
      </w:r>
      <w:hyperlink r:id="rId43" w:history="1">
        <w:r>
          <w:rPr>
            <w:rStyle w:val="Hyperlink"/>
          </w:rPr>
          <w:t>IOC-32/4.3.Doc(2)</w:t>
        </w:r>
      </w:hyperlink>
      <w:r>
        <w:t>).</w:t>
      </w:r>
    </w:p>
    <w:p w14:paraId="3F46872C" w14:textId="77777777" w:rsidR="005C239B" w:rsidRPr="005C239B" w:rsidRDefault="005C239B" w:rsidP="00C0634F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Д-р Эванс кратко рассказал о дискуссиях, состоявшихся в феврале 2024 г. в ходе пятого совещания группы экспертов МОК по развитию потенциала (см. отчет </w:t>
      </w:r>
      <w:hyperlink r:id="rId44" w:history="1">
        <w:r>
          <w:rPr>
            <w:rStyle w:val="Hyperlink"/>
          </w:rPr>
          <w:t>IOC/GE-CD-V/3</w:t>
        </w:r>
      </w:hyperlink>
      <w:r>
        <w:t xml:space="preserve">). Несмотря на выполненное группой поручение 31-й сессии Ассамблеи реализация новой стратегии МОК в области развития потенциала требует принятия дополнительных мер, таких как разработка плана осуществления стратегии, увязка с новыми инструментами в области РП, созданными в рамках Десятилетия науки об океане, включая Центр по развитию потенциала (ЦРП) и </w:t>
      </w:r>
      <w:hyperlink r:id="rId45" w:history="1">
        <w:r>
          <w:rPr>
            <w:rStyle w:val="Hyperlink"/>
          </w:rPr>
          <w:t>экспертный доклад по приоритетной задаче 9 Десятилетия</w:t>
        </w:r>
      </w:hyperlink>
      <w:r>
        <w:t>, озаглавленный «Развитие навыков, знаний и технологий для всех», создание веб-портала по тематике развития потенциала в области морских наук, а также продолжение работы с целевой аудиторией и популяризация новой стратегии. По мнению группы экспертов и Секретариата, дальнейшее выполнение группой своих задач, касающихся информационного обеспечения и консультативной поддержки Секретариата МОК в вопросах развития потенциала в контексте реализации новой стратегии, окажет положительное воздействие на осуществление нынешних и будущих инициатив и усилий в области РП в поддержку шести направлений работы, предусмотренных в новой стратегии.</w:t>
      </w:r>
    </w:p>
    <w:p w14:paraId="0FBC7FF9" w14:textId="77777777" w:rsidR="005C239B" w:rsidRPr="005C239B" w:rsidRDefault="005C239B" w:rsidP="00C0634F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В ходе пятого совещания круг ведения группы экспертов был приведен в соответствие с положениями новой стратегии, включая план ее реализации, с итогами консультаций с руководством международных программ и региональными вспомогательными органами в отношении их планов работы в области РП, а также с целями, предусмотренными в этой области в рамках Десятилетия ООН, посвященного науке об океане в интересах устойчивого развития.</w:t>
      </w:r>
    </w:p>
    <w:p w14:paraId="4D8636E4" w14:textId="4FF626AE" w:rsidR="005C239B" w:rsidRPr="005C239B" w:rsidRDefault="005C239B" w:rsidP="00C0634F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В заключение д-р Эванс пояснил, что в связи с невозможностью начала работы над планом осуществления стратегии МОК в области развития потенциала на 2023-2030 гг. до ее утверж</w:t>
      </w:r>
      <w:r w:rsidR="00173A8F">
        <w:softHyphen/>
      </w:r>
      <w:r>
        <w:t xml:space="preserve">дения на 32-й сессии Ассамблеи, было решено предложить Исполнительному совету продлить срок полномочий группы с пересмотренным кругом ведения и постараться утвердить обновленный круг ведения на нынешней сессии Исполнительного совета. </w:t>
      </w:r>
    </w:p>
    <w:tbl>
      <w:tblPr>
        <w:tblW w:w="0" w:type="auto"/>
        <w:shd w:val="clear" w:color="auto" w:fill="CCFFCC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5C239B" w:rsidRPr="005C239B" w14:paraId="585DB29E" w14:textId="77777777" w:rsidTr="001B377A">
        <w:trPr>
          <w:trHeight w:val="604"/>
        </w:trPr>
        <w:tc>
          <w:tcPr>
            <w:tcW w:w="9747" w:type="dxa"/>
            <w:shd w:val="clear" w:color="auto" w:fill="CCFFCC"/>
            <w:tcMar>
              <w:top w:w="113" w:type="dxa"/>
              <w:bottom w:w="113" w:type="dxa"/>
            </w:tcMar>
          </w:tcPr>
          <w:p w14:paraId="30F4B4F3" w14:textId="77777777" w:rsidR="005C239B" w:rsidRPr="005C239B" w:rsidRDefault="005C239B" w:rsidP="0009701D">
            <w:pPr>
              <w:keepNext/>
              <w:spacing w:after="1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lastRenderedPageBreak/>
              <w:t>Реш. EC-57/4.6</w:t>
            </w:r>
          </w:p>
          <w:p w14:paraId="36CEAC3D" w14:textId="77777777" w:rsidR="005C239B" w:rsidRPr="005C239B" w:rsidRDefault="005C239B" w:rsidP="0009701D">
            <w:pPr>
              <w:keepNext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Осуществление стратегии МОК в области развития потенциала на 2023-2030 гг.</w:t>
            </w:r>
          </w:p>
          <w:p w14:paraId="31B27175" w14:textId="77777777" w:rsidR="005C239B" w:rsidRPr="005C239B" w:rsidRDefault="005C239B" w:rsidP="0009701D">
            <w:pPr>
              <w:keepNext/>
              <w:spacing w:after="120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Исполнительный совет,</w:t>
            </w:r>
          </w:p>
          <w:p w14:paraId="25B7726B" w14:textId="77777777" w:rsidR="005C239B" w:rsidRPr="005C239B" w:rsidRDefault="005C239B" w:rsidP="0009701D">
            <w:pPr>
              <w:keepNext/>
              <w:numPr>
                <w:ilvl w:val="0"/>
                <w:numId w:val="27"/>
              </w:numPr>
              <w:spacing w:before="120" w:after="120"/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рассмотрев</w:t>
            </w:r>
            <w:r>
              <w:rPr>
                <w:rFonts w:ascii="Arial" w:hAnsi="Arial"/>
                <w:sz w:val="22"/>
                <w:szCs w:val="22"/>
              </w:rPr>
              <w:t xml:space="preserve"> документ IOC/EC-57/4.6.Doc(1) и отчет IOC/GE-CD-V/3,</w:t>
            </w:r>
          </w:p>
          <w:p w14:paraId="09AD2F58" w14:textId="19DB489B" w:rsidR="005C239B" w:rsidRPr="005C239B" w:rsidRDefault="005C239B" w:rsidP="0009701D">
            <w:pPr>
              <w:keepNext/>
              <w:numPr>
                <w:ilvl w:val="0"/>
                <w:numId w:val="27"/>
              </w:numPr>
              <w:spacing w:before="100" w:beforeAutospacing="1" w:after="120"/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признавая</w:t>
            </w:r>
            <w:r>
              <w:rPr>
                <w:rFonts w:ascii="Arial" w:hAnsi="Arial"/>
                <w:sz w:val="22"/>
                <w:szCs w:val="22"/>
              </w:rPr>
              <w:t xml:space="preserve"> важность развития потенциала в качестве одного из шести функциональных направлений деятельности в рамках Среднесрочной стратегии МОК на 2022</w:t>
            </w:r>
            <w:r w:rsidR="00173A8F"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t>2029 гг., дающей всем государствам-членам возможность с выгодой для себя участвовать в исследовании Мирового океана и в океанографическом обслуживании, что имеет критически важное значение для обеспечения устойчивого развития и благополучия людей, живущих на нашей на планете,</w:t>
            </w:r>
          </w:p>
          <w:p w14:paraId="53FDE67C" w14:textId="77777777" w:rsidR="005C239B" w:rsidRPr="005C239B" w:rsidRDefault="005C239B" w:rsidP="0009701D">
            <w:pPr>
              <w:keepNext/>
              <w:numPr>
                <w:ilvl w:val="0"/>
                <w:numId w:val="27"/>
              </w:numPr>
              <w:spacing w:before="100" w:beforeAutospacing="1" w:after="120"/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напоминая</w:t>
            </w:r>
            <w:r>
              <w:rPr>
                <w:rFonts w:ascii="Arial" w:hAnsi="Arial"/>
                <w:sz w:val="22"/>
                <w:szCs w:val="22"/>
              </w:rPr>
              <w:t xml:space="preserve"> об утвержденной Ассамблеей в решении A-32/4.3 стратегии МОК в области развития потенциала на 2023-2030 гг.,</w:t>
            </w:r>
          </w:p>
          <w:p w14:paraId="4E8000A2" w14:textId="77777777" w:rsidR="005C239B" w:rsidRPr="005C239B" w:rsidRDefault="005C239B" w:rsidP="0009701D">
            <w:pPr>
              <w:keepNext/>
              <w:numPr>
                <w:ilvl w:val="0"/>
                <w:numId w:val="27"/>
              </w:numPr>
              <w:spacing w:before="100" w:beforeAutospacing="1" w:after="120"/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памятуя</w:t>
            </w:r>
            <w:r>
              <w:rPr>
                <w:rFonts w:ascii="Arial" w:hAnsi="Arial"/>
                <w:sz w:val="22"/>
                <w:szCs w:val="22"/>
              </w:rPr>
              <w:t xml:space="preserve"> о задаче ГЭМОК-РП оказывать Секретариату информационную поддержку и при необходимости содействие в осуществлении инициатив МОК в области развития потенциала,</w:t>
            </w:r>
          </w:p>
          <w:p w14:paraId="1FA51BAC" w14:textId="77777777" w:rsidR="005C239B" w:rsidRPr="005C239B" w:rsidRDefault="005C239B" w:rsidP="0009701D">
            <w:pPr>
              <w:keepNext/>
              <w:numPr>
                <w:ilvl w:val="0"/>
                <w:numId w:val="27"/>
              </w:numPr>
              <w:spacing w:before="100" w:beforeAutospacing="1" w:after="120"/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постановляет</w:t>
            </w:r>
            <w:r>
              <w:rPr>
                <w:rFonts w:ascii="Arial" w:hAnsi="Arial"/>
                <w:sz w:val="22"/>
                <w:szCs w:val="22"/>
              </w:rPr>
              <w:t xml:space="preserve"> продлить полномочия группы экспертов МОК по развитию потенциала и пересмотреть ее круг ведения в соответствии с приложением к настоящему решению;</w:t>
            </w:r>
          </w:p>
          <w:p w14:paraId="1C2360A4" w14:textId="77777777" w:rsidR="005C239B" w:rsidRPr="005C239B" w:rsidRDefault="005C239B" w:rsidP="0009701D">
            <w:pPr>
              <w:keepNext/>
              <w:numPr>
                <w:ilvl w:val="0"/>
                <w:numId w:val="27"/>
              </w:numPr>
              <w:spacing w:after="120"/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просит</w:t>
            </w:r>
            <w:r>
              <w:rPr>
                <w:rFonts w:ascii="Arial" w:hAnsi="Arial"/>
                <w:sz w:val="22"/>
                <w:szCs w:val="22"/>
              </w:rPr>
              <w:t xml:space="preserve"> Исполнительного секретаря представить соответствующий доклад Ассамблее МОК на ее 33-й сессии.</w:t>
            </w:r>
          </w:p>
          <w:p w14:paraId="143F2E2D" w14:textId="77777777" w:rsidR="005C239B" w:rsidRPr="005C239B" w:rsidRDefault="005C239B" w:rsidP="0009701D">
            <w:pPr>
              <w:keepNext/>
              <w:spacing w:after="1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Приложение к </w:t>
            </w:r>
            <w:r>
              <w:rPr>
                <w:rFonts w:ascii="Arial" w:hAnsi="Arial"/>
                <w:sz w:val="22"/>
                <w:szCs w:val="22"/>
                <w:u w:val="single"/>
              </w:rPr>
              <w:t>решению EC-57/4.6</w:t>
            </w:r>
          </w:p>
          <w:p w14:paraId="56DB2979" w14:textId="734A7F84" w:rsidR="005C239B" w:rsidRPr="005C239B" w:rsidRDefault="00637C74" w:rsidP="0009701D">
            <w:pPr>
              <w:keepNext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</w:t>
            </w:r>
            <w:r w:rsidR="005C239B">
              <w:rPr>
                <w:rFonts w:ascii="Arial" w:hAnsi="Arial"/>
                <w:b/>
                <w:bCs/>
                <w:sz w:val="22"/>
                <w:szCs w:val="22"/>
              </w:rPr>
              <w:t>руг ведения группы экспертов МОК по развитию потенциала (ГЭМОК-РП)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br/>
            </w:r>
            <w:r w:rsidR="00915F6C">
              <w:rPr>
                <w:rFonts w:ascii="Arial" w:hAnsi="Arial"/>
                <w:b/>
                <w:bCs/>
                <w:sz w:val="22"/>
                <w:szCs w:val="22"/>
              </w:rPr>
              <w:t>[Проект]</w:t>
            </w:r>
          </w:p>
          <w:p w14:paraId="30D2D87B" w14:textId="6FED8D21" w:rsidR="005C239B" w:rsidRPr="005C239B" w:rsidRDefault="005C239B" w:rsidP="0009701D">
            <w:pPr>
              <w:keepNext/>
              <w:spacing w:after="120"/>
              <w:ind w:left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 состав группы экспертов МОК по развитию потенциала (ГЭМОК-РП) входят специалисты, предложенные государствами</w:t>
            </w:r>
            <w:r w:rsidR="005713F2" w:rsidRPr="005713F2">
              <w:rPr>
                <w:rFonts w:ascii="Arial" w:hAnsi="Arial"/>
                <w:sz w:val="22"/>
                <w:szCs w:val="22"/>
              </w:rPr>
              <w:t xml:space="preserve"> </w:t>
            </w:r>
            <w:r w:rsidR="005713F2">
              <w:rPr>
                <w:rFonts w:ascii="Arial" w:hAnsi="Arial"/>
                <w:sz w:val="22"/>
                <w:szCs w:val="22"/>
              </w:rPr>
              <w:t>–</w:t>
            </w:r>
            <w:r w:rsidR="005713F2" w:rsidRPr="005713F2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членами МОК в ответ на запрос о выдвижении кандидатур, распространенный циркулярным письмом с подробной информацией относительно членства в ГЭМОК-РП.</w:t>
            </w:r>
          </w:p>
          <w:p w14:paraId="23C7B223" w14:textId="77777777" w:rsidR="005C239B" w:rsidRPr="005C239B" w:rsidRDefault="005C239B" w:rsidP="0009701D">
            <w:pPr>
              <w:keepNext/>
              <w:spacing w:after="120"/>
              <w:ind w:left="284"/>
              <w:jc w:val="both"/>
              <w:rPr>
                <w:rFonts w:ascii="Arial" w:eastAsia="Yu Mincho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Группа экспертов МОК по развитию потенциала (ГЭМОК-РП) отвечает за выполнение следующих задач:</w:t>
            </w:r>
          </w:p>
          <w:p w14:paraId="3F09BF2F" w14:textId="77777777" w:rsidR="005C239B" w:rsidRPr="005C239B" w:rsidRDefault="005C239B" w:rsidP="0009701D">
            <w:pPr>
              <w:keepNext/>
              <w:numPr>
                <w:ilvl w:val="0"/>
                <w:numId w:val="28"/>
              </w:numPr>
              <w:spacing w:after="120"/>
              <w:ind w:left="993" w:hanging="434"/>
              <w:jc w:val="both"/>
              <w:rPr>
                <w:rFonts w:ascii="Arial" w:eastAsia="Yu Mincho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оказание содействия международным и региональным программам в целях единообразного проведения оценки потребностей в развитии потенциала;</w:t>
            </w:r>
          </w:p>
          <w:p w14:paraId="73F83913" w14:textId="77777777" w:rsidR="005C239B" w:rsidRPr="005C239B" w:rsidRDefault="005C239B" w:rsidP="0009701D">
            <w:pPr>
              <w:keepNext/>
              <w:numPr>
                <w:ilvl w:val="0"/>
                <w:numId w:val="28"/>
              </w:numPr>
              <w:spacing w:after="120"/>
              <w:ind w:left="980" w:hanging="421"/>
              <w:jc w:val="both"/>
              <w:rPr>
                <w:rFonts w:ascii="Arial" w:eastAsia="Yu Mincho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оказание содействия международным и региональным программам в разработке учитывающих программные и региональные приоритеты планов работы, касающихся развития потенциала, на основе стратегии МОК в области РП и результатов оценки соответствующих потребностей с опорой на осуществляемые в этой области мероприятия и существующую инфраструктуру обучения и подготовки кадров;</w:t>
            </w:r>
          </w:p>
          <w:p w14:paraId="14B2874A" w14:textId="77777777" w:rsidR="005C239B" w:rsidRPr="005C239B" w:rsidRDefault="005C239B" w:rsidP="0009701D">
            <w:pPr>
              <w:keepNext/>
              <w:numPr>
                <w:ilvl w:val="0"/>
                <w:numId w:val="28"/>
              </w:numPr>
              <w:spacing w:after="120"/>
              <w:ind w:left="980" w:hanging="421"/>
              <w:jc w:val="both"/>
              <w:rPr>
                <w:rFonts w:ascii="Arial" w:eastAsia="Yu Mincho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разработка плана реализации стратегии МОК в области развития потенциала на 2023-2030 гг. для представления на 33-й сессии Ассамблеи в июне 2025 г.;</w:t>
            </w:r>
          </w:p>
          <w:p w14:paraId="1FFCDF40" w14:textId="77777777" w:rsidR="005C239B" w:rsidRPr="005C239B" w:rsidRDefault="005C239B" w:rsidP="0009701D">
            <w:pPr>
              <w:keepNext/>
              <w:numPr>
                <w:ilvl w:val="0"/>
                <w:numId w:val="28"/>
              </w:numPr>
              <w:spacing w:after="120"/>
              <w:ind w:left="980" w:hanging="421"/>
              <w:jc w:val="both"/>
              <w:rPr>
                <w:rFonts w:ascii="Arial" w:eastAsia="Yu Mincho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предоставление международным и региональным программам рекомендаций по вопросам осуществления стратегии МОК в области развития потенциала на 2023-2030 гг., а также соответствующих методик и инструментов в целях повышения качества и результативности усилий в области РП;</w:t>
            </w:r>
          </w:p>
          <w:p w14:paraId="430D6B06" w14:textId="77777777" w:rsidR="005C239B" w:rsidRPr="005C239B" w:rsidRDefault="005C239B" w:rsidP="0009701D">
            <w:pPr>
              <w:keepNext/>
              <w:numPr>
                <w:ilvl w:val="0"/>
                <w:numId w:val="28"/>
              </w:numPr>
              <w:spacing w:after="120"/>
              <w:ind w:left="980" w:hanging="421"/>
              <w:jc w:val="both"/>
              <w:rPr>
                <w:rFonts w:ascii="Arial" w:eastAsia="Yu Mincho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консультирование Секретариата МОК по вопросам планирования и проведения раз в два года в тесном сотрудничестве с регионами опроса, посвященного развитию потенциала, по возможности с использованием механизмов мониторинга/системы показателей результативности осуществления стратегии в области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развития потенциала, а также с учетом других методов обследования, таких как региональные обзоры, научные конференции и т.п.;</w:t>
            </w:r>
          </w:p>
          <w:p w14:paraId="74CF97AC" w14:textId="77777777" w:rsidR="005C239B" w:rsidRPr="005C239B" w:rsidRDefault="005C239B" w:rsidP="0009701D">
            <w:pPr>
              <w:keepNext/>
              <w:numPr>
                <w:ilvl w:val="0"/>
                <w:numId w:val="28"/>
              </w:numPr>
              <w:spacing w:after="120"/>
              <w:ind w:left="980" w:hanging="421"/>
              <w:jc w:val="both"/>
              <w:rPr>
                <w:rFonts w:ascii="Arial" w:eastAsia="Yu Mincho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обеспечение координации усилий группы экспертов и ее целевых групп с деятельностью по подготовке ГДСО и развитию потенциала в контексте проведения Десятилетия Организации Объединенных Наций, посвященного науке об океане в интересах устойчивого развития, в том числе создания центра по развитию потенциала в рамках Десятилетия науки об океане и рабочей группы 9, учрежденной в рамках механизма «На пути к 2030 году»;</w:t>
            </w:r>
          </w:p>
          <w:p w14:paraId="5AFAA129" w14:textId="77777777" w:rsidR="005C239B" w:rsidRPr="005C239B" w:rsidRDefault="005C239B" w:rsidP="0009701D">
            <w:pPr>
              <w:keepNext/>
              <w:numPr>
                <w:ilvl w:val="0"/>
                <w:numId w:val="28"/>
              </w:numPr>
              <w:spacing w:after="120"/>
              <w:ind w:left="980" w:hanging="421"/>
              <w:jc w:val="both"/>
              <w:rPr>
                <w:rFonts w:ascii="Arial" w:eastAsia="Yu Mincho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методологическое сопровождение усилий по дальнейшему совершенствованию и популяризации веб-портала по тематике развития потенциала в области морских наук посредством демонстрации возможностей увязки мероприятий в области РП и сотрудничества между потребителями и провайдерами соответствующих услуг, а также другими международными, региональными и национальными организациями;</w:t>
            </w:r>
          </w:p>
          <w:p w14:paraId="5C058F83" w14:textId="77777777" w:rsidR="005C239B" w:rsidRPr="005C239B" w:rsidRDefault="005C239B" w:rsidP="0009701D">
            <w:pPr>
              <w:keepNext/>
              <w:numPr>
                <w:ilvl w:val="0"/>
                <w:numId w:val="28"/>
              </w:numPr>
              <w:spacing w:after="120"/>
              <w:ind w:left="980" w:hanging="421"/>
              <w:jc w:val="both"/>
              <w:rPr>
                <w:rFonts w:ascii="Arial" w:eastAsia="Yu Mincho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консультирование государств-членов по вопросам популяризации и распространения текста Стратегии МОК в области развития потенциала на 2023-2030 гг. в целях содействия планированию и осуществлению ими усилий по наращиванию потенциала.</w:t>
            </w:r>
          </w:p>
          <w:p w14:paraId="5C5F8AD3" w14:textId="4C9BC115" w:rsidR="005C239B" w:rsidRPr="005C239B" w:rsidRDefault="005C239B" w:rsidP="0009701D">
            <w:pPr>
              <w:keepNext/>
              <w:numPr>
                <w:ilvl w:val="0"/>
                <w:numId w:val="28"/>
              </w:numPr>
              <w:spacing w:after="120"/>
              <w:ind w:left="980" w:hanging="421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</w:rPr>
              <w:t>представление достигнутых результатов на 33-й сессии Ассамблеи МОК.</w:t>
            </w:r>
          </w:p>
        </w:tc>
      </w:tr>
    </w:tbl>
    <w:p w14:paraId="1D9A3BCE" w14:textId="77777777" w:rsidR="005C239B" w:rsidRPr="00A141A8" w:rsidRDefault="005C239B" w:rsidP="005C239B">
      <w:pPr>
        <w:pStyle w:val="Style2"/>
        <w:tabs>
          <w:tab w:val="clear" w:pos="1400"/>
          <w:tab w:val="left" w:pos="709"/>
        </w:tabs>
        <w:spacing w:after="0"/>
        <w:ind w:left="0"/>
        <w:rPr>
          <w:rFonts w:cs="Arial"/>
        </w:rPr>
      </w:pPr>
    </w:p>
    <w:p w14:paraId="40F51099" w14:textId="77777777" w:rsidR="005C239B" w:rsidRPr="005C239B" w:rsidRDefault="005C239B" w:rsidP="00D72F6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148A915B" w14:textId="2AD96ECF" w:rsidR="005C239B" w:rsidRPr="005C239B" w:rsidRDefault="005C239B" w:rsidP="005C239B">
      <w:pPr>
        <w:pStyle w:val="Heading2"/>
        <w:ind w:left="709" w:hanging="709"/>
        <w:rPr>
          <w:rFonts w:cs="Arial"/>
          <w:szCs w:val="22"/>
        </w:rPr>
      </w:pPr>
      <w:bookmarkStart w:id="136" w:name="_Toc166740239"/>
      <w:r>
        <w:t>4.7</w:t>
      </w:r>
      <w:r>
        <w:tab/>
        <w:t>ДОКЛАД О ПРОВЕДЕНИИ ДЕСЯТИЛЕТИЯ ОРГАНИЗАЦИИ ОБЪЕДИНЕННЫХ НАЦИЙ, ПОСВЯЩЕННОГО НАУКЕ ОБ ОКЕАНЕ В ИНТЕРЕСАХ УСТОЙЧИВОГО РАЗВИТИЯ (2021-2030 гг.)</w:t>
      </w:r>
      <w:r>
        <w:br/>
        <w:t>[</w:t>
      </w:r>
      <w:r w:rsidR="00355FF3">
        <w:rPr>
          <w:caps w:val="0"/>
        </w:rPr>
        <w:t>Рез.</w:t>
      </w:r>
      <w:r>
        <w:t xml:space="preserve"> 39 C/25; </w:t>
      </w:r>
      <w:r w:rsidR="00355FF3">
        <w:rPr>
          <w:caps w:val="0"/>
        </w:rPr>
        <w:t>Рез.</w:t>
      </w:r>
      <w:r>
        <w:t xml:space="preserve"> XXIX-1, XXX-1, A-31/1, A-32/1]</w:t>
      </w:r>
      <w:bookmarkEnd w:id="136"/>
      <w:r>
        <w:t xml:space="preserve"> </w:t>
      </w:r>
    </w:p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2107"/>
        <w:gridCol w:w="2463"/>
        <w:gridCol w:w="5245"/>
      </w:tblGrid>
      <w:tr w:rsidR="005C239B" w:rsidRPr="005C239B" w14:paraId="53023D0E" w14:textId="77777777" w:rsidTr="00D72F6E">
        <w:tc>
          <w:tcPr>
            <w:tcW w:w="2107" w:type="dxa"/>
            <w:shd w:val="clear" w:color="auto" w:fill="FFFF99"/>
            <w:tcMar>
              <w:top w:w="57" w:type="dxa"/>
              <w:bottom w:w="57" w:type="dxa"/>
            </w:tcMar>
          </w:tcPr>
          <w:p w14:paraId="22F70662" w14:textId="2D91AB34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Рабочие </w:t>
            </w:r>
            <w:r w:rsidR="00D72F6E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fr-FR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документы</w:t>
            </w:r>
          </w:p>
        </w:tc>
        <w:tc>
          <w:tcPr>
            <w:tcW w:w="2463" w:type="dxa"/>
            <w:shd w:val="clear" w:color="auto" w:fill="FFFF99"/>
            <w:tcMar>
              <w:top w:w="57" w:type="dxa"/>
              <w:bottom w:w="57" w:type="dxa"/>
            </w:tcMar>
          </w:tcPr>
          <w:p w14:paraId="79BCAB86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IOC/EC-57/4.7.Doc(1) </w:t>
            </w:r>
          </w:p>
        </w:tc>
        <w:tc>
          <w:tcPr>
            <w:tcW w:w="5245" w:type="dxa"/>
            <w:shd w:val="clear" w:color="auto" w:fill="FFFF99"/>
            <w:tcMar>
              <w:top w:w="57" w:type="dxa"/>
              <w:bottom w:w="57" w:type="dxa"/>
            </w:tcMar>
          </w:tcPr>
          <w:p w14:paraId="560D3049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Ход проведения Десятилетия Организации Объединенных Наций, посвященного науке об океане в интересах устойчивого развития, и прогноз на период до 2025 г.</w:t>
            </w:r>
          </w:p>
        </w:tc>
      </w:tr>
      <w:tr w:rsidR="005C239B" w:rsidRPr="005C239B" w14:paraId="52BF4117" w14:textId="77777777" w:rsidTr="00D72F6E">
        <w:tc>
          <w:tcPr>
            <w:tcW w:w="2107" w:type="dxa"/>
            <w:shd w:val="clear" w:color="auto" w:fill="FFFF99"/>
            <w:tcMar>
              <w:top w:w="57" w:type="dxa"/>
              <w:bottom w:w="57" w:type="dxa"/>
            </w:tcMar>
          </w:tcPr>
          <w:p w14:paraId="17ED2871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463" w:type="dxa"/>
            <w:shd w:val="clear" w:color="auto" w:fill="FFFF99"/>
            <w:tcMar>
              <w:top w:w="57" w:type="dxa"/>
              <w:bottom w:w="57" w:type="dxa"/>
            </w:tcMar>
          </w:tcPr>
          <w:p w14:paraId="00352F2D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IOC/EC-57/4.7.Doc(2)</w:t>
            </w:r>
          </w:p>
        </w:tc>
        <w:tc>
          <w:tcPr>
            <w:tcW w:w="5245" w:type="dxa"/>
            <w:shd w:val="clear" w:color="auto" w:fill="FFFF99"/>
            <w:tcMar>
              <w:top w:w="57" w:type="dxa"/>
              <w:bottom w:w="57" w:type="dxa"/>
            </w:tcMar>
          </w:tcPr>
          <w:p w14:paraId="135F86B3" w14:textId="5F7F5E99" w:rsidR="005C239B" w:rsidRPr="005C239B" w:rsidRDefault="00637C74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7C74">
              <w:rPr>
                <w:rFonts w:ascii="Arial" w:hAnsi="Arial"/>
                <w:color w:val="000000"/>
                <w:sz w:val="22"/>
                <w:szCs w:val="22"/>
              </w:rPr>
              <w:t>Проект круга вопросов, подлежащих среднесрочной оценке в рамках Десятилетия, посвященного науке об океане</w:t>
            </w:r>
            <w:r w:rsidR="005C239B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5C239B" w:rsidRPr="005C239B" w14:paraId="52B6165C" w14:textId="77777777" w:rsidTr="00D72F6E">
        <w:tc>
          <w:tcPr>
            <w:tcW w:w="2107" w:type="dxa"/>
            <w:shd w:val="clear" w:color="auto" w:fill="FBD4B4"/>
            <w:tcMar>
              <w:top w:w="57" w:type="dxa"/>
              <w:bottom w:w="57" w:type="dxa"/>
            </w:tcMar>
          </w:tcPr>
          <w:p w14:paraId="0E31032E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Информационные документы</w:t>
            </w:r>
          </w:p>
        </w:tc>
        <w:tc>
          <w:tcPr>
            <w:tcW w:w="2463" w:type="dxa"/>
            <w:shd w:val="clear" w:color="auto" w:fill="auto"/>
            <w:tcMar>
              <w:top w:w="57" w:type="dxa"/>
              <w:bottom w:w="57" w:type="dxa"/>
            </w:tcMar>
          </w:tcPr>
          <w:p w14:paraId="0953B004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IOC/INF-1539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bottom w:w="57" w:type="dxa"/>
            </w:tcMar>
          </w:tcPr>
          <w:p w14:paraId="6A9434AF" w14:textId="62B32E5B" w:rsidR="005C239B" w:rsidRPr="005C239B" w:rsidRDefault="00951EE8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color w:val="000000"/>
                <w:sz w:val="22"/>
                <w:szCs w:val="22"/>
              </w:rPr>
              <w:t>Статус</w:t>
            </w:r>
            <w:r w:rsidR="00637C74" w:rsidRPr="00637C74">
              <w:rPr>
                <w:rFonts w:ascii="Arial" w:hAnsi="Arial"/>
                <w:bCs/>
                <w:iCs/>
                <w:color w:val="000000"/>
                <w:sz w:val="22"/>
                <w:szCs w:val="22"/>
              </w:rPr>
              <w:t xml:space="preserve"> связанных с МОК (и не связанных с ней) мероприятий, включенных в программу Десятилетия</w:t>
            </w:r>
            <w:r>
              <w:rPr>
                <w:rFonts w:ascii="Arial" w:hAnsi="Arial"/>
                <w:bCs/>
                <w:iCs/>
                <w:color w:val="000000"/>
                <w:sz w:val="22"/>
                <w:szCs w:val="22"/>
              </w:rPr>
              <w:t xml:space="preserve">, и потребности в ресурсах </w:t>
            </w:r>
          </w:p>
        </w:tc>
      </w:tr>
      <w:tr w:rsidR="005C239B" w:rsidRPr="005C239B" w14:paraId="635FAD32" w14:textId="77777777" w:rsidTr="00D72F6E">
        <w:tc>
          <w:tcPr>
            <w:tcW w:w="2107" w:type="dxa"/>
            <w:shd w:val="clear" w:color="auto" w:fill="FBD4B4"/>
            <w:tcMar>
              <w:top w:w="57" w:type="dxa"/>
              <w:bottom w:w="57" w:type="dxa"/>
            </w:tcMar>
          </w:tcPr>
          <w:p w14:paraId="1D12C790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463" w:type="dxa"/>
            <w:shd w:val="clear" w:color="auto" w:fill="auto"/>
            <w:tcMar>
              <w:top w:w="57" w:type="dxa"/>
              <w:bottom w:w="57" w:type="dxa"/>
            </w:tcMar>
          </w:tcPr>
          <w:p w14:paraId="747E9B41" w14:textId="6DE11C58" w:rsidR="005C239B" w:rsidRPr="00DE443F" w:rsidRDefault="0064023E" w:rsidP="00DE443F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Серия публикаций МОК, посвященных Десятилетию науки об океане, № 50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bottom w:w="57" w:type="dxa"/>
            </w:tcMar>
          </w:tcPr>
          <w:p w14:paraId="3816F271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color w:val="000000"/>
                <w:sz w:val="22"/>
                <w:szCs w:val="22"/>
              </w:rPr>
              <w:t>Доклад о достигнутых и ожидаемых результатах «На пути к 2030 году»</w:t>
            </w:r>
          </w:p>
        </w:tc>
      </w:tr>
    </w:tbl>
    <w:p w14:paraId="323EE633" w14:textId="77777777" w:rsidR="005C239B" w:rsidRPr="005C239B" w:rsidRDefault="005C239B" w:rsidP="00D72F6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Этот пункт повестки дня представил Исполнительный секретарь. Он напомнил, что Десятилетие вступило в четвертый год своей реализации и что портфель проектов, включенных в программу Десятилетия, равно как и сеть децентрализованных координирующих структур продолжают быстро расти. Исполнительный секретарь подчеркнул важность проведенной в Барселоне в апреле 2024 г. Международной конференции, посвященной Десятилетию науки об </w:t>
      </w:r>
      <w:r>
        <w:lastRenderedPageBreak/>
        <w:t>океане, и принятого по ее итогам Барселонского заявления в качестве концептуального видения будущих приоритетных задач Десятилетия. Он поблагодарил Королевство Испании за организацию конференции и выразил признательность членам рабочих групп, созданных в рамках механизма «На пути к 2030 году», а также всем другим партнерам, внесшим вклад в успешное проведение конференции. Одновременно он подчеркнул значимость работы Консультативного совета по вопросам проведения Десятилетия, формулирующего стратегические рекомендации по осуществлению приоритетных задач, обозначенных в Докладе о достигнутых и ожидаемых результатах «На пути к 2030 году» и Барселонском заявлении, и поблагодарил его сопредседателей и членов за целеустремленный и ответственный подход.</w:t>
      </w:r>
    </w:p>
    <w:p w14:paraId="32120AA5" w14:textId="77777777" w:rsidR="005C239B" w:rsidRPr="005C239B" w:rsidRDefault="005C239B" w:rsidP="00D72F6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Исполнительный секретарь привлек внимание к ряду рекомендаций, которые были сформулированы в ходе конференции и являются весьма актуальными для государств-членов, в частности, важность принятия мер на национальном уровне, совершенствование нормативных стимулов развития науки и пополнения базы научных знаний, помощь МОСРГ и НРС и развитие с ними партнерского взаимодействия. Указанные рекомендации предполагают необходимость изменения объемов и структуры инвестиций, осуществляемых в инициативы и инфраструктурные проекты в области океанографии. Он призвал все государства-члены учитывать эти приоритеты при планировании своих мероприятий в поддержку Десятилетия науки об океане. Кроме того, он напомнил государствам-членам, что ряд включенных в программу Десятилетия инициатив и структур, ответственных за координацию работы, возглавляются МОК и что при наличии должной ресурсной поддержки указанные инициативы способны обеспечить устойчивое продвижение и закрепление позиций МОК, а также повышение результативности ее деятельности.</w:t>
      </w:r>
    </w:p>
    <w:p w14:paraId="792F26CB" w14:textId="77777777" w:rsidR="005C239B" w:rsidRPr="005C239B" w:rsidRDefault="005C239B" w:rsidP="00D72F6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После вступительного слова Исполнительного секретаря г-н </w:t>
      </w:r>
      <w:proofErr w:type="spellStart"/>
      <w:r>
        <w:t>Жюлиан</w:t>
      </w:r>
      <w:proofErr w:type="spellEnd"/>
      <w:r>
        <w:t xml:space="preserve"> </w:t>
      </w:r>
      <w:proofErr w:type="spellStart"/>
      <w:r>
        <w:t>Барбьер</w:t>
      </w:r>
      <w:proofErr w:type="spellEnd"/>
      <w:r>
        <w:t xml:space="preserve">, заместитель координатора проведения Десятилетия, и г-жа Элисон </w:t>
      </w:r>
      <w:proofErr w:type="spellStart"/>
      <w:r>
        <w:t>Клаузен</w:t>
      </w:r>
      <w:proofErr w:type="spellEnd"/>
      <w:r>
        <w:t xml:space="preserve">, специалист по программе, кратко информировали о ходе реализации плана проведения Десятилетия. Г-н </w:t>
      </w:r>
      <w:proofErr w:type="spellStart"/>
      <w:r>
        <w:t>Барбьер</w:t>
      </w:r>
      <w:proofErr w:type="spellEnd"/>
      <w:r>
        <w:t xml:space="preserve"> сообщил, что по состоянию на сегодняшний день завершена работа по шести запросам предложений на осуществление связанных с Десятилетием мероприятий, по итогам которой для включения в план Десятилетия было одобрено 52 программы, 320 проектов и 99 предложений об оказании поддержки. В настоящее время объявлен седьмой запрос предложений с крайним сроком подачи заявок до 31 августа 2024 г., направленный в первую очередь на привлечение необходимых финансовых ресурсов и взносов в натуральной форме в целях укрепления портфеля уже утвержденных в рамках Десятилетия мероприятий. Несмотря на значительное тематическое разнообразие портфеля мероприятий, включенных в программу Десятилетия, по-прежнему существует существенный дисбаланс не в пользу МОСРГ и НРС. В связи с этим он напомнил государствам-членам о том, что в рамках запроса предложений на осуществление связанной с Десятилетием деятельности № 06/2023 были отобраны дополнительные заявки от МОСРГ и НРС, которым оказывается содействие и наставническая поддержка в форме совместного планирования деятельности. По его словам, следующие запросы предложений будут в большей степени нацелены на устранение серьезного географического и тематического дисбаланса в экосистеме поддержки связанной с Десятилетием деятельности благодаря созданию механизма «На пути к 2030 году».</w:t>
      </w:r>
    </w:p>
    <w:p w14:paraId="20F02532" w14:textId="77777777" w:rsidR="005C239B" w:rsidRPr="005C239B" w:rsidRDefault="005C239B" w:rsidP="00D72F6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Г-н </w:t>
      </w:r>
      <w:proofErr w:type="spellStart"/>
      <w:r>
        <w:t>Барбьер</w:t>
      </w:r>
      <w:proofErr w:type="spellEnd"/>
      <w:r>
        <w:t xml:space="preserve"> рассказал об увеличении до 12 числа децентрализованных координирующих структур, которые представляет собой основной костяк партнеров, обеспечивающих координацию и поддержку мероприятий, включенных в план проведения  Десятилетия, анализ возникающих проблем и прогнозирование будущих приоритетов, а также поощрение новых предложений по проектам Десятилетия в рамках запросов предложений, которые еще только будут объявлены. Он поблагодарил партнерские учреждения за выполнение ими взятых на себя обязательств по созданию децентрализованных координирующих структур. При этом было подчеркнуто, что в рамках нынешнего запроса предложений (№ 07/2024) предполагается создать новые децентрализованные координирующие структуры с целью устранения серьезного тематического и географического дисбаланса. Кроме того, он напомнил Исполнительному совету, что возглавляемые МОК бюро по координации проведения Десятилетия нуждаются в дополнительных ресурсах, которые обеспечат их полноценное функционирование.</w:t>
      </w:r>
    </w:p>
    <w:p w14:paraId="37CFB4EC" w14:textId="77777777" w:rsidR="005C239B" w:rsidRPr="005C239B" w:rsidRDefault="005C239B" w:rsidP="00D72F6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lastRenderedPageBreak/>
        <w:t xml:space="preserve">Г-н </w:t>
      </w:r>
      <w:proofErr w:type="spellStart"/>
      <w:r>
        <w:t>Барбьер</w:t>
      </w:r>
      <w:proofErr w:type="spellEnd"/>
      <w:r>
        <w:t xml:space="preserve"> рассказал о работе Консультативного совета по вопросам проведения Десятилетия, членский состав которого был обновлен в январе 2024 г. и который провел за последние 12 месяцев четыре совещания. Он дал высокую оценку работе совета, формулирующего свои рекомендации в отношении включения проектов в программу Десятилетия, а также осуществляющего консультирование по стратегическим вопросам, касающимся выполнения рекомендаций, сформулированных в рамках механизма «На пути к 2030 году».</w:t>
      </w:r>
    </w:p>
    <w:p w14:paraId="365C9FB2" w14:textId="77777777" w:rsidR="005C239B" w:rsidRPr="005C239B" w:rsidRDefault="005C239B" w:rsidP="00D72F6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Далее г-н </w:t>
      </w:r>
      <w:proofErr w:type="spellStart"/>
      <w:r>
        <w:t>Барбьер</w:t>
      </w:r>
      <w:proofErr w:type="spellEnd"/>
      <w:r>
        <w:t xml:space="preserve"> подтвердил информацию о создании 39 национальных комитетов по проведению Десятилетия, которые уже осуществляют свою деятельность. В то же время он подчеркнул их неравномерное географическое распределение: очень мало комитетов было создано в МОСРГ и НРС. По его словам, одна из ключевых рекомендаций, сформулированных в рамках механизма «На пути к 2030 году», касается укрепления роли национальных комитетов по проведению Десятилетия в качестве способа активизации деятельности, осуществляемой в связи с Десятилетием на национальном уровне. В связи с этим он призвал государства-члены создавать новые национальные комитеты по проведению Десятилетия и подчеркнул, что Группа по координации проведения Десятилетия, а также действующие национальные комитеты могли бы взять на себя наставнические функции и оказать содействие в этом процессе.</w:t>
      </w:r>
    </w:p>
    <w:p w14:paraId="1A6740F7" w14:textId="77777777" w:rsidR="005C239B" w:rsidRPr="005C239B" w:rsidRDefault="005C239B" w:rsidP="00D72F6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 w:rsidRPr="00895C1C">
        <w:t xml:space="preserve">Г-н </w:t>
      </w:r>
      <w:proofErr w:type="spellStart"/>
      <w:r w:rsidRPr="00895C1C">
        <w:t>Барбьер</w:t>
      </w:r>
      <w:proofErr w:type="spellEnd"/>
      <w:r w:rsidRPr="00895C1C">
        <w:t xml:space="preserve"> кратко рассказал о вкладе, который МОК вносит в проведение Десятилетия в</w:t>
      </w:r>
      <w:r>
        <w:t xml:space="preserve"> виде программ и проектов Десятилетия, а также о работе главной Группы по координации проведения Десятилетия и вспомогательной роли секретариатов подкомиссий МОК, выступающих в качестве групп по координации этой работы. Он еще раз подчеркнул большой потенциал осуществляемых под руководством МОК мероприятий в рамках Десятилетия и важную роль, которую выполняют координирующие структуры в плане  содействия укреплению и продуманному расширению программ МОК и ее региональных вспомогательных органов, однако отметил при этом сохраняющиеся существенные ограничения с точки зрения ресурсного обеспечения. Он настоятельно призвал государства-члены предоставлять дополнительные ресурсы в натуральной и денежной форме в поддержку ведущей роли МОК в проведении Десятилетия, будь то на укрепление ее координирующей роли или на осуществление проектов и программ.</w:t>
      </w:r>
    </w:p>
    <w:p w14:paraId="0633FA48" w14:textId="77777777" w:rsidR="005C239B" w:rsidRPr="005C239B" w:rsidRDefault="005C239B" w:rsidP="00D72F6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Г-н </w:t>
      </w:r>
      <w:proofErr w:type="spellStart"/>
      <w:r>
        <w:t>Барбьер</w:t>
      </w:r>
      <w:proofErr w:type="spellEnd"/>
      <w:r>
        <w:t xml:space="preserve"> указал, что в ближайшие 12-18 месяцев приоритетные направления усилий в рамках Десятилетия науки об океане будут определяться результатами и целями, сформулированными в рамках механизма «На пути к 2030 году» и Барселонским заявлением, и включать следующие задачи: укрепление механизмов, благодаря которым стратегические потребности будут стимулировать развитие науки и пополнение базы научных знаний, в том числе на национальном уровне; сохранение механизмов в поддержку реального заинтересованного и активного участия МОСРГ и НРС в проведении Десятилетия, в том числе с использованием возможностей онлайнового Центра по развитию потенциала в рамках Десятилетия науки об океане; полноценное задействование механизмов активного привлечения к участию в проведении Десятилетия носителей местных и эндогенных знаний; активизация усилий, связанных с мобилизацией ресурсов; последовательное укрепление координирующих структур и механизмов координации.</w:t>
      </w:r>
    </w:p>
    <w:p w14:paraId="131558A0" w14:textId="1AA2C181" w:rsidR="005C239B" w:rsidRPr="005C239B" w:rsidRDefault="005C239B" w:rsidP="00B308E1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Он подчеркнул также важность использования международных совещаний и конференций, которые состоялись или состоятся в 2024</w:t>
      </w:r>
      <w:r w:rsidR="00895C1C" w:rsidRPr="00895C1C">
        <w:t xml:space="preserve"> г.</w:t>
      </w:r>
      <w:r>
        <w:t xml:space="preserve"> и 2025 г., в качестве трибуны для привлечения внимания к результатам и целям, сформулированным в рамках механизма «На пути к 2030</w:t>
      </w:r>
      <w:r w:rsidR="00B11939">
        <w:rPr>
          <w:lang w:val="fr-FR"/>
        </w:rPr>
        <w:t> </w:t>
      </w:r>
      <w:r>
        <w:t xml:space="preserve">году», а также для стимулирования новых партнерских связей и совместных проектов. </w:t>
      </w:r>
      <w:r w:rsidRPr="00355FF3">
        <w:t>В числе вышеупомянутых совещаний</w:t>
      </w:r>
      <w:r w:rsidR="00355FF3">
        <w:t xml:space="preserve"> </w:t>
      </w:r>
      <w:r>
        <w:t>конференция «Наш океан» (Греция, апрель 202</w:t>
      </w:r>
      <w:r w:rsidR="0064023E">
        <w:t>4</w:t>
      </w:r>
      <w:r>
        <w:t xml:space="preserve"> г.), четвертая Международная конференция ООН по малым островным развивающимся государствам (Антигуа и Барбуда, май 2024 г.), Совещание высокого уровня по мерам в защиту океана «Погруженный в перемены» (Коста-Рика, июнь 2024 г.), 16-е совещание Конференции сторон Конвенции о биологическом разнообразии (Колумбия, ноябрь 2024 г.) и 29-я сессия Конференции сторон РКИКООН (Азербайджан, ноябрь 2024 г.). Кульминацией этой серии мероприятий станет Конференция Организации Объединенных Наций по океану, которая </w:t>
      </w:r>
      <w:r>
        <w:lastRenderedPageBreak/>
        <w:t>пройдет в июне 2025 г. в Ницце, Франция. Указанные мероприятия будут проводиться в контексте многочисленных региональных и национальных совещаний, что позволит адаптировать глобальные результаты и цели, сформулированные в рамках механизма «На пути к 2030 году», к условиям разных географических регионов.</w:t>
      </w:r>
    </w:p>
    <w:p w14:paraId="34F5BC01" w14:textId="77777777" w:rsidR="005C239B" w:rsidRPr="005C239B" w:rsidRDefault="005C239B" w:rsidP="00B308E1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Г-н </w:t>
      </w:r>
      <w:proofErr w:type="spellStart"/>
      <w:r>
        <w:t>Барбьер</w:t>
      </w:r>
      <w:proofErr w:type="spellEnd"/>
      <w:r>
        <w:t xml:space="preserve"> напомнил Исполнительному совету, что 2025 г. представляет собой срединную точку в проведении Десятилетия, посвященного науке об океане. В связи с этим он обратил внимание государств-членов на документ IOC/EC-57/47.Doc(2), в котором в общем виде сформулирован проект концептуальных рамок среднесрочного обзора Десятилетия, посвященного науке об океане. Он отметил, что результаты и рекомендации по итогам обзора будут представлены Ассамблее МОК на ее 33-й сессии в 2025 г.</w:t>
      </w:r>
    </w:p>
    <w:p w14:paraId="523A4FF3" w14:textId="4211024A" w:rsidR="005C239B" w:rsidRPr="005C239B" w:rsidRDefault="005C239B" w:rsidP="00B308E1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В заключение г-н </w:t>
      </w:r>
      <w:proofErr w:type="spellStart"/>
      <w:r>
        <w:t>Барбьер</w:t>
      </w:r>
      <w:proofErr w:type="spellEnd"/>
      <w:r>
        <w:t xml:space="preserve"> кратко раскрыл содержание некоторых информационных документов нынешней сессии Исполнительного совета, связанных с проведением Десятилетия, включая развернутый документ, содержащий актуализированную информацию о ходе осуществления мероприятий, включенных в план Десятилетия, о ресурсах, которые необходимо привлечь для реализации инициатив, осуществляемых под руководством как МОК, так и партнеров, а также о заключительной версии Доклада о достигнутых и ожидаемых результатах «На пути к 2030 году» (</w:t>
      </w:r>
      <w:r w:rsidR="0064023E">
        <w:rPr>
          <w:color w:val="000000"/>
        </w:rPr>
        <w:t>серия публикаций МОК, посвященных Десятилетию науки об океане, № 50</w:t>
      </w:r>
      <w:r>
        <w:rPr>
          <w:color w:val="000000"/>
        </w:rPr>
        <w:t>)</w:t>
      </w:r>
      <w:r>
        <w:t>. Он напомнил Исполнительному совету, что Десятилетие проводится на основе принципа добровольного участия и что вся работа, связанная с координацией этой деятельности финансируется из внебюджетных источников. Кроме того, он напомнил об обращенном к государствам-членам в ряде предыдущих циркулярных писем призыве оказать поддержку Десятилетию в натуральной и денежной форме и тепло поблагодарил государства-члены и партнеров, которые предоставили существенно важную помощь на цели координации деятельности и непосредственно на мероприятия в рамках Десятилетия.</w:t>
      </w:r>
    </w:p>
    <w:tbl>
      <w:tblPr>
        <w:tblW w:w="0" w:type="auto"/>
        <w:shd w:val="clear" w:color="auto" w:fill="FBE4D5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5C239B" w:rsidRPr="005C239B" w14:paraId="2D4C56D5" w14:textId="77777777" w:rsidTr="001B377A">
        <w:trPr>
          <w:trHeight w:val="604"/>
        </w:trPr>
        <w:tc>
          <w:tcPr>
            <w:tcW w:w="9747" w:type="dxa"/>
            <w:shd w:val="clear" w:color="auto" w:fill="FBE4D5"/>
            <w:tcMar>
              <w:top w:w="113" w:type="dxa"/>
              <w:bottom w:w="113" w:type="dxa"/>
            </w:tcMar>
          </w:tcPr>
          <w:p w14:paraId="2219F219" w14:textId="77777777" w:rsidR="005C239B" w:rsidRPr="005C239B" w:rsidRDefault="005C239B" w:rsidP="001B377A">
            <w:pPr>
              <w:spacing w:after="120"/>
              <w:jc w:val="both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Arial" w:hAnsi="Arial"/>
                <w:bCs/>
                <w:sz w:val="22"/>
                <w:szCs w:val="22"/>
                <w:u w:val="single"/>
              </w:rPr>
              <w:t>Проект резолюции EC-57/[4.7]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[текст резолюции будет добавлен позднее]</w:t>
            </w:r>
          </w:p>
          <w:p w14:paraId="5869743C" w14:textId="77777777" w:rsidR="005C239B" w:rsidRPr="005C239B" w:rsidRDefault="005C239B" w:rsidP="001B377A">
            <w:pPr>
              <w:spacing w:after="3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Представленный ______________</w:t>
            </w:r>
          </w:p>
          <w:p w14:paraId="609D02C1" w14:textId="77777777" w:rsidR="005C239B" w:rsidRPr="005C239B" w:rsidRDefault="005C239B" w:rsidP="001B377A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Название</w:t>
            </w:r>
          </w:p>
          <w:p w14:paraId="027F819B" w14:textId="77777777" w:rsidR="005C239B" w:rsidRPr="005C239B" w:rsidRDefault="005C239B" w:rsidP="001B377A">
            <w:pPr>
              <w:spacing w:after="120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Исполнительный совет,</w:t>
            </w:r>
          </w:p>
          <w:p w14:paraId="709BC277" w14:textId="77777777" w:rsidR="005C239B" w:rsidRPr="00355FF3" w:rsidRDefault="005C239B" w:rsidP="0052306E">
            <w:pPr>
              <w:pStyle w:val="NormalWeb"/>
              <w:numPr>
                <w:ilvl w:val="0"/>
                <w:numId w:val="20"/>
              </w:numPr>
              <w:spacing w:after="240" w:afterAutospacing="0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FF3">
              <w:rPr>
                <w:rFonts w:ascii="Arial" w:hAnsi="Arial"/>
                <w:sz w:val="22"/>
                <w:szCs w:val="22"/>
                <w:u w:val="single"/>
              </w:rPr>
              <w:t>ссылаясь</w:t>
            </w:r>
            <w:r w:rsidRPr="00355FF3">
              <w:rPr>
                <w:rFonts w:ascii="Arial" w:hAnsi="Arial"/>
                <w:sz w:val="22"/>
                <w:szCs w:val="22"/>
              </w:rPr>
              <w:t xml:space="preserve"> на</w:t>
            </w:r>
          </w:p>
          <w:p w14:paraId="2280410D" w14:textId="77777777" w:rsidR="005C239B" w:rsidRPr="005C239B" w:rsidRDefault="005C239B" w:rsidP="0052306E">
            <w:pPr>
              <w:numPr>
                <w:ilvl w:val="0"/>
                <w:numId w:val="20"/>
              </w:numPr>
              <w:spacing w:after="240"/>
              <w:ind w:left="567" w:hanging="567"/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</w:tbl>
    <w:p w14:paraId="64ABEB50" w14:textId="77777777" w:rsidR="005C239B" w:rsidRPr="005C239B" w:rsidRDefault="005C239B" w:rsidP="005C239B">
      <w:pPr>
        <w:pStyle w:val="Style2"/>
        <w:tabs>
          <w:tab w:val="clear" w:pos="1400"/>
          <w:tab w:val="left" w:pos="709"/>
        </w:tabs>
        <w:spacing w:after="0"/>
        <w:ind w:left="0"/>
        <w:rPr>
          <w:rFonts w:cs="Arial"/>
          <w:lang w:val="en-GB"/>
        </w:rPr>
      </w:pPr>
    </w:p>
    <w:p w14:paraId="326F5646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567"/>
        <w:rPr>
          <w:rFonts w:cs="Arial"/>
        </w:rPr>
      </w:pPr>
      <w: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744D78B8" w14:textId="77777777" w:rsidR="005C239B" w:rsidRPr="005C239B" w:rsidRDefault="005C239B" w:rsidP="00B11939">
      <w:pPr>
        <w:pStyle w:val="Heading1"/>
        <w:numPr>
          <w:ilvl w:val="0"/>
          <w:numId w:val="9"/>
        </w:numPr>
        <w:tabs>
          <w:tab w:val="left" w:pos="709"/>
        </w:tabs>
        <w:spacing w:before="360"/>
        <w:ind w:left="567" w:hanging="567"/>
        <w:rPr>
          <w:rFonts w:cs="Arial"/>
          <w:b w:val="0"/>
          <w:bCs w:val="0"/>
          <w:szCs w:val="22"/>
        </w:rPr>
      </w:pPr>
      <w:bookmarkStart w:id="137" w:name="_Toc85469072"/>
      <w:bookmarkStart w:id="138" w:name="_Toc166740240"/>
      <w:bookmarkEnd w:id="137"/>
      <w:r w:rsidRPr="00EF16E4">
        <w:t>УПРАВЛЕНИЕ И ПОДГОТОВКА ПРОГРАММЫ И БЮДЖЕТА</w:t>
      </w:r>
      <w:r>
        <w:br/>
      </w:r>
      <w:r w:rsidRPr="00355FF3">
        <w:rPr>
          <w:b w:val="0"/>
          <w:bCs w:val="0"/>
        </w:rPr>
        <w:t>[Статья 6B Устава]</w:t>
      </w:r>
      <w:bookmarkEnd w:id="138"/>
    </w:p>
    <w:p w14:paraId="5B1D1B03" w14:textId="77777777" w:rsidR="005C239B" w:rsidRPr="005C239B" w:rsidRDefault="005C239B" w:rsidP="00B11939">
      <w:pPr>
        <w:pStyle w:val="Heading2"/>
        <w:tabs>
          <w:tab w:val="clear" w:pos="737"/>
        </w:tabs>
        <w:rPr>
          <w:rFonts w:cs="Arial"/>
          <w:szCs w:val="22"/>
        </w:rPr>
      </w:pPr>
      <w:bookmarkStart w:id="139" w:name="_Toc85469073"/>
      <w:bookmarkStart w:id="140" w:name="_Toc166740241"/>
      <w:bookmarkEnd w:id="139"/>
      <w:r>
        <w:t>5.1</w:t>
      </w:r>
      <w:r>
        <w:tab/>
        <w:t>ПЕРЕСМОТРЕННЫЕ ПРОГРАММА И БЮДЖЕТ НА 2024-2025 гг. (42 С/5) И ПРЕДВАРИТЕЛЬНЫЕ ПРЕДЛОЖЕНИЯ НА 2026-2027 гг. (ПРОЕКТ 43 С/5)</w:t>
      </w:r>
      <w:bookmarkEnd w:id="140"/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2104"/>
        <w:gridCol w:w="2466"/>
        <w:gridCol w:w="5103"/>
      </w:tblGrid>
      <w:tr w:rsidR="005C239B" w:rsidRPr="005C239B" w14:paraId="3FCE8EBC" w14:textId="77777777" w:rsidTr="00B11939">
        <w:tc>
          <w:tcPr>
            <w:tcW w:w="2104" w:type="dxa"/>
            <w:shd w:val="clear" w:color="auto" w:fill="FFFF99"/>
            <w:tcMar>
              <w:top w:w="57" w:type="dxa"/>
              <w:bottom w:w="57" w:type="dxa"/>
            </w:tcMar>
          </w:tcPr>
          <w:p w14:paraId="06A218C9" w14:textId="4A067ED2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Рабочий </w:t>
            </w:r>
            <w:r w:rsidR="00B11939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fr-FR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</w:t>
            </w:r>
          </w:p>
        </w:tc>
        <w:tc>
          <w:tcPr>
            <w:tcW w:w="2466" w:type="dxa"/>
            <w:shd w:val="clear" w:color="auto" w:fill="FFFF99"/>
            <w:tcMar>
              <w:top w:w="57" w:type="dxa"/>
              <w:bottom w:w="57" w:type="dxa"/>
            </w:tcMar>
          </w:tcPr>
          <w:p w14:paraId="139D9091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IOC/EC-57/5.1.Doc(1)</w:t>
            </w:r>
          </w:p>
        </w:tc>
        <w:tc>
          <w:tcPr>
            <w:tcW w:w="5103" w:type="dxa"/>
            <w:shd w:val="clear" w:color="auto" w:fill="FFFF99"/>
            <w:tcMar>
              <w:top w:w="57" w:type="dxa"/>
              <w:bottom w:w="57" w:type="dxa"/>
            </w:tcMar>
          </w:tcPr>
          <w:p w14:paraId="1EBFD156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Пересмотренные программа и бюджет на 2024-2025 гг. (42 С/5) и предварительные предложения на 2026-2027 гг. (проект 43 С/5)</w:t>
            </w:r>
          </w:p>
        </w:tc>
      </w:tr>
      <w:tr w:rsidR="005C239B" w:rsidRPr="005C239B" w14:paraId="30488B29" w14:textId="77777777" w:rsidTr="00B11939">
        <w:tc>
          <w:tcPr>
            <w:tcW w:w="2104" w:type="dxa"/>
            <w:shd w:val="clear" w:color="auto" w:fill="F7CAAC"/>
            <w:tcMar>
              <w:top w:w="57" w:type="dxa"/>
              <w:bottom w:w="57" w:type="dxa"/>
            </w:tcMar>
          </w:tcPr>
          <w:p w14:paraId="72468880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lastRenderedPageBreak/>
              <w:t>Информационный документ</w:t>
            </w:r>
          </w:p>
        </w:tc>
        <w:tc>
          <w:tcPr>
            <w:tcW w:w="2466" w:type="dxa"/>
            <w:shd w:val="clear" w:color="auto" w:fill="auto"/>
            <w:tcMar>
              <w:top w:w="57" w:type="dxa"/>
              <w:bottom w:w="57" w:type="dxa"/>
            </w:tcMar>
          </w:tcPr>
          <w:p w14:paraId="16EF9E46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IOC/EC-57/5.2.Doc(2) </w:t>
            </w:r>
          </w:p>
        </w:tc>
        <w:tc>
          <w:tcPr>
            <w:tcW w:w="5103" w:type="dxa"/>
            <w:shd w:val="clear" w:color="auto" w:fill="auto"/>
            <w:tcMar>
              <w:top w:w="57" w:type="dxa"/>
              <w:bottom w:w="57" w:type="dxa"/>
            </w:tcMar>
          </w:tcPr>
          <w:p w14:paraId="01979C01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Доклад председателя межсессионной финансовой консультативной группы МОК (межсессионный период с января по июнь 2024 г.)</w:t>
            </w:r>
          </w:p>
        </w:tc>
      </w:tr>
      <w:tr w:rsidR="005C239B" w:rsidRPr="005C239B" w14:paraId="7D95DDDA" w14:textId="77777777" w:rsidTr="00B11939">
        <w:tc>
          <w:tcPr>
            <w:tcW w:w="2104" w:type="dxa"/>
            <w:shd w:val="clear" w:color="auto" w:fill="D5DCE4"/>
            <w:tcMar>
              <w:top w:w="57" w:type="dxa"/>
              <w:bottom w:w="57" w:type="dxa"/>
            </w:tcMar>
          </w:tcPr>
          <w:p w14:paraId="6A0F7198" w14:textId="763C2CCE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Справочный </w:t>
            </w:r>
            <w:r w:rsidR="00B11939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fr-FR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</w:t>
            </w:r>
          </w:p>
        </w:tc>
        <w:tc>
          <w:tcPr>
            <w:tcW w:w="2466" w:type="dxa"/>
            <w:shd w:val="clear" w:color="auto" w:fill="auto"/>
            <w:tcMar>
              <w:top w:w="57" w:type="dxa"/>
              <w:bottom w:w="57" w:type="dxa"/>
            </w:tcMar>
          </w:tcPr>
          <w:p w14:paraId="6D85C76B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IOC/A-32/6.1.Doc(1)</w:t>
            </w:r>
          </w:p>
        </w:tc>
        <w:tc>
          <w:tcPr>
            <w:tcW w:w="5103" w:type="dxa"/>
            <w:shd w:val="clear" w:color="auto" w:fill="auto"/>
            <w:tcMar>
              <w:top w:w="57" w:type="dxa"/>
              <w:bottom w:w="57" w:type="dxa"/>
            </w:tcMar>
          </w:tcPr>
          <w:p w14:paraId="40404B4F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Проект программы и бюджета на 2022-2025 гг. (второй двухлетний период 2024-2025 гг.)</w:t>
            </w:r>
          </w:p>
        </w:tc>
      </w:tr>
    </w:tbl>
    <w:p w14:paraId="796CF153" w14:textId="77777777" w:rsidR="005C239B" w:rsidRPr="005C239B" w:rsidRDefault="005C239B" w:rsidP="005C239B">
      <w:pPr>
        <w:rPr>
          <w:rFonts w:ascii="Arial" w:hAnsi="Arial" w:cs="Arial"/>
          <w:sz w:val="22"/>
          <w:szCs w:val="22"/>
          <w:lang w:val="en-GB"/>
        </w:rPr>
      </w:pPr>
    </w:p>
    <w:p w14:paraId="6372E42D" w14:textId="59722FFF" w:rsidR="005C239B" w:rsidRPr="005C239B" w:rsidRDefault="005C239B" w:rsidP="00B11939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Этот пункт повестки дня представил Исполнительный секретарь МОК. Он поблагодарил го</w:t>
      </w:r>
      <w:r w:rsidR="003248C1" w:rsidRPr="003248C1">
        <w:softHyphen/>
      </w:r>
      <w:r>
        <w:t>су</w:t>
      </w:r>
      <w:r w:rsidR="00B11939" w:rsidRPr="00B11939">
        <w:softHyphen/>
      </w:r>
      <w:r>
        <w:t xml:space="preserve">дарства-члены за их поддержку, которая позволила Исполнительному совету ЮНЕСКО в ходе его 216-й сессии рекомендовать Генеральной конференции ЮНЕСКО утвердить на ее 42-й сессии увеличение выделяемой МОК доли в бюджете обычной программы ЮНЕСКО на 1%, причем эта доля не должна сокращаться в результате переноса средств в другие части бюджета, а также </w:t>
      </w:r>
      <w:r>
        <w:rPr>
          <w:i/>
        </w:rPr>
        <w:t>«определить и согласовать исходное значение доли выделяемых МОК ЮНЕСКО средств бюджета обычной программы ЮНЕСКО в рамках документа 42 С/5 и будущих документов С/5, которое не может быть снижено в будущем, если иное не согласовано Генеральной конференцией»</w:t>
      </w:r>
      <w:r>
        <w:t xml:space="preserve"> (решение 216 ЕХ/44).</w:t>
      </w:r>
    </w:p>
    <w:p w14:paraId="49A88942" w14:textId="78BA4687" w:rsidR="005C239B" w:rsidRPr="005C239B" w:rsidRDefault="005C239B" w:rsidP="00B11939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С учетом принятия этой рекомендации во внимание Генеральной конференцией ЮНЕСКО и утверждения ею пересмотренного верхнего предельного уровня бюджета в связи с повторным вступлением в Организацию Соединенных Штатов Америки в июле 2023 г. бюджет МОК в рамках обычной программы на 2024-2025 гг. (42 C/5) увеличился с 13,5 млн. долл. (в соответствии с предложением, рассматривавшимся Ассамблеей МОК на ее 32-й сессии) до 21,1</w:t>
      </w:r>
      <w:r w:rsidR="00B11939">
        <w:rPr>
          <w:lang w:val="fr-FR"/>
        </w:rPr>
        <w:t> </w:t>
      </w:r>
      <w:r>
        <w:t>млн. долл.</w:t>
      </w:r>
    </w:p>
    <w:p w14:paraId="61A68CEE" w14:textId="550F2EFD" w:rsidR="005C239B" w:rsidRPr="005C239B" w:rsidRDefault="005C239B" w:rsidP="00B11939">
      <w:pPr>
        <w:pStyle w:val="Style2"/>
        <w:numPr>
          <w:ilvl w:val="0"/>
          <w:numId w:val="8"/>
        </w:numPr>
        <w:tabs>
          <w:tab w:val="left" w:pos="709"/>
        </w:tabs>
        <w:spacing w:after="120"/>
        <w:ind w:left="0" w:hanging="709"/>
        <w:rPr>
          <w:rFonts w:cs="Arial"/>
        </w:rPr>
      </w:pPr>
      <w:r>
        <w:t>Исполнительный секретарь МОК отметил, что при разработке планов работы на 2024-2025 гг. Секретариат руководствовался следующими принципами высокого уровня, утвержденными государствами</w:t>
      </w:r>
      <w:r w:rsidR="00EF16E4" w:rsidRPr="00EF16E4">
        <w:t xml:space="preserve"> – </w:t>
      </w:r>
      <w:r>
        <w:t xml:space="preserve">членами МОК в </w:t>
      </w:r>
      <w:hyperlink r:id="rId46" w:history="1">
        <w:r>
          <w:rPr>
            <w:rStyle w:val="Hyperlink"/>
          </w:rPr>
          <w:t>резолюции A-32/4.II</w:t>
        </w:r>
      </w:hyperlink>
      <w:r>
        <w:t xml:space="preserve"> в отношении распределения дополнительных средств обычного бюджета, что должно способствовать </w:t>
      </w:r>
      <w:r>
        <w:rPr>
          <w:i/>
        </w:rPr>
        <w:t>«стабильному финансированию функциональных направлений деятельности МОК, включая кадровые ресурсы, в целях устранения недостатков и принципиальных рисков, с тем чтобы обеспечить прочную основу для будущей работы:</w:t>
      </w:r>
    </w:p>
    <w:p w14:paraId="4D796C23" w14:textId="77777777" w:rsidR="005C239B" w:rsidRPr="005C239B" w:rsidRDefault="005C239B" w:rsidP="009831B5">
      <w:pPr>
        <w:pStyle w:val="ListParagraph"/>
        <w:numPr>
          <w:ilvl w:val="0"/>
          <w:numId w:val="31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обеспечить увеличение ассигнований МОКАФРИКА на не менее чем 1% от объема обычного бюджета МОК;</w:t>
      </w:r>
    </w:p>
    <w:p w14:paraId="46366736" w14:textId="77777777" w:rsidR="005C239B" w:rsidRPr="005C239B" w:rsidRDefault="005C239B" w:rsidP="009831B5">
      <w:pPr>
        <w:pStyle w:val="ListParagraph"/>
        <w:numPr>
          <w:ilvl w:val="0"/>
          <w:numId w:val="31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стремиться к соблюдению соотношения расходов на штатных и внештатных сотрудников, финансируемых из обычного бюджета, как это было ранее рекомендовано Ассамблеей МОК в </w:t>
      </w:r>
      <w:hyperlink r:id="rId47" w:history="1">
        <w:r>
          <w:rPr>
            <w:rStyle w:val="Hyperlink"/>
            <w:rFonts w:ascii="Arial" w:hAnsi="Arial"/>
            <w:sz w:val="22"/>
            <w:szCs w:val="22"/>
          </w:rPr>
          <w:t>резолюции XXVII-2</w:t>
        </w:r>
      </w:hyperlink>
      <w:r>
        <w:rPr>
          <w:rFonts w:ascii="Arial" w:hAnsi="Arial"/>
          <w:sz w:val="22"/>
          <w:szCs w:val="22"/>
        </w:rPr>
        <w:t>;</w:t>
      </w:r>
    </w:p>
    <w:p w14:paraId="30225D0F" w14:textId="77777777" w:rsidR="005C239B" w:rsidRPr="005C239B" w:rsidRDefault="005C239B" w:rsidP="009831B5">
      <w:pPr>
        <w:pStyle w:val="ListParagraph"/>
        <w:numPr>
          <w:ilvl w:val="0"/>
          <w:numId w:val="31"/>
        </w:numPr>
        <w:tabs>
          <w:tab w:val="left" w:pos="-737"/>
        </w:tabs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обеспечить, чтобы не менее одной трети дополнительных средств выделялось на цели «обеспечения стабильного финансирования всех существующих функций МОК с ориентировочной основой для такого пропорционального распределения, предусмотренной в приложении 1 резолюции МОК A-32/4;</w:t>
      </w:r>
    </w:p>
    <w:p w14:paraId="3158C524" w14:textId="77777777" w:rsidR="005C239B" w:rsidRPr="005C239B" w:rsidRDefault="005C239B" w:rsidP="009831B5">
      <w:pPr>
        <w:pStyle w:val="ListParagraph"/>
        <w:numPr>
          <w:ilvl w:val="0"/>
          <w:numId w:val="31"/>
        </w:numPr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выделять по меньшей мере одну треть от объема дополнительных средств на целевое финансирование критически уязвимых областей:</w:t>
      </w:r>
    </w:p>
    <w:p w14:paraId="358FD4DD" w14:textId="77777777" w:rsidR="005C239B" w:rsidRPr="005C239B" w:rsidRDefault="005C239B" w:rsidP="009831B5">
      <w:pPr>
        <w:numPr>
          <w:ilvl w:val="0"/>
          <w:numId w:val="32"/>
        </w:numPr>
        <w:tabs>
          <w:tab w:val="left" w:pos="709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МООД</w:t>
      </w:r>
    </w:p>
    <w:p w14:paraId="69E5F381" w14:textId="77777777" w:rsidR="005C239B" w:rsidRPr="005C239B" w:rsidRDefault="005C239B" w:rsidP="009831B5">
      <w:pPr>
        <w:numPr>
          <w:ilvl w:val="0"/>
          <w:numId w:val="32"/>
        </w:numPr>
        <w:tabs>
          <w:tab w:val="left" w:pos="709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ГСНО</w:t>
      </w:r>
    </w:p>
    <w:p w14:paraId="35BB982C" w14:textId="77777777" w:rsidR="005C239B" w:rsidRPr="005C239B" w:rsidRDefault="005C239B" w:rsidP="009831B5">
      <w:pPr>
        <w:numPr>
          <w:ilvl w:val="0"/>
          <w:numId w:val="32"/>
        </w:numPr>
        <w:tabs>
          <w:tab w:val="left" w:pos="709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Развитие потенциала</w:t>
      </w:r>
    </w:p>
    <w:p w14:paraId="78C99092" w14:textId="7BD86E09" w:rsidR="005C239B" w:rsidRPr="005C239B" w:rsidRDefault="00266E1F" w:rsidP="009831B5">
      <w:pPr>
        <w:numPr>
          <w:ilvl w:val="0"/>
          <w:numId w:val="32"/>
        </w:numPr>
        <w:tabs>
          <w:tab w:val="left" w:pos="709"/>
        </w:tabs>
        <w:spacing w:after="24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Региональные</w:t>
      </w:r>
      <w:r w:rsidR="005C239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вспомогательные</w:t>
      </w:r>
      <w:r w:rsidR="005C239B">
        <w:rPr>
          <w:rFonts w:ascii="Arial" w:hAnsi="Arial"/>
          <w:sz w:val="22"/>
          <w:szCs w:val="22"/>
        </w:rPr>
        <w:t xml:space="preserve"> органы</w:t>
      </w:r>
    </w:p>
    <w:p w14:paraId="67BC20E8" w14:textId="3DD30DC7" w:rsidR="005C239B" w:rsidRPr="005C239B" w:rsidRDefault="005C239B" w:rsidP="009D7C7A">
      <w:pPr>
        <w:pStyle w:val="Style2"/>
        <w:numPr>
          <w:ilvl w:val="0"/>
          <w:numId w:val="8"/>
        </w:numPr>
        <w:tabs>
          <w:tab w:val="left" w:pos="709"/>
        </w:tabs>
        <w:spacing w:after="120"/>
        <w:ind w:left="0" w:hanging="709"/>
        <w:rPr>
          <w:rFonts w:cs="Arial"/>
        </w:rPr>
      </w:pPr>
      <w:r>
        <w:t>С учетом детализации бюджетных ассигнований, представленной в документе IOC/EC</w:t>
      </w:r>
      <w:r w:rsidR="00990225" w:rsidRPr="00990225">
        <w:noBreakHyphen/>
      </w:r>
      <w:r>
        <w:t>57/5.1.Doc(1), резюме основных изменений, внесенных по линии обычного бюджета, выглядит следующим образом:</w:t>
      </w:r>
    </w:p>
    <w:p w14:paraId="37474577" w14:textId="77777777" w:rsidR="005C239B" w:rsidRPr="005C239B" w:rsidRDefault="005C239B" w:rsidP="009D7C7A">
      <w:pPr>
        <w:pStyle w:val="ListParagraph"/>
        <w:numPr>
          <w:ilvl w:val="0"/>
          <w:numId w:val="33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32% дополнительных средств, не связанных с персоналом, выделены на цели стабилизации всех функциональных областей МОК;</w:t>
      </w:r>
    </w:p>
    <w:p w14:paraId="4440B042" w14:textId="77777777" w:rsidR="005C239B" w:rsidRPr="005C239B" w:rsidRDefault="005C239B" w:rsidP="009D7C7A">
      <w:pPr>
        <w:pStyle w:val="ListParagraph"/>
        <w:numPr>
          <w:ilvl w:val="0"/>
          <w:numId w:val="33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68% дополнительных средств, не связанных с персоналом, направлены на целевое финансирование МООД, ГСНО, развитие потенциала и деятельность региональных вспомогательных органов;</w:t>
      </w:r>
    </w:p>
    <w:p w14:paraId="00B6BF81" w14:textId="16E37087" w:rsidR="005C239B" w:rsidRPr="005C239B" w:rsidRDefault="005C239B" w:rsidP="009D7C7A">
      <w:pPr>
        <w:pStyle w:val="ListParagraph"/>
        <w:numPr>
          <w:ilvl w:val="0"/>
          <w:numId w:val="33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обычный бюджет МОКАФРИКА, не связанный с персоналом, увеличился на 3% от общего объема обычного бюджета МОК в </w:t>
      </w:r>
      <w:hyperlink r:id="rId48" w:history="1">
        <w:r>
          <w:rPr>
            <w:rStyle w:val="Hyperlink"/>
            <w:rFonts w:ascii="Arial" w:hAnsi="Arial"/>
            <w:sz w:val="22"/>
            <w:szCs w:val="22"/>
          </w:rPr>
          <w:t>утвержденном документе 42 С/5</w:t>
        </w:r>
      </w:hyperlink>
      <w:r>
        <w:rPr>
          <w:rFonts w:ascii="Arial" w:hAnsi="Arial"/>
          <w:sz w:val="22"/>
          <w:szCs w:val="22"/>
        </w:rPr>
        <w:t>: с 239</w:t>
      </w:r>
      <w:r w:rsidR="009831B5">
        <w:rPr>
          <w:rFonts w:ascii="Arial" w:hAnsi="Arial"/>
          <w:sz w:val="22"/>
          <w:szCs w:val="22"/>
          <w:lang w:val="fr-FR"/>
        </w:rPr>
        <w:t> </w:t>
      </w:r>
      <w:r>
        <w:rPr>
          <w:rFonts w:ascii="Arial" w:hAnsi="Arial"/>
          <w:sz w:val="22"/>
          <w:szCs w:val="22"/>
        </w:rPr>
        <w:t>тыс.</w:t>
      </w:r>
      <w:r w:rsidR="009831B5">
        <w:rPr>
          <w:rFonts w:ascii="Arial" w:hAnsi="Arial"/>
          <w:sz w:val="22"/>
          <w:szCs w:val="22"/>
          <w:lang w:val="fr-FR"/>
        </w:rPr>
        <w:t> </w:t>
      </w:r>
      <w:r>
        <w:rPr>
          <w:rFonts w:ascii="Arial" w:hAnsi="Arial"/>
          <w:sz w:val="22"/>
          <w:szCs w:val="22"/>
        </w:rPr>
        <w:t>долл. до 937 тыс. долл</w:t>
      </w:r>
      <w:r w:rsidR="00DD1DE8" w:rsidRPr="00DD1DE8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;</w:t>
      </w:r>
    </w:p>
    <w:p w14:paraId="7DDD5E13" w14:textId="77777777" w:rsidR="005C239B" w:rsidRPr="005C239B" w:rsidRDefault="005C239B" w:rsidP="009D7C7A">
      <w:pPr>
        <w:pStyle w:val="ListParagraph"/>
        <w:numPr>
          <w:ilvl w:val="0"/>
          <w:numId w:val="33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целом 73% дополнительных средств было выделено подразделениям на местах и 27% – штаб-квартире МОК;</w:t>
      </w:r>
    </w:p>
    <w:p w14:paraId="306EF12C" w14:textId="77777777" w:rsidR="005C239B" w:rsidRPr="005C239B" w:rsidRDefault="005C239B" w:rsidP="009D7C7A">
      <w:pPr>
        <w:pStyle w:val="ListParagraph"/>
        <w:numPr>
          <w:ilvl w:val="0"/>
          <w:numId w:val="33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штаб-квартире МОК была создана одна новая должность для ГСНО;</w:t>
      </w:r>
    </w:p>
    <w:p w14:paraId="2B26E427" w14:textId="2E60B12D" w:rsidR="005C239B" w:rsidRPr="005C239B" w:rsidRDefault="005C239B" w:rsidP="009D7C7A">
      <w:pPr>
        <w:pStyle w:val="ListParagraph"/>
        <w:numPr>
          <w:ilvl w:val="0"/>
          <w:numId w:val="33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подразделениях на местах создано четыре новых должности: бюро МОК по проектам МООД в Остенде – 1 должность; укрепление секретариата МОКАФРИКА в Найроби – 1 должность; новый секретариат ИОСИНДИО, который будет сформирован по согласованию с государствами-членами – 1 должность; укрепление деятельности МОК в интересах МОСРГ Тихого океана – 1 должность;</w:t>
      </w:r>
    </w:p>
    <w:p w14:paraId="0E0B645E" w14:textId="77777777" w:rsidR="005C239B" w:rsidRPr="005C239B" w:rsidRDefault="005C239B" w:rsidP="009D7C7A">
      <w:pPr>
        <w:pStyle w:val="ListParagraph"/>
        <w:numPr>
          <w:ilvl w:val="0"/>
          <w:numId w:val="33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межсекторальный промежуточный результат 3.IP2 (повышение уровня грамотности в связанных с океаном вопросах на объектах наследия под эгидой ЮНЕСКО) – увеличение на 69%; </w:t>
      </w:r>
    </w:p>
    <w:p w14:paraId="66162677" w14:textId="77777777" w:rsidR="005C239B" w:rsidRPr="005C239B" w:rsidRDefault="005C239B" w:rsidP="009D7C7A">
      <w:pPr>
        <w:pStyle w:val="ListParagraph"/>
        <w:numPr>
          <w:ilvl w:val="0"/>
          <w:numId w:val="33"/>
        </w:numPr>
        <w:spacing w:after="24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соотношение между штатными и внештатными сотрудниками: 57% штатных сотрудников и 43% внештатных сотрудников (по сравнению с соотношением 74% и 26% в бюджетном сценарии, рассмотренном Ассамблеей; при этом в резолюции Ассамблеи МОК XXVI-2 содержится призыв выделять на внештатных сотрудников не менее 25% средств по линии обычного бюджета).</w:t>
      </w:r>
    </w:p>
    <w:p w14:paraId="7ACE8588" w14:textId="77777777" w:rsidR="005C239B" w:rsidRPr="005C239B" w:rsidRDefault="005C239B" w:rsidP="0085679C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Г-н </w:t>
      </w:r>
      <w:proofErr w:type="spellStart"/>
      <w:r>
        <w:t>Хельгесен</w:t>
      </w:r>
      <w:proofErr w:type="spellEnd"/>
      <w:r>
        <w:t xml:space="preserve"> отметил также, что в качестве дополнения к описательной части, содержащейся в утвержденном документе 42 С/5, документ, представленный Исполнительному совету, содержит развернутый анализ выполнения усиленной программы в разбивке по функциональным направлениям деятельности и приоритетным областям.</w:t>
      </w:r>
    </w:p>
    <w:p w14:paraId="5FE5BE98" w14:textId="1674CC43" w:rsidR="005C239B" w:rsidRPr="005C239B" w:rsidRDefault="005C239B" w:rsidP="0085679C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  <w:b/>
          <w:bCs/>
          <w:color w:val="000000"/>
        </w:rPr>
      </w:pPr>
      <w:r>
        <w:t>В заключение он кратко представил методологию и план-график подготовки проекта документа 43 С/5 (программа и бюджет ЮНЕСКО на 2026-2029 гг., первый двухлетний период 2026-2027 гг.)</w:t>
      </w:r>
      <w:r w:rsidR="00DD1DE8" w:rsidRPr="00DD1DE8">
        <w:t>.</w:t>
      </w:r>
      <w:r>
        <w:t xml:space="preserve"> Ввиду отсутствия достаточного времени для проведения соответствующих консультаций с государствами-членами предложение Секретариата, содержащееся в документе IOC/EC-57/5.1.Doc</w:t>
      </w:r>
      <w:r w:rsidR="0064023E">
        <w:t>(1)</w:t>
      </w:r>
      <w:r>
        <w:t xml:space="preserve">, состоит в том, что в течение первого двухлетия, охватываемого документом 43 С/5, усилия будут по-прежнему направлены на достижение </w:t>
      </w:r>
      <w:r>
        <w:rPr>
          <w:b/>
          <w:u w:val="single"/>
        </w:rPr>
        <w:t>промежуточного результата 1</w:t>
      </w:r>
      <w:r>
        <w:t>:</w:t>
      </w:r>
      <w:r>
        <w:rPr>
          <w:b/>
          <w:bCs/>
          <w:color w:val="000000"/>
        </w:rPr>
        <w:t xml:space="preserve"> «Оказание государствам-членам критически значимой поддержки в укреплении их потенциала в области морских научных исследований, генерирования знаний, а также разработки и применения научно обоснованных инструментов, услуг и методов, с тем чтобы положить конец ухудшению состояния океана и ускорить переход к устойчивому управлению связанными с океаном рисками и возможностями.</w:t>
      </w:r>
    </w:p>
    <w:p w14:paraId="0BCDC7BB" w14:textId="77777777" w:rsidR="005C239B" w:rsidRPr="005C239B" w:rsidRDefault="005C239B" w:rsidP="0085679C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 w:rsidRPr="00DD1DE8">
        <w:t>В соответствии с резолюцией A-32/4 Ассамблеи МОК (2023 г.) Секретариату МОК необходимо</w:t>
      </w:r>
      <w:r>
        <w:t xml:space="preserve"> предпринять все возможные усилия при подготовке предложений по программе и бюджету на 2026-2029 гг. (первый двухлетний период 2026-2027 гг.) для отражения в них приоритетов Комиссии в отношении долгосрочных устойчивых наблюдений и управления данными и информацией, а также региональных вспомогательных органов и мероприятий по развитию потенциала государств-членов, что имеет основополагающее значение для достижения МОК целей высокого уровня, установленных на 2022-2029 гг.</w:t>
      </w:r>
      <w:r>
        <w:rPr>
          <w:color w:val="000000"/>
        </w:rPr>
        <w:t xml:space="preserve"> Наряду с этим в своей работе МОК будет руководствоваться результатами процесса консультаций с государствами-членами – «МОК и будущее Мирового океана» – с тем чтобы подвести итоги работы и проанализировать то, каким образом Комиссия может максимально эффективно способствовать более масштабным изменениям в области развития в аспектах, относящихся к ее мандату.</w:t>
      </w:r>
    </w:p>
    <w:tbl>
      <w:tblPr>
        <w:tblW w:w="9889" w:type="dxa"/>
        <w:shd w:val="clear" w:color="auto" w:fill="CCFFCC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889"/>
      </w:tblGrid>
      <w:tr w:rsidR="005C239B" w:rsidRPr="005C239B" w14:paraId="4C131C42" w14:textId="77777777" w:rsidTr="001B377A">
        <w:trPr>
          <w:trHeight w:val="380"/>
        </w:trPr>
        <w:tc>
          <w:tcPr>
            <w:tcW w:w="9889" w:type="dxa"/>
            <w:shd w:val="clear" w:color="auto" w:fill="CCFFCC"/>
            <w:tcMar>
              <w:top w:w="113" w:type="dxa"/>
              <w:bottom w:w="113" w:type="dxa"/>
            </w:tcMar>
          </w:tcPr>
          <w:p w14:paraId="707403BB" w14:textId="77777777" w:rsidR="005C239B" w:rsidRPr="005C239B" w:rsidRDefault="005C239B" w:rsidP="001B377A">
            <w:pPr>
              <w:spacing w:after="240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bookmarkStart w:id="141" w:name="_Hlk85468101"/>
            <w:r>
              <w:rPr>
                <w:rFonts w:ascii="Arial" w:hAnsi="Arial"/>
                <w:sz w:val="22"/>
                <w:szCs w:val="22"/>
                <w:u w:val="single"/>
              </w:rPr>
              <w:lastRenderedPageBreak/>
              <w:t>Реш. EC-57/5.1</w:t>
            </w:r>
          </w:p>
          <w:p w14:paraId="2DC022FB" w14:textId="2D7708ED" w:rsidR="005C239B" w:rsidRPr="005C239B" w:rsidRDefault="005C239B" w:rsidP="001B377A">
            <w:pPr>
              <w:tabs>
                <w:tab w:val="num" w:pos="1400"/>
              </w:tabs>
              <w:spacing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Аспекты деятельности Комиссии, касающиеся управления и подготовки </w:t>
            </w:r>
            <w:r w:rsidR="003248C1" w:rsidRPr="002B415A">
              <w:rPr>
                <w:rFonts w:ascii="Arial" w:hAnsi="Arial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программы и бюджета</w:t>
            </w:r>
          </w:p>
          <w:p w14:paraId="3F0ACF60" w14:textId="77777777" w:rsidR="005C239B" w:rsidRPr="005C239B" w:rsidRDefault="005C239B" w:rsidP="001B377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Исполнительный совет,</w:t>
            </w:r>
          </w:p>
          <w:p w14:paraId="1CC267B3" w14:textId="77777777" w:rsidR="005C239B" w:rsidRPr="005C239B" w:rsidRDefault="005C239B" w:rsidP="005C239B">
            <w:pPr>
              <w:numPr>
                <w:ilvl w:val="0"/>
                <w:numId w:val="11"/>
              </w:numPr>
              <w:spacing w:after="120"/>
              <w:ind w:left="1022" w:hanging="425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u w:val="single"/>
              </w:rPr>
              <w:t>рассмотрев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документ IOC/EC-57/5.1.Doc(1),</w:t>
            </w:r>
          </w:p>
          <w:p w14:paraId="6910FEFD" w14:textId="77777777" w:rsidR="005C239B" w:rsidRPr="005C239B" w:rsidRDefault="005C239B" w:rsidP="005C239B">
            <w:pPr>
              <w:numPr>
                <w:ilvl w:val="0"/>
                <w:numId w:val="11"/>
              </w:numPr>
              <w:spacing w:after="120"/>
              <w:ind w:left="1022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принимает к сведению</w:t>
            </w:r>
            <w:r>
              <w:rPr>
                <w:rFonts w:ascii="Arial" w:hAnsi="Arial"/>
                <w:sz w:val="22"/>
                <w:szCs w:val="22"/>
              </w:rPr>
              <w:t xml:space="preserve"> документ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IOC/EC-57/5.1.Doc(1)</w:t>
            </w:r>
            <w:r>
              <w:rPr>
                <w:rFonts w:ascii="Arial" w:hAnsi="Arial"/>
                <w:sz w:val="22"/>
                <w:szCs w:val="22"/>
              </w:rPr>
              <w:t>, подлежащий дальнейшему рассмотрению комитетом по финансовым вопросам в целях подготовки проекта резолюции, который будет обсужден и принят на пленарном заседании в рамках обсуждения пункта 5.4 повестки дня.</w:t>
            </w:r>
          </w:p>
        </w:tc>
      </w:tr>
      <w:bookmarkEnd w:id="141"/>
    </w:tbl>
    <w:p w14:paraId="142FDC7B" w14:textId="77777777" w:rsidR="005C239B" w:rsidRPr="00A141A8" w:rsidRDefault="005C239B" w:rsidP="005C239B">
      <w:pPr>
        <w:rPr>
          <w:rFonts w:ascii="Arial" w:hAnsi="Arial" w:cs="Arial"/>
          <w:sz w:val="22"/>
          <w:szCs w:val="22"/>
        </w:rPr>
      </w:pPr>
    </w:p>
    <w:p w14:paraId="0B2A1F9F" w14:textId="77777777" w:rsidR="005C239B" w:rsidRPr="005C239B" w:rsidRDefault="005C239B" w:rsidP="0085679C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6A0BCE6E" w14:textId="5ADC35FC" w:rsidR="005C239B" w:rsidRPr="005C239B" w:rsidRDefault="005C239B" w:rsidP="005C239B">
      <w:pPr>
        <w:pStyle w:val="Heading2"/>
        <w:tabs>
          <w:tab w:val="clear" w:pos="737"/>
          <w:tab w:val="left" w:pos="709"/>
        </w:tabs>
        <w:ind w:left="709" w:hanging="709"/>
        <w:rPr>
          <w:rFonts w:cs="Arial"/>
          <w:szCs w:val="22"/>
        </w:rPr>
      </w:pPr>
      <w:bookmarkStart w:id="142" w:name="_Toc57369055"/>
      <w:bookmarkStart w:id="143" w:name="_Toc166740242"/>
      <w:bookmarkEnd w:id="142"/>
      <w:r>
        <w:t>5.2</w:t>
      </w:r>
      <w:r>
        <w:tab/>
        <w:t>ПЛАН ДЕЙСТВИЙ В СВЯЗИ С ПРОВЕДЕННОЙ IOS ОЦЕНКОЙ СТРАТЕГИЧЕСКОГО ПОЗИЦИОНИРОВАНИЯ МОК – ОБНОВЛЕННАЯ ИНФОРМАЦИЯ ОБ ОСУЩЕСТВЛЕНИИ</w:t>
      </w:r>
      <w:r>
        <w:br/>
        <w:t>[</w:t>
      </w:r>
      <w:r w:rsidR="00355FF3">
        <w:rPr>
          <w:caps w:val="0"/>
        </w:rPr>
        <w:t>Реш.</w:t>
      </w:r>
      <w:r>
        <w:t xml:space="preserve"> EC-55/3.2; </w:t>
      </w:r>
      <w:r w:rsidR="00355FF3">
        <w:rPr>
          <w:caps w:val="0"/>
        </w:rPr>
        <w:t>Рез.</w:t>
      </w:r>
      <w:r>
        <w:t xml:space="preserve"> A-32/4(IV)]</w:t>
      </w:r>
      <w:bookmarkEnd w:id="143"/>
      <w: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985"/>
        <w:gridCol w:w="2482"/>
        <w:gridCol w:w="5171"/>
      </w:tblGrid>
      <w:tr w:rsidR="005C239B" w:rsidRPr="005C239B" w14:paraId="03A2122B" w14:textId="77777777" w:rsidTr="0085679C">
        <w:tc>
          <w:tcPr>
            <w:tcW w:w="1985" w:type="dxa"/>
            <w:shd w:val="clear" w:color="auto" w:fill="FFFF99"/>
            <w:tcMar>
              <w:top w:w="57" w:type="dxa"/>
              <w:bottom w:w="57" w:type="dxa"/>
            </w:tcMar>
          </w:tcPr>
          <w:p w14:paraId="61FB5097" w14:textId="09DDC72D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Рабочие </w:t>
            </w:r>
            <w:r w:rsidR="0085679C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fr-FR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документы</w:t>
            </w:r>
          </w:p>
        </w:tc>
        <w:tc>
          <w:tcPr>
            <w:tcW w:w="2482" w:type="dxa"/>
            <w:shd w:val="clear" w:color="auto" w:fill="FFFF99"/>
            <w:tcMar>
              <w:top w:w="57" w:type="dxa"/>
              <w:bottom w:w="57" w:type="dxa"/>
            </w:tcMar>
          </w:tcPr>
          <w:p w14:paraId="014F89A6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IOC/EC-57/5.2.Doc(1) </w:t>
            </w:r>
          </w:p>
        </w:tc>
        <w:tc>
          <w:tcPr>
            <w:tcW w:w="5171" w:type="dxa"/>
            <w:shd w:val="clear" w:color="auto" w:fill="FFFF99"/>
            <w:tcMar>
              <w:top w:w="57" w:type="dxa"/>
              <w:bottom w:w="57" w:type="dxa"/>
            </w:tcMar>
          </w:tcPr>
          <w:p w14:paraId="63606225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План действий в связи с проведенной IOS оценкой стратегического позиционирования МОК – Обновленная информация об осуществлении</w:t>
            </w:r>
          </w:p>
        </w:tc>
      </w:tr>
      <w:tr w:rsidR="005C239B" w:rsidRPr="005C239B" w14:paraId="1141603C" w14:textId="77777777" w:rsidTr="0085679C">
        <w:tc>
          <w:tcPr>
            <w:tcW w:w="1985" w:type="dxa"/>
            <w:shd w:val="clear" w:color="auto" w:fill="FFFF99"/>
            <w:tcMar>
              <w:top w:w="57" w:type="dxa"/>
              <w:bottom w:w="57" w:type="dxa"/>
            </w:tcMar>
          </w:tcPr>
          <w:p w14:paraId="7B9FA9B3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482" w:type="dxa"/>
            <w:shd w:val="clear" w:color="auto" w:fill="FFFF99"/>
            <w:tcMar>
              <w:top w:w="57" w:type="dxa"/>
              <w:bottom w:w="57" w:type="dxa"/>
            </w:tcMar>
          </w:tcPr>
          <w:p w14:paraId="373E2D11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IOC/EC-57/5.2.Doc(2) </w:t>
            </w:r>
          </w:p>
        </w:tc>
        <w:tc>
          <w:tcPr>
            <w:tcW w:w="5171" w:type="dxa"/>
            <w:shd w:val="clear" w:color="auto" w:fill="FFFF99"/>
            <w:tcMar>
              <w:top w:w="57" w:type="dxa"/>
              <w:bottom w:w="57" w:type="dxa"/>
            </w:tcMar>
          </w:tcPr>
          <w:p w14:paraId="6753B486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Доклад председателя межсессионной финансовой консультативной группы МОК (межсессионный период с января по июнь 2024 г.)</w:t>
            </w:r>
          </w:p>
        </w:tc>
      </w:tr>
      <w:tr w:rsidR="005C239B" w:rsidRPr="005C239B" w14:paraId="46F624CE" w14:textId="77777777" w:rsidTr="0085679C">
        <w:tc>
          <w:tcPr>
            <w:tcW w:w="1985" w:type="dxa"/>
            <w:shd w:val="clear" w:color="auto" w:fill="D5DCE4"/>
            <w:tcMar>
              <w:top w:w="57" w:type="dxa"/>
              <w:bottom w:w="57" w:type="dxa"/>
            </w:tcMar>
          </w:tcPr>
          <w:p w14:paraId="14159253" w14:textId="1C2EC046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Справочный </w:t>
            </w:r>
            <w:r w:rsidR="0085679C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fr-FR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</w:t>
            </w:r>
          </w:p>
        </w:tc>
        <w:tc>
          <w:tcPr>
            <w:tcW w:w="2482" w:type="dxa"/>
            <w:shd w:val="clear" w:color="auto" w:fill="auto"/>
            <w:tcMar>
              <w:top w:w="57" w:type="dxa"/>
              <w:bottom w:w="57" w:type="dxa"/>
            </w:tcMar>
          </w:tcPr>
          <w:p w14:paraId="1A9B3A4B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IOS/EVS/PI/197</w:t>
            </w:r>
          </w:p>
        </w:tc>
        <w:tc>
          <w:tcPr>
            <w:tcW w:w="5171" w:type="dxa"/>
            <w:shd w:val="clear" w:color="auto" w:fill="auto"/>
            <w:tcMar>
              <w:top w:w="57" w:type="dxa"/>
              <w:bottom w:w="57" w:type="dxa"/>
            </w:tcMar>
          </w:tcPr>
          <w:p w14:paraId="5018154E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Оценка стратегического позиционирования МОК/ЮНЕСКО</w:t>
            </w:r>
          </w:p>
        </w:tc>
      </w:tr>
    </w:tbl>
    <w:p w14:paraId="6BEEDA03" w14:textId="77777777" w:rsidR="005C239B" w:rsidRPr="005C239B" w:rsidRDefault="005C239B" w:rsidP="0085679C">
      <w:pPr>
        <w:pStyle w:val="Style2"/>
        <w:numPr>
          <w:ilvl w:val="0"/>
          <w:numId w:val="8"/>
        </w:numPr>
        <w:tabs>
          <w:tab w:val="left" w:pos="709"/>
        </w:tabs>
        <w:spacing w:before="240"/>
        <w:ind w:left="0" w:hanging="709"/>
        <w:rPr>
          <w:rFonts w:cs="Arial"/>
        </w:rPr>
      </w:pPr>
      <w:r>
        <w:t xml:space="preserve">Исполнительный секретарь МОК напомнил Совету о резолюции A-32/4.IV, принятой Ассамблеей МОК на ее 32-й сессии, в которой Ассамблея утвердила план действий, представленный в документе </w:t>
      </w:r>
      <w:hyperlink r:id="rId49" w:history="1">
        <w:r>
          <w:rPr>
            <w:rStyle w:val="Hyperlink"/>
          </w:rPr>
          <w:t>IOC/A-32/6.3.Doc(1)</w:t>
        </w:r>
      </w:hyperlink>
      <w:r>
        <w:t xml:space="preserve">, и просила Исполнительного секретаря МОК </w:t>
      </w:r>
      <w:r>
        <w:rPr>
          <w:i/>
        </w:rPr>
        <w:t>«продолжать осуществление плана действий с учетом меняющейся ситуации в МОК, в том числе с учетом имеющихся в наличии средств, предлагая соответствующие корректировки и отчитываясь о ходе работы перед руководящими органами МОК и ЮНЕСКО»</w:t>
      </w:r>
      <w:r>
        <w:t>.</w:t>
      </w:r>
    </w:p>
    <w:p w14:paraId="452E8380" w14:textId="77777777" w:rsidR="005C239B" w:rsidRPr="005C239B" w:rsidRDefault="005C239B" w:rsidP="0085679C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Г-н </w:t>
      </w:r>
      <w:proofErr w:type="spellStart"/>
      <w:r>
        <w:t>Хельгесен</w:t>
      </w:r>
      <w:proofErr w:type="spellEnd"/>
      <w:r>
        <w:t xml:space="preserve"> отметил, что несмотря на завершение выполнения некоторых из предусмотренных мер и продолжение работы в отношении других мер, принятие некоторых мер стратегического характера потребует дополнительного обсуждения на уровне Секретариата, а также с государствами-членами в контексте нового этапа консультативного процесса «МОК и будущее Мирового океана». Важной вехой в этом смысле станет 33-я сессия Ассамблеи МОК, которая пройдет в июне 2025 г.</w:t>
      </w:r>
    </w:p>
    <w:tbl>
      <w:tblPr>
        <w:tblW w:w="9889" w:type="dxa"/>
        <w:shd w:val="clear" w:color="auto" w:fill="CCFFCC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889"/>
      </w:tblGrid>
      <w:tr w:rsidR="005C239B" w:rsidRPr="005C239B" w14:paraId="221696E9" w14:textId="77777777" w:rsidTr="001B377A">
        <w:trPr>
          <w:trHeight w:val="380"/>
        </w:trPr>
        <w:tc>
          <w:tcPr>
            <w:tcW w:w="9889" w:type="dxa"/>
            <w:shd w:val="clear" w:color="auto" w:fill="CCFFCC"/>
            <w:tcMar>
              <w:top w:w="113" w:type="dxa"/>
              <w:bottom w:w="113" w:type="dxa"/>
            </w:tcMar>
          </w:tcPr>
          <w:p w14:paraId="24779A3F" w14:textId="77777777" w:rsidR="005C239B" w:rsidRPr="005C239B" w:rsidRDefault="005C239B" w:rsidP="00391D33">
            <w:pPr>
              <w:keepNext/>
              <w:spacing w:after="240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lastRenderedPageBreak/>
              <w:t>Реш. EC-57/5.2</w:t>
            </w:r>
          </w:p>
          <w:p w14:paraId="1B652713" w14:textId="77777777" w:rsidR="005C239B" w:rsidRPr="005C239B" w:rsidRDefault="005C239B" w:rsidP="00391D33">
            <w:pPr>
              <w:keepNext/>
              <w:tabs>
                <w:tab w:val="num" w:pos="1400"/>
              </w:tabs>
              <w:spacing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План действий в связи с проведенной IOS оценкой стратегического позиционирования МОК – Обновленная информация об осуществлении</w:t>
            </w:r>
          </w:p>
          <w:p w14:paraId="1298C29F" w14:textId="77777777" w:rsidR="005C239B" w:rsidRPr="005C239B" w:rsidRDefault="005C239B" w:rsidP="001B377A">
            <w:pPr>
              <w:keepLines/>
              <w:tabs>
                <w:tab w:val="num" w:pos="1400"/>
              </w:tabs>
              <w:spacing w:after="120"/>
              <w:ind w:left="720" w:hanging="7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Исполнительный совет,</w:t>
            </w:r>
          </w:p>
          <w:p w14:paraId="096F0284" w14:textId="77777777" w:rsidR="005C239B" w:rsidRPr="005C239B" w:rsidRDefault="005C239B" w:rsidP="005C239B">
            <w:pPr>
              <w:keepLines/>
              <w:numPr>
                <w:ilvl w:val="0"/>
                <w:numId w:val="10"/>
              </w:numPr>
              <w:tabs>
                <w:tab w:val="left" w:pos="-737"/>
              </w:tabs>
              <w:spacing w:after="120"/>
              <w:ind w:left="993" w:hanging="426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рассмотрев</w:t>
            </w:r>
            <w:r>
              <w:rPr>
                <w:rFonts w:ascii="Arial" w:hAnsi="Arial"/>
                <w:sz w:val="22"/>
                <w:szCs w:val="22"/>
              </w:rPr>
              <w:t xml:space="preserve"> документ IOC/EC-57/5.2.Doc(1),</w:t>
            </w:r>
          </w:p>
          <w:p w14:paraId="02C030A3" w14:textId="77777777" w:rsidR="005C239B" w:rsidRPr="005C239B" w:rsidRDefault="005C239B" w:rsidP="005C239B">
            <w:pPr>
              <w:keepLines/>
              <w:numPr>
                <w:ilvl w:val="0"/>
                <w:numId w:val="10"/>
              </w:numPr>
              <w:tabs>
                <w:tab w:val="left" w:pos="-737"/>
              </w:tabs>
              <w:spacing w:after="120"/>
              <w:ind w:left="993" w:hanging="426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принимает к сведению</w:t>
            </w:r>
            <w:r>
              <w:rPr>
                <w:rFonts w:ascii="Arial" w:hAnsi="Arial"/>
                <w:sz w:val="22"/>
                <w:szCs w:val="22"/>
              </w:rPr>
              <w:t xml:space="preserve"> документ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IOC/EC-57/5.2.Doc(1)</w:t>
            </w:r>
            <w:r>
              <w:rPr>
                <w:rFonts w:ascii="Arial" w:hAnsi="Arial"/>
                <w:sz w:val="22"/>
                <w:szCs w:val="22"/>
              </w:rPr>
              <w:t>, подлежащий дальнейшему рассмотрению комитетом по финансовым вопросам в целях подготовки проекта резолюции, который будет обсужден и принят на пленарном заседании в рамках обсуждения пункта 5.4 повестки дня.</w:t>
            </w:r>
          </w:p>
        </w:tc>
      </w:tr>
    </w:tbl>
    <w:p w14:paraId="57A83D3D" w14:textId="77777777" w:rsidR="005C239B" w:rsidRPr="00A141A8" w:rsidRDefault="005C239B" w:rsidP="005C239B">
      <w:pPr>
        <w:rPr>
          <w:rFonts w:ascii="Arial" w:hAnsi="Arial" w:cs="Arial"/>
          <w:sz w:val="22"/>
          <w:szCs w:val="22"/>
        </w:rPr>
      </w:pPr>
    </w:p>
    <w:p w14:paraId="6C4240C6" w14:textId="77777777" w:rsidR="005C239B" w:rsidRPr="005C239B" w:rsidRDefault="005C239B" w:rsidP="00F0671B">
      <w:pPr>
        <w:pStyle w:val="Style2"/>
        <w:numPr>
          <w:ilvl w:val="0"/>
          <w:numId w:val="8"/>
        </w:numPr>
        <w:tabs>
          <w:tab w:val="left" w:pos="709"/>
        </w:tabs>
        <w:spacing w:after="0"/>
        <w:ind w:left="0" w:hanging="709"/>
        <w:rPr>
          <w:rFonts w:cs="Arial"/>
        </w:rPr>
      </w:pPr>
      <w: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44BBD02F" w14:textId="77777777" w:rsidR="005C239B" w:rsidRPr="00A141A8" w:rsidRDefault="005C239B" w:rsidP="005C239B">
      <w:pPr>
        <w:pStyle w:val="Style2"/>
        <w:tabs>
          <w:tab w:val="clear" w:pos="1400"/>
          <w:tab w:val="left" w:pos="709"/>
        </w:tabs>
        <w:spacing w:after="0"/>
        <w:ind w:left="0" w:hanging="567"/>
        <w:rPr>
          <w:rFonts w:cs="Arial"/>
        </w:rPr>
      </w:pPr>
    </w:p>
    <w:p w14:paraId="742E7669" w14:textId="6253F70B" w:rsidR="005C239B" w:rsidRPr="005C239B" w:rsidRDefault="005C239B" w:rsidP="005C239B">
      <w:pPr>
        <w:pStyle w:val="Heading2"/>
        <w:ind w:left="709" w:hanging="709"/>
        <w:rPr>
          <w:rFonts w:eastAsia="Calibri" w:cs="Arial"/>
          <w:szCs w:val="22"/>
        </w:rPr>
      </w:pPr>
      <w:bookmarkStart w:id="144" w:name="_Toc85469075"/>
      <w:bookmarkStart w:id="145" w:name="_Toc166740243"/>
      <w:bookmarkEnd w:id="144"/>
      <w:r>
        <w:t>5.3</w:t>
      </w:r>
      <w:r>
        <w:tab/>
        <w:t>ВЫПОЛНЕНИЕ РЕЗОЛЮЦИИ A-32/4 ПО ВОПРОСАМ УПРАВЛЕНИЯ И ПОДГОТОВКИ ПРОГРАММЫ И БЮДЖЕТА КОМИССИИ</w:t>
      </w:r>
      <w:r>
        <w:br/>
        <w:t>[</w:t>
      </w:r>
      <w:r w:rsidR="00355FF3">
        <w:rPr>
          <w:caps w:val="0"/>
        </w:rPr>
        <w:t>Рез.</w:t>
      </w:r>
      <w:r>
        <w:t xml:space="preserve"> A-32/4]</w:t>
      </w:r>
      <w:bookmarkEnd w:id="145"/>
    </w:p>
    <w:tbl>
      <w:tblPr>
        <w:tblW w:w="9889" w:type="dxa"/>
        <w:tblLook w:val="0000" w:firstRow="0" w:lastRow="0" w:firstColumn="0" w:lastColumn="0" w:noHBand="0" w:noVBand="0"/>
      </w:tblPr>
      <w:tblGrid>
        <w:gridCol w:w="2235"/>
        <w:gridCol w:w="2268"/>
        <w:gridCol w:w="5386"/>
      </w:tblGrid>
      <w:tr w:rsidR="005C239B" w:rsidRPr="005C239B" w14:paraId="0EA98EE7" w14:textId="77777777" w:rsidTr="001B377A">
        <w:tc>
          <w:tcPr>
            <w:tcW w:w="2235" w:type="dxa"/>
            <w:shd w:val="clear" w:color="auto" w:fill="FFFF99"/>
            <w:tcMar>
              <w:top w:w="57" w:type="dxa"/>
              <w:bottom w:w="57" w:type="dxa"/>
            </w:tcMar>
          </w:tcPr>
          <w:p w14:paraId="35818418" w14:textId="77777777" w:rsidR="005C239B" w:rsidRPr="005C239B" w:rsidRDefault="005C239B" w:rsidP="001B377A">
            <w:pP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Рабочий документ</w:t>
            </w:r>
          </w:p>
        </w:tc>
        <w:tc>
          <w:tcPr>
            <w:tcW w:w="2268" w:type="dxa"/>
            <w:shd w:val="clear" w:color="auto" w:fill="FFFF99"/>
            <w:tcMar>
              <w:top w:w="57" w:type="dxa"/>
              <w:bottom w:w="57" w:type="dxa"/>
            </w:tcMar>
          </w:tcPr>
          <w:p w14:paraId="44B56090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IOC/EC-57/5.3.Doc(1) </w:t>
            </w:r>
          </w:p>
        </w:tc>
        <w:tc>
          <w:tcPr>
            <w:tcW w:w="5386" w:type="dxa"/>
            <w:shd w:val="clear" w:color="auto" w:fill="FFFF99"/>
            <w:tcMar>
              <w:top w:w="57" w:type="dxa"/>
              <w:bottom w:w="57" w:type="dxa"/>
            </w:tcMar>
          </w:tcPr>
          <w:p w14:paraId="7D4657F7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Проект руководящих принципов подготовки и участия государств-членов в проводимых раз в два года выборах Председателя и заместителей Председателя МОК (должностные лица Комиссии) и государств-членов Исполнительного совета</w:t>
            </w:r>
          </w:p>
        </w:tc>
      </w:tr>
      <w:tr w:rsidR="005C239B" w:rsidRPr="005C239B" w14:paraId="0DF9800F" w14:textId="77777777" w:rsidTr="001B377A">
        <w:tc>
          <w:tcPr>
            <w:tcW w:w="2235" w:type="dxa"/>
            <w:shd w:val="clear" w:color="auto" w:fill="D5DCE4"/>
            <w:tcMar>
              <w:top w:w="57" w:type="dxa"/>
              <w:bottom w:w="57" w:type="dxa"/>
            </w:tcMar>
          </w:tcPr>
          <w:p w14:paraId="19DBE440" w14:textId="413C5B19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 xml:space="preserve">Справочные </w:t>
            </w:r>
            <w:r w:rsidR="00F0671B">
              <w:rPr>
                <w:rFonts w:ascii="Arial" w:hAnsi="Arial"/>
                <w:i/>
                <w:color w:val="000000"/>
                <w:sz w:val="22"/>
                <w:szCs w:val="22"/>
                <w:u w:val="single"/>
                <w:lang w:val="fr-FR"/>
              </w:rPr>
              <w:br/>
            </w: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документы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23D024CC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IOC/INF-1148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bottom w:w="57" w:type="dxa"/>
            </w:tcMar>
          </w:tcPr>
          <w:p w14:paraId="03206CC5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Устав МОК</w:t>
            </w:r>
          </w:p>
        </w:tc>
      </w:tr>
      <w:tr w:rsidR="005C239B" w:rsidRPr="005C239B" w14:paraId="22C0F15B" w14:textId="77777777" w:rsidTr="001B377A">
        <w:tc>
          <w:tcPr>
            <w:tcW w:w="2235" w:type="dxa"/>
            <w:shd w:val="clear" w:color="auto" w:fill="D5DCE4"/>
            <w:tcMar>
              <w:top w:w="57" w:type="dxa"/>
              <w:bottom w:w="57" w:type="dxa"/>
            </w:tcMar>
          </w:tcPr>
          <w:p w14:paraId="37B285A9" w14:textId="77777777" w:rsidR="005C239B" w:rsidRPr="005C239B" w:rsidRDefault="005C239B" w:rsidP="001B377A">
            <w:pPr>
              <w:tabs>
                <w:tab w:val="left" w:pos="1132"/>
              </w:tabs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56BE7671" w14:textId="77777777" w:rsidR="005C239B" w:rsidRPr="005C239B" w:rsidRDefault="005C239B" w:rsidP="001B37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IOC/INF-1166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Rev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bottom w:w="57" w:type="dxa"/>
            </w:tcMar>
          </w:tcPr>
          <w:p w14:paraId="63D2A2EB" w14:textId="77777777" w:rsidR="005C239B" w:rsidRPr="005C239B" w:rsidRDefault="005C239B" w:rsidP="001B377A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Правила процедуры МОК</w:t>
            </w:r>
          </w:p>
        </w:tc>
      </w:tr>
    </w:tbl>
    <w:p w14:paraId="5EF7FDAF" w14:textId="77777777" w:rsidR="005C239B" w:rsidRPr="005C239B" w:rsidRDefault="005C239B" w:rsidP="005C239B">
      <w:pPr>
        <w:pStyle w:val="Marge"/>
        <w:spacing w:after="0"/>
        <w:rPr>
          <w:rFonts w:ascii="Arial" w:hAnsi="Arial" w:cs="Arial"/>
          <w:sz w:val="22"/>
          <w:szCs w:val="22"/>
          <w:lang w:eastAsia="en-GB"/>
        </w:rPr>
      </w:pPr>
    </w:p>
    <w:p w14:paraId="6ACC034E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567"/>
        <w:rPr>
          <w:rFonts w:cs="Arial"/>
        </w:rPr>
      </w:pPr>
      <w:r>
        <w:t xml:space="preserve">Исполнительный секретарь МОК напомнил Совету о </w:t>
      </w:r>
      <w:hyperlink r:id="rId50" w:history="1">
        <w:r>
          <w:rPr>
            <w:rStyle w:val="Hyperlink"/>
          </w:rPr>
          <w:t>резолюции А-32/4 Ассамблеи МОК</w:t>
        </w:r>
      </w:hyperlink>
      <w:r>
        <w:t xml:space="preserve">, принятой на ее 32- сессии, а также о завершившемся недавно процессе утверждения пересмотренных Правил процедуры МОК, которые в настоящее время опубликованы в качестве документа МОК/INF1166 </w:t>
      </w:r>
      <w:proofErr w:type="spellStart"/>
      <w:r>
        <w:t>Rev</w:t>
      </w:r>
      <w:proofErr w:type="spellEnd"/>
      <w:r>
        <w:t>. Проект руководящих принципов подготовки и участия государств-членов в проводимых раз в два года выборах Председателя и заместителей Председателя МОК (должностные лица Комиссии) и государств-членов Исполнительного совета (документ IOC/EC-57/5.3.Doc(1)) представляется Исполнительному совету для рассмотрения и формулирования замечаний перед последующей окончательной его доработкой и представлением на 33-й сессии Ассамблеи МОК. По просьбе государств-членов до начала сессии предполагается провести информационное совещание, которое позволит завершить подготовительную работу.</w:t>
      </w:r>
    </w:p>
    <w:tbl>
      <w:tblPr>
        <w:tblW w:w="9889" w:type="dxa"/>
        <w:shd w:val="clear" w:color="auto" w:fill="CCFFCC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889"/>
      </w:tblGrid>
      <w:tr w:rsidR="005C239B" w:rsidRPr="005C239B" w14:paraId="3AA06B6B" w14:textId="77777777" w:rsidTr="001B377A">
        <w:trPr>
          <w:trHeight w:val="380"/>
        </w:trPr>
        <w:tc>
          <w:tcPr>
            <w:tcW w:w="9889" w:type="dxa"/>
            <w:shd w:val="clear" w:color="auto" w:fill="CCFFCC"/>
            <w:tcMar>
              <w:top w:w="113" w:type="dxa"/>
              <w:bottom w:w="113" w:type="dxa"/>
            </w:tcMar>
          </w:tcPr>
          <w:p w14:paraId="2FA7B448" w14:textId="77777777" w:rsidR="005C239B" w:rsidRPr="005C239B" w:rsidRDefault="005C239B" w:rsidP="001B377A">
            <w:pPr>
              <w:spacing w:after="240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Реш. EC-57/5.3</w:t>
            </w:r>
          </w:p>
          <w:p w14:paraId="4FBC0C31" w14:textId="77777777" w:rsidR="005C239B" w:rsidRPr="005C239B" w:rsidRDefault="005C239B" w:rsidP="001B377A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Выполнение резолюции A-32/4 по вопросам управления и подготовки программы и бюджета Комиссии</w:t>
            </w:r>
          </w:p>
          <w:p w14:paraId="7C2C8C10" w14:textId="77777777" w:rsidR="005C239B" w:rsidRPr="005C239B" w:rsidRDefault="005C239B" w:rsidP="001B377A">
            <w:pPr>
              <w:spacing w:after="24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Исполнительный совет,</w:t>
            </w:r>
          </w:p>
          <w:p w14:paraId="540640F7" w14:textId="77777777" w:rsidR="005C239B" w:rsidRPr="005C239B" w:rsidRDefault="005C239B" w:rsidP="0052306E">
            <w:pPr>
              <w:keepLines/>
              <w:numPr>
                <w:ilvl w:val="0"/>
                <w:numId w:val="23"/>
              </w:numPr>
              <w:tabs>
                <w:tab w:val="left" w:pos="-737"/>
                <w:tab w:val="left" w:pos="851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рассмотрев</w:t>
            </w:r>
            <w:r>
              <w:rPr>
                <w:rFonts w:ascii="Arial" w:hAnsi="Arial"/>
                <w:sz w:val="22"/>
                <w:szCs w:val="22"/>
              </w:rPr>
              <w:t xml:space="preserve"> документ IOC/EC-57/5.3.Doc(1),</w:t>
            </w:r>
          </w:p>
          <w:p w14:paraId="0EF72704" w14:textId="77777777" w:rsidR="005C239B" w:rsidRPr="005C239B" w:rsidRDefault="005C239B" w:rsidP="0052306E">
            <w:pPr>
              <w:keepLines/>
              <w:numPr>
                <w:ilvl w:val="0"/>
                <w:numId w:val="23"/>
              </w:numPr>
              <w:tabs>
                <w:tab w:val="left" w:pos="-737"/>
                <w:tab w:val="left" w:pos="851"/>
              </w:tabs>
              <w:spacing w:after="120"/>
              <w:ind w:left="851" w:hanging="491"/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lastRenderedPageBreak/>
              <w:t>принимает к сведению</w:t>
            </w:r>
            <w:r>
              <w:rPr>
                <w:rFonts w:ascii="Arial" w:hAnsi="Arial"/>
                <w:sz w:val="22"/>
                <w:szCs w:val="22"/>
              </w:rPr>
              <w:t xml:space="preserve"> проект руководящих принципов подготовки и участия государств-членов в проводимых раз в два года выборах Председателя и заместителей Председателя МОК (должностные лица Комиссии) и государств-членов Исполнительного совета, подлежащий дальнейшему рассмотрению комитетом по финансовым вопросам в целях подготовки проекта резолюции, который будет обсужден и принят на пленарном заседании в рамках обсуждения пункта 5.4 повестки дня.</w:t>
            </w:r>
          </w:p>
        </w:tc>
      </w:tr>
    </w:tbl>
    <w:p w14:paraId="3745ACBB" w14:textId="77777777" w:rsidR="005C239B" w:rsidRPr="00A141A8" w:rsidRDefault="005C239B" w:rsidP="005C239B">
      <w:pPr>
        <w:pStyle w:val="Style2"/>
        <w:tabs>
          <w:tab w:val="clear" w:pos="1400"/>
          <w:tab w:val="left" w:pos="709"/>
        </w:tabs>
        <w:spacing w:after="0"/>
        <w:rPr>
          <w:rFonts w:cs="Arial"/>
        </w:rPr>
      </w:pPr>
    </w:p>
    <w:p w14:paraId="07005901" w14:textId="77777777" w:rsidR="005C239B" w:rsidRPr="005C239B" w:rsidRDefault="005C239B" w:rsidP="00970EC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33633163" w14:textId="5571928F" w:rsidR="005C239B" w:rsidRPr="005C239B" w:rsidRDefault="005C239B" w:rsidP="005C239B">
      <w:pPr>
        <w:pStyle w:val="Heading2"/>
        <w:ind w:left="709" w:hanging="709"/>
        <w:rPr>
          <w:rFonts w:eastAsia="Calibri" w:cs="Arial"/>
          <w:szCs w:val="22"/>
        </w:rPr>
      </w:pPr>
      <w:bookmarkStart w:id="146" w:name="_Toc166740244"/>
      <w:r>
        <w:t>5.4</w:t>
      </w:r>
      <w:r>
        <w:tab/>
        <w:t>ДОКЛАД ПРЕДСЕДАТЕЛЯ КОМИТЕТА ПО ФИНАНСОВЫМ ВОПРОСАМ</w:t>
      </w:r>
      <w:r>
        <w:br/>
        <w:t>[</w:t>
      </w:r>
      <w:r>
        <w:rPr>
          <w:caps w:val="0"/>
          <w:szCs w:val="22"/>
        </w:rPr>
        <w:t xml:space="preserve">статья </w:t>
      </w:r>
      <w:r>
        <w:t xml:space="preserve">1.2 </w:t>
      </w:r>
      <w:r w:rsidR="00355FF3">
        <w:rPr>
          <w:caps w:val="0"/>
        </w:rPr>
        <w:t>Устава</w:t>
      </w:r>
      <w:r>
        <w:t>]</w:t>
      </w:r>
      <w:bookmarkEnd w:id="146"/>
    </w:p>
    <w:p w14:paraId="7F6A7B60" w14:textId="77777777" w:rsidR="005C239B" w:rsidRPr="005C239B" w:rsidRDefault="005C239B" w:rsidP="00970EC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Председатель комитета по финансовым вопросам, заместитель Председателя МОК г-н Хуан </w:t>
      </w:r>
      <w:proofErr w:type="spellStart"/>
      <w:r>
        <w:t>Фореро</w:t>
      </w:r>
      <w:proofErr w:type="spellEnd"/>
      <w:r>
        <w:t xml:space="preserve"> Хаузер (Колумбия) представил Исполнительному совету информацию о результатах рассмотрения комитетом пунктов повестки дня, препровожденных ему в ходе пленарного заседания, а также вопросов, предусмотренных в статье 45.1(c) Правил процедуры.</w:t>
      </w:r>
    </w:p>
    <w:tbl>
      <w:tblPr>
        <w:tblW w:w="0" w:type="auto"/>
        <w:shd w:val="clear" w:color="auto" w:fill="FBE4D5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5C239B" w:rsidRPr="005C239B" w14:paraId="786072B6" w14:textId="77777777" w:rsidTr="001B377A">
        <w:trPr>
          <w:trHeight w:val="536"/>
        </w:trPr>
        <w:tc>
          <w:tcPr>
            <w:tcW w:w="9747" w:type="dxa"/>
            <w:shd w:val="clear" w:color="auto" w:fill="FBE4D5"/>
            <w:tcMar>
              <w:top w:w="113" w:type="dxa"/>
              <w:bottom w:w="113" w:type="dxa"/>
            </w:tcMar>
          </w:tcPr>
          <w:p w14:paraId="330C1EF7" w14:textId="77777777" w:rsidR="005C239B" w:rsidRPr="005C239B" w:rsidRDefault="005C239B" w:rsidP="001B377A">
            <w:pPr>
              <w:spacing w:after="240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Проект резолюции EC-57/[5.4]</w:t>
            </w:r>
          </w:p>
          <w:p w14:paraId="730CC4C4" w14:textId="77777777" w:rsidR="005C239B" w:rsidRPr="005C239B" w:rsidRDefault="005C239B" w:rsidP="001B377A">
            <w:pPr>
              <w:spacing w:after="240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Представлен: ___________________________</w:t>
            </w:r>
          </w:p>
          <w:p w14:paraId="4BE587A4" w14:textId="77777777" w:rsidR="005C239B" w:rsidRPr="005C239B" w:rsidRDefault="005C239B" w:rsidP="001B377A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Аспекты деятельности Комиссии, касающиеся управления и подготовки программы и бюджета</w:t>
            </w:r>
          </w:p>
          <w:p w14:paraId="3F9182E8" w14:textId="77777777" w:rsidR="005C239B" w:rsidRPr="005C239B" w:rsidRDefault="005C239B" w:rsidP="001B377A">
            <w:pPr>
              <w:spacing w:after="24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Исполнительный совет,</w:t>
            </w:r>
          </w:p>
          <w:p w14:paraId="4C57E070" w14:textId="77777777" w:rsidR="005C239B" w:rsidRPr="005C239B" w:rsidRDefault="005C239B" w:rsidP="005C239B">
            <w:pPr>
              <w:pStyle w:val="b"/>
              <w:numPr>
                <w:ilvl w:val="0"/>
                <w:numId w:val="13"/>
              </w:numPr>
              <w:tabs>
                <w:tab w:val="clear" w:pos="1134"/>
              </w:tabs>
              <w:snapToGrid w:val="0"/>
              <w:spacing w:after="120"/>
              <w:ind w:hanging="720"/>
              <w:rPr>
                <w:rFonts w:ascii="Arial" w:eastAsia="Calibri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  <w:u w:val="single"/>
              </w:rPr>
              <w:t>рассмотрев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документы</w:t>
            </w:r>
          </w:p>
          <w:p w14:paraId="624A0094" w14:textId="77777777" w:rsidR="005C239B" w:rsidRPr="005C239B" w:rsidRDefault="005C239B" w:rsidP="001B377A">
            <w:pPr>
              <w:pStyle w:val="ListParagraph"/>
              <w:keepNext/>
              <w:snapToGrid w:val="0"/>
              <w:spacing w:after="120"/>
              <w:contextualSpacing w:val="0"/>
              <w:jc w:val="both"/>
              <w:rPr>
                <w:rFonts w:ascii="Arial" w:eastAsia="Calibri" w:hAnsi="Arial" w:cs="Arial"/>
                <w:snapToGrid w:val="0"/>
                <w:sz w:val="22"/>
                <w:szCs w:val="22"/>
                <w:lang w:val="en-GB" w:eastAsia="en-US"/>
              </w:rPr>
            </w:pPr>
          </w:p>
          <w:p w14:paraId="4C050A14" w14:textId="77777777" w:rsidR="005C239B" w:rsidRPr="005C239B" w:rsidRDefault="005C239B" w:rsidP="001B377A">
            <w:pPr>
              <w:pStyle w:val="ListParagraph"/>
              <w:keepNext/>
              <w:snapToGrid w:val="0"/>
              <w:spacing w:after="120"/>
              <w:ind w:left="0"/>
              <w:contextualSpacing w:val="0"/>
              <w:jc w:val="both"/>
              <w:rPr>
                <w:rFonts w:ascii="Arial" w:eastAsia="Calibri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  <w:u w:val="single"/>
              </w:rPr>
              <w:t>[</w:t>
            </w:r>
            <w:r>
              <w:rPr>
                <w:rFonts w:ascii="Arial" w:hAnsi="Arial"/>
                <w:i/>
                <w:color w:val="000000"/>
                <w:sz w:val="22"/>
                <w:szCs w:val="22"/>
              </w:rPr>
              <w:t>Проект резолюции будет подготовлен в ходе сессии]</w:t>
            </w:r>
          </w:p>
        </w:tc>
      </w:tr>
    </w:tbl>
    <w:p w14:paraId="271D9AF7" w14:textId="77777777" w:rsidR="005C239B" w:rsidRPr="00A141A8" w:rsidRDefault="005C239B" w:rsidP="005C239B">
      <w:pPr>
        <w:pStyle w:val="Style2"/>
        <w:tabs>
          <w:tab w:val="clear" w:pos="1400"/>
          <w:tab w:val="left" w:pos="709"/>
        </w:tabs>
        <w:spacing w:after="0"/>
        <w:ind w:left="0"/>
        <w:rPr>
          <w:rFonts w:cs="Arial"/>
        </w:rPr>
      </w:pPr>
    </w:p>
    <w:p w14:paraId="35CED078" w14:textId="77777777" w:rsidR="005C239B" w:rsidRPr="005C239B" w:rsidRDefault="005C239B" w:rsidP="005C239B">
      <w:pPr>
        <w:pStyle w:val="Style2"/>
        <w:numPr>
          <w:ilvl w:val="0"/>
          <w:numId w:val="8"/>
        </w:numPr>
        <w:tabs>
          <w:tab w:val="left" w:pos="709"/>
        </w:tabs>
        <w:ind w:left="0" w:hanging="567"/>
        <w:rPr>
          <w:rFonts w:cs="Arial"/>
        </w:rPr>
      </w:pPr>
      <w: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5A206428" w14:textId="77777777" w:rsidR="005C239B" w:rsidRPr="005C239B" w:rsidRDefault="005C239B" w:rsidP="00970ECE">
      <w:pPr>
        <w:pStyle w:val="Heading1"/>
        <w:numPr>
          <w:ilvl w:val="0"/>
          <w:numId w:val="9"/>
        </w:numPr>
        <w:spacing w:before="360"/>
        <w:ind w:left="567" w:hanging="578"/>
        <w:rPr>
          <w:rFonts w:cs="Arial"/>
          <w:b w:val="0"/>
          <w:bCs w:val="0"/>
          <w:szCs w:val="22"/>
        </w:rPr>
      </w:pPr>
      <w:bookmarkStart w:id="147" w:name="_Toc166740245"/>
      <w:bookmarkStart w:id="148" w:name="_Toc415051565"/>
      <w:bookmarkStart w:id="149" w:name="_Toc445908060"/>
      <w:r>
        <w:t>ПОДГОТОВКА СЛЕДУЮЩИХ СЕССИЙ АССАМБЛЕИ И ИСПОЛНИТЕЛЬНОГО СОВЕТА</w:t>
      </w:r>
      <w:r>
        <w:br/>
      </w:r>
      <w:r w:rsidRPr="00355FF3">
        <w:rPr>
          <w:b w:val="0"/>
          <w:bCs w:val="0"/>
        </w:rPr>
        <w:t>[статья 53.2 Правил процедуры; Реш. A-32/6.6]</w:t>
      </w:r>
      <w:bookmarkEnd w:id="147"/>
    </w:p>
    <w:p w14:paraId="27AF4732" w14:textId="77777777" w:rsidR="005C239B" w:rsidRPr="005C239B" w:rsidRDefault="005C239B" w:rsidP="00970EC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bookmarkStart w:id="150" w:name="_Toc289696468"/>
      <w:bookmarkStart w:id="151" w:name="_Toc357517573"/>
      <w:bookmarkStart w:id="152" w:name="_Toc358657316"/>
      <w:bookmarkEnd w:id="107"/>
      <w:bookmarkEnd w:id="108"/>
      <w:bookmarkEnd w:id="109"/>
      <w:bookmarkEnd w:id="110"/>
      <w:bookmarkEnd w:id="111"/>
      <w:bookmarkEnd w:id="112"/>
      <w:bookmarkEnd w:id="113"/>
      <w:bookmarkEnd w:id="148"/>
      <w:bookmarkEnd w:id="149"/>
      <w:r>
        <w:t>Исполнительный секретарь напомнил Совету о решении А-32/6.6 Ассамблеи МОК, принятом на ее 32 сессии.</w:t>
      </w:r>
    </w:p>
    <w:tbl>
      <w:tblPr>
        <w:tblW w:w="9889" w:type="dxa"/>
        <w:shd w:val="clear" w:color="auto" w:fill="CCFFCC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889"/>
      </w:tblGrid>
      <w:tr w:rsidR="005C239B" w:rsidRPr="005C239B" w14:paraId="3DD7DE88" w14:textId="77777777" w:rsidTr="001B377A">
        <w:trPr>
          <w:trHeight w:val="380"/>
        </w:trPr>
        <w:tc>
          <w:tcPr>
            <w:tcW w:w="9889" w:type="dxa"/>
            <w:shd w:val="clear" w:color="auto" w:fill="CCFFCC"/>
            <w:tcMar>
              <w:top w:w="113" w:type="dxa"/>
              <w:bottom w:w="113" w:type="dxa"/>
            </w:tcMar>
          </w:tcPr>
          <w:p w14:paraId="0A4B1BE3" w14:textId="77777777" w:rsidR="005C239B" w:rsidRPr="005C239B" w:rsidRDefault="005C239B" w:rsidP="00D82011">
            <w:pPr>
              <w:keepNext/>
              <w:spacing w:after="240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lastRenderedPageBreak/>
              <w:t>Реш. EC-57/6</w:t>
            </w:r>
          </w:p>
          <w:p w14:paraId="7E799B51" w14:textId="77777777" w:rsidR="005C239B" w:rsidRPr="005C239B" w:rsidRDefault="005C239B" w:rsidP="00D82011">
            <w:pPr>
              <w:keepNext/>
              <w:tabs>
                <w:tab w:val="num" w:pos="1400"/>
              </w:tabs>
              <w:spacing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Подготовка 33-й сессии Ассамблеи и следующих сессий Исполнительного совета</w:t>
            </w:r>
          </w:p>
          <w:p w14:paraId="1A487A0C" w14:textId="77777777" w:rsidR="005C239B" w:rsidRPr="005C239B" w:rsidRDefault="005C239B" w:rsidP="00D82011">
            <w:pPr>
              <w:keepNext/>
              <w:tabs>
                <w:tab w:val="num" w:pos="1400"/>
              </w:tabs>
              <w:spacing w:after="120"/>
              <w:ind w:left="720" w:hanging="7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Исполнительный совет,</w:t>
            </w:r>
          </w:p>
          <w:p w14:paraId="697EEF81" w14:textId="77777777" w:rsidR="005C239B" w:rsidRPr="005C239B" w:rsidRDefault="005C239B" w:rsidP="00D82011">
            <w:pPr>
              <w:keepNext/>
              <w:numPr>
                <w:ilvl w:val="0"/>
                <w:numId w:val="24"/>
              </w:numPr>
              <w:tabs>
                <w:tab w:val="left" w:pos="-737"/>
              </w:tabs>
              <w:spacing w:after="120"/>
              <w:ind w:left="980" w:hanging="41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ссылаясь</w:t>
            </w:r>
            <w:r>
              <w:rPr>
                <w:rFonts w:ascii="Arial" w:hAnsi="Arial"/>
                <w:sz w:val="22"/>
                <w:szCs w:val="22"/>
              </w:rPr>
              <w:t xml:space="preserve"> на рекомендации 55-й сессии Исполнительного совета (Реш. EC-55/5.3) в отношении продолжительности его сессий и решение A-32/6.6 Ассамблеи МОК, принятое на ее 32-й сессии,</w:t>
            </w:r>
          </w:p>
          <w:p w14:paraId="45B71D33" w14:textId="77777777" w:rsidR="005C239B" w:rsidRPr="005C239B" w:rsidRDefault="005C239B" w:rsidP="00D82011">
            <w:pPr>
              <w:keepNext/>
              <w:numPr>
                <w:ilvl w:val="0"/>
                <w:numId w:val="24"/>
              </w:numPr>
              <w:tabs>
                <w:tab w:val="left" w:pos="-737"/>
              </w:tabs>
              <w:spacing w:after="120"/>
              <w:ind w:left="980" w:hanging="41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постановляет</w:t>
            </w:r>
            <w:r>
              <w:rPr>
                <w:rFonts w:ascii="Arial" w:hAnsi="Arial"/>
                <w:sz w:val="22"/>
                <w:szCs w:val="22"/>
              </w:rPr>
              <w:t xml:space="preserve"> провести:</w:t>
            </w:r>
          </w:p>
          <w:p w14:paraId="1CE8189A" w14:textId="77777777" w:rsidR="005C239B" w:rsidRPr="005C239B" w:rsidRDefault="005C239B" w:rsidP="00D82011">
            <w:pPr>
              <w:keepNext/>
              <w:numPr>
                <w:ilvl w:val="0"/>
                <w:numId w:val="15"/>
              </w:numPr>
              <w:tabs>
                <w:tab w:val="left" w:pos="-737"/>
                <w:tab w:val="left" w:pos="1418"/>
              </w:tabs>
              <w:spacing w:after="120"/>
              <w:ind w:left="1418" w:hanging="43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33-ю сессию Ассамблеи продолжительностью 6,5 дней без учета Дня науки об океане в Штаб-квартире ЮНЕСКО в июне-июле 2025 г., которой будет предшествовать однодневная сессия Исполнительного совета МОК (58-я сессия), выступающего в качестве руководящего комитета Ассамблеи;</w:t>
            </w:r>
          </w:p>
          <w:p w14:paraId="0F049514" w14:textId="77777777" w:rsidR="005C239B" w:rsidRPr="005C239B" w:rsidRDefault="005C239B" w:rsidP="00D82011">
            <w:pPr>
              <w:pStyle w:val="ListParagraph"/>
              <w:keepNext/>
              <w:numPr>
                <w:ilvl w:val="0"/>
                <w:numId w:val="15"/>
              </w:numPr>
              <w:tabs>
                <w:tab w:val="left" w:pos="709"/>
                <w:tab w:val="left" w:pos="1418"/>
              </w:tabs>
              <w:snapToGrid w:val="0"/>
              <w:spacing w:after="120"/>
              <w:ind w:left="1418" w:hanging="438"/>
              <w:contextualSpacing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59-ю сессии Исполнительного совета продолжительностью 3,5 дня в Штаб-квартире ЮНЕСКО, Париж, в период с ______________ 2026 г.</w:t>
            </w:r>
          </w:p>
        </w:tc>
      </w:tr>
    </w:tbl>
    <w:p w14:paraId="1D80DF13" w14:textId="77777777" w:rsidR="005C239B" w:rsidRPr="00A141A8" w:rsidRDefault="005C239B" w:rsidP="005C239B">
      <w:pPr>
        <w:pStyle w:val="Style2"/>
        <w:tabs>
          <w:tab w:val="clear" w:pos="1400"/>
          <w:tab w:val="left" w:pos="709"/>
        </w:tabs>
        <w:ind w:left="0"/>
        <w:rPr>
          <w:rFonts w:cs="Arial"/>
        </w:rPr>
      </w:pPr>
    </w:p>
    <w:p w14:paraId="73FAA34E" w14:textId="77777777" w:rsidR="005C239B" w:rsidRPr="005C239B" w:rsidRDefault="005C239B" w:rsidP="00970ECE">
      <w:pPr>
        <w:pStyle w:val="Style2"/>
        <w:numPr>
          <w:ilvl w:val="0"/>
          <w:numId w:val="8"/>
        </w:numPr>
        <w:tabs>
          <w:tab w:val="left" w:pos="709"/>
        </w:tabs>
        <w:spacing w:after="0"/>
        <w:ind w:left="0" w:hanging="709"/>
        <w:rPr>
          <w:rFonts w:cs="Arial"/>
        </w:rPr>
      </w:pPr>
      <w: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7157EB82" w14:textId="77777777" w:rsidR="005C239B" w:rsidRPr="005C239B" w:rsidRDefault="005C239B" w:rsidP="00970ECE">
      <w:pPr>
        <w:pStyle w:val="Heading1"/>
        <w:numPr>
          <w:ilvl w:val="0"/>
          <w:numId w:val="9"/>
        </w:numPr>
        <w:spacing w:before="360"/>
        <w:ind w:left="567" w:hanging="578"/>
        <w:rPr>
          <w:rFonts w:cs="Arial"/>
          <w:b w:val="0"/>
          <w:bCs w:val="0"/>
          <w:szCs w:val="22"/>
        </w:rPr>
      </w:pPr>
      <w:bookmarkStart w:id="153" w:name="_Toc141510531"/>
      <w:bookmarkStart w:id="154" w:name="_Toc166740246"/>
      <w:bookmarkEnd w:id="150"/>
      <w:bookmarkEnd w:id="151"/>
      <w:bookmarkEnd w:id="152"/>
      <w:bookmarkEnd w:id="153"/>
      <w:r>
        <w:t>ПРИНЯТИЕ РЕЗОЛЮЦИЙ И ПОРЯДОК ЗАВЕРШЕНИЯ РАБОТЫ НАД ДОКЛАДОМ</w:t>
      </w:r>
      <w:r>
        <w:br/>
      </w:r>
      <w:r w:rsidRPr="00355FF3">
        <w:rPr>
          <w:b w:val="0"/>
          <w:bCs w:val="0"/>
        </w:rPr>
        <w:t>[статья С.7 Устава, статья 30 Правил процедуры]</w:t>
      </w:r>
      <w:bookmarkEnd w:id="154"/>
    </w:p>
    <w:p w14:paraId="54F2C3F3" w14:textId="77777777" w:rsidR="005C239B" w:rsidRPr="005C239B" w:rsidRDefault="005C239B" w:rsidP="00970EC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bookmarkStart w:id="155" w:name="_Toc289696443"/>
      <w:bookmarkStart w:id="156" w:name="_Toc358657278"/>
      <w:r>
        <w:t>Председатель поблагодарил докладчика г-на/г-жу ______ [страна] за его/ее отличную работу, содействовавшую успешному проведению сессии.</w:t>
      </w:r>
    </w:p>
    <w:p w14:paraId="00542682" w14:textId="77777777" w:rsidR="005C239B" w:rsidRPr="005C239B" w:rsidRDefault="005C239B" w:rsidP="00970EC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Председатель комитета по резолюциям представил Совету доклад о работе комитета в ходе текущей сессии (см. приложение __ к настоящему докладу).</w:t>
      </w:r>
    </w:p>
    <w:p w14:paraId="37560BEA" w14:textId="77777777" w:rsidR="005C239B" w:rsidRPr="005C239B" w:rsidRDefault="005C239B" w:rsidP="00970EC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Затем Председатель МОК предложил Исполнительному совету утвердить на пленарном заседании проекты решений, которые не были приняты на момент завершения пленарной дискуссии, а также проекты ___ резолюций. Части проекта краткого доклада о состоявшихся на нынешней сессии дискуссиях были представлены Совету в порядке информации только на английском языке.</w:t>
      </w:r>
    </w:p>
    <w:tbl>
      <w:tblPr>
        <w:tblW w:w="0" w:type="auto"/>
        <w:shd w:val="clear" w:color="auto" w:fill="CCFFCC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747"/>
      </w:tblGrid>
      <w:tr w:rsidR="005C239B" w:rsidRPr="005C239B" w14:paraId="16BD88A7" w14:textId="77777777" w:rsidTr="00970ECE">
        <w:trPr>
          <w:trHeight w:val="596"/>
        </w:trPr>
        <w:tc>
          <w:tcPr>
            <w:tcW w:w="9747" w:type="dxa"/>
            <w:shd w:val="clear" w:color="auto" w:fill="CCFFCC"/>
            <w:tcMar>
              <w:top w:w="113" w:type="dxa"/>
              <w:bottom w:w="113" w:type="dxa"/>
            </w:tcMar>
          </w:tcPr>
          <w:p w14:paraId="7B13DCCF" w14:textId="77777777" w:rsidR="005C239B" w:rsidRPr="005C239B" w:rsidRDefault="005C239B" w:rsidP="001B377A">
            <w:pPr>
              <w:spacing w:after="240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bookmarkStart w:id="157" w:name="_ADOPTION_OF_RESOLUTIONS"/>
            <w:bookmarkEnd w:id="155"/>
            <w:bookmarkEnd w:id="156"/>
            <w:bookmarkEnd w:id="157"/>
            <w:r>
              <w:rPr>
                <w:rFonts w:ascii="Arial" w:hAnsi="Arial"/>
                <w:sz w:val="22"/>
                <w:szCs w:val="22"/>
                <w:u w:val="single"/>
              </w:rPr>
              <w:t>Реш. EC-57/7</w:t>
            </w:r>
          </w:p>
          <w:p w14:paraId="440AE065" w14:textId="77777777" w:rsidR="005C239B" w:rsidRPr="005C239B" w:rsidRDefault="005C239B" w:rsidP="001B377A">
            <w:pPr>
              <w:keepLines/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Принятие резолюций и порядок завершения работы над докладом</w:t>
            </w:r>
          </w:p>
          <w:p w14:paraId="704F4B72" w14:textId="77777777" w:rsidR="005C239B" w:rsidRPr="005C239B" w:rsidRDefault="005C239B" w:rsidP="001B377A">
            <w:pPr>
              <w:keepLines/>
              <w:tabs>
                <w:tab w:val="num" w:pos="1400"/>
              </w:tabs>
              <w:spacing w:after="120"/>
              <w:ind w:left="720" w:hanging="7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Исполнительный совет,</w:t>
            </w:r>
          </w:p>
          <w:p w14:paraId="2D0E3C91" w14:textId="537A4C13" w:rsidR="005C239B" w:rsidRPr="005C239B" w:rsidRDefault="005C239B" w:rsidP="00970ECE">
            <w:pPr>
              <w:keepLines/>
              <w:numPr>
                <w:ilvl w:val="0"/>
                <w:numId w:val="19"/>
              </w:numPr>
              <w:tabs>
                <w:tab w:val="left" w:pos="-737"/>
              </w:tabs>
              <w:spacing w:after="120"/>
              <w:ind w:left="850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15AA">
              <w:rPr>
                <w:rFonts w:ascii="Arial" w:hAnsi="Arial"/>
                <w:sz w:val="22"/>
                <w:szCs w:val="22"/>
                <w:u w:val="single"/>
              </w:rPr>
              <w:t>напоминая</w:t>
            </w:r>
            <w:r>
              <w:rPr>
                <w:rFonts w:ascii="Arial" w:hAnsi="Arial"/>
                <w:sz w:val="22"/>
                <w:szCs w:val="22"/>
              </w:rPr>
              <w:t xml:space="preserve"> о рекомендациях 52-й сессии Исполнительного совета (решение EC</w:t>
            </w:r>
            <w:r w:rsidR="00970ECE" w:rsidRPr="00970ECE">
              <w:rPr>
                <w:rFonts w:ascii="Arial" w:hAnsi="Arial"/>
                <w:sz w:val="22"/>
                <w:szCs w:val="22"/>
              </w:rPr>
              <w:noBreakHyphen/>
            </w:r>
            <w:r>
              <w:rPr>
                <w:rFonts w:ascii="Arial" w:hAnsi="Arial"/>
                <w:sz w:val="22"/>
                <w:szCs w:val="22"/>
              </w:rPr>
              <w:t>LII/3.3), касающихся организационных вопросов,</w:t>
            </w:r>
          </w:p>
          <w:p w14:paraId="16364CBD" w14:textId="77777777" w:rsidR="005C239B" w:rsidRPr="005C239B" w:rsidRDefault="005C239B" w:rsidP="00970ECE">
            <w:pPr>
              <w:keepLines/>
              <w:numPr>
                <w:ilvl w:val="0"/>
                <w:numId w:val="19"/>
              </w:numPr>
              <w:tabs>
                <w:tab w:val="left" w:pos="-737"/>
              </w:tabs>
              <w:spacing w:after="120"/>
              <w:ind w:left="850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утверждает</w:t>
            </w:r>
            <w:r>
              <w:rPr>
                <w:rFonts w:ascii="Arial" w:hAnsi="Arial"/>
                <w:sz w:val="22"/>
                <w:szCs w:val="22"/>
              </w:rPr>
              <w:t xml:space="preserve"> решения и ___ резолюции нынешней сессии, содержащиеся в документе IOC/EC-57/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Decisions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;</w:t>
            </w:r>
          </w:p>
          <w:p w14:paraId="3C2A9BC4" w14:textId="77777777" w:rsidR="005C239B" w:rsidRPr="005C239B" w:rsidRDefault="005C239B" w:rsidP="00970ECE">
            <w:pPr>
              <w:keepLines/>
              <w:numPr>
                <w:ilvl w:val="0"/>
                <w:numId w:val="19"/>
              </w:numPr>
              <w:tabs>
                <w:tab w:val="left" w:pos="-737"/>
              </w:tabs>
              <w:spacing w:after="120"/>
              <w:ind w:left="850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принимает к сведению</w:t>
            </w:r>
            <w:r>
              <w:rPr>
                <w:rFonts w:ascii="Arial" w:hAnsi="Arial"/>
                <w:sz w:val="22"/>
                <w:szCs w:val="22"/>
              </w:rPr>
              <w:t xml:space="preserve"> подготовленный Секретариатом проект краткого доклада сессии;</w:t>
            </w:r>
          </w:p>
          <w:p w14:paraId="49A69561" w14:textId="77777777" w:rsidR="005C239B" w:rsidRPr="005C239B" w:rsidRDefault="005C239B" w:rsidP="00970ECE">
            <w:pPr>
              <w:keepLines/>
              <w:numPr>
                <w:ilvl w:val="0"/>
                <w:numId w:val="19"/>
              </w:numPr>
              <w:tabs>
                <w:tab w:val="left" w:pos="-737"/>
              </w:tabs>
              <w:ind w:left="850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просит</w:t>
            </w:r>
            <w:r>
              <w:rPr>
                <w:rFonts w:ascii="Arial" w:hAnsi="Arial"/>
                <w:sz w:val="22"/>
                <w:szCs w:val="22"/>
              </w:rPr>
              <w:t xml:space="preserve"> Исполнительного секретаря не позднее сентября 2024 г. направить описательную часть доклада на четырех рабочих языках Комиссии государствам-членам.</w:t>
            </w:r>
          </w:p>
        </w:tc>
      </w:tr>
    </w:tbl>
    <w:p w14:paraId="50D73FE8" w14:textId="77777777" w:rsidR="005C239B" w:rsidRPr="005C239B" w:rsidRDefault="005C239B" w:rsidP="00970EC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lastRenderedPageBreak/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6CBB8C5C" w14:textId="77777777" w:rsidR="005C239B" w:rsidRPr="005C239B" w:rsidRDefault="005C239B" w:rsidP="00970ECE">
      <w:pPr>
        <w:pStyle w:val="Heading1"/>
        <w:numPr>
          <w:ilvl w:val="0"/>
          <w:numId w:val="9"/>
        </w:numPr>
        <w:tabs>
          <w:tab w:val="left" w:pos="567"/>
        </w:tabs>
        <w:ind w:left="4678" w:hanging="4678"/>
        <w:rPr>
          <w:rFonts w:cs="Arial"/>
          <w:szCs w:val="22"/>
        </w:rPr>
      </w:pPr>
      <w:bookmarkStart w:id="158" w:name="_Toc141510532"/>
      <w:bookmarkStart w:id="159" w:name="OLE_LINK1"/>
      <w:bookmarkStart w:id="160" w:name="OLE_LINK2"/>
      <w:bookmarkStart w:id="161" w:name="_Toc166740247"/>
      <w:r>
        <w:t>ЗАКРЫТИЕ СЕССИИ</w:t>
      </w:r>
      <w:bookmarkEnd w:id="158"/>
      <w:bookmarkEnd w:id="159"/>
      <w:bookmarkEnd w:id="160"/>
      <w:bookmarkEnd w:id="161"/>
    </w:p>
    <w:p w14:paraId="72048EEB" w14:textId="285781BB" w:rsidR="005C239B" w:rsidRPr="005C239B" w:rsidRDefault="005C239B" w:rsidP="00970EC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В ходе своих пленарных заседаний, проходивших в течение ____ дней с 25 по 28 июня 2024 г., Исполнительный совет рассмотрел ___ вопросов повестки дня и утвердил ___ решений и ___ резолюций. Наряду с пленарными заседаниями в ходе сессии было проведено ____ подготовительных совещаний, ____ информационных и ____ параллельных совещаний, а также ____ заседаний сессионных комитетов. Показатель гендерного соотношения среди представителей государств – членов Исполнительного совета и в целом участников сессии, в том числе среди выступавших, составил примерно __:__ (женщины/мужчины). </w:t>
      </w:r>
    </w:p>
    <w:p w14:paraId="33EBC3FC" w14:textId="77777777" w:rsidR="005C239B" w:rsidRPr="005C239B" w:rsidRDefault="005C239B" w:rsidP="00970ECE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Председатель МОК объявил о закрытии 57-й сессии Исполнительного совета в ____ по Парижскому времени.</w:t>
      </w:r>
    </w:p>
    <w:p w14:paraId="76CA62B3" w14:textId="77777777" w:rsidR="005C239B" w:rsidRPr="00A141A8" w:rsidRDefault="005C239B" w:rsidP="005C239B">
      <w:pPr>
        <w:pStyle w:val="Style2"/>
        <w:tabs>
          <w:tab w:val="clear" w:pos="1400"/>
          <w:tab w:val="left" w:pos="709"/>
        </w:tabs>
        <w:ind w:left="0"/>
        <w:rPr>
          <w:rFonts w:cs="Arial"/>
        </w:rPr>
      </w:pPr>
    </w:p>
    <w:p w14:paraId="26A6574C" w14:textId="77777777" w:rsidR="005C239B" w:rsidRPr="00A141A8" w:rsidRDefault="005C239B">
      <w:pPr>
        <w:rPr>
          <w:rFonts w:ascii="Arial" w:hAnsi="Arial" w:cs="Arial"/>
        </w:rPr>
      </w:pPr>
    </w:p>
    <w:p w14:paraId="1BB8867D" w14:textId="77777777" w:rsidR="005C239B" w:rsidRPr="00A141A8" w:rsidRDefault="005C239B">
      <w:pPr>
        <w:rPr>
          <w:rFonts w:ascii="Arial" w:hAnsi="Arial" w:cs="Arial"/>
        </w:rPr>
      </w:pPr>
    </w:p>
    <w:sectPr w:rsidR="005C239B" w:rsidRPr="00A141A8" w:rsidSect="00B129D7">
      <w:headerReference w:type="default" r:id="rId51"/>
      <w:headerReference w:type="first" r:id="rId52"/>
      <w:pgSz w:w="11906" w:h="16838" w:code="9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CF8CC" w14:textId="77777777" w:rsidR="002B7028" w:rsidRDefault="002B7028" w:rsidP="00110F52">
      <w:r>
        <w:separator/>
      </w:r>
    </w:p>
  </w:endnote>
  <w:endnote w:type="continuationSeparator" w:id="0">
    <w:p w14:paraId="2D59BC30" w14:textId="77777777" w:rsidR="002B7028" w:rsidRDefault="002B7028" w:rsidP="0011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nto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a Humana 95">
    <w:altName w:val="Calibr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9BF39" w14:textId="77777777" w:rsidR="006F10AC" w:rsidRDefault="006F1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1DBEF" w14:textId="77777777" w:rsidR="002B7028" w:rsidRDefault="002B7028" w:rsidP="00110F52">
      <w:r>
        <w:separator/>
      </w:r>
    </w:p>
  </w:footnote>
  <w:footnote w:type="continuationSeparator" w:id="0">
    <w:p w14:paraId="18B4ECF6" w14:textId="77777777" w:rsidR="002B7028" w:rsidRDefault="002B7028" w:rsidP="00110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A678F" w14:textId="77777777" w:rsidR="006F10AC" w:rsidRPr="009F4FAB" w:rsidRDefault="00A13EB3">
    <w:pPr>
      <w:pStyle w:val="Header"/>
      <w:tabs>
        <w:tab w:val="clear" w:pos="8306"/>
      </w:tabs>
      <w:rPr>
        <w:rStyle w:val="PageNumber"/>
        <w:rFonts w:ascii="Arial" w:hAnsi="Arial" w:cs="Arial"/>
      </w:rPr>
    </w:pPr>
    <w:r>
      <w:rPr>
        <w:rFonts w:ascii="Arial" w:hAnsi="Arial"/>
        <w:sz w:val="20"/>
        <w:szCs w:val="20"/>
      </w:rPr>
      <w:t xml:space="preserve">IOC-XXIV/2 – Page </w:t>
    </w:r>
    <w:r w:rsidRPr="009F4FAB">
      <w:rPr>
        <w:rStyle w:val="PageNumber"/>
        <w:rFonts w:ascii="Arial" w:hAnsi="Arial" w:cs="Arial"/>
      </w:rPr>
      <w:fldChar w:fldCharType="begin"/>
    </w:r>
    <w:r w:rsidRPr="009F4FAB">
      <w:rPr>
        <w:rStyle w:val="PageNumber"/>
        <w:rFonts w:ascii="Arial" w:hAnsi="Arial" w:cs="Arial"/>
      </w:rPr>
      <w:instrText xml:space="preserve"> </w:instrText>
    </w:r>
    <w:r>
      <w:rPr>
        <w:rStyle w:val="PageNumber"/>
        <w:rFonts w:ascii="Arial" w:hAnsi="Arial" w:cs="Arial"/>
      </w:rPr>
      <w:instrText>PAGE</w:instrText>
    </w:r>
    <w:r w:rsidRPr="009F4FAB">
      <w:rPr>
        <w:rStyle w:val="PageNumber"/>
        <w:rFonts w:ascii="Arial" w:hAnsi="Arial" w:cs="Arial"/>
      </w:rPr>
      <w:instrText xml:space="preserve"> </w:instrText>
    </w:r>
    <w:r w:rsidRPr="009F4FAB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</w:rPr>
      <w:t>2</w:t>
    </w:r>
    <w:r w:rsidRPr="009F4FAB">
      <w:rPr>
        <w:rStyle w:val="PageNumber"/>
        <w:rFonts w:ascii="Arial" w:hAnsi="Arial" w:cs="Arial"/>
      </w:rPr>
      <w:fldChar w:fldCharType="end"/>
    </w:r>
  </w:p>
  <w:p w14:paraId="5A53A96C" w14:textId="77777777" w:rsidR="006F10AC" w:rsidRPr="009F4FAB" w:rsidRDefault="006F10AC">
    <w:pPr>
      <w:pStyle w:val="Header"/>
      <w:tabs>
        <w:tab w:val="clear" w:pos="8306"/>
      </w:tabs>
      <w:rPr>
        <w:rFonts w:ascii="Arial" w:hAnsi="Arial" w:cs="Arial"/>
        <w:sz w:val="20"/>
        <w:szCs w:val="20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F5B25" w14:textId="04B857DD" w:rsidR="006F10AC" w:rsidRPr="00B617FF" w:rsidRDefault="00A13EB3" w:rsidP="00BF61BB">
    <w:pPr>
      <w:pStyle w:val="Marge"/>
      <w:tabs>
        <w:tab w:val="left" w:pos="5812"/>
      </w:tabs>
      <w:spacing w:after="0"/>
      <w:jc w:val="left"/>
      <w:rPr>
        <w:rFonts w:ascii="Arial" w:hAnsi="Arial" w:cs="Arial"/>
        <w:bCs/>
        <w:szCs w:val="22"/>
      </w:rPr>
    </w:pPr>
    <w:bookmarkStart w:id="0" w:name="_Hlk165549388"/>
    <w:bookmarkStart w:id="1" w:name="_Hlk165549389"/>
    <w:r w:rsidRPr="00A141A8">
      <w:rPr>
        <w:rFonts w:ascii="Arial" w:hAnsi="Arial"/>
        <w:sz w:val="22"/>
        <w:szCs w:val="22"/>
      </w:rPr>
      <w:t>Рассылается по списку</w:t>
    </w:r>
    <w:r>
      <w:rPr>
        <w:rFonts w:ascii="Arial" w:hAnsi="Arial"/>
      </w:rPr>
      <w:tab/>
    </w:r>
    <w:r>
      <w:rPr>
        <w:rFonts w:ascii="Arial" w:hAnsi="Arial"/>
        <w:b/>
        <w:sz w:val="32"/>
        <w:szCs w:val="32"/>
      </w:rPr>
      <w:t>IOC/EC-57/AP Prov.</w:t>
    </w:r>
    <w:r w:rsidR="00B617FF" w:rsidRPr="00BF61BB">
      <w:rPr>
        <w:rFonts w:ascii="Arial" w:hAnsi="Arial"/>
        <w:b/>
        <w:sz w:val="32"/>
        <w:szCs w:val="32"/>
      </w:rPr>
      <w:t xml:space="preserve"> </w:t>
    </w:r>
    <w:r w:rsidR="00B617FF">
      <w:rPr>
        <w:rFonts w:ascii="Arial" w:hAnsi="Arial"/>
        <w:b/>
        <w:sz w:val="32"/>
        <w:szCs w:val="32"/>
        <w:lang w:val="en-US"/>
      </w:rPr>
      <w:t>Rev</w:t>
    </w:r>
    <w:r w:rsidR="00B617FF" w:rsidRPr="00BF61BB">
      <w:rPr>
        <w:rFonts w:ascii="Arial" w:hAnsi="Arial"/>
        <w:b/>
        <w:sz w:val="32"/>
        <w:szCs w:val="32"/>
      </w:rPr>
      <w:t>.</w:t>
    </w:r>
  </w:p>
  <w:p w14:paraId="35B86033" w14:textId="6C0C2B41" w:rsidR="006F10AC" w:rsidRPr="00A141A8" w:rsidRDefault="005C239B" w:rsidP="00BF61BB">
    <w:pPr>
      <w:tabs>
        <w:tab w:val="left" w:pos="5812"/>
      </w:tabs>
      <w:jc w:val="both"/>
      <w:rPr>
        <w:rFonts w:ascii="Arial" w:hAnsi="Arial" w:cs="Arial"/>
        <w:sz w:val="22"/>
        <w:szCs w:val="22"/>
      </w:rPr>
    </w:pPr>
    <w:r w:rsidRPr="004337D5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D396A28" wp14:editId="46DA2C75">
          <wp:simplePos x="0" y="0"/>
          <wp:positionH relativeFrom="column">
            <wp:posOffset>-46990</wp:posOffset>
          </wp:positionH>
          <wp:positionV relativeFrom="paragraph">
            <wp:posOffset>155575</wp:posOffset>
          </wp:positionV>
          <wp:extent cx="1578610" cy="1047115"/>
          <wp:effectExtent l="0" t="0" r="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Cs w:val="22"/>
      </w:rPr>
      <w:tab/>
    </w:r>
    <w:r w:rsidRPr="00A141A8">
      <w:rPr>
        <w:rFonts w:ascii="Arial" w:hAnsi="Arial"/>
        <w:sz w:val="22"/>
        <w:szCs w:val="22"/>
      </w:rPr>
      <w:t>Париж, 2</w:t>
    </w:r>
    <w:r w:rsidR="00B617FF" w:rsidRPr="00BF61BB">
      <w:rPr>
        <w:rFonts w:ascii="Arial" w:hAnsi="Arial"/>
        <w:sz w:val="22"/>
        <w:szCs w:val="22"/>
      </w:rPr>
      <w:t xml:space="preserve">8 </w:t>
    </w:r>
    <w:r w:rsidR="00B617FF">
      <w:rPr>
        <w:rFonts w:ascii="Arial" w:hAnsi="Arial"/>
        <w:sz w:val="22"/>
        <w:szCs w:val="22"/>
      </w:rPr>
      <w:t>мая</w:t>
    </w:r>
    <w:r w:rsidRPr="00A141A8">
      <w:rPr>
        <w:rFonts w:ascii="Arial" w:hAnsi="Arial"/>
        <w:sz w:val="22"/>
        <w:szCs w:val="22"/>
      </w:rPr>
      <w:t xml:space="preserve"> 2024 г.</w:t>
    </w:r>
  </w:p>
  <w:p w14:paraId="7D4F627C" w14:textId="75F9AEE1" w:rsidR="006F10AC" w:rsidRPr="004337D5" w:rsidRDefault="00A141A8" w:rsidP="00BF61BB">
    <w:pPr>
      <w:pStyle w:val="Marge"/>
      <w:tabs>
        <w:tab w:val="left" w:pos="5387"/>
        <w:tab w:val="left" w:pos="5812"/>
      </w:tabs>
      <w:rPr>
        <w:rFonts w:ascii="Arial" w:hAnsi="Arial" w:cs="Arial"/>
        <w:sz w:val="22"/>
        <w:szCs w:val="22"/>
      </w:rPr>
    </w:pPr>
    <w:r w:rsidRPr="002914E2">
      <w:rPr>
        <w:rFonts w:ascii="Arial" w:hAnsi="Arial"/>
        <w:sz w:val="22"/>
        <w:szCs w:val="22"/>
      </w:rPr>
      <w:tab/>
    </w:r>
    <w:r w:rsidRPr="002914E2"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>Оригинал: английский</w:t>
    </w:r>
  </w:p>
  <w:p w14:paraId="698226B5" w14:textId="77777777" w:rsidR="006F10AC" w:rsidRPr="004337D5" w:rsidRDefault="006F10AC" w:rsidP="00C852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387"/>
        <w:tab w:val="left" w:pos="5523"/>
        <w:tab w:val="left" w:pos="5640"/>
        <w:tab w:val="left" w:pos="6379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</w:rPr>
    </w:pPr>
  </w:p>
  <w:p w14:paraId="4113CABD" w14:textId="77777777" w:rsidR="006F10AC" w:rsidRPr="004337D5" w:rsidRDefault="006F10AC" w:rsidP="00C852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387"/>
        <w:tab w:val="left" w:pos="5523"/>
        <w:tab w:val="left" w:pos="5640"/>
        <w:tab w:val="left" w:pos="6379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</w:rPr>
    </w:pPr>
  </w:p>
  <w:p w14:paraId="2F559E76" w14:textId="77777777" w:rsidR="006F10AC" w:rsidRPr="004337D5" w:rsidRDefault="006F10AC" w:rsidP="00B4612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</w:rPr>
    </w:pPr>
  </w:p>
  <w:p w14:paraId="02ACDAA1" w14:textId="77777777" w:rsidR="006F10AC" w:rsidRPr="004337D5" w:rsidRDefault="006F10AC" w:rsidP="00B4612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</w:rPr>
    </w:pPr>
  </w:p>
  <w:p w14:paraId="3C4C0A16" w14:textId="77777777" w:rsidR="006F10AC" w:rsidRPr="004337D5" w:rsidRDefault="006F10AC" w:rsidP="00B4612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</w:rPr>
    </w:pPr>
  </w:p>
  <w:p w14:paraId="4C2BBF4B" w14:textId="77777777" w:rsidR="006F10AC" w:rsidRPr="004337D5" w:rsidRDefault="00A13EB3" w:rsidP="00B4612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МЕЖПРАВИТЕЛЬСТВЕННАЯ ОКЕАНОГРАФИЧЕСКАЯ КОМИССИЯ</w:t>
    </w:r>
  </w:p>
  <w:p w14:paraId="45566DCC" w14:textId="77777777" w:rsidR="006F10AC" w:rsidRPr="004337D5" w:rsidRDefault="00A13EB3" w:rsidP="00B4612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sz w:val="22"/>
        <w:szCs w:val="22"/>
      </w:rPr>
    </w:pPr>
    <w:r>
      <w:rPr>
        <w:rFonts w:ascii="Arial" w:hAnsi="Arial"/>
        <w:bCs/>
        <w:sz w:val="22"/>
        <w:szCs w:val="22"/>
      </w:rPr>
      <w:t>(ЮНЕСКО)</w:t>
    </w:r>
  </w:p>
  <w:p w14:paraId="1FBF04E0" w14:textId="77777777" w:rsidR="006F10AC" w:rsidRPr="004337D5" w:rsidRDefault="006F10AC" w:rsidP="00B4612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</w:p>
  <w:p w14:paraId="7E2AD013" w14:textId="77777777" w:rsidR="006F10AC" w:rsidRPr="004337D5" w:rsidRDefault="00A13EB3" w:rsidP="00C8529B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Пятьдесят седьмая сессия Исполнительного совета</w:t>
    </w:r>
  </w:p>
  <w:p w14:paraId="4B7D6CC7" w14:textId="77777777" w:rsidR="006F10AC" w:rsidRPr="004337D5" w:rsidRDefault="00A13EB3" w:rsidP="00C8529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/>
        <w:bCs/>
        <w:sz w:val="22"/>
        <w:szCs w:val="22"/>
      </w:rPr>
      <w:t>ЮНЕСКО, Париж, 25-28 июня 2024 г.</w:t>
    </w:r>
  </w:p>
  <w:p w14:paraId="25C2DC25" w14:textId="77777777" w:rsidR="006F10AC" w:rsidRPr="00A141A8" w:rsidRDefault="006F10AC" w:rsidP="00B4612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sz w:val="22"/>
        <w:szCs w:val="22"/>
      </w:rPr>
    </w:pPr>
  </w:p>
  <w:p w14:paraId="3F8446B7" w14:textId="77777777" w:rsidR="006F10AC" w:rsidRPr="00A141A8" w:rsidRDefault="006F10AC" w:rsidP="00B46127">
    <w:pPr>
      <w:jc w:val="center"/>
      <w:rPr>
        <w:rFonts w:ascii="Arial" w:hAnsi="Arial" w:cs="Arial"/>
        <w:sz w:val="22"/>
        <w:szCs w:val="22"/>
      </w:rPr>
    </w:pPr>
  </w:p>
  <w:p w14:paraId="5099BB10" w14:textId="77777777" w:rsidR="006F10AC" w:rsidRPr="00A141A8" w:rsidRDefault="006F10AC" w:rsidP="00B46127">
    <w:pPr>
      <w:jc w:val="center"/>
      <w:rPr>
        <w:rFonts w:ascii="Arial" w:hAnsi="Arial" w:cs="Arial"/>
        <w:sz w:val="22"/>
        <w:szCs w:val="22"/>
      </w:rPr>
    </w:pPr>
  </w:p>
  <w:p w14:paraId="34AA33D3" w14:textId="32AC7BFC" w:rsidR="006F10AC" w:rsidRPr="004337D5" w:rsidRDefault="00A13EB3" w:rsidP="008B7757">
    <w:pPr>
      <w:pStyle w:val="Heading7"/>
      <w:tabs>
        <w:tab w:val="right" w:pos="9540"/>
      </w:tabs>
      <w:ind w:left="0"/>
      <w:rPr>
        <w:rFonts w:ascii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 xml:space="preserve">Охватывает все вопросы, включенные </w:t>
    </w:r>
    <w:r w:rsidR="00A141A8">
      <w:rPr>
        <w:rFonts w:ascii="Arial" w:hAnsi="Arial"/>
        <w:sz w:val="22"/>
        <w:szCs w:val="22"/>
      </w:rPr>
      <w:br/>
    </w:r>
    <w:r>
      <w:rPr>
        <w:rFonts w:ascii="Arial" w:hAnsi="Arial"/>
        <w:sz w:val="22"/>
        <w:szCs w:val="22"/>
      </w:rPr>
      <w:t>в предварительную повестку дня</w:t>
    </w:r>
  </w:p>
  <w:p w14:paraId="0092E56C" w14:textId="77777777" w:rsidR="006F10AC" w:rsidRPr="004337D5" w:rsidRDefault="006F10AC" w:rsidP="008B7757">
    <w:pPr>
      <w:rPr>
        <w:rFonts w:ascii="Arial" w:hAnsi="Arial" w:cs="Arial"/>
        <w:sz w:val="22"/>
        <w:szCs w:val="22"/>
      </w:rPr>
    </w:pPr>
  </w:p>
  <w:p w14:paraId="1E780374" w14:textId="77777777" w:rsidR="006F10AC" w:rsidRPr="004337D5" w:rsidRDefault="006F10AC" w:rsidP="008B7757">
    <w:pPr>
      <w:rPr>
        <w:rFonts w:ascii="Arial" w:hAnsi="Arial" w:cs="Arial"/>
        <w:sz w:val="22"/>
        <w:szCs w:val="22"/>
      </w:rPr>
    </w:pPr>
  </w:p>
  <w:p w14:paraId="7D293ADA" w14:textId="77777777" w:rsidR="006F10AC" w:rsidRPr="004337D5" w:rsidRDefault="006F10AC" w:rsidP="008B7757">
    <w:pPr>
      <w:rPr>
        <w:rFonts w:ascii="Arial" w:hAnsi="Arial" w:cs="Arial"/>
        <w:sz w:val="22"/>
        <w:szCs w:val="22"/>
      </w:rPr>
    </w:pPr>
  </w:p>
  <w:p w14:paraId="31C3AE00" w14:textId="1F4AC207" w:rsidR="006F10AC" w:rsidRPr="002914E2" w:rsidRDefault="00A141A8" w:rsidP="0045038F">
    <w:pPr>
      <w:pStyle w:val="Docheading"/>
      <w:spacing w:after="240"/>
      <w:rPr>
        <w:sz w:val="28"/>
        <w:szCs w:val="28"/>
      </w:rPr>
    </w:pPr>
    <w:r w:rsidRPr="002914E2">
      <w:rPr>
        <w:caps w:val="0"/>
        <w:sz w:val="28"/>
        <w:szCs w:val="28"/>
      </w:rPr>
      <w:t>П</w:t>
    </w:r>
    <w:r w:rsidR="00B617FF">
      <w:rPr>
        <w:caps w:val="0"/>
        <w:sz w:val="28"/>
        <w:szCs w:val="28"/>
      </w:rPr>
      <w:t>ересмотренный п</w:t>
    </w:r>
    <w:r w:rsidRPr="002914E2">
      <w:rPr>
        <w:caps w:val="0"/>
        <w:sz w:val="28"/>
        <w:szCs w:val="28"/>
      </w:rPr>
      <w:t xml:space="preserve">роект предварительного документа </w:t>
    </w:r>
    <w:r w:rsidR="00BF61BB" w:rsidRPr="002B415A">
      <w:rPr>
        <w:caps w:val="0"/>
        <w:sz w:val="28"/>
        <w:szCs w:val="28"/>
      </w:rPr>
      <w:br/>
    </w:r>
    <w:r w:rsidRPr="002914E2">
      <w:rPr>
        <w:caps w:val="0"/>
        <w:sz w:val="28"/>
        <w:szCs w:val="28"/>
      </w:rPr>
      <w:t>о принятых и</w:t>
    </w:r>
    <w:r w:rsidR="00B617FF">
      <w:rPr>
        <w:caps w:val="0"/>
        <w:sz w:val="28"/>
        <w:szCs w:val="28"/>
      </w:rPr>
      <w:t xml:space="preserve"> </w:t>
    </w:r>
    <w:r w:rsidRPr="002914E2">
      <w:rPr>
        <w:caps w:val="0"/>
        <w:sz w:val="28"/>
        <w:szCs w:val="28"/>
      </w:rPr>
      <w:t>предлагаемых мерах</w:t>
    </w:r>
  </w:p>
  <w:bookmarkEnd w:id="0"/>
  <w:bookmarkEnd w:id="1"/>
  <w:p w14:paraId="32EDFF5D" w14:textId="77777777" w:rsidR="006F10AC" w:rsidRPr="004337D5" w:rsidRDefault="006F10AC" w:rsidP="008B7757">
    <w:pPr>
      <w:pStyle w:val="Header"/>
      <w:rPr>
        <w:rFonts w:ascii="Arial" w:hAnsi="Arial" w:cs="Arial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F3EBE" w14:textId="76851FF1" w:rsidR="006F10AC" w:rsidRPr="001D0CEF" w:rsidRDefault="00A13EB3" w:rsidP="00AC4E27">
    <w:pPr>
      <w:pStyle w:val="Header"/>
      <w:tabs>
        <w:tab w:val="clear" w:pos="8306"/>
      </w:tabs>
      <w:spacing w:after="120"/>
      <w:rPr>
        <w:rFonts w:ascii="Arial" w:hAnsi="Arial" w:cs="Arial"/>
        <w:sz w:val="22"/>
        <w:szCs w:val="22"/>
        <w:lang w:val="en-US"/>
      </w:rPr>
    </w:pPr>
    <w:r w:rsidRPr="001D0CEF">
      <w:rPr>
        <w:rFonts w:ascii="Arial" w:hAnsi="Arial"/>
        <w:sz w:val="22"/>
        <w:szCs w:val="22"/>
        <w:lang w:val="en-US"/>
      </w:rPr>
      <w:t>IOC/EC-57/AP</w:t>
    </w:r>
    <w:r w:rsidR="00BE7600" w:rsidRPr="001D0CEF">
      <w:rPr>
        <w:rFonts w:ascii="Arial" w:hAnsi="Arial"/>
        <w:sz w:val="22"/>
        <w:szCs w:val="22"/>
        <w:lang w:val="en-US"/>
      </w:rPr>
      <w:t xml:space="preserve"> Prov.</w:t>
    </w:r>
    <w:r w:rsidR="00B617FF" w:rsidRPr="00BF61BB">
      <w:rPr>
        <w:rFonts w:ascii="Arial" w:hAnsi="Arial"/>
        <w:sz w:val="22"/>
        <w:szCs w:val="22"/>
        <w:lang w:val="en-US"/>
      </w:rPr>
      <w:t xml:space="preserve"> </w:t>
    </w:r>
    <w:r w:rsidR="00B617FF">
      <w:rPr>
        <w:rFonts w:ascii="Arial" w:hAnsi="Arial"/>
        <w:sz w:val="22"/>
        <w:szCs w:val="22"/>
        <w:lang w:val="en-US"/>
      </w:rPr>
      <w:t>Rev.</w:t>
    </w:r>
    <w:r w:rsidRPr="001D0CEF">
      <w:rPr>
        <w:rFonts w:ascii="Arial" w:hAnsi="Arial"/>
        <w:sz w:val="22"/>
        <w:szCs w:val="22"/>
        <w:lang w:val="en-US"/>
      </w:rPr>
      <w:t xml:space="preserve"> – page (</w:t>
    </w:r>
    <w:r w:rsidRPr="001D0CEF">
      <w:rPr>
        <w:rFonts w:ascii="Arial" w:hAnsi="Arial" w:cs="Arial"/>
        <w:sz w:val="22"/>
        <w:szCs w:val="22"/>
      </w:rPr>
      <w:fldChar w:fldCharType="begin"/>
    </w:r>
    <w:r w:rsidRPr="001D0CEF">
      <w:rPr>
        <w:rFonts w:ascii="Arial" w:hAnsi="Arial" w:cs="Arial"/>
        <w:sz w:val="22"/>
        <w:szCs w:val="22"/>
        <w:lang w:val="en-US"/>
      </w:rPr>
      <w:instrText xml:space="preserve"> PAGE   \* MERGEFORMAT </w:instrText>
    </w:r>
    <w:r w:rsidRPr="001D0CEF">
      <w:rPr>
        <w:rFonts w:ascii="Arial" w:hAnsi="Arial" w:cs="Arial"/>
        <w:sz w:val="22"/>
        <w:szCs w:val="22"/>
      </w:rPr>
      <w:fldChar w:fldCharType="separate"/>
    </w:r>
    <w:r w:rsidRPr="001D0CEF">
      <w:rPr>
        <w:rFonts w:ascii="Arial" w:hAnsi="Arial" w:cs="Arial"/>
        <w:sz w:val="22"/>
        <w:szCs w:val="22"/>
        <w:lang w:val="en-US"/>
      </w:rPr>
      <w:t>ii</w:t>
    </w:r>
    <w:r w:rsidRPr="001D0CEF">
      <w:rPr>
        <w:rFonts w:ascii="Arial" w:hAnsi="Arial" w:cs="Arial"/>
        <w:sz w:val="22"/>
        <w:szCs w:val="22"/>
      </w:rPr>
      <w:fldChar w:fldCharType="end"/>
    </w:r>
    <w:r w:rsidRPr="001D0CEF">
      <w:rPr>
        <w:rFonts w:ascii="Arial" w:hAnsi="Arial"/>
        <w:sz w:val="22"/>
        <w:szCs w:val="22"/>
        <w:lang w:val="en-US"/>
      </w:rPr>
      <w:t>)</w:t>
    </w:r>
  </w:p>
  <w:p w14:paraId="3536EAD9" w14:textId="77777777" w:rsidR="006F10AC" w:rsidRPr="00A141A8" w:rsidRDefault="006F10AC" w:rsidP="008B65FB">
    <w:pPr>
      <w:pStyle w:val="Header"/>
      <w:rPr>
        <w:rFonts w:ascii="Arial" w:hAnsi="Arial" w:cs="Arial"/>
        <w:sz w:val="22"/>
        <w:szCs w:val="22"/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64128" w14:textId="77777777" w:rsidR="006F10AC" w:rsidRPr="00A141A8" w:rsidRDefault="00A13EB3" w:rsidP="005C3715">
    <w:pPr>
      <w:pStyle w:val="Header"/>
      <w:tabs>
        <w:tab w:val="clear" w:pos="8306"/>
      </w:tabs>
      <w:ind w:firstLine="7230"/>
      <w:rPr>
        <w:rFonts w:ascii="Arial" w:hAnsi="Arial" w:cs="Arial"/>
        <w:sz w:val="20"/>
        <w:szCs w:val="20"/>
        <w:lang w:val="en-US"/>
      </w:rPr>
    </w:pPr>
    <w:r w:rsidRPr="00A141A8">
      <w:rPr>
        <w:rFonts w:ascii="Arial" w:hAnsi="Arial"/>
        <w:sz w:val="20"/>
        <w:szCs w:val="20"/>
        <w:lang w:val="en-US"/>
      </w:rPr>
      <w:t>IOC/EC-57/AP – page (</w:t>
    </w:r>
    <w:r w:rsidRPr="008B65FB">
      <w:rPr>
        <w:rFonts w:ascii="Arial" w:hAnsi="Arial" w:cs="Arial"/>
        <w:sz w:val="20"/>
        <w:szCs w:val="20"/>
      </w:rPr>
      <w:fldChar w:fldCharType="begin"/>
    </w:r>
    <w:r w:rsidRPr="00A141A8">
      <w:rPr>
        <w:rFonts w:ascii="Arial" w:hAnsi="Arial" w:cs="Arial"/>
        <w:sz w:val="20"/>
        <w:szCs w:val="20"/>
        <w:lang w:val="en-US"/>
      </w:rPr>
      <w:instrText xml:space="preserve"> PAGE   \* MERGEFORMAT </w:instrText>
    </w:r>
    <w:r w:rsidRPr="008B65FB">
      <w:rPr>
        <w:rFonts w:ascii="Arial" w:hAnsi="Arial" w:cs="Arial"/>
        <w:sz w:val="20"/>
        <w:szCs w:val="20"/>
      </w:rPr>
      <w:fldChar w:fldCharType="separate"/>
    </w:r>
    <w:r w:rsidRPr="00A141A8">
      <w:rPr>
        <w:rFonts w:ascii="Arial" w:hAnsi="Arial" w:cs="Arial"/>
        <w:sz w:val="20"/>
        <w:szCs w:val="20"/>
        <w:lang w:val="en-US"/>
      </w:rPr>
      <w:t>i</w:t>
    </w:r>
    <w:r w:rsidRPr="008B65FB">
      <w:rPr>
        <w:rFonts w:ascii="Arial" w:hAnsi="Arial" w:cs="Arial"/>
        <w:sz w:val="20"/>
        <w:szCs w:val="20"/>
      </w:rPr>
      <w:fldChar w:fldCharType="end"/>
    </w:r>
    <w:r w:rsidRPr="00A141A8">
      <w:rPr>
        <w:rFonts w:ascii="Arial" w:hAnsi="Arial"/>
        <w:sz w:val="20"/>
        <w:szCs w:val="20"/>
        <w:lang w:val="en-US"/>
      </w:rPr>
      <w:t>)</w:t>
    </w:r>
  </w:p>
  <w:p w14:paraId="6B5E5094" w14:textId="77777777" w:rsidR="006F10AC" w:rsidRPr="008B65FB" w:rsidRDefault="006F10AC" w:rsidP="002F71F0">
    <w:pPr>
      <w:pStyle w:val="Header"/>
      <w:tabs>
        <w:tab w:val="clear" w:pos="8306"/>
      </w:tabs>
      <w:ind w:right="499"/>
      <w:rPr>
        <w:rStyle w:val="PageNumber"/>
        <w:rFonts w:ascii="Arial" w:hAnsi="Arial" w:cs="Arial"/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80010" w14:textId="2DADA285" w:rsidR="00B129D7" w:rsidRPr="001D0CEF" w:rsidRDefault="00B129D7" w:rsidP="00B129D7">
    <w:pPr>
      <w:pStyle w:val="Header"/>
      <w:tabs>
        <w:tab w:val="clear" w:pos="8306"/>
      </w:tabs>
      <w:jc w:val="right"/>
      <w:rPr>
        <w:rFonts w:ascii="Arial" w:hAnsi="Arial" w:cs="Arial"/>
        <w:sz w:val="22"/>
        <w:szCs w:val="22"/>
        <w:lang w:val="en-US"/>
      </w:rPr>
    </w:pPr>
    <w:r w:rsidRPr="001D0CEF">
      <w:rPr>
        <w:rFonts w:ascii="Arial" w:hAnsi="Arial"/>
        <w:sz w:val="22"/>
        <w:szCs w:val="22"/>
        <w:lang w:val="en-US"/>
      </w:rPr>
      <w:t>IOC/EC-57/AP</w:t>
    </w:r>
    <w:r w:rsidR="00B4660A" w:rsidRPr="001D0CEF">
      <w:rPr>
        <w:rFonts w:ascii="Arial" w:hAnsi="Arial"/>
        <w:sz w:val="22"/>
        <w:szCs w:val="22"/>
        <w:lang w:val="en-US"/>
      </w:rPr>
      <w:t xml:space="preserve"> Prov.</w:t>
    </w:r>
    <w:r w:rsidR="00B617FF" w:rsidRPr="00BF61BB">
      <w:rPr>
        <w:rFonts w:ascii="Arial" w:hAnsi="Arial"/>
        <w:sz w:val="22"/>
        <w:szCs w:val="22"/>
        <w:lang w:val="en-US"/>
      </w:rPr>
      <w:t xml:space="preserve"> </w:t>
    </w:r>
    <w:r w:rsidR="00B617FF">
      <w:rPr>
        <w:rFonts w:ascii="Arial" w:hAnsi="Arial"/>
        <w:sz w:val="22"/>
        <w:szCs w:val="22"/>
        <w:lang w:val="en-US"/>
      </w:rPr>
      <w:t>Rev.</w:t>
    </w:r>
    <w:r w:rsidRPr="001D0CEF">
      <w:rPr>
        <w:rFonts w:ascii="Arial" w:hAnsi="Arial"/>
        <w:sz w:val="22"/>
        <w:szCs w:val="22"/>
        <w:lang w:val="en-US"/>
      </w:rPr>
      <w:t xml:space="preserve"> – page (</w:t>
    </w:r>
    <w:r w:rsidRPr="001D0CEF">
      <w:rPr>
        <w:rFonts w:ascii="Arial" w:hAnsi="Arial" w:cs="Arial"/>
        <w:sz w:val="22"/>
        <w:szCs w:val="22"/>
      </w:rPr>
      <w:fldChar w:fldCharType="begin"/>
    </w:r>
    <w:r w:rsidRPr="001D0CEF">
      <w:rPr>
        <w:rFonts w:ascii="Arial" w:hAnsi="Arial" w:cs="Arial"/>
        <w:sz w:val="22"/>
        <w:szCs w:val="22"/>
        <w:lang w:val="en-US"/>
      </w:rPr>
      <w:instrText xml:space="preserve"> PAGE   \* MERGEFORMAT </w:instrText>
    </w:r>
    <w:r w:rsidRPr="001D0CEF">
      <w:rPr>
        <w:rFonts w:ascii="Arial" w:hAnsi="Arial" w:cs="Arial"/>
        <w:sz w:val="22"/>
        <w:szCs w:val="22"/>
      </w:rPr>
      <w:fldChar w:fldCharType="separate"/>
    </w:r>
    <w:r w:rsidRPr="001D0CEF">
      <w:rPr>
        <w:rFonts w:ascii="Arial" w:hAnsi="Arial" w:cs="Arial"/>
        <w:sz w:val="22"/>
        <w:szCs w:val="22"/>
        <w:lang w:val="en-US"/>
      </w:rPr>
      <w:t>ii</w:t>
    </w:r>
    <w:r w:rsidRPr="001D0CEF">
      <w:rPr>
        <w:rFonts w:ascii="Arial" w:hAnsi="Arial" w:cs="Arial"/>
        <w:sz w:val="22"/>
        <w:szCs w:val="22"/>
      </w:rPr>
      <w:fldChar w:fldCharType="end"/>
    </w:r>
    <w:r w:rsidRPr="001D0CEF">
      <w:rPr>
        <w:rFonts w:ascii="Arial" w:hAnsi="Arial"/>
        <w:sz w:val="22"/>
        <w:szCs w:val="22"/>
        <w:lang w:val="en-US"/>
      </w:rPr>
      <w:t>)</w:t>
    </w:r>
  </w:p>
  <w:p w14:paraId="44D4B1F8" w14:textId="77777777" w:rsidR="006F10AC" w:rsidRPr="00B4660A" w:rsidRDefault="006F10AC">
    <w:pPr>
      <w:pStyle w:val="Header"/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D0F2B" w14:textId="0181FCB2" w:rsidR="00B129D7" w:rsidRPr="001D0CEF" w:rsidRDefault="00B129D7" w:rsidP="008D045B">
    <w:pPr>
      <w:pStyle w:val="Header"/>
      <w:tabs>
        <w:tab w:val="clear" w:pos="8306"/>
      </w:tabs>
      <w:spacing w:after="120"/>
      <w:ind w:firstLine="5103"/>
      <w:jc w:val="right"/>
      <w:rPr>
        <w:rFonts w:ascii="Arial" w:hAnsi="Arial" w:cs="Arial"/>
        <w:sz w:val="22"/>
        <w:szCs w:val="22"/>
        <w:lang w:val="en-US"/>
      </w:rPr>
    </w:pPr>
    <w:r w:rsidRPr="001D0CEF">
      <w:rPr>
        <w:rFonts w:ascii="Arial" w:hAnsi="Arial"/>
        <w:sz w:val="22"/>
        <w:szCs w:val="22"/>
        <w:lang w:val="en-US"/>
      </w:rPr>
      <w:t>IOC/EC-57/AP</w:t>
    </w:r>
    <w:r w:rsidR="00BE7600" w:rsidRPr="001D0CEF">
      <w:rPr>
        <w:rFonts w:ascii="Arial" w:hAnsi="Arial"/>
        <w:sz w:val="22"/>
        <w:szCs w:val="22"/>
        <w:lang w:val="en-US"/>
      </w:rPr>
      <w:t xml:space="preserve"> Prov.</w:t>
    </w:r>
    <w:r w:rsidR="00B617FF" w:rsidRPr="008D045B">
      <w:rPr>
        <w:rFonts w:ascii="Arial" w:hAnsi="Arial"/>
        <w:sz w:val="22"/>
        <w:szCs w:val="22"/>
        <w:lang w:val="en-US"/>
      </w:rPr>
      <w:t xml:space="preserve"> </w:t>
    </w:r>
    <w:r w:rsidR="00B617FF">
      <w:rPr>
        <w:rFonts w:ascii="Arial" w:hAnsi="Arial"/>
        <w:sz w:val="22"/>
        <w:szCs w:val="22"/>
        <w:lang w:val="en-US"/>
      </w:rPr>
      <w:t>Rev.</w:t>
    </w:r>
    <w:r w:rsidRPr="001D0CEF">
      <w:rPr>
        <w:rFonts w:ascii="Arial" w:hAnsi="Arial"/>
        <w:sz w:val="22"/>
        <w:szCs w:val="22"/>
        <w:lang w:val="en-US"/>
      </w:rPr>
      <w:t xml:space="preserve"> – page (</w:t>
    </w:r>
    <w:r w:rsidRPr="001D0CEF">
      <w:rPr>
        <w:rFonts w:ascii="Arial" w:hAnsi="Arial" w:cs="Arial"/>
        <w:sz w:val="22"/>
        <w:szCs w:val="22"/>
      </w:rPr>
      <w:fldChar w:fldCharType="begin"/>
    </w:r>
    <w:r w:rsidRPr="001D0CEF">
      <w:rPr>
        <w:rFonts w:ascii="Arial" w:hAnsi="Arial" w:cs="Arial"/>
        <w:sz w:val="22"/>
        <w:szCs w:val="22"/>
        <w:lang w:val="en-US"/>
      </w:rPr>
      <w:instrText xml:space="preserve"> PAGE   \* MERGEFORMAT </w:instrText>
    </w:r>
    <w:r w:rsidRPr="001D0CEF">
      <w:rPr>
        <w:rFonts w:ascii="Arial" w:hAnsi="Arial" w:cs="Arial"/>
        <w:sz w:val="22"/>
        <w:szCs w:val="22"/>
      </w:rPr>
      <w:fldChar w:fldCharType="separate"/>
    </w:r>
    <w:r w:rsidRPr="001D0CEF">
      <w:rPr>
        <w:rFonts w:ascii="Arial" w:hAnsi="Arial" w:cs="Arial"/>
        <w:sz w:val="22"/>
        <w:szCs w:val="22"/>
        <w:lang w:val="en-US"/>
      </w:rPr>
      <w:t>i</w:t>
    </w:r>
    <w:r w:rsidRPr="001D0CEF">
      <w:rPr>
        <w:rFonts w:ascii="Arial" w:hAnsi="Arial" w:cs="Arial"/>
        <w:sz w:val="22"/>
        <w:szCs w:val="22"/>
      </w:rPr>
      <w:fldChar w:fldCharType="end"/>
    </w:r>
    <w:r w:rsidRPr="001D0CEF">
      <w:rPr>
        <w:rFonts w:ascii="Arial" w:hAnsi="Arial"/>
        <w:sz w:val="22"/>
        <w:szCs w:val="22"/>
        <w:lang w:val="en-US"/>
      </w:rPr>
      <w:t>)</w:t>
    </w:r>
  </w:p>
  <w:p w14:paraId="602BC73A" w14:textId="77777777" w:rsidR="00B129D7" w:rsidRPr="008B65FB" w:rsidRDefault="00B129D7" w:rsidP="002F71F0">
    <w:pPr>
      <w:pStyle w:val="Header"/>
      <w:tabs>
        <w:tab w:val="clear" w:pos="8306"/>
      </w:tabs>
      <w:ind w:right="499"/>
      <w:rPr>
        <w:rStyle w:val="PageNumber"/>
        <w:rFonts w:ascii="Arial" w:hAnsi="Arial" w:cs="Arial"/>
        <w:lang w:val="en-US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EB548" w14:textId="5D29A384" w:rsidR="00B129D7" w:rsidRPr="001D0CEF" w:rsidRDefault="00B129D7" w:rsidP="00B129D7">
    <w:pPr>
      <w:pStyle w:val="Header"/>
      <w:tabs>
        <w:tab w:val="clear" w:pos="8306"/>
      </w:tabs>
      <w:jc w:val="right"/>
      <w:rPr>
        <w:rFonts w:ascii="Arial" w:hAnsi="Arial" w:cs="Arial"/>
        <w:sz w:val="22"/>
        <w:szCs w:val="22"/>
        <w:lang w:val="en-US"/>
      </w:rPr>
    </w:pPr>
    <w:r w:rsidRPr="001D0CEF">
      <w:rPr>
        <w:rFonts w:ascii="Arial" w:hAnsi="Arial"/>
        <w:sz w:val="22"/>
        <w:szCs w:val="22"/>
        <w:lang w:val="en-US"/>
      </w:rPr>
      <w:t>IOC/EC-57/AP</w:t>
    </w:r>
    <w:r w:rsidR="00BE7600" w:rsidRPr="001D0CEF">
      <w:rPr>
        <w:rFonts w:ascii="Arial" w:hAnsi="Arial"/>
        <w:sz w:val="22"/>
        <w:szCs w:val="22"/>
        <w:lang w:val="en-US"/>
      </w:rPr>
      <w:t xml:space="preserve"> Prov.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451249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125113"/>
    <w:multiLevelType w:val="hybridMultilevel"/>
    <w:tmpl w:val="0038DA22"/>
    <w:lvl w:ilvl="0" w:tplc="8DAEB51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7DE"/>
    <w:multiLevelType w:val="hybridMultilevel"/>
    <w:tmpl w:val="64F8FBCC"/>
    <w:lvl w:ilvl="0" w:tplc="8952847A">
      <w:start w:val="1"/>
      <w:numFmt w:val="lowerRoman"/>
      <w:lvlText w:val="(%1)"/>
      <w:lvlJc w:val="right"/>
      <w:pPr>
        <w:ind w:left="1287" w:hanging="360"/>
      </w:pPr>
      <w:rPr>
        <w:rFonts w:hint="default"/>
        <w:sz w:val="22"/>
        <w:szCs w:val="22"/>
        <w:lang w:val="ru-RU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DF1D9A"/>
    <w:multiLevelType w:val="hybridMultilevel"/>
    <w:tmpl w:val="8382B9C6"/>
    <w:lvl w:ilvl="0" w:tplc="51F22C4C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D2C42"/>
    <w:multiLevelType w:val="hybridMultilevel"/>
    <w:tmpl w:val="177A2178"/>
    <w:lvl w:ilvl="0" w:tplc="8B2CAB4C">
      <w:start w:val="4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D03E2"/>
    <w:multiLevelType w:val="hybridMultilevel"/>
    <w:tmpl w:val="648EF9CE"/>
    <w:lvl w:ilvl="0" w:tplc="DD860B9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266B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7" w15:restartNumberingAfterBreak="0">
    <w:nsid w:val="1BC33398"/>
    <w:multiLevelType w:val="hybridMultilevel"/>
    <w:tmpl w:val="DB4814D2"/>
    <w:lvl w:ilvl="0" w:tplc="243ECE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2465"/>
    <w:multiLevelType w:val="hybridMultilevel"/>
    <w:tmpl w:val="DEF04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B0D19"/>
    <w:multiLevelType w:val="hybridMultilevel"/>
    <w:tmpl w:val="78ACF6E6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B4963"/>
    <w:multiLevelType w:val="hybridMultilevel"/>
    <w:tmpl w:val="BE207F0A"/>
    <w:lvl w:ilvl="0" w:tplc="05583D68">
      <w:start w:val="9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8DAEB51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420C3"/>
    <w:multiLevelType w:val="hybridMultilevel"/>
    <w:tmpl w:val="F14A5D44"/>
    <w:lvl w:ilvl="0" w:tplc="52B67B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6F4A"/>
    <w:multiLevelType w:val="hybridMultilevel"/>
    <w:tmpl w:val="A04C0A98"/>
    <w:lvl w:ilvl="0" w:tplc="DD860B9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91349"/>
    <w:multiLevelType w:val="hybridMultilevel"/>
    <w:tmpl w:val="E6C81FF0"/>
    <w:lvl w:ilvl="0" w:tplc="928EE43C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bCs w:val="0"/>
        <w:i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270DE4"/>
    <w:multiLevelType w:val="hybridMultilevel"/>
    <w:tmpl w:val="2208E86A"/>
    <w:lvl w:ilvl="0" w:tplc="FFFFFFF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E52D4"/>
    <w:multiLevelType w:val="hybridMultilevel"/>
    <w:tmpl w:val="6EE23BE4"/>
    <w:lvl w:ilvl="0" w:tplc="B4163634">
      <w:start w:val="1"/>
      <w:numFmt w:val="bullet"/>
      <w:lvlText w:val="-"/>
      <w:lvlJc w:val="left"/>
      <w:pPr>
        <w:ind w:left="924" w:hanging="564"/>
      </w:pPr>
      <w:rPr>
        <w:rFonts w:ascii="Walbaum Display Light" w:hAnsi="Walbaum Display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12019"/>
    <w:multiLevelType w:val="hybridMultilevel"/>
    <w:tmpl w:val="DE48F05E"/>
    <w:lvl w:ilvl="0" w:tplc="DD860B94">
      <w:start w:val="1"/>
      <w:numFmt w:val="lowerRoman"/>
      <w:lvlText w:val="(%1)"/>
      <w:lvlJc w:val="left"/>
      <w:pPr>
        <w:ind w:left="2204" w:hanging="360"/>
      </w:pPr>
      <w:rPr>
        <w:rFonts w:ascii="Arial" w:eastAsia="Times New Roman" w:hAnsi="Arial" w:cs="Aria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33782"/>
    <w:multiLevelType w:val="multilevel"/>
    <w:tmpl w:val="22125D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  <w:sz w:val="22"/>
      </w:rPr>
    </w:lvl>
  </w:abstractNum>
  <w:abstractNum w:abstractNumId="18" w15:restartNumberingAfterBreak="0">
    <w:nsid w:val="36396FF4"/>
    <w:multiLevelType w:val="multilevel"/>
    <w:tmpl w:val="CE4827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8206007"/>
    <w:multiLevelType w:val="hybridMultilevel"/>
    <w:tmpl w:val="0C9863F0"/>
    <w:lvl w:ilvl="0" w:tplc="8B943264">
      <w:start w:val="1"/>
      <w:numFmt w:val="decimal"/>
      <w:lvlText w:val="%1."/>
      <w:lvlJc w:val="left"/>
      <w:pPr>
        <w:ind w:left="2204" w:hanging="360"/>
      </w:pPr>
      <w:rPr>
        <w:rFonts w:eastAsia="Calibri"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C608F"/>
    <w:multiLevelType w:val="hybridMultilevel"/>
    <w:tmpl w:val="9BD60E2E"/>
    <w:lvl w:ilvl="0" w:tplc="FFFFFFFF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</w:rPr>
    </w:lvl>
    <w:lvl w:ilvl="1" w:tplc="3F74D7A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B4BA3"/>
    <w:multiLevelType w:val="hybridMultilevel"/>
    <w:tmpl w:val="67140962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801B0"/>
    <w:multiLevelType w:val="hybridMultilevel"/>
    <w:tmpl w:val="DE72602C"/>
    <w:lvl w:ilvl="0" w:tplc="EDB26A68">
      <w:start w:val="1"/>
      <w:numFmt w:val="bullet"/>
      <w:pStyle w:val="TIRETbul1cm"/>
      <w:lvlText w:val="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815FE"/>
    <w:multiLevelType w:val="hybridMultilevel"/>
    <w:tmpl w:val="723A8376"/>
    <w:lvl w:ilvl="0" w:tplc="AA2E43B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F1D2C"/>
    <w:multiLevelType w:val="hybridMultilevel"/>
    <w:tmpl w:val="EE6C2D82"/>
    <w:lvl w:ilvl="0" w:tplc="237CD3F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8601F5A"/>
    <w:multiLevelType w:val="hybridMultilevel"/>
    <w:tmpl w:val="2208E86A"/>
    <w:lvl w:ilvl="0" w:tplc="BBE2714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243FB"/>
    <w:multiLevelType w:val="hybridMultilevel"/>
    <w:tmpl w:val="2208E86A"/>
    <w:lvl w:ilvl="0" w:tplc="FFFFFFF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21DFB"/>
    <w:multiLevelType w:val="hybridMultilevel"/>
    <w:tmpl w:val="91BE8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44A01"/>
    <w:multiLevelType w:val="hybridMultilevel"/>
    <w:tmpl w:val="2208E86A"/>
    <w:lvl w:ilvl="0" w:tplc="BBE2714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77716"/>
    <w:multiLevelType w:val="hybridMultilevel"/>
    <w:tmpl w:val="A22CE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600731"/>
    <w:multiLevelType w:val="multilevel"/>
    <w:tmpl w:val="3D1CB5A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  <w:rPr>
        <w:b w:val="0"/>
        <w:bCs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 w15:restartNumberingAfterBreak="0">
    <w:nsid w:val="62AF29BD"/>
    <w:multiLevelType w:val="hybridMultilevel"/>
    <w:tmpl w:val="70BC5E4C"/>
    <w:lvl w:ilvl="0" w:tplc="DD860B9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C2949"/>
    <w:multiLevelType w:val="hybridMultilevel"/>
    <w:tmpl w:val="8382B9C6"/>
    <w:lvl w:ilvl="0" w:tplc="FFFFFFFF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F5B97"/>
    <w:multiLevelType w:val="multilevel"/>
    <w:tmpl w:val="E49E002A"/>
    <w:lvl w:ilvl="0">
      <w:start w:val="1"/>
      <w:numFmt w:val="decimal"/>
      <w:pStyle w:val="decis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20206C"/>
    <w:multiLevelType w:val="hybridMultilevel"/>
    <w:tmpl w:val="B5367A88"/>
    <w:lvl w:ilvl="0" w:tplc="2D60363C">
      <w:start w:val="1"/>
      <w:numFmt w:val="lowerRoman"/>
      <w:lvlText w:val="(%1)"/>
      <w:lvlJc w:val="right"/>
      <w:pPr>
        <w:ind w:left="720" w:hanging="360"/>
      </w:pPr>
      <w:rPr>
        <w:rFonts w:hint="default"/>
        <w:w w:val="99"/>
        <w:sz w:val="22"/>
        <w:szCs w:val="22"/>
      </w:r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51F22C4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42A3E"/>
    <w:multiLevelType w:val="hybridMultilevel"/>
    <w:tmpl w:val="FF9A6904"/>
    <w:lvl w:ilvl="0" w:tplc="04090001">
      <w:start w:val="1"/>
      <w:numFmt w:val="decimal"/>
      <w:pStyle w:val="Quick1"/>
      <w:lvlText w:val="%1"/>
      <w:lvlJc w:val="left"/>
      <w:pPr>
        <w:tabs>
          <w:tab w:val="num" w:pos="720"/>
        </w:tabs>
        <w:ind w:left="720" w:hanging="1440"/>
      </w:pPr>
      <w:rPr>
        <w:rFonts w:ascii="Times New Roman" w:hAnsi="Times New Roman" w:hint="default"/>
        <w:b w:val="0"/>
        <w:i/>
        <w:sz w:val="22"/>
      </w:rPr>
    </w:lvl>
    <w:lvl w:ilvl="1" w:tplc="04090003">
      <w:start w:val="4"/>
      <w:numFmt w:val="lowerRoman"/>
      <w:lvlText w:val="(%2)"/>
      <w:lvlJc w:val="left"/>
      <w:pPr>
        <w:tabs>
          <w:tab w:val="num" w:pos="1457"/>
        </w:tabs>
        <w:ind w:left="1304" w:hanging="567"/>
      </w:pPr>
      <w:rPr>
        <w:rFonts w:hint="default"/>
      </w:rPr>
    </w:lvl>
    <w:lvl w:ilvl="2" w:tplc="04090005">
      <w:numFmt w:val="bullet"/>
      <w:lvlText w:val="-"/>
      <w:lvlJc w:val="left"/>
      <w:pPr>
        <w:tabs>
          <w:tab w:val="num" w:pos="4680"/>
        </w:tabs>
        <w:ind w:left="4680" w:hanging="12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 w15:restartNumberingAfterBreak="0">
    <w:nsid w:val="73804274"/>
    <w:multiLevelType w:val="hybridMultilevel"/>
    <w:tmpl w:val="472AA13A"/>
    <w:lvl w:ilvl="0" w:tplc="5EAC542A">
      <w:start w:val="1"/>
      <w:numFmt w:val="lowerLetter"/>
      <w:lvlText w:val="(%1)"/>
      <w:lvlJc w:val="left"/>
      <w:pPr>
        <w:ind w:left="2421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7" w15:restartNumberingAfterBreak="0">
    <w:nsid w:val="79657590"/>
    <w:multiLevelType w:val="hybridMultilevel"/>
    <w:tmpl w:val="D152DA10"/>
    <w:lvl w:ilvl="0" w:tplc="77E28542">
      <w:start w:val="1"/>
      <w:numFmt w:val="decimal"/>
      <w:pStyle w:val="Paragrafonumerat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5C3C77"/>
    <w:multiLevelType w:val="hybridMultilevel"/>
    <w:tmpl w:val="E64EE878"/>
    <w:lvl w:ilvl="0" w:tplc="F03E17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A63DC"/>
    <w:multiLevelType w:val="hybridMultilevel"/>
    <w:tmpl w:val="0306800C"/>
    <w:lvl w:ilvl="0" w:tplc="2A626EFA">
      <w:start w:val="1"/>
      <w:numFmt w:val="lowerRoman"/>
      <w:lvlText w:val="(%1)"/>
      <w:lvlJc w:val="left"/>
      <w:pPr>
        <w:ind w:left="1854" w:hanging="360"/>
      </w:pPr>
      <w:rPr>
        <w:rFonts w:hint="default"/>
        <w:w w:val="99"/>
        <w:sz w:val="22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DE33371"/>
    <w:multiLevelType w:val="hybridMultilevel"/>
    <w:tmpl w:val="795AD216"/>
    <w:lvl w:ilvl="0" w:tplc="2A626EFA">
      <w:start w:val="1"/>
      <w:numFmt w:val="lowerRoman"/>
      <w:lvlText w:val="(%1)"/>
      <w:lvlJc w:val="left"/>
      <w:pPr>
        <w:ind w:left="1800" w:hanging="720"/>
      </w:pPr>
      <w:rPr>
        <w:rFonts w:hint="default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5041864">
    <w:abstractNumId w:val="23"/>
  </w:num>
  <w:num w:numId="2" w16cid:durableId="565839130">
    <w:abstractNumId w:val="35"/>
  </w:num>
  <w:num w:numId="3" w16cid:durableId="1450468754">
    <w:abstractNumId w:val="33"/>
  </w:num>
  <w:num w:numId="4" w16cid:durableId="1829902316">
    <w:abstractNumId w:val="22"/>
  </w:num>
  <w:num w:numId="5" w16cid:durableId="1609043061">
    <w:abstractNumId w:val="37"/>
  </w:num>
  <w:num w:numId="6" w16cid:durableId="284777212">
    <w:abstractNumId w:val="9"/>
  </w:num>
  <w:num w:numId="7" w16cid:durableId="1072241186">
    <w:abstractNumId w:val="0"/>
  </w:num>
  <w:num w:numId="8" w16cid:durableId="1356808114">
    <w:abstractNumId w:val="13"/>
  </w:num>
  <w:num w:numId="9" w16cid:durableId="1111632323">
    <w:abstractNumId w:val="18"/>
  </w:num>
  <w:num w:numId="10" w16cid:durableId="1177421218">
    <w:abstractNumId w:val="25"/>
  </w:num>
  <w:num w:numId="11" w16cid:durableId="1467120845">
    <w:abstractNumId w:val="6"/>
  </w:num>
  <w:num w:numId="12" w16cid:durableId="553588466">
    <w:abstractNumId w:val="17"/>
  </w:num>
  <w:num w:numId="13" w16cid:durableId="1739471202">
    <w:abstractNumId w:val="7"/>
  </w:num>
  <w:num w:numId="14" w16cid:durableId="1973512587">
    <w:abstractNumId w:val="11"/>
  </w:num>
  <w:num w:numId="15" w16cid:durableId="1916237311">
    <w:abstractNumId w:val="40"/>
  </w:num>
  <w:num w:numId="16" w16cid:durableId="1665012294">
    <w:abstractNumId w:val="4"/>
  </w:num>
  <w:num w:numId="17" w16cid:durableId="301859167">
    <w:abstractNumId w:val="19"/>
  </w:num>
  <w:num w:numId="18" w16cid:durableId="1557158691">
    <w:abstractNumId w:val="34"/>
  </w:num>
  <w:num w:numId="19" w16cid:durableId="570774391">
    <w:abstractNumId w:val="28"/>
  </w:num>
  <w:num w:numId="20" w16cid:durableId="734665542">
    <w:abstractNumId w:val="38"/>
  </w:num>
  <w:num w:numId="21" w16cid:durableId="1042678783">
    <w:abstractNumId w:val="3"/>
  </w:num>
  <w:num w:numId="22" w16cid:durableId="1906839819">
    <w:abstractNumId w:val="21"/>
  </w:num>
  <w:num w:numId="23" w16cid:durableId="526454731">
    <w:abstractNumId w:val="14"/>
  </w:num>
  <w:num w:numId="24" w16cid:durableId="313682569">
    <w:abstractNumId w:val="26"/>
  </w:num>
  <w:num w:numId="25" w16cid:durableId="1664702822">
    <w:abstractNumId w:val="20"/>
  </w:num>
  <w:num w:numId="26" w16cid:durableId="1913270966">
    <w:abstractNumId w:val="32"/>
  </w:num>
  <w:num w:numId="27" w16cid:durableId="2001348930">
    <w:abstractNumId w:val="29"/>
  </w:num>
  <w:num w:numId="28" w16cid:durableId="1449618606">
    <w:abstractNumId w:val="2"/>
  </w:num>
  <w:num w:numId="29" w16cid:durableId="220603471">
    <w:abstractNumId w:val="10"/>
  </w:num>
  <w:num w:numId="30" w16cid:durableId="325911373">
    <w:abstractNumId w:val="1"/>
  </w:num>
  <w:num w:numId="31" w16cid:durableId="600573809">
    <w:abstractNumId w:val="27"/>
  </w:num>
  <w:num w:numId="32" w16cid:durableId="862287615">
    <w:abstractNumId w:val="15"/>
  </w:num>
  <w:num w:numId="33" w16cid:durableId="1529290272">
    <w:abstractNumId w:val="8"/>
  </w:num>
  <w:num w:numId="34" w16cid:durableId="727846094">
    <w:abstractNumId w:val="5"/>
  </w:num>
  <w:num w:numId="35" w16cid:durableId="1709527898">
    <w:abstractNumId w:val="31"/>
  </w:num>
  <w:num w:numId="36" w16cid:durableId="1969430219">
    <w:abstractNumId w:val="12"/>
  </w:num>
  <w:num w:numId="37" w16cid:durableId="91263">
    <w:abstractNumId w:val="16"/>
  </w:num>
  <w:num w:numId="38" w16cid:durableId="537819629">
    <w:abstractNumId w:val="39"/>
  </w:num>
  <w:num w:numId="39" w16cid:durableId="1048341740">
    <w:abstractNumId w:val="36"/>
  </w:num>
  <w:num w:numId="40" w16cid:durableId="932712615">
    <w:abstractNumId w:val="24"/>
  </w:num>
  <w:num w:numId="41" w16cid:durableId="441531328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9B"/>
    <w:rsid w:val="0006083F"/>
    <w:rsid w:val="00093D05"/>
    <w:rsid w:val="0009701D"/>
    <w:rsid w:val="000B31FF"/>
    <w:rsid w:val="00110F52"/>
    <w:rsid w:val="00131D4B"/>
    <w:rsid w:val="001639F8"/>
    <w:rsid w:val="00171F50"/>
    <w:rsid w:val="00173A8F"/>
    <w:rsid w:val="001B6EA3"/>
    <w:rsid w:val="001C12FE"/>
    <w:rsid w:val="001C38C4"/>
    <w:rsid w:val="001D0CEF"/>
    <w:rsid w:val="001E05B0"/>
    <w:rsid w:val="00202D5E"/>
    <w:rsid w:val="00203703"/>
    <w:rsid w:val="002045F6"/>
    <w:rsid w:val="00266E1F"/>
    <w:rsid w:val="002914E2"/>
    <w:rsid w:val="002B1CB6"/>
    <w:rsid w:val="002B415A"/>
    <w:rsid w:val="002B7028"/>
    <w:rsid w:val="002C0618"/>
    <w:rsid w:val="002D207D"/>
    <w:rsid w:val="002F0851"/>
    <w:rsid w:val="0030328B"/>
    <w:rsid w:val="00311333"/>
    <w:rsid w:val="00317274"/>
    <w:rsid w:val="003248C1"/>
    <w:rsid w:val="00355FF3"/>
    <w:rsid w:val="00377233"/>
    <w:rsid w:val="00391D33"/>
    <w:rsid w:val="00392169"/>
    <w:rsid w:val="003A0263"/>
    <w:rsid w:val="003F3F1F"/>
    <w:rsid w:val="00407BD5"/>
    <w:rsid w:val="00411D87"/>
    <w:rsid w:val="00424999"/>
    <w:rsid w:val="0043466B"/>
    <w:rsid w:val="004417C0"/>
    <w:rsid w:val="00480D55"/>
    <w:rsid w:val="004A0465"/>
    <w:rsid w:val="004A0C31"/>
    <w:rsid w:val="004C478F"/>
    <w:rsid w:val="00502229"/>
    <w:rsid w:val="00506915"/>
    <w:rsid w:val="00513877"/>
    <w:rsid w:val="0052306E"/>
    <w:rsid w:val="005713F2"/>
    <w:rsid w:val="005852F5"/>
    <w:rsid w:val="005A21C4"/>
    <w:rsid w:val="005A2BDD"/>
    <w:rsid w:val="005C239B"/>
    <w:rsid w:val="005C7858"/>
    <w:rsid w:val="00615630"/>
    <w:rsid w:val="00637C74"/>
    <w:rsid w:val="0064023E"/>
    <w:rsid w:val="0067165D"/>
    <w:rsid w:val="00676BCE"/>
    <w:rsid w:val="006774CE"/>
    <w:rsid w:val="006C3044"/>
    <w:rsid w:val="006D64F1"/>
    <w:rsid w:val="006E4C50"/>
    <w:rsid w:val="006F10AC"/>
    <w:rsid w:val="00781B08"/>
    <w:rsid w:val="00795B47"/>
    <w:rsid w:val="007A490A"/>
    <w:rsid w:val="007B1296"/>
    <w:rsid w:val="007C5FE0"/>
    <w:rsid w:val="00821B0F"/>
    <w:rsid w:val="00826A42"/>
    <w:rsid w:val="0085679C"/>
    <w:rsid w:val="00860570"/>
    <w:rsid w:val="008710DF"/>
    <w:rsid w:val="008815AA"/>
    <w:rsid w:val="00895C1C"/>
    <w:rsid w:val="008B3AA8"/>
    <w:rsid w:val="008C48C4"/>
    <w:rsid w:val="008D045B"/>
    <w:rsid w:val="008E29AD"/>
    <w:rsid w:val="00900152"/>
    <w:rsid w:val="009045FC"/>
    <w:rsid w:val="00915F6C"/>
    <w:rsid w:val="00946DAF"/>
    <w:rsid w:val="00951EE8"/>
    <w:rsid w:val="00970ECE"/>
    <w:rsid w:val="00972516"/>
    <w:rsid w:val="009831B5"/>
    <w:rsid w:val="00990225"/>
    <w:rsid w:val="009D7C7A"/>
    <w:rsid w:val="00A05CB3"/>
    <w:rsid w:val="00A13EB3"/>
    <w:rsid w:val="00A141A8"/>
    <w:rsid w:val="00A4283E"/>
    <w:rsid w:val="00AC4E27"/>
    <w:rsid w:val="00AC6316"/>
    <w:rsid w:val="00B01D31"/>
    <w:rsid w:val="00B04BCC"/>
    <w:rsid w:val="00B05F6C"/>
    <w:rsid w:val="00B11939"/>
    <w:rsid w:val="00B129D7"/>
    <w:rsid w:val="00B23265"/>
    <w:rsid w:val="00B26D04"/>
    <w:rsid w:val="00B308E1"/>
    <w:rsid w:val="00B4660A"/>
    <w:rsid w:val="00B52368"/>
    <w:rsid w:val="00B617FF"/>
    <w:rsid w:val="00B7229B"/>
    <w:rsid w:val="00BD108B"/>
    <w:rsid w:val="00BE18E4"/>
    <w:rsid w:val="00BE3348"/>
    <w:rsid w:val="00BE7600"/>
    <w:rsid w:val="00BF61BB"/>
    <w:rsid w:val="00C00AF7"/>
    <w:rsid w:val="00C02A47"/>
    <w:rsid w:val="00C0634F"/>
    <w:rsid w:val="00C63A3A"/>
    <w:rsid w:val="00C84B7B"/>
    <w:rsid w:val="00C914AD"/>
    <w:rsid w:val="00CC2742"/>
    <w:rsid w:val="00CE4099"/>
    <w:rsid w:val="00D1478D"/>
    <w:rsid w:val="00D53B83"/>
    <w:rsid w:val="00D557F6"/>
    <w:rsid w:val="00D579A4"/>
    <w:rsid w:val="00D72F6E"/>
    <w:rsid w:val="00D80EA1"/>
    <w:rsid w:val="00D82011"/>
    <w:rsid w:val="00DB3A6F"/>
    <w:rsid w:val="00DC7D73"/>
    <w:rsid w:val="00DD1DE8"/>
    <w:rsid w:val="00DD6B0C"/>
    <w:rsid w:val="00DE17FA"/>
    <w:rsid w:val="00DE443F"/>
    <w:rsid w:val="00E06DA0"/>
    <w:rsid w:val="00E126D4"/>
    <w:rsid w:val="00E12E07"/>
    <w:rsid w:val="00EF16E4"/>
    <w:rsid w:val="00EF6BBE"/>
    <w:rsid w:val="00F0671B"/>
    <w:rsid w:val="00F51867"/>
    <w:rsid w:val="00F65BEA"/>
    <w:rsid w:val="00F73A57"/>
    <w:rsid w:val="00F86554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3FDE9"/>
  <w15:chartTrackingRefBased/>
  <w15:docId w15:val="{7D86D0DA-B32B-4FD6-95EC-B57BE8BD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Marge"/>
    <w:link w:val="Heading1Char"/>
    <w:qFormat/>
    <w:rsid w:val="005C239B"/>
    <w:pPr>
      <w:keepNext/>
      <w:keepLines/>
      <w:spacing w:after="240"/>
      <w:outlineLvl w:val="0"/>
    </w:pPr>
    <w:rPr>
      <w:rFonts w:ascii="Arial" w:hAnsi="Arial"/>
      <w:b/>
      <w:bCs/>
      <w:kern w:val="28"/>
      <w:sz w:val="22"/>
    </w:rPr>
  </w:style>
  <w:style w:type="paragraph" w:styleId="Heading2">
    <w:name w:val="heading 2"/>
    <w:basedOn w:val="Normal"/>
    <w:next w:val="Marge"/>
    <w:link w:val="Heading2Char"/>
    <w:qFormat/>
    <w:rsid w:val="005C239B"/>
    <w:pPr>
      <w:keepNext/>
      <w:keepLines/>
      <w:tabs>
        <w:tab w:val="left" w:pos="737"/>
      </w:tabs>
      <w:spacing w:after="240"/>
      <w:ind w:left="567" w:hanging="567"/>
      <w:outlineLvl w:val="1"/>
    </w:pPr>
    <w:rPr>
      <w:rFonts w:ascii="Arial" w:hAnsi="Arial"/>
      <w:bCs/>
      <w:caps/>
      <w:sz w:val="22"/>
    </w:rPr>
  </w:style>
  <w:style w:type="paragraph" w:styleId="Heading3">
    <w:name w:val="heading 3"/>
    <w:basedOn w:val="Normal"/>
    <w:next w:val="Marge"/>
    <w:link w:val="Heading3Char"/>
    <w:qFormat/>
    <w:rsid w:val="005C239B"/>
    <w:pPr>
      <w:keepNext/>
      <w:keepLines/>
      <w:spacing w:after="240"/>
      <w:ind w:left="567" w:hanging="567"/>
      <w:outlineLvl w:val="2"/>
    </w:pPr>
    <w:rPr>
      <w:rFonts w:ascii="Arial" w:hAnsi="Arial"/>
      <w:b/>
      <w:bCs/>
      <w:sz w:val="22"/>
    </w:rPr>
  </w:style>
  <w:style w:type="paragraph" w:styleId="Heading4">
    <w:name w:val="heading 4"/>
    <w:basedOn w:val="Normal"/>
    <w:next w:val="Marge"/>
    <w:link w:val="Heading4Char"/>
    <w:qFormat/>
    <w:rsid w:val="005C239B"/>
    <w:pPr>
      <w:keepNext/>
      <w:keepLines/>
      <w:tabs>
        <w:tab w:val="left" w:pos="567"/>
      </w:tabs>
      <w:spacing w:after="240"/>
      <w:outlineLvl w:val="3"/>
    </w:pPr>
    <w:rPr>
      <w:b/>
      <w:bCs/>
      <w:lang w:eastAsia="en-US"/>
    </w:rPr>
  </w:style>
  <w:style w:type="paragraph" w:styleId="Heading5">
    <w:name w:val="heading 5"/>
    <w:basedOn w:val="Normal"/>
    <w:next w:val="Marge"/>
    <w:link w:val="Heading5Char"/>
    <w:autoRedefine/>
    <w:qFormat/>
    <w:rsid w:val="005C239B"/>
    <w:pPr>
      <w:keepNext/>
      <w:keepLines/>
      <w:spacing w:after="240"/>
      <w:ind w:left="1701" w:hanging="992"/>
      <w:outlineLvl w:val="4"/>
    </w:pPr>
    <w:rPr>
      <w:rFonts w:ascii="Arial" w:hAnsi="Arial"/>
      <w:bCs/>
      <w:i/>
      <w:sz w:val="22"/>
    </w:rPr>
  </w:style>
  <w:style w:type="paragraph" w:styleId="Heading6">
    <w:name w:val="heading 6"/>
    <w:basedOn w:val="Normal"/>
    <w:next w:val="Marge"/>
    <w:link w:val="Heading6Char"/>
    <w:qFormat/>
    <w:rsid w:val="005C239B"/>
    <w:pPr>
      <w:keepNext/>
      <w:keepLines/>
      <w:tabs>
        <w:tab w:val="left" w:pos="1134"/>
      </w:tabs>
      <w:spacing w:after="240"/>
      <w:ind w:left="567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C239B"/>
    <w:pPr>
      <w:keepNext/>
      <w:ind w:left="54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C239B"/>
    <w:pPr>
      <w:keepNext/>
      <w:tabs>
        <w:tab w:val="left" w:pos="-1440"/>
      </w:tabs>
      <w:ind w:left="2880" w:hanging="2880"/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qFormat/>
    <w:rsid w:val="005C239B"/>
    <w:pPr>
      <w:keepNext/>
      <w:spacing w:after="2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Моя гиперссылка"/>
    <w:link w:val="a0"/>
    <w:qFormat/>
    <w:rsid w:val="000B31FF"/>
    <w:pPr>
      <w:numPr>
        <w:numId w:val="1"/>
      </w:numPr>
      <w:spacing w:after="240"/>
      <w:ind w:left="0" w:hanging="66"/>
      <w:jc w:val="both"/>
    </w:pPr>
    <w:rPr>
      <w:rFonts w:ascii="Arial" w:hAnsi="Arial"/>
      <w:color w:val="0070C0"/>
    </w:rPr>
  </w:style>
  <w:style w:type="character" w:customStyle="1" w:styleId="a0">
    <w:name w:val="Моя гиперссылка Знак"/>
    <w:basedOn w:val="DefaultParagraphFont"/>
    <w:link w:val="a"/>
    <w:rsid w:val="000B31FF"/>
    <w:rPr>
      <w:rFonts w:ascii="Arial" w:hAnsi="Arial"/>
      <w:color w:val="0070C0"/>
    </w:rPr>
  </w:style>
  <w:style w:type="character" w:customStyle="1" w:styleId="Heading1Char">
    <w:name w:val="Heading 1 Char"/>
    <w:basedOn w:val="DefaultParagraphFont"/>
    <w:link w:val="Heading1"/>
    <w:rsid w:val="005C239B"/>
    <w:rPr>
      <w:rFonts w:ascii="Arial" w:eastAsia="Times New Roman" w:hAnsi="Arial" w:cs="Times New Roman"/>
      <w:b/>
      <w:bCs/>
      <w:kern w:val="28"/>
      <w:szCs w:val="24"/>
      <w:lang w:val="ru-RU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5C239B"/>
    <w:rPr>
      <w:rFonts w:ascii="Arial" w:eastAsia="Times New Roman" w:hAnsi="Arial" w:cs="Times New Roman"/>
      <w:bCs/>
      <w:caps/>
      <w:kern w:val="0"/>
      <w:szCs w:val="24"/>
      <w:lang w:val="ru-RU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5C239B"/>
    <w:rPr>
      <w:rFonts w:ascii="Arial" w:eastAsia="Times New Roman" w:hAnsi="Arial" w:cs="Times New Roman"/>
      <w:b/>
      <w:bCs/>
      <w:kern w:val="0"/>
      <w:szCs w:val="24"/>
      <w:lang w:val="ru-RU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5C239B"/>
    <w:rPr>
      <w:rFonts w:ascii="Times New Roman" w:eastAsia="Times New Roman" w:hAnsi="Times New Roman" w:cs="Times New Roman"/>
      <w:b/>
      <w:bCs/>
      <w:kern w:val="0"/>
      <w:sz w:val="24"/>
      <w:szCs w:val="24"/>
      <w:lang w:val="ru-RU"/>
      <w14:ligatures w14:val="none"/>
    </w:rPr>
  </w:style>
  <w:style w:type="character" w:customStyle="1" w:styleId="Heading5Char">
    <w:name w:val="Heading 5 Char"/>
    <w:basedOn w:val="DefaultParagraphFont"/>
    <w:link w:val="Heading5"/>
    <w:rsid w:val="005C239B"/>
    <w:rPr>
      <w:rFonts w:ascii="Arial" w:eastAsia="Times New Roman" w:hAnsi="Arial" w:cs="Times New Roman"/>
      <w:bCs/>
      <w:i/>
      <w:kern w:val="0"/>
      <w:szCs w:val="24"/>
      <w:lang w:val="ru-RU"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5C239B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rsid w:val="005C239B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rsid w:val="005C239B"/>
    <w:rPr>
      <w:rFonts w:ascii="Times New Roman" w:eastAsia="Times New Roman" w:hAnsi="Times New Roman" w:cs="Times New Roman"/>
      <w:kern w:val="0"/>
      <w:sz w:val="24"/>
      <w:szCs w:val="24"/>
      <w:u w:val="single"/>
      <w:lang w:val="ru-RU"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rsid w:val="005C239B"/>
    <w:rPr>
      <w:rFonts w:ascii="Times New Roman" w:eastAsia="Times New Roman" w:hAnsi="Times New Roman" w:cs="Times New Roman"/>
      <w:i/>
      <w:iCs/>
      <w:kern w:val="0"/>
      <w:sz w:val="24"/>
      <w:szCs w:val="24"/>
      <w:lang w:val="ru-RU" w:eastAsia="en-GB"/>
      <w14:ligatures w14:val="none"/>
    </w:rPr>
  </w:style>
  <w:style w:type="paragraph" w:customStyle="1" w:styleId="Marge">
    <w:name w:val="Marge"/>
    <w:basedOn w:val="Par"/>
    <w:link w:val="MargeChar"/>
    <w:uiPriority w:val="99"/>
    <w:qFormat/>
    <w:rsid w:val="005C239B"/>
    <w:pPr>
      <w:ind w:firstLine="0"/>
    </w:pPr>
  </w:style>
  <w:style w:type="paragraph" w:customStyle="1" w:styleId="Par">
    <w:name w:val="Par"/>
    <w:basedOn w:val="Normal"/>
    <w:rsid w:val="005C239B"/>
    <w:pPr>
      <w:spacing w:after="240"/>
      <w:ind w:firstLine="567"/>
      <w:jc w:val="both"/>
    </w:pPr>
    <w:rPr>
      <w:lang w:eastAsia="en-US"/>
    </w:rPr>
  </w:style>
  <w:style w:type="paragraph" w:customStyle="1" w:styleId="a1">
    <w:name w:val="(a)"/>
    <w:basedOn w:val="Normal"/>
    <w:rsid w:val="005C239B"/>
    <w:pPr>
      <w:tabs>
        <w:tab w:val="left" w:pos="-737"/>
      </w:tabs>
      <w:spacing w:after="240"/>
      <w:ind w:left="567" w:hanging="567"/>
      <w:jc w:val="both"/>
    </w:pPr>
    <w:rPr>
      <w:lang w:eastAsia="en-US"/>
    </w:rPr>
  </w:style>
  <w:style w:type="paragraph" w:customStyle="1" w:styleId="b">
    <w:name w:val="(b)"/>
    <w:basedOn w:val="a1"/>
    <w:rsid w:val="005C239B"/>
    <w:pPr>
      <w:tabs>
        <w:tab w:val="left" w:pos="1134"/>
      </w:tabs>
      <w:ind w:left="1134"/>
    </w:pPr>
  </w:style>
  <w:style w:type="paragraph" w:customStyle="1" w:styleId="c">
    <w:name w:val="(c)"/>
    <w:basedOn w:val="Normal"/>
    <w:rsid w:val="005C239B"/>
    <w:pPr>
      <w:tabs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rsid w:val="005C239B"/>
    <w:pPr>
      <w:spacing w:after="240"/>
      <w:ind w:left="567"/>
      <w:jc w:val="both"/>
    </w:pPr>
    <w:rPr>
      <w:lang w:eastAsia="en-US"/>
    </w:rPr>
  </w:style>
  <w:style w:type="character" w:styleId="FootnoteReference">
    <w:name w:val="footnote reference"/>
    <w:semiHidden/>
    <w:rsid w:val="005C239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5C239B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239B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FootnoteText">
    <w:name w:val="footnote text"/>
    <w:basedOn w:val="Normal"/>
    <w:link w:val="FootnoteTextChar"/>
    <w:semiHidden/>
    <w:rsid w:val="005C239B"/>
    <w:pPr>
      <w:ind w:left="567" w:hanging="567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C239B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Footer">
    <w:name w:val="footer"/>
    <w:basedOn w:val="Normal"/>
    <w:link w:val="FooterChar"/>
    <w:rsid w:val="005C239B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5C239B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BodyText">
    <w:name w:val="Body Text"/>
    <w:basedOn w:val="Normal"/>
    <w:link w:val="BodyTextChar"/>
    <w:rsid w:val="005C239B"/>
    <w:rPr>
      <w:i/>
      <w:iCs/>
    </w:rPr>
  </w:style>
  <w:style w:type="character" w:customStyle="1" w:styleId="BodyTextChar">
    <w:name w:val="Body Text Char"/>
    <w:basedOn w:val="DefaultParagraphFont"/>
    <w:link w:val="BodyText"/>
    <w:rsid w:val="005C239B"/>
    <w:rPr>
      <w:rFonts w:ascii="Times New Roman" w:eastAsia="Times New Roman" w:hAnsi="Times New Roman" w:cs="Times New Roman"/>
      <w:i/>
      <w:iCs/>
      <w:kern w:val="0"/>
      <w:sz w:val="24"/>
      <w:szCs w:val="24"/>
      <w:lang w:val="ru-RU" w:eastAsia="en-GB"/>
      <w14:ligatures w14:val="none"/>
    </w:rPr>
  </w:style>
  <w:style w:type="paragraph" w:customStyle="1" w:styleId="paragraphnumerote">
    <w:name w:val="paragraph numerote"/>
    <w:basedOn w:val="Normal"/>
    <w:link w:val="paragraphnumeroteCharChar"/>
    <w:autoRedefine/>
    <w:rsid w:val="005C239B"/>
    <w:pPr>
      <w:shd w:val="clear" w:color="auto" w:fill="FFFFFF"/>
      <w:spacing w:after="240"/>
      <w:jc w:val="both"/>
    </w:pPr>
    <w:rPr>
      <w:rFonts w:ascii="Arial" w:hAnsi="Arial"/>
      <w:iCs/>
      <w:sz w:val="22"/>
      <w:szCs w:val="22"/>
    </w:rPr>
  </w:style>
  <w:style w:type="paragraph" w:customStyle="1" w:styleId="TIRETbul1cm">
    <w:name w:val="TIRET bul 1cm"/>
    <w:basedOn w:val="Normal"/>
    <w:rsid w:val="005C239B"/>
    <w:pPr>
      <w:numPr>
        <w:numId w:val="4"/>
      </w:numPr>
      <w:adjustRightInd w:val="0"/>
      <w:spacing w:after="240"/>
      <w:jc w:val="both"/>
    </w:pPr>
  </w:style>
  <w:style w:type="paragraph" w:customStyle="1" w:styleId="Serre">
    <w:name w:val="Serre"/>
    <w:basedOn w:val="Normal"/>
    <w:rsid w:val="005C239B"/>
    <w:pPr>
      <w:suppressAutoHyphens/>
      <w:jc w:val="both"/>
      <w:outlineLvl w:val="2"/>
    </w:pPr>
    <w:rPr>
      <w:lang w:eastAsia="fr-FR"/>
    </w:rPr>
  </w:style>
  <w:style w:type="paragraph" w:styleId="BodyTextIndent">
    <w:name w:val="Body Text Indent"/>
    <w:basedOn w:val="Normal"/>
    <w:link w:val="BodyTextIndentChar"/>
    <w:rsid w:val="005C239B"/>
    <w:pPr>
      <w:spacing w:before="120" w:after="120"/>
      <w:ind w:firstLine="1134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C239B"/>
    <w:rPr>
      <w:rFonts w:ascii="Arial" w:eastAsia="Times New Roman" w:hAnsi="Arial" w:cs="Arial"/>
      <w:kern w:val="0"/>
      <w:lang w:val="ru-RU" w:eastAsia="en-GB"/>
      <w14:ligatures w14:val="none"/>
    </w:rPr>
  </w:style>
  <w:style w:type="paragraph" w:styleId="BodyText3">
    <w:name w:val="Body Text 3"/>
    <w:basedOn w:val="Normal"/>
    <w:link w:val="BodyText3Char"/>
    <w:rsid w:val="005C239B"/>
    <w:pPr>
      <w:spacing w:before="120" w:after="120"/>
      <w:ind w:right="-58"/>
      <w:jc w:val="both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5C239B"/>
    <w:rPr>
      <w:rFonts w:ascii="Arial" w:eastAsia="Times New Roman" w:hAnsi="Arial" w:cs="Arial"/>
      <w:kern w:val="0"/>
      <w:lang w:val="ru-RU" w:eastAsia="en-GB"/>
      <w14:ligatures w14:val="none"/>
    </w:rPr>
  </w:style>
  <w:style w:type="paragraph" w:customStyle="1" w:styleId="non-decis">
    <w:name w:val="non-decis"/>
    <w:basedOn w:val="Normal"/>
    <w:rsid w:val="005C239B"/>
    <w:pPr>
      <w:ind w:left="737" w:right="737"/>
      <w:jc w:val="both"/>
    </w:pPr>
    <w:rPr>
      <w:sz w:val="20"/>
      <w:szCs w:val="20"/>
    </w:rPr>
  </w:style>
  <w:style w:type="paragraph" w:customStyle="1" w:styleId="decis">
    <w:name w:val="decis"/>
    <w:basedOn w:val="BodyText"/>
    <w:rsid w:val="005C239B"/>
    <w:pPr>
      <w:numPr>
        <w:numId w:val="3"/>
      </w:numPr>
      <w:jc w:val="both"/>
    </w:pPr>
    <w:rPr>
      <w:i w:val="0"/>
      <w:iCs w:val="0"/>
    </w:rPr>
  </w:style>
  <w:style w:type="paragraph" w:styleId="BodyTextIndent2">
    <w:name w:val="Body Text Indent 2"/>
    <w:basedOn w:val="Normal"/>
    <w:link w:val="BodyTextIndent2Char"/>
    <w:rsid w:val="005C239B"/>
    <w:pPr>
      <w:ind w:left="1440" w:hanging="144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5C239B"/>
    <w:rPr>
      <w:rFonts w:ascii="Times New Roman" w:eastAsia="Times New Roman" w:hAnsi="Times New Roman" w:cs="Times New Roman"/>
      <w:i/>
      <w:iCs/>
      <w:kern w:val="0"/>
      <w:sz w:val="24"/>
      <w:szCs w:val="24"/>
      <w:lang w:val="ru-RU" w:eastAsia="en-GB"/>
      <w14:ligatures w14:val="none"/>
    </w:rPr>
  </w:style>
  <w:style w:type="paragraph" w:styleId="BodyTextIndent3">
    <w:name w:val="Body Text Indent 3"/>
    <w:basedOn w:val="Normal"/>
    <w:link w:val="BodyTextIndent3Char"/>
    <w:rsid w:val="005C239B"/>
    <w:pPr>
      <w:widowControl w:val="0"/>
      <w:ind w:left="3600" w:hanging="2880"/>
    </w:pPr>
    <w:rPr>
      <w:b/>
      <w:bCs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C239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GB"/>
      <w14:ligatures w14:val="none"/>
    </w:rPr>
  </w:style>
  <w:style w:type="paragraph" w:styleId="BodyText2">
    <w:name w:val="Body Text 2"/>
    <w:basedOn w:val="Normal"/>
    <w:link w:val="BodyText2Char"/>
    <w:rsid w:val="005C239B"/>
    <w:rPr>
      <w:i/>
      <w:iCs/>
      <w:color w:val="000000"/>
    </w:rPr>
  </w:style>
  <w:style w:type="character" w:customStyle="1" w:styleId="BodyText2Char">
    <w:name w:val="Body Text 2 Char"/>
    <w:basedOn w:val="DefaultParagraphFont"/>
    <w:link w:val="BodyText2"/>
    <w:rsid w:val="005C239B"/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val="ru-RU" w:eastAsia="en-GB"/>
      <w14:ligatures w14:val="none"/>
    </w:rPr>
  </w:style>
  <w:style w:type="character" w:styleId="PageNumber">
    <w:name w:val="page number"/>
    <w:basedOn w:val="DefaultParagraphFont"/>
    <w:rsid w:val="005C239B"/>
  </w:style>
  <w:style w:type="paragraph" w:styleId="Index1">
    <w:name w:val="index 1"/>
    <w:basedOn w:val="Normal"/>
    <w:next w:val="Normal"/>
    <w:autoRedefine/>
    <w:semiHidden/>
    <w:rsid w:val="005C239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C239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C239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C239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C239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C239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C239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C239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C239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C239B"/>
  </w:style>
  <w:style w:type="paragraph" w:styleId="TOC1">
    <w:name w:val="toc 1"/>
    <w:basedOn w:val="Normal"/>
    <w:next w:val="Normal"/>
    <w:autoRedefine/>
    <w:uiPriority w:val="39"/>
    <w:rsid w:val="00A05CB3"/>
    <w:pPr>
      <w:tabs>
        <w:tab w:val="left" w:pos="709"/>
        <w:tab w:val="right" w:leader="dot" w:pos="9628"/>
      </w:tabs>
      <w:spacing w:before="240" w:after="240"/>
      <w:ind w:left="709" w:hanging="709"/>
    </w:pPr>
    <w:rPr>
      <w:rFonts w:ascii="Arial" w:hAnsi="Arial" w:cs="Arial"/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5C239B"/>
    <w:pPr>
      <w:tabs>
        <w:tab w:val="right" w:leader="dot" w:pos="9639"/>
      </w:tabs>
      <w:spacing w:after="120"/>
      <w:ind w:left="709" w:hanging="709"/>
    </w:pPr>
    <w:rPr>
      <w:rFonts w:ascii="Arial" w:hAnsi="Arial" w:cs="Arial"/>
      <w:bCs/>
      <w:iCs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5C239B"/>
    <w:pPr>
      <w:tabs>
        <w:tab w:val="left" w:pos="709"/>
        <w:tab w:val="left" w:pos="1560"/>
        <w:tab w:val="right" w:leader="dot" w:pos="9639"/>
      </w:tabs>
      <w:spacing w:before="120" w:after="60"/>
      <w:ind w:left="1560" w:hanging="851"/>
    </w:pPr>
    <w:rPr>
      <w:rFonts w:ascii="Arial" w:hAnsi="Arial" w:cs="Arial"/>
      <w:noProof/>
      <w:color w:val="000000"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5C239B"/>
    <w:pPr>
      <w:tabs>
        <w:tab w:val="left" w:pos="1843"/>
        <w:tab w:val="right" w:leader="dot" w:pos="9356"/>
      </w:tabs>
      <w:spacing w:after="60"/>
      <w:ind w:left="1843" w:hanging="567"/>
    </w:pPr>
    <w:rPr>
      <w:noProof/>
      <w:color w:val="000000"/>
    </w:rPr>
  </w:style>
  <w:style w:type="paragraph" w:styleId="TOC5">
    <w:name w:val="toc 5"/>
    <w:basedOn w:val="Normal"/>
    <w:next w:val="Normal"/>
    <w:autoRedefine/>
    <w:uiPriority w:val="39"/>
    <w:rsid w:val="005C239B"/>
    <w:pPr>
      <w:tabs>
        <w:tab w:val="left" w:pos="1920"/>
        <w:tab w:val="left" w:pos="2340"/>
        <w:tab w:val="right" w:leader="dot" w:pos="9360"/>
      </w:tabs>
      <w:spacing w:after="60"/>
      <w:ind w:left="2340" w:hanging="900"/>
    </w:pPr>
    <w:rPr>
      <w:rFonts w:ascii="Arial" w:hAnsi="Arial" w:cs="Arial"/>
      <w:i/>
      <w:noProof/>
      <w:sz w:val="22"/>
      <w:szCs w:val="22"/>
    </w:rPr>
  </w:style>
  <w:style w:type="paragraph" w:styleId="TOC6">
    <w:name w:val="toc 6"/>
    <w:basedOn w:val="Normal"/>
    <w:next w:val="Normal"/>
    <w:autoRedefine/>
    <w:semiHidden/>
    <w:rsid w:val="005C239B"/>
    <w:pPr>
      <w:ind w:left="1200"/>
    </w:pPr>
  </w:style>
  <w:style w:type="paragraph" w:styleId="TOC7">
    <w:name w:val="toc 7"/>
    <w:basedOn w:val="Normal"/>
    <w:next w:val="Normal"/>
    <w:autoRedefine/>
    <w:semiHidden/>
    <w:rsid w:val="005C239B"/>
    <w:pPr>
      <w:ind w:left="1440"/>
    </w:pPr>
  </w:style>
  <w:style w:type="paragraph" w:styleId="TOC8">
    <w:name w:val="toc 8"/>
    <w:basedOn w:val="Normal"/>
    <w:next w:val="Normal"/>
    <w:autoRedefine/>
    <w:semiHidden/>
    <w:rsid w:val="005C239B"/>
    <w:pPr>
      <w:ind w:left="1680"/>
    </w:pPr>
  </w:style>
  <w:style w:type="paragraph" w:styleId="TOC9">
    <w:name w:val="toc 9"/>
    <w:basedOn w:val="Normal"/>
    <w:next w:val="Normal"/>
    <w:autoRedefine/>
    <w:semiHidden/>
    <w:rsid w:val="005C239B"/>
    <w:pPr>
      <w:ind w:left="1920"/>
    </w:pPr>
  </w:style>
  <w:style w:type="character" w:styleId="Hyperlink">
    <w:name w:val="Hyperlink"/>
    <w:uiPriority w:val="99"/>
    <w:rsid w:val="005C239B"/>
    <w:rPr>
      <w:color w:val="0000FF"/>
      <w:u w:val="single"/>
    </w:rPr>
  </w:style>
  <w:style w:type="character" w:styleId="FollowedHyperlink">
    <w:name w:val="FollowedHyperlink"/>
    <w:rsid w:val="005C239B"/>
    <w:rPr>
      <w:color w:val="800080"/>
      <w:u w:val="single"/>
    </w:rPr>
  </w:style>
  <w:style w:type="paragraph" w:customStyle="1" w:styleId="standard">
    <w:name w:val="standard"/>
    <w:basedOn w:val="Header"/>
    <w:autoRedefine/>
    <w:rsid w:val="005C239B"/>
    <w:pPr>
      <w:tabs>
        <w:tab w:val="clear" w:pos="4153"/>
        <w:tab w:val="clear" w:pos="8306"/>
        <w:tab w:val="center" w:pos="4419"/>
        <w:tab w:val="right" w:pos="8838"/>
      </w:tabs>
      <w:jc w:val="both"/>
    </w:pPr>
    <w:rPr>
      <w:rFonts w:eastAsia="Arial Unicode MS"/>
      <w:sz w:val="22"/>
      <w:szCs w:val="22"/>
      <w:u w:val="single"/>
    </w:rPr>
  </w:style>
  <w:style w:type="paragraph" w:customStyle="1" w:styleId="Quick1">
    <w:name w:val="Quick 1."/>
    <w:basedOn w:val="Normal"/>
    <w:rsid w:val="005C239B"/>
    <w:pPr>
      <w:widowControl w:val="0"/>
      <w:numPr>
        <w:numId w:val="2"/>
      </w:numPr>
      <w:jc w:val="both"/>
    </w:pPr>
    <w:rPr>
      <w:sz w:val="22"/>
      <w:szCs w:val="22"/>
    </w:rPr>
  </w:style>
  <w:style w:type="character" w:styleId="CommentReference">
    <w:name w:val="annotation reference"/>
    <w:uiPriority w:val="99"/>
    <w:rsid w:val="005C2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C239B"/>
    <w:rPr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39B"/>
    <w:rPr>
      <w:rFonts w:ascii="Times New Roman" w:eastAsia="Times New Roman" w:hAnsi="Times New Roman" w:cs="Times New Roman"/>
      <w:kern w:val="0"/>
      <w:sz w:val="20"/>
      <w:szCs w:val="20"/>
      <w:lang w:val="ru-RU" w:eastAsia="x-none"/>
      <w14:ligatures w14:val="none"/>
    </w:rPr>
  </w:style>
  <w:style w:type="paragraph" w:styleId="Title">
    <w:name w:val="Title"/>
    <w:basedOn w:val="Normal"/>
    <w:link w:val="TitleChar"/>
    <w:qFormat/>
    <w:rsid w:val="005C239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C239B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en-GB"/>
      <w14:ligatures w14:val="none"/>
    </w:rPr>
  </w:style>
  <w:style w:type="paragraph" w:styleId="BlockText">
    <w:name w:val="Block Text"/>
    <w:basedOn w:val="Normal"/>
    <w:rsid w:val="005C239B"/>
    <w:pPr>
      <w:ind w:left="1440" w:right="615"/>
    </w:pPr>
    <w:rPr>
      <w:sz w:val="20"/>
      <w:szCs w:val="20"/>
    </w:rPr>
  </w:style>
  <w:style w:type="paragraph" w:customStyle="1" w:styleId="COI">
    <w:name w:val="COI"/>
    <w:basedOn w:val="Marge"/>
    <w:link w:val="COIChar"/>
    <w:rsid w:val="005C239B"/>
    <w:pPr>
      <w:tabs>
        <w:tab w:val="left" w:pos="709"/>
      </w:tabs>
      <w:ind w:hanging="709"/>
    </w:pPr>
  </w:style>
  <w:style w:type="paragraph" w:customStyle="1" w:styleId="Textedebulles2">
    <w:name w:val="Texte de bulles2"/>
    <w:basedOn w:val="Normal"/>
    <w:semiHidden/>
    <w:rsid w:val="005C239B"/>
    <w:rPr>
      <w:rFonts w:ascii="Tahoma" w:hAnsi="Tahoma" w:cs="Tahoma"/>
      <w:sz w:val="16"/>
      <w:szCs w:val="16"/>
    </w:rPr>
  </w:style>
  <w:style w:type="paragraph" w:customStyle="1" w:styleId="Textedebulles1">
    <w:name w:val="Texte de bulles1"/>
    <w:basedOn w:val="Normal"/>
    <w:semiHidden/>
    <w:rsid w:val="005C239B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paragraph" w:customStyle="1" w:styleId="Docheading">
    <w:name w:val="Doc. heading"/>
    <w:basedOn w:val="Header"/>
    <w:rsid w:val="005C239B"/>
    <w:pPr>
      <w:spacing w:after="480"/>
      <w:jc w:val="center"/>
    </w:pPr>
    <w:rPr>
      <w:rFonts w:ascii="Arial" w:hAnsi="Arial" w:cs="Arial"/>
      <w:b/>
      <w:bCs/>
      <w:caps/>
    </w:rPr>
  </w:style>
  <w:style w:type="paragraph" w:customStyle="1" w:styleId="content">
    <w:name w:val="content"/>
    <w:basedOn w:val="Normal"/>
    <w:rsid w:val="005C239B"/>
    <w:pPr>
      <w:spacing w:before="100" w:beforeAutospacing="1" w:after="100" w:afterAutospacing="1" w:line="255" w:lineRule="atLeast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Default">
    <w:name w:val="Default"/>
    <w:rsid w:val="005C239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rsid w:val="005C239B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C239B"/>
    <w:rPr>
      <w:b/>
      <w:bCs/>
    </w:rPr>
  </w:style>
  <w:style w:type="character" w:customStyle="1" w:styleId="uwolf">
    <w:name w:val="u_wolf"/>
    <w:semiHidden/>
    <w:rsid w:val="005C239B"/>
    <w:rPr>
      <w:rFonts w:ascii="Arial" w:hAnsi="Arial" w:cs="Arial"/>
      <w:color w:val="auto"/>
      <w:sz w:val="20"/>
      <w:szCs w:val="20"/>
    </w:rPr>
  </w:style>
  <w:style w:type="paragraph" w:styleId="NormalIndent">
    <w:name w:val="Normal Indent"/>
    <w:basedOn w:val="Normal"/>
    <w:rsid w:val="005C239B"/>
    <w:pPr>
      <w:overflowPunct w:val="0"/>
      <w:autoSpaceDE w:val="0"/>
      <w:autoSpaceDN w:val="0"/>
      <w:spacing w:before="120" w:after="120"/>
      <w:ind w:left="708"/>
      <w:jc w:val="both"/>
    </w:pPr>
    <w:rPr>
      <w:rFonts w:ascii="Garamond" w:eastAsia="MS Mincho" w:hAnsi="Garamond"/>
      <w:lang w:eastAsia="ja-JP"/>
    </w:rPr>
  </w:style>
  <w:style w:type="character" w:customStyle="1" w:styleId="paragraphnumeroteCharChar">
    <w:name w:val="paragraph numerote Char Char"/>
    <w:link w:val="paragraphnumerote"/>
    <w:rsid w:val="005C239B"/>
    <w:rPr>
      <w:rFonts w:ascii="Arial" w:eastAsia="Times New Roman" w:hAnsi="Arial" w:cs="Times New Roman"/>
      <w:iCs/>
      <w:kern w:val="0"/>
      <w:shd w:val="clear" w:color="auto" w:fill="FFFFFF"/>
      <w:lang w:val="ru-RU" w:eastAsia="en-GB"/>
      <w14:ligatures w14:val="none"/>
    </w:rPr>
  </w:style>
  <w:style w:type="paragraph" w:styleId="BalloonText">
    <w:name w:val="Balloon Text"/>
    <w:basedOn w:val="Normal"/>
    <w:link w:val="BalloonTextChar"/>
    <w:semiHidden/>
    <w:rsid w:val="005C2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C239B"/>
    <w:rPr>
      <w:rFonts w:ascii="Tahoma" w:eastAsia="Times New Roman" w:hAnsi="Tahoma" w:cs="Tahoma"/>
      <w:kern w:val="0"/>
      <w:sz w:val="16"/>
      <w:szCs w:val="16"/>
      <w:lang w:val="ru-RU" w:eastAsia="en-GB"/>
      <w14:ligatures w14:val="none"/>
    </w:rPr>
  </w:style>
  <w:style w:type="paragraph" w:customStyle="1" w:styleId="paragraphnumerote0">
    <w:name w:val="paragraphnumerote"/>
    <w:basedOn w:val="Normal"/>
    <w:rsid w:val="005C239B"/>
    <w:pPr>
      <w:spacing w:before="100" w:beforeAutospacing="1" w:after="100" w:afterAutospacing="1"/>
    </w:pPr>
  </w:style>
  <w:style w:type="character" w:customStyle="1" w:styleId="paragraphnumerotechar">
    <w:name w:val="paragraphnumerotechar"/>
    <w:basedOn w:val="DefaultParagraphFont"/>
    <w:rsid w:val="005C239B"/>
  </w:style>
  <w:style w:type="character" w:customStyle="1" w:styleId="size10w1">
    <w:name w:val="size10w1"/>
    <w:rsid w:val="005C239B"/>
    <w:rPr>
      <w:rFonts w:ascii="Verdana" w:hAnsi="Verdana" w:hint="default"/>
      <w:strike w:val="0"/>
      <w:dstrike w:val="0"/>
      <w:color w:val="FFFFFF"/>
      <w:sz w:val="11"/>
      <w:szCs w:val="11"/>
      <w:u w:val="none"/>
      <w:effect w:val="none"/>
    </w:rPr>
  </w:style>
  <w:style w:type="paragraph" w:customStyle="1" w:styleId="Norm">
    <w:name w:val="Norm"/>
    <w:basedOn w:val="paragraphnumerote"/>
    <w:rsid w:val="005C239B"/>
  </w:style>
  <w:style w:type="paragraph" w:customStyle="1" w:styleId="Style1">
    <w:name w:val="Style1"/>
    <w:basedOn w:val="PlainText"/>
    <w:next w:val="PlainText"/>
    <w:autoRedefine/>
    <w:rsid w:val="005C239B"/>
    <w:rPr>
      <w:rFonts w:ascii="Arial" w:hAnsi="Arial" w:cs="Arial"/>
      <w:sz w:val="24"/>
    </w:rPr>
  </w:style>
  <w:style w:type="paragraph" w:styleId="PlainText">
    <w:name w:val="Plain Text"/>
    <w:basedOn w:val="Normal"/>
    <w:link w:val="PlainTextChar"/>
    <w:rsid w:val="005C239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C239B"/>
    <w:rPr>
      <w:rFonts w:ascii="Courier New" w:eastAsia="Times New Roman" w:hAnsi="Courier New" w:cs="Courier New"/>
      <w:kern w:val="0"/>
      <w:sz w:val="20"/>
      <w:szCs w:val="20"/>
      <w:lang w:val="ru-RU" w:eastAsia="en-GB"/>
      <w14:ligatures w14:val="none"/>
    </w:rPr>
  </w:style>
  <w:style w:type="character" w:customStyle="1" w:styleId="A10">
    <w:name w:val="A1"/>
    <w:rsid w:val="005C239B"/>
    <w:rPr>
      <w:rFonts w:cs="Benton Sans"/>
      <w:color w:val="000000"/>
      <w:sz w:val="15"/>
      <w:szCs w:val="15"/>
    </w:rPr>
  </w:style>
  <w:style w:type="paragraph" w:styleId="NormalWeb">
    <w:name w:val="Normal (Web)"/>
    <w:basedOn w:val="Normal"/>
    <w:uiPriority w:val="99"/>
    <w:rsid w:val="005C239B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CM52">
    <w:name w:val="CM52"/>
    <w:basedOn w:val="Default"/>
    <w:next w:val="Default"/>
    <w:rsid w:val="005C239B"/>
    <w:pPr>
      <w:widowControl w:val="0"/>
      <w:spacing w:after="245"/>
    </w:pPr>
    <w:rPr>
      <w:color w:val="auto"/>
    </w:rPr>
  </w:style>
  <w:style w:type="paragraph" w:customStyle="1" w:styleId="Paragrafonumerato">
    <w:name w:val="Paragrafo numerato"/>
    <w:basedOn w:val="Normal"/>
    <w:rsid w:val="005C239B"/>
    <w:pPr>
      <w:numPr>
        <w:numId w:val="5"/>
      </w:numPr>
      <w:spacing w:after="240"/>
      <w:jc w:val="both"/>
    </w:pPr>
    <w:rPr>
      <w:rFonts w:eastAsia="MS Mincho"/>
    </w:rPr>
  </w:style>
  <w:style w:type="paragraph" w:styleId="ListBullet2">
    <w:name w:val="List Bullet 2"/>
    <w:basedOn w:val="Normal"/>
    <w:rsid w:val="005C239B"/>
    <w:pPr>
      <w:numPr>
        <w:numId w:val="6"/>
      </w:numPr>
    </w:pPr>
  </w:style>
  <w:style w:type="paragraph" w:customStyle="1" w:styleId="marge0">
    <w:name w:val="marge"/>
    <w:basedOn w:val="Normal"/>
    <w:rsid w:val="005C239B"/>
    <w:pPr>
      <w:spacing w:before="100" w:beforeAutospacing="1" w:after="100" w:afterAutospacing="1"/>
    </w:pPr>
    <w:rPr>
      <w:rFonts w:eastAsia="MS Mincho"/>
      <w:lang w:eastAsia="ja-JP" w:bidi="hi-IN"/>
    </w:rPr>
  </w:style>
  <w:style w:type="character" w:customStyle="1" w:styleId="msoins0">
    <w:name w:val="msoins"/>
    <w:basedOn w:val="DefaultParagraphFont"/>
    <w:rsid w:val="005C239B"/>
  </w:style>
  <w:style w:type="paragraph" w:customStyle="1" w:styleId="coi0">
    <w:name w:val="coi"/>
    <w:basedOn w:val="Normal"/>
    <w:rsid w:val="005C239B"/>
    <w:pPr>
      <w:spacing w:before="240" w:after="240"/>
      <w:jc w:val="both"/>
    </w:pPr>
    <w:rPr>
      <w:rFonts w:ascii="Arial" w:eastAsia="SimSun" w:hAnsi="Arial" w:cs="Arial"/>
      <w:sz w:val="22"/>
      <w:szCs w:val="22"/>
      <w:lang w:eastAsia="zh-CN"/>
    </w:rPr>
  </w:style>
  <w:style w:type="paragraph" w:styleId="DocumentMap">
    <w:name w:val="Document Map"/>
    <w:basedOn w:val="Normal"/>
    <w:link w:val="DocumentMapChar"/>
    <w:semiHidden/>
    <w:rsid w:val="005C23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C239B"/>
    <w:rPr>
      <w:rFonts w:ascii="Tahoma" w:eastAsia="Times New Roman" w:hAnsi="Tahoma" w:cs="Tahoma"/>
      <w:kern w:val="0"/>
      <w:sz w:val="20"/>
      <w:szCs w:val="20"/>
      <w:shd w:val="clear" w:color="auto" w:fill="000080"/>
      <w:lang w:val="ru-RU" w:eastAsia="en-GB"/>
      <w14:ligatures w14:val="none"/>
    </w:rPr>
  </w:style>
  <w:style w:type="paragraph" w:customStyle="1" w:styleId="Norma">
    <w:name w:val="Norma"/>
    <w:basedOn w:val="Heading4"/>
    <w:rsid w:val="005C239B"/>
    <w:pPr>
      <w:tabs>
        <w:tab w:val="clear" w:pos="567"/>
        <w:tab w:val="left" w:pos="720"/>
      </w:tabs>
      <w:spacing w:before="240" w:after="0"/>
      <w:ind w:left="720" w:hanging="720"/>
    </w:pPr>
    <w:rPr>
      <w:rFonts w:ascii="Arial" w:hAnsi="Arial" w:cs="Arial"/>
      <w:sz w:val="22"/>
      <w:szCs w:val="22"/>
    </w:rPr>
  </w:style>
  <w:style w:type="paragraph" w:customStyle="1" w:styleId="Heading5111">
    <w:name w:val="Heading 5111"/>
    <w:basedOn w:val="Normal"/>
    <w:link w:val="Heading5111Char"/>
    <w:rsid w:val="005C239B"/>
    <w:pPr>
      <w:spacing w:after="240"/>
      <w:ind w:left="1800" w:hanging="1080"/>
    </w:pPr>
    <w:rPr>
      <w:rFonts w:ascii="Arial" w:hAnsi="Arial" w:cs="Arial"/>
      <w:i/>
      <w:sz w:val="22"/>
      <w:szCs w:val="22"/>
    </w:rPr>
  </w:style>
  <w:style w:type="character" w:customStyle="1" w:styleId="Heading5111Char">
    <w:name w:val="Heading 5111 Char"/>
    <w:link w:val="Heading5111"/>
    <w:rsid w:val="005C239B"/>
    <w:rPr>
      <w:rFonts w:ascii="Arial" w:eastAsia="Times New Roman" w:hAnsi="Arial" w:cs="Arial"/>
      <w:i/>
      <w:kern w:val="0"/>
      <w:lang w:val="ru-RU" w:eastAsia="en-GB"/>
      <w14:ligatures w14:val="none"/>
    </w:rPr>
  </w:style>
  <w:style w:type="paragraph" w:styleId="ListBullet3">
    <w:name w:val="List Bullet 3"/>
    <w:basedOn w:val="Normal"/>
    <w:rsid w:val="005C239B"/>
    <w:pPr>
      <w:numPr>
        <w:numId w:val="7"/>
      </w:numPr>
    </w:pPr>
  </w:style>
  <w:style w:type="character" w:customStyle="1" w:styleId="apple-style-span">
    <w:name w:val="apple-style-span"/>
    <w:basedOn w:val="DefaultParagraphFont"/>
    <w:rsid w:val="005C239B"/>
  </w:style>
  <w:style w:type="paragraph" w:customStyle="1" w:styleId="Paragrafoelenco">
    <w:name w:val="Paragrafo elenco"/>
    <w:basedOn w:val="paragraphnumerote"/>
    <w:qFormat/>
    <w:rsid w:val="005C239B"/>
  </w:style>
  <w:style w:type="paragraph" w:customStyle="1" w:styleId="Paragrafoelenco1">
    <w:name w:val="Paragrafo elenco1"/>
    <w:basedOn w:val="Normal"/>
    <w:rsid w:val="005C239B"/>
    <w:pPr>
      <w:widowControl w:val="0"/>
      <w:autoSpaceDE w:val="0"/>
      <w:autoSpaceDN w:val="0"/>
      <w:adjustRightInd w:val="0"/>
      <w:ind w:left="720"/>
      <w:contextualSpacing/>
      <w:jc w:val="both"/>
    </w:pPr>
  </w:style>
  <w:style w:type="character" w:customStyle="1" w:styleId="CharChar2">
    <w:name w:val="Char Char2"/>
    <w:rsid w:val="005C239B"/>
    <w:rPr>
      <w:sz w:val="24"/>
      <w:szCs w:val="24"/>
      <w:lang w:val="ru-RU"/>
    </w:rPr>
  </w:style>
  <w:style w:type="paragraph" w:customStyle="1" w:styleId="ColorfulList-Accent11">
    <w:name w:val="Colorful List - Accent 11"/>
    <w:basedOn w:val="Normal"/>
    <w:qFormat/>
    <w:rsid w:val="005C239B"/>
    <w:pPr>
      <w:widowControl w:val="0"/>
      <w:autoSpaceDE w:val="0"/>
      <w:autoSpaceDN w:val="0"/>
      <w:adjustRightInd w:val="0"/>
      <w:ind w:left="720"/>
      <w:contextualSpacing/>
      <w:jc w:val="both"/>
    </w:pPr>
  </w:style>
  <w:style w:type="paragraph" w:customStyle="1" w:styleId="Revisione">
    <w:name w:val="Revisione"/>
    <w:hidden/>
    <w:semiHidden/>
    <w:rsid w:val="005C2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31">
    <w:name w:val="A3+1"/>
    <w:rsid w:val="005C239B"/>
    <w:rPr>
      <w:rFonts w:cs="Vera Humana 95"/>
      <w:color w:val="221E1F"/>
      <w:sz w:val="18"/>
      <w:szCs w:val="18"/>
    </w:rPr>
  </w:style>
  <w:style w:type="paragraph" w:customStyle="1" w:styleId="Recommendation">
    <w:name w:val="Recommendation"/>
    <w:basedOn w:val="Normal"/>
    <w:rsid w:val="005C239B"/>
    <w:pPr>
      <w:keepNext/>
      <w:keepLines/>
      <w:spacing w:before="480" w:after="240"/>
      <w:jc w:val="center"/>
      <w:outlineLvl w:val="0"/>
    </w:pPr>
    <w:rPr>
      <w:rFonts w:eastAsia="SimSun"/>
      <w:bCs/>
      <w:kern w:val="28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5C2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239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x-none"/>
      <w14:ligatures w14:val="none"/>
    </w:rPr>
  </w:style>
  <w:style w:type="paragraph" w:customStyle="1" w:styleId="ListParagraph1">
    <w:name w:val="List Paragraph1"/>
    <w:basedOn w:val="Normal"/>
    <w:qFormat/>
    <w:rsid w:val="005C239B"/>
    <w:pPr>
      <w:widowControl w:val="0"/>
      <w:autoSpaceDE w:val="0"/>
      <w:autoSpaceDN w:val="0"/>
      <w:adjustRightInd w:val="0"/>
      <w:ind w:left="720"/>
      <w:contextualSpacing/>
      <w:jc w:val="both"/>
    </w:pPr>
  </w:style>
  <w:style w:type="paragraph" w:customStyle="1" w:styleId="Title5">
    <w:name w:val="Title 5"/>
    <w:basedOn w:val="Normal"/>
    <w:link w:val="Title5Car"/>
    <w:qFormat/>
    <w:rsid w:val="005C239B"/>
    <w:pPr>
      <w:spacing w:after="240"/>
      <w:ind w:left="1707" w:hanging="981"/>
    </w:pPr>
    <w:rPr>
      <w:rFonts w:ascii="Arial" w:hAnsi="Arial"/>
      <w:i/>
      <w:caps/>
    </w:rPr>
  </w:style>
  <w:style w:type="paragraph" w:customStyle="1" w:styleId="TableauGrille31">
    <w:name w:val="Tableau Grille 31"/>
    <w:basedOn w:val="Heading1"/>
    <w:next w:val="Normal"/>
    <w:uiPriority w:val="39"/>
    <w:semiHidden/>
    <w:unhideWhenUsed/>
    <w:qFormat/>
    <w:rsid w:val="005C239B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character" w:customStyle="1" w:styleId="Title5Car">
    <w:name w:val="Title 5 Car"/>
    <w:link w:val="Title5"/>
    <w:rsid w:val="005C239B"/>
    <w:rPr>
      <w:rFonts w:ascii="Arial" w:eastAsia="Times New Roman" w:hAnsi="Arial" w:cs="Times New Roman"/>
      <w:i/>
      <w:caps/>
      <w:kern w:val="0"/>
      <w:sz w:val="24"/>
      <w:szCs w:val="24"/>
      <w:lang w:val="ru-RU" w:eastAsia="en-GB"/>
      <w14:ligatures w14:val="none"/>
    </w:rPr>
  </w:style>
  <w:style w:type="paragraph" w:customStyle="1" w:styleId="ColorfulList-Accent12">
    <w:name w:val="Colorful List - Accent 12"/>
    <w:basedOn w:val="Normal"/>
    <w:uiPriority w:val="34"/>
    <w:qFormat/>
    <w:rsid w:val="005C239B"/>
    <w:pPr>
      <w:ind w:left="720"/>
      <w:contextualSpacing/>
    </w:pPr>
    <w:rPr>
      <w:rFonts w:ascii="Arial" w:hAnsi="Arial"/>
      <w:sz w:val="22"/>
    </w:rPr>
  </w:style>
  <w:style w:type="character" w:customStyle="1" w:styleId="COIChar">
    <w:name w:val="COI Char"/>
    <w:link w:val="COI"/>
    <w:locked/>
    <w:rsid w:val="005C239B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ColorfulShading-Accent11">
    <w:name w:val="Colorful Shading - Accent 11"/>
    <w:hidden/>
    <w:uiPriority w:val="99"/>
    <w:semiHidden/>
    <w:rsid w:val="005C239B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4"/>
      <w14:ligatures w14:val="none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"/>
    <w:basedOn w:val="Normal"/>
    <w:link w:val="ListParagraphChar"/>
    <w:uiPriority w:val="34"/>
    <w:qFormat/>
    <w:rsid w:val="005C239B"/>
    <w:pPr>
      <w:ind w:left="720"/>
      <w:contextualSpacing/>
    </w:pPr>
  </w:style>
  <w:style w:type="character" w:customStyle="1" w:styleId="textstory">
    <w:name w:val="textstory"/>
    <w:rsid w:val="005C239B"/>
  </w:style>
  <w:style w:type="character" w:customStyle="1" w:styleId="MargeChar">
    <w:name w:val="Marge Char"/>
    <w:link w:val="Marge"/>
    <w:uiPriority w:val="99"/>
    <w:qFormat/>
    <w:rsid w:val="005C239B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Style2">
    <w:name w:val="Style2"/>
    <w:basedOn w:val="paragraphnumerote"/>
    <w:link w:val="Style2Car"/>
    <w:qFormat/>
    <w:rsid w:val="005C239B"/>
    <w:pPr>
      <w:tabs>
        <w:tab w:val="num" w:pos="1400"/>
      </w:tabs>
      <w:ind w:left="720"/>
    </w:pPr>
  </w:style>
  <w:style w:type="character" w:customStyle="1" w:styleId="Style2Car">
    <w:name w:val="Style2 Car"/>
    <w:basedOn w:val="paragraphnumeroteCharChar"/>
    <w:link w:val="Style2"/>
    <w:rsid w:val="005C239B"/>
    <w:rPr>
      <w:rFonts w:ascii="Arial" w:eastAsia="Times New Roman" w:hAnsi="Arial" w:cs="Times New Roman"/>
      <w:iCs/>
      <w:kern w:val="0"/>
      <w:shd w:val="clear" w:color="auto" w:fill="FFFFFF"/>
      <w:lang w:val="ru-RU" w:eastAsia="en-GB"/>
      <w14:ligatures w14:val="none"/>
    </w:rPr>
  </w:style>
  <w:style w:type="paragraph" w:styleId="EndnoteText">
    <w:name w:val="endnote text"/>
    <w:basedOn w:val="Normal"/>
    <w:link w:val="EndnoteTextChar"/>
    <w:rsid w:val="005C23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C239B"/>
    <w:rPr>
      <w:rFonts w:ascii="Times New Roman" w:eastAsia="Times New Roman" w:hAnsi="Times New Roman" w:cs="Times New Roman"/>
      <w:kern w:val="0"/>
      <w:sz w:val="20"/>
      <w:szCs w:val="20"/>
      <w:lang w:val="ru-RU" w:eastAsia="en-GB"/>
      <w14:ligatures w14:val="none"/>
    </w:rPr>
  </w:style>
  <w:style w:type="character" w:styleId="EndnoteReference">
    <w:name w:val="endnote reference"/>
    <w:rsid w:val="005C239B"/>
    <w:rPr>
      <w:vertAlign w:val="superscript"/>
    </w:rPr>
  </w:style>
  <w:style w:type="paragraph" w:styleId="Revision">
    <w:name w:val="Revision"/>
    <w:hidden/>
    <w:uiPriority w:val="99"/>
    <w:semiHidden/>
    <w:rsid w:val="005C239B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4"/>
      <w14:ligatures w14:val="none"/>
    </w:rPr>
  </w:style>
  <w:style w:type="character" w:customStyle="1" w:styleId="A4">
    <w:name w:val="A4"/>
    <w:uiPriority w:val="99"/>
    <w:rsid w:val="005C239B"/>
    <w:rPr>
      <w:rFonts w:cs="Roboto"/>
      <w:color w:val="000000"/>
      <w:sz w:val="18"/>
      <w:szCs w:val="18"/>
    </w:rPr>
  </w:style>
  <w:style w:type="paragraph" w:customStyle="1" w:styleId="Listecouleur-Accent11">
    <w:name w:val="Liste couleur - Accent 11"/>
    <w:basedOn w:val="Normal"/>
    <w:uiPriority w:val="34"/>
    <w:qFormat/>
    <w:rsid w:val="005C239B"/>
    <w:pPr>
      <w:ind w:left="720"/>
      <w:contextualSpacing/>
    </w:pPr>
    <w:rPr>
      <w:rFonts w:ascii="Arial" w:hAnsi="Arial"/>
      <w:sz w:val="22"/>
    </w:rPr>
  </w:style>
  <w:style w:type="paragraph" w:styleId="NoSpacing">
    <w:name w:val="No Spacing"/>
    <w:link w:val="NoSpacingChar"/>
    <w:uiPriority w:val="1"/>
    <w:qFormat/>
    <w:rsid w:val="005C239B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5C239B"/>
    <w:rPr>
      <w:rFonts w:ascii="Calibri" w:eastAsia="Times New Roman" w:hAnsi="Calibri" w:cs="Times New Roman"/>
      <w:kern w:val="0"/>
      <w:lang w:val="ru-RU"/>
      <w14:ligatures w14:val="none"/>
    </w:rPr>
  </w:style>
  <w:style w:type="character" w:customStyle="1" w:styleId="Mencinsinresolver">
    <w:name w:val="Mención sin resolver"/>
    <w:uiPriority w:val="99"/>
    <w:semiHidden/>
    <w:unhideWhenUsed/>
    <w:rsid w:val="005C239B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5C239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C239B"/>
    <w:pPr>
      <w:spacing w:before="240" w:after="0" w:line="259" w:lineRule="auto"/>
      <w:outlineLvl w:val="9"/>
    </w:pPr>
    <w:rPr>
      <w:rFonts w:ascii="Calibri Light" w:eastAsia="DengXian Light" w:hAnsi="Calibri Light"/>
      <w:b w:val="0"/>
      <w:bCs w:val="0"/>
      <w:color w:val="2F5496"/>
      <w:kern w:val="0"/>
      <w:sz w:val="32"/>
      <w:szCs w:val="32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5C239B"/>
    <w:rPr>
      <w:rFonts w:ascii="Times New Roman" w:eastAsia="Times New Roman" w:hAnsi="Times New Roman" w:cs="Times New Roman"/>
      <w:kern w:val="0"/>
      <w:sz w:val="24"/>
      <w:szCs w:val="24"/>
      <w:lang w:val="ru-RU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5C239B"/>
  </w:style>
  <w:style w:type="character" w:styleId="Emphasis">
    <w:name w:val="Emphasis"/>
    <w:uiPriority w:val="20"/>
    <w:qFormat/>
    <w:rsid w:val="005C239B"/>
    <w:rPr>
      <w:i/>
      <w:iCs/>
    </w:rPr>
  </w:style>
  <w:style w:type="character" w:customStyle="1" w:styleId="Ingen">
    <w:name w:val="Ingen"/>
    <w:rsid w:val="005C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yperlink" Target="https://infobmkg.github.io/" TargetMode="External"/><Relationship Id="rId26" Type="http://schemas.openxmlformats.org/officeDocument/2006/relationships/hyperlink" Target="https://goosocean.org/document/8600" TargetMode="External"/><Relationship Id="rId39" Type="http://schemas.openxmlformats.org/officeDocument/2006/relationships/hyperlink" Target="https://oceanexpert.org/document/325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bmkg.github.io/" TargetMode="External"/><Relationship Id="rId34" Type="http://schemas.openxmlformats.org/officeDocument/2006/relationships/hyperlink" Target="https://oceanexpert.org/document/33985" TargetMode="External"/><Relationship Id="rId42" Type="http://schemas.openxmlformats.org/officeDocument/2006/relationships/hyperlink" Target="https://oceanexpert.org/document/32558" TargetMode="External"/><Relationship Id="rId47" Type="http://schemas.openxmlformats.org/officeDocument/2006/relationships/hyperlink" Target="https://unesdoc.unesco.org/ark:/48223/pf0000373231.locale=en" TargetMode="External"/><Relationship Id="rId50" Type="http://schemas.openxmlformats.org/officeDocument/2006/relationships/hyperlink" Target="https://unesdoc.unesco.org/ark:/48223/pf0000387982.locale=en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unesdoc.unesco.org/ark:/48223/pf0000388765.locale=en" TargetMode="External"/><Relationship Id="rId25" Type="http://schemas.openxmlformats.org/officeDocument/2006/relationships/hyperlink" Target="https://unesdoc.unesco.org/ark:/48223/pf0000368020.locale=fr" TargetMode="External"/><Relationship Id="rId33" Type="http://schemas.openxmlformats.org/officeDocument/2006/relationships/hyperlink" Target="https://oceanexpert.org/document/33527" TargetMode="External"/><Relationship Id="rId38" Type="http://schemas.openxmlformats.org/officeDocument/2006/relationships/hyperlink" Target="https://oceanexpert.org/document/33973" TargetMode="External"/><Relationship Id="rId46" Type="http://schemas.openxmlformats.org/officeDocument/2006/relationships/hyperlink" Target="https://unesdoc.unesco.org/ark:/48223/pf0000387982.locale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esdoc.unesco.org/ark:/48223/pf0000386603.locale=en" TargetMode="External"/><Relationship Id="rId20" Type="http://schemas.openxmlformats.org/officeDocument/2006/relationships/hyperlink" Target="https://oceanexpert.org/downloadFile/55453" TargetMode="External"/><Relationship Id="rId29" Type="http://schemas.openxmlformats.org/officeDocument/2006/relationships/hyperlink" Target="https://oceanexpert.org/document/33646" TargetMode="External"/><Relationship Id="rId41" Type="http://schemas.openxmlformats.org/officeDocument/2006/relationships/hyperlink" Target="https://oceanexpert.org/document/28652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yperlink" Target="https://unesdoc.unesco.org/ark:/48223/pf0000381353.locale=en" TargetMode="External"/><Relationship Id="rId32" Type="http://schemas.openxmlformats.org/officeDocument/2006/relationships/hyperlink" Target="https://oceanexpert.org/document/33359" TargetMode="External"/><Relationship Id="rId37" Type="http://schemas.openxmlformats.org/officeDocument/2006/relationships/hyperlink" Target="https://oceanexpert.org/document/33305" TargetMode="External"/><Relationship Id="rId40" Type="http://schemas.openxmlformats.org/officeDocument/2006/relationships/hyperlink" Target="https://unesdoc.unesco.org/ark:/48223/pf0000367678.locale=en.page=73" TargetMode="External"/><Relationship Id="rId45" Type="http://schemas.openxmlformats.org/officeDocument/2006/relationships/hyperlink" Target="https://oceanexpert.org/document/3359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nesdoc.unesco.org/ark:/48223/pf0000386319.locale=en" TargetMode="External"/><Relationship Id="rId23" Type="http://schemas.openxmlformats.org/officeDocument/2006/relationships/hyperlink" Target="https://unesdoc.unesco.org/ark:/48223/pf0000388765.locale=en" TargetMode="External"/><Relationship Id="rId28" Type="http://schemas.openxmlformats.org/officeDocument/2006/relationships/hyperlink" Target="https://oceanexpert.org/document/32845" TargetMode="External"/><Relationship Id="rId36" Type="http://schemas.openxmlformats.org/officeDocument/2006/relationships/hyperlink" Target="https://oceanexpert.org/document/33305" TargetMode="External"/><Relationship Id="rId49" Type="http://schemas.openxmlformats.org/officeDocument/2006/relationships/hyperlink" Target="https://oceanexpert.org/document/32540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unesdoc.unesco.org/ark:/48223/pf0000388765.locale=en" TargetMode="External"/><Relationship Id="rId31" Type="http://schemas.openxmlformats.org/officeDocument/2006/relationships/hyperlink" Target="https://oceanexpert.org/document/32672" TargetMode="External"/><Relationship Id="rId44" Type="http://schemas.openxmlformats.org/officeDocument/2006/relationships/hyperlink" Target="https://oceanexpert.org/document/33973" TargetMode="External"/><Relationship Id="rId52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ocgovbody@unesco.org" TargetMode="External"/><Relationship Id="rId22" Type="http://schemas.openxmlformats.org/officeDocument/2006/relationships/hyperlink" Target="https://unesdoc.unesco.org/ark:/48223/pf0000388765.locale=en" TargetMode="External"/><Relationship Id="rId27" Type="http://schemas.openxmlformats.org/officeDocument/2006/relationships/hyperlink" Target="https://oceanexpert.org/document/32845" TargetMode="External"/><Relationship Id="rId30" Type="http://schemas.openxmlformats.org/officeDocument/2006/relationships/hyperlink" Target="https://goosocean.org/document/26607" TargetMode="External"/><Relationship Id="rId35" Type="http://schemas.openxmlformats.org/officeDocument/2006/relationships/hyperlink" Target="https://oceandecade.org/vision-mission/" TargetMode="External"/><Relationship Id="rId43" Type="http://schemas.openxmlformats.org/officeDocument/2006/relationships/hyperlink" Target="https://oceanexpert.org/document/32558" TargetMode="External"/><Relationship Id="rId48" Type="http://schemas.openxmlformats.org/officeDocument/2006/relationships/hyperlink" Target="https://unesdoc.unesco.org/ark:/48223/pf0000389188.locale=en" TargetMode="External"/><Relationship Id="rId8" Type="http://schemas.openxmlformats.org/officeDocument/2006/relationships/header" Target="header1.xml"/><Relationship Id="rId51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F75A2-5FB9-47EA-862C-B95ADC42B5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16817</Words>
  <Characters>95860</Characters>
  <Application>Microsoft Office Word</Application>
  <DocSecurity>0</DocSecurity>
  <Lines>798</Lines>
  <Paragraphs>224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предварительного документа о принятых и _x000d_
предлагаемых мерах</vt:lpstr>
      <vt:lpstr>Проект предварительного документа о принятых и _x000d_
предлагаемых мерах</vt:lpstr>
    </vt:vector>
  </TitlesOfParts>
  <Company/>
  <LinksUpToDate>false</LinksUpToDate>
  <CharactersWithSpaces>112453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Пересмотренный проект предварительного документа _x000d_
о принятых и предлагаемых мерах</dc:title>
  <dc:subject>IOC/EC-57/AP Prov. Rev.</dc:subject>
  <dc:creator>Gurzhiy, Alexander</dc:creator>
  <cp:keywords/>
  <dc:description/>
  <cp:lastModifiedBy>Boned, Patrice</cp:lastModifiedBy>
  <cp:revision>2</cp:revision>
  <dcterms:created xsi:type="dcterms:W3CDTF">2024-06-18T17:42:00Z</dcterms:created>
  <dcterms:modified xsi:type="dcterms:W3CDTF">2024-06-18T17:42:00Z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2402839</vt:lpwstr>
  </property>
  <property fmtid="{D5CDD505-2E9C-101B-9397-08002B2CF9AE}" pid="3" name="Language">
    <vt:lpwstr>R</vt:lpwstr>
  </property>
</Properties>
</file>