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005" w:type="dxa"/>
        <w:jc w:val="center"/>
        <w:tblLook w:val="04A0" w:firstRow="1" w:lastRow="0" w:firstColumn="1" w:lastColumn="0" w:noHBand="0" w:noVBand="1"/>
      </w:tblPr>
      <w:tblGrid>
        <w:gridCol w:w="8005"/>
      </w:tblGrid>
      <w:tr w:rsidR="00173221" w:rsidRPr="00B10F71" w14:paraId="3CE1A9CD" w14:textId="77777777" w:rsidTr="0097089C">
        <w:trPr>
          <w:trHeight w:val="3878"/>
          <w:jc w:val="center"/>
        </w:trPr>
        <w:tc>
          <w:tcPr>
            <w:tcW w:w="8005" w:type="dxa"/>
          </w:tcPr>
          <w:p w14:paraId="5C52748C" w14:textId="77777777" w:rsidR="00173221" w:rsidRPr="00173221" w:rsidRDefault="00173221" w:rsidP="00B354BC">
            <w:pPr>
              <w:spacing w:before="240"/>
              <w:jc w:val="center"/>
              <w:rPr>
                <w:rFonts w:ascii="Arial" w:hAnsi="Arial" w:cs="Arial"/>
                <w:bCs/>
                <w:sz w:val="22"/>
                <w:szCs w:val="22"/>
                <w:u w:val="single"/>
              </w:rPr>
            </w:pPr>
            <w:r>
              <w:rPr>
                <w:rFonts w:ascii="Arial" w:hAnsi="Arial"/>
                <w:bCs/>
                <w:sz w:val="22"/>
                <w:szCs w:val="22"/>
                <w:u w:val="single"/>
              </w:rPr>
              <w:t>Резюме</w:t>
            </w:r>
          </w:p>
          <w:p w14:paraId="624DF3D4" w14:textId="77777777" w:rsidR="00173221" w:rsidRPr="004A5652" w:rsidRDefault="00173221" w:rsidP="00BC6020">
            <w:pPr>
              <w:rPr>
                <w:rFonts w:ascii="Arial" w:hAnsi="Arial" w:cs="Arial"/>
                <w:b/>
                <w:bCs/>
                <w:sz w:val="22"/>
                <w:szCs w:val="22"/>
              </w:rPr>
            </w:pPr>
          </w:p>
          <w:p w14:paraId="638FE51B" w14:textId="6E974795" w:rsidR="00173221" w:rsidRPr="00173221" w:rsidRDefault="002D5222" w:rsidP="00BC6020">
            <w:pPr>
              <w:widowControl w:val="0"/>
              <w:shd w:val="clear" w:color="auto" w:fill="FFFFFF"/>
              <w:adjustRightInd w:val="0"/>
              <w:spacing w:after="240"/>
              <w:ind w:right="284"/>
              <w:jc w:val="both"/>
              <w:textAlignment w:val="baseline"/>
              <w:rPr>
                <w:rFonts w:ascii="Arial" w:eastAsia="Times New Roman" w:hAnsi="Arial" w:cs="Arial"/>
                <w:sz w:val="22"/>
                <w:szCs w:val="22"/>
              </w:rPr>
            </w:pPr>
            <w:r>
              <w:rPr>
                <w:rFonts w:ascii="Arial" w:hAnsi="Arial"/>
                <w:sz w:val="22"/>
                <w:szCs w:val="22"/>
              </w:rPr>
              <w:t>В соответствии с резолюцией ЕС-55/1 в настоящем документе содержится информация об основных промежуточных итогах проведения Десятилетия, посвященного науке об океане, по четырем основным направлениям работы: (i) осуществление связанной с Десятилетием деятельности, (</w:t>
            </w:r>
            <w:proofErr w:type="spellStart"/>
            <w:r>
              <w:rPr>
                <w:rFonts w:ascii="Arial" w:hAnsi="Arial"/>
                <w:sz w:val="22"/>
                <w:szCs w:val="22"/>
              </w:rPr>
              <w:t>ii</w:t>
            </w:r>
            <w:proofErr w:type="spellEnd"/>
            <w:r>
              <w:rPr>
                <w:rFonts w:ascii="Arial" w:hAnsi="Arial"/>
                <w:sz w:val="22"/>
                <w:szCs w:val="22"/>
              </w:rPr>
              <w:t>) организация управления, координационные механизмы и неофициальные рабочие группы, (</w:t>
            </w:r>
            <w:proofErr w:type="spellStart"/>
            <w:r>
              <w:rPr>
                <w:rFonts w:ascii="Arial" w:hAnsi="Arial"/>
                <w:sz w:val="22"/>
                <w:szCs w:val="22"/>
              </w:rPr>
              <w:t>iii</w:t>
            </w:r>
            <w:proofErr w:type="spellEnd"/>
            <w:r>
              <w:rPr>
                <w:rFonts w:ascii="Arial" w:hAnsi="Arial"/>
                <w:sz w:val="22"/>
                <w:szCs w:val="22"/>
              </w:rPr>
              <w:t>) мобилизация ресурсов и (</w:t>
            </w:r>
            <w:proofErr w:type="spellStart"/>
            <w:r>
              <w:rPr>
                <w:rFonts w:ascii="Arial" w:hAnsi="Arial"/>
                <w:sz w:val="22"/>
                <w:szCs w:val="22"/>
              </w:rPr>
              <w:t>iv</w:t>
            </w:r>
            <w:proofErr w:type="spellEnd"/>
            <w:r>
              <w:rPr>
                <w:rFonts w:ascii="Arial" w:hAnsi="Arial"/>
                <w:sz w:val="22"/>
                <w:szCs w:val="22"/>
              </w:rPr>
              <w:t>) взаимодействие с заинтересованными сторонами и информационно-разъяснительная работа в период с июля 2023 г. по май 2024 г., включая проведение Международной конференции, посвященной Десятилетию науки об океане. В документе обозначены основные сохраняющиеся проблемы и потенциальные возможности в рамках указанных направлений работы, включая видение перспектив и прогнозную оценку на период до 2025 г. и последующие годы.</w:t>
            </w:r>
          </w:p>
          <w:p w14:paraId="4A15AED9" w14:textId="1976AA20" w:rsidR="00173221" w:rsidRPr="00881E04" w:rsidRDefault="00881E04" w:rsidP="00B354BC">
            <w:pPr>
              <w:spacing w:after="240"/>
              <w:jc w:val="both"/>
              <w:rPr>
                <w:rFonts w:ascii="Arial" w:eastAsia="Calibri" w:hAnsi="Arial" w:cs="Arial"/>
                <w:bCs/>
                <w:sz w:val="22"/>
                <w:szCs w:val="22"/>
                <w:u w:val="single"/>
              </w:rPr>
            </w:pPr>
            <w:r>
              <w:rPr>
                <w:rFonts w:ascii="Arial" w:hAnsi="Arial"/>
                <w:sz w:val="22"/>
                <w:szCs w:val="22"/>
                <w:u w:val="single"/>
              </w:rPr>
              <w:t>Предлагаемое решение</w:t>
            </w:r>
            <w:r>
              <w:rPr>
                <w:rFonts w:ascii="Arial" w:hAnsi="Arial"/>
                <w:sz w:val="22"/>
                <w:szCs w:val="22"/>
              </w:rPr>
              <w:t>: Исполнительному совету предлагается рассмотреть проект резолюции EC-57/[4.7], представляемый отдельно.</w:t>
            </w:r>
            <w:r>
              <w:rPr>
                <w:rFonts w:ascii="Arial" w:hAnsi="Arial"/>
                <w:bCs/>
                <w:sz w:val="22"/>
                <w:szCs w:val="22"/>
              </w:rPr>
              <w:t xml:space="preserve"> </w:t>
            </w:r>
          </w:p>
        </w:tc>
      </w:tr>
    </w:tbl>
    <w:p w14:paraId="383BF7B0" w14:textId="77777777" w:rsidR="00173221" w:rsidRPr="00173221" w:rsidRDefault="00173221" w:rsidP="00173221">
      <w:pPr>
        <w:rPr>
          <w:rFonts w:ascii="Arial" w:eastAsia="Times New Roman" w:hAnsi="Arial" w:cs="Arial"/>
        </w:rPr>
      </w:pPr>
      <w:r>
        <w:br w:type="page"/>
      </w:r>
    </w:p>
    <w:p w14:paraId="1F39EBB1" w14:textId="516564C9" w:rsidR="00B10F71" w:rsidRDefault="009873AA" w:rsidP="00D82E72">
      <w:pPr>
        <w:pStyle w:val="ListParagraph"/>
        <w:widowControl/>
        <w:numPr>
          <w:ilvl w:val="0"/>
          <w:numId w:val="1"/>
        </w:numPr>
        <w:tabs>
          <w:tab w:val="left" w:pos="709"/>
        </w:tabs>
        <w:spacing w:after="240" w:line="240" w:lineRule="auto"/>
        <w:ind w:left="0" w:firstLine="0"/>
        <w:contextualSpacing w:val="0"/>
      </w:pPr>
      <w:r>
        <w:lastRenderedPageBreak/>
        <w:t>В декабре 2017 г. Генеральная Ассамблея Организации Объединенных Наций, основываясь на итогах работы, проделанной государствами-членами и Секретариатом МОК, провозгласила период 2021-2030 гг. Десятилетием Организации Объединенных Наций, посвященным науке об океане в интересах устойчивого развития (далее «Десятилетие науки об океане»). Провозглашение Десятилетия науки об океане – это уникальная возможность осуществить кардинальные преобразования в сфере морских научных исследований и задействовать имеющийся у морской науки потенциал. Проведение Десятилетия благоприятно скажется на уровне финансирования науки со стороны государств и на их вкладе в развитие научно-инновационной деятельности в интересах достижения значимых для общества целей, а также позволит увязать финансовую поддержку сферы научных исследований с достижением глобальных целей, в том числе предусмотренных в Повестке дня на период до 2030 г.</w:t>
      </w:r>
    </w:p>
    <w:p w14:paraId="6BEF0161" w14:textId="77777777" w:rsidR="00B10F71" w:rsidRDefault="009873AA" w:rsidP="00D82E72">
      <w:pPr>
        <w:pStyle w:val="ListParagraph"/>
        <w:widowControl/>
        <w:numPr>
          <w:ilvl w:val="0"/>
          <w:numId w:val="1"/>
        </w:numPr>
        <w:tabs>
          <w:tab w:val="left" w:pos="709"/>
        </w:tabs>
        <w:spacing w:after="240" w:line="240" w:lineRule="auto"/>
        <w:ind w:left="0" w:firstLine="0"/>
        <w:contextualSpacing w:val="0"/>
      </w:pPr>
      <w:r>
        <w:t xml:space="preserve">Во исполнение резолюции 72/73 Генеральной Ассамблеи ООН и резолюции EC-LI.1 МОК после завершения предварительной фазы, информация о которой представлялась в документах </w:t>
      </w:r>
      <w:hyperlink r:id="rId8" w:history="1">
        <w:r>
          <w:rPr>
            <w:rStyle w:val="Hyperlink"/>
          </w:rPr>
          <w:t xml:space="preserve">IOC-XXX/2 </w:t>
        </w:r>
        <w:proofErr w:type="spellStart"/>
        <w:r>
          <w:rPr>
            <w:rStyle w:val="Hyperlink"/>
          </w:rPr>
          <w:t>Annex</w:t>
        </w:r>
        <w:proofErr w:type="spellEnd"/>
        <w:r>
          <w:rPr>
            <w:rStyle w:val="Hyperlink"/>
          </w:rPr>
          <w:t xml:space="preserve"> 3</w:t>
        </w:r>
      </w:hyperlink>
      <w:r>
        <w:t xml:space="preserve"> (2019 г.), </w:t>
      </w:r>
      <w:hyperlink r:id="rId9" w:history="1">
        <w:r>
          <w:rPr>
            <w:rStyle w:val="Hyperlink"/>
          </w:rPr>
          <w:t>IOC/EC-53/4.1.Doc(1)</w:t>
        </w:r>
        <w:proofErr w:type="spellStart"/>
        <w:r>
          <w:rPr>
            <w:rStyle w:val="Hyperlink"/>
          </w:rPr>
          <w:t>Rev</w:t>
        </w:r>
        <w:proofErr w:type="spellEnd"/>
        <w:r>
          <w:rPr>
            <w:rStyle w:val="Hyperlink"/>
          </w:rPr>
          <w:t>.</w:t>
        </w:r>
      </w:hyperlink>
      <w:r>
        <w:t xml:space="preserve"> (2020 г.), </w:t>
      </w:r>
      <w:hyperlink r:id="rId10" w:history="1">
        <w:r>
          <w:rPr>
            <w:rStyle w:val="Hyperlink"/>
          </w:rPr>
          <w:t>IOC/A-31/3.7.Doc(2)</w:t>
        </w:r>
      </w:hyperlink>
      <w:r>
        <w:t xml:space="preserve"> (2021 г.) и </w:t>
      </w:r>
      <w:hyperlink r:id="rId11" w:history="1">
        <w:r w:rsidRPr="00B56FE0">
          <w:rPr>
            <w:color w:val="3333CC"/>
            <w:u w:val="single"/>
          </w:rPr>
          <w:t>IOC/EC-55/4.1.Doc(1)</w:t>
        </w:r>
      </w:hyperlink>
      <w:r>
        <w:t xml:space="preserve"> (2022 г.), в период с июля 2023 г. по май 2024 г. продолжилась интенсивная работа, связанная с проведением  Десятилетия науки об океане. </w:t>
      </w:r>
    </w:p>
    <w:p w14:paraId="77F99B7D" w14:textId="77777777" w:rsidR="00B10F71" w:rsidRDefault="00871FA2" w:rsidP="00D82E72">
      <w:pPr>
        <w:pStyle w:val="ListParagraph"/>
        <w:widowControl/>
        <w:numPr>
          <w:ilvl w:val="0"/>
          <w:numId w:val="1"/>
        </w:numPr>
        <w:tabs>
          <w:tab w:val="left" w:pos="709"/>
        </w:tabs>
        <w:spacing w:after="240" w:line="240" w:lineRule="auto"/>
        <w:ind w:left="0" w:firstLine="0"/>
        <w:contextualSpacing w:val="0"/>
      </w:pPr>
      <w:r>
        <w:t>Благодаря предпринятым ранее усилиям были достигнуты существенные успехи в плане обеспечения активного взаимодействия и наглядности деятельности, формирования объемного и тематически разнообразного портфеля мероприятий Десятилетия, а также создания и развития основных и децентрализованных механизмов управления и координации в рамках Десятилетия науки об океане. Апогеем усилий в рассматриваемый период стало проведение в апреле 2024 г. в Барселоне Международной конференции, посвященной Десятилетию науки об океане, которая стала знаковым событием с точки зрения оценки потенциальных возможностей и перспектив Десятилетия науки об океане.</w:t>
      </w:r>
    </w:p>
    <w:p w14:paraId="4775C1C9" w14:textId="77777777" w:rsidR="00B10F71" w:rsidRDefault="007E3CD1" w:rsidP="007E3CD1">
      <w:pPr>
        <w:pStyle w:val="ListParagraph"/>
        <w:widowControl/>
        <w:tabs>
          <w:tab w:val="clear" w:pos="567"/>
          <w:tab w:val="left" w:pos="709"/>
        </w:tabs>
        <w:spacing w:after="240" w:line="240" w:lineRule="auto"/>
        <w:ind w:left="0"/>
        <w:contextualSpacing w:val="0"/>
        <w:rPr>
          <w:rFonts w:asciiTheme="minorBidi" w:hAnsiTheme="minorBidi" w:cstheme="minorBidi"/>
          <w:b/>
          <w:bCs/>
        </w:rPr>
      </w:pPr>
      <w:r>
        <w:rPr>
          <w:rFonts w:asciiTheme="minorBidi" w:hAnsiTheme="minorBidi"/>
          <w:b/>
          <w:bCs/>
        </w:rPr>
        <w:t>Осуществление связанной с Десятилетием деятельности</w:t>
      </w:r>
    </w:p>
    <w:p w14:paraId="62BC9F6A" w14:textId="77777777" w:rsidR="00B10F71" w:rsidRDefault="00540A0B" w:rsidP="00D82E72">
      <w:pPr>
        <w:pStyle w:val="ListParagraph"/>
        <w:widowControl/>
        <w:numPr>
          <w:ilvl w:val="0"/>
          <w:numId w:val="1"/>
        </w:numPr>
        <w:tabs>
          <w:tab w:val="left" w:pos="709"/>
        </w:tabs>
        <w:spacing w:after="240" w:line="240" w:lineRule="auto"/>
        <w:ind w:left="0" w:firstLine="0"/>
        <w:contextualSpacing w:val="0"/>
        <w:rPr>
          <w:rFonts w:cs="Arial"/>
        </w:rPr>
      </w:pPr>
      <w:r w:rsidRPr="00142FB6">
        <w:t>В т</w:t>
      </w:r>
      <w:r>
        <w:t>ечение рассматриваемого периода было объявлено два новых запроса предложений на осуществление связанных с Десятилетием мероприятий.</w:t>
      </w:r>
      <w:r>
        <w:rPr>
          <w:color w:val="000000" w:themeColor="text1"/>
        </w:rPr>
        <w:t xml:space="preserve"> </w:t>
      </w:r>
      <w:r>
        <w:t>С октября 2023 г. по 31 января 2024 г. был проведен шестой запрос предложений на осуществление связанной с Десятилетием деятельности (запрос № 06/2023). В рамках шестого запроса основной акцент был сделан на привлечении партнеров из малых островных развивающихся государств Африки и Карибского бассейна. Представленные ими идеи требуют содействия и обучения, что позволит трансформировать эти идеи в совместные проекты в рамках Десятилетия науки об океане. По итогам запроса было получено более 50 заявок. В июне 2024 г. примерно для 25 групп будут организованы учебные мероприятия и стажировки. С 15 апреля по 31 августа 2024 г. проводится седьмой запрос предложений на осуществление связанной с Десятилетием деятельности (запрос № 07/2024). Основное внимание на этот раз уделено привлечению добровольных взносов в натуральной и финансовой форме на цели укрепления осуществляемой деятельности и координации работы в рамках Десятилетия науке об океане, а также отбору инициатив в качестве вклада в деятельность Центра по развитию потенциала в рамках Десятилетия науки об океане. В рамках всех проводившихся запросов предлагалось представить проектные заявки в качестве дополнения к уже одобренным к осуществлению в рамках Десятилетия программам.</w:t>
      </w:r>
    </w:p>
    <w:p w14:paraId="228F1841" w14:textId="77777777" w:rsidR="00B10F71" w:rsidRDefault="00540A0B" w:rsidP="00D82E72">
      <w:pPr>
        <w:pStyle w:val="ListParagraph"/>
        <w:widowControl/>
        <w:numPr>
          <w:ilvl w:val="0"/>
          <w:numId w:val="1"/>
        </w:numPr>
        <w:tabs>
          <w:tab w:val="left" w:pos="709"/>
        </w:tabs>
        <w:spacing w:after="240" w:line="240" w:lineRule="auto"/>
        <w:ind w:left="0" w:firstLine="0"/>
        <w:contextualSpacing w:val="0"/>
        <w:rPr>
          <w:rFonts w:cs="Arial"/>
        </w:rPr>
      </w:pPr>
      <w:r>
        <w:t>По состоянию на 24 мая 2024 г. для включения в программу Десятилетия науки об океане было одобрено 52 программы, 363 проекта и 99 предложений об оказании поддержки. Портфель мероприятий Десятилетия охватывает все океанические бассейны и все десять приоритетных задач Десятилетия. Эти мероприятия являются плодом коллективной работы тысяч людей и сотен учреждений, что свидетельствует о сохраняющемся повсеместно большом интересе к Десятилетию науки об океане.</w:t>
      </w:r>
    </w:p>
    <w:p w14:paraId="78708D9B" w14:textId="77777777" w:rsidR="00B10F71" w:rsidRDefault="007E3CD1" w:rsidP="00D82E72">
      <w:pPr>
        <w:pStyle w:val="ListParagraph"/>
        <w:widowControl/>
        <w:numPr>
          <w:ilvl w:val="0"/>
          <w:numId w:val="1"/>
        </w:numPr>
        <w:tabs>
          <w:tab w:val="left" w:pos="709"/>
        </w:tabs>
        <w:spacing w:after="240" w:line="240" w:lineRule="auto"/>
        <w:ind w:left="0" w:firstLine="0"/>
        <w:contextualSpacing w:val="0"/>
        <w:rPr>
          <w:rFonts w:asciiTheme="minorBidi" w:hAnsiTheme="minorBidi" w:cstheme="minorBidi"/>
        </w:rPr>
      </w:pPr>
      <w:r>
        <w:rPr>
          <w:rFonts w:asciiTheme="minorBidi" w:hAnsiTheme="minorBidi"/>
        </w:rPr>
        <w:t xml:space="preserve">В конце 2023 г. был запущен второй цикл мониторинга и оценки результативности проведения Десятилетия за период с июля 2023 г. по июнь 2024 г. На момент подготовки </w:t>
      </w:r>
      <w:r>
        <w:rPr>
          <w:rFonts w:asciiTheme="minorBidi" w:hAnsiTheme="minorBidi"/>
        </w:rPr>
        <w:lastRenderedPageBreak/>
        <w:t xml:space="preserve">настоящего документа соответствующая отчетность поступила в отношении 41% мероприятий, включенных в программу Десятилетия. </w:t>
      </w:r>
      <w:r>
        <w:t>Это низкий показатель представления отчетности: подобное положение дел затрудняет проведение углубленного анализа тенденций и сопоставление результатов мониторинга с предыдущим отчетным периодом. При этом большинство отчетов были получены от ответственных за проекты учреждений развитых стран, участвующих в реализации мероприятий Десятилетия. Отчеты по мероприятиям, включенным в программу Десятилетия науки об океане и осуществляемым под руководством партнеров из стран МОСРГ или НРС, представлены в очень небольшом количестве. Это означает, что приводимые ниже данные, в особенности касающиеся географического разнообразия, хотя и отражают общие тенденции, должны восприниматься с определенной долей осмотрительности.</w:t>
      </w:r>
      <w:r>
        <w:rPr>
          <w:rFonts w:asciiTheme="minorBidi" w:hAnsiTheme="minorBidi"/>
        </w:rPr>
        <w:t xml:space="preserve"> В настоящее время с Консультативным советом по вопросам проведения Десятилетия обсуждается возможность расширения охвата оценочно-мониторинговыми мероприятиями проектов, включенных в программу Десятилетия. Этот вопрос будет также рассматриваться в ходе среднесрочной оценки результатов проведения Десятилетия науки об океане, которую планируется провести в конце 2024 г. – начале 2025 г.</w:t>
      </w:r>
    </w:p>
    <w:p w14:paraId="34996C1D" w14:textId="77777777" w:rsidR="00B10F71" w:rsidRDefault="00161557" w:rsidP="00D82E72">
      <w:pPr>
        <w:pStyle w:val="ListParagraph"/>
        <w:widowControl/>
        <w:numPr>
          <w:ilvl w:val="0"/>
          <w:numId w:val="1"/>
        </w:numPr>
        <w:tabs>
          <w:tab w:val="left" w:pos="709"/>
        </w:tabs>
        <w:spacing w:after="240" w:line="240" w:lineRule="auto"/>
        <w:ind w:left="0" w:firstLine="0"/>
        <w:contextualSpacing w:val="0"/>
        <w:rPr>
          <w:rFonts w:asciiTheme="minorBidi" w:eastAsia="Arial" w:hAnsiTheme="minorBidi" w:cstheme="minorBidi"/>
          <w:color w:val="000000" w:themeColor="text1"/>
        </w:rPr>
      </w:pPr>
      <w:r>
        <w:rPr>
          <w:rFonts w:asciiTheme="minorBidi" w:hAnsiTheme="minorBidi"/>
          <w:color w:val="000000" w:themeColor="text1"/>
        </w:rPr>
        <w:t>Что касается географии осуществляемых в рамках Десятилетия мероприятий, то по этому аспекту основные позиции по-прежнему занимают развитые страны. Соединенные Штаты Америки, Франция, Канада, Соединенное Королевство и Испания оказались странами, сообщившими о наибольшем за последние 12 месяце числе проведенных у себя мероприятий, связанных с Десятилетием науки об океане. Аналогичные тенденции характерны и в отношении мероприятий, запланированных в предстоящие 24 месяца. Охват океанических бассейнов становится более сбалансированным по мере повышения активности в бассейнах Средиземного моря, южной части Тихого океана и южной части Атлантики. Важно подчеркнуть, что значительная доля мероприятий в рамках Десятилетия науки об океане осуществляется в океанических бассейнах, не располагающих децентрализованными координирующими структурами, в частности в бассейнах Атлантического океана, Арктики и Средиземного моря.</w:t>
      </w:r>
    </w:p>
    <w:p w14:paraId="1F40B55B" w14:textId="77777777" w:rsidR="00B10F71" w:rsidRDefault="005E0D2A" w:rsidP="00D82E72">
      <w:pPr>
        <w:pStyle w:val="ListParagraph"/>
        <w:widowControl/>
        <w:numPr>
          <w:ilvl w:val="0"/>
          <w:numId w:val="1"/>
        </w:numPr>
        <w:tabs>
          <w:tab w:val="left" w:pos="709"/>
        </w:tabs>
        <w:spacing w:after="240" w:line="240" w:lineRule="auto"/>
        <w:ind w:left="0" w:firstLine="0"/>
        <w:contextualSpacing w:val="0"/>
        <w:rPr>
          <w:rFonts w:asciiTheme="minorBidi" w:eastAsia="Arial" w:hAnsiTheme="minorBidi" w:cstheme="minorBidi"/>
          <w:color w:val="000000" w:themeColor="text1"/>
        </w:rPr>
      </w:pPr>
      <w:r>
        <w:rPr>
          <w:rFonts w:asciiTheme="minorBidi" w:hAnsiTheme="minorBidi"/>
          <w:color w:val="000000" w:themeColor="text1"/>
        </w:rPr>
        <w:t>В рассматриваемый период от 15% до 20% мероприятий, включенных в программу Десятилетия, согласно полученным отчетам, касались проектов в странах Африки и МОСРГ. Аналогичная процентная доля сохранится в отношении мероприятий, запланированным в этих географических районах на ближайшие 24 месяца. В то же время, что касается руководства мероприятиями, включенными в программу Десятилетия науки об океане, то в странах Африки и малых островных развивающихся государствах этот показатель неизменно остается низким – 6% и 2,6%, соответственно.</w:t>
      </w:r>
    </w:p>
    <w:p w14:paraId="3A0A903B" w14:textId="77777777" w:rsidR="00B10F71" w:rsidRDefault="008837E6" w:rsidP="00D82E72">
      <w:pPr>
        <w:pStyle w:val="ListParagraph"/>
        <w:widowControl/>
        <w:numPr>
          <w:ilvl w:val="0"/>
          <w:numId w:val="1"/>
        </w:numPr>
        <w:tabs>
          <w:tab w:val="left" w:pos="709"/>
        </w:tabs>
        <w:spacing w:after="240" w:line="240" w:lineRule="auto"/>
        <w:ind w:left="0" w:firstLine="0"/>
        <w:contextualSpacing w:val="0"/>
        <w:rPr>
          <w:rFonts w:asciiTheme="minorBidi" w:hAnsiTheme="minorBidi" w:cstheme="minorBidi"/>
        </w:rPr>
      </w:pPr>
      <w:r>
        <w:rPr>
          <w:rFonts w:asciiTheme="minorBidi" w:hAnsiTheme="minorBidi"/>
        </w:rPr>
        <w:t>Говоря о руководстве мероприятиями в рамках Десятилетия, следует указать, что большинство из них осуществляются под руководством НПО и исследовательских учреждений. С точки зрения локализации осуществляемых мероприятий наблюдается сильный перекос в пользу развитых стран, выступающих в роли стран базирования учреждений и частных лиц, ответственных за проведение мероприятий, связанных с Десятилетием науки об океане. Отчетность по итогам мониторинга и оценки результативности деятельности в рамках Десятилетия представили более 23 000 частных лиц. Согласно имеющимся данным, 41% от принявших участие в приуроченной к Десятилетию деятельности составили женщины и 47% – мужчины. При этом доля начинающих специалистов-</w:t>
      </w:r>
      <w:proofErr w:type="spellStart"/>
      <w:r>
        <w:rPr>
          <w:rFonts w:asciiTheme="minorBidi" w:hAnsiTheme="minorBidi"/>
        </w:rPr>
        <w:t>мореведов</w:t>
      </w:r>
      <w:proofErr w:type="spellEnd"/>
      <w:r>
        <w:rPr>
          <w:rFonts w:asciiTheme="minorBidi" w:hAnsiTheme="minorBidi"/>
        </w:rPr>
        <w:t xml:space="preserve"> составила 32%.</w:t>
      </w:r>
    </w:p>
    <w:p w14:paraId="7855720C" w14:textId="77777777" w:rsidR="00B10F71" w:rsidRDefault="001F4025" w:rsidP="00D82E72">
      <w:pPr>
        <w:pStyle w:val="ListParagraph"/>
        <w:widowControl/>
        <w:numPr>
          <w:ilvl w:val="0"/>
          <w:numId w:val="1"/>
        </w:numPr>
        <w:tabs>
          <w:tab w:val="left" w:pos="709"/>
        </w:tabs>
        <w:spacing w:after="240" w:line="240" w:lineRule="auto"/>
        <w:ind w:left="0" w:firstLine="0"/>
        <w:contextualSpacing w:val="0"/>
        <w:rPr>
          <w:rFonts w:asciiTheme="minorBidi" w:hAnsiTheme="minorBidi" w:cstheme="minorBidi"/>
        </w:rPr>
      </w:pPr>
      <w:r>
        <w:rPr>
          <w:rFonts w:asciiTheme="minorBidi" w:hAnsiTheme="minorBidi"/>
        </w:rPr>
        <w:t>Мероприятиями по развитию потенциала, осуществленными в рамках Десятилетия науки об океане, согласно отчетам, было охвачено более 400 000 человек, приоритетное внимание при этом уделялось именно начинающим специалистам-</w:t>
      </w:r>
      <w:proofErr w:type="spellStart"/>
      <w:r>
        <w:rPr>
          <w:rFonts w:asciiTheme="minorBidi" w:hAnsiTheme="minorBidi"/>
        </w:rPr>
        <w:t>мореведам</w:t>
      </w:r>
      <w:proofErr w:type="spellEnd"/>
      <w:r>
        <w:rPr>
          <w:rFonts w:asciiTheme="minorBidi" w:hAnsiTheme="minorBidi"/>
        </w:rPr>
        <w:t>. Следует, однако, указать, что с точки зрения гражданства участников был отмечен перекос в пользу развитых стран: большинство участников были выходцами из стран Европы и Северной Америки. В этом смысле Бразилия стала заметным исключением.</w:t>
      </w:r>
    </w:p>
    <w:p w14:paraId="59370149" w14:textId="58B9ACB7" w:rsidR="00204000" w:rsidRPr="009F000D" w:rsidRDefault="00204000" w:rsidP="00D82E72">
      <w:pPr>
        <w:pStyle w:val="ListParagraph"/>
        <w:widowControl/>
        <w:numPr>
          <w:ilvl w:val="0"/>
          <w:numId w:val="1"/>
        </w:numPr>
        <w:tabs>
          <w:tab w:val="left" w:pos="709"/>
        </w:tabs>
        <w:spacing w:after="240" w:line="240" w:lineRule="auto"/>
        <w:ind w:left="0" w:firstLine="0"/>
        <w:contextualSpacing w:val="0"/>
        <w:rPr>
          <w:rFonts w:asciiTheme="minorBidi" w:eastAsia="Arial" w:hAnsiTheme="minorBidi" w:cstheme="minorBidi"/>
          <w:color w:val="000000" w:themeColor="text1"/>
        </w:rPr>
      </w:pPr>
      <w:r>
        <w:rPr>
          <w:rFonts w:asciiTheme="minorBidi" w:hAnsiTheme="minorBidi"/>
        </w:rPr>
        <w:t xml:space="preserve">Продолжаются согласованные и целенаправленные усилия по расширению взаимодействия с МОСРГ и странами Африки, в том числе посредством оказания партнерами, </w:t>
      </w:r>
      <w:r>
        <w:rPr>
          <w:rFonts w:asciiTheme="minorBidi" w:hAnsiTheme="minorBidi"/>
        </w:rPr>
        <w:lastRenderedPageBreak/>
        <w:t xml:space="preserve">отобранными в рамках шестого запроса предложений (запрос № 06/2023), содействия и помощи в организации обучения. </w:t>
      </w:r>
      <w:r>
        <w:t xml:space="preserve">При поддержке африканского бюро по координации проведения Десятилетия, созданного на базе подкомиссии МОКАФРИКА, специальная целевая группа продолжала осуществлять контроль реализации </w:t>
      </w:r>
      <w:hyperlink r:id="rId12" w:history="1">
        <w:r>
          <w:rPr>
            <w:rStyle w:val="Hyperlink"/>
            <w:rFonts w:asciiTheme="minorBidi" w:hAnsiTheme="minorBidi"/>
            <w:i/>
            <w:iCs/>
          </w:rPr>
          <w:t>Дорожной карты по проведению Десятилетия науки об океане в странах Африки</w:t>
        </w:r>
      </w:hyperlink>
      <w:r>
        <w:t xml:space="preserve">, а также возглавила разработку новой программы для включения в план проведения Десятилетия, основное внимание в которой уделено вопросам рационального </w:t>
      </w:r>
      <w:proofErr w:type="spellStart"/>
      <w:r>
        <w:t>морепользования</w:t>
      </w:r>
      <w:proofErr w:type="spellEnd"/>
      <w:r>
        <w:t xml:space="preserve"> в странах африканского континента.</w:t>
      </w:r>
      <w:r>
        <w:rPr>
          <w:rFonts w:asciiTheme="minorBidi" w:hAnsiTheme="minorBidi"/>
        </w:rPr>
        <w:t xml:space="preserve"> По инициативе МОКАРИБ создана целевая группа по тропическим странам Северной и Южной Америки и Карибского бассейна, занимающаяся в настоящее время подготовкой региональной дорожной карты, которая поможет определить направленность мероприятий в этом регионе. В сентябре 2023 г. был создан центр сотрудничества в рамках Десятилетия для тихоокеанских островных государств, разместившийся на базе Центра океанологии Тихоокеанского сообщества, а в ходе Международной конференции, посвященной Десятилетию науки об океане (2024 г.), состоялась презентация региональной дорожной карты для тихоокеанских островов. Онлайновый центр по развитию потенциала в рамках Десятилетия науки об океане, который был создан в декабре 2023 г., уделит повышенное внимание потребностям в наращивании потенциала партнеров из МОСРГ, наименее развитых стран, а также начинающим специалистам-</w:t>
      </w:r>
      <w:proofErr w:type="spellStart"/>
      <w:r>
        <w:rPr>
          <w:rFonts w:asciiTheme="minorBidi" w:hAnsiTheme="minorBidi"/>
        </w:rPr>
        <w:t>мореведам</w:t>
      </w:r>
      <w:proofErr w:type="spellEnd"/>
      <w:r>
        <w:rPr>
          <w:rFonts w:asciiTheme="minorBidi" w:hAnsiTheme="minorBidi"/>
        </w:rPr>
        <w:t>.</w:t>
      </w:r>
    </w:p>
    <w:p w14:paraId="3FA388B7" w14:textId="2D1B6C25" w:rsidR="00B10F71" w:rsidRDefault="00204000" w:rsidP="00D82E72">
      <w:pPr>
        <w:pStyle w:val="ListParagraph"/>
        <w:widowControl/>
        <w:numPr>
          <w:ilvl w:val="0"/>
          <w:numId w:val="1"/>
        </w:numPr>
        <w:tabs>
          <w:tab w:val="left" w:pos="709"/>
        </w:tabs>
        <w:spacing w:after="240" w:line="240" w:lineRule="auto"/>
        <w:ind w:left="0" w:firstLine="0"/>
        <w:contextualSpacing w:val="0"/>
        <w:rPr>
          <w:rFonts w:asciiTheme="minorBidi" w:hAnsiTheme="minorBidi" w:cstheme="minorBidi"/>
        </w:rPr>
      </w:pPr>
      <w:r>
        <w:rPr>
          <w:rFonts w:asciiTheme="minorBidi" w:hAnsiTheme="minorBidi"/>
        </w:rPr>
        <w:t>В отчетности об осуществлении мероприятий в рамках Десятилетия науки об океане сказано, что их проведение позволило подготовить примерно 10 000 информационных материалов, включая научные журналы и широкий круг других видов информационной продукции. Наибольшее число публикаций касалось приоритетных задач Десятилетия: № 6 – «Укрепление потенциала противодействия в прибрежной зоне», № 8 –  «Создание цифровой модели океана» и № 10 – «Изменение отношений человека с океаном». По полученной информации, 142 информационных материала было подготовлено с использованием преимущественно знаний местного и  коренного населения. Сообщается о 9800 случаях использования этих данных в официальных или неофициальных публикациях посредством цитирования, а также об их использовании для целей выработки политики, в рамках управленческой и образовательной деятельности, либо в других областях. С точки зрения применения этих знаний наиболее часто упоминаемыми приоритетными задачами Десятилетия были: задача № 8 – «Создание цифровой модели океана», задача № 9 – «Развитие навыков, знаний и технологий для всех» и задача № 2 – «Защита и восстановление экосистем и биоразнообразия». В отчетности говорится о создании и хранении в официально признанных хранилищах данных свыше 150 000 новых наборов данных.</w:t>
      </w:r>
    </w:p>
    <w:p w14:paraId="1E22FA78" w14:textId="77777777" w:rsidR="00B10F71" w:rsidRDefault="008837E6" w:rsidP="00D82E72">
      <w:pPr>
        <w:pStyle w:val="ListParagraph"/>
        <w:widowControl/>
        <w:numPr>
          <w:ilvl w:val="0"/>
          <w:numId w:val="1"/>
        </w:numPr>
        <w:tabs>
          <w:tab w:val="left" w:pos="709"/>
        </w:tabs>
        <w:spacing w:after="240" w:line="240" w:lineRule="auto"/>
        <w:ind w:left="0" w:firstLine="0"/>
        <w:contextualSpacing w:val="0"/>
        <w:rPr>
          <w:rFonts w:asciiTheme="minorBidi" w:hAnsiTheme="minorBidi" w:cstheme="minorBidi"/>
        </w:rPr>
      </w:pPr>
      <w:r>
        <w:rPr>
          <w:rFonts w:asciiTheme="minorBidi" w:hAnsiTheme="minorBidi"/>
        </w:rPr>
        <w:t xml:space="preserve">МОК возглавляет работу по осуществлению 20 программ и проектов, включенных в план мероприятий Десятилетия и относящихся к широкому спектру областей. Здесь можно упомянуть новые программы, связанные с рациональным планированием морской деятельности, </w:t>
      </w:r>
      <w:proofErr w:type="spellStart"/>
      <w:r>
        <w:rPr>
          <w:rFonts w:asciiTheme="minorBidi" w:hAnsiTheme="minorBidi"/>
        </w:rPr>
        <w:t>общеафриканскую</w:t>
      </w:r>
      <w:proofErr w:type="spellEnd"/>
      <w:r>
        <w:rPr>
          <w:rFonts w:asciiTheme="minorBidi" w:hAnsiTheme="minorBidi"/>
        </w:rPr>
        <w:t xml:space="preserve"> программу в области рационального </w:t>
      </w:r>
      <w:proofErr w:type="spellStart"/>
      <w:r>
        <w:rPr>
          <w:rFonts w:asciiTheme="minorBidi" w:hAnsiTheme="minorBidi"/>
        </w:rPr>
        <w:t>морепользования</w:t>
      </w:r>
      <w:proofErr w:type="spellEnd"/>
      <w:r>
        <w:rPr>
          <w:rFonts w:asciiTheme="minorBidi" w:hAnsiTheme="minorBidi"/>
        </w:rPr>
        <w:t xml:space="preserve"> и активное участие в реализации ряда других проектов и программ. Кроме того, на базе МОК было создано шесть бюро по координации проведения Десятилетия. Деятельность в рамках трех из них осуществляется в минимальном объеме по причине нехватки ресурсов. МОК обладает значительными возможностями содействовать проведению Десятилетия с точки зрения расширения деятельности в рамках своих основных программ, руководства региональными и тематическими направлениями работы и укрепления кадрового потенциала. В то же время для полноценной реализации этих инициатив потребуются дополнительные ресурсы. Помимо мероприятий, осуществляемых под руководством МОК, небольшое их число осуществляется под руководством других учреждений системы ООН, таких как ФАО, ЭСКАТО и ЮНЕП. Среднесрочная оценка результативности проведения Десятилетия науки об океане будет включать анализ эффекта взаимодополнения между Десятилетием науки об океане и программной деятельностью МОК, а также формулирование рекомендаций, направленных на укрепление этого синергетического взаимодействия в интересах повышения ожидаемого долгосрочного воздействия как в период проведения Десятилетия, так и в последующие годы.</w:t>
      </w:r>
    </w:p>
    <w:p w14:paraId="3F1739AD" w14:textId="7FC0AFBE" w:rsidR="007E3CD1" w:rsidRPr="009F000D" w:rsidRDefault="007E3CD1" w:rsidP="00D82E72">
      <w:pPr>
        <w:pStyle w:val="ListParagraph"/>
        <w:widowControl/>
        <w:tabs>
          <w:tab w:val="left" w:pos="709"/>
        </w:tabs>
        <w:spacing w:after="240" w:line="240" w:lineRule="auto"/>
        <w:ind w:left="0"/>
        <w:contextualSpacing w:val="0"/>
        <w:rPr>
          <w:rFonts w:asciiTheme="minorBidi" w:eastAsia="Arial" w:hAnsiTheme="minorBidi"/>
          <w:b/>
          <w:bCs/>
          <w:color w:val="000000" w:themeColor="text1"/>
        </w:rPr>
      </w:pPr>
      <w:r>
        <w:rPr>
          <w:rFonts w:asciiTheme="minorBidi" w:hAnsiTheme="minorBidi"/>
          <w:b/>
          <w:bCs/>
          <w:color w:val="000000" w:themeColor="text1"/>
        </w:rPr>
        <w:lastRenderedPageBreak/>
        <w:t>Организация управления, координационные механизмы и неофициальные рабочие группы</w:t>
      </w:r>
    </w:p>
    <w:p w14:paraId="097BB012" w14:textId="26C53758" w:rsidR="00B10F71" w:rsidRDefault="00C76CF2" w:rsidP="00D82E72">
      <w:pPr>
        <w:pStyle w:val="ListParagraph"/>
        <w:widowControl/>
        <w:numPr>
          <w:ilvl w:val="0"/>
          <w:numId w:val="1"/>
        </w:numPr>
        <w:tabs>
          <w:tab w:val="left" w:pos="709"/>
        </w:tabs>
        <w:spacing w:after="240" w:line="240" w:lineRule="auto"/>
        <w:ind w:left="0" w:firstLine="0"/>
        <w:contextualSpacing w:val="0"/>
        <w:rPr>
          <w:rFonts w:asciiTheme="minorBidi" w:eastAsia="Arial" w:hAnsiTheme="minorBidi" w:cstheme="minorBidi"/>
          <w:color w:val="000000" w:themeColor="text1"/>
        </w:rPr>
      </w:pPr>
      <w:r>
        <w:rPr>
          <w:rFonts w:asciiTheme="minorBidi" w:hAnsiTheme="minorBidi"/>
        </w:rPr>
        <w:t>В 2023 г. Консультативный совет по вопросам проведения Десятилетия собирался дважды (в онлайновом формате) для обсуждения рекомендаций в отношении программ Десятилетия, отобранных по итогам проведенных запросов, и рассмотрения ряда стратегически значимых вопросов, касающихся оценки хода проведения Десятилетия, мобилизации ресурсов, важности использования в рамках Десятилетия знаний коренного и местного населения, а также способов расширения участия малых островных развивающихся государств и наименее развитых стран.</w:t>
      </w:r>
      <w:r>
        <w:rPr>
          <w:rFonts w:asciiTheme="minorBidi" w:hAnsiTheme="minorBidi"/>
          <w:color w:val="000000" w:themeColor="text1"/>
        </w:rPr>
        <w:t xml:space="preserve"> Первый состав группы экспертов</w:t>
      </w:r>
      <w:r w:rsidR="00ED78D9" w:rsidRPr="00ED78D9">
        <w:rPr>
          <w:rFonts w:asciiTheme="minorBidi" w:hAnsiTheme="minorBidi"/>
          <w:color w:val="000000" w:themeColor="text1"/>
        </w:rPr>
        <w:t xml:space="preserve"> </w:t>
      </w:r>
      <w:r w:rsidR="00ED78D9">
        <w:rPr>
          <w:rFonts w:asciiTheme="minorBidi" w:hAnsiTheme="minorBidi"/>
          <w:color w:val="000000" w:themeColor="text1"/>
        </w:rPr>
        <w:t>–</w:t>
      </w:r>
      <w:r w:rsidR="00ED78D9" w:rsidRPr="00ED78D9">
        <w:rPr>
          <w:rFonts w:asciiTheme="minorBidi" w:hAnsiTheme="minorBidi"/>
          <w:color w:val="000000" w:themeColor="text1"/>
        </w:rPr>
        <w:t xml:space="preserve"> </w:t>
      </w:r>
      <w:r>
        <w:rPr>
          <w:rFonts w:asciiTheme="minorBidi" w:hAnsiTheme="minorBidi"/>
          <w:color w:val="000000" w:themeColor="text1"/>
        </w:rPr>
        <w:t>членов Совета завершил свою работу в декабре 2023 г. По итогам организованного в январе 2024 г. открытого выдвижения кандидатур был сформирован новый состав Совета, в который вошли пять прежних и десять новых экспертов. Помимо непосредственно экспертов в состав Совета вошли также представители Продовольственной и сельскохозяйственной организации Объединенных Наций, Рамочной конвенции Организации Объединенных Наций об изменении климата и Международной морской организации, занявших в Совете три места, заполняемых на основе ротации учреждениями системы Организации Объединенных Наций. В течение рассматриваемого периода новый состав Совета провел два совещания, в том числе одно очное совещание, состоявшееся в мае 2024 г. в Париже. В ходе проведенных дискуссий Совет уделил основное внимание выполнению рекомендаций, сформулированных в рамках механизма «На пути к 2030 году», а также дал руководящие указания в отношении сферы охвата предстоящей среднесрочной оценки.</w:t>
      </w:r>
    </w:p>
    <w:p w14:paraId="4656F660" w14:textId="3EEF9D8B" w:rsidR="001F4025" w:rsidRPr="009259B9" w:rsidRDefault="008B6778" w:rsidP="00D82E72">
      <w:pPr>
        <w:pStyle w:val="ListParagraph"/>
        <w:widowControl/>
        <w:numPr>
          <w:ilvl w:val="0"/>
          <w:numId w:val="1"/>
        </w:numPr>
        <w:tabs>
          <w:tab w:val="left" w:pos="709"/>
        </w:tabs>
        <w:spacing w:after="240" w:line="240" w:lineRule="auto"/>
        <w:ind w:left="0" w:firstLine="0"/>
        <w:contextualSpacing w:val="0"/>
        <w:rPr>
          <w:rFonts w:asciiTheme="minorBidi" w:eastAsia="Arial" w:hAnsiTheme="minorBidi" w:cstheme="minorBidi"/>
          <w:color w:val="000000" w:themeColor="text1"/>
        </w:rPr>
      </w:pPr>
      <w:r>
        <w:rPr>
          <w:rFonts w:asciiTheme="minorBidi" w:hAnsiTheme="minorBidi"/>
          <w:color w:val="000000" w:themeColor="text1"/>
          <w:szCs w:val="22"/>
        </w:rPr>
        <w:t xml:space="preserve">На сегодняшний день проведению Десятилетия науки об океане содействуют двенадцать (12) децентрализованных координирующих структур (центры сотрудничества в рамках Десятилетия (ЦСД) и бюро по координации проведения Десятилетия (БКД)), а также шестнадцать (16) партнеров-исполнителей. Бюро по координации проведения Десятилетия и центры сотрудничества в рамках Десятилетия играют важную роль в поддержке Группы по  координации проведения Десятилетия, координации мероприятий в рамках Десятилетия, содействии запуску новых инициатив, привлечении заинтересованных сторон, мобилизации ресурсов и распространении информации о Десятилетии. На базе МОК функционируют шесть БКД (регион западной части Тихого океана – ВЕСТПАК, регион тропических стран Северной и Южной Америки и Карибского бассейна – МОКАРИБ, регион стран Африки –  МОКАФРИКА, повышение уровня грамотности в связанных с океаном вопросах – IOC/OSS, совместное использование данных – МООД, океанографические наблюдения – ГСНО). Для полного развертывания деятельности БКД по региону тропических стран Северной и Южной Америки и Карибского бассейна и региону Африки, а также по совместному использованию данных и океанографическим наблюдениям требуются дополнительные ресурсы. </w:t>
      </w:r>
      <w:r>
        <w:rPr>
          <w:rFonts w:asciiTheme="minorBidi" w:hAnsiTheme="minorBidi"/>
          <w:color w:val="000000" w:themeColor="text1"/>
        </w:rPr>
        <w:t>БКД, ЦСД и партнеры-исполнители сообщили, что в предыдущий период они осуществили в общей сложности более 1379 проектов в области развития потенциала, которыми было охвачено более 29 000 человек, 48% из которых составляли женщины и 63% – молодые специалисты-</w:t>
      </w:r>
      <w:proofErr w:type="spellStart"/>
      <w:r>
        <w:rPr>
          <w:rFonts w:asciiTheme="minorBidi" w:hAnsiTheme="minorBidi"/>
          <w:color w:val="000000" w:themeColor="text1"/>
        </w:rPr>
        <w:t>мореведы</w:t>
      </w:r>
      <w:proofErr w:type="spellEnd"/>
      <w:r>
        <w:rPr>
          <w:rFonts w:asciiTheme="minorBidi" w:hAnsiTheme="minorBidi"/>
          <w:color w:val="000000" w:themeColor="text1"/>
        </w:rPr>
        <w:t>. В настоящее время с партнерами обсуждается вопрос о создании в дополнение к уже имеющимся центрам сотрудничества в рамках Десятилетия нескольких новых центров для приоритетной задачи Десятилетия № 1 – «Борьба с загрязнением морской среды» и приоритетной задачи № 4 – «Развитие устойчивой морской экономики».</w:t>
      </w:r>
    </w:p>
    <w:p w14:paraId="4CCDDE01" w14:textId="4F13E50A" w:rsidR="00B10F71" w:rsidRDefault="007E3CD1" w:rsidP="00D82E72">
      <w:pPr>
        <w:pStyle w:val="ListParagraph"/>
        <w:widowControl/>
        <w:numPr>
          <w:ilvl w:val="0"/>
          <w:numId w:val="1"/>
        </w:numPr>
        <w:tabs>
          <w:tab w:val="left" w:pos="709"/>
        </w:tabs>
        <w:spacing w:after="240" w:line="240" w:lineRule="auto"/>
        <w:ind w:left="0" w:firstLine="0"/>
        <w:contextualSpacing w:val="0"/>
        <w:rPr>
          <w:rFonts w:asciiTheme="minorBidi" w:eastAsia="Arial" w:hAnsiTheme="minorBidi" w:cstheme="minorBidi"/>
          <w:color w:val="000000" w:themeColor="text1"/>
        </w:rPr>
      </w:pPr>
      <w:r>
        <w:rPr>
          <w:rFonts w:asciiTheme="minorBidi" w:hAnsiTheme="minorBidi"/>
          <w:color w:val="000000" w:themeColor="text1"/>
        </w:rPr>
        <w:t>Создано 38 национальных комитетов по проведению Десятилетия, которые осуществляют разнообразные инициативы, направленные на стимулирование интереса и мобилизацию ресурсов для Десятилетия на национальном уровне, а также обеспечивают площадку для обсуждения согласованных с задачами Десятилетия национальных приоритетов. При этом отмечается существенный дисбаланс в плане географического охвата национальными комитетами по проведению Десятилетия в мире, в частности в МОСРГ. Только 11 национальных комитетов представили свои отчеты в рамках первого цикла мониторинга и оценки результативности проведения Десятилетия. В среднем в состав национальных комитетов входит 37</w:t>
      </w:r>
      <w:r w:rsidR="00E206A5">
        <w:rPr>
          <w:rFonts w:asciiTheme="minorBidi" w:hAnsiTheme="minorBidi"/>
          <w:color w:val="000000" w:themeColor="text1"/>
          <w:lang w:val="en-US"/>
        </w:rPr>
        <w:t> </w:t>
      </w:r>
      <w:r>
        <w:rPr>
          <w:rFonts w:asciiTheme="minorBidi" w:hAnsiTheme="minorBidi"/>
          <w:color w:val="000000" w:themeColor="text1"/>
        </w:rPr>
        <w:t xml:space="preserve">членов. При этом большинство из них представляют органы государственного управления или исследовательские учреждения. В среднем женщины составляют 44% от членского </w:t>
      </w:r>
      <w:r>
        <w:rPr>
          <w:rFonts w:asciiTheme="minorBidi" w:hAnsiTheme="minorBidi"/>
          <w:color w:val="000000" w:themeColor="text1"/>
        </w:rPr>
        <w:lastRenderedPageBreak/>
        <w:t>состава комитетов, 18% составляют молодые специалисты-</w:t>
      </w:r>
      <w:proofErr w:type="spellStart"/>
      <w:r>
        <w:rPr>
          <w:rFonts w:asciiTheme="minorBidi" w:hAnsiTheme="minorBidi"/>
          <w:color w:val="000000" w:themeColor="text1"/>
        </w:rPr>
        <w:t>мореведы</w:t>
      </w:r>
      <w:proofErr w:type="spellEnd"/>
      <w:r>
        <w:rPr>
          <w:rFonts w:asciiTheme="minorBidi" w:hAnsiTheme="minorBidi"/>
          <w:color w:val="000000" w:themeColor="text1"/>
        </w:rPr>
        <w:t>. Национальные комитеты сообщили о проведении в общей сложности более 230 связанных с Десятилетием мероприятий. Наибольшее их число было посвящено повышению грамотности в связанных с океаном вопросах, укреплению потенциала и проведению практикумов.</w:t>
      </w:r>
    </w:p>
    <w:p w14:paraId="47E6FB1E" w14:textId="77777777" w:rsidR="00B10F71" w:rsidRDefault="007E3CD1" w:rsidP="00B75FD6">
      <w:pPr>
        <w:pStyle w:val="ListParagraph"/>
        <w:widowControl/>
        <w:numPr>
          <w:ilvl w:val="0"/>
          <w:numId w:val="1"/>
        </w:numPr>
        <w:tabs>
          <w:tab w:val="left" w:pos="709"/>
        </w:tabs>
        <w:spacing w:after="240" w:line="240" w:lineRule="auto"/>
        <w:ind w:left="0" w:firstLine="0"/>
        <w:contextualSpacing w:val="0"/>
        <w:rPr>
          <w:rFonts w:asciiTheme="minorBidi" w:eastAsia="Arial" w:hAnsiTheme="minorBidi" w:cstheme="minorBidi"/>
          <w:color w:val="000000" w:themeColor="text1"/>
        </w:rPr>
      </w:pPr>
      <w:r>
        <w:rPr>
          <w:rFonts w:asciiTheme="minorBidi" w:hAnsiTheme="minorBidi"/>
          <w:color w:val="000000" w:themeColor="text1"/>
        </w:rPr>
        <w:t>В декабре 2021 г. была создана группа по координации управления данными, призванная содействовать разработке и реализации стратегии Десятилетия в области использования данных, информации и научных знаний. Кроме того, создана рабочая группа по разработке плана осуществления указанной стратегии. Ожидается, что этот план будет опубликован в июле 2024 г. В состав Группы корпоративных данных входят десять представителей частного сектора, которым надлежит сформулировать меры, способствующие обмену данными между частным сектором и научным сообществом. Мандат группы по стратегической коммуникации был продлен. В ее состав входят 25 экспертов по коммуникации, которые консультируют Группу по координации проведения Десятилетия в отношении инструментов и подходов в области коммуникации. Наряду с этим создан реестр, включающий 250 экспертов по тематике Десятилетия науки об океане. Цель его создания – сформировать пул специалистов, которые будут оказывать Секретариату МОК помощь в определении основных целевых показателей для приоритетных задач Десятилетия, в рассмотрении заявок на осуществление связанных с Десятилетием программ, а также в работе формальных механизмов оценки хода проведения Десятилетия.</w:t>
      </w:r>
    </w:p>
    <w:p w14:paraId="2D288AFA" w14:textId="77777777" w:rsidR="00B75FD6" w:rsidRPr="00A068F2" w:rsidRDefault="00B75FD6" w:rsidP="00B75FD6">
      <w:pPr>
        <w:tabs>
          <w:tab w:val="left" w:pos="567"/>
          <w:tab w:val="left" w:pos="709"/>
        </w:tabs>
        <w:spacing w:after="240" w:line="240" w:lineRule="auto"/>
        <w:rPr>
          <w:rFonts w:asciiTheme="minorBidi" w:eastAsia="Arial" w:hAnsiTheme="minorBidi"/>
          <w:b/>
          <w:bCs/>
          <w:color w:val="000000" w:themeColor="text1"/>
        </w:rPr>
      </w:pPr>
      <w:r w:rsidRPr="00A068F2">
        <w:rPr>
          <w:rFonts w:asciiTheme="minorBidi" w:hAnsiTheme="minorBidi"/>
          <w:b/>
          <w:bCs/>
        </w:rPr>
        <w:t>Привлечение средств</w:t>
      </w:r>
      <w:r w:rsidRPr="00A068F2">
        <w:rPr>
          <w:rFonts w:asciiTheme="minorBidi" w:hAnsiTheme="minorBidi"/>
        </w:rPr>
        <w:t xml:space="preserve"> </w:t>
      </w:r>
    </w:p>
    <w:p w14:paraId="0768688C" w14:textId="77777777" w:rsidR="00B75FD6" w:rsidRPr="00D72FE0" w:rsidRDefault="00B75FD6" w:rsidP="00B75FD6">
      <w:pPr>
        <w:pStyle w:val="ListParagraph"/>
        <w:widowControl/>
        <w:numPr>
          <w:ilvl w:val="0"/>
          <w:numId w:val="1"/>
        </w:numPr>
        <w:tabs>
          <w:tab w:val="left" w:pos="709"/>
        </w:tabs>
        <w:spacing w:after="240" w:line="240" w:lineRule="auto"/>
        <w:ind w:left="0" w:firstLine="0"/>
        <w:contextualSpacing w:val="0"/>
        <w:rPr>
          <w:rFonts w:eastAsia="Arial" w:cs="Arial"/>
          <w:color w:val="000000" w:themeColor="text1"/>
        </w:rPr>
      </w:pPr>
      <w:r>
        <w:t xml:space="preserve">Целевую финансовую и нефинансовую поддержку для обеспечения координации связанной с Десятилетием деятельности оказали в рассматриваемый период перечисленные ниже государства-члены/организации: Бельгия (правительство Фландрии), Канада, Франция, компания </w:t>
      </w:r>
      <w:proofErr w:type="spellStart"/>
      <w:r>
        <w:t>Fugro</w:t>
      </w:r>
      <w:proofErr w:type="spellEnd"/>
      <w:r>
        <w:t>, Япония, Норвегия, Португалия, Республика Корея, Швеция, Норвежский совет по научным исследованиям, Институт океанографии Шмидтов и некоммерческая организация REV-Ocean.</w:t>
      </w:r>
    </w:p>
    <w:p w14:paraId="4B7F8086" w14:textId="77777777" w:rsidR="00B75FD6" w:rsidRPr="00D72FE0" w:rsidRDefault="00B75FD6" w:rsidP="00B75FD6">
      <w:pPr>
        <w:pStyle w:val="ListParagraph"/>
        <w:widowControl/>
        <w:numPr>
          <w:ilvl w:val="0"/>
          <w:numId w:val="1"/>
        </w:numPr>
        <w:tabs>
          <w:tab w:val="left" w:pos="709"/>
        </w:tabs>
        <w:spacing w:after="240" w:line="240" w:lineRule="auto"/>
        <w:ind w:left="0" w:firstLine="0"/>
        <w:contextualSpacing w:val="0"/>
        <w:rPr>
          <w:rFonts w:asciiTheme="minorBidi" w:eastAsia="Arial" w:hAnsiTheme="minorBidi" w:cstheme="minorBidi"/>
          <w:color w:val="000000" w:themeColor="text1"/>
        </w:rPr>
      </w:pPr>
      <w:r>
        <w:t xml:space="preserve">Привлечение средств в финансовой и нефинансовой форме остается важнейшим условием успешного проведения Десятилетия. Необходимо, в частности, обеспечить привлечение средств для финансирования расходов на координацию как на центральном (отдел координации Десятилетия), так и на децентрализованном уровне (в частности, бюро по координации проведения Десятилетия под руководством МОК), а также на осуществление утвержденных и будущих мероприятий. Согласно представленным программами Десятилетия в рамках системы мониторинга и оценки данным, на следующий 12-месячный период было выделено около 32 млн. долл., в то время как для полной реализации программ в течение следующих 12 месяцев необходимо привлечь еще 43 млн. долл., таким образом, дефицит средств составляет 54%. </w:t>
      </w:r>
    </w:p>
    <w:p w14:paraId="75728153" w14:textId="74CCDCCE" w:rsidR="00B75FD6" w:rsidRPr="00D72FE0" w:rsidRDefault="00B75FD6" w:rsidP="00B75FD6">
      <w:pPr>
        <w:pStyle w:val="ListParagraph"/>
        <w:widowControl/>
        <w:numPr>
          <w:ilvl w:val="0"/>
          <w:numId w:val="1"/>
        </w:numPr>
        <w:tabs>
          <w:tab w:val="left" w:pos="709"/>
        </w:tabs>
        <w:spacing w:after="240" w:line="240" w:lineRule="auto"/>
        <w:ind w:left="0" w:firstLine="0"/>
        <w:contextualSpacing w:val="0"/>
        <w:rPr>
          <w:rFonts w:asciiTheme="minorBidi" w:eastAsia="Arial" w:hAnsiTheme="minorBidi" w:cstheme="minorBidi"/>
          <w:color w:val="000000" w:themeColor="text1"/>
        </w:rPr>
      </w:pPr>
      <w:r>
        <w:t xml:space="preserve">В рассматриваемый период увеличилось число членов Альянса в поддержку Десятилетия океана, насчитывающего на сегодняшний день 11 спонсоров и 19 институциональных членов. Члены Альянса приняли участие в мероприятиях высокого уровня и внесли вклад в повышение осведомленности о Десятилетии океана среди представляемых ими групп. Продолжается взаимодействие с членами Альянса в целях разработки совместных инициатив в области финансирования и поддержки Десятилетия. Совместно с </w:t>
      </w:r>
      <w:proofErr w:type="spellStart"/>
      <w:r>
        <w:t>Бельмонтским</w:t>
      </w:r>
      <w:proofErr w:type="spellEnd"/>
      <w:r>
        <w:t xml:space="preserve"> форумом и Партнерством по устойчивой </w:t>
      </w:r>
      <w:r w:rsidR="00EA4DBA">
        <w:t>«</w:t>
      </w:r>
      <w:r>
        <w:t>голубой экономике</w:t>
      </w:r>
      <w:r w:rsidR="00EA4DBA">
        <w:t>»</w:t>
      </w:r>
      <w:r>
        <w:t xml:space="preserve"> под эгидой ЕК были приняты призывы к действиям в рамках Десятилетия. </w:t>
      </w:r>
    </w:p>
    <w:p w14:paraId="44D83587" w14:textId="77777777" w:rsidR="00B75FD6" w:rsidRPr="00D72FE0" w:rsidRDefault="00B75FD6" w:rsidP="00B75FD6">
      <w:pPr>
        <w:pStyle w:val="ListParagraph"/>
        <w:widowControl/>
        <w:numPr>
          <w:ilvl w:val="0"/>
          <w:numId w:val="1"/>
        </w:numPr>
        <w:tabs>
          <w:tab w:val="left" w:pos="709"/>
        </w:tabs>
        <w:spacing w:after="240" w:line="240" w:lineRule="auto"/>
        <w:ind w:left="0" w:firstLine="0"/>
        <w:contextualSpacing w:val="0"/>
        <w:rPr>
          <w:rFonts w:asciiTheme="minorBidi" w:eastAsia="Arial" w:hAnsiTheme="minorBidi" w:cstheme="minorBidi"/>
          <w:color w:val="000000" w:themeColor="text1"/>
        </w:rPr>
      </w:pPr>
      <w:r>
        <w:t xml:space="preserve">В отчетный период были предприняты значительные усилия по привлечению средств благотворительных фондов, в частности в июне 2023 г. в Монако было проведено очное совещание Диалога благотворительных фондов под председательством Фонда князя Монако Альбера II. В принятом по его итогам </w:t>
      </w:r>
      <w:hyperlink r:id="rId13" w:history="1">
        <w:r w:rsidRPr="00D72FE0">
          <w:rPr>
            <w:rStyle w:val="Hyperlink"/>
          </w:rPr>
          <w:t>Монакском заявлении</w:t>
        </w:r>
      </w:hyperlink>
      <w:r>
        <w:t xml:space="preserve"> 2023 г. были определены четыре приоритетных направления деятельности, которые в настоящее время дорабатываются и </w:t>
      </w:r>
      <w:r>
        <w:lastRenderedPageBreak/>
        <w:t xml:space="preserve">будут обсуждаться на семинаре с участниками четвертого совещания Диалога благотворительных фондов в Рио-де-Жанейро в сентябре 2024 г., организованного Фондом </w:t>
      </w:r>
      <w:proofErr w:type="spellStart"/>
      <w:r>
        <w:t>Ботикарио</w:t>
      </w:r>
      <w:proofErr w:type="spellEnd"/>
      <w:r>
        <w:t xml:space="preserve">. </w:t>
      </w:r>
    </w:p>
    <w:p w14:paraId="358A56EF" w14:textId="77777777" w:rsidR="00B75FD6" w:rsidRPr="00D72FE0" w:rsidRDefault="00B75FD6" w:rsidP="00B75FD6">
      <w:pPr>
        <w:pStyle w:val="ListParagraph"/>
        <w:widowControl/>
        <w:numPr>
          <w:ilvl w:val="0"/>
          <w:numId w:val="1"/>
        </w:numPr>
        <w:tabs>
          <w:tab w:val="left" w:pos="709"/>
        </w:tabs>
        <w:spacing w:after="240" w:line="240" w:lineRule="auto"/>
        <w:ind w:left="0" w:firstLine="0"/>
        <w:contextualSpacing w:val="0"/>
        <w:rPr>
          <w:rFonts w:asciiTheme="minorBidi" w:eastAsia="Arial" w:hAnsiTheme="minorBidi" w:cstheme="minorBidi"/>
          <w:color w:val="000000" w:themeColor="text1"/>
        </w:rPr>
      </w:pPr>
      <w:r>
        <w:t xml:space="preserve">Прикомандированные сотрудники и временный персонал из Франции, Японии и компании </w:t>
      </w:r>
      <w:proofErr w:type="spellStart"/>
      <w:r>
        <w:t>Fugro</w:t>
      </w:r>
      <w:proofErr w:type="spellEnd"/>
      <w:r>
        <w:t xml:space="preserve"> (партнер из частного сектора) оказывают неоценимую поддержку в координации Десятилетия. </w:t>
      </w:r>
    </w:p>
    <w:p w14:paraId="1735CEF7" w14:textId="77777777" w:rsidR="00B75FD6" w:rsidRPr="00D72FE0" w:rsidRDefault="00B75FD6" w:rsidP="00B75FD6">
      <w:pPr>
        <w:pStyle w:val="ListParagraph"/>
        <w:widowControl/>
        <w:numPr>
          <w:ilvl w:val="0"/>
          <w:numId w:val="1"/>
        </w:numPr>
        <w:tabs>
          <w:tab w:val="left" w:pos="709"/>
        </w:tabs>
        <w:spacing w:after="240" w:line="240" w:lineRule="auto"/>
        <w:ind w:left="0" w:firstLine="0"/>
        <w:contextualSpacing w:val="0"/>
        <w:rPr>
          <w:rFonts w:asciiTheme="minorBidi" w:eastAsia="Arial" w:hAnsiTheme="minorBidi" w:cstheme="minorBidi"/>
          <w:color w:val="000000" w:themeColor="text1"/>
        </w:rPr>
      </w:pPr>
      <w:bookmarkStart w:id="0" w:name="_Hlk103078448"/>
      <w:r>
        <w:t>Для сохранения нынешней динамики и поддержания уровня активности необходимо в срочном порядке привлечь дополнительные ресурсы, как в финансовой, так и в натуральной форме, для обеспечения устойчивого функционирования отдела координации Десятилетия. Существенный объем ресурсов потребуется также для содействия осуществлению связанных с Десятилетием мероприятий.</w:t>
      </w:r>
      <w:bookmarkEnd w:id="0"/>
    </w:p>
    <w:p w14:paraId="046BDBDB" w14:textId="77777777" w:rsidR="00B75FD6" w:rsidRPr="004D6875" w:rsidRDefault="00B75FD6" w:rsidP="004D6875">
      <w:pPr>
        <w:tabs>
          <w:tab w:val="left" w:pos="567"/>
          <w:tab w:val="left" w:pos="709"/>
        </w:tabs>
        <w:spacing w:after="240" w:line="240" w:lineRule="auto"/>
        <w:jc w:val="both"/>
        <w:rPr>
          <w:rFonts w:asciiTheme="minorBidi" w:eastAsia="Arial" w:hAnsiTheme="minorBidi"/>
          <w:b/>
          <w:bCs/>
          <w:color w:val="000000" w:themeColor="text1"/>
        </w:rPr>
      </w:pPr>
      <w:r w:rsidRPr="004D6875">
        <w:rPr>
          <w:rFonts w:asciiTheme="minorBidi" w:hAnsiTheme="minorBidi"/>
          <w:b/>
          <w:bCs/>
        </w:rPr>
        <w:t>Взаимодействие с заинтересованными сторонами и информационно-просветительская деятельность</w:t>
      </w:r>
      <w:r w:rsidRPr="004D6875">
        <w:rPr>
          <w:rFonts w:asciiTheme="minorBidi" w:hAnsiTheme="minorBidi"/>
        </w:rPr>
        <w:t xml:space="preserve"> </w:t>
      </w:r>
    </w:p>
    <w:p w14:paraId="38DE215F" w14:textId="0CE22AA2" w:rsidR="00B75FD6" w:rsidRPr="00D72FE0" w:rsidRDefault="00B75FD6" w:rsidP="00B75FD6">
      <w:pPr>
        <w:pStyle w:val="ListParagraph"/>
        <w:widowControl/>
        <w:numPr>
          <w:ilvl w:val="0"/>
          <w:numId w:val="1"/>
        </w:numPr>
        <w:tabs>
          <w:tab w:val="left" w:pos="709"/>
        </w:tabs>
        <w:spacing w:after="240" w:line="240" w:lineRule="auto"/>
        <w:ind w:left="0" w:firstLine="0"/>
        <w:contextualSpacing w:val="0"/>
        <w:rPr>
          <w:rFonts w:asciiTheme="minorBidi" w:eastAsia="Arial" w:hAnsiTheme="minorBidi" w:cstheme="minorBidi"/>
          <w:color w:val="000000" w:themeColor="text1"/>
        </w:rPr>
      </w:pPr>
      <w:r w:rsidRPr="00D26A3A">
        <w:t>В теч</w:t>
      </w:r>
      <w:r>
        <w:t xml:space="preserve">ение рассматриваемого периода велась активная работа с заинтересованными сторонами и информационно-просветительская деятельность. Многочисленные мероприятия, посвященные различным аспектам Десятилетия океана, были проведены в ходе Саммита по ЦУР (Нью-Йорк, сентябрь 2023 г.), КС-28 (Дубай, декабрь 2023 г.), четвертой Международной конференции ООН по МОСРГ (Антигуа и Барбуда, май 2024 г.) и Конференции </w:t>
      </w:r>
      <w:r w:rsidR="00D26A3A">
        <w:t>«</w:t>
      </w:r>
      <w:r>
        <w:t>Погружение в изменения</w:t>
      </w:r>
      <w:r w:rsidR="00D26A3A">
        <w:t>»</w:t>
      </w:r>
      <w:r>
        <w:t xml:space="preserve"> (Коста-Рика, июнь 2024</w:t>
      </w:r>
      <w:r>
        <w:rPr>
          <w:lang w:val="en-US"/>
        </w:rPr>
        <w:t> </w:t>
      </w:r>
      <w:r>
        <w:t xml:space="preserve">г.). Посвященная Десятилетию океана конференция 2024 г., о которой пойдет речь ниже, стала кульминационным этапом взаимодействия заинтересованных сторон в отчетном периоде. </w:t>
      </w:r>
    </w:p>
    <w:p w14:paraId="3CB317EC" w14:textId="208CDEDC" w:rsidR="00B75FD6" w:rsidRPr="00D72FE0" w:rsidRDefault="00B75FD6" w:rsidP="00B75FD6">
      <w:pPr>
        <w:pStyle w:val="ListParagraph"/>
        <w:widowControl/>
        <w:numPr>
          <w:ilvl w:val="0"/>
          <w:numId w:val="1"/>
        </w:numPr>
        <w:tabs>
          <w:tab w:val="left" w:pos="709"/>
        </w:tabs>
        <w:spacing w:after="240" w:line="240" w:lineRule="auto"/>
        <w:ind w:left="0" w:firstLine="0"/>
        <w:contextualSpacing w:val="0"/>
        <w:rPr>
          <w:rFonts w:asciiTheme="minorBidi" w:hAnsiTheme="minorBidi" w:cstheme="minorBidi"/>
          <w:color w:val="000000" w:themeColor="text1"/>
        </w:rPr>
      </w:pPr>
      <w:r>
        <w:t xml:space="preserve">За этот период сайт Десятилетия океана посетили 194 500 пользователей, а количество просмотров страниц составило 611 000. 60% пользователей были женщинами, 38% </w:t>
      </w:r>
      <w:r w:rsidR="00D26A3A">
        <w:t>–</w:t>
      </w:r>
      <w:r>
        <w:t xml:space="preserve"> мужчинами, причем большинство из них были моложе 34 лет. На сайте размещена также сеть Десятилетия океана – онлайновая платформа сообщества для обмена мнениями и сотрудничества, которая насчитывает более 8000 зарегистрированных пользователей и обеспечивает цифровой хостинг для различных работающих в рамках Десятилетия групп. В настоящее время ведется пересмотр коммуникационной кампании </w:t>
      </w:r>
      <w:proofErr w:type="spellStart"/>
      <w:r>
        <w:t>GenOcean</w:t>
      </w:r>
      <w:proofErr w:type="spellEnd"/>
      <w:r>
        <w:t xml:space="preserve">, которая будет возобновлена в 2024 г. и сосредоточена на инициативах в области гражданской науки. </w:t>
      </w:r>
    </w:p>
    <w:p w14:paraId="3DA98D7B" w14:textId="77777777" w:rsidR="00B75FD6" w:rsidRPr="006C7C5B" w:rsidRDefault="00B75FD6" w:rsidP="00B75FD6">
      <w:pPr>
        <w:pStyle w:val="ListParagraph"/>
        <w:widowControl/>
        <w:numPr>
          <w:ilvl w:val="0"/>
          <w:numId w:val="1"/>
        </w:numPr>
        <w:tabs>
          <w:tab w:val="left" w:pos="709"/>
        </w:tabs>
        <w:spacing w:after="240" w:line="240" w:lineRule="auto"/>
        <w:ind w:left="0" w:firstLine="0"/>
        <w:contextualSpacing w:val="0"/>
        <w:rPr>
          <w:rFonts w:asciiTheme="minorBidi" w:eastAsia="Arial" w:hAnsiTheme="minorBidi" w:cstheme="minorBidi"/>
          <w:color w:val="000000" w:themeColor="text1"/>
        </w:rPr>
      </w:pPr>
      <w:r>
        <w:t xml:space="preserve">Число подписчиков в социальных сетях на всех платформах Десятилетия океана выросло примерно до 75 000 человек, что значительно больше, чем в предыдущий период. По данным отчетности, представленной в рамках первого цикла системы мониторинга и отчетности, общее число подписчиков социальных сетей мероприятий Десятилетия, центров сотрудничества, бюро по координации проведения Десятилетия, партнеров и национальных комитетов по проведению Десятилетия превышает три миллиона. </w:t>
      </w:r>
    </w:p>
    <w:p w14:paraId="2CA56BDF" w14:textId="7BCF1EFA" w:rsidR="00B75FD6" w:rsidRPr="004D6875" w:rsidRDefault="00B75FD6" w:rsidP="00B75FD6">
      <w:pPr>
        <w:tabs>
          <w:tab w:val="left" w:pos="567"/>
          <w:tab w:val="left" w:pos="709"/>
        </w:tabs>
        <w:spacing w:after="240" w:line="240" w:lineRule="auto"/>
        <w:rPr>
          <w:rFonts w:asciiTheme="minorBidi" w:eastAsia="Arial" w:hAnsiTheme="minorBidi"/>
          <w:b/>
          <w:bCs/>
          <w:color w:val="000000" w:themeColor="text1"/>
        </w:rPr>
      </w:pPr>
      <w:r w:rsidRPr="004D6875">
        <w:rPr>
          <w:rFonts w:asciiTheme="minorBidi" w:hAnsiTheme="minorBidi"/>
          <w:b/>
          <w:bCs/>
        </w:rPr>
        <w:t xml:space="preserve">Механизм </w:t>
      </w:r>
      <w:r w:rsidR="004D6875">
        <w:rPr>
          <w:rFonts w:asciiTheme="minorBidi" w:hAnsiTheme="minorBidi"/>
          <w:b/>
          <w:bCs/>
        </w:rPr>
        <w:t>«</w:t>
      </w:r>
      <w:r w:rsidRPr="004D6875">
        <w:rPr>
          <w:rFonts w:asciiTheme="minorBidi" w:hAnsiTheme="minorBidi"/>
          <w:b/>
          <w:bCs/>
        </w:rPr>
        <w:t>На пути к 2030 г.</w:t>
      </w:r>
      <w:r w:rsidR="004D6875">
        <w:rPr>
          <w:rFonts w:asciiTheme="minorBidi" w:hAnsiTheme="minorBidi"/>
          <w:b/>
          <w:bCs/>
        </w:rPr>
        <w:t>»</w:t>
      </w:r>
      <w:r w:rsidRPr="004D6875">
        <w:rPr>
          <w:rFonts w:asciiTheme="minorBidi" w:hAnsiTheme="minorBidi"/>
          <w:b/>
          <w:bCs/>
        </w:rPr>
        <w:t xml:space="preserve"> и посвященная Десятилетию океана конференция 2024 г.</w:t>
      </w:r>
    </w:p>
    <w:p w14:paraId="612808BA" w14:textId="00CF547D" w:rsidR="00B75FD6" w:rsidRPr="00D72FE0" w:rsidRDefault="00B75FD6" w:rsidP="00B75FD6">
      <w:pPr>
        <w:pStyle w:val="ListParagraph"/>
        <w:widowControl/>
        <w:numPr>
          <w:ilvl w:val="0"/>
          <w:numId w:val="1"/>
        </w:numPr>
        <w:tabs>
          <w:tab w:val="left" w:pos="709"/>
        </w:tabs>
        <w:spacing w:after="240" w:line="240" w:lineRule="auto"/>
        <w:ind w:left="0" w:firstLine="0"/>
        <w:contextualSpacing w:val="0"/>
        <w:rPr>
          <w:rFonts w:asciiTheme="minorBidi" w:hAnsiTheme="minorBidi" w:cstheme="minorBidi"/>
          <w:color w:val="000000" w:themeColor="text1"/>
        </w:rPr>
      </w:pPr>
      <w:r>
        <w:t xml:space="preserve">В течение данного отчетного периода значительное внимание уделялось механизму </w:t>
      </w:r>
      <w:r w:rsidR="004D6875">
        <w:t>«</w:t>
      </w:r>
      <w:r>
        <w:t>На пути к 2030 г.</w:t>
      </w:r>
      <w:r w:rsidR="004D6875">
        <w:t>»</w:t>
      </w:r>
      <w:r>
        <w:t xml:space="preserve">, который начал функционировать в начале 2023 г. В рамках этого механизма было создано десять рабочих групп, каждой из которых было поручено подготовить экспертный доклад для определения стратегических целей по одной из десяти задач Десятилетия океана. Предварительные проекты этих экспертных докладов прошли открытое рецензирование в начале января 2024 г. и были использованы ГКД для подготовки итогового доклада об ожидаемых результатах работы механизма </w:t>
      </w:r>
      <w:r w:rsidR="004D6875">
        <w:t>«</w:t>
      </w:r>
      <w:r>
        <w:t>На пути к 2030 г.</w:t>
      </w:r>
      <w:r w:rsidR="004D6875">
        <w:t>»</w:t>
      </w:r>
      <w:r>
        <w:t xml:space="preserve"> (№ 50 в серии публикаций МОК, посвященных Десятилетию океана). Доклад был подготовлен на основе ключевых выводов экспертных докладов и содержит анализ всех задач Десятилетия океана и их взаимосвязи. В нем также рассматриваются приоритетные сквозные темы, касающиеся создания благоприятных условий для проведения Десятилетия океана. Перед окончательной доработкой итоговый доклад об ожидаемых результатах работы механизма </w:t>
      </w:r>
      <w:r w:rsidR="004D6875">
        <w:t>«</w:t>
      </w:r>
      <w:r>
        <w:t xml:space="preserve">На пути к </w:t>
      </w:r>
      <w:r>
        <w:lastRenderedPageBreak/>
        <w:t>2030</w:t>
      </w:r>
      <w:r w:rsidR="004D6875">
        <w:t> </w:t>
      </w:r>
      <w:r>
        <w:t>г.</w:t>
      </w:r>
      <w:r w:rsidR="004D6875">
        <w:t>»</w:t>
      </w:r>
      <w:r>
        <w:t xml:space="preserve"> обсуждался на посвященной Десятилетию океана конференции 2024 г. и с Консультативным советом Десятилетия. </w:t>
      </w:r>
    </w:p>
    <w:p w14:paraId="57E3A2AF" w14:textId="0E5783FC" w:rsidR="00B75FD6" w:rsidRPr="00D72FE0" w:rsidRDefault="00B75FD6" w:rsidP="00B75FD6">
      <w:pPr>
        <w:pStyle w:val="ListParagraph"/>
        <w:widowControl/>
        <w:numPr>
          <w:ilvl w:val="0"/>
          <w:numId w:val="1"/>
        </w:numPr>
        <w:tabs>
          <w:tab w:val="left" w:pos="709"/>
        </w:tabs>
        <w:spacing w:after="240" w:line="240" w:lineRule="auto"/>
        <w:ind w:left="0" w:firstLine="0"/>
        <w:contextualSpacing w:val="0"/>
        <w:rPr>
          <w:rFonts w:asciiTheme="minorBidi" w:hAnsiTheme="minorBidi" w:cstheme="minorBidi"/>
          <w:color w:val="000000" w:themeColor="text1"/>
        </w:rPr>
      </w:pPr>
      <w:r>
        <w:t xml:space="preserve">Посвященная Десятилетию океана конференция 2024 г., которая проводилась в Испании совместно с МОК ЮНЕСКО, стала центральной платформой для взаимодействия заинтересованных сторон в отчетный период и важным этапом  в обсуждении итоговых результатов механизма </w:t>
      </w:r>
      <w:r w:rsidR="004D6875">
        <w:t>«</w:t>
      </w:r>
      <w:r>
        <w:t>На пути к 2030 г.</w:t>
      </w:r>
      <w:r w:rsidR="004D6875">
        <w:t>»</w:t>
      </w:r>
      <w:r>
        <w:t xml:space="preserve">. Трехдневная конференция, состоявшаяся 10-12 апреля 2024 г. и ставшая кульминационным мероприятием Недели Десятилетия океана (8-12 апреля 2024 г.), собрала свыше 2600 участников из 124 стран, было также зарегистрировано более 3000 уникальных просмотров ее прямой трансляции. Программа конференции включала четыре тематические сессии с пленарными и параллельными дискуссиями, которые стали площадкой для обсуждения ожидаемых результатов механизма </w:t>
      </w:r>
      <w:r w:rsidR="004D6875">
        <w:t>«</w:t>
      </w:r>
      <w:r>
        <w:t>На пути к 2030 г.</w:t>
      </w:r>
      <w:r w:rsidR="004D6875">
        <w:t>»</w:t>
      </w:r>
      <w:r>
        <w:t xml:space="preserve"> и поиска консенсуса в отношении приоритетов в области научных исследований и производства знаний для Десятилетия океана, а также ключевых вспомогательных мер, которые необходимо принять или усовершенствовать. </w:t>
      </w:r>
    </w:p>
    <w:p w14:paraId="52E4E89E" w14:textId="145D3AA8" w:rsidR="00B75FD6" w:rsidRPr="00D72FE0" w:rsidRDefault="00B75FD6" w:rsidP="00B75FD6">
      <w:pPr>
        <w:pStyle w:val="ListParagraph"/>
        <w:widowControl/>
        <w:numPr>
          <w:ilvl w:val="0"/>
          <w:numId w:val="1"/>
        </w:numPr>
        <w:tabs>
          <w:tab w:val="left" w:pos="709"/>
        </w:tabs>
        <w:spacing w:after="240" w:line="240" w:lineRule="auto"/>
        <w:ind w:left="0" w:firstLine="0"/>
        <w:contextualSpacing w:val="0"/>
        <w:rPr>
          <w:rFonts w:asciiTheme="minorBidi" w:hAnsiTheme="minorBidi" w:cstheme="minorBidi"/>
          <w:color w:val="000000" w:themeColor="text1"/>
        </w:rPr>
      </w:pPr>
      <w:r>
        <w:t xml:space="preserve">Главным итоговым документом конференции стало </w:t>
      </w:r>
      <w:hyperlink r:id="rId14" w:history="1">
        <w:r w:rsidRPr="00D72FE0">
          <w:rPr>
            <w:rStyle w:val="Hyperlink"/>
          </w:rPr>
          <w:t>Барселонское заявление</w:t>
        </w:r>
      </w:hyperlink>
      <w:r>
        <w:t>, в котором отражены ее основные рекомендации и в обобщенной форме представлены заявления и обязательства, принятые МОК ЮНЕСКО и партнерами в ходе конференции, включая, в частности, представление новых программ Десятилетия по устойчивому планированию в сфере океана и устойчивому управлению океаном в Африке, предложение о создании нового центра сотрудничества в рамках Десятилетия по устойчивой экономике океана в Барселоне, инициативу по прибрежным городам, которая будет связана со специальным мероприятием по обеспечению устойчивости прибрежных районов накануне Конференции ООН по океану 2025</w:t>
      </w:r>
      <w:r w:rsidR="004D6875">
        <w:t> </w:t>
      </w:r>
      <w:r>
        <w:t xml:space="preserve">г., международный конгресс прибрежных городов, который будет проведен в начале 2024 г. МОК ЮНЕСКО и муниципалитетом Циндао, Китай, и новые каналы финансирования для Африки и МОСРГ. </w:t>
      </w:r>
    </w:p>
    <w:p w14:paraId="32BCD575" w14:textId="0BB52526" w:rsidR="00B75FD6" w:rsidRPr="00D72FE0" w:rsidRDefault="00B75FD6" w:rsidP="00B75FD6">
      <w:pPr>
        <w:pStyle w:val="ListParagraph"/>
        <w:widowControl/>
        <w:numPr>
          <w:ilvl w:val="0"/>
          <w:numId w:val="1"/>
        </w:numPr>
        <w:tabs>
          <w:tab w:val="left" w:pos="709"/>
        </w:tabs>
        <w:spacing w:after="240" w:line="240" w:lineRule="auto"/>
        <w:ind w:left="0" w:firstLine="0"/>
        <w:contextualSpacing w:val="0"/>
        <w:rPr>
          <w:rFonts w:asciiTheme="minorBidi" w:hAnsiTheme="minorBidi" w:cstheme="minorBidi"/>
          <w:color w:val="000000" w:themeColor="text1"/>
        </w:rPr>
      </w:pPr>
      <w:r>
        <w:t xml:space="preserve">Конференция также позволила значительно повысить наглядность и охват Десятилетия. В преддверии и во время проведения Конференции на сайте Десятилетия океана появилось 21 000 новых пользователей из 207 стран и было отмечено 66 000 просмотров страниц. Во время Конференции в социальных сетях было размещено 496 сообщений, которые получили 690 000 показов и привлекли более 4000 новых подписчиков. </w:t>
      </w:r>
    </w:p>
    <w:p w14:paraId="1155BE1A" w14:textId="77777777" w:rsidR="00B75FD6" w:rsidRPr="004D6875" w:rsidRDefault="00B75FD6" w:rsidP="00B75FD6">
      <w:pPr>
        <w:tabs>
          <w:tab w:val="left" w:pos="567"/>
          <w:tab w:val="left" w:pos="709"/>
        </w:tabs>
        <w:spacing w:after="240" w:line="240" w:lineRule="auto"/>
        <w:rPr>
          <w:rFonts w:asciiTheme="minorBidi" w:eastAsia="Arial" w:hAnsiTheme="minorBidi"/>
          <w:b/>
          <w:bCs/>
          <w:color w:val="000000" w:themeColor="text1"/>
        </w:rPr>
      </w:pPr>
      <w:r w:rsidRPr="004D6875">
        <w:rPr>
          <w:rFonts w:asciiTheme="minorBidi" w:hAnsiTheme="minorBidi"/>
          <w:b/>
          <w:bCs/>
        </w:rPr>
        <w:t>Перспективы работы в следующем отчетном периоде</w:t>
      </w:r>
      <w:r w:rsidRPr="004D6875">
        <w:rPr>
          <w:rFonts w:asciiTheme="minorBidi" w:hAnsiTheme="minorBidi"/>
        </w:rPr>
        <w:t xml:space="preserve"> </w:t>
      </w:r>
    </w:p>
    <w:p w14:paraId="216AA1B2" w14:textId="66AC44BD" w:rsidR="00B75FD6" w:rsidRPr="00D72FE0" w:rsidRDefault="00B75FD6" w:rsidP="00B75FD6">
      <w:pPr>
        <w:pStyle w:val="ListParagraph"/>
        <w:widowControl/>
        <w:numPr>
          <w:ilvl w:val="0"/>
          <w:numId w:val="1"/>
        </w:numPr>
        <w:tabs>
          <w:tab w:val="left" w:pos="709"/>
        </w:tabs>
        <w:spacing w:after="240" w:line="240" w:lineRule="auto"/>
        <w:ind w:left="0" w:firstLine="0"/>
        <w:contextualSpacing w:val="0"/>
        <w:rPr>
          <w:rFonts w:asciiTheme="minorBidi" w:hAnsiTheme="minorBidi" w:cstheme="minorBidi"/>
          <w:color w:val="000000" w:themeColor="text1"/>
        </w:rPr>
      </w:pPr>
      <w:r>
        <w:t xml:space="preserve">Основное внимание в следующем отчетном периоде будет уделено ознакомлению общественности с рекомендациями Барселонского заявления и их практическому применению. Это заявление и более подробные рекомендации, содержащиеся в докладе об итоговых результатах механизма </w:t>
      </w:r>
      <w:r w:rsidR="004D6875">
        <w:t>«</w:t>
      </w:r>
      <w:r>
        <w:t>На пути к 2030 г.</w:t>
      </w:r>
      <w:r w:rsidR="004D6875">
        <w:t>»</w:t>
      </w:r>
      <w:r>
        <w:t xml:space="preserve">, будут использоваться для руководства будущей работой ГКД, включая предварительную проработку новых призывов к действиям в рамках Десятилетия в целях содействия удовлетворению приоритетных потребностей по каждой задаче, организацию новых процессов и структур для содействия выполнению сквозных рекомендаций, а также целевые обсуждения с поставщиками ресурсов для согласования процесса мобилизации ресурсов с наиболее насущными потребностями Десятилетия океана. В настоящее время разрабатываются рамки для мониторинга хода выполнения рекомендаций в преддверии посвященной Десятилетию океана конференции 2027 г. и в последующий период. </w:t>
      </w:r>
    </w:p>
    <w:p w14:paraId="12C9F0A0" w14:textId="19DABD9C" w:rsidR="00B75FD6" w:rsidRPr="00D72FE0" w:rsidRDefault="00B75FD6" w:rsidP="00B75FD6">
      <w:pPr>
        <w:pStyle w:val="ListParagraph"/>
        <w:widowControl/>
        <w:numPr>
          <w:ilvl w:val="0"/>
          <w:numId w:val="1"/>
        </w:numPr>
        <w:tabs>
          <w:tab w:val="left" w:pos="709"/>
        </w:tabs>
        <w:spacing w:after="240" w:line="240" w:lineRule="auto"/>
        <w:ind w:left="0" w:firstLine="0"/>
        <w:contextualSpacing w:val="0"/>
        <w:rPr>
          <w:rFonts w:asciiTheme="minorBidi" w:eastAsia="Arial" w:hAnsiTheme="minorBidi" w:cstheme="minorBidi"/>
          <w:color w:val="000000" w:themeColor="text1"/>
        </w:rPr>
      </w:pPr>
      <w:r>
        <w:t xml:space="preserve">Предстоящие международные мероприятия, включая КС-16 КБР (Кали, ноябрь 2024 г.) и КС-29 РКИК ООН (Баку, ноябрь 2024 г.), также станут важными площадками для обсуждения и налаживания партнерских связей и внесут свой вклад в выполнение сформулированных в Барселонском заявлении рекомендаций. Было налажено тесное сотрудничество с Францией и Коста-Рикой, которые выступают в качестве организаторов Конференции Организации Объединенных Наций по океану 2025 г. (Ницца, июнь 2025 г.), с тем чтобы обеспечить использование итоговых результатов посвященной Десятилетию океана конференции 2024 г. в качестве основы для обсуждения в 2025 г. приоритетов в области научных исследований и </w:t>
      </w:r>
      <w:r>
        <w:lastRenderedPageBreak/>
        <w:t xml:space="preserve">производства знаний, а также для стимулирования активной деятельности и налаживания партнерских связей. Эта работа включает активное участие в подготовке научного конгресса </w:t>
      </w:r>
      <w:r w:rsidR="004D6875">
        <w:t>«</w:t>
      </w:r>
      <w:r>
        <w:t>Единый океан</w:t>
      </w:r>
      <w:r w:rsidR="004D6875">
        <w:t>»</w:t>
      </w:r>
      <w:r>
        <w:t xml:space="preserve"> </w:t>
      </w:r>
      <w:r w:rsidR="004D6875">
        <w:t>–</w:t>
      </w:r>
      <w:r>
        <w:t xml:space="preserve"> специального мероприятия, которое будет проведено накануне Конференции Организации Объединенных Наций по океану. </w:t>
      </w:r>
    </w:p>
    <w:p w14:paraId="6820DE20" w14:textId="77777777" w:rsidR="00B75FD6" w:rsidRPr="00D72FE0" w:rsidRDefault="00B75FD6" w:rsidP="00B75FD6">
      <w:pPr>
        <w:pStyle w:val="ListParagraph"/>
        <w:widowControl/>
        <w:numPr>
          <w:ilvl w:val="0"/>
          <w:numId w:val="1"/>
        </w:numPr>
        <w:tabs>
          <w:tab w:val="left" w:pos="709"/>
        </w:tabs>
        <w:spacing w:after="240" w:line="240" w:lineRule="auto"/>
        <w:ind w:left="0" w:firstLine="0"/>
        <w:contextualSpacing w:val="0"/>
        <w:rPr>
          <w:rFonts w:asciiTheme="minorBidi" w:eastAsia="Arial" w:hAnsiTheme="minorBidi" w:cstheme="minorBidi"/>
          <w:color w:val="000000" w:themeColor="text1"/>
        </w:rPr>
      </w:pPr>
      <w:r>
        <w:t xml:space="preserve">В 2025 г. будет пройдена уже половина пути в осуществлении Десятилетия океана. Как предусмотрено в плане осуществления Десятилетия, будет проведена его среднесрочная оценка, результаты которой будут представлены Ассамблее МОК на ее 33-й сессии в 2025 г. В ходе этой среднесрочной оценки основное внимание будет уделяться разработке рекомендаций по совершенствованию работы и повышению воздействия Десятилетия океана, при этом предлагается сделать акцент на управление и координацию, привлечение средств, воздействие на науку и политику, взаимодействие с партнерами и информационно-разъяснительную работу, а также на возможности синергетического взаимодействия с программной деятельностью МОК. В документе </w:t>
      </w:r>
      <w:hyperlink r:id="rId15" w:history="1">
        <w:r w:rsidRPr="00D72FE0">
          <w:rPr>
            <w:rStyle w:val="Hyperlink"/>
          </w:rPr>
          <w:t>IOC/EC-57/4.7.Doc(2)</w:t>
        </w:r>
      </w:hyperlink>
      <w:r>
        <w:t xml:space="preserve"> содержится концептуальный проект рамочных принципов проведения оценки, включающий предлагаемую методологию и сроки проведения.</w:t>
      </w:r>
    </w:p>
    <w:p w14:paraId="31672293" w14:textId="5D360C85" w:rsidR="00B10F71" w:rsidRPr="00B75FD6" w:rsidRDefault="00B75FD6" w:rsidP="00B75FD6">
      <w:pPr>
        <w:pStyle w:val="ListParagraph"/>
        <w:widowControl/>
        <w:numPr>
          <w:ilvl w:val="0"/>
          <w:numId w:val="1"/>
        </w:numPr>
        <w:tabs>
          <w:tab w:val="left" w:pos="709"/>
        </w:tabs>
        <w:spacing w:after="240" w:line="240" w:lineRule="auto"/>
        <w:ind w:left="0" w:firstLine="0"/>
        <w:contextualSpacing w:val="0"/>
        <w:rPr>
          <w:rFonts w:asciiTheme="minorBidi" w:hAnsiTheme="minorBidi" w:cstheme="minorBidi"/>
          <w:color w:val="000000" w:themeColor="text1"/>
        </w:rPr>
      </w:pPr>
      <w:r>
        <w:t>Следующее мероприятие в рамках трехлетней серии посвященных Десятилетию океана конференций состоится в 2027 г. В конце 2024 г. будет опубликовано обращение к государствам-членам с просьбой выразить их заинтересованность в проведении на их территории мероприятия 2027 г., а о том, какая страна в итоге выступит в качестве организатора, планируется объявить в ходе 33-й сессии Ассамблеи МОК в 2025 г.</w:t>
      </w:r>
    </w:p>
    <w:p w14:paraId="21D403BC" w14:textId="245A25C1" w:rsidR="00DF4243" w:rsidRPr="00B75FD6" w:rsidRDefault="00DF4243" w:rsidP="000826E6">
      <w:pPr>
        <w:rPr>
          <w:rFonts w:asciiTheme="minorBidi" w:hAnsiTheme="minorBidi"/>
        </w:rPr>
      </w:pPr>
    </w:p>
    <w:sectPr w:rsidR="00DF4243" w:rsidRPr="00B75FD6" w:rsidSect="0022799C">
      <w:headerReference w:type="even" r:id="rId16"/>
      <w:headerReference w:type="default" r:id="rId17"/>
      <w:headerReference w:type="first" r:id="rId18"/>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1F94F" w14:textId="77777777" w:rsidR="00DE1FA3" w:rsidRDefault="00DE1FA3" w:rsidP="00173221">
      <w:pPr>
        <w:spacing w:after="0" w:line="240" w:lineRule="auto"/>
      </w:pPr>
      <w:r>
        <w:separator/>
      </w:r>
    </w:p>
  </w:endnote>
  <w:endnote w:type="continuationSeparator" w:id="0">
    <w:p w14:paraId="6C561D97" w14:textId="77777777" w:rsidR="00DE1FA3" w:rsidRDefault="00DE1FA3" w:rsidP="00173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F7350" w14:textId="77777777" w:rsidR="00DE1FA3" w:rsidRDefault="00DE1FA3" w:rsidP="00173221">
      <w:pPr>
        <w:spacing w:after="0" w:line="240" w:lineRule="auto"/>
      </w:pPr>
      <w:r>
        <w:separator/>
      </w:r>
    </w:p>
  </w:footnote>
  <w:footnote w:type="continuationSeparator" w:id="0">
    <w:p w14:paraId="119F29E8" w14:textId="77777777" w:rsidR="00DE1FA3" w:rsidRDefault="00DE1FA3" w:rsidP="00173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A61FE" w14:textId="0C7EDBC2" w:rsidR="002D5222" w:rsidRPr="0097089C" w:rsidRDefault="00347B55">
    <w:pPr>
      <w:pStyle w:val="Header"/>
      <w:rPr>
        <w:rFonts w:ascii="Arial" w:hAnsi="Arial" w:cs="Arial"/>
        <w:sz w:val="22"/>
        <w:szCs w:val="22"/>
      </w:rPr>
    </w:pPr>
    <w:r>
      <w:rPr>
        <w:rFonts w:ascii="Arial" w:hAnsi="Arial"/>
        <w:sz w:val="22"/>
        <w:szCs w:val="22"/>
      </w:rPr>
      <w:t xml:space="preserve">IOC/EC-57/4.7.Doc(1) – page </w:t>
    </w:r>
    <w:r w:rsidR="002D5222" w:rsidRPr="002D5222">
      <w:rPr>
        <w:rFonts w:ascii="Arial" w:hAnsi="Arial" w:cs="Arial"/>
        <w:sz w:val="22"/>
        <w:szCs w:val="22"/>
      </w:rPr>
      <w:fldChar w:fldCharType="begin"/>
    </w:r>
    <w:r w:rsidR="002D5222" w:rsidRPr="002D5222">
      <w:rPr>
        <w:rFonts w:ascii="Arial" w:hAnsi="Arial" w:cs="Arial"/>
        <w:sz w:val="22"/>
        <w:szCs w:val="22"/>
      </w:rPr>
      <w:instrText xml:space="preserve"> PAGE   \* MERGEFORMAT </w:instrText>
    </w:r>
    <w:r w:rsidR="002D5222" w:rsidRPr="002D5222">
      <w:rPr>
        <w:rFonts w:ascii="Arial" w:hAnsi="Arial" w:cs="Arial"/>
        <w:sz w:val="22"/>
        <w:szCs w:val="22"/>
      </w:rPr>
      <w:fldChar w:fldCharType="separate"/>
    </w:r>
    <w:r w:rsidR="002D5222" w:rsidRPr="002D5222">
      <w:rPr>
        <w:rFonts w:ascii="Arial" w:hAnsi="Arial" w:cs="Arial"/>
        <w:sz w:val="22"/>
        <w:szCs w:val="22"/>
      </w:rPr>
      <w:t>1</w:t>
    </w:r>
    <w:r w:rsidR="002D5222" w:rsidRPr="002D5222">
      <w:rPr>
        <w:rFonts w:ascii="Arial" w:hAnsi="Arial" w:cs="Arial"/>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2546D" w14:textId="16107086" w:rsidR="000826E6" w:rsidRPr="0033641F" w:rsidRDefault="00347B55" w:rsidP="0097089C">
    <w:pPr>
      <w:pStyle w:val="Header"/>
      <w:jc w:val="right"/>
      <w:rPr>
        <w:rFonts w:ascii="Arial" w:hAnsi="Arial" w:cs="Arial"/>
        <w:sz w:val="22"/>
        <w:szCs w:val="22"/>
      </w:rPr>
    </w:pPr>
    <w:r>
      <w:rPr>
        <w:rFonts w:ascii="Arial" w:hAnsi="Arial"/>
        <w:sz w:val="22"/>
        <w:szCs w:val="22"/>
      </w:rPr>
      <w:t xml:space="preserve">IOC/EC-57/4.7.Doc(1) – page </w:t>
    </w:r>
    <w:r w:rsidR="000826E6" w:rsidRPr="002D5222">
      <w:rPr>
        <w:rFonts w:ascii="Arial" w:hAnsi="Arial" w:cs="Arial"/>
        <w:sz w:val="22"/>
        <w:szCs w:val="22"/>
      </w:rPr>
      <w:fldChar w:fldCharType="begin"/>
    </w:r>
    <w:r w:rsidR="000826E6" w:rsidRPr="002D5222">
      <w:rPr>
        <w:rFonts w:ascii="Arial" w:hAnsi="Arial" w:cs="Arial"/>
        <w:sz w:val="22"/>
        <w:szCs w:val="22"/>
      </w:rPr>
      <w:instrText xml:space="preserve"> PAGE   \* MERGEFORMAT </w:instrText>
    </w:r>
    <w:r w:rsidR="000826E6" w:rsidRPr="002D5222">
      <w:rPr>
        <w:rFonts w:ascii="Arial" w:hAnsi="Arial" w:cs="Arial"/>
        <w:sz w:val="22"/>
        <w:szCs w:val="22"/>
      </w:rPr>
      <w:fldChar w:fldCharType="separate"/>
    </w:r>
    <w:r w:rsidR="000826E6">
      <w:rPr>
        <w:rFonts w:ascii="Arial" w:hAnsi="Arial" w:cs="Arial"/>
        <w:sz w:val="22"/>
        <w:szCs w:val="22"/>
      </w:rPr>
      <w:t>2</w:t>
    </w:r>
    <w:r w:rsidR="000826E6" w:rsidRPr="002D5222">
      <w:rPr>
        <w:rFonts w:ascii="Arial" w:hAnsi="Arial" w:cs="Arial"/>
        <w:sz w:val="22"/>
        <w:szCs w:val="22"/>
      </w:rPr>
      <w:fldChar w:fldCharType="end"/>
    </w:r>
  </w:p>
  <w:p w14:paraId="410C058F" w14:textId="77777777" w:rsidR="002D5222" w:rsidRDefault="002D5222" w:rsidP="0097089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885F4" w14:textId="18221D75" w:rsidR="002D5222" w:rsidRPr="007C710A" w:rsidRDefault="002D5222" w:rsidP="00347B55">
    <w:pPr>
      <w:pStyle w:val="Marge"/>
      <w:tabs>
        <w:tab w:val="left" w:pos="5387"/>
        <w:tab w:val="left" w:pos="7560"/>
      </w:tabs>
      <w:spacing w:after="0"/>
      <w:rPr>
        <w:rFonts w:cs="Arial"/>
        <w:b/>
        <w:szCs w:val="22"/>
      </w:rPr>
    </w:pPr>
    <w:r>
      <w:t>Рассылается по списку</w:t>
    </w:r>
    <w:r>
      <w:tab/>
    </w:r>
    <w:r w:rsidRPr="00750311">
      <w:rPr>
        <w:b/>
        <w:sz w:val="32"/>
        <w:szCs w:val="32"/>
      </w:rPr>
      <w:t>IOC/EC-57/4.7.Doc(1)</w:t>
    </w:r>
  </w:p>
  <w:p w14:paraId="228FAD9D" w14:textId="77777777" w:rsidR="00B10F71" w:rsidRDefault="002D5222" w:rsidP="00347B55">
    <w:pPr>
      <w:tabs>
        <w:tab w:val="left" w:pos="5387"/>
        <w:tab w:val="left" w:pos="7560"/>
      </w:tabs>
      <w:spacing w:after="0" w:line="240" w:lineRule="auto"/>
      <w:jc w:val="both"/>
      <w:rPr>
        <w:rFonts w:asciiTheme="minorBidi" w:hAnsiTheme="minorBidi"/>
      </w:rPr>
    </w:pPr>
    <w:r>
      <w:rPr>
        <w:noProof/>
      </w:rPr>
      <w:drawing>
        <wp:anchor distT="0" distB="0" distL="114300" distR="114300" simplePos="0" relativeHeight="251658240" behindDoc="0" locked="0" layoutInCell="1" allowOverlap="1" wp14:anchorId="357B803A" wp14:editId="5DF2FBFF">
          <wp:simplePos x="0" y="0"/>
          <wp:positionH relativeFrom="column">
            <wp:posOffset>-19685</wp:posOffset>
          </wp:positionH>
          <wp:positionV relativeFrom="paragraph">
            <wp:posOffset>101600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ab/>
    </w:r>
    <w:r>
      <w:rPr>
        <w:rFonts w:asciiTheme="minorBidi" w:hAnsiTheme="minorBidi"/>
      </w:rPr>
      <w:t>Париж, 3 июня 2024 г.</w:t>
    </w:r>
  </w:p>
  <w:p w14:paraId="3445ACF5" w14:textId="7D0417EE" w:rsidR="002D5222" w:rsidRPr="002D5222" w:rsidRDefault="00B10F71" w:rsidP="00347B55">
    <w:pPr>
      <w:tabs>
        <w:tab w:val="left" w:pos="5387"/>
        <w:tab w:val="left" w:pos="7560"/>
      </w:tabs>
      <w:spacing w:after="0" w:line="240" w:lineRule="auto"/>
      <w:jc w:val="both"/>
      <w:rPr>
        <w:rFonts w:asciiTheme="minorBidi" w:hAnsiTheme="minorBidi"/>
      </w:rPr>
    </w:pPr>
    <w:r>
      <w:rPr>
        <w:rFonts w:asciiTheme="minorBidi" w:hAnsiTheme="minorBidi"/>
      </w:rPr>
      <w:tab/>
      <w:t>Оригинал: английский</w:t>
    </w:r>
  </w:p>
  <w:p w14:paraId="70090B1E" w14:textId="77777777" w:rsidR="002D5222" w:rsidRPr="004A5652" w:rsidRDefault="002D5222" w:rsidP="00347B55">
    <w:pPr>
      <w:tabs>
        <w:tab w:val="left" w:pos="-1440"/>
        <w:tab w:val="left" w:pos="-720"/>
        <w:tab w:val="left" w:pos="0"/>
        <w:tab w:val="left" w:pos="720"/>
        <w:tab w:val="left" w:pos="1440"/>
        <w:tab w:val="left" w:pos="2160"/>
        <w:tab w:val="left" w:pos="2880"/>
        <w:tab w:val="left" w:pos="3600"/>
        <w:tab w:val="left" w:pos="4320"/>
        <w:tab w:val="left" w:pos="5040"/>
        <w:tab w:val="left" w:pos="5245"/>
        <w:tab w:val="left" w:pos="5387"/>
        <w:tab w:val="left" w:pos="5523"/>
        <w:tab w:val="left" w:pos="5812"/>
        <w:tab w:val="left" w:pos="7020"/>
        <w:tab w:val="left" w:pos="7088"/>
      </w:tabs>
      <w:jc w:val="both"/>
      <w:rPr>
        <w:rFonts w:asciiTheme="minorBidi" w:hAnsiTheme="minorBidi"/>
        <w:b/>
      </w:rPr>
    </w:pPr>
  </w:p>
  <w:p w14:paraId="25FC6F1E" w14:textId="77777777" w:rsidR="002D5222" w:rsidRPr="004A5652"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603F970E" w14:textId="77777777" w:rsidR="002D5222" w:rsidRPr="004A5652"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5017C654" w14:textId="77777777" w:rsidR="002D5222" w:rsidRPr="004A5652"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3B207429"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
      </w:rPr>
    </w:pPr>
    <w:r>
      <w:rPr>
        <w:rFonts w:asciiTheme="minorBidi" w:hAnsiTheme="minorBidi"/>
        <w:b/>
      </w:rPr>
      <w:t>МЕЖПРАВИТЕЛЬСТВЕННАЯ ОКЕАНОГРАФИЧЕСКАЯ КОМИССИЯ</w:t>
    </w:r>
  </w:p>
  <w:p w14:paraId="67151518"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Cs/>
      </w:rPr>
    </w:pPr>
    <w:r>
      <w:rPr>
        <w:rFonts w:asciiTheme="minorBidi" w:hAnsiTheme="minorBidi"/>
        <w:bCs/>
      </w:rPr>
      <w:t>(ЮНЕСКО)</w:t>
    </w:r>
  </w:p>
  <w:p w14:paraId="2ED72F82" w14:textId="77777777" w:rsidR="002D5222" w:rsidRPr="004A5652" w:rsidRDefault="002D5222" w:rsidP="002D5222">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rPr>
    </w:pPr>
  </w:p>
  <w:p w14:paraId="061BBF8B" w14:textId="77777777" w:rsidR="00347B55" w:rsidRPr="00347B55" w:rsidRDefault="00347B55" w:rsidP="00347B55">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rPr>
    </w:pPr>
    <w:r>
      <w:rPr>
        <w:rFonts w:asciiTheme="minorBidi" w:hAnsiTheme="minorBidi"/>
        <w:b/>
      </w:rPr>
      <w:t>Пятьдесят седьмая сессия Исполнительного совета</w:t>
    </w:r>
  </w:p>
  <w:p w14:paraId="756CC45E" w14:textId="718FFAC7" w:rsidR="002D5222" w:rsidRPr="00347B55" w:rsidRDefault="00347B55" w:rsidP="00347B55">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Cs/>
      </w:rPr>
    </w:pPr>
    <w:r>
      <w:rPr>
        <w:rFonts w:asciiTheme="minorBidi" w:hAnsiTheme="minorBidi"/>
        <w:bCs/>
      </w:rPr>
      <w:t>ЮНЕСКО, Париж, 25-28 июня 2024 г.</w:t>
    </w:r>
  </w:p>
  <w:p w14:paraId="68B63106" w14:textId="77777777" w:rsidR="002D5222" w:rsidRPr="004A5652" w:rsidRDefault="002D5222" w:rsidP="002D5222">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jc w:val="center"/>
      <w:rPr>
        <w:rFonts w:asciiTheme="minorBidi" w:hAnsiTheme="minorBidi"/>
        <w:bCs/>
      </w:rPr>
    </w:pPr>
  </w:p>
  <w:p w14:paraId="30839C28" w14:textId="77777777" w:rsidR="002D5222" w:rsidRPr="004A5652" w:rsidRDefault="002D5222" w:rsidP="002D5222">
    <w:pPr>
      <w:spacing w:after="0" w:line="240" w:lineRule="auto"/>
      <w:jc w:val="center"/>
      <w:rPr>
        <w:rFonts w:asciiTheme="minorBidi" w:hAnsiTheme="minorBidi"/>
      </w:rPr>
    </w:pPr>
  </w:p>
  <w:p w14:paraId="440A705D" w14:textId="77777777" w:rsidR="002D5222" w:rsidRPr="004A5652" w:rsidRDefault="002D5222" w:rsidP="002D5222">
    <w:pPr>
      <w:spacing w:after="0" w:line="240" w:lineRule="auto"/>
      <w:jc w:val="center"/>
      <w:rPr>
        <w:rFonts w:asciiTheme="minorBidi" w:hAnsiTheme="minorBidi"/>
      </w:rPr>
    </w:pPr>
  </w:p>
  <w:p w14:paraId="5F8584B6" w14:textId="77777777" w:rsidR="002D5222" w:rsidRPr="004A5652" w:rsidRDefault="002D5222" w:rsidP="002D5222">
    <w:pPr>
      <w:spacing w:after="0" w:line="240" w:lineRule="auto"/>
      <w:jc w:val="center"/>
      <w:rPr>
        <w:rFonts w:asciiTheme="minorBidi" w:hAnsiTheme="minorBidi"/>
      </w:rPr>
    </w:pPr>
  </w:p>
  <w:p w14:paraId="7F816350" w14:textId="77777777" w:rsidR="002D5222" w:rsidRPr="004A5652" w:rsidRDefault="002D5222" w:rsidP="002D5222">
    <w:pPr>
      <w:spacing w:after="0" w:line="240" w:lineRule="auto"/>
      <w:jc w:val="center"/>
      <w:rPr>
        <w:rFonts w:cs="Arial"/>
      </w:rPr>
    </w:pPr>
  </w:p>
  <w:p w14:paraId="21CBF9BD" w14:textId="0CB3551F" w:rsidR="002D5222" w:rsidRPr="00655F5E" w:rsidRDefault="002D5222" w:rsidP="002D5222">
    <w:pPr>
      <w:pStyle w:val="Heading7"/>
      <w:tabs>
        <w:tab w:val="clear" w:pos="567"/>
        <w:tab w:val="right" w:pos="9540"/>
      </w:tabs>
      <w:spacing w:line="240" w:lineRule="auto"/>
      <w:rPr>
        <w:rFonts w:asciiTheme="minorBidi" w:hAnsiTheme="minorBidi" w:cstheme="minorBidi"/>
        <w:szCs w:val="22"/>
      </w:rPr>
    </w:pPr>
    <w:r>
      <w:rPr>
        <w:rFonts w:asciiTheme="minorBidi" w:hAnsiTheme="minorBidi"/>
        <w:sz w:val="24"/>
      </w:rPr>
      <w:t xml:space="preserve">Пункт </w:t>
    </w:r>
    <w:r>
      <w:rPr>
        <w:rFonts w:asciiTheme="minorBidi" w:hAnsiTheme="minorBidi"/>
        <w:b/>
        <w:sz w:val="24"/>
      </w:rPr>
      <w:t>4.7</w:t>
    </w:r>
    <w:r>
      <w:rPr>
        <w:rFonts w:asciiTheme="minorBidi" w:hAnsiTheme="minorBidi"/>
        <w:sz w:val="24"/>
      </w:rPr>
      <w:t xml:space="preserve"> предварительной повестки дня</w:t>
    </w:r>
  </w:p>
  <w:p w14:paraId="29387CF0" w14:textId="77777777" w:rsidR="002D5222" w:rsidRPr="004A5652" w:rsidRDefault="002D5222" w:rsidP="002D5222">
    <w:pPr>
      <w:spacing w:after="0" w:line="240" w:lineRule="auto"/>
      <w:rPr>
        <w:rFonts w:cs="Arial"/>
      </w:rPr>
    </w:pPr>
  </w:p>
  <w:p w14:paraId="771DBC48" w14:textId="77777777" w:rsidR="002D5222" w:rsidRPr="004A5652" w:rsidRDefault="002D5222" w:rsidP="002D5222">
    <w:pPr>
      <w:spacing w:after="0" w:line="240" w:lineRule="auto"/>
      <w:rPr>
        <w:rFonts w:cs="Arial"/>
      </w:rPr>
    </w:pPr>
  </w:p>
  <w:p w14:paraId="4ACCFFBB" w14:textId="3BD0F736" w:rsidR="002D5222" w:rsidRPr="00D82E72" w:rsidRDefault="002D5222" w:rsidP="002D5222">
    <w:pPr>
      <w:pStyle w:val="Docheading"/>
      <w:rPr>
        <w:sz w:val="28"/>
        <w:szCs w:val="28"/>
      </w:rPr>
    </w:pPr>
    <w:r w:rsidRPr="00D82E72">
      <w:rPr>
        <w:sz w:val="28"/>
        <w:szCs w:val="28"/>
      </w:rPr>
      <w:t>Х</w:t>
    </w:r>
    <w:r w:rsidR="00D82E72" w:rsidRPr="00D82E72">
      <w:rPr>
        <w:caps w:val="0"/>
        <w:sz w:val="28"/>
        <w:szCs w:val="28"/>
      </w:rPr>
      <w:t xml:space="preserve">од проведения </w:t>
    </w:r>
    <w:r w:rsidR="00D82E72">
      <w:rPr>
        <w:caps w:val="0"/>
        <w:sz w:val="28"/>
        <w:szCs w:val="28"/>
      </w:rPr>
      <w:t>Д</w:t>
    </w:r>
    <w:r w:rsidR="00D82E72" w:rsidRPr="00D82E72">
      <w:rPr>
        <w:caps w:val="0"/>
        <w:sz w:val="28"/>
        <w:szCs w:val="28"/>
      </w:rPr>
      <w:t xml:space="preserve">есятилетия </w:t>
    </w:r>
    <w:r w:rsidR="00D82E72">
      <w:rPr>
        <w:caps w:val="0"/>
        <w:sz w:val="28"/>
        <w:szCs w:val="28"/>
      </w:rPr>
      <w:t>О</w:t>
    </w:r>
    <w:r w:rsidR="00D82E72" w:rsidRPr="00D82E72">
      <w:rPr>
        <w:caps w:val="0"/>
        <w:sz w:val="28"/>
        <w:szCs w:val="28"/>
      </w:rPr>
      <w:t xml:space="preserve">рганизации </w:t>
    </w:r>
    <w:r w:rsidR="00D82E72">
      <w:rPr>
        <w:caps w:val="0"/>
        <w:sz w:val="28"/>
        <w:szCs w:val="28"/>
      </w:rPr>
      <w:t>О</w:t>
    </w:r>
    <w:r w:rsidR="00D82E72" w:rsidRPr="00D82E72">
      <w:rPr>
        <w:caps w:val="0"/>
        <w:sz w:val="28"/>
        <w:szCs w:val="28"/>
      </w:rPr>
      <w:t xml:space="preserve">бъединенных </w:t>
    </w:r>
    <w:r w:rsidR="00D82E72">
      <w:rPr>
        <w:caps w:val="0"/>
        <w:sz w:val="28"/>
        <w:szCs w:val="28"/>
      </w:rPr>
      <w:t>Н</w:t>
    </w:r>
    <w:r w:rsidR="00D82E72" w:rsidRPr="00D82E72">
      <w:rPr>
        <w:caps w:val="0"/>
        <w:sz w:val="28"/>
        <w:szCs w:val="28"/>
      </w:rPr>
      <w:t>аций, посвященного науке об океане в интересах устойчивого развития,</w:t>
    </w:r>
    <w:r w:rsidR="00D82E72">
      <w:rPr>
        <w:caps w:val="0"/>
        <w:sz w:val="28"/>
        <w:szCs w:val="28"/>
      </w:rPr>
      <w:br/>
    </w:r>
    <w:r w:rsidR="00D82E72" w:rsidRPr="00D82E72">
      <w:rPr>
        <w:caps w:val="0"/>
        <w:sz w:val="28"/>
        <w:szCs w:val="28"/>
      </w:rPr>
      <w:t>и прогноз на 2024 г.</w:t>
    </w:r>
  </w:p>
  <w:p w14:paraId="51AC81AA" w14:textId="77777777" w:rsidR="002D5222" w:rsidRDefault="002D5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F2FF8"/>
    <w:multiLevelType w:val="hybridMultilevel"/>
    <w:tmpl w:val="E0CEB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A021B8"/>
    <w:multiLevelType w:val="hybridMultilevel"/>
    <w:tmpl w:val="E8A22762"/>
    <w:lvl w:ilvl="0" w:tplc="DC901E68">
      <w:start w:val="25"/>
      <w:numFmt w:val="bullet"/>
      <w:lvlText w:val="-"/>
      <w:lvlJc w:val="left"/>
      <w:pPr>
        <w:ind w:left="720" w:hanging="360"/>
      </w:pPr>
      <w:rPr>
        <w:rFonts w:ascii="Calibri" w:eastAsia="DengXi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3"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281370">
    <w:abstractNumId w:val="2"/>
  </w:num>
  <w:num w:numId="2" w16cid:durableId="309748032">
    <w:abstractNumId w:val="3"/>
  </w:num>
  <w:num w:numId="3" w16cid:durableId="2146041997">
    <w:abstractNumId w:val="1"/>
  </w:num>
  <w:num w:numId="4" w16cid:durableId="815613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autoHyphenation/>
  <w:hyphenationZone w:val="425"/>
  <w:doNotHyphenateCaps/>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D1"/>
    <w:rsid w:val="000062A3"/>
    <w:rsid w:val="000159BC"/>
    <w:rsid w:val="0002318A"/>
    <w:rsid w:val="00026ED6"/>
    <w:rsid w:val="000331D1"/>
    <w:rsid w:val="000411B6"/>
    <w:rsid w:val="0006399B"/>
    <w:rsid w:val="00064E3A"/>
    <w:rsid w:val="00065B6E"/>
    <w:rsid w:val="0007098F"/>
    <w:rsid w:val="000826E6"/>
    <w:rsid w:val="000904F9"/>
    <w:rsid w:val="00093C49"/>
    <w:rsid w:val="000C3BC0"/>
    <w:rsid w:val="000C495E"/>
    <w:rsid w:val="000F050F"/>
    <w:rsid w:val="000F28C2"/>
    <w:rsid w:val="000F6218"/>
    <w:rsid w:val="001011D5"/>
    <w:rsid w:val="00142FB6"/>
    <w:rsid w:val="00161557"/>
    <w:rsid w:val="00173221"/>
    <w:rsid w:val="0019685E"/>
    <w:rsid w:val="001B0854"/>
    <w:rsid w:val="001C6842"/>
    <w:rsid w:val="001D7805"/>
    <w:rsid w:val="001F4025"/>
    <w:rsid w:val="001F556F"/>
    <w:rsid w:val="00204000"/>
    <w:rsid w:val="00222D38"/>
    <w:rsid w:val="0022799C"/>
    <w:rsid w:val="00270226"/>
    <w:rsid w:val="002704AD"/>
    <w:rsid w:val="002807A1"/>
    <w:rsid w:val="0028179F"/>
    <w:rsid w:val="002B0447"/>
    <w:rsid w:val="002D5222"/>
    <w:rsid w:val="00305585"/>
    <w:rsid w:val="00330181"/>
    <w:rsid w:val="00347B55"/>
    <w:rsid w:val="00363E22"/>
    <w:rsid w:val="00365312"/>
    <w:rsid w:val="003658EF"/>
    <w:rsid w:val="003C311B"/>
    <w:rsid w:val="003E022C"/>
    <w:rsid w:val="003E1F00"/>
    <w:rsid w:val="003F71BA"/>
    <w:rsid w:val="00410CFA"/>
    <w:rsid w:val="00413F03"/>
    <w:rsid w:val="00436A12"/>
    <w:rsid w:val="00491113"/>
    <w:rsid w:val="00491E43"/>
    <w:rsid w:val="004A5652"/>
    <w:rsid w:val="004A6807"/>
    <w:rsid w:val="004D6875"/>
    <w:rsid w:val="004F25B2"/>
    <w:rsid w:val="0051621F"/>
    <w:rsid w:val="00540A0B"/>
    <w:rsid w:val="005A7359"/>
    <w:rsid w:val="005B5E7B"/>
    <w:rsid w:val="005C5A42"/>
    <w:rsid w:val="005D6B3D"/>
    <w:rsid w:val="005E0D2A"/>
    <w:rsid w:val="00607ABE"/>
    <w:rsid w:val="00640D9E"/>
    <w:rsid w:val="006458A6"/>
    <w:rsid w:val="00653225"/>
    <w:rsid w:val="00665260"/>
    <w:rsid w:val="00686433"/>
    <w:rsid w:val="00690010"/>
    <w:rsid w:val="00690765"/>
    <w:rsid w:val="006C0522"/>
    <w:rsid w:val="006C7C5B"/>
    <w:rsid w:val="006D478F"/>
    <w:rsid w:val="006E5BD9"/>
    <w:rsid w:val="006E6AB9"/>
    <w:rsid w:val="00750311"/>
    <w:rsid w:val="00774583"/>
    <w:rsid w:val="00787BA3"/>
    <w:rsid w:val="007903FA"/>
    <w:rsid w:val="007A3D05"/>
    <w:rsid w:val="007D27D1"/>
    <w:rsid w:val="007D49D8"/>
    <w:rsid w:val="007D5C47"/>
    <w:rsid w:val="007E3CD1"/>
    <w:rsid w:val="007E5ED7"/>
    <w:rsid w:val="007F39CA"/>
    <w:rsid w:val="008022D1"/>
    <w:rsid w:val="008163A1"/>
    <w:rsid w:val="00821B0F"/>
    <w:rsid w:val="008470B5"/>
    <w:rsid w:val="00871FA2"/>
    <w:rsid w:val="00881E04"/>
    <w:rsid w:val="008837E6"/>
    <w:rsid w:val="008B6778"/>
    <w:rsid w:val="008C0037"/>
    <w:rsid w:val="008C1661"/>
    <w:rsid w:val="008D2BEC"/>
    <w:rsid w:val="009259B9"/>
    <w:rsid w:val="00951CD7"/>
    <w:rsid w:val="00963329"/>
    <w:rsid w:val="0097089C"/>
    <w:rsid w:val="00983B66"/>
    <w:rsid w:val="009873AA"/>
    <w:rsid w:val="009C6AE3"/>
    <w:rsid w:val="009D263F"/>
    <w:rsid w:val="009D2665"/>
    <w:rsid w:val="009D4091"/>
    <w:rsid w:val="009F000D"/>
    <w:rsid w:val="00A068F2"/>
    <w:rsid w:val="00A25A08"/>
    <w:rsid w:val="00A44DEC"/>
    <w:rsid w:val="00A51998"/>
    <w:rsid w:val="00A7534D"/>
    <w:rsid w:val="00A9344F"/>
    <w:rsid w:val="00A96D7F"/>
    <w:rsid w:val="00AC09FF"/>
    <w:rsid w:val="00AD7731"/>
    <w:rsid w:val="00B00804"/>
    <w:rsid w:val="00B10F71"/>
    <w:rsid w:val="00B116D8"/>
    <w:rsid w:val="00B224B1"/>
    <w:rsid w:val="00B34D93"/>
    <w:rsid w:val="00B354BC"/>
    <w:rsid w:val="00B56FE0"/>
    <w:rsid w:val="00B60A18"/>
    <w:rsid w:val="00B75FD6"/>
    <w:rsid w:val="00B93E7B"/>
    <w:rsid w:val="00B97710"/>
    <w:rsid w:val="00BB0795"/>
    <w:rsid w:val="00BB1C4E"/>
    <w:rsid w:val="00BD3E2F"/>
    <w:rsid w:val="00BE30D2"/>
    <w:rsid w:val="00C0178C"/>
    <w:rsid w:val="00C319E6"/>
    <w:rsid w:val="00C565F6"/>
    <w:rsid w:val="00C577BB"/>
    <w:rsid w:val="00C76CF2"/>
    <w:rsid w:val="00C801DE"/>
    <w:rsid w:val="00C806B9"/>
    <w:rsid w:val="00CB17C6"/>
    <w:rsid w:val="00CB66AB"/>
    <w:rsid w:val="00D0494D"/>
    <w:rsid w:val="00D10237"/>
    <w:rsid w:val="00D26A3A"/>
    <w:rsid w:val="00D4773B"/>
    <w:rsid w:val="00D82E72"/>
    <w:rsid w:val="00D96D82"/>
    <w:rsid w:val="00DA27C5"/>
    <w:rsid w:val="00DE1FA3"/>
    <w:rsid w:val="00DE689C"/>
    <w:rsid w:val="00DF4243"/>
    <w:rsid w:val="00DF4B42"/>
    <w:rsid w:val="00E047C7"/>
    <w:rsid w:val="00E206A5"/>
    <w:rsid w:val="00E262C3"/>
    <w:rsid w:val="00E42C80"/>
    <w:rsid w:val="00E63415"/>
    <w:rsid w:val="00E825CC"/>
    <w:rsid w:val="00E97DCA"/>
    <w:rsid w:val="00EA15EC"/>
    <w:rsid w:val="00EA4DBA"/>
    <w:rsid w:val="00EA77AF"/>
    <w:rsid w:val="00EA7830"/>
    <w:rsid w:val="00EC610E"/>
    <w:rsid w:val="00ED78D9"/>
    <w:rsid w:val="00EE2DF0"/>
    <w:rsid w:val="00F036D1"/>
    <w:rsid w:val="00F10629"/>
    <w:rsid w:val="00F16192"/>
    <w:rsid w:val="00F308AB"/>
    <w:rsid w:val="00F37FA1"/>
    <w:rsid w:val="00F726DC"/>
    <w:rsid w:val="00F93256"/>
    <w:rsid w:val="00FA1DFF"/>
    <w:rsid w:val="00FF21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DAAEB"/>
  <w15:chartTrackingRefBased/>
  <w15:docId w15:val="{D6D6BA5A-C928-413D-ADC3-7F7DAE24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2D5222"/>
    <w:pPr>
      <w:keepNext/>
      <w:tabs>
        <w:tab w:val="left" w:pos="567"/>
      </w:tabs>
      <w:snapToGrid w:val="0"/>
      <w:spacing w:after="0" w:line="360" w:lineRule="atLeast"/>
      <w:outlineLvl w:val="6"/>
    </w:pPr>
    <w:rPr>
      <w:rFonts w:ascii="Arial" w:eastAsia="Times New Roman" w:hAnsi="Arial" w:cs="Times New Roman"/>
      <w:snapToGrid w:val="0"/>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E3CD1"/>
    <w:rPr>
      <w:color w:val="0000FF"/>
      <w:u w:val="single"/>
    </w:rPr>
  </w:style>
  <w:style w:type="paragraph" w:styleId="ListParagraph">
    <w:name w:val="List Paragraph"/>
    <w:basedOn w:val="Normal"/>
    <w:link w:val="ListParagraphChar"/>
    <w:uiPriority w:val="34"/>
    <w:qFormat/>
    <w:rsid w:val="007E3CD1"/>
    <w:pPr>
      <w:widowControl w:val="0"/>
      <w:tabs>
        <w:tab w:val="left" w:pos="567"/>
      </w:tabs>
      <w:adjustRightInd w:val="0"/>
      <w:snapToGrid w:val="0"/>
      <w:spacing w:after="0" w:line="360" w:lineRule="atLeast"/>
      <w:ind w:left="720"/>
      <w:contextualSpacing/>
      <w:jc w:val="both"/>
      <w:textAlignment w:val="baseline"/>
    </w:pPr>
    <w:rPr>
      <w:rFonts w:ascii="Arial" w:eastAsia="Times New Roman" w:hAnsi="Arial" w:cs="Times New Roman"/>
      <w:snapToGrid w:val="0"/>
      <w:szCs w:val="24"/>
      <w:lang w:eastAsia="en-US"/>
    </w:rPr>
  </w:style>
  <w:style w:type="character" w:customStyle="1" w:styleId="ListParagraphChar">
    <w:name w:val="List Paragraph Char"/>
    <w:link w:val="ListParagraph"/>
    <w:uiPriority w:val="34"/>
    <w:locked/>
    <w:rsid w:val="007E3CD1"/>
    <w:rPr>
      <w:rFonts w:ascii="Arial" w:eastAsia="Times New Roman" w:hAnsi="Arial" w:cs="Times New Roman"/>
      <w:snapToGrid w:val="0"/>
      <w:szCs w:val="24"/>
      <w:lang w:val="ru-RU" w:eastAsia="en-US"/>
    </w:rPr>
  </w:style>
  <w:style w:type="paragraph" w:customStyle="1" w:styleId="Style2">
    <w:name w:val="Style2"/>
    <w:basedOn w:val="Normal"/>
    <w:link w:val="Style2Car"/>
    <w:qFormat/>
    <w:rsid w:val="009873AA"/>
    <w:pPr>
      <w:shd w:val="clear" w:color="auto" w:fill="FFFFFF"/>
      <w:tabs>
        <w:tab w:val="num" w:pos="1400"/>
      </w:tabs>
      <w:spacing w:after="240" w:line="240" w:lineRule="auto"/>
      <w:ind w:left="720"/>
      <w:jc w:val="both"/>
    </w:pPr>
    <w:rPr>
      <w:rFonts w:ascii="Arial" w:eastAsia="Times New Roman" w:hAnsi="Arial" w:cs="Times New Roman"/>
      <w:iCs/>
      <w:snapToGrid w:val="0"/>
      <w:lang w:eastAsia="en-US"/>
    </w:rPr>
  </w:style>
  <w:style w:type="character" w:customStyle="1" w:styleId="Style2Car">
    <w:name w:val="Style2 Car"/>
    <w:basedOn w:val="DefaultParagraphFont"/>
    <w:link w:val="Style2"/>
    <w:rsid w:val="009873AA"/>
    <w:rPr>
      <w:rFonts w:ascii="Arial" w:eastAsia="Times New Roman" w:hAnsi="Arial" w:cs="Times New Roman"/>
      <w:iCs/>
      <w:snapToGrid w:val="0"/>
      <w:shd w:val="clear" w:color="auto" w:fill="FFFFFF"/>
      <w:lang w:val="ru-RU" w:eastAsia="en-US"/>
    </w:rPr>
  </w:style>
  <w:style w:type="paragraph" w:styleId="Header">
    <w:name w:val="header"/>
    <w:basedOn w:val="Normal"/>
    <w:link w:val="HeaderChar"/>
    <w:uiPriority w:val="99"/>
    <w:rsid w:val="00E047C7"/>
    <w:pPr>
      <w:tabs>
        <w:tab w:val="left" w:pos="567"/>
        <w:tab w:val="center" w:pos="4153"/>
        <w:tab w:val="right" w:pos="8306"/>
      </w:tabs>
      <w:snapToGrid w:val="0"/>
      <w:spacing w:after="0" w:line="240" w:lineRule="auto"/>
    </w:pPr>
    <w:rPr>
      <w:rFonts w:ascii="Times New Roman" w:eastAsia="Times New Roman" w:hAnsi="Times New Roman" w:cs="Times New Roman"/>
      <w:snapToGrid w:val="0"/>
      <w:sz w:val="24"/>
      <w:szCs w:val="24"/>
      <w:lang w:eastAsia="en-US"/>
    </w:rPr>
  </w:style>
  <w:style w:type="character" w:customStyle="1" w:styleId="HeaderChar">
    <w:name w:val="Header Char"/>
    <w:basedOn w:val="DefaultParagraphFont"/>
    <w:link w:val="Header"/>
    <w:uiPriority w:val="99"/>
    <w:rsid w:val="00E047C7"/>
    <w:rPr>
      <w:rFonts w:ascii="Times New Roman" w:eastAsia="Times New Roman" w:hAnsi="Times New Roman" w:cs="Times New Roman"/>
      <w:snapToGrid w:val="0"/>
      <w:sz w:val="24"/>
      <w:szCs w:val="24"/>
      <w:lang w:val="ru-RU" w:eastAsia="en-US"/>
    </w:rPr>
  </w:style>
  <w:style w:type="paragraph" w:styleId="Footer">
    <w:name w:val="footer"/>
    <w:basedOn w:val="Normal"/>
    <w:link w:val="FooterChar"/>
    <w:uiPriority w:val="99"/>
    <w:unhideWhenUsed/>
    <w:rsid w:val="001732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3221"/>
  </w:style>
  <w:style w:type="table" w:styleId="TableGrid">
    <w:name w:val="Table Grid"/>
    <w:basedOn w:val="TableNormal"/>
    <w:rsid w:val="0017322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2D5222"/>
    <w:rPr>
      <w:rFonts w:ascii="Arial" w:eastAsia="Times New Roman" w:hAnsi="Arial" w:cs="Times New Roman"/>
      <w:snapToGrid w:val="0"/>
      <w:szCs w:val="24"/>
      <w:u w:val="single"/>
      <w:lang w:val="ru-RU" w:eastAsia="en-US"/>
    </w:rPr>
  </w:style>
  <w:style w:type="paragraph" w:customStyle="1" w:styleId="Marge">
    <w:name w:val="Marge"/>
    <w:basedOn w:val="Normal"/>
    <w:link w:val="MargeChar"/>
    <w:uiPriority w:val="99"/>
    <w:rsid w:val="002D5222"/>
    <w:pPr>
      <w:tabs>
        <w:tab w:val="left" w:pos="567"/>
      </w:tabs>
      <w:snapToGrid w:val="0"/>
      <w:spacing w:after="240" w:line="240" w:lineRule="auto"/>
      <w:jc w:val="both"/>
    </w:pPr>
    <w:rPr>
      <w:rFonts w:ascii="Arial" w:eastAsia="Times New Roman" w:hAnsi="Arial" w:cs="Times New Roman"/>
      <w:snapToGrid w:val="0"/>
      <w:szCs w:val="24"/>
      <w:lang w:eastAsia="en-US"/>
    </w:rPr>
  </w:style>
  <w:style w:type="paragraph" w:customStyle="1" w:styleId="Docheading">
    <w:name w:val="Doc. heading"/>
    <w:basedOn w:val="Header"/>
    <w:rsid w:val="002D5222"/>
    <w:pPr>
      <w:spacing w:after="480"/>
      <w:jc w:val="center"/>
    </w:pPr>
    <w:rPr>
      <w:rFonts w:ascii="Arial" w:hAnsi="Arial" w:cs="Arial"/>
      <w:b/>
      <w:bCs/>
      <w:caps/>
    </w:rPr>
  </w:style>
  <w:style w:type="character" w:customStyle="1" w:styleId="MargeChar">
    <w:name w:val="Marge Char"/>
    <w:basedOn w:val="DefaultParagraphFont"/>
    <w:link w:val="Marge"/>
    <w:uiPriority w:val="99"/>
    <w:rsid w:val="002D5222"/>
    <w:rPr>
      <w:rFonts w:ascii="Arial" w:eastAsia="Times New Roman" w:hAnsi="Arial" w:cs="Times New Roman"/>
      <w:snapToGrid w:val="0"/>
      <w:szCs w:val="24"/>
      <w:lang w:val="ru-RU" w:eastAsia="en-US"/>
    </w:rPr>
  </w:style>
  <w:style w:type="paragraph" w:styleId="Revision">
    <w:name w:val="Revision"/>
    <w:hidden/>
    <w:uiPriority w:val="99"/>
    <w:semiHidden/>
    <w:rsid w:val="002D5222"/>
    <w:pPr>
      <w:spacing w:after="0" w:line="240" w:lineRule="auto"/>
    </w:pPr>
  </w:style>
  <w:style w:type="character" w:styleId="UnresolvedMention">
    <w:name w:val="Unresolved Mention"/>
    <w:basedOn w:val="DefaultParagraphFont"/>
    <w:uiPriority w:val="99"/>
    <w:semiHidden/>
    <w:unhideWhenUsed/>
    <w:rsid w:val="000826E6"/>
    <w:rPr>
      <w:color w:val="605E5C"/>
      <w:shd w:val="clear" w:color="auto" w:fill="E1DFDD"/>
    </w:rPr>
  </w:style>
  <w:style w:type="paragraph" w:styleId="BalloonText">
    <w:name w:val="Balloon Text"/>
    <w:basedOn w:val="Normal"/>
    <w:link w:val="BalloonTextChar"/>
    <w:uiPriority w:val="99"/>
    <w:semiHidden/>
    <w:unhideWhenUsed/>
    <w:rsid w:val="00A519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199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363E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785957">
      <w:bodyDiv w:val="1"/>
      <w:marLeft w:val="0"/>
      <w:marRight w:val="0"/>
      <w:marTop w:val="0"/>
      <w:marBottom w:val="0"/>
      <w:divBdr>
        <w:top w:val="none" w:sz="0" w:space="0" w:color="auto"/>
        <w:left w:val="none" w:sz="0" w:space="0" w:color="auto"/>
        <w:bottom w:val="none" w:sz="0" w:space="0" w:color="auto"/>
        <w:right w:val="none" w:sz="0" w:space="0" w:color="auto"/>
      </w:divBdr>
    </w:div>
    <w:div w:id="1276669828">
      <w:bodyDiv w:val="1"/>
      <w:marLeft w:val="0"/>
      <w:marRight w:val="0"/>
      <w:marTop w:val="0"/>
      <w:marBottom w:val="0"/>
      <w:divBdr>
        <w:top w:val="none" w:sz="0" w:space="0" w:color="auto"/>
        <w:left w:val="none" w:sz="0" w:space="0" w:color="auto"/>
        <w:bottom w:val="none" w:sz="0" w:space="0" w:color="auto"/>
        <w:right w:val="none" w:sz="0" w:space="0" w:color="auto"/>
      </w:divBdr>
    </w:div>
    <w:div w:id="1472332461">
      <w:bodyDiv w:val="1"/>
      <w:marLeft w:val="0"/>
      <w:marRight w:val="0"/>
      <w:marTop w:val="0"/>
      <w:marBottom w:val="0"/>
      <w:divBdr>
        <w:top w:val="none" w:sz="0" w:space="0" w:color="auto"/>
        <w:left w:val="none" w:sz="0" w:space="0" w:color="auto"/>
        <w:bottom w:val="none" w:sz="0" w:space="0" w:color="auto"/>
        <w:right w:val="none" w:sz="0" w:space="0" w:color="auto"/>
      </w:divBdr>
    </w:div>
    <w:div w:id="158448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0144.locale=en" TargetMode="External"/><Relationship Id="rId13" Type="http://schemas.openxmlformats.org/officeDocument/2006/relationships/hyperlink" Target="https://oceandecade.org/news/monaco-statement-reinforces-the-voices-of-philanthropic-community-in-global-ocean-action/"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esdoc.unesco.org/ark:/48223/pf0000381488.locale=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0382" TargetMode="External"/><Relationship Id="rId5" Type="http://schemas.openxmlformats.org/officeDocument/2006/relationships/webSettings" Target="webSettings.xml"/><Relationship Id="rId15" Type="http://schemas.openxmlformats.org/officeDocument/2006/relationships/hyperlink" Target="https://oceanexpert.org/document/34517" TargetMode="External"/><Relationship Id="rId10" Type="http://schemas.openxmlformats.org/officeDocument/2006/relationships/hyperlink" Target="https://unesdoc.unesco.org/ark:/48223/pf0000379465.locale=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esdoc.unesco.org/ark:/48223/pf0000375002.locale=en" TargetMode="External"/><Relationship Id="rId14" Type="http://schemas.openxmlformats.org/officeDocument/2006/relationships/hyperlink" Target="https://oceandecade.org/news/barcelona-statement-identifies-the-priority-areas-of-action-for-the-ocean-decade-in-coming-year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22B18-C2C1-4125-8186-E941AEF997B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4645</Words>
  <Characters>26483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31066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 проведения Десятилетия Организации Объединенных Наций, посвященного науке об океане в интересах устойчивого развития,_x000d_
и прогноз на 2024 г.</dc:title>
  <dc:subject>IOC/EC-57/4.7.Doc(1)</dc:subject>
  <dc:creator>Clausen, Alison</dc:creator>
  <cp:keywords>0</cp:keywords>
  <dc:description/>
  <cp:lastModifiedBy>Boned, Patrice</cp:lastModifiedBy>
  <cp:revision>2</cp:revision>
  <cp:lastPrinted>2024-05-15T15:29:00Z</cp:lastPrinted>
  <dcterms:created xsi:type="dcterms:W3CDTF">2024-06-18T17:50:00Z</dcterms:created>
  <dcterms:modified xsi:type="dcterms:W3CDTF">2024-06-18T17:50:00Z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2402844</vt:lpwstr>
  </property>
  <property fmtid="{D5CDD505-2E9C-101B-9397-08002B2CF9AE}" pid="3" name="Language">
    <vt:lpwstr>R</vt:lpwstr>
  </property>
</Properties>
</file>