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C6F15" w14:textId="77777777" w:rsidR="00EB3895" w:rsidRDefault="00EB3895" w:rsidP="00EB3895">
      <w:pPr>
        <w:pStyle w:val="Titre1"/>
        <w:spacing w:before="480"/>
        <w:jc w:val="left"/>
      </w:pPr>
    </w:p>
    <w:p w14:paraId="748272EF" w14:textId="435004E9" w:rsidR="00EB3895" w:rsidRPr="00EB3895" w:rsidRDefault="00EB3895" w:rsidP="00FD078F">
      <w:pPr>
        <w:pStyle w:val="Titre1"/>
        <w:spacing w:before="1680" w:after="0"/>
      </w:pPr>
      <w:bookmarkStart w:id="0" w:name="_Toc170139289"/>
      <w:r w:rsidRPr="00EB3895">
        <w:t xml:space="preserve">COMMISSION OCÉANOGRAPHIQUE </w:t>
      </w:r>
      <w:r w:rsidR="00DA71B9">
        <w:t>I</w:t>
      </w:r>
      <w:r w:rsidRPr="00EB3895">
        <w:t>NTERGOUVERNEMENTALE</w:t>
      </w:r>
      <w:bookmarkEnd w:id="0"/>
    </w:p>
    <w:p w14:paraId="0F1DC779" w14:textId="661FFF7E" w:rsidR="00EB3895" w:rsidRPr="00EB3895" w:rsidRDefault="00EB3895" w:rsidP="00EB3895">
      <w:pPr>
        <w:jc w:val="center"/>
        <w:rPr>
          <w:bCs/>
        </w:rPr>
      </w:pPr>
      <w:r w:rsidRPr="00EB3895">
        <w:rPr>
          <w:bCs/>
        </w:rPr>
        <w:t>(de l</w:t>
      </w:r>
      <w:r w:rsidR="00BC1B1E">
        <w:rPr>
          <w:bCs/>
        </w:rPr>
        <w:t>’</w:t>
      </w:r>
      <w:r w:rsidRPr="00EB3895">
        <w:rPr>
          <w:bCs/>
        </w:rPr>
        <w:t>UNESCO)</w:t>
      </w:r>
    </w:p>
    <w:p w14:paraId="5B0D4193" w14:textId="1AEEC740" w:rsidR="00EB3895" w:rsidRPr="00EB3895" w:rsidRDefault="00EB3895" w:rsidP="00562336">
      <w:pPr>
        <w:spacing w:before="240" w:after="600"/>
        <w:jc w:val="center"/>
        <w:rPr>
          <w:b/>
        </w:rPr>
      </w:pPr>
      <w:r w:rsidRPr="00EB3895">
        <w:rPr>
          <w:b/>
        </w:rPr>
        <w:t>Cinquante-</w:t>
      </w:r>
      <w:r w:rsidR="00F60534">
        <w:rPr>
          <w:b/>
        </w:rPr>
        <w:t>septième</w:t>
      </w:r>
      <w:r w:rsidRPr="00EB3895">
        <w:rPr>
          <w:b/>
        </w:rPr>
        <w:t xml:space="preserve"> session du Conseil exécutif</w:t>
      </w:r>
      <w:r>
        <w:rPr>
          <w:b/>
        </w:rPr>
        <w:br/>
      </w:r>
      <w:r w:rsidRPr="00EB3895">
        <w:rPr>
          <w:bCs/>
        </w:rPr>
        <w:t xml:space="preserve">UNESCO, Paris, </w:t>
      </w:r>
      <w:r w:rsidR="00F60534">
        <w:rPr>
          <w:bCs/>
        </w:rPr>
        <w:t>25-28</w:t>
      </w:r>
      <w:r w:rsidRPr="00EB3895">
        <w:rPr>
          <w:bCs/>
        </w:rPr>
        <w:t xml:space="preserve"> juin 202</w:t>
      </w:r>
      <w:r w:rsidR="00F60534">
        <w:rPr>
          <w:bCs/>
        </w:rPr>
        <w:t>4</w:t>
      </w:r>
      <w:r w:rsidR="006519AE">
        <w:rPr>
          <w:bCs/>
        </w:rPr>
        <w:t xml:space="preserve"> </w:t>
      </w:r>
    </w:p>
    <w:p w14:paraId="607D1C93" w14:textId="3E3397A7" w:rsidR="00EB3895" w:rsidRPr="00E54757" w:rsidRDefault="00E54757" w:rsidP="00562336">
      <w:pPr>
        <w:pStyle w:val="Marge"/>
        <w:spacing w:after="600"/>
        <w:rPr>
          <w:u w:val="single"/>
        </w:rPr>
      </w:pPr>
      <w:r w:rsidRPr="00E54757">
        <w:rPr>
          <w:u w:val="single"/>
        </w:rPr>
        <w:t xml:space="preserve">Point </w:t>
      </w:r>
      <w:r w:rsidRPr="00E54757">
        <w:rPr>
          <w:b/>
          <w:bCs/>
          <w:u w:val="single"/>
        </w:rPr>
        <w:t>4.</w:t>
      </w:r>
      <w:r w:rsidR="005630A7">
        <w:rPr>
          <w:b/>
          <w:bCs/>
          <w:u w:val="single"/>
        </w:rPr>
        <w:t>3</w:t>
      </w:r>
      <w:r w:rsidRPr="00E54757">
        <w:rPr>
          <w:u w:val="single"/>
        </w:rPr>
        <w:t xml:space="preserve"> de l</w:t>
      </w:r>
      <w:r w:rsidR="00BC1B1E">
        <w:rPr>
          <w:u w:val="single"/>
        </w:rPr>
        <w:t>’</w:t>
      </w:r>
      <w:r w:rsidRPr="00E54757">
        <w:rPr>
          <w:u w:val="single"/>
        </w:rPr>
        <w:t>ordre du jour provisoire</w:t>
      </w:r>
    </w:p>
    <w:p w14:paraId="4D532EDB" w14:textId="53FA1EAC" w:rsidR="00B2519D" w:rsidRDefault="00FA60C7" w:rsidP="00562336">
      <w:pPr>
        <w:pStyle w:val="Titre1"/>
        <w:spacing w:after="360"/>
      </w:pPr>
      <w:bookmarkStart w:id="1" w:name="_Toc170139290"/>
      <w:r w:rsidRPr="00ED36AF">
        <w:rPr>
          <w:rFonts w:cs="Arial"/>
          <w:caps/>
        </w:rPr>
        <w:t xml:space="preserve">Projet de </w:t>
      </w:r>
      <w:r w:rsidR="005630A7">
        <w:rPr>
          <w:rFonts w:cs="Arial"/>
          <w:caps/>
        </w:rPr>
        <w:t>STRATÉGIE</w:t>
      </w:r>
      <w:r w:rsidR="00577145">
        <w:rPr>
          <w:rFonts w:cs="Arial"/>
          <w:caps/>
        </w:rPr>
        <w:t xml:space="preserve"> à L</w:t>
      </w:r>
      <w:r w:rsidR="00BC1B1E">
        <w:rPr>
          <w:rFonts w:cs="Arial"/>
          <w:caps/>
        </w:rPr>
        <w:t>’</w:t>
      </w:r>
      <w:r w:rsidR="00577145">
        <w:rPr>
          <w:rFonts w:cs="Arial"/>
          <w:caps/>
        </w:rPr>
        <w:t xml:space="preserve">ÉCHELLE DE LA COI SUR LA PLANIFICATION </w:t>
      </w:r>
      <w:r w:rsidR="002255EC">
        <w:rPr>
          <w:rFonts w:cs="Arial"/>
          <w:caps/>
        </w:rPr>
        <w:br/>
      </w:r>
      <w:r w:rsidR="00577145">
        <w:rPr>
          <w:rFonts w:cs="Arial"/>
          <w:caps/>
        </w:rPr>
        <w:t>ET LA GESTION DURABL</w:t>
      </w:r>
      <w:r w:rsidR="00577145" w:rsidRPr="00E7618B">
        <w:rPr>
          <w:rFonts w:cs="Arial"/>
          <w:caps/>
        </w:rPr>
        <w:t>ES DE L</w:t>
      </w:r>
      <w:r w:rsidR="00BC1B1E" w:rsidRPr="00E7618B">
        <w:rPr>
          <w:rFonts w:cs="Arial"/>
          <w:caps/>
        </w:rPr>
        <w:t>’</w:t>
      </w:r>
      <w:r w:rsidR="00577145" w:rsidRPr="00E7618B">
        <w:rPr>
          <w:rFonts w:cs="Arial"/>
          <w:caps/>
        </w:rPr>
        <w:t>OCÉAN</w:t>
      </w:r>
      <w:bookmarkEnd w:id="1"/>
      <w:r w:rsidR="00E7618B" w:rsidRPr="00E7618B">
        <w:rPr>
          <w:rFonts w:cs="Arial"/>
          <w:caps/>
        </w:rPr>
        <w:t xml:space="preserve"> (2024-2030)</w:t>
      </w:r>
    </w:p>
    <w:tbl>
      <w:tblPr>
        <w:tblStyle w:val="Grilledutableau1"/>
        <w:tblW w:w="8075" w:type="dxa"/>
        <w:jc w:val="center"/>
        <w:tblLayout w:type="fixed"/>
        <w:tblLook w:val="04A0" w:firstRow="1" w:lastRow="0" w:firstColumn="1" w:lastColumn="0" w:noHBand="0" w:noVBand="1"/>
      </w:tblPr>
      <w:tblGrid>
        <w:gridCol w:w="8075"/>
      </w:tblGrid>
      <w:tr w:rsidR="00562336" w:rsidRPr="00562336" w14:paraId="39DE0B67" w14:textId="77777777" w:rsidTr="00CD1DAF">
        <w:trPr>
          <w:trHeight w:val="4350"/>
          <w:jc w:val="center"/>
        </w:trPr>
        <w:tc>
          <w:tcPr>
            <w:tcW w:w="8075" w:type="dxa"/>
          </w:tcPr>
          <w:p w14:paraId="754BC36C" w14:textId="77777777" w:rsidR="00562336" w:rsidRPr="00562336" w:rsidRDefault="00562336" w:rsidP="00562336">
            <w:pPr>
              <w:tabs>
                <w:tab w:val="clear" w:pos="567"/>
              </w:tabs>
              <w:snapToGrid/>
              <w:spacing w:before="120" w:after="240"/>
              <w:jc w:val="center"/>
              <w:rPr>
                <w:rFonts w:cs="Arial"/>
                <w:bCs/>
                <w:szCs w:val="22"/>
                <w:u w:val="single"/>
                <w:lang w:eastAsia="en-US"/>
              </w:rPr>
            </w:pPr>
            <w:r w:rsidRPr="00562336">
              <w:rPr>
                <w:u w:val="single"/>
                <w:lang w:eastAsia="en-US"/>
              </w:rPr>
              <w:t>Résumé</w:t>
            </w:r>
          </w:p>
          <w:p w14:paraId="7E08E8D5" w14:textId="3D7CBC5E" w:rsidR="00747F34" w:rsidRPr="002255EC" w:rsidRDefault="005630A7" w:rsidP="002255EC">
            <w:pPr>
              <w:tabs>
                <w:tab w:val="clear" w:pos="567"/>
              </w:tabs>
              <w:snapToGrid/>
              <w:spacing w:after="240"/>
              <w:ind w:left="283" w:right="283"/>
              <w:jc w:val="both"/>
              <w:rPr>
                <w:rFonts w:cs="Arial"/>
                <w:iCs/>
                <w:szCs w:val="22"/>
                <w:lang w:eastAsia="en-US"/>
              </w:rPr>
            </w:pPr>
            <w:r>
              <w:rPr>
                <w:rFonts w:cs="Arial"/>
                <w:szCs w:val="22"/>
                <w:lang w:eastAsia="en-US"/>
              </w:rPr>
              <w:t>Par sa décision A-32/4.7, l</w:t>
            </w:r>
            <w:r w:rsidR="00BC1B1E">
              <w:rPr>
                <w:rFonts w:cs="Arial"/>
                <w:szCs w:val="22"/>
                <w:lang w:eastAsia="en-US"/>
              </w:rPr>
              <w:t>’</w:t>
            </w:r>
            <w:r>
              <w:rPr>
                <w:rFonts w:cs="Arial"/>
                <w:szCs w:val="22"/>
                <w:lang w:eastAsia="en-US"/>
              </w:rPr>
              <w:t>Assemblée</w:t>
            </w:r>
            <w:r w:rsidR="002255EC">
              <w:rPr>
                <w:rFonts w:cs="Arial"/>
                <w:szCs w:val="22"/>
                <w:lang w:eastAsia="en-US"/>
              </w:rPr>
              <w:t xml:space="preserve"> de la COI a pris note, à sa 32</w:t>
            </w:r>
            <w:r w:rsidR="002255EC" w:rsidRPr="002255EC">
              <w:rPr>
                <w:rFonts w:cs="Arial"/>
                <w:szCs w:val="22"/>
                <w:vertAlign w:val="superscript"/>
                <w:lang w:eastAsia="en-US"/>
              </w:rPr>
              <w:t>e</w:t>
            </w:r>
            <w:r w:rsidR="002255EC">
              <w:rPr>
                <w:rFonts w:cs="Arial"/>
                <w:szCs w:val="22"/>
                <w:lang w:eastAsia="en-US"/>
              </w:rPr>
              <w:t xml:space="preserve"> session, </w:t>
            </w:r>
            <w:r w:rsidR="002255EC" w:rsidRPr="002255EC">
              <w:rPr>
                <w:rFonts w:cs="Arial"/>
                <w:szCs w:val="22"/>
                <w:lang w:eastAsia="en-US"/>
              </w:rPr>
              <w:t>de la portée et du processus d</w:t>
            </w:r>
            <w:r w:rsidR="00BC1B1E">
              <w:rPr>
                <w:rFonts w:cs="Arial"/>
                <w:szCs w:val="22"/>
                <w:lang w:eastAsia="en-US"/>
              </w:rPr>
              <w:t>’</w:t>
            </w:r>
            <w:r w:rsidR="002255EC" w:rsidRPr="002255EC">
              <w:rPr>
                <w:rFonts w:cs="Arial"/>
                <w:szCs w:val="22"/>
                <w:lang w:eastAsia="en-US"/>
              </w:rPr>
              <w:t>élaboration de la stratégie à l</w:t>
            </w:r>
            <w:r w:rsidR="00BC1B1E">
              <w:rPr>
                <w:rFonts w:cs="Arial"/>
                <w:szCs w:val="22"/>
                <w:lang w:eastAsia="en-US"/>
              </w:rPr>
              <w:t>’</w:t>
            </w:r>
            <w:r w:rsidR="002255EC" w:rsidRPr="002255EC">
              <w:rPr>
                <w:rFonts w:cs="Arial"/>
                <w:szCs w:val="22"/>
                <w:lang w:eastAsia="en-US"/>
              </w:rPr>
              <w:t>échelle de la COI sur la planification et la gestion durables de l</w:t>
            </w:r>
            <w:r w:rsidR="00BC1B1E">
              <w:rPr>
                <w:rFonts w:cs="Arial"/>
                <w:szCs w:val="22"/>
                <w:lang w:eastAsia="en-US"/>
              </w:rPr>
              <w:t>’</w:t>
            </w:r>
            <w:r w:rsidR="002255EC" w:rsidRPr="002255EC">
              <w:rPr>
                <w:rFonts w:cs="Arial"/>
                <w:szCs w:val="22"/>
                <w:lang w:eastAsia="en-US"/>
              </w:rPr>
              <w:t>océan pour la période 2024-2030</w:t>
            </w:r>
            <w:r w:rsidR="002255EC">
              <w:rPr>
                <w:rFonts w:cs="Arial"/>
                <w:szCs w:val="22"/>
                <w:lang w:eastAsia="en-US"/>
              </w:rPr>
              <w:t>,</w:t>
            </w:r>
            <w:r w:rsidR="002255EC" w:rsidRPr="002255EC">
              <w:rPr>
                <w:rFonts w:cs="Arial"/>
                <w:szCs w:val="22"/>
                <w:lang w:eastAsia="en-US"/>
              </w:rPr>
              <w:t xml:space="preserve"> présenté</w:t>
            </w:r>
            <w:r w:rsidR="002255EC">
              <w:rPr>
                <w:rFonts w:cs="Arial"/>
                <w:szCs w:val="22"/>
                <w:lang w:eastAsia="en-US"/>
              </w:rPr>
              <w:t>e</w:t>
            </w:r>
            <w:r w:rsidR="002255EC" w:rsidRPr="002255EC">
              <w:rPr>
                <w:rFonts w:cs="Arial"/>
                <w:szCs w:val="22"/>
                <w:lang w:eastAsia="en-US"/>
              </w:rPr>
              <w:t xml:space="preserve"> dans le document </w:t>
            </w:r>
            <w:hyperlink r:id="rId8" w:history="1">
              <w:r w:rsidR="002255EC" w:rsidRPr="002255EC">
                <w:rPr>
                  <w:rStyle w:val="Lienhypertexte"/>
                  <w:rFonts w:cs="Arial"/>
                  <w:szCs w:val="22"/>
                  <w:lang w:eastAsia="en-US"/>
                </w:rPr>
                <w:t>IOC/A-32/4.7.Doc(1)</w:t>
              </w:r>
            </w:hyperlink>
            <w:r w:rsidR="002255EC" w:rsidRPr="002255EC">
              <w:rPr>
                <w:rFonts w:cs="Arial"/>
                <w:szCs w:val="22"/>
                <w:lang w:eastAsia="en-US"/>
              </w:rPr>
              <w:t>, et a prié le Secrétariat de recueillir à cet égard les observations des États membres, des programmes et organes techniques de la COI et d</w:t>
            </w:r>
            <w:r w:rsidR="00BC1B1E">
              <w:rPr>
                <w:rFonts w:cs="Arial"/>
                <w:szCs w:val="22"/>
                <w:lang w:eastAsia="en-US"/>
              </w:rPr>
              <w:t>’</w:t>
            </w:r>
            <w:r w:rsidR="002255EC" w:rsidRPr="002255EC">
              <w:rPr>
                <w:rFonts w:cs="Arial"/>
                <w:szCs w:val="22"/>
                <w:lang w:eastAsia="en-US"/>
              </w:rPr>
              <w:t xml:space="preserve">autres parties prenantes pertinentes, </w:t>
            </w:r>
            <w:r w:rsidR="002255EC">
              <w:rPr>
                <w:rFonts w:cs="Arial"/>
                <w:szCs w:val="22"/>
                <w:lang w:eastAsia="en-US"/>
              </w:rPr>
              <w:t xml:space="preserve">afin </w:t>
            </w:r>
            <w:r w:rsidR="002255EC" w:rsidRPr="002255EC">
              <w:rPr>
                <w:rFonts w:cs="Arial"/>
                <w:szCs w:val="22"/>
                <w:lang w:eastAsia="en-US"/>
              </w:rPr>
              <w:t>de présenter une version révisée de ce document au Conseil exécutif de la COI, à sa 57</w:t>
            </w:r>
            <w:r w:rsidR="002255EC" w:rsidRPr="002255EC">
              <w:rPr>
                <w:rFonts w:cs="Arial"/>
                <w:szCs w:val="22"/>
                <w:vertAlign w:val="superscript"/>
                <w:lang w:eastAsia="en-US"/>
              </w:rPr>
              <w:t>e</w:t>
            </w:r>
            <w:r w:rsidR="002255EC">
              <w:rPr>
                <w:rFonts w:cs="Arial"/>
                <w:szCs w:val="22"/>
                <w:lang w:eastAsia="en-US"/>
              </w:rPr>
              <w:t> </w:t>
            </w:r>
            <w:r w:rsidR="002255EC" w:rsidRPr="002255EC">
              <w:rPr>
                <w:rFonts w:cs="Arial"/>
                <w:szCs w:val="22"/>
                <w:lang w:eastAsia="en-US"/>
              </w:rPr>
              <w:t>session</w:t>
            </w:r>
            <w:r w:rsidR="00747F34" w:rsidRPr="00747F34">
              <w:rPr>
                <w:rFonts w:cs="Arial"/>
                <w:szCs w:val="22"/>
                <w:lang w:eastAsia="en-US"/>
              </w:rPr>
              <w:t>.</w:t>
            </w:r>
          </w:p>
          <w:p w14:paraId="36D932C2" w14:textId="68068E78" w:rsidR="00747F34" w:rsidRDefault="005630A7" w:rsidP="00747F34">
            <w:pPr>
              <w:tabs>
                <w:tab w:val="clear" w:pos="567"/>
              </w:tabs>
              <w:snapToGrid/>
              <w:spacing w:after="240"/>
              <w:ind w:left="283" w:right="283"/>
              <w:jc w:val="both"/>
              <w:rPr>
                <w:rFonts w:cs="Arial"/>
                <w:szCs w:val="22"/>
                <w:lang w:eastAsia="en-US"/>
              </w:rPr>
            </w:pPr>
            <w:r w:rsidRPr="005630A7">
              <w:rPr>
                <w:rFonts w:cs="Arial"/>
                <w:szCs w:val="22"/>
                <w:lang w:eastAsia="en-US"/>
              </w:rPr>
              <w:t>Le présent document</w:t>
            </w:r>
            <w:r>
              <w:rPr>
                <w:rFonts w:cs="Arial"/>
                <w:szCs w:val="22"/>
                <w:lang w:eastAsia="en-US"/>
              </w:rPr>
              <w:t>, élaboré sur la base du document</w:t>
            </w:r>
            <w:r w:rsidR="002255EC">
              <w:rPr>
                <w:rFonts w:cs="Arial"/>
                <w:szCs w:val="22"/>
                <w:lang w:eastAsia="en-US"/>
              </w:rPr>
              <w:t xml:space="preserve"> </w:t>
            </w:r>
            <w:r w:rsidR="002255EC" w:rsidRPr="002255EC">
              <w:rPr>
                <w:rFonts w:cs="Arial"/>
                <w:szCs w:val="22"/>
                <w:lang w:eastAsia="en-US"/>
              </w:rPr>
              <w:t>IOC/A</w:t>
            </w:r>
            <w:r w:rsidR="00463CF8">
              <w:rPr>
                <w:rFonts w:cs="Arial"/>
                <w:szCs w:val="22"/>
                <w:lang w:eastAsia="en-US"/>
              </w:rPr>
              <w:noBreakHyphen/>
            </w:r>
            <w:r w:rsidR="002255EC" w:rsidRPr="002255EC">
              <w:rPr>
                <w:rFonts w:cs="Arial"/>
                <w:szCs w:val="22"/>
                <w:lang w:eastAsia="en-US"/>
              </w:rPr>
              <w:t xml:space="preserve">32/4.7.Doc(1), a </w:t>
            </w:r>
            <w:r w:rsidR="002255EC">
              <w:rPr>
                <w:rFonts w:cs="Arial"/>
                <w:szCs w:val="22"/>
                <w:lang w:eastAsia="en-US"/>
              </w:rPr>
              <w:t xml:space="preserve">ensuite </w:t>
            </w:r>
            <w:r w:rsidR="002255EC" w:rsidRPr="002255EC">
              <w:rPr>
                <w:rFonts w:cs="Arial"/>
                <w:szCs w:val="22"/>
                <w:lang w:eastAsia="en-US"/>
              </w:rPr>
              <w:t>été étoffé en sollicitant des contributions par le biais de la Lettre circulaire de la COI n°</w:t>
            </w:r>
            <w:r w:rsidR="002255EC">
              <w:rPr>
                <w:rFonts w:cs="Arial"/>
                <w:szCs w:val="22"/>
                <w:lang w:eastAsia="en-US"/>
              </w:rPr>
              <w:t> </w:t>
            </w:r>
            <w:hyperlink r:id="rId9" w:history="1">
              <w:r w:rsidR="002255EC" w:rsidRPr="002255EC">
                <w:rPr>
                  <w:rStyle w:val="Lienhypertexte"/>
                  <w:rFonts w:cs="Arial"/>
                  <w:szCs w:val="22"/>
                  <w:lang w:eastAsia="en-US"/>
                </w:rPr>
                <w:t>2968</w:t>
              </w:r>
            </w:hyperlink>
            <w:r w:rsidR="002255EC" w:rsidRPr="002255EC">
              <w:rPr>
                <w:rFonts w:cs="Arial"/>
                <w:szCs w:val="22"/>
                <w:lang w:eastAsia="en-US"/>
              </w:rPr>
              <w:t xml:space="preserve"> et </w:t>
            </w:r>
            <w:r w:rsidR="002255EC">
              <w:rPr>
                <w:rFonts w:cs="Arial"/>
                <w:szCs w:val="22"/>
                <w:lang w:eastAsia="en-US"/>
              </w:rPr>
              <w:t xml:space="preserve">dans le cadre </w:t>
            </w:r>
            <w:r w:rsidR="002255EC" w:rsidRPr="002255EC">
              <w:rPr>
                <w:rFonts w:cs="Arial"/>
                <w:szCs w:val="22"/>
                <w:lang w:eastAsia="en-US"/>
              </w:rPr>
              <w:t>d</w:t>
            </w:r>
            <w:r w:rsidR="00BC1B1E">
              <w:rPr>
                <w:rFonts w:cs="Arial"/>
                <w:szCs w:val="22"/>
                <w:lang w:eastAsia="en-US"/>
              </w:rPr>
              <w:t>’</w:t>
            </w:r>
            <w:r w:rsidR="002255EC" w:rsidRPr="002255EC">
              <w:rPr>
                <w:rFonts w:cs="Arial"/>
                <w:szCs w:val="22"/>
                <w:lang w:eastAsia="en-US"/>
              </w:rPr>
              <w:t xml:space="preserve">une enquête, conçue et réalisée pour mieux </w:t>
            </w:r>
            <w:r w:rsidR="00275103">
              <w:rPr>
                <w:rFonts w:cs="Arial"/>
                <w:szCs w:val="22"/>
                <w:lang w:eastAsia="en-US"/>
              </w:rPr>
              <w:t>comprendre</w:t>
            </w:r>
            <w:r w:rsidR="002255EC" w:rsidRPr="002255EC">
              <w:rPr>
                <w:rFonts w:cs="Arial"/>
                <w:szCs w:val="22"/>
                <w:lang w:eastAsia="en-US"/>
              </w:rPr>
              <w:t xml:space="preserve"> </w:t>
            </w:r>
            <w:r w:rsidR="00275103">
              <w:rPr>
                <w:rFonts w:cs="Arial"/>
                <w:szCs w:val="22"/>
                <w:lang w:eastAsia="en-US"/>
              </w:rPr>
              <w:t xml:space="preserve">la situation actuelle </w:t>
            </w:r>
            <w:r w:rsidR="002255EC" w:rsidRPr="002255EC">
              <w:rPr>
                <w:rFonts w:cs="Arial"/>
                <w:szCs w:val="22"/>
                <w:lang w:eastAsia="en-US"/>
              </w:rPr>
              <w:t>en termes de planification et de gestion durables de l</w:t>
            </w:r>
            <w:r w:rsidR="00BC1B1E">
              <w:rPr>
                <w:rFonts w:cs="Arial"/>
                <w:szCs w:val="22"/>
                <w:lang w:eastAsia="en-US"/>
              </w:rPr>
              <w:t>’</w:t>
            </w:r>
            <w:r w:rsidR="002255EC" w:rsidRPr="002255EC">
              <w:rPr>
                <w:rFonts w:cs="Arial"/>
                <w:szCs w:val="22"/>
                <w:lang w:eastAsia="en-US"/>
              </w:rPr>
              <w:t xml:space="preserve">océan et recenser les besoins des parties prenantes en matière de soutien technique et scientifique. Les contributions reçues sont </w:t>
            </w:r>
            <w:r w:rsidR="00275103">
              <w:rPr>
                <w:rFonts w:cs="Arial"/>
                <w:szCs w:val="22"/>
                <w:lang w:eastAsia="en-US"/>
              </w:rPr>
              <w:t>regroupées</w:t>
            </w:r>
            <w:r w:rsidR="002255EC" w:rsidRPr="002255EC">
              <w:rPr>
                <w:rFonts w:cs="Arial"/>
                <w:szCs w:val="22"/>
                <w:lang w:eastAsia="en-US"/>
              </w:rPr>
              <w:t xml:space="preserve"> dans le document IOC/INF-1537 et son addendum</w:t>
            </w:r>
            <w:r w:rsidR="00747F34" w:rsidRPr="005630A7">
              <w:rPr>
                <w:rFonts w:cs="Arial"/>
                <w:szCs w:val="22"/>
                <w:lang w:eastAsia="en-US"/>
              </w:rPr>
              <w:t>.</w:t>
            </w:r>
          </w:p>
          <w:p w14:paraId="6559F95A" w14:textId="1154FE49" w:rsidR="005630A7" w:rsidRPr="005630A7" w:rsidRDefault="005630A7" w:rsidP="00747F34">
            <w:pPr>
              <w:tabs>
                <w:tab w:val="clear" w:pos="567"/>
              </w:tabs>
              <w:snapToGrid/>
              <w:spacing w:after="240"/>
              <w:ind w:left="283" w:right="283"/>
              <w:jc w:val="both"/>
              <w:rPr>
                <w:rFonts w:cs="Arial"/>
                <w:szCs w:val="22"/>
                <w:lang w:eastAsia="en-US"/>
              </w:rPr>
            </w:pPr>
            <w:r>
              <w:rPr>
                <w:rFonts w:cs="Arial"/>
                <w:szCs w:val="22"/>
                <w:lang w:eastAsia="en-US"/>
              </w:rPr>
              <w:t>Deux réunions de consultation en ligne</w:t>
            </w:r>
            <w:r w:rsidR="002255EC">
              <w:rPr>
                <w:rFonts w:cs="Arial"/>
                <w:szCs w:val="22"/>
                <w:lang w:eastAsia="en-US"/>
              </w:rPr>
              <w:t xml:space="preserve"> </w:t>
            </w:r>
            <w:r w:rsidR="002255EC" w:rsidRPr="002255EC">
              <w:rPr>
                <w:rFonts w:cs="Arial"/>
                <w:szCs w:val="22"/>
                <w:lang w:eastAsia="en-US"/>
              </w:rPr>
              <w:t xml:space="preserve">ont été organisées en mai 2024 afin de recueillir des observations complémentaires </w:t>
            </w:r>
            <w:r w:rsidR="00275103">
              <w:rPr>
                <w:rFonts w:cs="Arial"/>
                <w:szCs w:val="22"/>
                <w:lang w:eastAsia="en-US"/>
              </w:rPr>
              <w:t>concernant</w:t>
            </w:r>
            <w:r w:rsidR="00275103" w:rsidRPr="002255EC">
              <w:rPr>
                <w:rFonts w:cs="Arial"/>
                <w:szCs w:val="22"/>
                <w:lang w:eastAsia="en-US"/>
              </w:rPr>
              <w:t xml:space="preserve"> le présent document</w:t>
            </w:r>
            <w:r w:rsidR="00275103">
              <w:rPr>
                <w:rFonts w:cs="Arial"/>
                <w:szCs w:val="22"/>
                <w:lang w:eastAsia="en-US"/>
              </w:rPr>
              <w:t xml:space="preserve"> auprès </w:t>
            </w:r>
            <w:r w:rsidR="002255EC" w:rsidRPr="002255EC">
              <w:rPr>
                <w:rFonts w:cs="Arial"/>
                <w:szCs w:val="22"/>
                <w:lang w:eastAsia="en-US"/>
              </w:rPr>
              <w:t>des États membres de la COI. La stratégie prévoit la création d</w:t>
            </w:r>
            <w:r w:rsidR="00BC1B1E">
              <w:rPr>
                <w:rFonts w:cs="Arial"/>
                <w:szCs w:val="22"/>
                <w:lang w:eastAsia="en-US"/>
              </w:rPr>
              <w:t>’</w:t>
            </w:r>
            <w:r w:rsidR="002255EC" w:rsidRPr="002255EC">
              <w:rPr>
                <w:rFonts w:cs="Arial"/>
                <w:szCs w:val="22"/>
                <w:lang w:eastAsia="en-US"/>
              </w:rPr>
              <w:t>un Groupe de travail de la COI sur la planification et la gestion durables de l</w:t>
            </w:r>
            <w:r w:rsidR="00BC1B1E">
              <w:rPr>
                <w:rFonts w:cs="Arial"/>
                <w:szCs w:val="22"/>
                <w:lang w:eastAsia="en-US"/>
              </w:rPr>
              <w:t>’</w:t>
            </w:r>
            <w:r w:rsidR="002255EC" w:rsidRPr="002255EC">
              <w:rPr>
                <w:rFonts w:cs="Arial"/>
                <w:szCs w:val="22"/>
                <w:lang w:eastAsia="en-US"/>
              </w:rPr>
              <w:t xml:space="preserve">océan </w:t>
            </w:r>
            <w:r w:rsidR="00275103">
              <w:rPr>
                <w:rFonts w:cs="Arial"/>
                <w:szCs w:val="22"/>
                <w:lang w:eastAsia="en-US"/>
              </w:rPr>
              <w:t>afin</w:t>
            </w:r>
            <w:r w:rsidR="002255EC" w:rsidRPr="002255EC">
              <w:rPr>
                <w:rFonts w:cs="Arial"/>
                <w:szCs w:val="22"/>
                <w:lang w:eastAsia="en-US"/>
              </w:rPr>
              <w:t xml:space="preserve"> de guider sa mise en œuvre</w:t>
            </w:r>
            <w:r w:rsidR="00275103">
              <w:rPr>
                <w:rFonts w:cs="Arial"/>
                <w:szCs w:val="22"/>
                <w:lang w:eastAsia="en-US"/>
              </w:rPr>
              <w:t>.</w:t>
            </w:r>
          </w:p>
          <w:p w14:paraId="2DF562DA" w14:textId="663D5B73" w:rsidR="00562336" w:rsidRPr="00562336" w:rsidRDefault="00747F34" w:rsidP="00747F34">
            <w:pPr>
              <w:tabs>
                <w:tab w:val="clear" w:pos="567"/>
              </w:tabs>
              <w:snapToGrid/>
              <w:spacing w:after="240"/>
              <w:ind w:left="283" w:right="283"/>
              <w:jc w:val="both"/>
              <w:rPr>
                <w:rFonts w:cs="Arial"/>
                <w:b/>
                <w:bCs/>
                <w:spacing w:val="-3"/>
                <w:szCs w:val="22"/>
                <w:lang w:eastAsia="en-US"/>
              </w:rPr>
            </w:pPr>
            <w:r w:rsidRPr="00747F34">
              <w:rPr>
                <w:rFonts w:cs="Arial"/>
                <w:szCs w:val="22"/>
                <w:lang w:eastAsia="en-US"/>
              </w:rPr>
              <w:t xml:space="preserve">La </w:t>
            </w:r>
            <w:r w:rsidRPr="00747F34">
              <w:rPr>
                <w:rFonts w:cs="Arial"/>
                <w:szCs w:val="22"/>
                <w:u w:val="single"/>
                <w:lang w:eastAsia="en-US"/>
              </w:rPr>
              <w:t>décision proposée</w:t>
            </w:r>
            <w:r w:rsidRPr="00747F34">
              <w:rPr>
                <w:rFonts w:cs="Arial"/>
                <w:szCs w:val="22"/>
                <w:lang w:eastAsia="en-US"/>
              </w:rPr>
              <w:t xml:space="preserve"> porte la cote </w:t>
            </w:r>
            <w:r w:rsidRPr="00275103">
              <w:rPr>
                <w:rFonts w:cs="Arial"/>
                <w:szCs w:val="22"/>
                <w:lang w:eastAsia="en-US"/>
              </w:rPr>
              <w:t>EC-57/4.</w:t>
            </w:r>
            <w:r w:rsidR="005630A7" w:rsidRPr="00275103">
              <w:rPr>
                <w:rFonts w:cs="Arial"/>
                <w:szCs w:val="22"/>
                <w:lang w:eastAsia="en-US"/>
              </w:rPr>
              <w:t>3</w:t>
            </w:r>
            <w:r w:rsidRPr="00747F34">
              <w:rPr>
                <w:rFonts w:cs="Arial"/>
                <w:szCs w:val="22"/>
                <w:lang w:eastAsia="en-US"/>
              </w:rPr>
              <w:t xml:space="preserve"> dans le </w:t>
            </w:r>
            <w:r w:rsidRPr="002C3E0F">
              <w:rPr>
                <w:rFonts w:cs="Arial"/>
                <w:szCs w:val="22"/>
                <w:lang w:eastAsia="en-US"/>
              </w:rPr>
              <w:t>Document relatif aux décisions à adopter</w:t>
            </w:r>
            <w:r w:rsidRPr="00747F34">
              <w:rPr>
                <w:rFonts w:cs="Arial"/>
                <w:szCs w:val="22"/>
                <w:lang w:eastAsia="en-US"/>
              </w:rPr>
              <w:t xml:space="preserve"> (document IOC/EC-57/AP Prov. Rev.).</w:t>
            </w:r>
          </w:p>
        </w:tc>
      </w:tr>
    </w:tbl>
    <w:p w14:paraId="5C238DF7" w14:textId="66145296" w:rsidR="00CD1DAF" w:rsidRDefault="00CD1DAF" w:rsidP="00E54757">
      <w:pPr>
        <w:pStyle w:val="Marge"/>
      </w:pPr>
    </w:p>
    <w:p w14:paraId="34B128E6" w14:textId="77777777" w:rsidR="00CD1DAF" w:rsidRDefault="00CD1DAF">
      <w:pPr>
        <w:tabs>
          <w:tab w:val="clear" w:pos="567"/>
        </w:tabs>
        <w:snapToGrid/>
        <w:rPr>
          <w:rFonts w:eastAsia="Times New Roman"/>
          <w:lang w:eastAsia="en-US"/>
        </w:rPr>
      </w:pPr>
      <w:r>
        <w:br w:type="page"/>
      </w:r>
    </w:p>
    <w:p w14:paraId="67A1E3FE" w14:textId="6DF73692" w:rsidR="005630A7" w:rsidRPr="005630A7" w:rsidRDefault="005630A7" w:rsidP="00EA33BE">
      <w:pPr>
        <w:pBdr>
          <w:bottom w:val="single" w:sz="4" w:space="1" w:color="auto"/>
        </w:pBdr>
        <w:tabs>
          <w:tab w:val="clear" w:pos="567"/>
        </w:tabs>
        <w:snapToGrid/>
        <w:spacing w:before="120" w:after="240"/>
        <w:jc w:val="both"/>
        <w:textAlignment w:val="baseline"/>
        <w:rPr>
          <w:rFonts w:eastAsia="Times New Roman" w:cs="Arial"/>
          <w:bCs/>
          <w:snapToGrid/>
          <w:color w:val="000000"/>
          <w:szCs w:val="22"/>
          <w:lang w:eastAsia="en-US"/>
        </w:rPr>
      </w:pPr>
      <w:bookmarkStart w:id="2" w:name="_Toc163216996"/>
      <w:bookmarkEnd w:id="2"/>
      <w:r w:rsidRPr="005630A7">
        <w:rPr>
          <w:rFonts w:eastAsia="Times New Roman" w:cs="Arial"/>
          <w:bCs/>
          <w:snapToGrid/>
          <w:color w:val="000000"/>
          <w:szCs w:val="22"/>
          <w:lang w:eastAsia="en-US"/>
        </w:rPr>
        <w:lastRenderedPageBreak/>
        <w:t>Table des matières</w:t>
      </w:r>
    </w:p>
    <w:p w14:paraId="085FF37A" w14:textId="68BD7DA1" w:rsidR="00EA33BE" w:rsidRDefault="00EA33BE" w:rsidP="00EA33BE">
      <w:pPr>
        <w:pStyle w:val="TM1"/>
        <w:rPr>
          <w:rFonts w:asciiTheme="minorHAnsi" w:eastAsiaTheme="minorEastAsia" w:hAnsiTheme="minorHAnsi" w:cstheme="minorBidi"/>
          <w:kern w:val="2"/>
          <w:sz w:val="24"/>
          <w:szCs w:val="24"/>
          <w:lang w:val="fr-FR" w:eastAsia="zh-CN"/>
          <w14:ligatures w14:val="standardContextual"/>
        </w:rPr>
      </w:pPr>
      <w:r>
        <w:rPr>
          <w:rFonts w:eastAsia="Times New Roman"/>
          <w:b/>
          <w:bCs/>
          <w:strike/>
          <w:color w:val="000000"/>
          <w:lang w:eastAsia="en-US"/>
        </w:rPr>
        <w:fldChar w:fldCharType="begin"/>
      </w:r>
      <w:r>
        <w:rPr>
          <w:rFonts w:eastAsia="Times New Roman"/>
          <w:b/>
          <w:bCs/>
          <w:strike/>
          <w:color w:val="000000"/>
          <w:lang w:eastAsia="en-US"/>
        </w:rPr>
        <w:instrText xml:space="preserve"> TOC \o "1-3" \h \z \u </w:instrText>
      </w:r>
      <w:r>
        <w:rPr>
          <w:rFonts w:eastAsia="Times New Roman"/>
          <w:b/>
          <w:bCs/>
          <w:strike/>
          <w:color w:val="000000"/>
          <w:lang w:eastAsia="en-US"/>
        </w:rPr>
        <w:fldChar w:fldCharType="separate"/>
      </w:r>
    </w:p>
    <w:p w14:paraId="640C3801" w14:textId="62F1C814" w:rsidR="00EA33BE" w:rsidRPr="00EA33BE" w:rsidRDefault="00EA33BE" w:rsidP="00EA33BE">
      <w:pPr>
        <w:pStyle w:val="TM3"/>
        <w:rPr>
          <w:rFonts w:asciiTheme="minorHAnsi" w:eastAsiaTheme="minorEastAsia" w:hAnsiTheme="minorHAnsi" w:cstheme="minorBidi"/>
          <w:b/>
          <w:bCs/>
          <w:noProof/>
          <w:snapToGrid/>
          <w:kern w:val="2"/>
          <w:sz w:val="24"/>
          <w14:ligatures w14:val="standardContextual"/>
        </w:rPr>
      </w:pPr>
      <w:hyperlink w:anchor="_Toc170139291" w:history="1">
        <w:r w:rsidRPr="00EA33BE">
          <w:rPr>
            <w:rStyle w:val="Lienhypertexte"/>
            <w:b/>
            <w:bCs/>
            <w:noProof/>
          </w:rPr>
          <w:t>I.</w:t>
        </w:r>
        <w:r w:rsidRPr="00EA33BE">
          <w:rPr>
            <w:rFonts w:asciiTheme="minorHAnsi" w:eastAsiaTheme="minorEastAsia" w:hAnsiTheme="minorHAnsi" w:cstheme="minorBidi"/>
            <w:b/>
            <w:bCs/>
            <w:noProof/>
            <w:snapToGrid/>
            <w:kern w:val="2"/>
            <w:sz w:val="24"/>
            <w14:ligatures w14:val="standardContextual"/>
          </w:rPr>
          <w:tab/>
        </w:r>
        <w:r w:rsidRPr="00EA33BE">
          <w:rPr>
            <w:rStyle w:val="Lienhypertexte"/>
            <w:b/>
            <w:bCs/>
            <w:noProof/>
          </w:rPr>
          <w:t>Introduction</w:t>
        </w:r>
        <w:r w:rsidRPr="00EA33BE">
          <w:rPr>
            <w:noProof/>
            <w:webHidden/>
          </w:rPr>
          <w:tab/>
        </w:r>
        <w:r w:rsidRPr="00EA33BE">
          <w:rPr>
            <w:noProof/>
            <w:webHidden/>
          </w:rPr>
          <w:fldChar w:fldCharType="begin"/>
        </w:r>
        <w:r w:rsidRPr="00EA33BE">
          <w:rPr>
            <w:noProof/>
            <w:webHidden/>
          </w:rPr>
          <w:instrText xml:space="preserve"> PAGEREF _Toc170139291 \h </w:instrText>
        </w:r>
        <w:r w:rsidRPr="00EA33BE">
          <w:rPr>
            <w:noProof/>
            <w:webHidden/>
          </w:rPr>
        </w:r>
        <w:r w:rsidRPr="00EA33BE">
          <w:rPr>
            <w:noProof/>
            <w:webHidden/>
          </w:rPr>
          <w:fldChar w:fldCharType="separate"/>
        </w:r>
        <w:r w:rsidRPr="00EA33BE">
          <w:rPr>
            <w:noProof/>
            <w:webHidden/>
          </w:rPr>
          <w:t>3</w:t>
        </w:r>
        <w:r w:rsidRPr="00EA33BE">
          <w:rPr>
            <w:noProof/>
            <w:webHidden/>
          </w:rPr>
          <w:fldChar w:fldCharType="end"/>
        </w:r>
      </w:hyperlink>
    </w:p>
    <w:p w14:paraId="43CD7067" w14:textId="2FF2B70F" w:rsidR="00EA33BE" w:rsidRDefault="00EA33BE" w:rsidP="00EA33BE">
      <w:pPr>
        <w:pStyle w:val="TM3"/>
        <w:ind w:firstLine="0"/>
        <w:rPr>
          <w:rFonts w:asciiTheme="minorHAnsi" w:eastAsiaTheme="minorEastAsia" w:hAnsiTheme="minorHAnsi" w:cstheme="minorBidi"/>
          <w:noProof/>
          <w:snapToGrid/>
          <w:kern w:val="2"/>
          <w:sz w:val="24"/>
          <w14:ligatures w14:val="standardContextual"/>
        </w:rPr>
      </w:pPr>
      <w:hyperlink w:anchor="_Toc170139292" w:history="1">
        <w:r w:rsidRPr="0025213D">
          <w:rPr>
            <w:rStyle w:val="Lienhypertexte"/>
            <w:noProof/>
          </w:rPr>
          <w:t>Planification et gestion durables de l’océan au sein de la COI</w:t>
        </w:r>
        <w:r>
          <w:rPr>
            <w:noProof/>
            <w:webHidden/>
          </w:rPr>
          <w:tab/>
        </w:r>
        <w:r>
          <w:rPr>
            <w:noProof/>
            <w:webHidden/>
          </w:rPr>
          <w:fldChar w:fldCharType="begin"/>
        </w:r>
        <w:r>
          <w:rPr>
            <w:noProof/>
            <w:webHidden/>
          </w:rPr>
          <w:instrText xml:space="preserve"> PAGEREF _Toc170139292 \h </w:instrText>
        </w:r>
        <w:r>
          <w:rPr>
            <w:noProof/>
            <w:webHidden/>
          </w:rPr>
        </w:r>
        <w:r>
          <w:rPr>
            <w:noProof/>
            <w:webHidden/>
          </w:rPr>
          <w:fldChar w:fldCharType="separate"/>
        </w:r>
        <w:r>
          <w:rPr>
            <w:noProof/>
            <w:webHidden/>
          </w:rPr>
          <w:t>5</w:t>
        </w:r>
        <w:r>
          <w:rPr>
            <w:noProof/>
            <w:webHidden/>
          </w:rPr>
          <w:fldChar w:fldCharType="end"/>
        </w:r>
      </w:hyperlink>
    </w:p>
    <w:p w14:paraId="3B5E0ACA" w14:textId="19B2B0C6" w:rsidR="00EA33BE" w:rsidRPr="00EA33BE" w:rsidRDefault="00EA33BE" w:rsidP="00EA33BE">
      <w:pPr>
        <w:pStyle w:val="TM3"/>
        <w:rPr>
          <w:rFonts w:asciiTheme="minorHAnsi" w:eastAsiaTheme="minorEastAsia" w:hAnsiTheme="minorHAnsi" w:cstheme="minorBidi"/>
          <w:b/>
          <w:bCs/>
          <w:noProof/>
          <w:snapToGrid/>
          <w:kern w:val="2"/>
          <w:sz w:val="24"/>
          <w14:ligatures w14:val="standardContextual"/>
        </w:rPr>
      </w:pPr>
      <w:hyperlink w:anchor="_Toc170139293" w:history="1">
        <w:r w:rsidRPr="00EA33BE">
          <w:rPr>
            <w:rStyle w:val="Lienhypertexte"/>
            <w:rFonts w:eastAsia="DengXian Light"/>
            <w:b/>
            <w:bCs/>
            <w:noProof/>
            <w:lang w:val="en-GB"/>
          </w:rPr>
          <w:t>II.</w:t>
        </w:r>
        <w:r w:rsidRPr="00EA33BE">
          <w:rPr>
            <w:rFonts w:asciiTheme="minorHAnsi" w:eastAsiaTheme="minorEastAsia" w:hAnsiTheme="minorHAnsi" w:cstheme="minorBidi"/>
            <w:b/>
            <w:bCs/>
            <w:noProof/>
            <w:snapToGrid/>
            <w:kern w:val="2"/>
            <w:sz w:val="24"/>
            <w14:ligatures w14:val="standardContextual"/>
          </w:rPr>
          <w:tab/>
        </w:r>
        <w:r w:rsidRPr="00EA33BE">
          <w:rPr>
            <w:rStyle w:val="Lienhypertexte"/>
            <w:rFonts w:eastAsia="DengXian Light"/>
            <w:b/>
            <w:bCs/>
            <w:noProof/>
            <w:lang w:val="en-GB"/>
          </w:rPr>
          <w:t>Vision et objectifs</w:t>
        </w:r>
        <w:r w:rsidRPr="00EA33BE">
          <w:rPr>
            <w:noProof/>
            <w:webHidden/>
          </w:rPr>
          <w:tab/>
        </w:r>
        <w:r w:rsidRPr="00EA33BE">
          <w:rPr>
            <w:noProof/>
            <w:webHidden/>
          </w:rPr>
          <w:fldChar w:fldCharType="begin"/>
        </w:r>
        <w:r w:rsidRPr="00EA33BE">
          <w:rPr>
            <w:noProof/>
            <w:webHidden/>
          </w:rPr>
          <w:instrText xml:space="preserve"> PAGEREF _Toc170139293 \h </w:instrText>
        </w:r>
        <w:r w:rsidRPr="00EA33BE">
          <w:rPr>
            <w:noProof/>
            <w:webHidden/>
          </w:rPr>
        </w:r>
        <w:r w:rsidRPr="00EA33BE">
          <w:rPr>
            <w:noProof/>
            <w:webHidden/>
          </w:rPr>
          <w:fldChar w:fldCharType="separate"/>
        </w:r>
        <w:r w:rsidRPr="00EA33BE">
          <w:rPr>
            <w:noProof/>
            <w:webHidden/>
          </w:rPr>
          <w:t>7</w:t>
        </w:r>
        <w:r w:rsidRPr="00EA33BE">
          <w:rPr>
            <w:noProof/>
            <w:webHidden/>
          </w:rPr>
          <w:fldChar w:fldCharType="end"/>
        </w:r>
      </w:hyperlink>
    </w:p>
    <w:p w14:paraId="21D0CC63" w14:textId="746CBB9E" w:rsidR="00EA33BE" w:rsidRPr="00EA33BE" w:rsidRDefault="00EA33BE" w:rsidP="00EA33BE">
      <w:pPr>
        <w:pStyle w:val="TM3"/>
        <w:rPr>
          <w:rFonts w:asciiTheme="minorHAnsi" w:eastAsiaTheme="minorEastAsia" w:hAnsiTheme="minorHAnsi" w:cstheme="minorBidi"/>
          <w:b/>
          <w:bCs/>
          <w:noProof/>
          <w:snapToGrid/>
          <w:kern w:val="2"/>
          <w:sz w:val="24"/>
          <w14:ligatures w14:val="standardContextual"/>
        </w:rPr>
      </w:pPr>
      <w:hyperlink w:anchor="_Toc170139294" w:history="1">
        <w:r w:rsidRPr="00EA33BE">
          <w:rPr>
            <w:rStyle w:val="Lienhypertexte"/>
            <w:rFonts w:eastAsia="DengXian Light"/>
            <w:b/>
            <w:bCs/>
            <w:noProof/>
            <w:lang w:val="en-GB"/>
          </w:rPr>
          <w:t>III.</w:t>
        </w:r>
        <w:r w:rsidRPr="00EA33BE">
          <w:rPr>
            <w:rFonts w:asciiTheme="minorHAnsi" w:eastAsiaTheme="minorEastAsia" w:hAnsiTheme="minorHAnsi" w:cstheme="minorBidi"/>
            <w:b/>
            <w:bCs/>
            <w:noProof/>
            <w:snapToGrid/>
            <w:kern w:val="2"/>
            <w:sz w:val="24"/>
            <w14:ligatures w14:val="standardContextual"/>
          </w:rPr>
          <w:tab/>
        </w:r>
        <w:r w:rsidRPr="00EA33BE">
          <w:rPr>
            <w:rStyle w:val="Lienhypertexte"/>
            <w:rFonts w:eastAsia="DengXian Light"/>
            <w:b/>
            <w:bCs/>
            <w:noProof/>
            <w:lang w:val="en-GB"/>
          </w:rPr>
          <w:t>Résultats et activités</w:t>
        </w:r>
        <w:r w:rsidRPr="00EA33BE">
          <w:rPr>
            <w:noProof/>
            <w:webHidden/>
          </w:rPr>
          <w:tab/>
        </w:r>
        <w:r w:rsidRPr="00EA33BE">
          <w:rPr>
            <w:noProof/>
            <w:webHidden/>
          </w:rPr>
          <w:fldChar w:fldCharType="begin"/>
        </w:r>
        <w:r w:rsidRPr="00EA33BE">
          <w:rPr>
            <w:noProof/>
            <w:webHidden/>
          </w:rPr>
          <w:instrText xml:space="preserve"> PAGEREF _Toc170139294 \h </w:instrText>
        </w:r>
        <w:r w:rsidRPr="00EA33BE">
          <w:rPr>
            <w:noProof/>
            <w:webHidden/>
          </w:rPr>
        </w:r>
        <w:r w:rsidRPr="00EA33BE">
          <w:rPr>
            <w:noProof/>
            <w:webHidden/>
          </w:rPr>
          <w:fldChar w:fldCharType="separate"/>
        </w:r>
        <w:r w:rsidRPr="00EA33BE">
          <w:rPr>
            <w:noProof/>
            <w:webHidden/>
          </w:rPr>
          <w:t>9</w:t>
        </w:r>
        <w:r w:rsidRPr="00EA33BE">
          <w:rPr>
            <w:noProof/>
            <w:webHidden/>
          </w:rPr>
          <w:fldChar w:fldCharType="end"/>
        </w:r>
      </w:hyperlink>
    </w:p>
    <w:p w14:paraId="623DC61C" w14:textId="0F2843D4" w:rsidR="00EA33BE" w:rsidRPr="00EA33BE" w:rsidRDefault="00EA33BE" w:rsidP="00EA33BE">
      <w:pPr>
        <w:pStyle w:val="TM3"/>
        <w:rPr>
          <w:rFonts w:asciiTheme="minorHAnsi" w:eastAsiaTheme="minorEastAsia" w:hAnsiTheme="minorHAnsi" w:cstheme="minorBidi"/>
          <w:b/>
          <w:bCs/>
          <w:noProof/>
          <w:snapToGrid/>
          <w:kern w:val="2"/>
          <w:sz w:val="24"/>
          <w14:ligatures w14:val="standardContextual"/>
        </w:rPr>
      </w:pPr>
      <w:hyperlink w:anchor="_Toc170139295" w:history="1">
        <w:r w:rsidRPr="00EA33BE">
          <w:rPr>
            <w:rStyle w:val="Lienhypertexte"/>
            <w:rFonts w:eastAsia="DengXian Light"/>
            <w:b/>
            <w:bCs/>
            <w:noProof/>
          </w:rPr>
          <w:t>IV.</w:t>
        </w:r>
        <w:r w:rsidRPr="00EA33BE">
          <w:rPr>
            <w:rFonts w:asciiTheme="minorHAnsi" w:eastAsiaTheme="minorEastAsia" w:hAnsiTheme="minorHAnsi" w:cstheme="minorBidi"/>
            <w:b/>
            <w:bCs/>
            <w:noProof/>
            <w:snapToGrid/>
            <w:kern w:val="2"/>
            <w:sz w:val="24"/>
            <w14:ligatures w14:val="standardContextual"/>
          </w:rPr>
          <w:tab/>
        </w:r>
        <w:r w:rsidRPr="00EA33BE">
          <w:rPr>
            <w:rStyle w:val="Lienhypertexte"/>
            <w:rFonts w:eastAsia="DengXian Light"/>
            <w:b/>
            <w:bCs/>
            <w:noProof/>
          </w:rPr>
          <w:t>Mise en œuvre</w:t>
        </w:r>
        <w:r w:rsidRPr="00EA33BE">
          <w:rPr>
            <w:noProof/>
            <w:webHidden/>
          </w:rPr>
          <w:tab/>
        </w:r>
        <w:r w:rsidRPr="00EA33BE">
          <w:rPr>
            <w:noProof/>
            <w:webHidden/>
          </w:rPr>
          <w:fldChar w:fldCharType="begin"/>
        </w:r>
        <w:r w:rsidRPr="00EA33BE">
          <w:rPr>
            <w:noProof/>
            <w:webHidden/>
          </w:rPr>
          <w:instrText xml:space="preserve"> PAGEREF _Toc170139295 \h </w:instrText>
        </w:r>
        <w:r w:rsidRPr="00EA33BE">
          <w:rPr>
            <w:noProof/>
            <w:webHidden/>
          </w:rPr>
        </w:r>
        <w:r w:rsidRPr="00EA33BE">
          <w:rPr>
            <w:noProof/>
            <w:webHidden/>
          </w:rPr>
          <w:fldChar w:fldCharType="separate"/>
        </w:r>
        <w:r w:rsidRPr="00EA33BE">
          <w:rPr>
            <w:noProof/>
            <w:webHidden/>
          </w:rPr>
          <w:t>12</w:t>
        </w:r>
        <w:r w:rsidRPr="00EA33BE">
          <w:rPr>
            <w:noProof/>
            <w:webHidden/>
          </w:rPr>
          <w:fldChar w:fldCharType="end"/>
        </w:r>
      </w:hyperlink>
    </w:p>
    <w:p w14:paraId="76E5F955" w14:textId="00E63948" w:rsidR="00EA33BE" w:rsidRDefault="00EA33BE" w:rsidP="00EA33BE">
      <w:pPr>
        <w:pStyle w:val="TM2"/>
        <w:rPr>
          <w:rFonts w:asciiTheme="minorHAnsi" w:eastAsiaTheme="minorEastAsia" w:hAnsiTheme="minorHAnsi" w:cstheme="minorBidi"/>
          <w:noProof/>
          <w:snapToGrid/>
          <w:kern w:val="2"/>
          <w:sz w:val="24"/>
          <w14:ligatures w14:val="standardContextual"/>
        </w:rPr>
      </w:pPr>
      <w:hyperlink w:anchor="_Toc170139296" w:history="1">
        <w:r w:rsidRPr="0025213D">
          <w:rPr>
            <w:rStyle w:val="Lienhypertexte"/>
            <w:rFonts w:eastAsia="DengXian Light"/>
            <w:noProof/>
            <w:lang w:eastAsia="en-GB"/>
          </w:rPr>
          <w:t>Mécanisme d’orientation</w:t>
        </w:r>
        <w:r>
          <w:rPr>
            <w:noProof/>
            <w:webHidden/>
          </w:rPr>
          <w:tab/>
        </w:r>
        <w:r>
          <w:rPr>
            <w:noProof/>
            <w:webHidden/>
          </w:rPr>
          <w:fldChar w:fldCharType="begin"/>
        </w:r>
        <w:r>
          <w:rPr>
            <w:noProof/>
            <w:webHidden/>
          </w:rPr>
          <w:instrText xml:space="preserve"> PAGEREF _Toc170139296 \h </w:instrText>
        </w:r>
        <w:r>
          <w:rPr>
            <w:noProof/>
            <w:webHidden/>
          </w:rPr>
        </w:r>
        <w:r>
          <w:rPr>
            <w:noProof/>
            <w:webHidden/>
          </w:rPr>
          <w:fldChar w:fldCharType="separate"/>
        </w:r>
        <w:r>
          <w:rPr>
            <w:noProof/>
            <w:webHidden/>
          </w:rPr>
          <w:t>13</w:t>
        </w:r>
        <w:r>
          <w:rPr>
            <w:noProof/>
            <w:webHidden/>
          </w:rPr>
          <w:fldChar w:fldCharType="end"/>
        </w:r>
      </w:hyperlink>
    </w:p>
    <w:p w14:paraId="521E4045" w14:textId="01C0A689" w:rsidR="00F06878" w:rsidRPr="005630A7" w:rsidRDefault="00EA33BE" w:rsidP="00210697">
      <w:pPr>
        <w:tabs>
          <w:tab w:val="clear" w:pos="567"/>
        </w:tabs>
        <w:snapToGrid/>
        <w:spacing w:before="120" w:after="240"/>
        <w:jc w:val="both"/>
        <w:textAlignment w:val="baseline"/>
        <w:rPr>
          <w:rFonts w:eastAsia="Times New Roman" w:cs="Arial"/>
          <w:bCs/>
          <w:snapToGrid/>
          <w:color w:val="000000"/>
          <w:szCs w:val="22"/>
          <w:lang w:eastAsia="en-US"/>
        </w:rPr>
      </w:pPr>
      <w:r>
        <w:rPr>
          <w:rFonts w:eastAsia="Times New Roman" w:cs="Arial"/>
          <w:b/>
          <w:bCs/>
          <w:strike/>
          <w:snapToGrid/>
          <w:color w:val="000000"/>
          <w:szCs w:val="22"/>
          <w:lang w:eastAsia="en-US"/>
        </w:rPr>
        <w:fldChar w:fldCharType="end"/>
      </w:r>
    </w:p>
    <w:p w14:paraId="35B708D4" w14:textId="49DA83DB" w:rsidR="005630A7" w:rsidRDefault="005630A7">
      <w:pPr>
        <w:tabs>
          <w:tab w:val="clear" w:pos="567"/>
        </w:tabs>
        <w:snapToGrid/>
        <w:rPr>
          <w:rFonts w:eastAsia="Times New Roman" w:cs="Arial"/>
          <w:bCs/>
          <w:snapToGrid/>
          <w:color w:val="000000"/>
          <w:szCs w:val="22"/>
          <w:lang w:eastAsia="en-US"/>
        </w:rPr>
      </w:pPr>
      <w:r>
        <w:rPr>
          <w:rFonts w:eastAsia="Times New Roman" w:cs="Arial"/>
          <w:bCs/>
          <w:snapToGrid/>
          <w:color w:val="000000"/>
          <w:szCs w:val="22"/>
          <w:lang w:eastAsia="en-US"/>
        </w:rPr>
        <w:br w:type="page"/>
      </w:r>
    </w:p>
    <w:p w14:paraId="00EEAB87" w14:textId="41396089" w:rsidR="00FA60C7" w:rsidRPr="005630A7" w:rsidRDefault="005630A7" w:rsidP="00CD1DAF">
      <w:pPr>
        <w:pStyle w:val="Titre3"/>
        <w:rPr>
          <w:snapToGrid/>
        </w:rPr>
      </w:pPr>
      <w:bookmarkStart w:id="3" w:name="_Toc170139291"/>
      <w:r w:rsidRPr="005630A7">
        <w:rPr>
          <w:snapToGrid/>
        </w:rPr>
        <w:lastRenderedPageBreak/>
        <w:t>I.</w:t>
      </w:r>
      <w:r w:rsidRPr="005630A7">
        <w:rPr>
          <w:snapToGrid/>
        </w:rPr>
        <w:tab/>
        <w:t>Introduction</w:t>
      </w:r>
      <w:bookmarkEnd w:id="3"/>
    </w:p>
    <w:p w14:paraId="5F3713BC" w14:textId="4546E9F5" w:rsidR="00FA60C7" w:rsidRPr="00FA60C7" w:rsidRDefault="00FA60C7" w:rsidP="00FA60C7">
      <w:pPr>
        <w:tabs>
          <w:tab w:val="clear" w:pos="567"/>
        </w:tabs>
        <w:snapToGrid/>
        <w:spacing w:before="120" w:after="240"/>
        <w:jc w:val="both"/>
        <w:textAlignment w:val="baseline"/>
        <w:rPr>
          <w:rFonts w:eastAsia="Times New Roman" w:cs="Arial"/>
          <w:snapToGrid/>
          <w:color w:val="000000"/>
          <w:szCs w:val="22"/>
          <w:lang w:eastAsia="en-US"/>
        </w:rPr>
      </w:pPr>
      <w:r w:rsidRPr="00FA60C7">
        <w:rPr>
          <w:rFonts w:eastAsia="Times New Roman" w:cs="Arial"/>
          <w:snapToGrid/>
          <w:color w:val="000000"/>
          <w:szCs w:val="22"/>
          <w:lang w:eastAsia="en-US"/>
        </w:rPr>
        <w:t>1.</w:t>
      </w:r>
      <w:r w:rsidRPr="00FA60C7">
        <w:rPr>
          <w:rFonts w:eastAsia="Times New Roman" w:cs="Arial"/>
          <w:snapToGrid/>
          <w:color w:val="000000"/>
          <w:szCs w:val="22"/>
          <w:lang w:eastAsia="en-US"/>
        </w:rPr>
        <w:tab/>
      </w:r>
      <w:r w:rsidR="00275103" w:rsidRPr="00275103">
        <w:rPr>
          <w:rFonts w:eastAsia="Times New Roman" w:cs="Arial"/>
          <w:snapToGrid/>
          <w:color w:val="000000"/>
          <w:szCs w:val="22"/>
          <w:lang w:eastAsia="en-US"/>
        </w:rPr>
        <w:t>L</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 xml:space="preserve">océan est </w:t>
      </w:r>
      <w:r w:rsidR="008B20A4">
        <w:rPr>
          <w:rFonts w:eastAsia="Times New Roman" w:cs="Arial"/>
          <w:snapToGrid/>
          <w:color w:val="000000"/>
          <w:szCs w:val="22"/>
          <w:lang w:eastAsia="en-US"/>
        </w:rPr>
        <w:t>fondamental pour</w:t>
      </w:r>
      <w:r w:rsidR="00275103" w:rsidRPr="00275103">
        <w:rPr>
          <w:rFonts w:eastAsia="Times New Roman" w:cs="Arial"/>
          <w:snapToGrid/>
          <w:color w:val="000000"/>
          <w:szCs w:val="22"/>
          <w:lang w:eastAsia="en-US"/>
        </w:rPr>
        <w:t xml:space="preserve"> l</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 xml:space="preserve">économie mondiale et </w:t>
      </w:r>
      <w:r w:rsidR="008B20A4">
        <w:rPr>
          <w:rFonts w:eastAsia="Times New Roman" w:cs="Arial"/>
          <w:snapToGrid/>
          <w:color w:val="000000"/>
          <w:szCs w:val="22"/>
          <w:lang w:eastAsia="en-US"/>
        </w:rPr>
        <w:t>pour</w:t>
      </w:r>
      <w:r w:rsidR="00275103" w:rsidRPr="00275103">
        <w:rPr>
          <w:rFonts w:eastAsia="Times New Roman" w:cs="Arial"/>
          <w:snapToGrid/>
          <w:color w:val="000000"/>
          <w:szCs w:val="22"/>
          <w:lang w:eastAsia="en-US"/>
        </w:rPr>
        <w:t xml:space="preserve"> la santé de notre planète. Cette relation </w:t>
      </w:r>
      <w:r w:rsidR="008B20A4">
        <w:rPr>
          <w:rFonts w:eastAsia="Times New Roman" w:cs="Arial"/>
          <w:snapToGrid/>
          <w:color w:val="000000"/>
          <w:szCs w:val="22"/>
          <w:lang w:eastAsia="en-US"/>
        </w:rPr>
        <w:t>met l</w:t>
      </w:r>
      <w:r w:rsidR="00BC1B1E">
        <w:rPr>
          <w:rFonts w:eastAsia="Times New Roman" w:cs="Arial"/>
          <w:snapToGrid/>
          <w:color w:val="000000"/>
          <w:szCs w:val="22"/>
          <w:lang w:eastAsia="en-US"/>
        </w:rPr>
        <w:t>’</w:t>
      </w:r>
      <w:r w:rsidR="008B20A4">
        <w:rPr>
          <w:rFonts w:eastAsia="Times New Roman" w:cs="Arial"/>
          <w:snapToGrid/>
          <w:color w:val="000000"/>
          <w:szCs w:val="22"/>
          <w:lang w:eastAsia="en-US"/>
        </w:rPr>
        <w:t>accent sur</w:t>
      </w:r>
      <w:r w:rsidR="00275103" w:rsidRPr="00275103">
        <w:rPr>
          <w:rFonts w:eastAsia="Times New Roman" w:cs="Arial"/>
          <w:snapToGrid/>
          <w:color w:val="000000"/>
          <w:szCs w:val="22"/>
          <w:lang w:eastAsia="en-US"/>
        </w:rPr>
        <w:t xml:space="preserve"> le rôle impératif que </w:t>
      </w:r>
      <w:r w:rsidR="00AC28E6" w:rsidRPr="00275103">
        <w:rPr>
          <w:rFonts w:eastAsia="Times New Roman" w:cs="Arial"/>
          <w:snapToGrid/>
          <w:color w:val="000000"/>
          <w:szCs w:val="22"/>
          <w:lang w:eastAsia="en-US"/>
        </w:rPr>
        <w:t xml:space="preserve">doivent jouer </w:t>
      </w:r>
      <w:r w:rsidR="00275103" w:rsidRPr="00275103">
        <w:rPr>
          <w:rFonts w:eastAsia="Times New Roman" w:cs="Arial"/>
          <w:snapToGrid/>
          <w:color w:val="000000"/>
          <w:szCs w:val="22"/>
          <w:lang w:eastAsia="en-US"/>
        </w:rPr>
        <w:t>la planification et la gestion durables de l</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 xml:space="preserve">océan </w:t>
      </w:r>
      <w:r w:rsidR="007B5CFA">
        <w:rPr>
          <w:rFonts w:eastAsia="Times New Roman" w:cs="Arial"/>
          <w:snapToGrid/>
          <w:color w:val="000000"/>
          <w:szCs w:val="22"/>
          <w:lang w:eastAsia="en-US"/>
        </w:rPr>
        <w:t>dans l</w:t>
      </w:r>
      <w:r w:rsidR="00BC1B1E">
        <w:rPr>
          <w:rFonts w:eastAsia="Times New Roman" w:cs="Arial"/>
          <w:snapToGrid/>
          <w:color w:val="000000"/>
          <w:szCs w:val="22"/>
          <w:lang w:eastAsia="en-US"/>
        </w:rPr>
        <w:t>’</w:t>
      </w:r>
      <w:r w:rsidR="007B5CFA">
        <w:rPr>
          <w:rFonts w:eastAsia="Times New Roman" w:cs="Arial"/>
          <w:snapToGrid/>
          <w:color w:val="000000"/>
          <w:szCs w:val="22"/>
          <w:lang w:eastAsia="en-US"/>
        </w:rPr>
        <w:t>adaptation</w:t>
      </w:r>
      <w:r w:rsidR="00275103" w:rsidRPr="00275103">
        <w:rPr>
          <w:rFonts w:eastAsia="Times New Roman" w:cs="Arial"/>
          <w:snapToGrid/>
          <w:color w:val="000000"/>
          <w:szCs w:val="22"/>
          <w:lang w:eastAsia="en-US"/>
        </w:rPr>
        <w:t xml:space="preserve"> </w:t>
      </w:r>
      <w:r w:rsidR="00AC28E6">
        <w:rPr>
          <w:rFonts w:eastAsia="Times New Roman" w:cs="Arial"/>
          <w:snapToGrid/>
          <w:color w:val="000000"/>
          <w:szCs w:val="22"/>
          <w:lang w:eastAsia="en-US"/>
        </w:rPr>
        <w:t>au caractère</w:t>
      </w:r>
      <w:r w:rsidR="00275103" w:rsidRPr="00275103">
        <w:rPr>
          <w:rFonts w:eastAsia="Times New Roman" w:cs="Arial"/>
          <w:snapToGrid/>
          <w:color w:val="000000"/>
          <w:szCs w:val="22"/>
          <w:lang w:eastAsia="en-US"/>
        </w:rPr>
        <w:t xml:space="preserve"> dynamique du changement climatique</w:t>
      </w:r>
      <w:r w:rsidR="00AC28E6">
        <w:rPr>
          <w:rFonts w:eastAsia="Times New Roman" w:cs="Arial"/>
          <w:snapToGrid/>
          <w:color w:val="000000"/>
          <w:szCs w:val="22"/>
          <w:lang w:eastAsia="en-US"/>
        </w:rPr>
        <w:t>,</w:t>
      </w:r>
      <w:r w:rsidR="00275103" w:rsidRPr="00275103">
        <w:rPr>
          <w:rFonts w:eastAsia="Times New Roman" w:cs="Arial"/>
          <w:snapToGrid/>
          <w:color w:val="000000"/>
          <w:szCs w:val="22"/>
          <w:lang w:eastAsia="en-US"/>
        </w:rPr>
        <w:t xml:space="preserve"> tout en garantissant la vitalité des systèmes écologique, social et économique</w:t>
      </w:r>
      <w:r w:rsidR="00AC28E6" w:rsidRPr="00AC28E6">
        <w:rPr>
          <w:rFonts w:eastAsia="Times New Roman" w:cs="Arial"/>
          <w:snapToGrid/>
          <w:color w:val="000000"/>
          <w:szCs w:val="22"/>
          <w:lang w:eastAsia="en-US"/>
        </w:rPr>
        <w:t xml:space="preserve"> </w:t>
      </w:r>
      <w:r w:rsidR="00AC28E6" w:rsidRPr="00275103">
        <w:rPr>
          <w:rFonts w:eastAsia="Times New Roman" w:cs="Arial"/>
          <w:snapToGrid/>
          <w:color w:val="000000"/>
          <w:szCs w:val="22"/>
          <w:lang w:eastAsia="en-US"/>
        </w:rPr>
        <w:t>à l</w:t>
      </w:r>
      <w:r w:rsidR="00BC1B1E">
        <w:rPr>
          <w:rFonts w:eastAsia="Times New Roman" w:cs="Arial"/>
          <w:snapToGrid/>
          <w:color w:val="000000"/>
          <w:szCs w:val="22"/>
          <w:lang w:eastAsia="en-US"/>
        </w:rPr>
        <w:t>’</w:t>
      </w:r>
      <w:r w:rsidR="00AC28E6" w:rsidRPr="00275103">
        <w:rPr>
          <w:rFonts w:eastAsia="Times New Roman" w:cs="Arial"/>
          <w:snapToGrid/>
          <w:color w:val="000000"/>
          <w:szCs w:val="22"/>
          <w:lang w:eastAsia="en-US"/>
        </w:rPr>
        <w:t>avenir</w:t>
      </w:r>
      <w:r w:rsidR="00275103" w:rsidRPr="00275103">
        <w:rPr>
          <w:rFonts w:eastAsia="Times New Roman" w:cs="Arial"/>
          <w:snapToGrid/>
          <w:color w:val="000000"/>
          <w:szCs w:val="22"/>
          <w:lang w:eastAsia="en-US"/>
        </w:rPr>
        <w:t>. La prise en compte d</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approches de planification et de gestion durables de l</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 xml:space="preserve">océan dans les processus de formulation des politiques et de prise de décisions permet non seulement de </w:t>
      </w:r>
      <w:r w:rsidR="007B5CFA">
        <w:rPr>
          <w:rFonts w:eastAsia="Times New Roman" w:cs="Arial"/>
          <w:snapToGrid/>
          <w:color w:val="000000"/>
          <w:szCs w:val="22"/>
          <w:lang w:eastAsia="en-US"/>
        </w:rPr>
        <w:t>favoriser</w:t>
      </w:r>
      <w:r w:rsidR="00275103" w:rsidRPr="00275103">
        <w:rPr>
          <w:rFonts w:eastAsia="Times New Roman" w:cs="Arial"/>
          <w:snapToGrid/>
          <w:color w:val="000000"/>
          <w:szCs w:val="22"/>
          <w:lang w:eastAsia="en-US"/>
        </w:rPr>
        <w:t xml:space="preserve"> les fonctions vitales de l</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océan, mais aussi de renforcer la viabilité économique future</w:t>
      </w:r>
      <w:r w:rsidR="007B5CFA">
        <w:rPr>
          <w:rFonts w:eastAsia="Times New Roman" w:cs="Arial"/>
          <w:snapToGrid/>
          <w:color w:val="000000"/>
          <w:szCs w:val="22"/>
          <w:lang w:eastAsia="en-US"/>
        </w:rPr>
        <w:t>.</w:t>
      </w:r>
    </w:p>
    <w:p w14:paraId="0EC2D4EB" w14:textId="2CC8B741" w:rsidR="00275103" w:rsidRPr="00275103" w:rsidRDefault="00FA60C7" w:rsidP="00275103">
      <w:pPr>
        <w:tabs>
          <w:tab w:val="clear" w:pos="567"/>
        </w:tabs>
        <w:snapToGrid/>
        <w:spacing w:before="120" w:after="240"/>
        <w:jc w:val="both"/>
        <w:textAlignment w:val="baseline"/>
        <w:rPr>
          <w:rFonts w:eastAsia="Times New Roman" w:cs="Arial"/>
          <w:snapToGrid/>
          <w:color w:val="000000"/>
          <w:szCs w:val="22"/>
          <w:lang w:eastAsia="en-US"/>
        </w:rPr>
      </w:pPr>
      <w:r w:rsidRPr="00FA60C7">
        <w:rPr>
          <w:rFonts w:eastAsia="Times New Roman" w:cs="Arial"/>
          <w:snapToGrid/>
          <w:color w:val="000000"/>
          <w:szCs w:val="22"/>
          <w:lang w:eastAsia="en-US"/>
        </w:rPr>
        <w:t>2.</w:t>
      </w:r>
      <w:r w:rsidRPr="00FA60C7">
        <w:rPr>
          <w:rFonts w:eastAsia="Times New Roman" w:cs="Arial"/>
          <w:snapToGrid/>
          <w:color w:val="000000"/>
          <w:szCs w:val="22"/>
          <w:lang w:eastAsia="en-US"/>
        </w:rPr>
        <w:tab/>
      </w:r>
      <w:r w:rsidR="00275103" w:rsidRPr="00275103">
        <w:rPr>
          <w:rFonts w:eastAsia="Times New Roman" w:cs="Arial"/>
          <w:snapToGrid/>
          <w:color w:val="000000"/>
          <w:szCs w:val="22"/>
          <w:lang w:eastAsia="en-US"/>
        </w:rPr>
        <w:t>L</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importance d</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une approche intégrée de la gestion de l</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 xml:space="preserve">océan est reconnue </w:t>
      </w:r>
      <w:r w:rsidR="007B5CFA">
        <w:rPr>
          <w:rFonts w:eastAsia="Times New Roman" w:cs="Arial"/>
          <w:snapToGrid/>
          <w:color w:val="000000"/>
          <w:szCs w:val="22"/>
          <w:lang w:eastAsia="en-US"/>
        </w:rPr>
        <w:t>dans le cadre de</w:t>
      </w:r>
      <w:r w:rsidR="00275103" w:rsidRPr="00275103">
        <w:rPr>
          <w:rFonts w:eastAsia="Times New Roman" w:cs="Arial"/>
          <w:snapToGrid/>
          <w:color w:val="000000"/>
          <w:szCs w:val="22"/>
          <w:lang w:eastAsia="en-US"/>
        </w:rPr>
        <w:t xml:space="preserve"> </w:t>
      </w:r>
      <w:r w:rsidR="007B5CFA">
        <w:rPr>
          <w:rFonts w:eastAsia="Times New Roman" w:cs="Arial"/>
          <w:snapToGrid/>
          <w:color w:val="000000"/>
          <w:szCs w:val="22"/>
          <w:lang w:eastAsia="en-US"/>
        </w:rPr>
        <w:t>plusieurs</w:t>
      </w:r>
      <w:r w:rsidR="00275103" w:rsidRPr="00275103">
        <w:rPr>
          <w:rFonts w:eastAsia="Times New Roman" w:cs="Arial"/>
          <w:snapToGrid/>
          <w:color w:val="000000"/>
          <w:szCs w:val="22"/>
          <w:lang w:eastAsia="en-US"/>
        </w:rPr>
        <w:t xml:space="preserve"> engagements internationaux, au sein de la COI ou </w:t>
      </w:r>
      <w:r w:rsidR="007B5CFA">
        <w:rPr>
          <w:rFonts w:eastAsia="Times New Roman" w:cs="Arial"/>
          <w:snapToGrid/>
          <w:color w:val="000000"/>
          <w:szCs w:val="22"/>
          <w:lang w:eastAsia="en-US"/>
        </w:rPr>
        <w:t>en dehors</w:t>
      </w:r>
      <w:r w:rsidR="00275103" w:rsidRPr="00275103">
        <w:rPr>
          <w:rFonts w:eastAsia="Times New Roman" w:cs="Arial"/>
          <w:snapToGrid/>
          <w:color w:val="000000"/>
          <w:szCs w:val="22"/>
          <w:lang w:eastAsia="en-US"/>
        </w:rPr>
        <w:t xml:space="preserve">, </w:t>
      </w:r>
      <w:r w:rsidR="001A529C">
        <w:rPr>
          <w:rFonts w:eastAsia="Times New Roman" w:cs="Arial"/>
          <w:snapToGrid/>
          <w:color w:val="000000"/>
          <w:szCs w:val="22"/>
          <w:lang w:eastAsia="en-US"/>
        </w:rPr>
        <w:t>comme</w:t>
      </w:r>
      <w:r w:rsidR="00275103" w:rsidRPr="00275103">
        <w:rPr>
          <w:rFonts w:eastAsia="Times New Roman" w:cs="Arial"/>
          <w:snapToGrid/>
          <w:color w:val="000000"/>
          <w:szCs w:val="22"/>
          <w:lang w:eastAsia="en-US"/>
        </w:rPr>
        <w:t xml:space="preserve"> les objectifs de développement durable des Nations Unies (en particulier l</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objectif 14), l</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Accord se rapportant à la Convention des Nations Unies sur le droit de la mer et portant sur la conservation et l</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utilisation durable de la diversité biologique marine des zones ne relevant pas de la juridiction nationale, la Décennie des Nations Unies pour les sciences océaniques au service du développement durable (Décennie de l</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Océan), la Convention-cadre des Nations Unies sur les changements climatiques (CCNUCC) et son Accord de Paris, le Groupe de haut niveau pour une économie océanique durable (le Groupe) et la Déclaration de Lisbonne adoptée à l</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 xml:space="preserve">issue de la Conférence des Nations Unies sur les océans. </w:t>
      </w:r>
      <w:r w:rsidR="004575FF">
        <w:rPr>
          <w:rFonts w:eastAsia="Times New Roman" w:cs="Arial"/>
          <w:snapToGrid/>
          <w:color w:val="000000"/>
          <w:szCs w:val="22"/>
          <w:lang w:eastAsia="en-US"/>
        </w:rPr>
        <w:t>À l</w:t>
      </w:r>
      <w:r w:rsidR="00BC1B1E">
        <w:rPr>
          <w:rFonts w:eastAsia="Times New Roman" w:cs="Arial"/>
          <w:snapToGrid/>
          <w:color w:val="000000"/>
          <w:szCs w:val="22"/>
          <w:lang w:eastAsia="en-US"/>
        </w:rPr>
        <w:t>’</w:t>
      </w:r>
      <w:r w:rsidR="004575FF">
        <w:rPr>
          <w:rFonts w:eastAsia="Times New Roman" w:cs="Arial"/>
          <w:snapToGrid/>
          <w:color w:val="000000"/>
          <w:szCs w:val="22"/>
          <w:lang w:eastAsia="en-US"/>
        </w:rPr>
        <w:t>heure où</w:t>
      </w:r>
      <w:r w:rsidR="00275103" w:rsidRPr="00275103">
        <w:rPr>
          <w:rFonts w:eastAsia="Times New Roman" w:cs="Arial"/>
          <w:snapToGrid/>
          <w:color w:val="000000"/>
          <w:szCs w:val="22"/>
          <w:lang w:eastAsia="en-US"/>
        </w:rPr>
        <w:t xml:space="preserve"> les obligations internationales en matière de gestion de l</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océan exigent un recours plus étendu à la science, la COI est bien placée pour tirer parti de son leadership et de sa position au niveau mondial afin d</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 xml:space="preserve">aider les pays à tenir leurs engagements en les faisant bénéficier de sa formidable expertise scientifique et technique et en matière de données. Ce rôle est par ailleurs souligné dans le mandat fondamental de la COI, </w:t>
      </w:r>
      <w:r w:rsidR="001A529C">
        <w:rPr>
          <w:rFonts w:eastAsia="Times New Roman" w:cs="Arial"/>
          <w:snapToGrid/>
          <w:color w:val="000000"/>
          <w:szCs w:val="22"/>
          <w:lang w:eastAsia="en-US"/>
        </w:rPr>
        <w:t>énoncé</w:t>
      </w:r>
      <w:r w:rsidR="00275103" w:rsidRPr="00275103">
        <w:rPr>
          <w:rFonts w:eastAsia="Times New Roman" w:cs="Arial"/>
          <w:snapToGrid/>
          <w:color w:val="000000"/>
          <w:szCs w:val="22"/>
          <w:lang w:eastAsia="en-US"/>
        </w:rPr>
        <w:t xml:space="preserve"> à l</w:t>
      </w:r>
      <w:r w:rsidR="00BC1B1E">
        <w:rPr>
          <w:rFonts w:eastAsia="Times New Roman" w:cs="Arial"/>
          <w:snapToGrid/>
          <w:color w:val="000000"/>
          <w:szCs w:val="22"/>
          <w:lang w:eastAsia="en-US"/>
        </w:rPr>
        <w:t>’</w:t>
      </w:r>
      <w:r w:rsidR="00275103" w:rsidRPr="00275103">
        <w:rPr>
          <w:rFonts w:eastAsia="Times New Roman" w:cs="Arial"/>
          <w:snapToGrid/>
          <w:color w:val="000000"/>
          <w:szCs w:val="22"/>
          <w:lang w:eastAsia="en-US"/>
        </w:rPr>
        <w:t>article 2.1 de ses statuts.</w:t>
      </w:r>
    </w:p>
    <w:p w14:paraId="636F0433" w14:textId="65ECF7F4" w:rsidR="00275103" w:rsidRPr="00275103" w:rsidRDefault="001A529C" w:rsidP="00275103">
      <w:pPr>
        <w:tabs>
          <w:tab w:val="clear" w:pos="567"/>
        </w:tabs>
        <w:snapToGrid/>
        <w:spacing w:before="120" w:after="240"/>
        <w:ind w:left="567" w:right="566"/>
        <w:jc w:val="both"/>
        <w:textAlignment w:val="baseline"/>
        <w:rPr>
          <w:rFonts w:eastAsia="Times New Roman" w:cs="Arial"/>
          <w:i/>
          <w:snapToGrid/>
          <w:color w:val="000000"/>
          <w:szCs w:val="22"/>
          <w:lang w:eastAsia="en-US"/>
        </w:rPr>
      </w:pPr>
      <w:r w:rsidRPr="00463CF8">
        <w:rPr>
          <w:rFonts w:eastAsia="Times New Roman" w:cs="Arial"/>
          <w:iCs/>
          <w:snapToGrid/>
          <w:color w:val="000000"/>
          <w:szCs w:val="22"/>
          <w:lang w:eastAsia="en-US"/>
        </w:rPr>
        <w:t>«</w:t>
      </w:r>
      <w:r>
        <w:rPr>
          <w:rFonts w:eastAsia="Times New Roman" w:cs="Arial"/>
          <w:i/>
          <w:snapToGrid/>
          <w:color w:val="000000"/>
          <w:szCs w:val="22"/>
          <w:lang w:eastAsia="en-US"/>
        </w:rPr>
        <w:t> </w:t>
      </w:r>
      <w:r w:rsidR="00275103" w:rsidRPr="00275103">
        <w:rPr>
          <w:rFonts w:eastAsia="Times New Roman" w:cs="Arial"/>
          <w:i/>
          <w:snapToGrid/>
          <w:color w:val="000000"/>
          <w:szCs w:val="22"/>
          <w:lang w:eastAsia="en-US"/>
        </w:rPr>
        <w:t>[…] promouvoir la coopération internationale et […] coordonner les programmes de recherche, les services et le renforcement des capacités afin d</w:t>
      </w:r>
      <w:r w:rsidR="00BC1B1E">
        <w:rPr>
          <w:rFonts w:eastAsia="Times New Roman" w:cs="Arial"/>
          <w:i/>
          <w:snapToGrid/>
          <w:color w:val="000000"/>
          <w:szCs w:val="22"/>
          <w:lang w:eastAsia="en-US"/>
        </w:rPr>
        <w:t>’</w:t>
      </w:r>
      <w:r w:rsidR="00275103" w:rsidRPr="00275103">
        <w:rPr>
          <w:rFonts w:eastAsia="Times New Roman" w:cs="Arial"/>
          <w:i/>
          <w:snapToGrid/>
          <w:color w:val="000000"/>
          <w:szCs w:val="22"/>
          <w:lang w:eastAsia="en-US"/>
        </w:rPr>
        <w:t>accroître les connaissances relatives à la nature et aux ressources des océans et des zones côtières et d</w:t>
      </w:r>
      <w:r w:rsidR="00BC1B1E">
        <w:rPr>
          <w:rFonts w:eastAsia="Times New Roman" w:cs="Arial"/>
          <w:i/>
          <w:snapToGrid/>
          <w:color w:val="000000"/>
          <w:szCs w:val="22"/>
          <w:lang w:eastAsia="en-US"/>
        </w:rPr>
        <w:t>’</w:t>
      </w:r>
      <w:r w:rsidR="00275103" w:rsidRPr="00275103">
        <w:rPr>
          <w:rFonts w:eastAsia="Times New Roman" w:cs="Arial"/>
          <w:i/>
          <w:snapToGrid/>
          <w:color w:val="000000"/>
          <w:szCs w:val="22"/>
          <w:lang w:eastAsia="en-US"/>
        </w:rPr>
        <w:t>appliquer ces connaissances à l</w:t>
      </w:r>
      <w:r w:rsidR="00BC1B1E">
        <w:rPr>
          <w:rFonts w:eastAsia="Times New Roman" w:cs="Arial"/>
          <w:i/>
          <w:snapToGrid/>
          <w:color w:val="000000"/>
          <w:szCs w:val="22"/>
          <w:lang w:eastAsia="en-US"/>
        </w:rPr>
        <w:t>’</w:t>
      </w:r>
      <w:r w:rsidR="00275103" w:rsidRPr="00275103">
        <w:rPr>
          <w:rFonts w:eastAsia="Times New Roman" w:cs="Arial"/>
          <w:i/>
          <w:snapToGrid/>
          <w:color w:val="000000"/>
          <w:szCs w:val="22"/>
          <w:lang w:eastAsia="en-US"/>
        </w:rPr>
        <w:t>amélioration de la gestion, au développement durable, à la protection du milieu marin et aux processus de prise de décisions par ses États membres.</w:t>
      </w:r>
      <w:r>
        <w:rPr>
          <w:rFonts w:eastAsia="Times New Roman" w:cs="Arial"/>
          <w:i/>
          <w:snapToGrid/>
          <w:color w:val="000000"/>
          <w:szCs w:val="22"/>
          <w:lang w:eastAsia="en-US"/>
        </w:rPr>
        <w:t> </w:t>
      </w:r>
      <w:r w:rsidRPr="00463CF8">
        <w:rPr>
          <w:rFonts w:eastAsia="Times New Roman" w:cs="Arial"/>
          <w:iCs/>
          <w:snapToGrid/>
          <w:color w:val="000000"/>
          <w:szCs w:val="22"/>
          <w:lang w:eastAsia="en-US"/>
        </w:rPr>
        <w:t>»</w:t>
      </w:r>
    </w:p>
    <w:p w14:paraId="350107A6" w14:textId="05A7A6ED" w:rsidR="00275103" w:rsidRPr="00275103" w:rsidRDefault="00275103" w:rsidP="00275103">
      <w:pPr>
        <w:tabs>
          <w:tab w:val="clear" w:pos="567"/>
        </w:tabs>
        <w:snapToGrid/>
        <w:spacing w:before="120" w:after="240"/>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3.</w:t>
      </w:r>
      <w:r w:rsidRPr="00275103">
        <w:rPr>
          <w:rFonts w:eastAsia="Times New Roman" w:cs="Arial"/>
          <w:snapToGrid/>
          <w:color w:val="000000"/>
          <w:szCs w:val="22"/>
          <w:lang w:eastAsia="en-US"/>
        </w:rPr>
        <w:tab/>
        <w:t xml:space="preserve">En septembre 2021, </w:t>
      </w:r>
      <w:r w:rsidR="001A529C">
        <w:rPr>
          <w:rFonts w:eastAsia="Times New Roman" w:cs="Arial"/>
          <w:snapToGrid/>
          <w:color w:val="000000"/>
          <w:szCs w:val="22"/>
          <w:lang w:eastAsia="en-US"/>
        </w:rPr>
        <w:t>le Service d</w:t>
      </w:r>
      <w:r w:rsidR="00BC1B1E">
        <w:rPr>
          <w:rFonts w:eastAsia="Times New Roman" w:cs="Arial"/>
          <w:snapToGrid/>
          <w:color w:val="000000"/>
          <w:szCs w:val="22"/>
          <w:lang w:eastAsia="en-US"/>
        </w:rPr>
        <w:t>’</w:t>
      </w:r>
      <w:r w:rsidR="001A529C">
        <w:rPr>
          <w:rFonts w:eastAsia="Times New Roman" w:cs="Arial"/>
          <w:snapToGrid/>
          <w:color w:val="000000"/>
          <w:szCs w:val="22"/>
          <w:lang w:eastAsia="en-US"/>
        </w:rPr>
        <w:t>évaluation et d</w:t>
      </w:r>
      <w:r w:rsidR="00BC1B1E">
        <w:rPr>
          <w:rFonts w:eastAsia="Times New Roman" w:cs="Arial"/>
          <w:snapToGrid/>
          <w:color w:val="000000"/>
          <w:szCs w:val="22"/>
          <w:lang w:eastAsia="en-US"/>
        </w:rPr>
        <w:t>’</w:t>
      </w:r>
      <w:r w:rsidR="001A529C">
        <w:rPr>
          <w:rFonts w:eastAsia="Times New Roman" w:cs="Arial"/>
          <w:snapToGrid/>
          <w:color w:val="000000"/>
          <w:szCs w:val="22"/>
          <w:lang w:eastAsia="en-US"/>
        </w:rPr>
        <w:t>audit</w:t>
      </w:r>
      <w:r w:rsidRPr="00275103">
        <w:rPr>
          <w:rFonts w:eastAsia="Times New Roman" w:cs="Arial"/>
          <w:snapToGrid/>
          <w:color w:val="000000"/>
          <w:szCs w:val="22"/>
          <w:lang w:eastAsia="en-US"/>
        </w:rPr>
        <w:t xml:space="preserve">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UNESCO a publié son évaluation du positionnement stratégique de la COI-UNESCO (</w:t>
      </w:r>
      <w:hyperlink r:id="rId10" w:history="1">
        <w:r w:rsidRPr="001A529C">
          <w:rPr>
            <w:rStyle w:val="Lienhypertexte"/>
            <w:rFonts w:eastAsia="Times New Roman" w:cs="Arial"/>
            <w:snapToGrid/>
            <w:szCs w:val="22"/>
            <w:lang w:eastAsia="en-US"/>
          </w:rPr>
          <w:t>L</w:t>
        </w:r>
        <w:r w:rsidR="00BC1B1E">
          <w:rPr>
            <w:rStyle w:val="Lienhypertexte"/>
            <w:rFonts w:eastAsia="Times New Roman" w:cs="Arial"/>
            <w:snapToGrid/>
            <w:szCs w:val="22"/>
            <w:lang w:eastAsia="en-US"/>
          </w:rPr>
          <w:t>’</w:t>
        </w:r>
        <w:r w:rsidRPr="001A529C">
          <w:rPr>
            <w:rStyle w:val="Lienhypertexte"/>
            <w:rFonts w:eastAsia="Times New Roman" w:cs="Arial"/>
            <w:snapToGrid/>
            <w:szCs w:val="22"/>
            <w:lang w:eastAsia="en-US"/>
          </w:rPr>
          <w:t>évaluation</w:t>
        </w:r>
      </w:hyperlink>
      <w:r w:rsidRPr="00275103">
        <w:rPr>
          <w:rFonts w:eastAsia="Times New Roman" w:cs="Arial"/>
          <w:snapToGrid/>
          <w:color w:val="000000"/>
          <w:szCs w:val="22"/>
          <w:lang w:eastAsia="en-US"/>
        </w:rPr>
        <w:t>). Ce document comprenait un ensemble de six recommandations et des propositions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action.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évaluation a souligné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importance croissante de la COI pour la gestion durable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océan et le rôle central que la Commission devrait exercer. </w:t>
      </w:r>
    </w:p>
    <w:p w14:paraId="038F2D19" w14:textId="72ABF57E" w:rsidR="00275103" w:rsidRPr="00B06592" w:rsidRDefault="00573163" w:rsidP="00275103">
      <w:pPr>
        <w:tabs>
          <w:tab w:val="clear" w:pos="567"/>
        </w:tabs>
        <w:snapToGrid/>
        <w:spacing w:before="120" w:after="240"/>
        <w:ind w:left="567" w:right="566"/>
        <w:jc w:val="both"/>
        <w:textAlignment w:val="baseline"/>
        <w:rPr>
          <w:rFonts w:eastAsia="Times New Roman" w:cs="Arial"/>
          <w:i/>
          <w:snapToGrid/>
          <w:color w:val="000000"/>
          <w:szCs w:val="22"/>
          <w:lang w:eastAsia="en-US"/>
        </w:rPr>
      </w:pPr>
      <w:r w:rsidRPr="00463CF8">
        <w:rPr>
          <w:rFonts w:eastAsia="Times New Roman" w:cs="Arial"/>
          <w:iCs/>
          <w:snapToGrid/>
          <w:color w:val="000000"/>
          <w:szCs w:val="22"/>
          <w:lang w:eastAsia="en-US"/>
        </w:rPr>
        <w:t>«</w:t>
      </w:r>
      <w:r>
        <w:rPr>
          <w:rFonts w:eastAsia="Times New Roman" w:cs="Arial"/>
          <w:i/>
          <w:snapToGrid/>
          <w:color w:val="000000"/>
          <w:szCs w:val="22"/>
          <w:lang w:eastAsia="en-US"/>
        </w:rPr>
        <w:t> </w:t>
      </w:r>
      <w:r w:rsidR="00275103" w:rsidRPr="00275103">
        <w:rPr>
          <w:rFonts w:eastAsia="Times New Roman" w:cs="Arial"/>
          <w:i/>
          <w:snapToGrid/>
          <w:color w:val="000000"/>
          <w:szCs w:val="22"/>
          <w:lang w:eastAsia="en-US"/>
        </w:rPr>
        <w:t>Dans le cadre du Programme 2030, la COI voit son rôle encore accru. La Décennie est donc pour elle une occasion de réaffirmer sa position de chef de file mondial et sa pertinence pour les membres d</w:t>
      </w:r>
      <w:r w:rsidR="00BC1B1E">
        <w:rPr>
          <w:rFonts w:eastAsia="Times New Roman" w:cs="Arial"/>
          <w:i/>
          <w:snapToGrid/>
          <w:color w:val="000000"/>
          <w:szCs w:val="22"/>
          <w:lang w:eastAsia="en-US"/>
        </w:rPr>
        <w:t>’</w:t>
      </w:r>
      <w:r w:rsidR="00275103" w:rsidRPr="00275103">
        <w:rPr>
          <w:rFonts w:eastAsia="Times New Roman" w:cs="Arial"/>
          <w:i/>
          <w:snapToGrid/>
          <w:color w:val="000000"/>
          <w:szCs w:val="22"/>
          <w:lang w:eastAsia="en-US"/>
        </w:rPr>
        <w:t>ONU-Océans, les décideurs et le monde entier s</w:t>
      </w:r>
      <w:r w:rsidR="00BC1B1E">
        <w:rPr>
          <w:rFonts w:eastAsia="Times New Roman" w:cs="Arial"/>
          <w:i/>
          <w:snapToGrid/>
          <w:color w:val="000000"/>
          <w:szCs w:val="22"/>
          <w:lang w:eastAsia="en-US"/>
        </w:rPr>
        <w:t>’</w:t>
      </w:r>
      <w:r w:rsidR="00275103" w:rsidRPr="00275103">
        <w:rPr>
          <w:rFonts w:eastAsia="Times New Roman" w:cs="Arial"/>
          <w:i/>
          <w:snapToGrid/>
          <w:color w:val="000000"/>
          <w:szCs w:val="22"/>
          <w:lang w:eastAsia="en-US"/>
        </w:rPr>
        <w:t>agiss</w:t>
      </w:r>
      <w:r w:rsidR="00275103" w:rsidRPr="00B06592">
        <w:rPr>
          <w:rFonts w:eastAsia="Times New Roman" w:cs="Arial"/>
          <w:i/>
          <w:snapToGrid/>
          <w:color w:val="000000"/>
          <w:szCs w:val="22"/>
          <w:lang w:eastAsia="en-US"/>
        </w:rPr>
        <w:t>ant d</w:t>
      </w:r>
      <w:r w:rsidR="00BC1B1E" w:rsidRPr="00B06592">
        <w:rPr>
          <w:rFonts w:eastAsia="Times New Roman" w:cs="Arial"/>
          <w:i/>
          <w:snapToGrid/>
          <w:color w:val="000000"/>
          <w:szCs w:val="22"/>
          <w:lang w:eastAsia="en-US"/>
        </w:rPr>
        <w:t>’</w:t>
      </w:r>
      <w:r w:rsidR="00275103" w:rsidRPr="00B06592">
        <w:rPr>
          <w:rFonts w:eastAsia="Times New Roman" w:cs="Arial"/>
          <w:i/>
          <w:snapToGrid/>
          <w:color w:val="000000"/>
          <w:szCs w:val="22"/>
          <w:lang w:eastAsia="en-US"/>
        </w:rPr>
        <w:t>assurer une gestion plus durable des océans.</w:t>
      </w:r>
      <w:r w:rsidR="001A529C" w:rsidRPr="00B06592">
        <w:rPr>
          <w:rFonts w:eastAsia="Times New Roman" w:cs="Arial"/>
          <w:i/>
          <w:snapToGrid/>
          <w:color w:val="000000"/>
          <w:szCs w:val="22"/>
          <w:lang w:eastAsia="en-US"/>
        </w:rPr>
        <w:t> </w:t>
      </w:r>
      <w:r w:rsidR="001A529C" w:rsidRPr="00B06592">
        <w:rPr>
          <w:rFonts w:eastAsia="Times New Roman" w:cs="Arial"/>
          <w:iCs/>
          <w:snapToGrid/>
          <w:color w:val="000000"/>
          <w:szCs w:val="22"/>
          <w:lang w:eastAsia="en-US"/>
        </w:rPr>
        <w:t>»</w:t>
      </w:r>
    </w:p>
    <w:p w14:paraId="679875DF" w14:textId="408DF0BC" w:rsidR="00275103" w:rsidRDefault="00275103" w:rsidP="00275103">
      <w:pPr>
        <w:tabs>
          <w:tab w:val="clear" w:pos="567"/>
        </w:tabs>
        <w:snapToGrid/>
        <w:spacing w:before="120" w:after="240"/>
        <w:jc w:val="both"/>
        <w:textAlignment w:val="baseline"/>
        <w:rPr>
          <w:rFonts w:eastAsia="Times New Roman" w:cs="Arial"/>
          <w:snapToGrid/>
          <w:color w:val="000000"/>
          <w:szCs w:val="22"/>
          <w:lang w:eastAsia="en-US"/>
        </w:rPr>
      </w:pPr>
      <w:r w:rsidRPr="00B06592">
        <w:rPr>
          <w:rFonts w:eastAsia="Times New Roman" w:cs="Arial"/>
          <w:snapToGrid/>
          <w:color w:val="000000"/>
          <w:szCs w:val="22"/>
          <w:lang w:eastAsia="en-US"/>
        </w:rPr>
        <w:t>4.</w:t>
      </w:r>
      <w:r w:rsidRPr="00B06592">
        <w:rPr>
          <w:rFonts w:eastAsia="Times New Roman" w:cs="Arial"/>
          <w:snapToGrid/>
          <w:color w:val="000000"/>
          <w:szCs w:val="22"/>
          <w:lang w:eastAsia="en-US"/>
        </w:rPr>
        <w:tab/>
        <w:t xml:space="preserve">La </w:t>
      </w:r>
      <w:r w:rsidR="00573163" w:rsidRPr="00B06592">
        <w:rPr>
          <w:rFonts w:eastAsia="Times New Roman" w:cs="Arial"/>
          <w:snapToGrid/>
          <w:color w:val="000000"/>
          <w:szCs w:val="22"/>
          <w:lang w:eastAsia="en-US"/>
        </w:rPr>
        <w:t>s</w:t>
      </w:r>
      <w:r w:rsidRPr="00B06592">
        <w:rPr>
          <w:rFonts w:eastAsia="Times New Roman" w:cs="Arial"/>
          <w:snapToGrid/>
          <w:color w:val="000000"/>
          <w:szCs w:val="22"/>
          <w:lang w:eastAsia="en-US"/>
        </w:rPr>
        <w:t>tratégie à l</w:t>
      </w:r>
      <w:r w:rsidR="00BC1B1E" w:rsidRPr="00B06592">
        <w:rPr>
          <w:rFonts w:eastAsia="Times New Roman" w:cs="Arial"/>
          <w:snapToGrid/>
          <w:color w:val="000000"/>
          <w:szCs w:val="22"/>
          <w:lang w:eastAsia="en-US"/>
        </w:rPr>
        <w:t>’</w:t>
      </w:r>
      <w:r w:rsidRPr="00B06592">
        <w:rPr>
          <w:rFonts w:eastAsia="Times New Roman" w:cs="Arial"/>
          <w:snapToGrid/>
          <w:color w:val="000000"/>
          <w:szCs w:val="22"/>
          <w:lang w:eastAsia="en-US"/>
        </w:rPr>
        <w:t>échelle de la COI pour la planification et la gestion durables de l</w:t>
      </w:r>
      <w:r w:rsidR="00BC1B1E" w:rsidRPr="00B06592">
        <w:rPr>
          <w:rFonts w:eastAsia="Times New Roman" w:cs="Arial"/>
          <w:snapToGrid/>
          <w:color w:val="000000"/>
          <w:szCs w:val="22"/>
          <w:lang w:eastAsia="en-US"/>
        </w:rPr>
        <w:t>’</w:t>
      </w:r>
      <w:r w:rsidRPr="00B06592">
        <w:rPr>
          <w:rFonts w:eastAsia="Times New Roman" w:cs="Arial"/>
          <w:snapToGrid/>
          <w:color w:val="000000"/>
          <w:szCs w:val="22"/>
          <w:lang w:eastAsia="en-US"/>
        </w:rPr>
        <w:t xml:space="preserve">océan pour la période 2024-2030 (la </w:t>
      </w:r>
      <w:r w:rsidR="00573163" w:rsidRPr="00B06592">
        <w:rPr>
          <w:rFonts w:eastAsia="Times New Roman" w:cs="Arial"/>
          <w:snapToGrid/>
          <w:color w:val="000000"/>
          <w:szCs w:val="22"/>
          <w:lang w:eastAsia="en-US"/>
        </w:rPr>
        <w:t>s</w:t>
      </w:r>
      <w:r w:rsidRPr="00B06592">
        <w:rPr>
          <w:rFonts w:eastAsia="Times New Roman" w:cs="Arial"/>
          <w:snapToGrid/>
          <w:color w:val="000000"/>
          <w:szCs w:val="22"/>
          <w:lang w:eastAsia="en-US"/>
        </w:rPr>
        <w:t xml:space="preserve">tratégie) est </w:t>
      </w:r>
      <w:r w:rsidR="00573163" w:rsidRPr="00B06592">
        <w:rPr>
          <w:rFonts w:eastAsia="Times New Roman" w:cs="Arial"/>
          <w:snapToGrid/>
          <w:color w:val="000000"/>
          <w:szCs w:val="22"/>
          <w:lang w:eastAsia="en-US"/>
        </w:rPr>
        <w:t xml:space="preserve">par ailleurs </w:t>
      </w:r>
      <w:r w:rsidRPr="00B06592">
        <w:rPr>
          <w:rFonts w:eastAsia="Times New Roman" w:cs="Arial"/>
          <w:snapToGrid/>
          <w:color w:val="000000"/>
          <w:szCs w:val="22"/>
          <w:lang w:eastAsia="en-US"/>
        </w:rPr>
        <w:t>conforme aux fonctions et aux objectifs de haut niveau actuels de la COI (</w:t>
      </w:r>
      <w:r w:rsidR="00D02C09" w:rsidRPr="00B06592">
        <w:rPr>
          <w:rFonts w:eastAsia="Times New Roman" w:cs="Arial"/>
          <w:snapToGrid/>
          <w:color w:val="000000"/>
          <w:szCs w:val="22"/>
          <w:u w:val="single"/>
          <w:lang w:eastAsia="en-US"/>
        </w:rPr>
        <w:t xml:space="preserve">Figure </w:t>
      </w:r>
      <w:r w:rsidRPr="00B06592">
        <w:rPr>
          <w:rFonts w:eastAsia="Times New Roman" w:cs="Arial"/>
          <w:snapToGrid/>
          <w:color w:val="000000"/>
          <w:szCs w:val="22"/>
          <w:u w:val="single"/>
          <w:lang w:eastAsia="en-US"/>
        </w:rPr>
        <w:t>1</w:t>
      </w:r>
      <w:r w:rsidRPr="00B06592">
        <w:rPr>
          <w:rFonts w:eastAsia="Times New Roman" w:cs="Arial"/>
          <w:snapToGrid/>
          <w:color w:val="000000"/>
          <w:szCs w:val="22"/>
          <w:lang w:eastAsia="en-US"/>
        </w:rPr>
        <w:t xml:space="preserve">). </w:t>
      </w:r>
      <w:r w:rsidR="00744D87" w:rsidRPr="00B06592">
        <w:rPr>
          <w:rFonts w:eastAsia="Times New Roman" w:cs="Arial"/>
          <w:snapToGrid/>
          <w:color w:val="000000"/>
          <w:szCs w:val="22"/>
          <w:lang w:eastAsia="en-US"/>
        </w:rPr>
        <w:t>C</w:t>
      </w:r>
      <w:r w:rsidRPr="00B06592">
        <w:rPr>
          <w:rFonts w:eastAsia="Times New Roman" w:cs="Arial"/>
          <w:snapToGrid/>
          <w:color w:val="000000"/>
          <w:szCs w:val="22"/>
          <w:lang w:eastAsia="en-US"/>
        </w:rPr>
        <w:t xml:space="preserve">es fonctions et </w:t>
      </w:r>
      <w:r w:rsidR="00573163" w:rsidRPr="00B06592">
        <w:rPr>
          <w:rFonts w:eastAsia="Times New Roman" w:cs="Arial"/>
          <w:snapToGrid/>
          <w:color w:val="000000"/>
          <w:szCs w:val="22"/>
          <w:lang w:eastAsia="en-US"/>
        </w:rPr>
        <w:t>c</w:t>
      </w:r>
      <w:r w:rsidRPr="00B06592">
        <w:rPr>
          <w:rFonts w:eastAsia="Times New Roman" w:cs="Arial"/>
          <w:snapToGrid/>
          <w:color w:val="000000"/>
          <w:szCs w:val="22"/>
          <w:lang w:eastAsia="en-US"/>
        </w:rPr>
        <w:t xml:space="preserve">es objectifs de haut niveau </w:t>
      </w:r>
      <w:r w:rsidR="00573163" w:rsidRPr="00B06592">
        <w:rPr>
          <w:rFonts w:eastAsia="Times New Roman" w:cs="Arial"/>
          <w:snapToGrid/>
          <w:color w:val="000000"/>
          <w:szCs w:val="22"/>
          <w:lang w:eastAsia="en-US"/>
        </w:rPr>
        <w:t xml:space="preserve">sont </w:t>
      </w:r>
      <w:r w:rsidR="00744D87" w:rsidRPr="00B06592">
        <w:rPr>
          <w:rFonts w:eastAsia="Times New Roman" w:cs="Arial"/>
          <w:snapToGrid/>
          <w:color w:val="000000"/>
          <w:szCs w:val="22"/>
          <w:lang w:eastAsia="en-US"/>
        </w:rPr>
        <w:t>étroitement reliés à</w:t>
      </w:r>
      <w:r w:rsidRPr="00B06592">
        <w:rPr>
          <w:rFonts w:eastAsia="Times New Roman" w:cs="Arial"/>
          <w:snapToGrid/>
          <w:color w:val="000000"/>
          <w:szCs w:val="22"/>
          <w:lang w:eastAsia="en-US"/>
        </w:rPr>
        <w:t xml:space="preserve"> la </w:t>
      </w:r>
      <w:r w:rsidR="00573163" w:rsidRPr="00B06592">
        <w:rPr>
          <w:rFonts w:eastAsia="Times New Roman" w:cs="Arial"/>
          <w:snapToGrid/>
          <w:color w:val="000000"/>
          <w:szCs w:val="22"/>
          <w:lang w:eastAsia="en-US"/>
        </w:rPr>
        <w:t>s</w:t>
      </w:r>
      <w:r w:rsidRPr="00B06592">
        <w:rPr>
          <w:rFonts w:eastAsia="Times New Roman" w:cs="Arial"/>
          <w:snapToGrid/>
          <w:color w:val="000000"/>
          <w:szCs w:val="22"/>
          <w:lang w:eastAsia="en-US"/>
        </w:rPr>
        <w:t>tratégie afin de permettre une</w:t>
      </w:r>
      <w:r w:rsidRPr="00275103">
        <w:rPr>
          <w:rFonts w:eastAsia="Times New Roman" w:cs="Arial"/>
          <w:snapToGrid/>
          <w:color w:val="000000"/>
          <w:szCs w:val="22"/>
          <w:lang w:eastAsia="en-US"/>
        </w:rPr>
        <w:t xml:space="preserve"> approche globale et efficace de la planification et de la gestion durables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océan, étayée par les informations scientifiques</w:t>
      </w:r>
      <w:r w:rsidR="00744D87">
        <w:rPr>
          <w:rFonts w:eastAsia="Times New Roman" w:cs="Arial"/>
          <w:snapToGrid/>
          <w:color w:val="000000"/>
          <w:szCs w:val="22"/>
          <w:lang w:eastAsia="en-US"/>
        </w:rPr>
        <w:t xml:space="preserve"> les plus solides</w:t>
      </w:r>
      <w:r w:rsidRPr="00275103">
        <w:rPr>
          <w:rFonts w:eastAsia="Times New Roman" w:cs="Arial"/>
          <w:snapToGrid/>
          <w:color w:val="000000"/>
          <w:szCs w:val="22"/>
          <w:lang w:eastAsia="en-US"/>
        </w:rPr>
        <w:t xml:space="preserve">. Cette conformité garantit que la </w:t>
      </w:r>
      <w:r w:rsidR="00744D87">
        <w:rPr>
          <w:rFonts w:eastAsia="Times New Roman" w:cs="Arial"/>
          <w:snapToGrid/>
          <w:color w:val="000000"/>
          <w:szCs w:val="22"/>
          <w:lang w:eastAsia="en-US"/>
        </w:rPr>
        <w:t>s</w:t>
      </w:r>
      <w:r w:rsidRPr="00275103">
        <w:rPr>
          <w:rFonts w:eastAsia="Times New Roman" w:cs="Arial"/>
          <w:snapToGrid/>
          <w:color w:val="000000"/>
          <w:szCs w:val="22"/>
          <w:lang w:eastAsia="en-US"/>
        </w:rPr>
        <w:t xml:space="preserve">tratégie tire parti des atouts existants de la COI, tout en amplifiant son impact global et en étendant sa portée mondiale. </w:t>
      </w:r>
    </w:p>
    <w:p w14:paraId="3B35A10C" w14:textId="77777777" w:rsidR="00573163" w:rsidRPr="00275103" w:rsidRDefault="00573163" w:rsidP="00275103">
      <w:pPr>
        <w:tabs>
          <w:tab w:val="clear" w:pos="567"/>
        </w:tabs>
        <w:snapToGrid/>
        <w:spacing w:before="120" w:after="240"/>
        <w:jc w:val="both"/>
        <w:textAlignment w:val="baseline"/>
        <w:rPr>
          <w:rFonts w:eastAsia="Times New Roman" w:cs="Arial"/>
          <w:snapToGrid/>
          <w:color w:val="000000"/>
          <w:szCs w:val="22"/>
          <w:lang w:eastAsia="en-US"/>
        </w:rPr>
      </w:pPr>
    </w:p>
    <w:p w14:paraId="5EEEDD87" w14:textId="77777777" w:rsidR="00275103" w:rsidRPr="00275103" w:rsidRDefault="00275103" w:rsidP="00275103">
      <w:pPr>
        <w:tabs>
          <w:tab w:val="clear" w:pos="567"/>
        </w:tabs>
        <w:snapToGrid/>
        <w:spacing w:before="120" w:after="240"/>
        <w:jc w:val="both"/>
        <w:textAlignment w:val="baseline"/>
        <w:rPr>
          <w:rFonts w:eastAsia="Times New Roman" w:cs="Arial"/>
          <w:snapToGrid/>
          <w:color w:val="000000"/>
          <w:szCs w:val="22"/>
          <w:lang w:eastAsia="en-US"/>
        </w:rPr>
      </w:pPr>
    </w:p>
    <w:tbl>
      <w:tblPr>
        <w:tblStyle w:val="Grilledutableau"/>
        <w:tblW w:w="9781"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8363"/>
      </w:tblGrid>
      <w:tr w:rsidR="008B20A4" w:rsidRPr="00C307B1" w14:paraId="6AE7F7FB" w14:textId="77777777" w:rsidTr="00C307B1">
        <w:tc>
          <w:tcPr>
            <w:tcW w:w="1418" w:type="dxa"/>
            <w:tcMar>
              <w:left w:w="0" w:type="dxa"/>
            </w:tcMar>
          </w:tcPr>
          <w:p w14:paraId="6760A261" w14:textId="35E4224F" w:rsidR="00275103" w:rsidRPr="00C307B1" w:rsidRDefault="00275103" w:rsidP="00C307B1">
            <w:pPr>
              <w:tabs>
                <w:tab w:val="clear" w:pos="567"/>
              </w:tabs>
              <w:snapToGrid/>
              <w:spacing w:before="60" w:after="120"/>
              <w:textAlignment w:val="baseline"/>
              <w:rPr>
                <w:rFonts w:eastAsia="Times New Roman" w:cs="Arial"/>
                <w:b/>
                <w:snapToGrid/>
                <w:color w:val="000000"/>
                <w:szCs w:val="22"/>
                <w:lang w:eastAsia="en-US"/>
              </w:rPr>
            </w:pPr>
            <w:r w:rsidRPr="00C307B1">
              <w:rPr>
                <w:rFonts w:eastAsia="Times New Roman" w:cs="Arial"/>
                <w:b/>
                <w:snapToGrid/>
                <w:color w:val="000000"/>
                <w:szCs w:val="22"/>
                <w:lang w:eastAsia="en-US"/>
              </w:rPr>
              <w:lastRenderedPageBreak/>
              <w:t>Objectifs de haut niveau</w:t>
            </w:r>
          </w:p>
        </w:tc>
        <w:tc>
          <w:tcPr>
            <w:tcW w:w="8363" w:type="dxa"/>
            <w:tcMar>
              <w:left w:w="0" w:type="dxa"/>
              <w:right w:w="0" w:type="dxa"/>
            </w:tcMar>
          </w:tcPr>
          <w:p w14:paraId="0142634B" w14:textId="1560B5FB" w:rsidR="00275103" w:rsidRPr="00C307B1" w:rsidRDefault="00275103" w:rsidP="00C307B1">
            <w:pPr>
              <w:tabs>
                <w:tab w:val="clear" w:pos="567"/>
              </w:tabs>
              <w:snapToGrid/>
              <w:spacing w:before="60" w:after="120"/>
              <w:jc w:val="both"/>
              <w:textAlignment w:val="baseline"/>
              <w:rPr>
                <w:rFonts w:eastAsia="Times New Roman" w:cs="Arial"/>
                <w:snapToGrid/>
                <w:color w:val="000000"/>
                <w:szCs w:val="22"/>
                <w:lang w:eastAsia="en-US"/>
              </w:rPr>
            </w:pPr>
            <w:r w:rsidRPr="00C307B1">
              <w:rPr>
                <w:rFonts w:eastAsia="Times New Roman" w:cs="Arial"/>
                <w:snapToGrid/>
                <w:color w:val="000000"/>
                <w:szCs w:val="22"/>
                <w:lang w:eastAsia="en-US"/>
              </w:rPr>
              <w:t>Un océan sain et des services écosystémiques marins durables</w:t>
            </w:r>
          </w:p>
        </w:tc>
      </w:tr>
      <w:tr w:rsidR="008B20A4" w:rsidRPr="00C307B1" w14:paraId="10A5D22C" w14:textId="77777777" w:rsidTr="00C307B1">
        <w:tc>
          <w:tcPr>
            <w:tcW w:w="1418" w:type="dxa"/>
            <w:tcMar>
              <w:left w:w="0" w:type="dxa"/>
            </w:tcMar>
          </w:tcPr>
          <w:p w14:paraId="602139D1" w14:textId="77777777" w:rsidR="00275103" w:rsidRPr="00C307B1" w:rsidRDefault="00275103" w:rsidP="00C307B1">
            <w:pPr>
              <w:tabs>
                <w:tab w:val="clear" w:pos="567"/>
              </w:tabs>
              <w:snapToGrid/>
              <w:spacing w:before="60" w:after="120"/>
              <w:jc w:val="right"/>
              <w:textAlignment w:val="baseline"/>
              <w:rPr>
                <w:rFonts w:eastAsia="Times New Roman" w:cs="Arial"/>
                <w:snapToGrid/>
                <w:color w:val="000000"/>
                <w:szCs w:val="22"/>
                <w:lang w:eastAsia="en-US"/>
              </w:rPr>
            </w:pPr>
          </w:p>
        </w:tc>
        <w:tc>
          <w:tcPr>
            <w:tcW w:w="8363" w:type="dxa"/>
            <w:tcMar>
              <w:left w:w="0" w:type="dxa"/>
              <w:right w:w="0" w:type="dxa"/>
            </w:tcMar>
          </w:tcPr>
          <w:p w14:paraId="75B3E003" w14:textId="1AAC80CF" w:rsidR="00275103" w:rsidRPr="00C307B1" w:rsidRDefault="00275103" w:rsidP="00C307B1">
            <w:pPr>
              <w:tabs>
                <w:tab w:val="clear" w:pos="567"/>
              </w:tabs>
              <w:snapToGrid/>
              <w:spacing w:before="60" w:after="120"/>
              <w:jc w:val="both"/>
              <w:textAlignment w:val="baseline"/>
              <w:rPr>
                <w:rFonts w:eastAsia="Times New Roman" w:cs="Arial"/>
                <w:snapToGrid/>
                <w:color w:val="000000"/>
                <w:szCs w:val="22"/>
                <w:lang w:eastAsia="en-US"/>
              </w:rPr>
            </w:pPr>
            <w:r w:rsidRPr="00C307B1">
              <w:rPr>
                <w:rFonts w:eastAsia="Times New Roman" w:cs="Arial"/>
                <w:snapToGrid/>
                <w:color w:val="000000"/>
                <w:szCs w:val="22"/>
                <w:lang w:eastAsia="en-US"/>
              </w:rPr>
              <w:t>Des systèmes d</w:t>
            </w:r>
            <w:r w:rsidR="00BC1B1E">
              <w:rPr>
                <w:rFonts w:eastAsia="Times New Roman" w:cs="Arial"/>
                <w:snapToGrid/>
                <w:color w:val="000000"/>
                <w:szCs w:val="22"/>
                <w:lang w:eastAsia="en-US"/>
              </w:rPr>
              <w:t>’</w:t>
            </w:r>
            <w:r w:rsidRPr="00C307B1">
              <w:rPr>
                <w:rFonts w:eastAsia="Times New Roman" w:cs="Arial"/>
                <w:snapToGrid/>
                <w:color w:val="000000"/>
                <w:szCs w:val="22"/>
                <w:lang w:eastAsia="en-US"/>
              </w:rPr>
              <w:t>alerte efficaces et des mécanismes efficients de préparation aux tsunamis et autres aléas naturels liés aux océans</w:t>
            </w:r>
          </w:p>
        </w:tc>
      </w:tr>
      <w:tr w:rsidR="008B20A4" w:rsidRPr="00C307B1" w14:paraId="2FD54106" w14:textId="77777777" w:rsidTr="00C307B1">
        <w:tc>
          <w:tcPr>
            <w:tcW w:w="1418" w:type="dxa"/>
            <w:tcMar>
              <w:left w:w="0" w:type="dxa"/>
            </w:tcMar>
          </w:tcPr>
          <w:p w14:paraId="447C97DC" w14:textId="77777777" w:rsidR="00275103" w:rsidRPr="00C307B1" w:rsidRDefault="00275103" w:rsidP="00C307B1">
            <w:pPr>
              <w:tabs>
                <w:tab w:val="clear" w:pos="567"/>
              </w:tabs>
              <w:snapToGrid/>
              <w:spacing w:before="60" w:after="120"/>
              <w:jc w:val="right"/>
              <w:textAlignment w:val="baseline"/>
              <w:rPr>
                <w:rFonts w:eastAsia="Times New Roman" w:cs="Arial"/>
                <w:snapToGrid/>
                <w:color w:val="000000"/>
                <w:szCs w:val="22"/>
                <w:lang w:eastAsia="en-US"/>
              </w:rPr>
            </w:pPr>
          </w:p>
        </w:tc>
        <w:tc>
          <w:tcPr>
            <w:tcW w:w="8363" w:type="dxa"/>
            <w:tcMar>
              <w:left w:w="0" w:type="dxa"/>
              <w:right w:w="0" w:type="dxa"/>
            </w:tcMar>
          </w:tcPr>
          <w:p w14:paraId="7ADA9D66" w14:textId="475C8793" w:rsidR="00275103" w:rsidRPr="00C307B1" w:rsidRDefault="00275103" w:rsidP="00C307B1">
            <w:pPr>
              <w:tabs>
                <w:tab w:val="clear" w:pos="567"/>
              </w:tabs>
              <w:snapToGrid/>
              <w:spacing w:before="60" w:after="120"/>
              <w:jc w:val="both"/>
              <w:textAlignment w:val="baseline"/>
              <w:rPr>
                <w:rFonts w:eastAsia="Times New Roman" w:cs="Arial"/>
                <w:snapToGrid/>
                <w:color w:val="000000"/>
                <w:spacing w:val="-3"/>
                <w:szCs w:val="22"/>
                <w:lang w:eastAsia="en-US"/>
              </w:rPr>
            </w:pPr>
            <w:r w:rsidRPr="00C307B1">
              <w:rPr>
                <w:rFonts w:eastAsia="Times New Roman" w:cs="Arial"/>
                <w:snapToGrid/>
                <w:color w:val="000000"/>
                <w:spacing w:val="-3"/>
                <w:szCs w:val="22"/>
                <w:lang w:eastAsia="en-US"/>
              </w:rPr>
              <w:t>La résilience face au changement climatique et la contribution à l</w:t>
            </w:r>
            <w:r w:rsidR="00BC1B1E">
              <w:rPr>
                <w:rFonts w:eastAsia="Times New Roman" w:cs="Arial"/>
                <w:snapToGrid/>
                <w:color w:val="000000"/>
                <w:spacing w:val="-3"/>
                <w:szCs w:val="22"/>
                <w:lang w:eastAsia="en-US"/>
              </w:rPr>
              <w:t>’</w:t>
            </w:r>
            <w:r w:rsidRPr="00C307B1">
              <w:rPr>
                <w:rFonts w:eastAsia="Times New Roman" w:cs="Arial"/>
                <w:snapToGrid/>
                <w:color w:val="000000"/>
                <w:spacing w:val="-3"/>
                <w:szCs w:val="22"/>
                <w:lang w:eastAsia="en-US"/>
              </w:rPr>
              <w:t>atténuation de ses effets</w:t>
            </w:r>
          </w:p>
        </w:tc>
      </w:tr>
      <w:tr w:rsidR="008B20A4" w:rsidRPr="00C307B1" w14:paraId="49B7C225" w14:textId="77777777" w:rsidTr="00C307B1">
        <w:tc>
          <w:tcPr>
            <w:tcW w:w="1418" w:type="dxa"/>
            <w:tcMar>
              <w:left w:w="0" w:type="dxa"/>
            </w:tcMar>
          </w:tcPr>
          <w:p w14:paraId="232C5D78" w14:textId="77777777" w:rsidR="00275103" w:rsidRPr="00C307B1" w:rsidRDefault="00275103" w:rsidP="00C307B1">
            <w:pPr>
              <w:tabs>
                <w:tab w:val="clear" w:pos="567"/>
              </w:tabs>
              <w:snapToGrid/>
              <w:spacing w:before="60" w:after="120"/>
              <w:jc w:val="right"/>
              <w:textAlignment w:val="baseline"/>
              <w:rPr>
                <w:rFonts w:eastAsia="Times New Roman" w:cs="Arial"/>
                <w:snapToGrid/>
                <w:color w:val="000000"/>
                <w:szCs w:val="22"/>
                <w:lang w:eastAsia="en-US"/>
              </w:rPr>
            </w:pPr>
          </w:p>
        </w:tc>
        <w:tc>
          <w:tcPr>
            <w:tcW w:w="8363" w:type="dxa"/>
            <w:tcMar>
              <w:left w:w="0" w:type="dxa"/>
              <w:right w:w="0" w:type="dxa"/>
            </w:tcMar>
          </w:tcPr>
          <w:p w14:paraId="780A99B6" w14:textId="1F3103A6" w:rsidR="00275103" w:rsidRPr="00C307B1" w:rsidRDefault="00275103" w:rsidP="00C307B1">
            <w:pPr>
              <w:tabs>
                <w:tab w:val="clear" w:pos="567"/>
              </w:tabs>
              <w:snapToGrid/>
              <w:spacing w:before="60" w:after="120"/>
              <w:jc w:val="both"/>
              <w:textAlignment w:val="baseline"/>
              <w:rPr>
                <w:rFonts w:eastAsia="Times New Roman" w:cs="Arial"/>
                <w:snapToGrid/>
                <w:color w:val="000000"/>
                <w:szCs w:val="22"/>
                <w:lang w:eastAsia="en-US"/>
              </w:rPr>
            </w:pPr>
            <w:r w:rsidRPr="00C307B1">
              <w:rPr>
                <w:rFonts w:eastAsia="Times New Roman" w:cs="Arial"/>
                <w:snapToGrid/>
                <w:color w:val="000000"/>
                <w:szCs w:val="22"/>
                <w:lang w:eastAsia="en-US"/>
              </w:rPr>
              <w:t>Des services fondés sur les sciences pour une économie durable des océans</w:t>
            </w:r>
          </w:p>
        </w:tc>
      </w:tr>
      <w:tr w:rsidR="008B20A4" w:rsidRPr="00C307B1" w14:paraId="20CFB9F7" w14:textId="77777777" w:rsidTr="00C307B1">
        <w:tc>
          <w:tcPr>
            <w:tcW w:w="1418" w:type="dxa"/>
            <w:tcMar>
              <w:left w:w="0" w:type="dxa"/>
            </w:tcMar>
          </w:tcPr>
          <w:p w14:paraId="299FD5FE" w14:textId="77777777" w:rsidR="00275103" w:rsidRPr="00C307B1" w:rsidRDefault="00275103" w:rsidP="00C307B1">
            <w:pPr>
              <w:tabs>
                <w:tab w:val="clear" w:pos="567"/>
              </w:tabs>
              <w:snapToGrid/>
              <w:spacing w:before="60" w:after="120"/>
              <w:jc w:val="right"/>
              <w:textAlignment w:val="baseline"/>
              <w:rPr>
                <w:rFonts w:eastAsia="Times New Roman" w:cs="Arial"/>
                <w:snapToGrid/>
                <w:color w:val="000000"/>
                <w:szCs w:val="22"/>
                <w:lang w:eastAsia="en-US"/>
              </w:rPr>
            </w:pPr>
          </w:p>
        </w:tc>
        <w:tc>
          <w:tcPr>
            <w:tcW w:w="8363" w:type="dxa"/>
            <w:tcMar>
              <w:left w:w="0" w:type="dxa"/>
              <w:right w:w="0" w:type="dxa"/>
            </w:tcMar>
          </w:tcPr>
          <w:p w14:paraId="73E12EDD" w14:textId="7EE45833" w:rsidR="00275103" w:rsidRPr="00C307B1" w:rsidRDefault="00275103" w:rsidP="00C307B1">
            <w:pPr>
              <w:tabs>
                <w:tab w:val="clear" w:pos="567"/>
              </w:tabs>
              <w:snapToGrid/>
              <w:spacing w:before="60" w:after="120"/>
              <w:jc w:val="both"/>
              <w:textAlignment w:val="baseline"/>
              <w:rPr>
                <w:rFonts w:eastAsia="Times New Roman" w:cs="Arial"/>
                <w:snapToGrid/>
                <w:color w:val="000000"/>
                <w:szCs w:val="22"/>
                <w:lang w:eastAsia="en-US"/>
              </w:rPr>
            </w:pPr>
            <w:r w:rsidRPr="00C307B1">
              <w:rPr>
                <w:rFonts w:eastAsia="Times New Roman" w:cs="Arial"/>
                <w:snapToGrid/>
                <w:color w:val="000000"/>
                <w:szCs w:val="22"/>
                <w:lang w:eastAsia="en-US"/>
              </w:rPr>
              <w:t>L</w:t>
            </w:r>
            <w:r w:rsidR="00BC1B1E">
              <w:rPr>
                <w:rFonts w:eastAsia="Times New Roman" w:cs="Arial"/>
                <w:snapToGrid/>
                <w:color w:val="000000"/>
                <w:szCs w:val="22"/>
                <w:lang w:eastAsia="en-US"/>
              </w:rPr>
              <w:t>’</w:t>
            </w:r>
            <w:r w:rsidRPr="00C307B1">
              <w:rPr>
                <w:rFonts w:eastAsia="Times New Roman" w:cs="Arial"/>
                <w:snapToGrid/>
                <w:color w:val="000000"/>
                <w:szCs w:val="22"/>
                <w:lang w:eastAsia="en-US"/>
              </w:rPr>
              <w:t>anticipation des questions émergentes dans le domaine de l</w:t>
            </w:r>
            <w:r w:rsidR="00BC1B1E">
              <w:rPr>
                <w:rFonts w:eastAsia="Times New Roman" w:cs="Arial"/>
                <w:snapToGrid/>
                <w:color w:val="000000"/>
                <w:szCs w:val="22"/>
                <w:lang w:eastAsia="en-US"/>
              </w:rPr>
              <w:t>’</w:t>
            </w:r>
            <w:r w:rsidRPr="00C307B1">
              <w:rPr>
                <w:rFonts w:eastAsia="Times New Roman" w:cs="Arial"/>
                <w:snapToGrid/>
                <w:color w:val="000000"/>
                <w:szCs w:val="22"/>
                <w:lang w:eastAsia="en-US"/>
              </w:rPr>
              <w:t>océanographie</w:t>
            </w:r>
          </w:p>
        </w:tc>
      </w:tr>
      <w:tr w:rsidR="008B20A4" w:rsidRPr="00C307B1" w14:paraId="36048C27" w14:textId="77777777" w:rsidTr="00C307B1">
        <w:tc>
          <w:tcPr>
            <w:tcW w:w="1418" w:type="dxa"/>
            <w:tcMar>
              <w:left w:w="0" w:type="dxa"/>
            </w:tcMar>
          </w:tcPr>
          <w:p w14:paraId="5C1DFEF0" w14:textId="3F3D58D3" w:rsidR="00275103" w:rsidRPr="00C307B1" w:rsidRDefault="008B20A4" w:rsidP="00C307B1">
            <w:pPr>
              <w:tabs>
                <w:tab w:val="clear" w:pos="567"/>
              </w:tabs>
              <w:snapToGrid/>
              <w:spacing w:before="60" w:after="120"/>
              <w:textAlignment w:val="baseline"/>
              <w:rPr>
                <w:rFonts w:eastAsia="Times New Roman" w:cs="Arial"/>
                <w:b/>
                <w:snapToGrid/>
                <w:color w:val="000000"/>
                <w:szCs w:val="22"/>
                <w:lang w:eastAsia="en-US"/>
              </w:rPr>
            </w:pPr>
            <w:r w:rsidRPr="00C307B1">
              <w:rPr>
                <w:rFonts w:eastAsia="Times New Roman" w:cs="Arial"/>
                <w:b/>
                <w:snapToGrid/>
                <w:color w:val="000000"/>
                <w:szCs w:val="22"/>
                <w:lang w:eastAsia="en-US"/>
              </w:rPr>
              <w:t>Fonctions</w:t>
            </w:r>
          </w:p>
        </w:tc>
        <w:tc>
          <w:tcPr>
            <w:tcW w:w="8363" w:type="dxa"/>
            <w:tcMar>
              <w:left w:w="0" w:type="dxa"/>
              <w:right w:w="0" w:type="dxa"/>
            </w:tcMar>
          </w:tcPr>
          <w:p w14:paraId="05CA1E99" w14:textId="5FBA69AF" w:rsidR="00275103" w:rsidRPr="00C307B1" w:rsidRDefault="008B20A4" w:rsidP="00C307B1">
            <w:pPr>
              <w:tabs>
                <w:tab w:val="clear" w:pos="567"/>
              </w:tabs>
              <w:snapToGrid/>
              <w:spacing w:before="60" w:after="120"/>
              <w:jc w:val="both"/>
              <w:textAlignment w:val="baseline"/>
              <w:rPr>
                <w:rFonts w:eastAsia="Times New Roman" w:cs="Arial"/>
                <w:snapToGrid/>
                <w:color w:val="000000"/>
                <w:szCs w:val="22"/>
                <w:lang w:eastAsia="en-US"/>
              </w:rPr>
            </w:pPr>
            <w:r w:rsidRPr="00C307B1">
              <w:rPr>
                <w:rFonts w:eastAsia="Times New Roman" w:cs="Arial"/>
                <w:snapToGrid/>
                <w:color w:val="000000"/>
                <w:szCs w:val="22"/>
                <w:lang w:eastAsia="en-US"/>
              </w:rPr>
              <w:t>Recherche océanographique</w:t>
            </w:r>
            <w:r w:rsidR="00744D87" w:rsidRPr="00C307B1">
              <w:rPr>
                <w:rFonts w:eastAsia="Times New Roman" w:cs="Arial"/>
                <w:snapToGrid/>
                <w:color w:val="000000"/>
                <w:szCs w:val="22"/>
                <w:lang w:eastAsia="en-US"/>
              </w:rPr>
              <w:t> :</w:t>
            </w:r>
            <w:r w:rsidRPr="00C307B1">
              <w:rPr>
                <w:rFonts w:eastAsia="Times New Roman" w:cs="Arial"/>
                <w:snapToGrid/>
                <w:color w:val="000000"/>
                <w:szCs w:val="22"/>
                <w:lang w:eastAsia="en-US"/>
              </w:rPr>
              <w:t xml:space="preserve"> Favoriser la recherche pour renforcer la connaissance des processus océaniques et côtiers ainsi que des effets de l</w:t>
            </w:r>
            <w:r w:rsidR="00BC1B1E">
              <w:rPr>
                <w:rFonts w:eastAsia="Times New Roman" w:cs="Arial"/>
                <w:snapToGrid/>
                <w:color w:val="000000"/>
                <w:szCs w:val="22"/>
                <w:lang w:eastAsia="en-US"/>
              </w:rPr>
              <w:t>’</w:t>
            </w:r>
            <w:r w:rsidRPr="00C307B1">
              <w:rPr>
                <w:rFonts w:eastAsia="Times New Roman" w:cs="Arial"/>
                <w:snapToGrid/>
                <w:color w:val="000000"/>
                <w:szCs w:val="22"/>
                <w:lang w:eastAsia="en-US"/>
              </w:rPr>
              <w:t>activité humaine sur ces processus</w:t>
            </w:r>
          </w:p>
        </w:tc>
      </w:tr>
      <w:tr w:rsidR="008B20A4" w:rsidRPr="00C307B1" w14:paraId="5369E4AE" w14:textId="77777777" w:rsidTr="00C307B1">
        <w:tc>
          <w:tcPr>
            <w:tcW w:w="1418" w:type="dxa"/>
            <w:tcMar>
              <w:left w:w="0" w:type="dxa"/>
            </w:tcMar>
          </w:tcPr>
          <w:p w14:paraId="67819353" w14:textId="77777777" w:rsidR="00275103" w:rsidRPr="00C307B1" w:rsidRDefault="00275103" w:rsidP="00C307B1">
            <w:pPr>
              <w:tabs>
                <w:tab w:val="clear" w:pos="567"/>
              </w:tabs>
              <w:snapToGrid/>
              <w:spacing w:before="60" w:after="120"/>
              <w:jc w:val="both"/>
              <w:textAlignment w:val="baseline"/>
              <w:rPr>
                <w:rFonts w:eastAsia="Times New Roman" w:cs="Arial"/>
                <w:snapToGrid/>
                <w:color w:val="000000"/>
                <w:spacing w:val="-4"/>
                <w:szCs w:val="22"/>
                <w:lang w:eastAsia="en-US"/>
              </w:rPr>
            </w:pPr>
          </w:p>
        </w:tc>
        <w:tc>
          <w:tcPr>
            <w:tcW w:w="8363" w:type="dxa"/>
            <w:tcMar>
              <w:left w:w="0" w:type="dxa"/>
              <w:right w:w="0" w:type="dxa"/>
            </w:tcMar>
          </w:tcPr>
          <w:p w14:paraId="70FDCB37" w14:textId="62233982" w:rsidR="00275103" w:rsidRPr="00C307B1" w:rsidRDefault="008B20A4" w:rsidP="00C307B1">
            <w:pPr>
              <w:tabs>
                <w:tab w:val="clear" w:pos="567"/>
              </w:tabs>
              <w:snapToGrid/>
              <w:spacing w:before="60" w:after="120"/>
              <w:jc w:val="both"/>
              <w:textAlignment w:val="baseline"/>
              <w:rPr>
                <w:rFonts w:eastAsia="Times New Roman" w:cs="Arial"/>
                <w:snapToGrid/>
                <w:color w:val="000000"/>
                <w:szCs w:val="22"/>
                <w:lang w:eastAsia="en-US"/>
              </w:rPr>
            </w:pPr>
            <w:r w:rsidRPr="00C307B1">
              <w:rPr>
                <w:rFonts w:eastAsia="Times New Roman" w:cs="Arial"/>
                <w:snapToGrid/>
                <w:color w:val="000000"/>
                <w:szCs w:val="22"/>
                <w:lang w:eastAsia="en-US"/>
              </w:rPr>
              <w:t>Système d</w:t>
            </w:r>
            <w:r w:rsidR="00BC1B1E">
              <w:rPr>
                <w:rFonts w:eastAsia="Times New Roman" w:cs="Arial"/>
                <w:snapToGrid/>
                <w:color w:val="000000"/>
                <w:szCs w:val="22"/>
                <w:lang w:eastAsia="en-US"/>
              </w:rPr>
              <w:t>’</w:t>
            </w:r>
            <w:r w:rsidRPr="00C307B1">
              <w:rPr>
                <w:rFonts w:eastAsia="Times New Roman" w:cs="Arial"/>
                <w:snapToGrid/>
                <w:color w:val="000000"/>
                <w:szCs w:val="22"/>
                <w:lang w:eastAsia="en-US"/>
              </w:rPr>
              <w:t>observation et gestion des données</w:t>
            </w:r>
            <w:r w:rsidR="00744D87" w:rsidRPr="00C307B1">
              <w:rPr>
                <w:rFonts w:eastAsia="Times New Roman" w:cs="Arial"/>
                <w:snapToGrid/>
                <w:color w:val="000000"/>
                <w:szCs w:val="22"/>
                <w:lang w:eastAsia="en-US"/>
              </w:rPr>
              <w:t> :</w:t>
            </w:r>
            <w:r w:rsidRPr="00C307B1">
              <w:rPr>
                <w:rFonts w:eastAsia="Times New Roman" w:cs="Arial"/>
                <w:snapToGrid/>
                <w:color w:val="000000"/>
                <w:szCs w:val="22"/>
                <w:lang w:eastAsia="en-US"/>
              </w:rPr>
              <w:t xml:space="preserve"> Entretenir, renforcer et intégrer les systèmes mondiaux d</w:t>
            </w:r>
            <w:r w:rsidR="00BC1B1E">
              <w:rPr>
                <w:rFonts w:eastAsia="Times New Roman" w:cs="Arial"/>
                <w:snapToGrid/>
                <w:color w:val="000000"/>
                <w:szCs w:val="22"/>
                <w:lang w:eastAsia="en-US"/>
              </w:rPr>
              <w:t>’</w:t>
            </w:r>
            <w:r w:rsidRPr="00C307B1">
              <w:rPr>
                <w:rFonts w:eastAsia="Times New Roman" w:cs="Arial"/>
                <w:snapToGrid/>
                <w:color w:val="000000"/>
                <w:szCs w:val="22"/>
                <w:lang w:eastAsia="en-US"/>
              </w:rPr>
              <w:t>observation, de données, de prédictions et d</w:t>
            </w:r>
            <w:r w:rsidR="00BC1B1E">
              <w:rPr>
                <w:rFonts w:eastAsia="Times New Roman" w:cs="Arial"/>
                <w:snapToGrid/>
                <w:color w:val="000000"/>
                <w:szCs w:val="22"/>
                <w:lang w:eastAsia="en-US"/>
              </w:rPr>
              <w:t>’</w:t>
            </w:r>
            <w:r w:rsidRPr="00C307B1">
              <w:rPr>
                <w:rFonts w:eastAsia="Times New Roman" w:cs="Arial"/>
                <w:snapToGrid/>
                <w:color w:val="000000"/>
                <w:szCs w:val="22"/>
                <w:lang w:eastAsia="en-US"/>
              </w:rPr>
              <w:t>informations relatifs à l</w:t>
            </w:r>
            <w:r w:rsidR="00BC1B1E">
              <w:rPr>
                <w:rFonts w:eastAsia="Times New Roman" w:cs="Arial"/>
                <w:snapToGrid/>
                <w:color w:val="000000"/>
                <w:szCs w:val="22"/>
                <w:lang w:eastAsia="en-US"/>
              </w:rPr>
              <w:t>’</w:t>
            </w:r>
            <w:r w:rsidRPr="00C307B1">
              <w:rPr>
                <w:rFonts w:eastAsia="Times New Roman" w:cs="Arial"/>
                <w:snapToGrid/>
                <w:color w:val="000000"/>
                <w:szCs w:val="22"/>
                <w:lang w:eastAsia="en-US"/>
              </w:rPr>
              <w:t>océan</w:t>
            </w:r>
          </w:p>
        </w:tc>
      </w:tr>
      <w:tr w:rsidR="008B20A4" w:rsidRPr="00C307B1" w14:paraId="704E7336" w14:textId="77777777" w:rsidTr="00C307B1">
        <w:tc>
          <w:tcPr>
            <w:tcW w:w="1418" w:type="dxa"/>
            <w:tcMar>
              <w:left w:w="0" w:type="dxa"/>
            </w:tcMar>
          </w:tcPr>
          <w:p w14:paraId="2076D00A" w14:textId="77777777" w:rsidR="00275103" w:rsidRPr="00C307B1" w:rsidRDefault="00275103" w:rsidP="00C307B1">
            <w:pPr>
              <w:tabs>
                <w:tab w:val="clear" w:pos="567"/>
              </w:tabs>
              <w:snapToGrid/>
              <w:spacing w:before="60" w:after="120"/>
              <w:jc w:val="both"/>
              <w:textAlignment w:val="baseline"/>
              <w:rPr>
                <w:rFonts w:eastAsia="Times New Roman" w:cs="Arial"/>
                <w:snapToGrid/>
                <w:color w:val="000000"/>
                <w:szCs w:val="22"/>
                <w:lang w:eastAsia="en-US"/>
              </w:rPr>
            </w:pPr>
          </w:p>
        </w:tc>
        <w:tc>
          <w:tcPr>
            <w:tcW w:w="8363" w:type="dxa"/>
            <w:tcMar>
              <w:left w:w="0" w:type="dxa"/>
              <w:right w:w="0" w:type="dxa"/>
            </w:tcMar>
          </w:tcPr>
          <w:p w14:paraId="0917C788" w14:textId="5C844DAB" w:rsidR="00275103" w:rsidRPr="00C307B1" w:rsidRDefault="008B20A4" w:rsidP="00C307B1">
            <w:pPr>
              <w:tabs>
                <w:tab w:val="clear" w:pos="567"/>
              </w:tabs>
              <w:snapToGrid/>
              <w:spacing w:before="60" w:after="120"/>
              <w:jc w:val="both"/>
              <w:textAlignment w:val="baseline"/>
              <w:rPr>
                <w:rFonts w:eastAsia="Times New Roman" w:cs="Arial"/>
                <w:snapToGrid/>
                <w:color w:val="000000"/>
                <w:szCs w:val="22"/>
                <w:lang w:eastAsia="en-US"/>
              </w:rPr>
            </w:pPr>
            <w:r w:rsidRPr="00C307B1">
              <w:rPr>
                <w:rFonts w:eastAsia="Times New Roman" w:cs="Arial"/>
                <w:snapToGrid/>
                <w:color w:val="000000"/>
                <w:szCs w:val="22"/>
                <w:lang w:eastAsia="en-US"/>
              </w:rPr>
              <w:t>Alerte rapide et services</w:t>
            </w:r>
            <w:r w:rsidR="00744D87" w:rsidRPr="00C307B1">
              <w:rPr>
                <w:rFonts w:eastAsia="Times New Roman" w:cs="Arial"/>
                <w:snapToGrid/>
                <w:color w:val="000000"/>
                <w:szCs w:val="22"/>
                <w:lang w:eastAsia="en-US"/>
              </w:rPr>
              <w:t> :</w:t>
            </w:r>
            <w:r w:rsidRPr="00C307B1">
              <w:rPr>
                <w:rFonts w:eastAsia="Times New Roman" w:cs="Arial"/>
                <w:snapToGrid/>
                <w:color w:val="000000"/>
                <w:szCs w:val="22"/>
                <w:lang w:eastAsia="en-US"/>
              </w:rPr>
              <w:t xml:space="preserve"> développer les systèmes d</w:t>
            </w:r>
            <w:r w:rsidR="00BC1B1E">
              <w:rPr>
                <w:rFonts w:eastAsia="Times New Roman" w:cs="Arial"/>
                <w:snapToGrid/>
                <w:color w:val="000000"/>
                <w:szCs w:val="22"/>
                <w:lang w:eastAsia="en-US"/>
              </w:rPr>
              <w:t>’</w:t>
            </w:r>
            <w:r w:rsidRPr="00C307B1">
              <w:rPr>
                <w:rFonts w:eastAsia="Times New Roman" w:cs="Arial"/>
                <w:snapToGrid/>
                <w:color w:val="000000"/>
                <w:szCs w:val="22"/>
                <w:lang w:eastAsia="en-US"/>
              </w:rPr>
              <w:t>alerte rapide, les services et les mécanismes de préparation aux risques de tsunami et autres aléas naturels liés aux océans</w:t>
            </w:r>
          </w:p>
        </w:tc>
      </w:tr>
      <w:tr w:rsidR="008B20A4" w:rsidRPr="00C307B1" w14:paraId="5AA8DECD" w14:textId="77777777" w:rsidTr="00C307B1">
        <w:tc>
          <w:tcPr>
            <w:tcW w:w="1418" w:type="dxa"/>
            <w:tcMar>
              <w:left w:w="0" w:type="dxa"/>
            </w:tcMar>
          </w:tcPr>
          <w:p w14:paraId="4539009F" w14:textId="77777777" w:rsidR="008B20A4" w:rsidRPr="00C307B1" w:rsidRDefault="008B20A4" w:rsidP="00C307B1">
            <w:pPr>
              <w:tabs>
                <w:tab w:val="clear" w:pos="567"/>
              </w:tabs>
              <w:snapToGrid/>
              <w:spacing w:before="60" w:after="120"/>
              <w:jc w:val="both"/>
              <w:textAlignment w:val="baseline"/>
              <w:rPr>
                <w:rFonts w:eastAsia="Times New Roman" w:cs="Arial"/>
                <w:snapToGrid/>
                <w:color w:val="000000"/>
                <w:szCs w:val="22"/>
                <w:lang w:eastAsia="en-US"/>
              </w:rPr>
            </w:pPr>
          </w:p>
        </w:tc>
        <w:tc>
          <w:tcPr>
            <w:tcW w:w="8363" w:type="dxa"/>
            <w:tcMar>
              <w:left w:w="0" w:type="dxa"/>
              <w:right w:w="0" w:type="dxa"/>
            </w:tcMar>
          </w:tcPr>
          <w:p w14:paraId="36D9C009" w14:textId="5A5470A6" w:rsidR="008B20A4" w:rsidRPr="00C307B1" w:rsidRDefault="008B20A4" w:rsidP="00C307B1">
            <w:pPr>
              <w:tabs>
                <w:tab w:val="clear" w:pos="567"/>
              </w:tabs>
              <w:snapToGrid/>
              <w:spacing w:before="60" w:after="120"/>
              <w:jc w:val="both"/>
              <w:textAlignment w:val="baseline"/>
              <w:rPr>
                <w:rFonts w:eastAsia="Times New Roman" w:cs="Arial"/>
                <w:snapToGrid/>
                <w:color w:val="000000"/>
                <w:szCs w:val="22"/>
                <w:lang w:eastAsia="en-US"/>
              </w:rPr>
            </w:pPr>
            <w:r w:rsidRPr="00C307B1">
              <w:rPr>
                <w:rFonts w:eastAsia="Times New Roman" w:cs="Arial"/>
                <w:snapToGrid/>
                <w:color w:val="000000"/>
                <w:szCs w:val="22"/>
                <w:lang w:eastAsia="en-US"/>
              </w:rPr>
              <w:t>Évaluation et information pour l</w:t>
            </w:r>
            <w:r w:rsidR="00BC1B1E">
              <w:rPr>
                <w:rFonts w:eastAsia="Times New Roman" w:cs="Arial"/>
                <w:snapToGrid/>
                <w:color w:val="000000"/>
                <w:szCs w:val="22"/>
                <w:lang w:eastAsia="en-US"/>
              </w:rPr>
              <w:t>’</w:t>
            </w:r>
            <w:r w:rsidRPr="00C307B1">
              <w:rPr>
                <w:rFonts w:eastAsia="Times New Roman" w:cs="Arial"/>
                <w:snapToGrid/>
                <w:color w:val="000000"/>
                <w:szCs w:val="22"/>
                <w:lang w:eastAsia="en-US"/>
              </w:rPr>
              <w:t>élaboration de politiques</w:t>
            </w:r>
            <w:r w:rsidR="00744D87" w:rsidRPr="00C307B1">
              <w:rPr>
                <w:rFonts w:eastAsia="Times New Roman" w:cs="Arial"/>
                <w:snapToGrid/>
                <w:color w:val="000000"/>
                <w:szCs w:val="22"/>
                <w:lang w:eastAsia="en-US"/>
              </w:rPr>
              <w:t> :</w:t>
            </w:r>
            <w:r w:rsidRPr="00C307B1">
              <w:rPr>
                <w:rFonts w:eastAsia="Times New Roman" w:cs="Arial"/>
                <w:snapToGrid/>
                <w:color w:val="000000"/>
                <w:szCs w:val="22"/>
                <w:lang w:eastAsia="en-US"/>
              </w:rPr>
              <w:t xml:space="preserve"> soutenir l</w:t>
            </w:r>
            <w:r w:rsidR="00BC1B1E">
              <w:rPr>
                <w:rFonts w:eastAsia="Times New Roman" w:cs="Arial"/>
                <w:snapToGrid/>
                <w:color w:val="000000"/>
                <w:szCs w:val="22"/>
                <w:lang w:eastAsia="en-US"/>
              </w:rPr>
              <w:t>’</w:t>
            </w:r>
            <w:r w:rsidRPr="00C307B1">
              <w:rPr>
                <w:rFonts w:eastAsia="Times New Roman" w:cs="Arial"/>
                <w:snapToGrid/>
                <w:color w:val="000000"/>
                <w:szCs w:val="22"/>
                <w:lang w:eastAsia="en-US"/>
              </w:rPr>
              <w:t>évaluation et la fourniture d</w:t>
            </w:r>
            <w:r w:rsidR="00BC1B1E">
              <w:rPr>
                <w:rFonts w:eastAsia="Times New Roman" w:cs="Arial"/>
                <w:snapToGrid/>
                <w:color w:val="000000"/>
                <w:szCs w:val="22"/>
                <w:lang w:eastAsia="en-US"/>
              </w:rPr>
              <w:t>’</w:t>
            </w:r>
            <w:r w:rsidRPr="00C307B1">
              <w:rPr>
                <w:rFonts w:eastAsia="Times New Roman" w:cs="Arial"/>
                <w:snapToGrid/>
                <w:color w:val="000000"/>
                <w:szCs w:val="22"/>
                <w:lang w:eastAsia="en-US"/>
              </w:rPr>
              <w:t>informations par le biais de l</w:t>
            </w:r>
            <w:r w:rsidR="00BC1B1E">
              <w:rPr>
                <w:rFonts w:eastAsia="Times New Roman" w:cs="Arial"/>
                <w:snapToGrid/>
                <w:color w:val="000000"/>
                <w:szCs w:val="22"/>
                <w:lang w:eastAsia="en-US"/>
              </w:rPr>
              <w:t>’</w:t>
            </w:r>
            <w:r w:rsidRPr="00C307B1">
              <w:rPr>
                <w:rFonts w:eastAsia="Times New Roman" w:cs="Arial"/>
                <w:snapToGrid/>
                <w:color w:val="000000"/>
                <w:szCs w:val="22"/>
                <w:lang w:eastAsia="en-US"/>
              </w:rPr>
              <w:t>interface entre science et politiques</w:t>
            </w:r>
          </w:p>
        </w:tc>
      </w:tr>
      <w:tr w:rsidR="008B20A4" w:rsidRPr="00C307B1" w14:paraId="1317A228" w14:textId="77777777" w:rsidTr="00C307B1">
        <w:tc>
          <w:tcPr>
            <w:tcW w:w="1418" w:type="dxa"/>
            <w:tcMar>
              <w:left w:w="0" w:type="dxa"/>
            </w:tcMar>
          </w:tcPr>
          <w:p w14:paraId="4BB2F432" w14:textId="77777777" w:rsidR="008B20A4" w:rsidRPr="00C307B1" w:rsidRDefault="008B20A4" w:rsidP="00C307B1">
            <w:pPr>
              <w:tabs>
                <w:tab w:val="clear" w:pos="567"/>
              </w:tabs>
              <w:snapToGrid/>
              <w:spacing w:before="60" w:after="120"/>
              <w:jc w:val="both"/>
              <w:textAlignment w:val="baseline"/>
              <w:rPr>
                <w:rFonts w:eastAsia="Times New Roman" w:cs="Arial"/>
                <w:snapToGrid/>
                <w:color w:val="000000"/>
                <w:szCs w:val="22"/>
                <w:lang w:eastAsia="en-US"/>
              </w:rPr>
            </w:pPr>
          </w:p>
        </w:tc>
        <w:tc>
          <w:tcPr>
            <w:tcW w:w="8363" w:type="dxa"/>
            <w:tcMar>
              <w:left w:w="0" w:type="dxa"/>
              <w:right w:w="0" w:type="dxa"/>
            </w:tcMar>
          </w:tcPr>
          <w:p w14:paraId="2B4F0FA3" w14:textId="68331303" w:rsidR="008B20A4" w:rsidRPr="00C307B1" w:rsidRDefault="008B20A4" w:rsidP="00C307B1">
            <w:pPr>
              <w:tabs>
                <w:tab w:val="clear" w:pos="567"/>
              </w:tabs>
              <w:snapToGrid/>
              <w:spacing w:before="60" w:after="120"/>
              <w:jc w:val="both"/>
              <w:textAlignment w:val="baseline"/>
              <w:rPr>
                <w:rFonts w:eastAsia="Times New Roman" w:cs="Arial"/>
                <w:snapToGrid/>
                <w:color w:val="000000"/>
                <w:szCs w:val="22"/>
                <w:lang w:eastAsia="en-US"/>
              </w:rPr>
            </w:pPr>
            <w:r w:rsidRPr="00C307B1">
              <w:rPr>
                <w:rFonts w:eastAsia="Times New Roman" w:cs="Arial"/>
                <w:snapToGrid/>
                <w:color w:val="000000"/>
                <w:szCs w:val="22"/>
                <w:lang w:eastAsia="en-US"/>
              </w:rPr>
              <w:t>Gestion et gouvernance durables</w:t>
            </w:r>
            <w:r w:rsidR="00744D87" w:rsidRPr="00C307B1">
              <w:rPr>
                <w:rFonts w:eastAsia="Times New Roman" w:cs="Arial"/>
                <w:snapToGrid/>
                <w:color w:val="000000"/>
                <w:szCs w:val="22"/>
                <w:lang w:eastAsia="en-US"/>
              </w:rPr>
              <w:t> :</w:t>
            </w:r>
            <w:r w:rsidRPr="00C307B1">
              <w:rPr>
                <w:rFonts w:eastAsia="Times New Roman" w:cs="Arial"/>
                <w:snapToGrid/>
                <w:color w:val="000000"/>
                <w:szCs w:val="22"/>
                <w:lang w:eastAsia="en-US"/>
              </w:rPr>
              <w:t xml:space="preserve"> renforcer la gouvernance des océans grâce à une base de connaissances partagée et à l</w:t>
            </w:r>
            <w:r w:rsidR="00BC1B1E">
              <w:rPr>
                <w:rFonts w:eastAsia="Times New Roman" w:cs="Arial"/>
                <w:snapToGrid/>
                <w:color w:val="000000"/>
                <w:szCs w:val="22"/>
                <w:lang w:eastAsia="en-US"/>
              </w:rPr>
              <w:t>’</w:t>
            </w:r>
            <w:r w:rsidRPr="00C307B1">
              <w:rPr>
                <w:rFonts w:eastAsia="Times New Roman" w:cs="Arial"/>
                <w:snapToGrid/>
                <w:color w:val="000000"/>
                <w:szCs w:val="22"/>
                <w:lang w:eastAsia="en-US"/>
              </w:rPr>
              <w:t>amélioration de la coopération régionale</w:t>
            </w:r>
          </w:p>
        </w:tc>
      </w:tr>
      <w:tr w:rsidR="008B20A4" w:rsidRPr="00C307B1" w14:paraId="430C1CD0" w14:textId="77777777" w:rsidTr="00C307B1">
        <w:tc>
          <w:tcPr>
            <w:tcW w:w="1418" w:type="dxa"/>
            <w:tcMar>
              <w:left w:w="0" w:type="dxa"/>
            </w:tcMar>
          </w:tcPr>
          <w:p w14:paraId="2470DD31" w14:textId="77777777" w:rsidR="008B20A4" w:rsidRPr="00C307B1" w:rsidRDefault="008B20A4" w:rsidP="00C307B1">
            <w:pPr>
              <w:tabs>
                <w:tab w:val="clear" w:pos="567"/>
              </w:tabs>
              <w:snapToGrid/>
              <w:spacing w:before="60" w:after="120"/>
              <w:jc w:val="both"/>
              <w:textAlignment w:val="baseline"/>
              <w:rPr>
                <w:rFonts w:eastAsia="Times New Roman" w:cs="Arial"/>
                <w:snapToGrid/>
                <w:color w:val="000000"/>
                <w:szCs w:val="22"/>
                <w:lang w:eastAsia="en-US"/>
              </w:rPr>
            </w:pPr>
          </w:p>
        </w:tc>
        <w:tc>
          <w:tcPr>
            <w:tcW w:w="8363" w:type="dxa"/>
            <w:tcMar>
              <w:left w:w="0" w:type="dxa"/>
              <w:right w:w="0" w:type="dxa"/>
            </w:tcMar>
          </w:tcPr>
          <w:p w14:paraId="18E2776C" w14:textId="458A8509" w:rsidR="008B20A4" w:rsidRPr="00C307B1" w:rsidRDefault="008B20A4" w:rsidP="00C307B1">
            <w:pPr>
              <w:tabs>
                <w:tab w:val="clear" w:pos="567"/>
              </w:tabs>
              <w:snapToGrid/>
              <w:spacing w:before="60" w:after="120"/>
              <w:jc w:val="both"/>
              <w:textAlignment w:val="baseline"/>
              <w:rPr>
                <w:rFonts w:eastAsia="Times New Roman" w:cs="Arial"/>
                <w:snapToGrid/>
                <w:color w:val="000000"/>
                <w:szCs w:val="22"/>
                <w:lang w:eastAsia="en-US"/>
              </w:rPr>
            </w:pPr>
            <w:r w:rsidRPr="00C307B1">
              <w:rPr>
                <w:rFonts w:eastAsia="Times New Roman" w:cs="Arial"/>
                <w:snapToGrid/>
                <w:color w:val="000000"/>
                <w:szCs w:val="22"/>
                <w:lang w:eastAsia="en-US"/>
              </w:rPr>
              <w:t>Développement des capacités</w:t>
            </w:r>
            <w:r w:rsidR="00744D87" w:rsidRPr="00C307B1">
              <w:rPr>
                <w:rFonts w:eastAsia="Times New Roman" w:cs="Arial"/>
                <w:snapToGrid/>
                <w:color w:val="000000"/>
                <w:szCs w:val="22"/>
                <w:lang w:eastAsia="en-US"/>
              </w:rPr>
              <w:t> :</w:t>
            </w:r>
            <w:r w:rsidRPr="00C307B1">
              <w:rPr>
                <w:rFonts w:eastAsia="Times New Roman" w:cs="Arial"/>
                <w:snapToGrid/>
                <w:color w:val="000000"/>
                <w:szCs w:val="22"/>
                <w:lang w:eastAsia="en-US"/>
              </w:rPr>
              <w:t xml:space="preserve"> développer les capacités institutionnelles dans toutes les fonctions susmentionnées, en tant que fonction transversale</w:t>
            </w:r>
          </w:p>
        </w:tc>
      </w:tr>
    </w:tbl>
    <w:p w14:paraId="11874041" w14:textId="06CFDFDC" w:rsidR="00275103" w:rsidRPr="00275103" w:rsidRDefault="00275103" w:rsidP="00C307B1">
      <w:pPr>
        <w:tabs>
          <w:tab w:val="clear" w:pos="567"/>
          <w:tab w:val="left" w:pos="993"/>
        </w:tabs>
        <w:snapToGrid/>
        <w:spacing w:before="120" w:after="240"/>
        <w:jc w:val="both"/>
        <w:textAlignment w:val="baseline"/>
        <w:rPr>
          <w:rFonts w:eastAsia="Times New Roman" w:cs="Arial"/>
          <w:snapToGrid/>
          <w:color w:val="000000"/>
          <w:szCs w:val="22"/>
          <w:lang w:eastAsia="en-US"/>
        </w:rPr>
      </w:pPr>
      <w:r w:rsidRPr="008B20A4">
        <w:rPr>
          <w:rFonts w:eastAsia="Times New Roman" w:cs="Arial"/>
          <w:b/>
          <w:snapToGrid/>
          <w:color w:val="000000"/>
          <w:szCs w:val="22"/>
          <w:lang w:eastAsia="en-US"/>
        </w:rPr>
        <w:t>Figure 1</w:t>
      </w:r>
      <w:r w:rsidRPr="00275103">
        <w:rPr>
          <w:rFonts w:eastAsia="Times New Roman" w:cs="Arial"/>
          <w:snapToGrid/>
          <w:color w:val="000000"/>
          <w:szCs w:val="22"/>
          <w:lang w:eastAsia="en-US"/>
        </w:rPr>
        <w:t>.</w:t>
      </w:r>
      <w:r w:rsidR="00C307B1">
        <w:rPr>
          <w:rFonts w:eastAsia="Times New Roman" w:cs="Arial"/>
          <w:snapToGrid/>
          <w:color w:val="000000"/>
          <w:szCs w:val="22"/>
          <w:lang w:eastAsia="en-US"/>
        </w:rPr>
        <w:tab/>
      </w:r>
      <w:r w:rsidRPr="00275103">
        <w:rPr>
          <w:rFonts w:eastAsia="Times New Roman" w:cs="Arial"/>
          <w:snapToGrid/>
          <w:color w:val="000000"/>
          <w:szCs w:val="22"/>
          <w:lang w:eastAsia="en-US"/>
        </w:rPr>
        <w:t>Objectifs de haut niveau et fonctions de la COI (</w:t>
      </w:r>
      <w:hyperlink r:id="rId11" w:history="1">
        <w:r w:rsidRPr="00491560">
          <w:rPr>
            <w:rStyle w:val="Lienhypertexte"/>
            <w:rFonts w:eastAsia="Times New Roman" w:cs="Arial"/>
            <w:snapToGrid/>
            <w:szCs w:val="22"/>
            <w:lang w:eastAsia="en-US"/>
          </w:rPr>
          <w:t xml:space="preserve">Stratégie à moyen terme de la COI </w:t>
        </w:r>
        <w:r w:rsidR="00C307B1">
          <w:rPr>
            <w:rStyle w:val="Lienhypertexte"/>
            <w:rFonts w:eastAsia="Times New Roman" w:cs="Arial"/>
            <w:snapToGrid/>
            <w:szCs w:val="22"/>
            <w:lang w:eastAsia="en-US"/>
          </w:rPr>
          <w:br/>
        </w:r>
        <w:r w:rsidR="00C307B1" w:rsidRPr="00C307B1">
          <w:rPr>
            <w:rStyle w:val="Lienhypertexte"/>
            <w:rFonts w:eastAsia="Times New Roman" w:cs="Arial"/>
            <w:snapToGrid/>
            <w:szCs w:val="22"/>
            <w:u w:val="none"/>
            <w:lang w:eastAsia="en-US"/>
          </w:rPr>
          <w:tab/>
        </w:r>
        <w:r w:rsidR="00491560" w:rsidRPr="00491560">
          <w:rPr>
            <w:rStyle w:val="Lienhypertexte"/>
            <w:rFonts w:eastAsia="Times New Roman" w:cs="Arial"/>
            <w:snapToGrid/>
            <w:szCs w:val="22"/>
            <w:lang w:eastAsia="en-US"/>
          </w:rPr>
          <w:t xml:space="preserve">pour </w:t>
        </w:r>
        <w:r w:rsidRPr="00491560">
          <w:rPr>
            <w:rStyle w:val="Lienhypertexte"/>
            <w:rFonts w:eastAsia="Times New Roman" w:cs="Arial"/>
            <w:snapToGrid/>
            <w:szCs w:val="22"/>
            <w:lang w:eastAsia="en-US"/>
          </w:rPr>
          <w:t>2022-2029</w:t>
        </w:r>
      </w:hyperlink>
      <w:r w:rsidRPr="00275103">
        <w:rPr>
          <w:rFonts w:eastAsia="Times New Roman" w:cs="Arial"/>
          <w:snapToGrid/>
          <w:color w:val="000000"/>
          <w:szCs w:val="22"/>
          <w:lang w:eastAsia="en-US"/>
        </w:rPr>
        <w:t>)</w:t>
      </w:r>
    </w:p>
    <w:p w14:paraId="0CB8BAFC" w14:textId="7E3C7F92" w:rsidR="00275103" w:rsidRPr="00275103" w:rsidRDefault="00275103" w:rsidP="00275103">
      <w:pPr>
        <w:tabs>
          <w:tab w:val="clear" w:pos="567"/>
        </w:tabs>
        <w:snapToGrid/>
        <w:spacing w:before="120" w:after="240"/>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5.</w:t>
      </w:r>
      <w:r w:rsidRPr="00275103">
        <w:rPr>
          <w:rFonts w:eastAsia="Times New Roman" w:cs="Arial"/>
          <w:snapToGrid/>
          <w:color w:val="000000"/>
          <w:szCs w:val="22"/>
          <w:lang w:eastAsia="en-US"/>
        </w:rPr>
        <w:tab/>
        <w:t>En outre,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une des tâches essentielles de la COI est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aider et de permettre la mise en œuvre de la Décennie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Océan. Les sept résultats de la Décennie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Océan (</w:t>
      </w:r>
      <w:r w:rsidR="00896C79">
        <w:rPr>
          <w:rFonts w:eastAsia="Times New Roman" w:cs="Arial"/>
          <w:snapToGrid/>
          <w:color w:val="000000"/>
          <w:szCs w:val="22"/>
          <w:lang w:eastAsia="en-US"/>
        </w:rPr>
        <w:t xml:space="preserve">énoncés </w:t>
      </w:r>
      <w:r w:rsidRPr="00275103">
        <w:rPr>
          <w:rFonts w:eastAsia="Times New Roman" w:cs="Arial"/>
          <w:snapToGrid/>
          <w:color w:val="000000"/>
          <w:szCs w:val="22"/>
          <w:lang w:eastAsia="en-US"/>
        </w:rPr>
        <w:t>ci-</w:t>
      </w:r>
      <w:r w:rsidR="00896C79">
        <w:rPr>
          <w:rFonts w:eastAsia="Times New Roman" w:cs="Arial"/>
          <w:snapToGrid/>
          <w:color w:val="000000"/>
          <w:szCs w:val="22"/>
          <w:lang w:eastAsia="en-US"/>
        </w:rPr>
        <w:t>après</w:t>
      </w:r>
      <w:r w:rsidRPr="00275103">
        <w:rPr>
          <w:rFonts w:eastAsia="Times New Roman" w:cs="Arial"/>
          <w:snapToGrid/>
          <w:color w:val="000000"/>
          <w:szCs w:val="22"/>
          <w:lang w:eastAsia="en-US"/>
        </w:rPr>
        <w:t xml:space="preserve">) </w:t>
      </w:r>
      <w:r w:rsidR="00896C79">
        <w:rPr>
          <w:rFonts w:eastAsia="Times New Roman" w:cs="Arial"/>
          <w:snapToGrid/>
          <w:color w:val="000000"/>
          <w:szCs w:val="22"/>
          <w:lang w:eastAsia="en-US"/>
        </w:rPr>
        <w:t>montrent</w:t>
      </w:r>
      <w:r w:rsidRPr="00275103">
        <w:rPr>
          <w:rFonts w:eastAsia="Times New Roman" w:cs="Arial"/>
          <w:snapToGrid/>
          <w:color w:val="000000"/>
          <w:szCs w:val="22"/>
          <w:lang w:eastAsia="en-US"/>
        </w:rPr>
        <w:t xml:space="preserve"> </w:t>
      </w:r>
      <w:r w:rsidR="00896C79">
        <w:rPr>
          <w:rFonts w:eastAsia="Times New Roman" w:cs="Arial"/>
          <w:snapToGrid/>
          <w:color w:val="000000"/>
          <w:szCs w:val="22"/>
          <w:lang w:eastAsia="en-US"/>
        </w:rPr>
        <w:t>qu</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une stratégie globale de planification et de gestion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océan </w:t>
      </w:r>
      <w:r w:rsidR="00896C79">
        <w:rPr>
          <w:rFonts w:eastAsia="Times New Roman" w:cs="Arial"/>
          <w:snapToGrid/>
          <w:color w:val="000000"/>
          <w:szCs w:val="22"/>
          <w:lang w:eastAsia="en-US"/>
        </w:rPr>
        <w:t xml:space="preserve">est nécessaire </w:t>
      </w:r>
      <w:r w:rsidRPr="00275103">
        <w:rPr>
          <w:rFonts w:eastAsia="Times New Roman" w:cs="Arial"/>
          <w:snapToGrid/>
          <w:color w:val="000000"/>
          <w:szCs w:val="22"/>
          <w:lang w:eastAsia="en-US"/>
        </w:rPr>
        <w:t>pour atteindre ces objectifs.</w:t>
      </w:r>
    </w:p>
    <w:p w14:paraId="25E9FFF5" w14:textId="5FAA737C" w:rsidR="00275103" w:rsidRPr="00275103" w:rsidRDefault="00275103" w:rsidP="008B20A4">
      <w:pPr>
        <w:tabs>
          <w:tab w:val="clear" w:pos="567"/>
        </w:tabs>
        <w:snapToGrid/>
        <w:spacing w:before="120" w:after="240"/>
        <w:ind w:left="1134" w:hanging="567"/>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1.</w:t>
      </w:r>
      <w:r w:rsidRPr="00275103">
        <w:rPr>
          <w:rFonts w:eastAsia="Times New Roman" w:cs="Arial"/>
          <w:snapToGrid/>
          <w:color w:val="000000"/>
          <w:szCs w:val="22"/>
          <w:lang w:eastAsia="en-US"/>
        </w:rPr>
        <w:tab/>
      </w:r>
      <w:r w:rsidR="00D31445">
        <w:rPr>
          <w:rFonts w:eastAsia="Times New Roman" w:cs="Arial"/>
          <w:snapToGrid/>
          <w:color w:val="000000"/>
          <w:szCs w:val="22"/>
          <w:lang w:eastAsia="en-US"/>
        </w:rPr>
        <w:t>U</w:t>
      </w:r>
      <w:r w:rsidRPr="00275103">
        <w:rPr>
          <w:rFonts w:eastAsia="Times New Roman" w:cs="Arial"/>
          <w:snapToGrid/>
          <w:color w:val="000000"/>
          <w:szCs w:val="22"/>
          <w:lang w:eastAsia="en-US"/>
        </w:rPr>
        <w:t>n océan propre</w:t>
      </w:r>
      <w:r w:rsidR="00B8681D">
        <w:rPr>
          <w:rFonts w:eastAsia="Times New Roman" w:cs="Arial"/>
          <w:snapToGrid/>
          <w:color w:val="000000"/>
          <w:szCs w:val="22"/>
          <w:lang w:eastAsia="en-US"/>
        </w:rPr>
        <w:t> :</w:t>
      </w:r>
      <w:r w:rsidRPr="00275103">
        <w:rPr>
          <w:rFonts w:eastAsia="Times New Roman" w:cs="Arial"/>
          <w:snapToGrid/>
          <w:color w:val="000000"/>
          <w:szCs w:val="22"/>
          <w:lang w:eastAsia="en-US"/>
        </w:rPr>
        <w:t xml:space="preserve"> les sources de pollution sont identifiées, réduites ou supprimées</w:t>
      </w:r>
      <w:r w:rsidR="00B8681D">
        <w:rPr>
          <w:rFonts w:eastAsia="Times New Roman" w:cs="Arial"/>
          <w:snapToGrid/>
          <w:color w:val="000000"/>
          <w:szCs w:val="22"/>
          <w:lang w:eastAsia="en-US"/>
        </w:rPr>
        <w:t> ;</w:t>
      </w:r>
    </w:p>
    <w:p w14:paraId="1D0D2C81" w14:textId="617AEDB2" w:rsidR="00275103" w:rsidRPr="00275103" w:rsidRDefault="00275103" w:rsidP="008B20A4">
      <w:pPr>
        <w:tabs>
          <w:tab w:val="clear" w:pos="567"/>
        </w:tabs>
        <w:snapToGrid/>
        <w:spacing w:before="120" w:after="240"/>
        <w:ind w:left="1134" w:hanging="567"/>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2.</w:t>
      </w:r>
      <w:r w:rsidRPr="00275103">
        <w:rPr>
          <w:rFonts w:eastAsia="Times New Roman" w:cs="Arial"/>
          <w:snapToGrid/>
          <w:color w:val="000000"/>
          <w:szCs w:val="22"/>
          <w:lang w:eastAsia="en-US"/>
        </w:rPr>
        <w:tab/>
      </w:r>
      <w:r w:rsidR="00D31445">
        <w:rPr>
          <w:rFonts w:eastAsia="Times New Roman" w:cs="Arial"/>
          <w:snapToGrid/>
          <w:color w:val="000000"/>
          <w:szCs w:val="22"/>
          <w:lang w:eastAsia="en-US"/>
        </w:rPr>
        <w:t>U</w:t>
      </w:r>
      <w:r w:rsidRPr="00275103">
        <w:rPr>
          <w:rFonts w:eastAsia="Times New Roman" w:cs="Arial"/>
          <w:snapToGrid/>
          <w:color w:val="000000"/>
          <w:szCs w:val="22"/>
          <w:lang w:eastAsia="en-US"/>
        </w:rPr>
        <w:t>n océan sain et résilient</w:t>
      </w:r>
      <w:r w:rsidR="00B8681D">
        <w:rPr>
          <w:rFonts w:eastAsia="Times New Roman" w:cs="Arial"/>
          <w:snapToGrid/>
          <w:color w:val="000000"/>
          <w:szCs w:val="22"/>
          <w:lang w:eastAsia="en-US"/>
        </w:rPr>
        <w:t> :</w:t>
      </w:r>
      <w:r w:rsidRPr="00275103">
        <w:rPr>
          <w:rFonts w:eastAsia="Times New Roman" w:cs="Arial"/>
          <w:snapToGrid/>
          <w:color w:val="000000"/>
          <w:szCs w:val="22"/>
          <w:lang w:eastAsia="en-US"/>
        </w:rPr>
        <w:t xml:space="preserve"> les écosystèmes marins sont compris et gérés</w:t>
      </w:r>
      <w:r w:rsidR="00B8681D">
        <w:rPr>
          <w:rFonts w:eastAsia="Times New Roman" w:cs="Arial"/>
          <w:snapToGrid/>
          <w:color w:val="000000"/>
          <w:szCs w:val="22"/>
          <w:lang w:eastAsia="en-US"/>
        </w:rPr>
        <w:t> ;</w:t>
      </w:r>
    </w:p>
    <w:p w14:paraId="1D7103D1" w14:textId="061880AE" w:rsidR="00275103" w:rsidRPr="00275103" w:rsidRDefault="00275103" w:rsidP="008B20A4">
      <w:pPr>
        <w:tabs>
          <w:tab w:val="clear" w:pos="567"/>
        </w:tabs>
        <w:snapToGrid/>
        <w:spacing w:before="120" w:after="240"/>
        <w:ind w:left="1134" w:hanging="567"/>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3.</w:t>
      </w:r>
      <w:r w:rsidRPr="00275103">
        <w:rPr>
          <w:rFonts w:eastAsia="Times New Roman" w:cs="Arial"/>
          <w:snapToGrid/>
          <w:color w:val="000000"/>
          <w:szCs w:val="22"/>
          <w:lang w:eastAsia="en-US"/>
        </w:rPr>
        <w:tab/>
        <w:t>Un océan productif</w:t>
      </w:r>
      <w:r w:rsidR="00B8681D">
        <w:rPr>
          <w:rFonts w:eastAsia="Times New Roman" w:cs="Arial"/>
          <w:snapToGrid/>
          <w:color w:val="000000"/>
          <w:szCs w:val="22"/>
          <w:lang w:eastAsia="en-US"/>
        </w:rPr>
        <w:t> :</w:t>
      </w:r>
      <w:r w:rsidRPr="00275103">
        <w:rPr>
          <w:rFonts w:eastAsia="Times New Roman" w:cs="Arial"/>
          <w:snapToGrid/>
          <w:color w:val="000000"/>
          <w:szCs w:val="22"/>
          <w:lang w:eastAsia="en-US"/>
        </w:rPr>
        <w:t xml:space="preserve"> permet un approvisionnement alimentaire et une économie océanique durables</w:t>
      </w:r>
      <w:r w:rsidR="00B8681D">
        <w:rPr>
          <w:rFonts w:eastAsia="Times New Roman" w:cs="Arial"/>
          <w:snapToGrid/>
          <w:color w:val="000000"/>
          <w:szCs w:val="22"/>
          <w:lang w:eastAsia="en-US"/>
        </w:rPr>
        <w:t> ;</w:t>
      </w:r>
    </w:p>
    <w:p w14:paraId="13AC3030" w14:textId="2B39DDFB" w:rsidR="00275103" w:rsidRPr="00275103" w:rsidRDefault="00275103" w:rsidP="008B20A4">
      <w:pPr>
        <w:tabs>
          <w:tab w:val="clear" w:pos="567"/>
        </w:tabs>
        <w:snapToGrid/>
        <w:spacing w:before="120" w:after="240"/>
        <w:ind w:left="1134" w:hanging="567"/>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4.</w:t>
      </w:r>
      <w:r w:rsidRPr="00275103">
        <w:rPr>
          <w:rFonts w:eastAsia="Times New Roman" w:cs="Arial"/>
          <w:snapToGrid/>
          <w:color w:val="000000"/>
          <w:szCs w:val="22"/>
          <w:lang w:eastAsia="en-US"/>
        </w:rPr>
        <w:tab/>
      </w:r>
      <w:r w:rsidR="00D31445">
        <w:rPr>
          <w:rFonts w:eastAsia="Times New Roman" w:cs="Arial"/>
          <w:snapToGrid/>
          <w:color w:val="000000"/>
          <w:szCs w:val="22"/>
          <w:lang w:eastAsia="en-US"/>
        </w:rPr>
        <w:t>U</w:t>
      </w:r>
      <w:r w:rsidRPr="00275103">
        <w:rPr>
          <w:rFonts w:eastAsia="Times New Roman" w:cs="Arial"/>
          <w:snapToGrid/>
          <w:color w:val="000000"/>
          <w:szCs w:val="22"/>
          <w:lang w:eastAsia="en-US"/>
        </w:rPr>
        <w:t>n océan prévisible</w:t>
      </w:r>
      <w:r w:rsidR="00B8681D">
        <w:rPr>
          <w:rFonts w:eastAsia="Times New Roman" w:cs="Arial"/>
          <w:snapToGrid/>
          <w:color w:val="000000"/>
          <w:szCs w:val="22"/>
          <w:lang w:eastAsia="en-US"/>
        </w:rPr>
        <w:t> :</w:t>
      </w:r>
      <w:r w:rsidRPr="00275103">
        <w:rPr>
          <w:rFonts w:eastAsia="Times New Roman" w:cs="Arial"/>
          <w:snapToGrid/>
          <w:color w:val="000000"/>
          <w:szCs w:val="22"/>
          <w:lang w:eastAsia="en-US"/>
        </w:rPr>
        <w:t xml:space="preserve"> la société comprend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évolution des conditions océaniques et peut y faire face</w:t>
      </w:r>
      <w:r w:rsidR="00B8681D">
        <w:rPr>
          <w:rFonts w:eastAsia="Times New Roman" w:cs="Arial"/>
          <w:snapToGrid/>
          <w:color w:val="000000"/>
          <w:szCs w:val="22"/>
          <w:lang w:eastAsia="en-US"/>
        </w:rPr>
        <w:t> ;</w:t>
      </w:r>
    </w:p>
    <w:p w14:paraId="4FC14AF2" w14:textId="65B43D35" w:rsidR="00275103" w:rsidRPr="00275103" w:rsidRDefault="00275103" w:rsidP="008B20A4">
      <w:pPr>
        <w:tabs>
          <w:tab w:val="clear" w:pos="567"/>
        </w:tabs>
        <w:snapToGrid/>
        <w:spacing w:before="120" w:after="240"/>
        <w:ind w:left="1134" w:hanging="567"/>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5.</w:t>
      </w:r>
      <w:r w:rsidRPr="00275103">
        <w:rPr>
          <w:rFonts w:eastAsia="Times New Roman" w:cs="Arial"/>
          <w:snapToGrid/>
          <w:color w:val="000000"/>
          <w:szCs w:val="22"/>
          <w:lang w:eastAsia="en-US"/>
        </w:rPr>
        <w:tab/>
      </w:r>
      <w:r w:rsidR="00D31445">
        <w:rPr>
          <w:rFonts w:eastAsia="Times New Roman" w:cs="Arial"/>
          <w:snapToGrid/>
          <w:color w:val="000000"/>
          <w:szCs w:val="22"/>
          <w:lang w:eastAsia="en-US"/>
        </w:rPr>
        <w:t>U</w:t>
      </w:r>
      <w:r w:rsidRPr="00275103">
        <w:rPr>
          <w:rFonts w:eastAsia="Times New Roman" w:cs="Arial"/>
          <w:snapToGrid/>
          <w:color w:val="000000"/>
          <w:szCs w:val="22"/>
          <w:lang w:eastAsia="en-US"/>
        </w:rPr>
        <w:t>n océan sûr</w:t>
      </w:r>
      <w:r w:rsidR="00B8681D">
        <w:rPr>
          <w:rFonts w:eastAsia="Times New Roman" w:cs="Arial"/>
          <w:snapToGrid/>
          <w:color w:val="000000"/>
          <w:szCs w:val="22"/>
          <w:lang w:eastAsia="en-US"/>
        </w:rPr>
        <w:t> :</w:t>
      </w:r>
      <w:r w:rsidRPr="00275103">
        <w:rPr>
          <w:rFonts w:eastAsia="Times New Roman" w:cs="Arial"/>
          <w:snapToGrid/>
          <w:color w:val="000000"/>
          <w:szCs w:val="22"/>
          <w:lang w:eastAsia="en-US"/>
        </w:rPr>
        <w:t xml:space="preserve"> la vie et les moyens de subsistance sont protégés des aléas liés aux océans</w:t>
      </w:r>
      <w:r w:rsidR="00D31445">
        <w:rPr>
          <w:rFonts w:eastAsia="Times New Roman" w:cs="Arial"/>
          <w:snapToGrid/>
          <w:color w:val="000000"/>
          <w:szCs w:val="22"/>
          <w:lang w:eastAsia="en-US"/>
        </w:rPr>
        <w:t> ;</w:t>
      </w:r>
    </w:p>
    <w:p w14:paraId="456517E1" w14:textId="75E1DDE4" w:rsidR="00275103" w:rsidRPr="00275103" w:rsidRDefault="00275103" w:rsidP="008B20A4">
      <w:pPr>
        <w:tabs>
          <w:tab w:val="clear" w:pos="567"/>
        </w:tabs>
        <w:snapToGrid/>
        <w:spacing w:before="120" w:after="240"/>
        <w:ind w:left="1134" w:hanging="567"/>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6.</w:t>
      </w:r>
      <w:r w:rsidRPr="00275103">
        <w:rPr>
          <w:rFonts w:eastAsia="Times New Roman" w:cs="Arial"/>
          <w:snapToGrid/>
          <w:color w:val="000000"/>
          <w:szCs w:val="22"/>
          <w:lang w:eastAsia="en-US"/>
        </w:rPr>
        <w:tab/>
      </w:r>
      <w:r w:rsidR="00D31445">
        <w:rPr>
          <w:rFonts w:eastAsia="Times New Roman" w:cs="Arial"/>
          <w:snapToGrid/>
          <w:color w:val="000000"/>
          <w:szCs w:val="22"/>
          <w:lang w:eastAsia="en-US"/>
        </w:rPr>
        <w:t>U</w:t>
      </w:r>
      <w:r w:rsidRPr="00275103">
        <w:rPr>
          <w:rFonts w:eastAsia="Times New Roman" w:cs="Arial"/>
          <w:snapToGrid/>
          <w:color w:val="000000"/>
          <w:szCs w:val="22"/>
          <w:lang w:eastAsia="en-US"/>
        </w:rPr>
        <w:t>n océan accessible</w:t>
      </w:r>
      <w:r w:rsidR="00491560">
        <w:rPr>
          <w:rFonts w:eastAsia="Times New Roman" w:cs="Arial"/>
          <w:snapToGrid/>
          <w:color w:val="000000"/>
          <w:szCs w:val="22"/>
          <w:lang w:eastAsia="en-US"/>
        </w:rPr>
        <w:t> :</w:t>
      </w:r>
      <w:r w:rsidRPr="00275103">
        <w:rPr>
          <w:rFonts w:eastAsia="Times New Roman" w:cs="Arial"/>
          <w:snapToGrid/>
          <w:color w:val="000000"/>
          <w:szCs w:val="22"/>
          <w:lang w:eastAsia="en-US"/>
        </w:rPr>
        <w:t xml:space="preserv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accès aux données, à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information, aux techniques et aux innovations est ouvert et équitable</w:t>
      </w:r>
      <w:r w:rsidR="00491560">
        <w:rPr>
          <w:rFonts w:eastAsia="Times New Roman" w:cs="Arial"/>
          <w:snapToGrid/>
          <w:color w:val="000000"/>
          <w:szCs w:val="22"/>
          <w:lang w:eastAsia="en-US"/>
        </w:rPr>
        <w:t> ;</w:t>
      </w:r>
      <w:r w:rsidRPr="00275103">
        <w:rPr>
          <w:rFonts w:eastAsia="Times New Roman" w:cs="Arial"/>
          <w:snapToGrid/>
          <w:color w:val="000000"/>
          <w:szCs w:val="22"/>
          <w:lang w:eastAsia="en-US"/>
        </w:rPr>
        <w:t xml:space="preserve"> </w:t>
      </w:r>
    </w:p>
    <w:p w14:paraId="5251F724" w14:textId="2CF28A01" w:rsidR="00275103" w:rsidRPr="00275103" w:rsidRDefault="00275103" w:rsidP="008B20A4">
      <w:pPr>
        <w:tabs>
          <w:tab w:val="clear" w:pos="567"/>
        </w:tabs>
        <w:snapToGrid/>
        <w:spacing w:before="120" w:after="240"/>
        <w:ind w:left="1134" w:hanging="567"/>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7.</w:t>
      </w:r>
      <w:r w:rsidRPr="00275103">
        <w:rPr>
          <w:rFonts w:eastAsia="Times New Roman" w:cs="Arial"/>
          <w:snapToGrid/>
          <w:color w:val="000000"/>
          <w:szCs w:val="22"/>
          <w:lang w:eastAsia="en-US"/>
        </w:rPr>
        <w:tab/>
      </w:r>
      <w:r w:rsidR="00D31445">
        <w:rPr>
          <w:rFonts w:eastAsia="Times New Roman" w:cs="Arial"/>
          <w:snapToGrid/>
          <w:color w:val="000000"/>
          <w:szCs w:val="22"/>
          <w:lang w:eastAsia="en-US"/>
        </w:rPr>
        <w:t>U</w:t>
      </w:r>
      <w:r w:rsidRPr="00275103">
        <w:rPr>
          <w:rFonts w:eastAsia="Times New Roman" w:cs="Arial"/>
          <w:snapToGrid/>
          <w:color w:val="000000"/>
          <w:szCs w:val="22"/>
          <w:lang w:eastAsia="en-US"/>
        </w:rPr>
        <w:t>n océan qui inspire et mobilise</w:t>
      </w:r>
      <w:r w:rsidR="00491560">
        <w:rPr>
          <w:rFonts w:eastAsia="Times New Roman" w:cs="Arial"/>
          <w:snapToGrid/>
          <w:color w:val="000000"/>
          <w:szCs w:val="22"/>
          <w:lang w:eastAsia="en-US"/>
        </w:rPr>
        <w:t> :</w:t>
      </w:r>
      <w:r w:rsidRPr="00275103">
        <w:rPr>
          <w:rFonts w:eastAsia="Times New Roman" w:cs="Arial"/>
          <w:snapToGrid/>
          <w:color w:val="000000"/>
          <w:szCs w:val="22"/>
          <w:lang w:eastAsia="en-US"/>
        </w:rPr>
        <w:t xml:space="preserve"> la société comprend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océan et apprécie sa valeur en lien avec le bien-être humain et le développement durable.</w:t>
      </w:r>
    </w:p>
    <w:p w14:paraId="2D830934" w14:textId="0AA64B4D" w:rsidR="00275103" w:rsidRPr="00275103" w:rsidRDefault="00275103" w:rsidP="00275103">
      <w:pPr>
        <w:tabs>
          <w:tab w:val="clear" w:pos="567"/>
        </w:tabs>
        <w:snapToGrid/>
        <w:spacing w:before="120" w:after="240"/>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lastRenderedPageBreak/>
        <w:t>6.</w:t>
      </w:r>
      <w:r w:rsidRPr="00275103">
        <w:rPr>
          <w:rFonts w:eastAsia="Times New Roman" w:cs="Arial"/>
          <w:snapToGrid/>
          <w:color w:val="000000"/>
          <w:szCs w:val="22"/>
          <w:lang w:eastAsia="en-US"/>
        </w:rPr>
        <w:tab/>
        <w:t xml:space="preserve">Compte tenu de ces engagements et </w:t>
      </w:r>
      <w:r w:rsidR="003D329C">
        <w:rPr>
          <w:rFonts w:eastAsia="Times New Roman" w:cs="Arial"/>
          <w:snapToGrid/>
          <w:color w:val="000000"/>
          <w:szCs w:val="22"/>
          <w:lang w:eastAsia="en-US"/>
        </w:rPr>
        <w:t>en adéquation avec les</w:t>
      </w:r>
      <w:r w:rsidRPr="00275103">
        <w:rPr>
          <w:rFonts w:eastAsia="Times New Roman" w:cs="Arial"/>
          <w:snapToGrid/>
          <w:color w:val="000000"/>
          <w:szCs w:val="22"/>
          <w:lang w:eastAsia="en-US"/>
        </w:rPr>
        <w:t xml:space="preserve"> objectifs de la COI,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adoption de la stratégie est à la fois opportune et impérative. La </w:t>
      </w:r>
      <w:r w:rsidR="003D329C">
        <w:rPr>
          <w:rFonts w:eastAsia="Times New Roman" w:cs="Arial"/>
          <w:snapToGrid/>
          <w:color w:val="000000"/>
          <w:szCs w:val="22"/>
          <w:lang w:eastAsia="en-US"/>
        </w:rPr>
        <w:t>s</w:t>
      </w:r>
      <w:r w:rsidRPr="00275103">
        <w:rPr>
          <w:rFonts w:eastAsia="Times New Roman" w:cs="Arial"/>
          <w:snapToGrid/>
          <w:color w:val="000000"/>
          <w:szCs w:val="22"/>
          <w:lang w:eastAsia="en-US"/>
        </w:rPr>
        <w:t>tratégie continuera à défendre les valeurs fondamentales de la COI, en faisant reposer les processus de formulation des politiques et de prise de décisions sur la science et la recherche. Elle s</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appuiera sur le riche héritage de la COI, qui applique déjà les principes fondamentaux de la planification et de la gestion durables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océan. La </w:t>
      </w:r>
      <w:r w:rsidR="003D329C">
        <w:rPr>
          <w:rFonts w:eastAsia="Times New Roman" w:cs="Arial"/>
          <w:snapToGrid/>
          <w:color w:val="000000"/>
          <w:szCs w:val="22"/>
          <w:lang w:eastAsia="en-US"/>
        </w:rPr>
        <w:t>s</w:t>
      </w:r>
      <w:r w:rsidRPr="00275103">
        <w:rPr>
          <w:rFonts w:eastAsia="Times New Roman" w:cs="Arial"/>
          <w:snapToGrid/>
          <w:color w:val="000000"/>
          <w:szCs w:val="22"/>
          <w:lang w:eastAsia="en-US"/>
        </w:rPr>
        <w:t>tratégie permettra également à la COI de contribuer de manière plus systématique au nouveau programme de la Décennie sur la planification durable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océan, lancé lors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édition 2024 de la Conférence de la Décennie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Océan, à Barcelone.</w:t>
      </w:r>
    </w:p>
    <w:p w14:paraId="1704E3AA" w14:textId="76AF3500" w:rsidR="00275103" w:rsidRPr="00275103" w:rsidRDefault="00275103" w:rsidP="00275103">
      <w:pPr>
        <w:tabs>
          <w:tab w:val="clear" w:pos="567"/>
        </w:tabs>
        <w:snapToGrid/>
        <w:spacing w:before="120" w:after="240"/>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7.</w:t>
      </w:r>
      <w:r w:rsidRPr="00275103">
        <w:rPr>
          <w:rFonts w:eastAsia="Times New Roman" w:cs="Arial"/>
          <w:snapToGrid/>
          <w:color w:val="000000"/>
          <w:szCs w:val="22"/>
          <w:lang w:eastAsia="en-US"/>
        </w:rPr>
        <w:tab/>
        <w:t xml:space="preserve">Pour ce faire, les fonctions de la stratégie resteront indissolublement liées aux programmes de la COI déjà en place et les compléteront. </w:t>
      </w:r>
      <w:r w:rsidRPr="00CA5AB7">
        <w:rPr>
          <w:rFonts w:eastAsia="Times New Roman" w:cs="Arial"/>
          <w:snapToGrid/>
          <w:color w:val="000000"/>
          <w:szCs w:val="22"/>
          <w:lang w:eastAsia="en-US"/>
        </w:rPr>
        <w:t>Il s</w:t>
      </w:r>
      <w:r w:rsidR="00BC1B1E">
        <w:rPr>
          <w:rFonts w:eastAsia="Times New Roman" w:cs="Arial"/>
          <w:snapToGrid/>
          <w:color w:val="000000"/>
          <w:szCs w:val="22"/>
          <w:lang w:eastAsia="en-US"/>
        </w:rPr>
        <w:t>’</w:t>
      </w:r>
      <w:r w:rsidRPr="00CA5AB7">
        <w:rPr>
          <w:rFonts w:eastAsia="Times New Roman" w:cs="Arial"/>
          <w:snapToGrid/>
          <w:color w:val="000000"/>
          <w:szCs w:val="22"/>
          <w:lang w:eastAsia="en-US"/>
        </w:rPr>
        <w:t>agi</w:t>
      </w:r>
      <w:r w:rsidR="003D329C" w:rsidRPr="00CA5AB7">
        <w:rPr>
          <w:rFonts w:eastAsia="Times New Roman" w:cs="Arial"/>
          <w:snapToGrid/>
          <w:color w:val="000000"/>
          <w:szCs w:val="22"/>
          <w:lang w:eastAsia="en-US"/>
        </w:rPr>
        <w:t>t</w:t>
      </w:r>
      <w:r w:rsidRPr="00275103">
        <w:rPr>
          <w:rFonts w:eastAsia="Times New Roman" w:cs="Arial"/>
          <w:snapToGrid/>
          <w:color w:val="000000"/>
          <w:szCs w:val="22"/>
          <w:lang w:eastAsia="en-US"/>
        </w:rPr>
        <w:t xml:space="preserve"> notamment des programmes et des projets tels que MSPglobal, le Système mondial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observation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océan (GOOS) et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Échange international des données et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information océanographiques (IODE), ainsi que de plusieurs initiatives menées dans le cadre des programmes relatifs aux sciences océaniques et aux tsunamis. La </w:t>
      </w:r>
      <w:r w:rsidR="00160056">
        <w:rPr>
          <w:rFonts w:eastAsia="Times New Roman" w:cs="Arial"/>
          <w:snapToGrid/>
          <w:color w:val="000000"/>
          <w:szCs w:val="22"/>
          <w:lang w:eastAsia="en-US"/>
        </w:rPr>
        <w:t>s</w:t>
      </w:r>
      <w:r w:rsidRPr="00275103">
        <w:rPr>
          <w:rFonts w:eastAsia="Times New Roman" w:cs="Arial"/>
          <w:snapToGrid/>
          <w:color w:val="000000"/>
          <w:szCs w:val="22"/>
          <w:lang w:eastAsia="en-US"/>
        </w:rPr>
        <w:t>tratégie servira de cadre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orientation à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action menée par la COI dans le cadre de ses différents programmes (voir le </w:t>
      </w:r>
      <w:r w:rsidRPr="00D02C09">
        <w:rPr>
          <w:rFonts w:eastAsia="Times New Roman" w:cs="Arial"/>
          <w:snapToGrid/>
          <w:color w:val="000000"/>
          <w:szCs w:val="22"/>
          <w:u w:val="single"/>
          <w:lang w:eastAsia="en-US"/>
        </w:rPr>
        <w:t>tableau 2</w:t>
      </w:r>
      <w:r w:rsidRPr="00275103">
        <w:rPr>
          <w:rFonts w:eastAsia="Times New Roman" w:cs="Arial"/>
          <w:snapToGrid/>
          <w:color w:val="000000"/>
          <w:szCs w:val="22"/>
          <w:lang w:eastAsia="en-US"/>
        </w:rPr>
        <w:t xml:space="preserve"> concernant la contribution potentielle des programmes de la COI aux objectifs stratégiques), en facilitant les observations futures, la collecte et la gestion des données, les services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alerte rapide, les évaluations et la mise au point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outils novateurs, de supports de connaissance et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initiatives de renforcement des capacités adaptés aux besoins de la communauté de la planification durable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océan. </w:t>
      </w:r>
    </w:p>
    <w:p w14:paraId="319EA715" w14:textId="0E4069C0" w:rsidR="00275103" w:rsidRPr="00275103" w:rsidRDefault="00275103" w:rsidP="00275103">
      <w:pPr>
        <w:tabs>
          <w:tab w:val="clear" w:pos="567"/>
        </w:tabs>
        <w:snapToGrid/>
        <w:spacing w:before="120" w:after="240"/>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8.</w:t>
      </w:r>
      <w:r w:rsidRPr="00275103">
        <w:rPr>
          <w:rFonts w:eastAsia="Times New Roman" w:cs="Arial"/>
          <w:snapToGrid/>
          <w:color w:val="000000"/>
          <w:szCs w:val="22"/>
          <w:lang w:eastAsia="en-US"/>
        </w:rPr>
        <w:tab/>
        <w:t xml:space="preserve">En </w:t>
      </w:r>
      <w:r w:rsidR="00D02C09">
        <w:rPr>
          <w:rFonts w:eastAsia="Times New Roman" w:cs="Arial"/>
          <w:snapToGrid/>
          <w:color w:val="000000"/>
          <w:szCs w:val="22"/>
          <w:lang w:eastAsia="en-US"/>
        </w:rPr>
        <w:t>conjuguant</w:t>
      </w:r>
      <w:r w:rsidRPr="00275103">
        <w:rPr>
          <w:rFonts w:eastAsia="Times New Roman" w:cs="Arial"/>
          <w:snapToGrid/>
          <w:color w:val="000000"/>
          <w:szCs w:val="22"/>
          <w:lang w:eastAsia="en-US"/>
        </w:rPr>
        <w:t xml:space="preserve"> les connaissances scientifiques actuelles avec les pratiques de gestion, la </w:t>
      </w:r>
      <w:r w:rsidR="00D02C09">
        <w:rPr>
          <w:rFonts w:eastAsia="Times New Roman" w:cs="Arial"/>
          <w:snapToGrid/>
          <w:color w:val="000000"/>
          <w:szCs w:val="22"/>
          <w:lang w:eastAsia="en-US"/>
        </w:rPr>
        <w:t>s</w:t>
      </w:r>
      <w:r w:rsidRPr="00275103">
        <w:rPr>
          <w:rFonts w:eastAsia="Times New Roman" w:cs="Arial"/>
          <w:snapToGrid/>
          <w:color w:val="000000"/>
          <w:szCs w:val="22"/>
          <w:lang w:eastAsia="en-US"/>
        </w:rPr>
        <w:t xml:space="preserve">tratégie </w:t>
      </w:r>
      <w:r w:rsidR="00D02C09">
        <w:rPr>
          <w:rFonts w:eastAsia="Times New Roman" w:cs="Arial"/>
          <w:snapToGrid/>
          <w:color w:val="000000"/>
          <w:szCs w:val="22"/>
          <w:lang w:eastAsia="en-US"/>
        </w:rPr>
        <w:t>vient</w:t>
      </w:r>
      <w:r w:rsidRPr="00275103">
        <w:rPr>
          <w:rFonts w:eastAsia="Times New Roman" w:cs="Arial"/>
          <w:snapToGrid/>
          <w:color w:val="000000"/>
          <w:szCs w:val="22"/>
          <w:lang w:eastAsia="en-US"/>
        </w:rPr>
        <w:t xml:space="preserve"> combler </w:t>
      </w:r>
      <w:r w:rsidR="00D02C09">
        <w:rPr>
          <w:rFonts w:eastAsia="Times New Roman" w:cs="Arial"/>
          <w:snapToGrid/>
          <w:color w:val="000000"/>
          <w:szCs w:val="22"/>
          <w:lang w:eastAsia="en-US"/>
        </w:rPr>
        <w:t>une lacune</w:t>
      </w:r>
      <w:r w:rsidRPr="00275103">
        <w:rPr>
          <w:rFonts w:eastAsia="Times New Roman" w:cs="Arial"/>
          <w:snapToGrid/>
          <w:color w:val="000000"/>
          <w:szCs w:val="22"/>
          <w:lang w:eastAsia="en-US"/>
        </w:rPr>
        <w:t xml:space="preserve">, </w:t>
      </w:r>
      <w:r w:rsidR="00643BEE">
        <w:rPr>
          <w:rFonts w:eastAsia="Times New Roman" w:cs="Arial"/>
          <w:snapToGrid/>
          <w:color w:val="000000"/>
          <w:szCs w:val="22"/>
          <w:lang w:eastAsia="en-US"/>
        </w:rPr>
        <w:t>en veillant à</w:t>
      </w:r>
      <w:r w:rsidR="00D02C09">
        <w:rPr>
          <w:rFonts w:eastAsia="Times New Roman" w:cs="Arial"/>
          <w:snapToGrid/>
          <w:color w:val="000000"/>
          <w:szCs w:val="22"/>
          <w:lang w:eastAsia="en-US"/>
        </w:rPr>
        <w:t xml:space="preserve"> transposer le</w:t>
      </w:r>
      <w:r w:rsidRPr="00275103">
        <w:rPr>
          <w:rFonts w:eastAsia="Times New Roman" w:cs="Arial"/>
          <w:snapToGrid/>
          <w:color w:val="000000"/>
          <w:szCs w:val="22"/>
          <w:lang w:eastAsia="en-US"/>
        </w:rPr>
        <w:t xml:space="preserve"> travail scientifique de la COI </w:t>
      </w:r>
      <w:r w:rsidR="00D02C09">
        <w:rPr>
          <w:rFonts w:eastAsia="Times New Roman" w:cs="Arial"/>
          <w:snapToGrid/>
          <w:color w:val="000000"/>
          <w:szCs w:val="22"/>
          <w:lang w:eastAsia="en-US"/>
        </w:rPr>
        <w:t>en</w:t>
      </w:r>
      <w:r w:rsidRPr="00275103">
        <w:rPr>
          <w:rFonts w:eastAsia="Times New Roman" w:cs="Arial"/>
          <w:snapToGrid/>
          <w:color w:val="000000"/>
          <w:szCs w:val="22"/>
          <w:lang w:eastAsia="en-US"/>
        </w:rPr>
        <w:t xml:space="preserve"> solutions concrètes pour la gestion durable de notre océan. La </w:t>
      </w:r>
      <w:r w:rsidR="00D02C09">
        <w:rPr>
          <w:rFonts w:eastAsia="Times New Roman" w:cs="Arial"/>
          <w:snapToGrid/>
          <w:color w:val="000000"/>
          <w:szCs w:val="22"/>
          <w:lang w:eastAsia="en-US"/>
        </w:rPr>
        <w:t>s</w:t>
      </w:r>
      <w:r w:rsidRPr="00275103">
        <w:rPr>
          <w:rFonts w:eastAsia="Times New Roman" w:cs="Arial"/>
          <w:snapToGrid/>
          <w:color w:val="000000"/>
          <w:szCs w:val="22"/>
          <w:lang w:eastAsia="en-US"/>
        </w:rPr>
        <w:t xml:space="preserve">tratégie constitue donc une approche globale, dont les outils et les initiatives </w:t>
      </w:r>
      <w:r w:rsidR="00D02C09">
        <w:rPr>
          <w:rFonts w:eastAsia="Times New Roman" w:cs="Arial"/>
          <w:snapToGrid/>
          <w:color w:val="000000"/>
          <w:szCs w:val="22"/>
          <w:lang w:eastAsia="en-US"/>
        </w:rPr>
        <w:t>permettront</w:t>
      </w:r>
      <w:r w:rsidRPr="00275103">
        <w:rPr>
          <w:rFonts w:eastAsia="Times New Roman" w:cs="Arial"/>
          <w:snapToGrid/>
          <w:color w:val="000000"/>
          <w:szCs w:val="22"/>
          <w:lang w:eastAsia="en-US"/>
        </w:rPr>
        <w:t xml:space="preserve"> aux États membres et aux parties prenantes de disposer des connaissances scientifiques et des ressources pratiques nécessaires pour relever avec efficacité les défis complexes de la gestion des océans.</w:t>
      </w:r>
    </w:p>
    <w:p w14:paraId="2E7C9E8E" w14:textId="1E930E4D" w:rsidR="00275103" w:rsidRPr="00275103" w:rsidRDefault="00275103" w:rsidP="00275103">
      <w:pPr>
        <w:tabs>
          <w:tab w:val="clear" w:pos="567"/>
        </w:tabs>
        <w:snapToGrid/>
        <w:spacing w:before="120" w:after="240"/>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9.</w:t>
      </w:r>
      <w:r w:rsidRPr="00275103">
        <w:rPr>
          <w:rFonts w:eastAsia="Times New Roman" w:cs="Arial"/>
          <w:snapToGrid/>
          <w:color w:val="000000"/>
          <w:szCs w:val="22"/>
          <w:lang w:eastAsia="en-US"/>
        </w:rPr>
        <w:tab/>
        <w:t xml:space="preserve">La stratégie </w:t>
      </w:r>
      <w:r w:rsidR="00D63DE8">
        <w:rPr>
          <w:rFonts w:eastAsia="Times New Roman" w:cs="Arial"/>
          <w:snapToGrid/>
          <w:color w:val="000000"/>
          <w:szCs w:val="22"/>
          <w:lang w:eastAsia="en-US"/>
        </w:rPr>
        <w:t>porte sur</w:t>
      </w:r>
      <w:r w:rsidRPr="00275103">
        <w:rPr>
          <w:rFonts w:eastAsia="Times New Roman" w:cs="Arial"/>
          <w:snapToGrid/>
          <w:color w:val="000000"/>
          <w:szCs w:val="22"/>
          <w:lang w:eastAsia="en-US"/>
        </w:rPr>
        <w:t xml:space="preserve"> les différents </w:t>
      </w:r>
      <w:r w:rsidR="00D63DE8">
        <w:rPr>
          <w:rFonts w:eastAsia="Times New Roman" w:cs="Arial"/>
          <w:snapToGrid/>
          <w:color w:val="000000"/>
          <w:szCs w:val="22"/>
          <w:lang w:eastAsia="en-US"/>
        </w:rPr>
        <w:t>facteurs</w:t>
      </w:r>
      <w:r w:rsidRPr="00275103">
        <w:rPr>
          <w:rFonts w:eastAsia="Times New Roman" w:cs="Arial"/>
          <w:snapToGrid/>
          <w:color w:val="000000"/>
          <w:szCs w:val="22"/>
          <w:lang w:eastAsia="en-US"/>
        </w:rPr>
        <w:t xml:space="preserve"> interdépendants aux niveaux mondial, régional et national. En tant qu</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institution de confiance dans ce domaine, la COI peut proposer une approche cohérente et coordonnée propre à aider les États membres à réaliser leurs objectifs de développement durable, à promouvoir la conservation et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utilisation durables des ressources marines et à favoriser une gouvernance efficace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océan.</w:t>
      </w:r>
    </w:p>
    <w:p w14:paraId="7DDB83D3" w14:textId="053336CE" w:rsidR="00275103" w:rsidRPr="00275103" w:rsidRDefault="00275103" w:rsidP="00275103">
      <w:pPr>
        <w:tabs>
          <w:tab w:val="clear" w:pos="567"/>
        </w:tabs>
        <w:snapToGrid/>
        <w:spacing w:before="120" w:after="240"/>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10.</w:t>
      </w:r>
      <w:r w:rsidRPr="00275103">
        <w:rPr>
          <w:rFonts w:eastAsia="Times New Roman" w:cs="Arial"/>
          <w:snapToGrid/>
          <w:color w:val="000000"/>
          <w:szCs w:val="22"/>
          <w:lang w:eastAsia="en-US"/>
        </w:rPr>
        <w:tab/>
        <w:t>La COI, en tirant parti de ses connaissances et de son expertise avec le soutien des États membres, peut atteindre les objectifs suivants au titre de cette stratégie</w:t>
      </w:r>
      <w:r w:rsidR="00D63DE8">
        <w:rPr>
          <w:rFonts w:eastAsia="Times New Roman" w:cs="Arial"/>
          <w:snapToGrid/>
          <w:color w:val="000000"/>
          <w:szCs w:val="22"/>
          <w:lang w:eastAsia="en-US"/>
        </w:rPr>
        <w:t> :</w:t>
      </w:r>
    </w:p>
    <w:p w14:paraId="695D387A" w14:textId="106478D9" w:rsidR="00275103" w:rsidRPr="00275103" w:rsidRDefault="00275103" w:rsidP="008B20A4">
      <w:pPr>
        <w:tabs>
          <w:tab w:val="clear" w:pos="567"/>
        </w:tabs>
        <w:snapToGrid/>
        <w:spacing w:before="120" w:after="240"/>
        <w:ind w:left="1134" w:hanging="567"/>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(i)</w:t>
      </w:r>
      <w:r w:rsidRPr="00275103">
        <w:rPr>
          <w:rFonts w:eastAsia="Times New Roman" w:cs="Arial"/>
          <w:snapToGrid/>
          <w:color w:val="000000"/>
          <w:szCs w:val="22"/>
          <w:lang w:eastAsia="en-US"/>
        </w:rPr>
        <w:tab/>
      </w:r>
      <w:r w:rsidR="00D31445">
        <w:rPr>
          <w:rFonts w:eastAsia="Times New Roman" w:cs="Arial"/>
          <w:snapToGrid/>
          <w:color w:val="000000"/>
          <w:szCs w:val="22"/>
          <w:lang w:eastAsia="en-US"/>
        </w:rPr>
        <w:t>i</w:t>
      </w:r>
      <w:r w:rsidRPr="00275103">
        <w:rPr>
          <w:rFonts w:eastAsia="Times New Roman" w:cs="Arial"/>
          <w:snapToGrid/>
          <w:color w:val="000000"/>
          <w:szCs w:val="22"/>
          <w:lang w:eastAsia="en-US"/>
        </w:rPr>
        <w:t>ntégration accrue et prise en compte systématique des approches de planification et de gestion durables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océan</w:t>
      </w:r>
      <w:r w:rsidR="00D63DE8">
        <w:rPr>
          <w:rFonts w:eastAsia="Times New Roman" w:cs="Arial"/>
          <w:snapToGrid/>
          <w:color w:val="000000"/>
          <w:szCs w:val="22"/>
          <w:lang w:eastAsia="en-US"/>
        </w:rPr>
        <w:t> ;</w:t>
      </w:r>
    </w:p>
    <w:p w14:paraId="384C7FDB" w14:textId="44740772" w:rsidR="00275103" w:rsidRPr="00275103" w:rsidRDefault="00275103" w:rsidP="008B20A4">
      <w:pPr>
        <w:tabs>
          <w:tab w:val="clear" w:pos="567"/>
        </w:tabs>
        <w:snapToGrid/>
        <w:spacing w:before="120" w:after="240"/>
        <w:ind w:left="1134" w:hanging="567"/>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(ii)</w:t>
      </w:r>
      <w:r w:rsidRPr="00275103">
        <w:rPr>
          <w:rFonts w:eastAsia="Times New Roman" w:cs="Arial"/>
          <w:snapToGrid/>
          <w:color w:val="000000"/>
          <w:szCs w:val="22"/>
          <w:lang w:eastAsia="en-US"/>
        </w:rPr>
        <w:tab/>
      </w:r>
      <w:r w:rsidR="00D31445">
        <w:rPr>
          <w:rFonts w:eastAsia="Times New Roman" w:cs="Arial"/>
          <w:snapToGrid/>
          <w:color w:val="000000"/>
          <w:szCs w:val="22"/>
          <w:lang w:eastAsia="en-US"/>
        </w:rPr>
        <w:t>m</w:t>
      </w:r>
      <w:r w:rsidRPr="00275103">
        <w:rPr>
          <w:rFonts w:eastAsia="Times New Roman" w:cs="Arial"/>
          <w:snapToGrid/>
          <w:color w:val="000000"/>
          <w:szCs w:val="22"/>
          <w:lang w:eastAsia="en-US"/>
        </w:rPr>
        <w:t>eilleure gestion des observations, des données, des cadres de données</w:t>
      </w:r>
      <w:r w:rsidR="00B15DB8">
        <w:rPr>
          <w:rStyle w:val="Appelnotedebasdep"/>
          <w:rFonts w:eastAsia="Times New Roman" w:cs="Arial"/>
          <w:snapToGrid/>
          <w:color w:val="000000"/>
          <w:szCs w:val="22"/>
          <w:lang w:eastAsia="en-US"/>
        </w:rPr>
        <w:footnoteReference w:id="1"/>
      </w:r>
      <w:r w:rsidRPr="00275103">
        <w:rPr>
          <w:rFonts w:eastAsia="Times New Roman" w:cs="Arial"/>
          <w:snapToGrid/>
          <w:color w:val="000000"/>
          <w:szCs w:val="22"/>
          <w:lang w:eastAsia="en-US"/>
        </w:rPr>
        <w:t xml:space="preserve"> et des connaissances aux fins de la gestion </w:t>
      </w:r>
      <w:r w:rsidR="00CA5AB7">
        <w:rPr>
          <w:rFonts w:eastAsia="Times New Roman" w:cs="Arial"/>
          <w:snapToGrid/>
          <w:color w:val="000000"/>
          <w:szCs w:val="22"/>
          <w:lang w:eastAsia="en-US"/>
        </w:rPr>
        <w:t>écosystémique</w:t>
      </w:r>
      <w:r w:rsidRPr="00275103">
        <w:rPr>
          <w:rFonts w:eastAsia="Times New Roman" w:cs="Arial"/>
          <w:snapToGrid/>
          <w:color w:val="000000"/>
          <w:szCs w:val="22"/>
          <w:lang w:eastAsia="en-US"/>
        </w:rPr>
        <w:t xml:space="preserve"> et des applications sectorielles</w:t>
      </w:r>
      <w:r w:rsidR="00D63DE8">
        <w:rPr>
          <w:rFonts w:eastAsia="Times New Roman" w:cs="Arial"/>
          <w:snapToGrid/>
          <w:color w:val="000000"/>
          <w:szCs w:val="22"/>
          <w:lang w:eastAsia="en-US"/>
        </w:rPr>
        <w:t> ;</w:t>
      </w:r>
    </w:p>
    <w:p w14:paraId="69D1BEBC" w14:textId="04E361C0" w:rsidR="00275103" w:rsidRPr="00275103" w:rsidRDefault="00275103" w:rsidP="008B20A4">
      <w:pPr>
        <w:tabs>
          <w:tab w:val="clear" w:pos="567"/>
        </w:tabs>
        <w:snapToGrid/>
        <w:spacing w:before="120" w:after="240"/>
        <w:ind w:left="1134" w:hanging="567"/>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(iii)</w:t>
      </w:r>
      <w:r w:rsidRPr="00275103">
        <w:rPr>
          <w:rFonts w:eastAsia="Times New Roman" w:cs="Arial"/>
          <w:snapToGrid/>
          <w:color w:val="000000"/>
          <w:szCs w:val="22"/>
          <w:lang w:eastAsia="en-US"/>
        </w:rPr>
        <w:tab/>
      </w:r>
      <w:r w:rsidR="00D31445">
        <w:rPr>
          <w:rFonts w:eastAsia="Times New Roman" w:cs="Arial"/>
          <w:snapToGrid/>
          <w:color w:val="000000"/>
          <w:szCs w:val="22"/>
          <w:lang w:eastAsia="en-US"/>
        </w:rPr>
        <w:t>m</w:t>
      </w:r>
      <w:r w:rsidRPr="00275103">
        <w:rPr>
          <w:rFonts w:eastAsia="Times New Roman" w:cs="Arial"/>
          <w:snapToGrid/>
          <w:color w:val="000000"/>
          <w:szCs w:val="22"/>
          <w:lang w:eastAsia="en-US"/>
        </w:rPr>
        <w:t xml:space="preserve">eilleure </w:t>
      </w:r>
      <w:r w:rsidR="00CA5AB7">
        <w:rPr>
          <w:rFonts w:eastAsia="Times New Roman" w:cs="Arial"/>
          <w:snapToGrid/>
          <w:color w:val="000000"/>
          <w:szCs w:val="22"/>
          <w:lang w:eastAsia="en-US"/>
        </w:rPr>
        <w:t>coordination</w:t>
      </w:r>
      <w:r w:rsidRPr="00275103">
        <w:rPr>
          <w:rFonts w:eastAsia="Times New Roman" w:cs="Arial"/>
          <w:snapToGrid/>
          <w:color w:val="000000"/>
          <w:szCs w:val="22"/>
          <w:lang w:eastAsia="en-US"/>
        </w:rPr>
        <w:t xml:space="preserve"> </w:t>
      </w:r>
      <w:r w:rsidR="00CA5AB7">
        <w:rPr>
          <w:rFonts w:eastAsia="Times New Roman" w:cs="Arial"/>
          <w:snapToGrid/>
          <w:color w:val="000000"/>
          <w:szCs w:val="22"/>
          <w:lang w:eastAsia="en-US"/>
        </w:rPr>
        <w:t>inter</w:t>
      </w:r>
      <w:r w:rsidRPr="00275103">
        <w:rPr>
          <w:rFonts w:eastAsia="Times New Roman" w:cs="Arial"/>
          <w:snapToGrid/>
          <w:color w:val="000000"/>
          <w:szCs w:val="22"/>
          <w:lang w:eastAsia="en-US"/>
        </w:rPr>
        <w:t>sectorielle et transfrontalière</w:t>
      </w:r>
      <w:r w:rsidR="00D63DE8">
        <w:rPr>
          <w:rFonts w:eastAsia="Times New Roman" w:cs="Arial"/>
          <w:snapToGrid/>
          <w:color w:val="000000"/>
          <w:szCs w:val="22"/>
          <w:lang w:eastAsia="en-US"/>
        </w:rPr>
        <w:t> ;</w:t>
      </w:r>
    </w:p>
    <w:p w14:paraId="2E8F2BC2" w14:textId="631F7032" w:rsidR="00275103" w:rsidRPr="00275103" w:rsidRDefault="00275103" w:rsidP="008B20A4">
      <w:pPr>
        <w:tabs>
          <w:tab w:val="clear" w:pos="567"/>
        </w:tabs>
        <w:snapToGrid/>
        <w:spacing w:before="120" w:after="240"/>
        <w:ind w:left="1134" w:hanging="567"/>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(iv)</w:t>
      </w:r>
      <w:r w:rsidRPr="00275103">
        <w:rPr>
          <w:rFonts w:eastAsia="Times New Roman" w:cs="Arial"/>
          <w:snapToGrid/>
          <w:color w:val="000000"/>
          <w:szCs w:val="22"/>
          <w:lang w:eastAsia="en-US"/>
        </w:rPr>
        <w:tab/>
        <w:t>élargissement du développement des capacités</w:t>
      </w:r>
      <w:r w:rsidR="00643BEE">
        <w:rPr>
          <w:rFonts w:eastAsia="Times New Roman" w:cs="Arial"/>
          <w:snapToGrid/>
          <w:color w:val="000000"/>
          <w:szCs w:val="22"/>
          <w:lang w:eastAsia="en-US"/>
        </w:rPr>
        <w:t>.</w:t>
      </w:r>
    </w:p>
    <w:p w14:paraId="458E75D0" w14:textId="47FF0DF4" w:rsidR="00275103" w:rsidRPr="00EA33BE" w:rsidRDefault="00275103" w:rsidP="00EA33BE">
      <w:pPr>
        <w:pStyle w:val="Titre3"/>
        <w:rPr>
          <w:b w:val="0"/>
          <w:bCs w:val="0"/>
          <w:snapToGrid/>
          <w:u w:val="single"/>
        </w:rPr>
      </w:pPr>
      <w:bookmarkStart w:id="4" w:name="_Toc170139292"/>
      <w:r w:rsidRPr="00EA33BE">
        <w:rPr>
          <w:b w:val="0"/>
          <w:bCs w:val="0"/>
          <w:snapToGrid/>
          <w:u w:val="single"/>
        </w:rPr>
        <w:t>Planification et gestion durables de l</w:t>
      </w:r>
      <w:r w:rsidR="00BC1B1E" w:rsidRPr="00EA33BE">
        <w:rPr>
          <w:b w:val="0"/>
          <w:bCs w:val="0"/>
          <w:snapToGrid/>
          <w:u w:val="single"/>
        </w:rPr>
        <w:t>’</w:t>
      </w:r>
      <w:r w:rsidRPr="00EA33BE">
        <w:rPr>
          <w:b w:val="0"/>
          <w:bCs w:val="0"/>
          <w:snapToGrid/>
          <w:u w:val="single"/>
        </w:rPr>
        <w:t>océan au sein de la COI</w:t>
      </w:r>
      <w:bookmarkEnd w:id="4"/>
    </w:p>
    <w:p w14:paraId="054A7938" w14:textId="201E7C28" w:rsidR="00275103" w:rsidRPr="00275103" w:rsidRDefault="00275103" w:rsidP="00275103">
      <w:pPr>
        <w:tabs>
          <w:tab w:val="clear" w:pos="567"/>
        </w:tabs>
        <w:snapToGrid/>
        <w:spacing w:before="120" w:after="240"/>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11.</w:t>
      </w:r>
      <w:r w:rsidRPr="00275103">
        <w:rPr>
          <w:rFonts w:eastAsia="Times New Roman" w:cs="Arial"/>
          <w:snapToGrid/>
          <w:color w:val="000000"/>
          <w:szCs w:val="22"/>
          <w:lang w:eastAsia="en-US"/>
        </w:rPr>
        <w:tab/>
        <w:t>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économie océanique, de nature complexe, met en jeu différents utilisateurs se livrant à des activités diverses, ce qui peut souvent susciter des conflits </w:t>
      </w:r>
      <w:r w:rsidR="00D63DE8">
        <w:rPr>
          <w:rFonts w:eastAsia="Times New Roman" w:cs="Arial"/>
          <w:snapToGrid/>
          <w:color w:val="000000"/>
          <w:szCs w:val="22"/>
          <w:lang w:eastAsia="en-US"/>
        </w:rPr>
        <w:t>parmi</w:t>
      </w:r>
      <w:r w:rsidRPr="00275103">
        <w:rPr>
          <w:rFonts w:eastAsia="Times New Roman" w:cs="Arial"/>
          <w:snapToGrid/>
          <w:color w:val="000000"/>
          <w:szCs w:val="22"/>
          <w:lang w:eastAsia="en-US"/>
        </w:rPr>
        <w:t xml:space="preserve"> eux ou avec </w:t>
      </w:r>
      <w:r w:rsidR="00D63DE8">
        <w:rPr>
          <w:rFonts w:eastAsia="Times New Roman" w:cs="Arial"/>
          <w:snapToGrid/>
          <w:color w:val="000000"/>
          <w:szCs w:val="22"/>
          <w:lang w:eastAsia="en-US"/>
        </w:rPr>
        <w:t>le milieu naturel</w:t>
      </w:r>
      <w:r w:rsidRPr="00275103">
        <w:rPr>
          <w:rFonts w:eastAsia="Times New Roman" w:cs="Arial"/>
          <w:snapToGrid/>
          <w:color w:val="000000"/>
          <w:szCs w:val="22"/>
          <w:lang w:eastAsia="en-US"/>
        </w:rPr>
        <w:t xml:space="preserve">. Une économie océanique durable </w:t>
      </w:r>
      <w:r w:rsidR="00D63DE8">
        <w:rPr>
          <w:rFonts w:eastAsia="Times New Roman" w:cs="Arial"/>
          <w:snapToGrid/>
          <w:color w:val="000000"/>
          <w:szCs w:val="22"/>
          <w:lang w:eastAsia="en-US"/>
        </w:rPr>
        <w:t>est instaurée</w:t>
      </w:r>
      <w:r w:rsidRPr="00275103">
        <w:rPr>
          <w:rFonts w:eastAsia="Times New Roman" w:cs="Arial"/>
          <w:snapToGrid/>
          <w:color w:val="000000"/>
          <w:szCs w:val="22"/>
          <w:lang w:eastAsia="en-US"/>
        </w:rPr>
        <w:t xml:space="preserve"> lorsque ces activités économiques sont intégrées à la gestion durable des écosystèmes océaniques, en se conformant à leur capacité à long terme à </w:t>
      </w:r>
      <w:r w:rsidRPr="00275103">
        <w:rPr>
          <w:rFonts w:eastAsia="Times New Roman" w:cs="Arial"/>
          <w:snapToGrid/>
          <w:color w:val="000000"/>
          <w:szCs w:val="22"/>
          <w:lang w:eastAsia="en-US"/>
        </w:rPr>
        <w:lastRenderedPageBreak/>
        <w:t>soutenir ces activités tout en améliorant la résilience, la santé et le bien-être</w:t>
      </w:r>
      <w:r w:rsidR="00D63DE8">
        <w:rPr>
          <w:rStyle w:val="Appelnotedebasdep"/>
          <w:rFonts w:eastAsia="Times New Roman" w:cs="Arial"/>
          <w:snapToGrid/>
          <w:color w:val="000000"/>
          <w:szCs w:val="22"/>
          <w:lang w:eastAsia="en-US"/>
        </w:rPr>
        <w:footnoteReference w:id="2"/>
      </w:r>
      <w:r w:rsidRPr="00275103">
        <w:rPr>
          <w:rFonts w:eastAsia="Times New Roman" w:cs="Arial"/>
          <w:snapToGrid/>
          <w:color w:val="000000"/>
          <w:szCs w:val="22"/>
          <w:lang w:eastAsia="en-US"/>
        </w:rPr>
        <w:t>. Pour gouverner et gérer efficacement cette complexité, il est nécessaire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adopter une approche intégrée, transfrontalière et </w:t>
      </w:r>
      <w:r w:rsidR="00CA5AB7">
        <w:rPr>
          <w:rFonts w:eastAsia="Times New Roman" w:cs="Arial"/>
          <w:snapToGrid/>
          <w:color w:val="000000"/>
          <w:szCs w:val="22"/>
          <w:lang w:eastAsia="en-US"/>
        </w:rPr>
        <w:t>inter</w:t>
      </w:r>
      <w:r w:rsidRPr="00275103">
        <w:rPr>
          <w:rFonts w:eastAsia="Times New Roman" w:cs="Arial"/>
          <w:snapToGrid/>
          <w:color w:val="000000"/>
          <w:szCs w:val="22"/>
          <w:lang w:eastAsia="en-US"/>
        </w:rPr>
        <w:t>sectorielle qui tienne compte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interdépendance des différents usages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océan et de leur impact sur le bon fonctionnement et la santé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océan. </w:t>
      </w:r>
    </w:p>
    <w:p w14:paraId="151905DB" w14:textId="5DA56229" w:rsidR="00275103" w:rsidRPr="00275103" w:rsidRDefault="00275103" w:rsidP="00275103">
      <w:pPr>
        <w:tabs>
          <w:tab w:val="clear" w:pos="567"/>
        </w:tabs>
        <w:snapToGrid/>
        <w:spacing w:before="120" w:after="240"/>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12.</w:t>
      </w:r>
      <w:r w:rsidRPr="00275103">
        <w:rPr>
          <w:rFonts w:eastAsia="Times New Roman" w:cs="Arial"/>
          <w:snapToGrid/>
          <w:color w:val="000000"/>
          <w:szCs w:val="22"/>
          <w:lang w:eastAsia="en-US"/>
        </w:rPr>
        <w:tab/>
        <w:t>La planification et la gestion durables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océan </w:t>
      </w:r>
      <w:r w:rsidR="00D63DE8">
        <w:rPr>
          <w:rFonts w:eastAsia="Times New Roman" w:cs="Arial"/>
          <w:snapToGrid/>
          <w:color w:val="000000"/>
          <w:szCs w:val="22"/>
          <w:lang w:eastAsia="en-US"/>
        </w:rPr>
        <w:t>constituent</w:t>
      </w:r>
      <w:r w:rsidRPr="00275103">
        <w:rPr>
          <w:rFonts w:eastAsia="Times New Roman" w:cs="Arial"/>
          <w:snapToGrid/>
          <w:color w:val="000000"/>
          <w:szCs w:val="22"/>
          <w:lang w:eastAsia="en-US"/>
        </w:rPr>
        <w:t xml:space="preserve"> une approche stratégique visant à garantir la santé et la productivité à long terme des milieux marins tout en encourageant la croissance économique, les avantages sociaux et la résilience climatique. Il s</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agit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intégrer et de faire progresser les travaux de la COI dans différents </w:t>
      </w:r>
      <w:r w:rsidR="00D63DE8">
        <w:rPr>
          <w:rFonts w:eastAsia="Times New Roman" w:cs="Arial"/>
          <w:snapToGrid/>
          <w:color w:val="000000"/>
          <w:szCs w:val="22"/>
          <w:lang w:eastAsia="en-US"/>
        </w:rPr>
        <w:t>cadres</w:t>
      </w:r>
      <w:r w:rsidRPr="00275103">
        <w:rPr>
          <w:rFonts w:eastAsia="Times New Roman" w:cs="Arial"/>
          <w:snapToGrid/>
          <w:color w:val="000000"/>
          <w:szCs w:val="22"/>
          <w:lang w:eastAsia="en-US"/>
        </w:rPr>
        <w:t xml:space="preserve"> et à différentes échelles, comme le Programme de gestion intégrée des zones côtières (ICAM), la planification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espace marin (PEM), la planification et la gestion durables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océan (SOP) et les grands écosystèmes marins (LME). Cet équilibre suppose une planification et une gestion solides, étayées par des observations océaniques, des produits de données spécialisés, des évaluations scientifiques et un suivi de la santé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écosystème et du développement économique. Les approches de gestion des océans fondées sur les connaissances, tel</w:t>
      </w:r>
      <w:r w:rsidR="00120965">
        <w:rPr>
          <w:rFonts w:eastAsia="Times New Roman" w:cs="Arial"/>
          <w:snapToGrid/>
          <w:color w:val="000000"/>
          <w:szCs w:val="22"/>
          <w:lang w:eastAsia="en-US"/>
        </w:rPr>
        <w:t>le</w:t>
      </w:r>
      <w:r w:rsidRPr="00275103">
        <w:rPr>
          <w:rFonts w:eastAsia="Times New Roman" w:cs="Arial"/>
          <w:snapToGrid/>
          <w:color w:val="000000"/>
          <w:szCs w:val="22"/>
          <w:lang w:eastAsia="en-US"/>
        </w:rPr>
        <w:t>s que la planification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espace marin, la gestion des zones côtières, les zones marines protégées et la gestion des grands écosystèmes marins, jouent un rôle essentiel dans la définition des objectifs, de</w:t>
      </w:r>
      <w:r w:rsidR="00D63DE8">
        <w:rPr>
          <w:rFonts w:eastAsia="Times New Roman" w:cs="Arial"/>
          <w:snapToGrid/>
          <w:color w:val="000000"/>
          <w:szCs w:val="22"/>
          <w:lang w:eastAsia="en-US"/>
        </w:rPr>
        <w:t>s</w:t>
      </w:r>
      <w:r w:rsidRPr="00275103">
        <w:rPr>
          <w:rFonts w:eastAsia="Times New Roman" w:cs="Arial"/>
          <w:snapToGrid/>
          <w:color w:val="000000"/>
          <w:szCs w:val="22"/>
          <w:lang w:eastAsia="en-US"/>
        </w:rPr>
        <w:t xml:space="preserve"> plans opérationnels, de limites sûres et de principes directeurs pour les activités océaniques, tout en réduisant les conflits </w:t>
      </w:r>
      <w:r w:rsidR="00D63DE8">
        <w:rPr>
          <w:rFonts w:eastAsia="Times New Roman" w:cs="Arial"/>
          <w:snapToGrid/>
          <w:color w:val="000000"/>
          <w:szCs w:val="22"/>
          <w:lang w:eastAsia="en-US"/>
        </w:rPr>
        <w:t>opposant</w:t>
      </w:r>
      <w:r w:rsidRPr="00275103">
        <w:rPr>
          <w:rFonts w:eastAsia="Times New Roman" w:cs="Arial"/>
          <w:snapToGrid/>
          <w:color w:val="000000"/>
          <w:szCs w:val="22"/>
          <w:lang w:eastAsia="en-US"/>
        </w:rPr>
        <w:t xml:space="preserve"> les multiples utilisations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espace océanique.</w:t>
      </w:r>
    </w:p>
    <w:p w14:paraId="7C0251FC" w14:textId="5AF500FB" w:rsidR="00275103" w:rsidRPr="00275103" w:rsidRDefault="00275103" w:rsidP="00275103">
      <w:pPr>
        <w:tabs>
          <w:tab w:val="clear" w:pos="567"/>
        </w:tabs>
        <w:snapToGrid/>
        <w:spacing w:before="120" w:after="240"/>
        <w:jc w:val="both"/>
        <w:textAlignment w:val="baseline"/>
        <w:rPr>
          <w:rFonts w:eastAsia="Times New Roman" w:cs="Arial"/>
          <w:snapToGrid/>
          <w:color w:val="000000"/>
          <w:szCs w:val="22"/>
          <w:lang w:eastAsia="en-US"/>
        </w:rPr>
      </w:pPr>
      <w:r w:rsidRPr="007C6797">
        <w:rPr>
          <w:rFonts w:eastAsia="Times New Roman" w:cs="Arial"/>
          <w:snapToGrid/>
          <w:color w:val="000000"/>
          <w:szCs w:val="22"/>
          <w:lang w:eastAsia="en-US"/>
        </w:rPr>
        <w:t>13</w:t>
      </w:r>
      <w:r w:rsidRPr="00275103">
        <w:rPr>
          <w:rFonts w:eastAsia="Times New Roman" w:cs="Arial"/>
          <w:snapToGrid/>
          <w:color w:val="000000"/>
          <w:szCs w:val="22"/>
          <w:lang w:eastAsia="en-US"/>
        </w:rPr>
        <w:t>.</w:t>
      </w:r>
      <w:r w:rsidRPr="00275103">
        <w:rPr>
          <w:rFonts w:eastAsia="Times New Roman" w:cs="Arial"/>
          <w:snapToGrid/>
          <w:color w:val="000000"/>
          <w:szCs w:val="22"/>
          <w:lang w:eastAsia="en-US"/>
        </w:rPr>
        <w:tab/>
      </w:r>
      <w:r w:rsidRPr="006B70A4">
        <w:rPr>
          <w:rFonts w:eastAsia="Times New Roman" w:cs="Arial"/>
          <w:snapToGrid/>
          <w:color w:val="000000"/>
          <w:szCs w:val="22"/>
          <w:lang w:eastAsia="en-US"/>
        </w:rPr>
        <w:t>L</w:t>
      </w:r>
      <w:r w:rsidR="00BC1B1E">
        <w:rPr>
          <w:rFonts w:eastAsia="Times New Roman" w:cs="Arial"/>
          <w:snapToGrid/>
          <w:color w:val="000000"/>
          <w:szCs w:val="22"/>
          <w:lang w:eastAsia="en-US"/>
        </w:rPr>
        <w:t>’</w:t>
      </w:r>
      <w:r w:rsidRPr="006B70A4">
        <w:rPr>
          <w:rFonts w:eastAsia="Times New Roman" w:cs="Arial"/>
          <w:snapToGrid/>
          <w:color w:val="000000"/>
          <w:szCs w:val="22"/>
          <w:lang w:eastAsia="en-US"/>
        </w:rPr>
        <w:t>action</w:t>
      </w:r>
      <w:r w:rsidRPr="00275103">
        <w:rPr>
          <w:rFonts w:eastAsia="Times New Roman" w:cs="Arial"/>
          <w:snapToGrid/>
          <w:color w:val="000000"/>
          <w:szCs w:val="22"/>
          <w:lang w:eastAsia="en-US"/>
        </w:rPr>
        <w:t xml:space="preserve"> de la COI a exercé une influence </w:t>
      </w:r>
      <w:r w:rsidR="00B15DB8">
        <w:rPr>
          <w:rFonts w:eastAsia="Times New Roman" w:cs="Arial"/>
          <w:snapToGrid/>
          <w:color w:val="000000"/>
          <w:szCs w:val="22"/>
          <w:lang w:eastAsia="en-US"/>
        </w:rPr>
        <w:t>évidente</w:t>
      </w:r>
      <w:r w:rsidRPr="00275103">
        <w:rPr>
          <w:rFonts w:eastAsia="Times New Roman" w:cs="Arial"/>
          <w:snapToGrid/>
          <w:color w:val="000000"/>
          <w:szCs w:val="22"/>
          <w:lang w:eastAsia="en-US"/>
        </w:rPr>
        <w:t xml:space="preserve"> dans la transmission de connaissances adaptées en vue </w:t>
      </w:r>
      <w:r w:rsidR="007C6797">
        <w:rPr>
          <w:rFonts w:eastAsia="Times New Roman" w:cs="Arial"/>
          <w:snapToGrid/>
          <w:color w:val="000000"/>
          <w:szCs w:val="22"/>
          <w:lang w:eastAsia="en-US"/>
        </w:rPr>
        <w:t>d</w:t>
      </w:r>
      <w:r w:rsidR="00BC1B1E">
        <w:rPr>
          <w:rFonts w:eastAsia="Times New Roman" w:cs="Arial"/>
          <w:snapToGrid/>
          <w:color w:val="000000"/>
          <w:szCs w:val="22"/>
          <w:lang w:eastAsia="en-US"/>
        </w:rPr>
        <w:t>’</w:t>
      </w:r>
      <w:r w:rsidR="007C6797">
        <w:rPr>
          <w:rFonts w:eastAsia="Times New Roman" w:cs="Arial"/>
          <w:snapToGrid/>
          <w:color w:val="000000"/>
          <w:szCs w:val="22"/>
          <w:lang w:eastAsia="en-US"/>
        </w:rPr>
        <w:t>élaborer des</w:t>
      </w:r>
      <w:r w:rsidRPr="00275103">
        <w:rPr>
          <w:rFonts w:eastAsia="Times New Roman" w:cs="Arial"/>
          <w:snapToGrid/>
          <w:color w:val="000000"/>
          <w:szCs w:val="22"/>
          <w:lang w:eastAsia="en-US"/>
        </w:rPr>
        <w:t xml:space="preserve"> cadres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orientation et </w:t>
      </w:r>
      <w:r w:rsidR="007C6797">
        <w:rPr>
          <w:rFonts w:eastAsia="Times New Roman" w:cs="Arial"/>
          <w:snapToGrid/>
          <w:color w:val="000000"/>
          <w:szCs w:val="22"/>
          <w:lang w:eastAsia="en-US"/>
        </w:rPr>
        <w:t>d</w:t>
      </w:r>
      <w:r w:rsidR="00BC1B1E">
        <w:rPr>
          <w:rFonts w:eastAsia="Times New Roman" w:cs="Arial"/>
          <w:snapToGrid/>
          <w:color w:val="000000"/>
          <w:szCs w:val="22"/>
          <w:lang w:eastAsia="en-US"/>
        </w:rPr>
        <w:t>’</w:t>
      </w:r>
      <w:r w:rsidR="007C6797">
        <w:rPr>
          <w:rFonts w:eastAsia="Times New Roman" w:cs="Arial"/>
          <w:snapToGrid/>
          <w:color w:val="000000"/>
          <w:szCs w:val="22"/>
          <w:lang w:eastAsia="en-US"/>
        </w:rPr>
        <w:t>obtenir</w:t>
      </w:r>
      <w:r w:rsidRPr="00275103">
        <w:rPr>
          <w:rFonts w:eastAsia="Times New Roman" w:cs="Arial"/>
          <w:snapToGrid/>
          <w:color w:val="000000"/>
          <w:szCs w:val="22"/>
          <w:lang w:eastAsia="en-US"/>
        </w:rPr>
        <w:t xml:space="preserve"> de</w:t>
      </w:r>
      <w:r w:rsidR="007C6797">
        <w:rPr>
          <w:rFonts w:eastAsia="Times New Roman" w:cs="Arial"/>
          <w:snapToGrid/>
          <w:color w:val="000000"/>
          <w:szCs w:val="22"/>
          <w:lang w:eastAsia="en-US"/>
        </w:rPr>
        <w:t>s</w:t>
      </w:r>
      <w:r w:rsidRPr="00275103">
        <w:rPr>
          <w:rFonts w:eastAsia="Times New Roman" w:cs="Arial"/>
          <w:snapToGrid/>
          <w:color w:val="000000"/>
          <w:szCs w:val="22"/>
          <w:lang w:eastAsia="en-US"/>
        </w:rPr>
        <w:t xml:space="preserve"> résultats durables. Au cours des </w:t>
      </w:r>
      <w:r w:rsidR="006B70A4">
        <w:rPr>
          <w:rFonts w:eastAsia="Times New Roman" w:cs="Arial"/>
          <w:snapToGrid/>
          <w:color w:val="000000"/>
          <w:szCs w:val="22"/>
          <w:lang w:eastAsia="en-US"/>
        </w:rPr>
        <w:t>30 </w:t>
      </w:r>
      <w:r w:rsidRPr="00275103">
        <w:rPr>
          <w:rFonts w:eastAsia="Times New Roman" w:cs="Arial"/>
          <w:snapToGrid/>
          <w:color w:val="000000"/>
          <w:szCs w:val="22"/>
          <w:lang w:eastAsia="en-US"/>
        </w:rPr>
        <w:t>dernières années, la COI a accompli des progrès considérables en matière de planification et de gestion durables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océan, un pan </w:t>
      </w:r>
      <w:r w:rsidR="00B15DB8">
        <w:rPr>
          <w:rFonts w:eastAsia="Times New Roman" w:cs="Arial"/>
          <w:snapToGrid/>
          <w:color w:val="000000"/>
          <w:szCs w:val="22"/>
          <w:lang w:eastAsia="en-US"/>
        </w:rPr>
        <w:t>essentiel</w:t>
      </w:r>
      <w:r w:rsidRPr="00275103">
        <w:rPr>
          <w:rFonts w:eastAsia="Times New Roman" w:cs="Arial"/>
          <w:snapToGrid/>
          <w:color w:val="000000"/>
          <w:szCs w:val="22"/>
          <w:lang w:eastAsia="en-US"/>
        </w:rPr>
        <w:t xml:space="preserve"> de sa mission </w:t>
      </w:r>
      <w:r w:rsidR="007C6797">
        <w:rPr>
          <w:rFonts w:eastAsia="Times New Roman" w:cs="Arial"/>
          <w:snapToGrid/>
          <w:color w:val="000000"/>
          <w:szCs w:val="22"/>
          <w:lang w:eastAsia="en-US"/>
        </w:rPr>
        <w:t>en faveur de</w:t>
      </w:r>
      <w:r w:rsidRPr="00275103">
        <w:rPr>
          <w:rFonts w:eastAsia="Times New Roman" w:cs="Arial"/>
          <w:snapToGrid/>
          <w:color w:val="000000"/>
          <w:szCs w:val="22"/>
          <w:lang w:eastAsia="en-US"/>
        </w:rPr>
        <w:t xml:space="preserve"> </w:t>
      </w:r>
      <w:r w:rsidR="00B15DB8">
        <w:rPr>
          <w:rFonts w:eastAsia="Times New Roman" w:cs="Arial"/>
          <w:snapToGrid/>
          <w:color w:val="000000"/>
          <w:szCs w:val="22"/>
          <w:lang w:eastAsia="en-US"/>
        </w:rPr>
        <w:t>« </w:t>
      </w:r>
      <w:r w:rsidR="007C6797" w:rsidRPr="007C6797">
        <w:rPr>
          <w:rFonts w:eastAsia="Times New Roman" w:cs="Arial"/>
          <w:i/>
          <w:iCs/>
          <w:snapToGrid/>
          <w:color w:val="000000"/>
          <w:szCs w:val="22"/>
          <w:lang w:eastAsia="en-US"/>
        </w:rPr>
        <w:t>L</w:t>
      </w:r>
      <w:r w:rsidR="00BC1B1E">
        <w:rPr>
          <w:rFonts w:eastAsia="Times New Roman" w:cs="Arial"/>
          <w:i/>
          <w:iCs/>
          <w:snapToGrid/>
          <w:color w:val="000000"/>
          <w:szCs w:val="22"/>
          <w:lang w:eastAsia="en-US"/>
        </w:rPr>
        <w:t>’</w:t>
      </w:r>
      <w:r w:rsidRPr="007C6797">
        <w:rPr>
          <w:rFonts w:eastAsia="Times New Roman" w:cs="Arial"/>
          <w:i/>
          <w:iCs/>
          <w:snapToGrid/>
          <w:color w:val="000000"/>
          <w:szCs w:val="22"/>
          <w:lang w:eastAsia="en-US"/>
        </w:rPr>
        <w:t>océan dont nous avons besoin pour l</w:t>
      </w:r>
      <w:r w:rsidR="00BC1B1E">
        <w:rPr>
          <w:rFonts w:eastAsia="Times New Roman" w:cs="Arial"/>
          <w:i/>
          <w:iCs/>
          <w:snapToGrid/>
          <w:color w:val="000000"/>
          <w:szCs w:val="22"/>
          <w:lang w:eastAsia="en-US"/>
        </w:rPr>
        <w:t>’</w:t>
      </w:r>
      <w:r w:rsidRPr="007C6797">
        <w:rPr>
          <w:rFonts w:eastAsia="Times New Roman" w:cs="Arial"/>
          <w:i/>
          <w:iCs/>
          <w:snapToGrid/>
          <w:color w:val="000000"/>
          <w:szCs w:val="22"/>
          <w:lang w:eastAsia="en-US"/>
        </w:rPr>
        <w:t>avenir que nous voulons</w:t>
      </w:r>
      <w:r w:rsidR="00B15DB8">
        <w:rPr>
          <w:rFonts w:eastAsia="Times New Roman" w:cs="Arial"/>
          <w:snapToGrid/>
          <w:color w:val="000000"/>
          <w:szCs w:val="22"/>
          <w:lang w:eastAsia="en-US"/>
        </w:rPr>
        <w:t> »</w:t>
      </w:r>
      <w:r w:rsidRPr="00275103">
        <w:rPr>
          <w:rFonts w:eastAsia="Times New Roman" w:cs="Arial"/>
          <w:snapToGrid/>
          <w:color w:val="000000"/>
          <w:szCs w:val="22"/>
          <w:lang w:eastAsia="en-US"/>
        </w:rPr>
        <w:t>. En 2009, la COI a notamment élaboré les premières directives internationales sur la planification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espace marin, qui intègrent des composantes spatiales, des approches axées sur les écosystèmes et des processus participatifs dans les politiques marines. Ces directives ont joué un rôle décisif dans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adoption mondiale de plans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aménagement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espace marin, </w:t>
      </w:r>
      <w:r w:rsidR="007C6797">
        <w:rPr>
          <w:rFonts w:eastAsia="Times New Roman" w:cs="Arial"/>
          <w:snapToGrid/>
          <w:color w:val="000000"/>
          <w:szCs w:val="22"/>
          <w:lang w:eastAsia="en-US"/>
        </w:rPr>
        <w:t>et l</w:t>
      </w:r>
      <w:r w:rsidR="00BC1B1E">
        <w:rPr>
          <w:rFonts w:eastAsia="Times New Roman" w:cs="Arial"/>
          <w:snapToGrid/>
          <w:color w:val="000000"/>
          <w:szCs w:val="22"/>
          <w:lang w:eastAsia="en-US"/>
        </w:rPr>
        <w:t>’</w:t>
      </w:r>
      <w:r w:rsidR="007C6797">
        <w:rPr>
          <w:rFonts w:eastAsia="Times New Roman" w:cs="Arial"/>
          <w:snapToGrid/>
          <w:color w:val="000000"/>
          <w:szCs w:val="22"/>
          <w:lang w:eastAsia="en-US"/>
        </w:rPr>
        <w:t>on comptait</w:t>
      </w:r>
      <w:r w:rsidRPr="00275103">
        <w:rPr>
          <w:rFonts w:eastAsia="Times New Roman" w:cs="Arial"/>
          <w:snapToGrid/>
          <w:color w:val="000000"/>
          <w:szCs w:val="22"/>
          <w:lang w:eastAsia="en-US"/>
        </w:rPr>
        <w:t xml:space="preserve"> 126 pays/territoires participant à des initiatives de planification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espace marin à la fin de 2023</w:t>
      </w:r>
      <w:r w:rsidR="007C6797">
        <w:rPr>
          <w:rStyle w:val="Appelnotedebasdep"/>
          <w:rFonts w:eastAsia="Times New Roman" w:cs="Arial"/>
          <w:snapToGrid/>
          <w:color w:val="000000"/>
          <w:szCs w:val="22"/>
          <w:lang w:eastAsia="en-US"/>
        </w:rPr>
        <w:footnoteReference w:id="3"/>
      </w:r>
      <w:r w:rsidRPr="00275103">
        <w:rPr>
          <w:rFonts w:eastAsia="Times New Roman" w:cs="Arial"/>
          <w:snapToGrid/>
          <w:color w:val="000000"/>
          <w:szCs w:val="22"/>
          <w:lang w:eastAsia="en-US"/>
        </w:rPr>
        <w:t xml:space="preserve">. </w:t>
      </w:r>
    </w:p>
    <w:p w14:paraId="00102FEE" w14:textId="5EB74C9B" w:rsidR="00275103" w:rsidRPr="00275103" w:rsidRDefault="00275103" w:rsidP="00C307B1">
      <w:pPr>
        <w:tabs>
          <w:tab w:val="clear" w:pos="567"/>
        </w:tabs>
        <w:snapToGrid/>
        <w:spacing w:before="120"/>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14.</w:t>
      </w:r>
      <w:r w:rsidRPr="00275103">
        <w:rPr>
          <w:rFonts w:eastAsia="Times New Roman" w:cs="Arial"/>
          <w:snapToGrid/>
          <w:color w:val="000000"/>
          <w:szCs w:val="22"/>
          <w:lang w:eastAsia="en-US"/>
        </w:rPr>
        <w:tab/>
        <w:t>Une stratégie globale sur la planification et la gestion durables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océan offrira un cadre </w:t>
      </w:r>
      <w:r w:rsidR="007C6797">
        <w:rPr>
          <w:rFonts w:eastAsia="Times New Roman" w:cs="Arial"/>
          <w:snapToGrid/>
          <w:color w:val="000000"/>
          <w:szCs w:val="22"/>
          <w:lang w:eastAsia="en-US"/>
        </w:rPr>
        <w:t>unificateur</w:t>
      </w:r>
      <w:r w:rsidRPr="00275103">
        <w:rPr>
          <w:rFonts w:eastAsia="Times New Roman" w:cs="Arial"/>
          <w:snapToGrid/>
          <w:color w:val="000000"/>
          <w:szCs w:val="22"/>
          <w:lang w:eastAsia="en-US"/>
        </w:rPr>
        <w:t xml:space="preserve"> </w:t>
      </w:r>
      <w:r w:rsidR="007C6797">
        <w:rPr>
          <w:rFonts w:eastAsia="Times New Roman" w:cs="Arial"/>
          <w:snapToGrid/>
          <w:color w:val="000000"/>
          <w:szCs w:val="22"/>
          <w:lang w:eastAsia="en-US"/>
        </w:rPr>
        <w:t>qui assurera</w:t>
      </w:r>
      <w:r w:rsidRPr="00275103">
        <w:rPr>
          <w:rFonts w:eastAsia="Times New Roman" w:cs="Arial"/>
          <w:snapToGrid/>
          <w:color w:val="000000"/>
          <w:szCs w:val="22"/>
          <w:lang w:eastAsia="en-US"/>
        </w:rPr>
        <w:t xml:space="preserve"> la coordination des progrès des programmes et projets existants de la COI, en s</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appuyant sur la </w:t>
      </w:r>
      <w:hyperlink r:id="rId12" w:history="1">
        <w:r w:rsidRPr="007C6797">
          <w:rPr>
            <w:rStyle w:val="Lienhypertexte"/>
            <w:rFonts w:eastAsia="Times New Roman" w:cs="Arial"/>
            <w:snapToGrid/>
            <w:szCs w:val="22"/>
            <w:lang w:eastAsia="en-US"/>
          </w:rPr>
          <w:t>Stratégie de gestion intégrée des zones côtières (ICAM)</w:t>
        </w:r>
      </w:hyperlink>
      <w:r w:rsidRPr="00275103">
        <w:rPr>
          <w:rFonts w:eastAsia="Times New Roman" w:cs="Arial"/>
          <w:snapToGrid/>
          <w:color w:val="000000"/>
          <w:szCs w:val="22"/>
          <w:lang w:eastAsia="en-US"/>
        </w:rPr>
        <w:t xml:space="preserve"> de la COI approuvée par les États membres en 2015. La </w:t>
      </w:r>
      <w:r w:rsidR="007C6797">
        <w:rPr>
          <w:rFonts w:eastAsia="Times New Roman" w:cs="Arial"/>
          <w:snapToGrid/>
          <w:color w:val="000000"/>
          <w:szCs w:val="22"/>
          <w:lang w:eastAsia="en-US"/>
        </w:rPr>
        <w:t>s</w:t>
      </w:r>
      <w:r w:rsidRPr="00275103">
        <w:rPr>
          <w:rFonts w:eastAsia="Times New Roman" w:cs="Arial"/>
          <w:snapToGrid/>
          <w:color w:val="000000"/>
          <w:szCs w:val="22"/>
          <w:lang w:eastAsia="en-US"/>
        </w:rPr>
        <w:t>tratégie renforce les capacités collectives permettant de répondre aux nouvelles préoccupations relatives aux océans à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aide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outils de gestion écosystémiques, favorise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adaptation au changement climatique et la résilience face aux risques océaniques, et </w:t>
      </w:r>
      <w:r w:rsidR="003C0C2D">
        <w:rPr>
          <w:rFonts w:eastAsia="Times New Roman" w:cs="Arial"/>
          <w:snapToGrid/>
          <w:color w:val="000000"/>
          <w:szCs w:val="22"/>
          <w:lang w:eastAsia="en-US"/>
        </w:rPr>
        <w:t>accroît</w:t>
      </w:r>
      <w:r w:rsidRPr="00275103">
        <w:rPr>
          <w:rFonts w:eastAsia="Times New Roman" w:cs="Arial"/>
          <w:snapToGrid/>
          <w:color w:val="000000"/>
          <w:szCs w:val="22"/>
          <w:lang w:eastAsia="en-US"/>
        </w:rPr>
        <w:t xml:space="preserve"> les connaissances </w:t>
      </w:r>
      <w:r w:rsidR="003C0C2D">
        <w:rPr>
          <w:rFonts w:eastAsia="Times New Roman" w:cs="Arial"/>
          <w:snapToGrid/>
          <w:color w:val="000000"/>
          <w:szCs w:val="22"/>
          <w:lang w:eastAsia="en-US"/>
        </w:rPr>
        <w:t>étayant l</w:t>
      </w:r>
      <w:r w:rsidRPr="00275103">
        <w:rPr>
          <w:rFonts w:eastAsia="Times New Roman" w:cs="Arial"/>
          <w:snapToGrid/>
          <w:color w:val="000000"/>
          <w:szCs w:val="22"/>
          <w:lang w:eastAsia="en-US"/>
        </w:rPr>
        <w:t>es mesures de gestion des écosystèmes côtiers et marins. Les efforts déployés</w:t>
      </w:r>
      <w:r w:rsidR="003C0C2D">
        <w:rPr>
          <w:rFonts w:eastAsia="Times New Roman" w:cs="Arial"/>
          <w:snapToGrid/>
          <w:color w:val="000000"/>
          <w:szCs w:val="22"/>
          <w:lang w:eastAsia="en-US"/>
        </w:rPr>
        <w:t xml:space="preserve"> actuellement</w:t>
      </w:r>
      <w:r w:rsidRPr="00275103">
        <w:rPr>
          <w:rFonts w:eastAsia="Times New Roman" w:cs="Arial"/>
          <w:snapToGrid/>
          <w:color w:val="000000"/>
          <w:szCs w:val="22"/>
          <w:lang w:eastAsia="en-US"/>
        </w:rPr>
        <w:t xml:space="preserve"> par la COI dans le domaine de la recherche et des connaissances océaniques contribuent à la </w:t>
      </w:r>
      <w:r w:rsidR="003C0C2D">
        <w:rPr>
          <w:rFonts w:eastAsia="Times New Roman" w:cs="Arial"/>
          <w:snapToGrid/>
          <w:color w:val="000000"/>
          <w:szCs w:val="22"/>
          <w:lang w:eastAsia="en-US"/>
        </w:rPr>
        <w:t>s</w:t>
      </w:r>
      <w:r w:rsidRPr="00275103">
        <w:rPr>
          <w:rFonts w:eastAsia="Times New Roman" w:cs="Arial"/>
          <w:snapToGrid/>
          <w:color w:val="000000"/>
          <w:szCs w:val="22"/>
          <w:lang w:eastAsia="en-US"/>
        </w:rPr>
        <w:t>tratégie en établissant un socle de connaissances qui permet de prendre des décisions éclairées en matière de gestion des océans, en s</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appuyant sur les initiatives de la COI en matière de science des écosystèmes, notamment les multiples facteurs de stress océaniques, et les produits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évaluation intégrée. En outre, en tirant parti des atouts avérés de la COI </w:t>
      </w:r>
      <w:r w:rsidR="003C0C2D">
        <w:rPr>
          <w:rFonts w:eastAsia="Times New Roman" w:cs="Arial"/>
          <w:snapToGrid/>
          <w:color w:val="000000"/>
          <w:szCs w:val="22"/>
          <w:lang w:eastAsia="en-US"/>
        </w:rPr>
        <w:t xml:space="preserve">à travers des </w:t>
      </w:r>
      <w:r w:rsidRPr="00275103">
        <w:rPr>
          <w:rFonts w:eastAsia="Times New Roman" w:cs="Arial"/>
          <w:snapToGrid/>
          <w:color w:val="000000"/>
          <w:szCs w:val="22"/>
          <w:lang w:eastAsia="en-US"/>
        </w:rPr>
        <w:t>initiatives telles que le Système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informations sur la biodiversité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océan (OBIS) et le Système de données et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information océanographiques (ODIS), la </w:t>
      </w:r>
      <w:r w:rsidR="003C0C2D">
        <w:rPr>
          <w:rFonts w:eastAsia="Times New Roman" w:cs="Arial"/>
          <w:snapToGrid/>
          <w:color w:val="000000"/>
          <w:szCs w:val="22"/>
          <w:lang w:eastAsia="en-US"/>
        </w:rPr>
        <w:t>s</w:t>
      </w:r>
      <w:r w:rsidRPr="00275103">
        <w:rPr>
          <w:rFonts w:eastAsia="Times New Roman" w:cs="Arial"/>
          <w:snapToGrid/>
          <w:color w:val="000000"/>
          <w:szCs w:val="22"/>
          <w:lang w:eastAsia="en-US"/>
        </w:rPr>
        <w:t>tratégie vise à améliorer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accessibilité, la qualité et la disponibilité des données, en mettant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accent sur la modélisation et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identification de produits de prévision océanique pertinents, afin de fournir aux décideurs et aux parties prenantes des informations exhaustives et fiables. En définitive, cette approche unifiée vise à améliorer la collaboration entre les parties prenantes, à faciliter la prise de décisions fondées sur des données probantes et à promouvoir des pratiques ou des méthodologies concertées, en renforçant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engagement de la COI en faveur de la résilience côtière, </w:t>
      </w:r>
      <w:r w:rsidR="000A7149">
        <w:rPr>
          <w:rFonts w:eastAsia="Times New Roman" w:cs="Arial"/>
          <w:snapToGrid/>
          <w:color w:val="000000"/>
          <w:szCs w:val="22"/>
          <w:lang w:eastAsia="en-US"/>
        </w:rPr>
        <w:t>l</w:t>
      </w:r>
      <w:r w:rsidRPr="00275103">
        <w:rPr>
          <w:rFonts w:eastAsia="Times New Roman" w:cs="Arial"/>
          <w:snapToGrid/>
          <w:color w:val="000000"/>
          <w:szCs w:val="22"/>
          <w:lang w:eastAsia="en-US"/>
        </w:rPr>
        <w:t>es outils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aide à la décision et </w:t>
      </w:r>
      <w:r w:rsidR="000A7149">
        <w:rPr>
          <w:rFonts w:eastAsia="Times New Roman" w:cs="Arial"/>
          <w:snapToGrid/>
          <w:color w:val="000000"/>
          <w:szCs w:val="22"/>
          <w:lang w:eastAsia="en-US"/>
        </w:rPr>
        <w:t>l</w:t>
      </w:r>
      <w:r w:rsidRPr="00275103">
        <w:rPr>
          <w:rFonts w:eastAsia="Times New Roman" w:cs="Arial"/>
          <w:snapToGrid/>
          <w:color w:val="000000"/>
          <w:szCs w:val="22"/>
          <w:lang w:eastAsia="en-US"/>
        </w:rPr>
        <w:t>es solutions fondées sur des données.</w:t>
      </w:r>
    </w:p>
    <w:p w14:paraId="080B68D9" w14:textId="73D987CB" w:rsidR="00275103" w:rsidRPr="00275103" w:rsidRDefault="00275103" w:rsidP="00C307B1">
      <w:pPr>
        <w:pStyle w:val="Marge"/>
        <w:spacing w:before="240"/>
        <w:rPr>
          <w:snapToGrid/>
        </w:rPr>
      </w:pPr>
      <w:r w:rsidRPr="007A3F08">
        <w:rPr>
          <w:snapToGrid/>
        </w:rPr>
        <w:lastRenderedPageBreak/>
        <w:t>15.</w:t>
      </w:r>
      <w:r w:rsidRPr="007A3F08">
        <w:rPr>
          <w:snapToGrid/>
        </w:rPr>
        <w:tab/>
        <w:t xml:space="preserve">La </w:t>
      </w:r>
      <w:r w:rsidR="00862674" w:rsidRPr="007A3F08">
        <w:rPr>
          <w:snapToGrid/>
        </w:rPr>
        <w:t>s</w:t>
      </w:r>
      <w:r w:rsidRPr="007A3F08">
        <w:rPr>
          <w:snapToGrid/>
        </w:rPr>
        <w:t>tratégie pour la planification et la gestion durables de l</w:t>
      </w:r>
      <w:r w:rsidR="00BC1B1E" w:rsidRPr="007A3F08">
        <w:rPr>
          <w:snapToGrid/>
        </w:rPr>
        <w:t>’</w:t>
      </w:r>
      <w:r w:rsidRPr="007A3F08">
        <w:rPr>
          <w:snapToGrid/>
        </w:rPr>
        <w:t>océan permettra à la COI d</w:t>
      </w:r>
      <w:r w:rsidR="00BC1B1E" w:rsidRPr="007A3F08">
        <w:rPr>
          <w:snapToGrid/>
        </w:rPr>
        <w:t>’</w:t>
      </w:r>
      <w:r w:rsidRPr="007A3F08">
        <w:rPr>
          <w:snapToGrid/>
        </w:rPr>
        <w:t>étendre</w:t>
      </w:r>
      <w:r w:rsidRPr="00275103">
        <w:rPr>
          <w:snapToGrid/>
        </w:rPr>
        <w:t xml:space="preserve"> son influence </w:t>
      </w:r>
      <w:r w:rsidR="00862674">
        <w:rPr>
          <w:snapToGrid/>
        </w:rPr>
        <w:t>au</w:t>
      </w:r>
      <w:r w:rsidRPr="00275103">
        <w:rPr>
          <w:snapToGrid/>
        </w:rPr>
        <w:t xml:space="preserve">-delà </w:t>
      </w:r>
      <w:r w:rsidR="00862674">
        <w:rPr>
          <w:snapToGrid/>
        </w:rPr>
        <w:t>d</w:t>
      </w:r>
      <w:r w:rsidRPr="00275103">
        <w:rPr>
          <w:snapToGrid/>
        </w:rPr>
        <w:t xml:space="preserve">es programmes et projets existants, en </w:t>
      </w:r>
      <w:r w:rsidR="00862674">
        <w:rPr>
          <w:snapToGrid/>
        </w:rPr>
        <w:t>dépassant</w:t>
      </w:r>
      <w:r w:rsidRPr="00275103">
        <w:rPr>
          <w:snapToGrid/>
        </w:rPr>
        <w:t xml:space="preserve"> les limites des efforts </w:t>
      </w:r>
      <w:r w:rsidR="00862674">
        <w:rPr>
          <w:snapToGrid/>
        </w:rPr>
        <w:t>en cours</w:t>
      </w:r>
      <w:r w:rsidRPr="00275103">
        <w:rPr>
          <w:snapToGrid/>
        </w:rPr>
        <w:t xml:space="preserve"> pour contribuer de manière significative aux débats plus </w:t>
      </w:r>
      <w:r w:rsidR="00862674">
        <w:rPr>
          <w:snapToGrid/>
        </w:rPr>
        <w:t>vastes</w:t>
      </w:r>
      <w:r w:rsidRPr="00275103">
        <w:rPr>
          <w:snapToGrid/>
        </w:rPr>
        <w:t xml:space="preserve"> sur l</w:t>
      </w:r>
      <w:r w:rsidR="00BC1B1E">
        <w:rPr>
          <w:snapToGrid/>
        </w:rPr>
        <w:t>’</w:t>
      </w:r>
      <w:r w:rsidRPr="00275103">
        <w:rPr>
          <w:snapToGrid/>
        </w:rPr>
        <w:t>économie des océans. Cet élargissement stratégique vise à renforcer l</w:t>
      </w:r>
      <w:r w:rsidR="00BC1B1E">
        <w:rPr>
          <w:snapToGrid/>
        </w:rPr>
        <w:t>’</w:t>
      </w:r>
      <w:r w:rsidRPr="00275103">
        <w:rPr>
          <w:snapToGrid/>
        </w:rPr>
        <w:t xml:space="preserve">influence sur les politiques, à mobiliser davantage les acteurs économiques et politiques, à faciliter la planification transfrontalière et intersectorielle et à accentuer les efforts en cours pour harmoniser les données détenues par diverses institutions, pays et partenaires dans un cadre unifié </w:t>
      </w:r>
      <w:r w:rsidR="00862674">
        <w:rPr>
          <w:snapToGrid/>
        </w:rPr>
        <w:t>à l</w:t>
      </w:r>
      <w:r w:rsidR="00BC1B1E">
        <w:rPr>
          <w:snapToGrid/>
        </w:rPr>
        <w:t>’</w:t>
      </w:r>
      <w:r w:rsidR="00862674">
        <w:rPr>
          <w:snapToGrid/>
        </w:rPr>
        <w:t>appui d</w:t>
      </w:r>
      <w:r w:rsidRPr="00275103">
        <w:rPr>
          <w:snapToGrid/>
        </w:rPr>
        <w:t>es différentes approches relatives à la planification et à la gestion durables des océans. En s</w:t>
      </w:r>
      <w:r w:rsidR="00BC1B1E">
        <w:rPr>
          <w:snapToGrid/>
        </w:rPr>
        <w:t>’</w:t>
      </w:r>
      <w:r w:rsidRPr="00275103">
        <w:rPr>
          <w:snapToGrid/>
        </w:rPr>
        <w:t xml:space="preserve">inscrivant dans les cadres existants et en les </w:t>
      </w:r>
      <w:r w:rsidR="00862674">
        <w:rPr>
          <w:snapToGrid/>
        </w:rPr>
        <w:t>appuyant</w:t>
      </w:r>
      <w:r w:rsidRPr="00275103">
        <w:rPr>
          <w:snapToGrid/>
        </w:rPr>
        <w:t>, qu</w:t>
      </w:r>
      <w:r w:rsidR="00BC1B1E">
        <w:rPr>
          <w:snapToGrid/>
        </w:rPr>
        <w:t>’</w:t>
      </w:r>
      <w:r w:rsidRPr="00275103">
        <w:rPr>
          <w:snapToGrid/>
        </w:rPr>
        <w:t>il s</w:t>
      </w:r>
      <w:r w:rsidR="00BC1B1E">
        <w:rPr>
          <w:snapToGrid/>
        </w:rPr>
        <w:t>’</w:t>
      </w:r>
      <w:r w:rsidRPr="00275103">
        <w:rPr>
          <w:snapToGrid/>
        </w:rPr>
        <w:t>agisse des plans de gestion durable de l</w:t>
      </w:r>
      <w:r w:rsidR="00BC1B1E">
        <w:rPr>
          <w:snapToGrid/>
        </w:rPr>
        <w:t>’</w:t>
      </w:r>
      <w:r w:rsidRPr="00275103">
        <w:rPr>
          <w:snapToGrid/>
        </w:rPr>
        <w:t>océan, des feuilles de route sur l</w:t>
      </w:r>
      <w:r w:rsidR="00BC1B1E">
        <w:rPr>
          <w:snapToGrid/>
        </w:rPr>
        <w:t>’</w:t>
      </w:r>
      <w:r w:rsidRPr="00275103">
        <w:rPr>
          <w:snapToGrid/>
        </w:rPr>
        <w:t xml:space="preserve">économie océanique durable, du calcul national de la valeur des océans ou des évaluations du capital naturel, la </w:t>
      </w:r>
      <w:r w:rsidR="00862674">
        <w:rPr>
          <w:snapToGrid/>
        </w:rPr>
        <w:t>s</w:t>
      </w:r>
      <w:r w:rsidRPr="00275103">
        <w:rPr>
          <w:snapToGrid/>
        </w:rPr>
        <w:t xml:space="preserve">tratégie vise à renforcer </w:t>
      </w:r>
      <w:r w:rsidR="00B720A0">
        <w:rPr>
          <w:snapToGrid/>
        </w:rPr>
        <w:t>la pertinence</w:t>
      </w:r>
      <w:r w:rsidRPr="00275103">
        <w:rPr>
          <w:snapToGrid/>
        </w:rPr>
        <w:t xml:space="preserve"> de la COI et à susciter des changements positifs à l</w:t>
      </w:r>
      <w:r w:rsidR="00BC1B1E">
        <w:rPr>
          <w:snapToGrid/>
        </w:rPr>
        <w:t>’</w:t>
      </w:r>
      <w:r w:rsidRPr="00275103">
        <w:rPr>
          <w:snapToGrid/>
        </w:rPr>
        <w:t>échelle mondiale.</w:t>
      </w:r>
    </w:p>
    <w:p w14:paraId="38C206D4" w14:textId="4FCAEAAE" w:rsidR="00275103" w:rsidRPr="00275103" w:rsidRDefault="00275103" w:rsidP="00275103">
      <w:pPr>
        <w:tabs>
          <w:tab w:val="clear" w:pos="567"/>
        </w:tabs>
        <w:snapToGrid/>
        <w:spacing w:before="120" w:after="240"/>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16.</w:t>
      </w:r>
      <w:r w:rsidRPr="00275103">
        <w:rPr>
          <w:rFonts w:eastAsia="Times New Roman" w:cs="Arial"/>
          <w:snapToGrid/>
          <w:color w:val="000000"/>
          <w:szCs w:val="22"/>
          <w:lang w:eastAsia="en-US"/>
        </w:rPr>
        <w:tab/>
        <w:t>En ou</w:t>
      </w:r>
      <w:r w:rsidRPr="00B06592">
        <w:rPr>
          <w:rFonts w:eastAsia="Times New Roman" w:cs="Arial"/>
          <w:snapToGrid/>
          <w:color w:val="000000"/>
          <w:szCs w:val="22"/>
          <w:lang w:eastAsia="en-US"/>
        </w:rPr>
        <w:t xml:space="preserve">tre, la </w:t>
      </w:r>
      <w:r w:rsidR="00B720A0" w:rsidRPr="00B06592">
        <w:rPr>
          <w:rFonts w:eastAsia="Times New Roman" w:cs="Arial"/>
          <w:snapToGrid/>
          <w:color w:val="000000"/>
          <w:szCs w:val="22"/>
          <w:lang w:eastAsia="en-US"/>
        </w:rPr>
        <w:t>s</w:t>
      </w:r>
      <w:r w:rsidRPr="00B06592">
        <w:rPr>
          <w:rFonts w:eastAsia="Times New Roman" w:cs="Arial"/>
          <w:snapToGrid/>
          <w:color w:val="000000"/>
          <w:szCs w:val="22"/>
          <w:lang w:eastAsia="en-US"/>
        </w:rPr>
        <w:t>tratégie met à profit l</w:t>
      </w:r>
      <w:r w:rsidR="00BC1B1E" w:rsidRPr="00B06592">
        <w:rPr>
          <w:rFonts w:eastAsia="Times New Roman" w:cs="Arial"/>
          <w:snapToGrid/>
          <w:color w:val="000000"/>
          <w:szCs w:val="22"/>
          <w:lang w:eastAsia="en-US"/>
        </w:rPr>
        <w:t>’</w:t>
      </w:r>
      <w:r w:rsidRPr="00B06592">
        <w:rPr>
          <w:rFonts w:eastAsia="Times New Roman" w:cs="Arial"/>
          <w:snapToGrid/>
          <w:color w:val="000000"/>
          <w:szCs w:val="22"/>
          <w:lang w:eastAsia="en-US"/>
        </w:rPr>
        <w:t xml:space="preserve">expertise et les </w:t>
      </w:r>
      <w:r w:rsidR="00B720A0" w:rsidRPr="00B06592">
        <w:rPr>
          <w:rFonts w:eastAsia="Times New Roman" w:cs="Arial"/>
          <w:snapToGrid/>
          <w:color w:val="000000"/>
          <w:szCs w:val="22"/>
          <w:lang w:eastAsia="en-US"/>
        </w:rPr>
        <w:t>éclairages</w:t>
      </w:r>
      <w:r w:rsidRPr="00B06592">
        <w:rPr>
          <w:rFonts w:eastAsia="Times New Roman" w:cs="Arial"/>
          <w:snapToGrid/>
          <w:color w:val="000000"/>
          <w:szCs w:val="22"/>
          <w:lang w:eastAsia="en-US"/>
        </w:rPr>
        <w:t xml:space="preserve"> régiona</w:t>
      </w:r>
      <w:r w:rsidR="00B720A0" w:rsidRPr="00B06592">
        <w:rPr>
          <w:rFonts w:eastAsia="Times New Roman" w:cs="Arial"/>
          <w:snapToGrid/>
          <w:color w:val="000000"/>
          <w:szCs w:val="22"/>
          <w:lang w:eastAsia="en-US"/>
        </w:rPr>
        <w:t>ux</w:t>
      </w:r>
      <w:r w:rsidRPr="00B06592">
        <w:rPr>
          <w:rFonts w:eastAsia="Times New Roman" w:cs="Arial"/>
          <w:snapToGrid/>
          <w:color w:val="000000"/>
          <w:szCs w:val="22"/>
          <w:lang w:eastAsia="en-US"/>
        </w:rPr>
        <w:t xml:space="preserve"> </w:t>
      </w:r>
      <w:r w:rsidR="00B720A0" w:rsidRPr="00B06592">
        <w:rPr>
          <w:rFonts w:eastAsia="Times New Roman" w:cs="Arial"/>
          <w:snapToGrid/>
          <w:color w:val="000000"/>
          <w:szCs w:val="22"/>
          <w:lang w:eastAsia="en-US"/>
        </w:rPr>
        <w:t>d</w:t>
      </w:r>
      <w:r w:rsidRPr="00B06592">
        <w:rPr>
          <w:rFonts w:eastAsia="Times New Roman" w:cs="Arial"/>
          <w:snapToGrid/>
          <w:color w:val="000000"/>
          <w:szCs w:val="22"/>
          <w:lang w:eastAsia="en-US"/>
        </w:rPr>
        <w:t>es quatre sous</w:t>
      </w:r>
      <w:r w:rsidR="007A3F08" w:rsidRPr="00B06592">
        <w:rPr>
          <w:rFonts w:eastAsia="Times New Roman" w:cs="Arial"/>
          <w:snapToGrid/>
          <w:color w:val="000000"/>
          <w:szCs w:val="22"/>
          <w:lang w:eastAsia="en-US"/>
        </w:rPr>
        <w:noBreakHyphen/>
      </w:r>
      <w:r w:rsidRPr="00B06592">
        <w:rPr>
          <w:rFonts w:eastAsia="Times New Roman" w:cs="Arial"/>
          <w:snapToGrid/>
          <w:color w:val="000000"/>
          <w:szCs w:val="22"/>
          <w:lang w:eastAsia="en-US"/>
        </w:rPr>
        <w:t>commissions de la COI (IOC</w:t>
      </w:r>
      <w:r w:rsidRPr="00275103">
        <w:rPr>
          <w:rFonts w:eastAsia="Times New Roman" w:cs="Arial"/>
          <w:snapToGrid/>
          <w:color w:val="000000"/>
          <w:szCs w:val="22"/>
          <w:lang w:eastAsia="en-US"/>
        </w:rPr>
        <w:t>ARIBE, IOCAFRICA, WESTPAC et IOCINDIO), qui jouent un rôle déterminant dans le recensement des besoins locaux en matière de planification et de gestion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océan et des particularités régionales. La </w:t>
      </w:r>
      <w:r w:rsidR="00B720A0">
        <w:rPr>
          <w:rFonts w:eastAsia="Times New Roman" w:cs="Arial"/>
          <w:snapToGrid/>
          <w:color w:val="000000"/>
          <w:szCs w:val="22"/>
          <w:lang w:eastAsia="en-US"/>
        </w:rPr>
        <w:t>s</w:t>
      </w:r>
      <w:r w:rsidRPr="00275103">
        <w:rPr>
          <w:rFonts w:eastAsia="Times New Roman" w:cs="Arial"/>
          <w:snapToGrid/>
          <w:color w:val="000000"/>
          <w:szCs w:val="22"/>
          <w:lang w:eastAsia="en-US"/>
        </w:rPr>
        <w:t xml:space="preserve">tratégie peut ainsi </w:t>
      </w:r>
      <w:r w:rsidR="00B720A0">
        <w:rPr>
          <w:rFonts w:eastAsia="Times New Roman" w:cs="Arial"/>
          <w:snapToGrid/>
          <w:color w:val="000000"/>
          <w:szCs w:val="22"/>
          <w:lang w:eastAsia="en-US"/>
        </w:rPr>
        <w:t>répondre de manière</w:t>
      </w:r>
      <w:r w:rsidRPr="00275103">
        <w:rPr>
          <w:rFonts w:eastAsia="Times New Roman" w:cs="Arial"/>
          <w:snapToGrid/>
          <w:color w:val="000000"/>
          <w:szCs w:val="22"/>
          <w:lang w:eastAsia="en-US"/>
        </w:rPr>
        <w:t xml:space="preserve"> souple et adaptée, en veillant à ce que les caractéristiques et les difficultés régionales soient prises en compte efficacement et que la mise en œuvre de la planification et de la gestion durables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océan soit adaptée selon les contextes propres aux différentes régions. Enfin, la COI pourra mettre à profit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expertise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UNESCO dans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autres domaines (par exemple, la préservation de la biodiversité, les systèmes de savoirs locaux et autochtones,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hydrologie, etc.) pour mettre en œuvre </w:t>
      </w:r>
      <w:r w:rsidR="00B720A0" w:rsidRPr="00275103">
        <w:rPr>
          <w:rFonts w:eastAsia="Times New Roman" w:cs="Arial"/>
          <w:snapToGrid/>
          <w:color w:val="000000"/>
          <w:szCs w:val="22"/>
          <w:lang w:eastAsia="en-US"/>
        </w:rPr>
        <w:t xml:space="preserve">sa </w:t>
      </w:r>
      <w:r w:rsidR="00B720A0">
        <w:rPr>
          <w:rFonts w:eastAsia="Times New Roman" w:cs="Arial"/>
          <w:snapToGrid/>
          <w:color w:val="000000"/>
          <w:szCs w:val="22"/>
          <w:lang w:eastAsia="en-US"/>
        </w:rPr>
        <w:t>s</w:t>
      </w:r>
      <w:r w:rsidR="00B720A0" w:rsidRPr="00275103">
        <w:rPr>
          <w:rFonts w:eastAsia="Times New Roman" w:cs="Arial"/>
          <w:snapToGrid/>
          <w:color w:val="000000"/>
          <w:szCs w:val="22"/>
          <w:lang w:eastAsia="en-US"/>
        </w:rPr>
        <w:t xml:space="preserve">tratégie </w:t>
      </w:r>
      <w:r w:rsidRPr="00275103">
        <w:rPr>
          <w:rFonts w:eastAsia="Times New Roman" w:cs="Arial"/>
          <w:snapToGrid/>
          <w:color w:val="000000"/>
          <w:szCs w:val="22"/>
          <w:lang w:eastAsia="en-US"/>
        </w:rPr>
        <w:t>et offrir une approche interdisciplinaire unique de la gestion des océans au sein des Nations Unies</w:t>
      </w:r>
      <w:r w:rsidR="00B720A0">
        <w:rPr>
          <w:rStyle w:val="Appelnotedebasdep"/>
          <w:rFonts w:eastAsia="Times New Roman" w:cs="Arial"/>
          <w:snapToGrid/>
          <w:color w:val="000000"/>
          <w:szCs w:val="22"/>
          <w:lang w:eastAsia="en-US"/>
        </w:rPr>
        <w:footnoteReference w:id="4"/>
      </w:r>
      <w:r w:rsidRPr="00275103">
        <w:rPr>
          <w:rFonts w:eastAsia="Times New Roman" w:cs="Arial"/>
          <w:snapToGrid/>
          <w:color w:val="000000"/>
          <w:szCs w:val="22"/>
          <w:lang w:eastAsia="en-US"/>
        </w:rPr>
        <w:t>.</w:t>
      </w:r>
    </w:p>
    <w:p w14:paraId="068CCAC7" w14:textId="00FB257E" w:rsidR="00275103" w:rsidRPr="00275103" w:rsidRDefault="00275103" w:rsidP="00275103">
      <w:pPr>
        <w:tabs>
          <w:tab w:val="clear" w:pos="567"/>
        </w:tabs>
        <w:snapToGrid/>
        <w:spacing w:before="120" w:after="240"/>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17.</w:t>
      </w:r>
      <w:r w:rsidRPr="00275103">
        <w:rPr>
          <w:rFonts w:eastAsia="Times New Roman" w:cs="Arial"/>
          <w:snapToGrid/>
          <w:color w:val="000000"/>
          <w:szCs w:val="22"/>
          <w:lang w:eastAsia="en-US"/>
        </w:rPr>
        <w:tab/>
      </w:r>
      <w:r w:rsidR="00B720A0">
        <w:rPr>
          <w:rFonts w:eastAsia="Times New Roman" w:cs="Arial"/>
          <w:snapToGrid/>
          <w:color w:val="000000"/>
          <w:szCs w:val="22"/>
          <w:lang w:eastAsia="en-US"/>
        </w:rPr>
        <w:t>L</w:t>
      </w:r>
      <w:r w:rsidR="00BC1B1E">
        <w:rPr>
          <w:rFonts w:eastAsia="Times New Roman" w:cs="Arial"/>
          <w:snapToGrid/>
          <w:color w:val="000000"/>
          <w:szCs w:val="22"/>
          <w:lang w:eastAsia="en-US"/>
        </w:rPr>
        <w:t>’</w:t>
      </w:r>
      <w:r w:rsidR="00B720A0">
        <w:rPr>
          <w:rFonts w:eastAsia="Times New Roman" w:cs="Arial"/>
          <w:snapToGrid/>
          <w:color w:val="000000"/>
          <w:szCs w:val="22"/>
          <w:lang w:eastAsia="en-US"/>
        </w:rPr>
        <w:t>application de</w:t>
      </w:r>
      <w:r w:rsidRPr="00275103">
        <w:rPr>
          <w:rFonts w:eastAsia="Times New Roman" w:cs="Arial"/>
          <w:snapToGrid/>
          <w:color w:val="000000"/>
          <w:szCs w:val="22"/>
          <w:lang w:eastAsia="en-US"/>
        </w:rPr>
        <w:t xml:space="preserve"> la </w:t>
      </w:r>
      <w:r w:rsidR="00B720A0">
        <w:rPr>
          <w:rFonts w:eastAsia="Times New Roman" w:cs="Arial"/>
          <w:snapToGrid/>
          <w:color w:val="000000"/>
          <w:szCs w:val="22"/>
          <w:lang w:eastAsia="en-US"/>
        </w:rPr>
        <w:t>s</w:t>
      </w:r>
      <w:r w:rsidRPr="00275103">
        <w:rPr>
          <w:rFonts w:eastAsia="Times New Roman" w:cs="Arial"/>
          <w:snapToGrid/>
          <w:color w:val="000000"/>
          <w:szCs w:val="22"/>
          <w:lang w:eastAsia="en-US"/>
        </w:rPr>
        <w:t>tratégie</w:t>
      </w:r>
      <w:r w:rsidR="00B720A0">
        <w:rPr>
          <w:rFonts w:eastAsia="Times New Roman" w:cs="Arial"/>
          <w:snapToGrid/>
          <w:color w:val="000000"/>
          <w:szCs w:val="22"/>
          <w:lang w:eastAsia="en-US"/>
        </w:rPr>
        <w:t xml:space="preserve"> peut permettre aux</w:t>
      </w:r>
      <w:r w:rsidRPr="00275103">
        <w:rPr>
          <w:rFonts w:eastAsia="Times New Roman" w:cs="Arial"/>
          <w:snapToGrid/>
          <w:color w:val="000000"/>
          <w:szCs w:val="22"/>
          <w:lang w:eastAsia="en-US"/>
        </w:rPr>
        <w:t xml:space="preserve"> États membres </w:t>
      </w:r>
      <w:r w:rsidR="00B720A0">
        <w:rPr>
          <w:rFonts w:eastAsia="Times New Roman" w:cs="Arial"/>
          <w:snapToGrid/>
          <w:color w:val="000000"/>
          <w:szCs w:val="22"/>
          <w:lang w:eastAsia="en-US"/>
        </w:rPr>
        <w:t>de</w:t>
      </w:r>
      <w:r w:rsidRPr="00275103">
        <w:rPr>
          <w:rFonts w:eastAsia="Times New Roman" w:cs="Arial"/>
          <w:snapToGrid/>
          <w:color w:val="000000"/>
          <w:szCs w:val="22"/>
          <w:lang w:eastAsia="en-US"/>
        </w:rPr>
        <w:t xml:space="preserve"> bénéficier de conseils et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une assistance technique </w:t>
      </w:r>
      <w:r w:rsidR="00B720A0">
        <w:rPr>
          <w:rFonts w:eastAsia="Times New Roman" w:cs="Arial"/>
          <w:snapToGrid/>
          <w:color w:val="000000"/>
          <w:szCs w:val="22"/>
          <w:lang w:eastAsia="en-US"/>
        </w:rPr>
        <w:t xml:space="preserve">de façon à </w:t>
      </w:r>
      <w:r w:rsidRPr="00275103">
        <w:rPr>
          <w:rFonts w:eastAsia="Times New Roman" w:cs="Arial"/>
          <w:snapToGrid/>
          <w:color w:val="000000"/>
          <w:szCs w:val="22"/>
          <w:lang w:eastAsia="en-US"/>
        </w:rPr>
        <w:t>harmoniser leurs politiques nationales avec les cadres mondiaux et régionaux et les bonnes pratiques mondiales. Cette approche collaborative favorise le développement des capacités et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échange de connaissances, ce qui permet </w:t>
      </w:r>
      <w:r w:rsidR="00B720A0">
        <w:rPr>
          <w:rFonts w:eastAsia="Times New Roman" w:cs="Arial"/>
          <w:snapToGrid/>
          <w:color w:val="000000"/>
          <w:szCs w:val="22"/>
          <w:lang w:eastAsia="en-US"/>
        </w:rPr>
        <w:t>au bout du compte</w:t>
      </w:r>
      <w:r w:rsidRPr="00275103">
        <w:rPr>
          <w:rFonts w:eastAsia="Times New Roman" w:cs="Arial"/>
          <w:snapToGrid/>
          <w:color w:val="000000"/>
          <w:szCs w:val="22"/>
          <w:lang w:eastAsia="en-US"/>
        </w:rPr>
        <w:t xml:space="preserve">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améliorer la mise en œuvre des pratiques de planification et de gestion durables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océan. </w:t>
      </w:r>
    </w:p>
    <w:p w14:paraId="5EFD0E41" w14:textId="7F275E5A" w:rsidR="00FA60C7" w:rsidRPr="00FA60C7" w:rsidRDefault="00275103" w:rsidP="00275103">
      <w:pPr>
        <w:tabs>
          <w:tab w:val="clear" w:pos="567"/>
        </w:tabs>
        <w:snapToGrid/>
        <w:spacing w:before="120" w:after="240"/>
        <w:jc w:val="both"/>
        <w:textAlignment w:val="baseline"/>
        <w:rPr>
          <w:rFonts w:eastAsia="Times New Roman" w:cs="Arial"/>
          <w:snapToGrid/>
          <w:color w:val="000000"/>
          <w:szCs w:val="22"/>
          <w:lang w:eastAsia="en-US"/>
        </w:rPr>
      </w:pPr>
      <w:r w:rsidRPr="00275103">
        <w:rPr>
          <w:rFonts w:eastAsia="Times New Roman" w:cs="Arial"/>
          <w:snapToGrid/>
          <w:color w:val="000000"/>
          <w:szCs w:val="22"/>
          <w:lang w:eastAsia="en-US"/>
        </w:rPr>
        <w:t>18.</w:t>
      </w:r>
      <w:r w:rsidRPr="00275103">
        <w:rPr>
          <w:rFonts w:eastAsia="Times New Roman" w:cs="Arial"/>
          <w:snapToGrid/>
          <w:color w:val="000000"/>
          <w:szCs w:val="22"/>
          <w:lang w:eastAsia="en-US"/>
        </w:rPr>
        <w:tab/>
      </w:r>
      <w:r w:rsidR="00B720A0">
        <w:rPr>
          <w:rFonts w:eastAsia="Times New Roman" w:cs="Arial"/>
          <w:snapToGrid/>
          <w:color w:val="000000"/>
          <w:szCs w:val="22"/>
          <w:lang w:eastAsia="en-US"/>
        </w:rPr>
        <w:t>La COI, f</w:t>
      </w:r>
      <w:r w:rsidRPr="00275103">
        <w:rPr>
          <w:rFonts w:eastAsia="Times New Roman" w:cs="Arial"/>
          <w:snapToGrid/>
          <w:color w:val="000000"/>
          <w:szCs w:val="22"/>
          <w:lang w:eastAsia="en-US"/>
        </w:rPr>
        <w:t>orte de son mandat unique</w:t>
      </w:r>
      <w:r w:rsidR="00B720A0">
        <w:rPr>
          <w:rFonts w:eastAsia="Times New Roman" w:cs="Arial"/>
          <w:snapToGrid/>
          <w:color w:val="000000"/>
          <w:szCs w:val="22"/>
          <w:lang w:eastAsia="en-US"/>
        </w:rPr>
        <w:t xml:space="preserve"> –</w:t>
      </w:r>
      <w:r w:rsidRPr="00275103">
        <w:rPr>
          <w:rFonts w:eastAsia="Times New Roman" w:cs="Arial"/>
          <w:snapToGrid/>
          <w:color w:val="000000"/>
          <w:szCs w:val="22"/>
          <w:lang w:eastAsia="en-US"/>
        </w:rPr>
        <w:t xml:space="preserve"> promouvoir la coopération internationale en matière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océanographie,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observation et de développement des capacités</w:t>
      </w:r>
      <w:r w:rsidR="00B720A0">
        <w:rPr>
          <w:rFonts w:eastAsia="Times New Roman" w:cs="Arial"/>
          <w:snapToGrid/>
          <w:color w:val="000000"/>
          <w:szCs w:val="22"/>
          <w:lang w:eastAsia="en-US"/>
        </w:rPr>
        <w:t xml:space="preserve"> – </w:t>
      </w:r>
      <w:r w:rsidRPr="00275103">
        <w:rPr>
          <w:rFonts w:eastAsia="Times New Roman" w:cs="Arial"/>
          <w:snapToGrid/>
          <w:color w:val="000000"/>
          <w:szCs w:val="22"/>
          <w:lang w:eastAsia="en-US"/>
        </w:rPr>
        <w:t xml:space="preserve">est la mieux à même de réaliser les objectifs au titre de cette </w:t>
      </w:r>
      <w:r w:rsidR="00B720A0">
        <w:rPr>
          <w:rFonts w:eastAsia="Times New Roman" w:cs="Arial"/>
          <w:snapToGrid/>
          <w:color w:val="000000"/>
          <w:szCs w:val="22"/>
          <w:lang w:eastAsia="en-US"/>
        </w:rPr>
        <w:t>s</w:t>
      </w:r>
      <w:r w:rsidRPr="00275103">
        <w:rPr>
          <w:rFonts w:eastAsia="Times New Roman" w:cs="Arial"/>
          <w:snapToGrid/>
          <w:color w:val="000000"/>
          <w:szCs w:val="22"/>
          <w:lang w:eastAsia="en-US"/>
        </w:rPr>
        <w:t>tratégie. Les connaissances spécialisées de la Commission permettent d</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offrir une assistance technique </w:t>
      </w:r>
      <w:r w:rsidR="00B720A0">
        <w:rPr>
          <w:rFonts w:eastAsia="Times New Roman" w:cs="Arial"/>
          <w:snapToGrid/>
          <w:color w:val="000000"/>
          <w:szCs w:val="22"/>
          <w:lang w:eastAsia="en-US"/>
        </w:rPr>
        <w:t>déterminante</w:t>
      </w:r>
      <w:r w:rsidRPr="00275103">
        <w:rPr>
          <w:rFonts w:eastAsia="Times New Roman" w:cs="Arial"/>
          <w:snapToGrid/>
          <w:color w:val="000000"/>
          <w:szCs w:val="22"/>
          <w:lang w:eastAsia="en-US"/>
        </w:rPr>
        <w:t xml:space="preserve"> et des orientations scientifiques fondées sur des éléments factuels aux fins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élaboration de politiques marines axées sur la planification et la gestion durables de l</w:t>
      </w:r>
      <w:r w:rsidR="00BC1B1E">
        <w:rPr>
          <w:rFonts w:eastAsia="Times New Roman" w:cs="Arial"/>
          <w:snapToGrid/>
          <w:color w:val="000000"/>
          <w:szCs w:val="22"/>
          <w:lang w:eastAsia="en-US"/>
        </w:rPr>
        <w:t>’</w:t>
      </w:r>
      <w:r w:rsidRPr="00275103">
        <w:rPr>
          <w:rFonts w:eastAsia="Times New Roman" w:cs="Arial"/>
          <w:snapToGrid/>
          <w:color w:val="000000"/>
          <w:szCs w:val="22"/>
          <w:lang w:eastAsia="en-US"/>
        </w:rPr>
        <w:t xml:space="preserve">océan. Cela facilite en retour </w:t>
      </w:r>
      <w:r w:rsidR="00B720A0">
        <w:rPr>
          <w:rFonts w:eastAsia="Times New Roman" w:cs="Arial"/>
          <w:snapToGrid/>
          <w:color w:val="000000"/>
          <w:szCs w:val="22"/>
          <w:lang w:eastAsia="en-US"/>
        </w:rPr>
        <w:t>une</w:t>
      </w:r>
      <w:r w:rsidRPr="00275103">
        <w:rPr>
          <w:rFonts w:eastAsia="Times New Roman" w:cs="Arial"/>
          <w:snapToGrid/>
          <w:color w:val="000000"/>
          <w:szCs w:val="22"/>
          <w:lang w:eastAsia="en-US"/>
        </w:rPr>
        <w:t xml:space="preserve"> prise en compte harmonieuse des principes scientifiques et des bonnes pratiques dans les processus décisionnels.</w:t>
      </w:r>
    </w:p>
    <w:p w14:paraId="19D09D54" w14:textId="041DAE51" w:rsidR="00BC1B1E" w:rsidRPr="00BC1B1E" w:rsidRDefault="00BC1B1E" w:rsidP="00BC1B1E">
      <w:pPr>
        <w:pStyle w:val="Titre3"/>
        <w:rPr>
          <w:rFonts w:eastAsia="DengXian Light"/>
          <w:snapToGrid/>
          <w:lang w:val="en-GB"/>
        </w:rPr>
      </w:pPr>
      <w:bookmarkStart w:id="5" w:name="_Toc168325790"/>
      <w:bookmarkStart w:id="6" w:name="_Toc170139293"/>
      <w:r>
        <w:rPr>
          <w:rFonts w:eastAsia="DengXian Light"/>
          <w:snapToGrid/>
          <w:lang w:val="en-GB"/>
        </w:rPr>
        <w:t>II.</w:t>
      </w:r>
      <w:r>
        <w:rPr>
          <w:rFonts w:eastAsia="DengXian Light"/>
          <w:snapToGrid/>
          <w:lang w:val="en-GB"/>
        </w:rPr>
        <w:tab/>
      </w:r>
      <w:r w:rsidRPr="00BC1B1E">
        <w:rPr>
          <w:rFonts w:eastAsia="DengXian Light"/>
          <w:snapToGrid/>
          <w:lang w:val="en-GB"/>
        </w:rPr>
        <w:t xml:space="preserve">Vision </w:t>
      </w:r>
      <w:bookmarkEnd w:id="5"/>
      <w:r w:rsidRPr="00BC1B1E">
        <w:rPr>
          <w:rFonts w:eastAsia="DengXian Light"/>
          <w:snapToGrid/>
          <w:lang w:val="en-GB"/>
        </w:rPr>
        <w:t>et objectifs</w:t>
      </w:r>
      <w:bookmarkEnd w:id="6"/>
    </w:p>
    <w:p w14:paraId="73305563" w14:textId="69AD8CEC" w:rsidR="00BC1B1E" w:rsidRPr="00BC1B1E" w:rsidRDefault="00BC1B1E" w:rsidP="00BC1B1E">
      <w:pPr>
        <w:pStyle w:val="Marge"/>
        <w:rPr>
          <w:snapToGrid/>
        </w:rPr>
      </w:pPr>
      <w:r w:rsidRPr="00BC1B1E">
        <w:rPr>
          <w:snapToGrid/>
        </w:rPr>
        <w:t>19.</w:t>
      </w:r>
      <w:r w:rsidRPr="00BC1B1E">
        <w:rPr>
          <w:snapToGrid/>
        </w:rPr>
        <w:tab/>
        <w:t>La vision de la stratégie de la COI sur la planification et la gestion durables de l</w:t>
      </w:r>
      <w:r>
        <w:rPr>
          <w:snapToGrid/>
        </w:rPr>
        <w:t>’</w:t>
      </w:r>
      <w:r w:rsidRPr="00BC1B1E">
        <w:rPr>
          <w:snapToGrid/>
        </w:rPr>
        <w:t>océan consiste à élaborer :</w:t>
      </w:r>
    </w:p>
    <w:p w14:paraId="2048A7CF" w14:textId="37719AE3" w:rsidR="00BC1B1E" w:rsidRPr="00BC1B1E" w:rsidRDefault="00BC1B1E" w:rsidP="00BC1B1E">
      <w:pPr>
        <w:tabs>
          <w:tab w:val="clear" w:pos="567"/>
        </w:tabs>
        <w:snapToGrid/>
        <w:spacing w:after="240"/>
        <w:ind w:left="709" w:right="697"/>
        <w:rPr>
          <w:rFonts w:eastAsia="Times New Roman" w:cs="Arial"/>
          <w:i/>
          <w:snapToGrid/>
          <w:szCs w:val="22"/>
          <w:lang w:eastAsia="en-GB"/>
        </w:rPr>
      </w:pPr>
      <w:r w:rsidRPr="00BC1B1E">
        <w:rPr>
          <w:rFonts w:eastAsia="Times New Roman" w:cs="Arial"/>
          <w:iCs/>
          <w:snapToGrid/>
          <w:szCs w:val="22"/>
          <w:lang w:eastAsia="en-GB"/>
        </w:rPr>
        <w:t>« </w:t>
      </w:r>
      <w:r w:rsidRPr="00BC1B1E">
        <w:rPr>
          <w:rFonts w:eastAsia="Times New Roman" w:cs="Arial"/>
          <w:i/>
          <w:snapToGrid/>
          <w:szCs w:val="22"/>
          <w:lang w:eastAsia="en-GB"/>
        </w:rPr>
        <w:t>Un cadre global pour la fourniture de connaissances et de capacités pour répondre aux besoins des États membres de la COI en matière de planification et de gestion durables de l</w:t>
      </w:r>
      <w:r>
        <w:rPr>
          <w:rFonts w:eastAsia="Times New Roman" w:cs="Arial"/>
          <w:i/>
          <w:snapToGrid/>
          <w:szCs w:val="22"/>
          <w:lang w:eastAsia="en-GB"/>
        </w:rPr>
        <w:t>’</w:t>
      </w:r>
      <w:r w:rsidRPr="00BC1B1E">
        <w:rPr>
          <w:rFonts w:eastAsia="Times New Roman" w:cs="Arial"/>
          <w:i/>
          <w:snapToGrid/>
          <w:szCs w:val="22"/>
          <w:lang w:eastAsia="en-GB"/>
        </w:rPr>
        <w:t>océan</w:t>
      </w:r>
      <w:r w:rsidRPr="00BC1B1E">
        <w:rPr>
          <w:rFonts w:eastAsia="Times New Roman" w:cs="Arial"/>
          <w:iCs/>
          <w:snapToGrid/>
          <w:szCs w:val="22"/>
          <w:lang w:eastAsia="en-GB"/>
        </w:rPr>
        <w:t xml:space="preserve">. » </w:t>
      </w:r>
    </w:p>
    <w:p w14:paraId="1E5A78F5" w14:textId="4ACDEDA4" w:rsidR="00BC1B1E" w:rsidRPr="00BC1B1E" w:rsidRDefault="00BC1B1E" w:rsidP="00BC1B1E">
      <w:pPr>
        <w:pStyle w:val="Marge"/>
        <w:rPr>
          <w:snapToGrid/>
        </w:rPr>
      </w:pPr>
      <w:r w:rsidRPr="00BC1B1E">
        <w:rPr>
          <w:snapToGrid/>
        </w:rPr>
        <w:t>20.</w:t>
      </w:r>
      <w:r w:rsidRPr="00BC1B1E">
        <w:rPr>
          <w:snapToGrid/>
        </w:rPr>
        <w:tab/>
        <w:t>La stratégie énonce des principes pour mettre en œuvre des pratiques efficaces de planification et de gestion de l</w:t>
      </w:r>
      <w:r>
        <w:rPr>
          <w:snapToGrid/>
        </w:rPr>
        <w:t>’</w:t>
      </w:r>
      <w:r w:rsidRPr="00BC1B1E">
        <w:rPr>
          <w:snapToGrid/>
        </w:rPr>
        <w:t>écosystème océanique, ainsi que les cadres correspondants, afin de garantir une prise de décisions éclairée. Elle oriente l</w:t>
      </w:r>
      <w:r>
        <w:rPr>
          <w:snapToGrid/>
        </w:rPr>
        <w:t>’</w:t>
      </w:r>
      <w:r w:rsidRPr="00BC1B1E">
        <w:rPr>
          <w:snapToGrid/>
        </w:rPr>
        <w:t>ensemble des programmes et des projets de la COI de manière coordonnée et sur la base de pratiques convenues afin de permettre la gestion intégrée de l</w:t>
      </w:r>
      <w:r>
        <w:rPr>
          <w:snapToGrid/>
        </w:rPr>
        <w:t>’</w:t>
      </w:r>
      <w:r w:rsidRPr="00BC1B1E">
        <w:rPr>
          <w:snapToGrid/>
        </w:rPr>
        <w:t xml:space="preserve">océan ainsi que la planification et la prise de décisions à cet égard. Elle est alignée sur la Stratégie à moyen terme de la COI pour 2022-2029 et ses fonctions correspondantes. En outre, la stratégie prend en considération les plans stratégiques et les résultats des programmes existants, </w:t>
      </w:r>
      <w:r w:rsidRPr="00BC1B1E">
        <w:rPr>
          <w:snapToGrid/>
        </w:rPr>
        <w:lastRenderedPageBreak/>
        <w:t>notamment la Stratégie de la COI pour l</w:t>
      </w:r>
      <w:r>
        <w:rPr>
          <w:snapToGrid/>
        </w:rPr>
        <w:t>’</w:t>
      </w:r>
      <w:r w:rsidRPr="00BC1B1E">
        <w:rPr>
          <w:snapToGrid/>
        </w:rPr>
        <w:t>ICAM (2015), le Plan stratégique de la COI pour la gestion des données et de l</w:t>
      </w:r>
      <w:r>
        <w:rPr>
          <w:snapToGrid/>
        </w:rPr>
        <w:t>’</w:t>
      </w:r>
      <w:r w:rsidRPr="00BC1B1E">
        <w:rPr>
          <w:snapToGrid/>
        </w:rPr>
        <w:t>information océanographiques (2023-2029), la Stratégie à l</w:t>
      </w:r>
      <w:r>
        <w:rPr>
          <w:snapToGrid/>
        </w:rPr>
        <w:t>’</w:t>
      </w:r>
      <w:r w:rsidRPr="00BC1B1E">
        <w:rPr>
          <w:snapToGrid/>
        </w:rPr>
        <w:t>horizon 2030 pour le Système mondial d</w:t>
      </w:r>
      <w:r>
        <w:rPr>
          <w:snapToGrid/>
        </w:rPr>
        <w:t>’</w:t>
      </w:r>
      <w:r w:rsidRPr="00BC1B1E">
        <w:rPr>
          <w:snapToGrid/>
        </w:rPr>
        <w:t>observation de l</w:t>
      </w:r>
      <w:r>
        <w:rPr>
          <w:snapToGrid/>
        </w:rPr>
        <w:t>’</w:t>
      </w:r>
      <w:r w:rsidRPr="00BC1B1E">
        <w:rPr>
          <w:snapToGrid/>
        </w:rPr>
        <w:t>océan et la Stratégie de la COI pour le développement des capacités (2023-2030). Cet alignement souligne l</w:t>
      </w:r>
      <w:r>
        <w:rPr>
          <w:snapToGrid/>
        </w:rPr>
        <w:t>’</w:t>
      </w:r>
      <w:r w:rsidRPr="00BC1B1E">
        <w:rPr>
          <w:snapToGrid/>
        </w:rPr>
        <w:t>objectif primordial de la COI, tel qu</w:t>
      </w:r>
      <w:r>
        <w:rPr>
          <w:snapToGrid/>
        </w:rPr>
        <w:t>’</w:t>
      </w:r>
      <w:r w:rsidRPr="00BC1B1E">
        <w:rPr>
          <w:snapToGrid/>
        </w:rPr>
        <w:t>énoncé à l</w:t>
      </w:r>
      <w:r>
        <w:rPr>
          <w:snapToGrid/>
        </w:rPr>
        <w:t>’</w:t>
      </w:r>
      <w:r w:rsidRPr="00BC1B1E">
        <w:rPr>
          <w:snapToGrid/>
        </w:rPr>
        <w:t>article</w:t>
      </w:r>
      <w:r w:rsidR="007A3F08">
        <w:rPr>
          <w:snapToGrid/>
        </w:rPr>
        <w:t> </w:t>
      </w:r>
      <w:r w:rsidRPr="00BC1B1E">
        <w:rPr>
          <w:snapToGrid/>
        </w:rPr>
        <w:t xml:space="preserve">2 des statuts susmentionnés.  </w:t>
      </w:r>
    </w:p>
    <w:p w14:paraId="0FDF10CB" w14:textId="178D4A8C" w:rsidR="00BC1B1E" w:rsidRPr="00BC1B1E" w:rsidRDefault="00BC1B1E" w:rsidP="00BC1B1E">
      <w:pPr>
        <w:pStyle w:val="Marge"/>
        <w:rPr>
          <w:snapToGrid/>
        </w:rPr>
      </w:pPr>
      <w:r w:rsidRPr="00BC1B1E">
        <w:rPr>
          <w:snapToGrid/>
        </w:rPr>
        <w:t>21.</w:t>
      </w:r>
      <w:r w:rsidRPr="00BC1B1E">
        <w:rPr>
          <w:snapToGrid/>
        </w:rPr>
        <w:tab/>
        <w:t>Les objectifs stratégiques de la stratégie sur la planification et la gestion durables de l</w:t>
      </w:r>
      <w:r>
        <w:rPr>
          <w:snapToGrid/>
        </w:rPr>
        <w:t>’</w:t>
      </w:r>
      <w:r w:rsidRPr="00BC1B1E">
        <w:rPr>
          <w:snapToGrid/>
        </w:rPr>
        <w:t>océan sont les suivants :</w:t>
      </w:r>
    </w:p>
    <w:p w14:paraId="7B9401A7" w14:textId="7895D21A" w:rsidR="00BC1B1E" w:rsidRPr="005455CC" w:rsidRDefault="00BC1B1E" w:rsidP="00BC1B1E">
      <w:pPr>
        <w:pStyle w:val="b"/>
        <w:rPr>
          <w:rFonts w:cs="Arial"/>
          <w:b/>
          <w:bCs/>
          <w:snapToGrid/>
          <w:spacing w:val="-3"/>
        </w:rPr>
      </w:pPr>
      <w:r w:rsidRPr="00BC1B1E">
        <w:rPr>
          <w:b/>
          <w:bCs/>
          <w:snapToGrid/>
        </w:rPr>
        <w:t>(i)</w:t>
      </w:r>
      <w:r w:rsidRPr="00BC1B1E">
        <w:rPr>
          <w:b/>
          <w:bCs/>
          <w:snapToGrid/>
        </w:rPr>
        <w:tab/>
      </w:r>
      <w:r w:rsidRPr="005455CC">
        <w:rPr>
          <w:rFonts w:cs="Arial"/>
          <w:b/>
          <w:bCs/>
          <w:snapToGrid/>
          <w:spacing w:val="-3"/>
        </w:rPr>
        <w:t>Intégration accrue et prise en compte systématique des approches de planification et de gestion durables de l’océan</w:t>
      </w:r>
    </w:p>
    <w:p w14:paraId="78104F90" w14:textId="482D7FAC" w:rsidR="00BC1B1E" w:rsidRPr="00A646C0" w:rsidRDefault="00BC1B1E" w:rsidP="00BC1B1E">
      <w:pPr>
        <w:pStyle w:val="b"/>
        <w:ind w:firstLine="0"/>
        <w:rPr>
          <w:snapToGrid/>
          <w:spacing w:val="-3"/>
        </w:rPr>
      </w:pPr>
      <w:r w:rsidRPr="00A646C0">
        <w:rPr>
          <w:snapToGrid/>
          <w:spacing w:val="-3"/>
        </w:rPr>
        <w:t>Élaborer une vision commune d’un cadre cohérent de planification et de gestion de l’océan à plusieurs échelles, fondé sur les meilleures données scientifiques disponibles, adaptable aux différents contextes et priorités, et intégrant les concepts, outils, meilleures pratiques et programmes existants, tels que la gestion intégrée des zones côtières et la planification de l’espace marin, à adapter en fonction du contexte de chaque pays.</w:t>
      </w:r>
    </w:p>
    <w:p w14:paraId="24C936BC" w14:textId="64E41628" w:rsidR="00BC1B1E" w:rsidRPr="00BC1B1E" w:rsidRDefault="00BC1B1E" w:rsidP="00BC1B1E">
      <w:pPr>
        <w:pStyle w:val="b"/>
        <w:rPr>
          <w:rFonts w:eastAsia="Arial"/>
          <w:b/>
          <w:bCs/>
          <w:snapToGrid/>
        </w:rPr>
      </w:pPr>
      <w:r w:rsidRPr="00BC1B1E">
        <w:rPr>
          <w:rFonts w:eastAsia="Arial"/>
          <w:b/>
          <w:bCs/>
          <w:snapToGrid/>
        </w:rPr>
        <w:t>(ii)</w:t>
      </w:r>
      <w:r w:rsidRPr="00BC1B1E">
        <w:rPr>
          <w:rFonts w:eastAsia="Arial"/>
          <w:b/>
          <w:bCs/>
          <w:snapToGrid/>
        </w:rPr>
        <w:tab/>
        <w:t xml:space="preserve">Meilleure gestion des observations, des données, des cadres de données </w:t>
      </w:r>
      <w:r w:rsidR="005455CC">
        <w:rPr>
          <w:rFonts w:eastAsia="Arial"/>
          <w:b/>
          <w:bCs/>
          <w:snapToGrid/>
        </w:rPr>
        <w:br/>
      </w:r>
      <w:r w:rsidRPr="00BC1B1E">
        <w:rPr>
          <w:rFonts w:eastAsia="Arial"/>
          <w:b/>
          <w:bCs/>
          <w:snapToGrid/>
        </w:rPr>
        <w:t xml:space="preserve">et des connaissances aux fins de la gestion écosystémique et des applications sectorielles </w:t>
      </w:r>
    </w:p>
    <w:p w14:paraId="564581AB" w14:textId="3FFD8AD9" w:rsidR="00BC1B1E" w:rsidRPr="00BC1B1E" w:rsidRDefault="00BC1B1E" w:rsidP="00BC1B1E">
      <w:pPr>
        <w:pStyle w:val="b"/>
        <w:rPr>
          <w:rFonts w:eastAsia="Arial"/>
          <w:bCs/>
          <w:snapToGrid/>
        </w:rPr>
      </w:pPr>
      <w:r w:rsidRPr="00BC1B1E">
        <w:rPr>
          <w:rFonts w:eastAsia="Arial"/>
          <w:snapToGrid/>
        </w:rPr>
        <w:tab/>
      </w:r>
      <w:r w:rsidRPr="00BC1B1E">
        <w:rPr>
          <w:rFonts w:eastAsia="Arial"/>
          <w:bCs/>
          <w:snapToGrid/>
        </w:rPr>
        <w:t>Améliorer la qualité, l</w:t>
      </w:r>
      <w:r>
        <w:rPr>
          <w:rFonts w:eastAsia="Arial"/>
          <w:bCs/>
          <w:snapToGrid/>
        </w:rPr>
        <w:t>’</w:t>
      </w:r>
      <w:r w:rsidRPr="00BC1B1E">
        <w:rPr>
          <w:rFonts w:eastAsia="Arial"/>
          <w:bCs/>
          <w:snapToGrid/>
        </w:rPr>
        <w:t>accessibilité et la facilité d</w:t>
      </w:r>
      <w:r>
        <w:rPr>
          <w:rFonts w:eastAsia="Arial"/>
          <w:bCs/>
          <w:snapToGrid/>
        </w:rPr>
        <w:t>’</w:t>
      </w:r>
      <w:r w:rsidRPr="00BC1B1E">
        <w:rPr>
          <w:rFonts w:eastAsia="Arial"/>
          <w:bCs/>
          <w:snapToGrid/>
        </w:rPr>
        <w:t>utilisation des données en adhérant aux pratiques ou méthodologies convenues, telles que la politique et les conditions d</w:t>
      </w:r>
      <w:r>
        <w:rPr>
          <w:rFonts w:eastAsia="Arial"/>
          <w:bCs/>
          <w:snapToGrid/>
        </w:rPr>
        <w:t>’</w:t>
      </w:r>
      <w:r w:rsidRPr="00BC1B1E">
        <w:rPr>
          <w:rFonts w:eastAsia="Arial"/>
          <w:bCs/>
          <w:snapToGrid/>
        </w:rPr>
        <w:t>utilisation des données de la COI (2023) et les principes FAIR</w:t>
      </w:r>
      <w:r w:rsidRPr="00BC1B1E">
        <w:rPr>
          <w:snapToGrid/>
          <w:vertAlign w:val="superscript"/>
          <w:lang w:val="en-GB"/>
        </w:rPr>
        <w:footnoteReference w:id="5"/>
      </w:r>
      <w:r w:rsidR="00A646C0">
        <w:rPr>
          <w:rFonts w:eastAsia="Arial"/>
          <w:bCs/>
          <w:snapToGrid/>
        </w:rPr>
        <w:t>.</w:t>
      </w:r>
      <w:r w:rsidRPr="00BC1B1E">
        <w:rPr>
          <w:rFonts w:ascii="Calibri" w:eastAsia="DengXian" w:hAnsi="Calibri"/>
          <w:snapToGrid/>
          <w:color w:val="333333"/>
          <w:kern w:val="2"/>
          <w:sz w:val="26"/>
          <w:szCs w:val="26"/>
          <w:shd w:val="clear" w:color="auto" w:fill="FFFFFF"/>
          <w14:ligatures w14:val="standardContextual"/>
        </w:rPr>
        <w:t xml:space="preserve"> </w:t>
      </w:r>
      <w:r w:rsidRPr="00BC1B1E">
        <w:rPr>
          <w:rFonts w:eastAsia="Arial"/>
          <w:bCs/>
          <w:snapToGrid/>
        </w:rPr>
        <w:t>Fournir un accès personnalisé aux données à divers utilisateurs grâce à des outils de soutien, tels que le Système de données et d</w:t>
      </w:r>
      <w:r>
        <w:rPr>
          <w:rFonts w:eastAsia="Arial"/>
          <w:bCs/>
          <w:snapToGrid/>
        </w:rPr>
        <w:t>’</w:t>
      </w:r>
      <w:r w:rsidRPr="00BC1B1E">
        <w:rPr>
          <w:rFonts w:eastAsia="Arial"/>
          <w:bCs/>
          <w:snapToGrid/>
        </w:rPr>
        <w:t xml:space="preserve">information océanographiques (ODIS), et encourager la prise de décisions fondée sur des données probantes dans le cadre de la gestion écosystémique et des applications sectorielles. </w:t>
      </w:r>
    </w:p>
    <w:p w14:paraId="438C5FE0" w14:textId="750C870F" w:rsidR="00BC1B1E" w:rsidRPr="00BC1B1E" w:rsidRDefault="00BC1B1E" w:rsidP="00BC1B1E">
      <w:pPr>
        <w:pStyle w:val="b"/>
        <w:rPr>
          <w:rFonts w:eastAsia="Arial"/>
          <w:b/>
          <w:bCs/>
          <w:snapToGrid/>
        </w:rPr>
      </w:pPr>
      <w:r w:rsidRPr="00BC1B1E">
        <w:rPr>
          <w:rFonts w:eastAsia="Arial"/>
          <w:b/>
          <w:bCs/>
          <w:snapToGrid/>
        </w:rPr>
        <w:t>(iii)</w:t>
      </w:r>
      <w:r w:rsidRPr="00BC1B1E">
        <w:rPr>
          <w:rFonts w:eastAsia="Arial"/>
          <w:b/>
          <w:bCs/>
          <w:snapToGrid/>
        </w:rPr>
        <w:tab/>
        <w:t>Meilleure coordination intersectorielle et transfrontalière</w:t>
      </w:r>
    </w:p>
    <w:p w14:paraId="6D7DAB02" w14:textId="1DF04A42" w:rsidR="00BC1B1E" w:rsidRPr="00BC1B1E" w:rsidRDefault="00BC1B1E" w:rsidP="00BC1B1E">
      <w:pPr>
        <w:pStyle w:val="b"/>
        <w:rPr>
          <w:rFonts w:eastAsia="Arial"/>
          <w:bCs/>
          <w:snapToGrid/>
        </w:rPr>
      </w:pPr>
      <w:r w:rsidRPr="00BC1B1E">
        <w:rPr>
          <w:rFonts w:eastAsia="Arial"/>
          <w:snapToGrid/>
        </w:rPr>
        <w:tab/>
      </w:r>
      <w:r w:rsidRPr="00BC1B1E">
        <w:rPr>
          <w:rFonts w:eastAsia="Arial"/>
          <w:bCs/>
          <w:snapToGrid/>
        </w:rPr>
        <w:t>Faciliter une intégration intersectorielle</w:t>
      </w:r>
      <w:r w:rsidRPr="00BC1B1E">
        <w:rPr>
          <w:snapToGrid/>
          <w:vertAlign w:val="superscript"/>
          <w:lang w:val="en-GB"/>
        </w:rPr>
        <w:footnoteReference w:id="6"/>
      </w:r>
      <w:r w:rsidRPr="00BC1B1E">
        <w:rPr>
          <w:rFonts w:eastAsia="Arial"/>
          <w:bCs/>
          <w:snapToGrid/>
        </w:rPr>
        <w:t xml:space="preserve"> et une collaboration transfrontalière</w:t>
      </w:r>
      <w:r w:rsidRPr="00BC1B1E">
        <w:rPr>
          <w:snapToGrid/>
          <w:vertAlign w:val="superscript"/>
          <w:lang w:val="en-GB"/>
        </w:rPr>
        <w:footnoteReference w:id="7"/>
      </w:r>
      <w:r w:rsidRPr="00BC1B1E">
        <w:rPr>
          <w:rFonts w:eastAsia="Arial"/>
          <w:bCs/>
          <w:snapToGrid/>
        </w:rPr>
        <w:t xml:space="preserve"> plus solides en matière de planification de l</w:t>
      </w:r>
      <w:r>
        <w:rPr>
          <w:rFonts w:eastAsia="Arial"/>
          <w:bCs/>
          <w:snapToGrid/>
        </w:rPr>
        <w:t>’</w:t>
      </w:r>
      <w:r w:rsidRPr="00BC1B1E">
        <w:rPr>
          <w:rFonts w:eastAsia="Arial"/>
          <w:bCs/>
          <w:snapToGrid/>
        </w:rPr>
        <w:t>océan, en encourageant la coopération et le dialogue entre les différents secteurs et acteurs œuvrant dans le domaine de la gouvernance de l</w:t>
      </w:r>
      <w:r>
        <w:rPr>
          <w:rFonts w:eastAsia="Arial"/>
          <w:bCs/>
          <w:snapToGrid/>
        </w:rPr>
        <w:t>’</w:t>
      </w:r>
      <w:r w:rsidRPr="00BC1B1E">
        <w:rPr>
          <w:rFonts w:eastAsia="Arial"/>
          <w:bCs/>
          <w:snapToGrid/>
        </w:rPr>
        <w:t>océan</w:t>
      </w:r>
      <w:r w:rsidR="00A646C0">
        <w:rPr>
          <w:rFonts w:eastAsia="Arial"/>
          <w:bCs/>
          <w:snapToGrid/>
        </w:rPr>
        <w:t>.</w:t>
      </w:r>
      <w:r w:rsidRPr="00BC1B1E">
        <w:rPr>
          <w:rFonts w:eastAsia="Arial"/>
          <w:bCs/>
          <w:snapToGrid/>
        </w:rPr>
        <w:t xml:space="preserve"> Soutenir en outre l</w:t>
      </w:r>
      <w:r>
        <w:rPr>
          <w:rFonts w:eastAsia="Arial"/>
          <w:bCs/>
          <w:snapToGrid/>
        </w:rPr>
        <w:t>’</w:t>
      </w:r>
      <w:r w:rsidRPr="00BC1B1E">
        <w:rPr>
          <w:rFonts w:eastAsia="Arial"/>
          <w:bCs/>
          <w:snapToGrid/>
        </w:rPr>
        <w:t>élaboration de lignes directrices et de cadres permettant d</w:t>
      </w:r>
      <w:r>
        <w:rPr>
          <w:rFonts w:eastAsia="Arial"/>
          <w:bCs/>
          <w:snapToGrid/>
        </w:rPr>
        <w:t>’</w:t>
      </w:r>
      <w:r w:rsidRPr="00BC1B1E">
        <w:rPr>
          <w:rFonts w:eastAsia="Arial"/>
          <w:bCs/>
          <w:snapToGrid/>
        </w:rPr>
        <w:t>intégrer les divers intérêts et priorités des secteurs et des parties prenantes, afin de garantir une approche équilibrée de la planification et de la gestion durables de l</w:t>
      </w:r>
      <w:r>
        <w:rPr>
          <w:rFonts w:eastAsia="Arial"/>
          <w:bCs/>
          <w:snapToGrid/>
        </w:rPr>
        <w:t>’</w:t>
      </w:r>
      <w:r w:rsidRPr="00BC1B1E">
        <w:rPr>
          <w:rFonts w:eastAsia="Arial"/>
          <w:bCs/>
          <w:snapToGrid/>
        </w:rPr>
        <w:t>océan tout en favorisant la coopération.</w:t>
      </w:r>
    </w:p>
    <w:p w14:paraId="0916668A" w14:textId="6BAB0443" w:rsidR="00BC1B1E" w:rsidRPr="00BC1B1E" w:rsidRDefault="00BC1B1E" w:rsidP="00BC1B1E">
      <w:pPr>
        <w:pStyle w:val="b"/>
        <w:rPr>
          <w:rFonts w:eastAsia="Arial"/>
          <w:b/>
          <w:bCs/>
          <w:snapToGrid/>
        </w:rPr>
      </w:pPr>
      <w:r w:rsidRPr="00BC1B1E">
        <w:rPr>
          <w:rFonts w:eastAsia="Arial"/>
          <w:b/>
          <w:bCs/>
          <w:snapToGrid/>
        </w:rPr>
        <w:t>(iv)</w:t>
      </w:r>
      <w:r w:rsidRPr="00BC1B1E">
        <w:rPr>
          <w:rFonts w:eastAsia="Arial"/>
          <w:b/>
          <w:bCs/>
          <w:snapToGrid/>
        </w:rPr>
        <w:tab/>
        <w:t>Élargissement du développement des capacités</w:t>
      </w:r>
    </w:p>
    <w:p w14:paraId="25E9228B" w14:textId="50E45CF3" w:rsidR="00BC1B1E" w:rsidRPr="00BC1B1E" w:rsidRDefault="00BC1B1E" w:rsidP="00BC1B1E">
      <w:pPr>
        <w:pStyle w:val="b"/>
        <w:ind w:firstLine="0"/>
        <w:rPr>
          <w:snapToGrid/>
        </w:rPr>
      </w:pPr>
      <w:r w:rsidRPr="00BC1B1E">
        <w:rPr>
          <w:snapToGrid/>
        </w:rPr>
        <w:t>Développer les capacités des parties prenantes au moyen de programmes de formation complets, d</w:t>
      </w:r>
      <w:r>
        <w:rPr>
          <w:snapToGrid/>
        </w:rPr>
        <w:t>’</w:t>
      </w:r>
      <w:r w:rsidRPr="00BC1B1E">
        <w:rPr>
          <w:snapToGrid/>
        </w:rPr>
        <w:t>ateliers, de matériels d</w:t>
      </w:r>
      <w:r>
        <w:rPr>
          <w:snapToGrid/>
        </w:rPr>
        <w:t>’</w:t>
      </w:r>
      <w:r w:rsidRPr="00BC1B1E">
        <w:rPr>
          <w:snapToGrid/>
        </w:rPr>
        <w:t>information et de formations continues, adaptés aux besoins des différents utilisateurs et largement diffusés par l</w:t>
      </w:r>
      <w:r>
        <w:rPr>
          <w:snapToGrid/>
        </w:rPr>
        <w:t>’</w:t>
      </w:r>
      <w:r w:rsidRPr="00BC1B1E">
        <w:rPr>
          <w:snapToGrid/>
        </w:rPr>
        <w:t>intermédiaire de plates</w:t>
      </w:r>
      <w:r w:rsidR="00A646C0">
        <w:rPr>
          <w:snapToGrid/>
        </w:rPr>
        <w:noBreakHyphen/>
      </w:r>
      <w:r w:rsidRPr="00BC1B1E">
        <w:rPr>
          <w:snapToGrid/>
        </w:rPr>
        <w:t>formes telles que Ocean CD-Hub</w:t>
      </w:r>
      <w:r w:rsidR="00A646C0">
        <w:rPr>
          <w:snapToGrid/>
        </w:rPr>
        <w:t>.</w:t>
      </w:r>
      <w:r w:rsidRPr="00BC1B1E">
        <w:rPr>
          <w:snapToGrid/>
        </w:rPr>
        <w:t xml:space="preserve"> Mettre en place des plates-formes d</w:t>
      </w:r>
      <w:r>
        <w:rPr>
          <w:snapToGrid/>
        </w:rPr>
        <w:t>’</w:t>
      </w:r>
      <w:r w:rsidRPr="00BC1B1E">
        <w:rPr>
          <w:snapToGrid/>
        </w:rPr>
        <w:t xml:space="preserve">échange de connaissances afin de diffuser efficacement les meilleures pratiques et les innovations, afin de promouvoir une communauté de pratique mondiale qui permette </w:t>
      </w:r>
      <w:r w:rsidRPr="00BC1B1E">
        <w:rPr>
          <w:snapToGrid/>
        </w:rPr>
        <w:lastRenderedPageBreak/>
        <w:t>d</w:t>
      </w:r>
      <w:r>
        <w:rPr>
          <w:snapToGrid/>
        </w:rPr>
        <w:t>’</w:t>
      </w:r>
      <w:r w:rsidRPr="00BC1B1E">
        <w:rPr>
          <w:snapToGrid/>
        </w:rPr>
        <w:t>améliorer et d</w:t>
      </w:r>
      <w:r>
        <w:rPr>
          <w:snapToGrid/>
        </w:rPr>
        <w:t>’</w:t>
      </w:r>
      <w:r w:rsidRPr="00BC1B1E">
        <w:rPr>
          <w:snapToGrid/>
        </w:rPr>
        <w:t>adapter en permanence les stratégies de gestion de l</w:t>
      </w:r>
      <w:r>
        <w:rPr>
          <w:snapToGrid/>
        </w:rPr>
        <w:t>’</w:t>
      </w:r>
      <w:r w:rsidRPr="00BC1B1E">
        <w:rPr>
          <w:snapToGrid/>
        </w:rPr>
        <w:t>océan</w:t>
      </w:r>
      <w:r w:rsidR="00A646C0">
        <w:rPr>
          <w:snapToGrid/>
        </w:rPr>
        <w:t>.</w:t>
      </w:r>
      <w:r>
        <w:rPr>
          <w:snapToGrid/>
        </w:rPr>
        <w:t xml:space="preserve"> </w:t>
      </w:r>
      <w:r w:rsidRPr="00BC1B1E">
        <w:rPr>
          <w:snapToGrid/>
        </w:rPr>
        <w:t>Associer en outre les jeunes spécialistes de l</w:t>
      </w:r>
      <w:r>
        <w:rPr>
          <w:snapToGrid/>
        </w:rPr>
        <w:t>’</w:t>
      </w:r>
      <w:r w:rsidRPr="00BC1B1E">
        <w:rPr>
          <w:snapToGrid/>
        </w:rPr>
        <w:t>océan afin de favoriser l</w:t>
      </w:r>
      <w:r>
        <w:rPr>
          <w:snapToGrid/>
        </w:rPr>
        <w:t>’</w:t>
      </w:r>
      <w:r w:rsidRPr="00BC1B1E">
        <w:rPr>
          <w:snapToGrid/>
        </w:rPr>
        <w:t>apprentissage pratique et le leadership en matière de gouvernance de l</w:t>
      </w:r>
      <w:r>
        <w:rPr>
          <w:snapToGrid/>
        </w:rPr>
        <w:t>’</w:t>
      </w:r>
      <w:r w:rsidRPr="00BC1B1E">
        <w:rPr>
          <w:snapToGrid/>
        </w:rPr>
        <w:t xml:space="preserve">océan et de sciences océaniques. </w:t>
      </w:r>
    </w:p>
    <w:p w14:paraId="7BDEEBA2" w14:textId="21600E9D" w:rsidR="00BC1B1E" w:rsidRPr="00BC1B1E" w:rsidRDefault="00BC1B1E" w:rsidP="00BC1B1E">
      <w:pPr>
        <w:pStyle w:val="Titre3"/>
        <w:rPr>
          <w:rFonts w:eastAsia="DengXian Light"/>
          <w:snapToGrid/>
          <w:lang w:val="en-GB"/>
        </w:rPr>
      </w:pPr>
      <w:bookmarkStart w:id="7" w:name="_Toc170139294"/>
      <w:r>
        <w:rPr>
          <w:rFonts w:eastAsia="DengXian Light"/>
          <w:snapToGrid/>
          <w:lang w:val="en-GB"/>
        </w:rPr>
        <w:t>III.</w:t>
      </w:r>
      <w:r>
        <w:rPr>
          <w:rFonts w:eastAsia="DengXian Light"/>
          <w:snapToGrid/>
          <w:lang w:val="en-GB"/>
        </w:rPr>
        <w:tab/>
      </w:r>
      <w:r w:rsidRPr="00BC1B1E">
        <w:rPr>
          <w:rFonts w:eastAsia="DengXian Light"/>
          <w:snapToGrid/>
          <w:lang w:val="en-GB"/>
        </w:rPr>
        <w:t>Résultats et activités</w:t>
      </w:r>
      <w:bookmarkEnd w:id="7"/>
    </w:p>
    <w:p w14:paraId="3202AE72" w14:textId="0A362CDC" w:rsidR="00BC1B1E" w:rsidRPr="00BC1B1E" w:rsidRDefault="00BC1B1E" w:rsidP="00BC1B1E">
      <w:pPr>
        <w:pStyle w:val="Marge"/>
        <w:rPr>
          <w:snapToGrid/>
        </w:rPr>
      </w:pPr>
      <w:r w:rsidRPr="00BC1B1E">
        <w:rPr>
          <w:snapToGrid/>
        </w:rPr>
        <w:t>22.</w:t>
      </w:r>
      <w:r w:rsidRPr="00BC1B1E">
        <w:rPr>
          <w:snapToGrid/>
        </w:rPr>
        <w:tab/>
        <w:t>Pour atteindre efficacement les objectifs stratégiques énoncés dans la Stratégie sur la planification et la gestion durables de l</w:t>
      </w:r>
      <w:r>
        <w:rPr>
          <w:snapToGrid/>
        </w:rPr>
        <w:t>’</w:t>
      </w:r>
      <w:r w:rsidRPr="00BC1B1E">
        <w:rPr>
          <w:snapToGrid/>
        </w:rPr>
        <w:t>océan (2024-2030), des résultats spécifiques ont été identifiés, chacun appuyé par des activités clés (non exhaustives) conçues pour servir d</w:t>
      </w:r>
      <w:r>
        <w:rPr>
          <w:snapToGrid/>
        </w:rPr>
        <w:t>’</w:t>
      </w:r>
      <w:r w:rsidRPr="00BC1B1E">
        <w:rPr>
          <w:snapToGrid/>
        </w:rPr>
        <w:t>actions concrètes vers de véritables progrès. Tirant parti des atouts de la COI, les résultats et les activités sont étroitement liés aux programmes et projets existants et seront stratégiquement alignés pour contribuer à la planification et à la gestion durables de l</w:t>
      </w:r>
      <w:r>
        <w:rPr>
          <w:snapToGrid/>
        </w:rPr>
        <w:t>’</w:t>
      </w:r>
      <w:r w:rsidRPr="00BC1B1E">
        <w:rPr>
          <w:snapToGrid/>
        </w:rPr>
        <w:t>océan en veillant à ce que les efforts ne soient pas isolés et fassent partie d</w:t>
      </w:r>
      <w:r>
        <w:rPr>
          <w:snapToGrid/>
        </w:rPr>
        <w:t>’</w:t>
      </w:r>
      <w:r w:rsidRPr="00BC1B1E">
        <w:rPr>
          <w:snapToGrid/>
        </w:rPr>
        <w:t>une action cohérente et intégrée.</w:t>
      </w:r>
      <w:r w:rsidRPr="00BC1B1E">
        <w:rPr>
          <w:rFonts w:ascii="Calibri" w:eastAsia="DengXian" w:hAnsi="Calibri"/>
          <w:snapToGrid/>
          <w:color w:val="333333"/>
          <w:kern w:val="2"/>
          <w:sz w:val="26"/>
          <w:szCs w:val="26"/>
          <w:shd w:val="clear" w:color="auto" w:fill="FFFFFF"/>
          <w14:ligatures w14:val="standardContextual"/>
        </w:rPr>
        <w:t xml:space="preserve"> </w:t>
      </w:r>
      <w:r w:rsidRPr="00BC1B1E">
        <w:rPr>
          <w:snapToGrid/>
        </w:rPr>
        <w:t xml:space="preserve">Les </w:t>
      </w:r>
      <w:r w:rsidRPr="00A646C0">
        <w:rPr>
          <w:rFonts w:eastAsia="DengXian Light"/>
          <w:snapToGrid/>
          <w:color w:val="365F91" w:themeColor="accent1" w:themeShade="BF"/>
        </w:rPr>
        <w:t>exemples suivants</w:t>
      </w:r>
      <w:r w:rsidRPr="00BC1B1E">
        <w:rPr>
          <w:snapToGrid/>
        </w:rPr>
        <w:t xml:space="preserve"> illustrent les éléments essentiels pour atteindre ces objectifs stratégiques, représentant un sous</w:t>
      </w:r>
      <w:r w:rsidR="00A646C0">
        <w:rPr>
          <w:snapToGrid/>
        </w:rPr>
        <w:noBreakHyphen/>
      </w:r>
      <w:r w:rsidRPr="00BC1B1E">
        <w:rPr>
          <w:snapToGrid/>
        </w:rPr>
        <w:t>ensemble d</w:t>
      </w:r>
      <w:r>
        <w:rPr>
          <w:snapToGrid/>
        </w:rPr>
        <w:t>’</w:t>
      </w:r>
      <w:r w:rsidRPr="00BC1B1E">
        <w:rPr>
          <w:snapToGrid/>
        </w:rPr>
        <w:t>un éventail d</w:t>
      </w:r>
      <w:r>
        <w:rPr>
          <w:snapToGrid/>
        </w:rPr>
        <w:t>’</w:t>
      </w:r>
      <w:r w:rsidRPr="00BC1B1E">
        <w:rPr>
          <w:snapToGrid/>
        </w:rPr>
        <w:t xml:space="preserve">initiatives plus large. Le </w:t>
      </w:r>
      <w:r w:rsidRPr="00BC1B1E">
        <w:rPr>
          <w:snapToGrid/>
          <w:u w:val="single"/>
        </w:rPr>
        <w:t>tableau 1</w:t>
      </w:r>
      <w:r w:rsidRPr="00BC1B1E">
        <w:rPr>
          <w:snapToGrid/>
        </w:rPr>
        <w:t xml:space="preserve"> contient la liste complète des activités nécessaires pour atteindre ces résultats.  </w:t>
      </w:r>
    </w:p>
    <w:p w14:paraId="2BEB2A5A" w14:textId="57E3C073" w:rsidR="00BC1B1E" w:rsidRPr="00BC1B1E" w:rsidRDefault="00BC1B1E" w:rsidP="00BC1B1E">
      <w:pPr>
        <w:pStyle w:val="b"/>
        <w:rPr>
          <w:rFonts w:eastAsia="DengXian Light"/>
          <w:i/>
          <w:iCs/>
          <w:snapToGrid/>
          <w:color w:val="365F91" w:themeColor="accent1" w:themeShade="BF"/>
        </w:rPr>
      </w:pPr>
      <w:bookmarkStart w:id="8" w:name="_heading=h.3bokqfed6euz" w:colFirst="0" w:colLast="0"/>
      <w:bookmarkEnd w:id="8"/>
      <w:r w:rsidRPr="00BC1B1E">
        <w:rPr>
          <w:rFonts w:eastAsia="DengXian Light"/>
          <w:i/>
          <w:iCs/>
          <w:snapToGrid/>
          <w:color w:val="365F91" w:themeColor="accent1" w:themeShade="BF"/>
        </w:rPr>
        <w:t>1.</w:t>
      </w:r>
      <w:r w:rsidRPr="00BC1B1E">
        <w:rPr>
          <w:rFonts w:eastAsia="DengXian Light"/>
          <w:i/>
          <w:iCs/>
          <w:snapToGrid/>
          <w:color w:val="365F91" w:themeColor="accent1" w:themeShade="BF"/>
        </w:rPr>
        <w:tab/>
        <w:t>Renforcement des approches stratégiques en matière de planification et de gestion de l</w:t>
      </w:r>
      <w:r>
        <w:rPr>
          <w:rFonts w:eastAsia="DengXian Light"/>
          <w:i/>
          <w:iCs/>
          <w:snapToGrid/>
          <w:color w:val="365F91" w:themeColor="accent1" w:themeShade="BF"/>
        </w:rPr>
        <w:t>’</w:t>
      </w:r>
      <w:r w:rsidRPr="00BC1B1E">
        <w:rPr>
          <w:rFonts w:eastAsia="DengXian Light"/>
          <w:i/>
          <w:iCs/>
          <w:snapToGrid/>
          <w:color w:val="365F91" w:themeColor="accent1" w:themeShade="BF"/>
        </w:rPr>
        <w:t>océan à l</w:t>
      </w:r>
      <w:r>
        <w:rPr>
          <w:rFonts w:eastAsia="DengXian Light"/>
          <w:i/>
          <w:iCs/>
          <w:snapToGrid/>
          <w:color w:val="365F91" w:themeColor="accent1" w:themeShade="BF"/>
        </w:rPr>
        <w:t>’</w:t>
      </w:r>
      <w:r w:rsidRPr="00BC1B1E">
        <w:rPr>
          <w:rFonts w:eastAsia="DengXian Light"/>
          <w:i/>
          <w:iCs/>
          <w:snapToGrid/>
          <w:color w:val="365F91" w:themeColor="accent1" w:themeShade="BF"/>
        </w:rPr>
        <w:t>aide d</w:t>
      </w:r>
      <w:r>
        <w:rPr>
          <w:rFonts w:eastAsia="DengXian Light"/>
          <w:i/>
          <w:iCs/>
          <w:snapToGrid/>
          <w:color w:val="365F91" w:themeColor="accent1" w:themeShade="BF"/>
        </w:rPr>
        <w:t>’</w:t>
      </w:r>
      <w:r w:rsidRPr="00BC1B1E">
        <w:rPr>
          <w:rFonts w:eastAsia="DengXian Light"/>
          <w:i/>
          <w:iCs/>
          <w:snapToGrid/>
          <w:color w:val="365F91" w:themeColor="accent1" w:themeShade="BF"/>
        </w:rPr>
        <w:t xml:space="preserve">outils et de données fondés sur la science </w:t>
      </w:r>
    </w:p>
    <w:p w14:paraId="77C4777D" w14:textId="3BFCC23C" w:rsidR="00BC1B1E" w:rsidRPr="00A646C0" w:rsidRDefault="00BC1B1E" w:rsidP="00BC1B1E">
      <w:pPr>
        <w:pStyle w:val="b"/>
        <w:ind w:firstLine="0"/>
        <w:rPr>
          <w:snapToGrid/>
          <w:spacing w:val="-2"/>
        </w:rPr>
      </w:pPr>
      <w:r w:rsidRPr="00A646C0">
        <w:rPr>
          <w:snapToGrid/>
          <w:spacing w:val="-2"/>
        </w:rPr>
        <w:t>La stratégie vise à soutenir les politiques marines en tirant parti de la vaste expertise scientifique des domaines de programme de la COI, ainsi qu’à faciliter l’échange de connaissances et d’expériences entre les nations. La définition stratégique des priorités en matière de travaux de recherche scientifique nécessaires à la planification et à la gestion durables de l’océan se poursuivra. La stratégie mettra l’accent sur l’élaboration d’orientations et de normes mondiales pour la planification et la gestion de l’océan, en s’appuyant sur les connaissances et les données issues de ces programmes, mais aussi sur les nouvelles découvertes scientifiques qui doivent être prises en compte dans l’élaboration des politiques, les processus et les outils de gestion de l’océan.</w:t>
      </w:r>
      <w:r w:rsidRPr="00A646C0">
        <w:rPr>
          <w:rFonts w:ascii="Calibri" w:eastAsia="DengXian" w:hAnsi="Calibri"/>
          <w:snapToGrid/>
          <w:color w:val="333333"/>
          <w:spacing w:val="-2"/>
          <w:kern w:val="2"/>
          <w:sz w:val="26"/>
          <w:szCs w:val="26"/>
          <w:shd w:val="clear" w:color="auto" w:fill="FFFFFF"/>
          <w14:ligatures w14:val="standardContextual"/>
        </w:rPr>
        <w:t xml:space="preserve"> </w:t>
      </w:r>
      <w:r w:rsidRPr="00A646C0">
        <w:rPr>
          <w:snapToGrid/>
          <w:spacing w:val="-2"/>
        </w:rPr>
        <w:t xml:space="preserve">La stratégie soutient également la création collaborative d’outils qui intègrent de manière transparente les résultats et les recommandations scientifiques dans les processus de planification. Cela permet de s’assurer que la gestion des ressources et des écosystèmes océaniques s’appuie sur un processus de prise de décisions fondée sur des données probantes. Il s’agira de documenter les avantages environnementaux et socioéconomiques que les pays peuvent tirer de la planification et de la gestion durables de l’océan. </w:t>
      </w:r>
    </w:p>
    <w:tbl>
      <w:tblPr>
        <w:tblStyle w:val="Grilledutableau"/>
        <w:tblW w:w="0" w:type="auto"/>
        <w:tblInd w:w="1129" w:type="dxa"/>
        <w:tblLook w:val="04A0" w:firstRow="1" w:lastRow="0" w:firstColumn="1" w:lastColumn="0" w:noHBand="0" w:noVBand="1"/>
      </w:tblPr>
      <w:tblGrid>
        <w:gridCol w:w="8499"/>
      </w:tblGrid>
      <w:tr w:rsidR="00A646C0" w14:paraId="6BA4CECD" w14:textId="77777777" w:rsidTr="00A646C0">
        <w:tc>
          <w:tcPr>
            <w:tcW w:w="8499" w:type="dxa"/>
          </w:tcPr>
          <w:p w14:paraId="0005A0FF" w14:textId="77777777" w:rsidR="00A646C0" w:rsidRPr="00A646C0" w:rsidRDefault="00A646C0" w:rsidP="002B5378">
            <w:pPr>
              <w:tabs>
                <w:tab w:val="clear" w:pos="567"/>
              </w:tabs>
              <w:snapToGrid/>
              <w:spacing w:before="120" w:after="240"/>
              <w:jc w:val="both"/>
              <w:rPr>
                <w:rFonts w:eastAsia="Times New Roman" w:cs="Arial"/>
                <w:b/>
                <w:snapToGrid/>
                <w:spacing w:val="-4"/>
                <w:szCs w:val="22"/>
                <w:lang w:eastAsia="en-GB"/>
              </w:rPr>
            </w:pPr>
            <w:r w:rsidRPr="00A646C0">
              <w:rPr>
                <w:rFonts w:eastAsia="Times New Roman" w:cs="Arial"/>
                <w:b/>
                <w:snapToGrid/>
                <w:spacing w:val="-4"/>
                <w:szCs w:val="22"/>
                <w:lang w:eastAsia="en-GB"/>
              </w:rPr>
              <w:t>Activité : Élaboration de lignes directrices et assistance en matière de planification</w:t>
            </w:r>
          </w:p>
          <w:p w14:paraId="378104E0" w14:textId="22159C9A" w:rsidR="00A646C0" w:rsidRDefault="00A646C0" w:rsidP="00A646C0">
            <w:pPr>
              <w:tabs>
                <w:tab w:val="clear" w:pos="567"/>
              </w:tabs>
              <w:snapToGrid/>
              <w:spacing w:before="120" w:after="120"/>
              <w:jc w:val="both"/>
              <w:rPr>
                <w:rFonts w:eastAsia="Times New Roman" w:cs="Arial"/>
                <w:snapToGrid/>
                <w:szCs w:val="22"/>
                <w:lang w:eastAsia="en-GB"/>
              </w:rPr>
            </w:pPr>
            <w:r w:rsidRPr="00A646C0">
              <w:rPr>
                <w:rFonts w:eastAsia="Times New Roman" w:cs="Arial"/>
                <w:snapToGrid/>
                <w:szCs w:val="22"/>
                <w:lang w:eastAsia="en-GB"/>
              </w:rPr>
              <w:t>Pour atteindre ce résultat, des lignes directrices et des pratiques en matière de planification et de gestion de l’océan commenceront à être créées. Un soutien technique et une assistance en matière de planification seront fournis pour aider les États membres à intégrer ces normes dans leurs cadres de gouvernance. Cette initiative vise à intégrer les pratiques de planification et de gestion durables de l’océan à tous les niveaux de gouvernance, en jetant des bases solides pour l’élaboration de politiques et en favorisant une approche unifiée de l’utilisation et de la conservation durables de l’océan.</w:t>
            </w:r>
          </w:p>
        </w:tc>
      </w:tr>
    </w:tbl>
    <w:p w14:paraId="08085777" w14:textId="57A13BD4" w:rsidR="00BC1B1E" w:rsidRPr="00BC1B1E" w:rsidRDefault="00BC1B1E" w:rsidP="00DE726F">
      <w:pPr>
        <w:pStyle w:val="b"/>
        <w:spacing w:before="240"/>
        <w:rPr>
          <w:rFonts w:eastAsia="DengXian Light"/>
          <w:i/>
          <w:iCs/>
          <w:snapToGrid/>
          <w:color w:val="365F91" w:themeColor="accent1" w:themeShade="BF"/>
        </w:rPr>
      </w:pPr>
      <w:bookmarkStart w:id="9" w:name="_heading=h.p4qv7st87eos" w:colFirst="0" w:colLast="0"/>
      <w:bookmarkEnd w:id="9"/>
      <w:r w:rsidRPr="00BC1B1E">
        <w:rPr>
          <w:rFonts w:eastAsia="DengXian Light"/>
          <w:i/>
          <w:iCs/>
          <w:snapToGrid/>
          <w:color w:val="365F91" w:themeColor="accent1" w:themeShade="BF"/>
        </w:rPr>
        <w:t>2.</w:t>
      </w:r>
      <w:r w:rsidRPr="00BC1B1E">
        <w:rPr>
          <w:rFonts w:eastAsia="DengXian Light"/>
          <w:i/>
          <w:iCs/>
          <w:snapToGrid/>
          <w:color w:val="365F91" w:themeColor="accent1" w:themeShade="BF"/>
        </w:rPr>
        <w:tab/>
        <w:t>Amélioration de l</w:t>
      </w:r>
      <w:r>
        <w:rPr>
          <w:rFonts w:eastAsia="DengXian Light"/>
          <w:i/>
          <w:iCs/>
          <w:snapToGrid/>
          <w:color w:val="365F91" w:themeColor="accent1" w:themeShade="BF"/>
        </w:rPr>
        <w:t>’</w:t>
      </w:r>
      <w:r w:rsidRPr="00BC1B1E">
        <w:rPr>
          <w:rFonts w:eastAsia="DengXian Light"/>
          <w:i/>
          <w:iCs/>
          <w:snapToGrid/>
          <w:color w:val="365F91" w:themeColor="accent1" w:themeShade="BF"/>
        </w:rPr>
        <w:t>observation océanique et du partage des données pour faciliter</w:t>
      </w:r>
      <w:r w:rsidR="00A646C0">
        <w:rPr>
          <w:rFonts w:eastAsia="DengXian Light"/>
          <w:i/>
          <w:iCs/>
          <w:snapToGrid/>
          <w:color w:val="365F91" w:themeColor="accent1" w:themeShade="BF"/>
        </w:rPr>
        <w:br/>
      </w:r>
      <w:r w:rsidRPr="00BC1B1E">
        <w:rPr>
          <w:rFonts w:eastAsia="DengXian Light"/>
          <w:i/>
          <w:iCs/>
          <w:snapToGrid/>
          <w:color w:val="365F91" w:themeColor="accent1" w:themeShade="BF"/>
        </w:rPr>
        <w:t>les processus de planification et d</w:t>
      </w:r>
      <w:r>
        <w:rPr>
          <w:rFonts w:eastAsia="DengXian Light"/>
          <w:i/>
          <w:iCs/>
          <w:snapToGrid/>
          <w:color w:val="365F91" w:themeColor="accent1" w:themeShade="BF"/>
        </w:rPr>
        <w:t>’</w:t>
      </w:r>
      <w:r w:rsidRPr="00BC1B1E">
        <w:rPr>
          <w:rFonts w:eastAsia="DengXian Light"/>
          <w:i/>
          <w:iCs/>
          <w:snapToGrid/>
          <w:color w:val="365F91" w:themeColor="accent1" w:themeShade="BF"/>
        </w:rPr>
        <w:t>élaboration des politiques</w:t>
      </w:r>
    </w:p>
    <w:p w14:paraId="43102DE6" w14:textId="207BF1CC" w:rsidR="00BC1B1E" w:rsidRDefault="00BC1B1E" w:rsidP="00BC1B1E">
      <w:pPr>
        <w:pStyle w:val="b"/>
        <w:ind w:firstLine="0"/>
        <w:rPr>
          <w:snapToGrid/>
        </w:rPr>
      </w:pPr>
      <w:r w:rsidRPr="00BC1B1E">
        <w:rPr>
          <w:snapToGrid/>
        </w:rPr>
        <w:t>La stratégie visera à améliorer la disponibilité et l</w:t>
      </w:r>
      <w:r>
        <w:rPr>
          <w:snapToGrid/>
        </w:rPr>
        <w:t>’</w:t>
      </w:r>
      <w:r w:rsidRPr="00BC1B1E">
        <w:rPr>
          <w:snapToGrid/>
        </w:rPr>
        <w:t>accessibilité des données scientifiques et des données issues des observations océaniques pertinentes et nécessaires en facilitant l</w:t>
      </w:r>
      <w:r>
        <w:rPr>
          <w:snapToGrid/>
        </w:rPr>
        <w:t>’</w:t>
      </w:r>
      <w:r w:rsidRPr="00BC1B1E">
        <w:rPr>
          <w:snapToGrid/>
        </w:rPr>
        <w:t>échange et la coordination entre les communautés chargées des données et de la gestion de l</w:t>
      </w:r>
      <w:r>
        <w:rPr>
          <w:snapToGrid/>
        </w:rPr>
        <w:t>’</w:t>
      </w:r>
      <w:r w:rsidRPr="00BC1B1E">
        <w:rPr>
          <w:snapToGrid/>
        </w:rPr>
        <w:t>océan, y compris avec le secteur privé.</w:t>
      </w:r>
      <w:r w:rsidRPr="00BC1B1E">
        <w:rPr>
          <w:rFonts w:ascii="Calibri" w:eastAsia="DengXian" w:hAnsi="Calibri"/>
          <w:snapToGrid/>
          <w:color w:val="333333"/>
          <w:kern w:val="2"/>
          <w:sz w:val="26"/>
          <w:szCs w:val="26"/>
          <w:shd w:val="clear" w:color="auto" w:fill="FFFFFF"/>
          <w14:ligatures w14:val="standardContextual"/>
        </w:rPr>
        <w:t xml:space="preserve"> </w:t>
      </w:r>
      <w:r w:rsidRPr="00BC1B1E">
        <w:rPr>
          <w:snapToGrid/>
        </w:rPr>
        <w:t>L</w:t>
      </w:r>
      <w:r>
        <w:rPr>
          <w:snapToGrid/>
        </w:rPr>
        <w:t>’</w:t>
      </w:r>
      <w:r w:rsidRPr="00BC1B1E">
        <w:rPr>
          <w:snapToGrid/>
        </w:rPr>
        <w:t>exploitation de l</w:t>
      </w:r>
      <w:r>
        <w:rPr>
          <w:snapToGrid/>
        </w:rPr>
        <w:t>’</w:t>
      </w:r>
      <w:r w:rsidRPr="00BC1B1E">
        <w:rPr>
          <w:snapToGrid/>
        </w:rPr>
        <w:t xml:space="preserve">infrastructure de données collectives mise en place par les programmes de la COI, tels que le Système </w:t>
      </w:r>
      <w:r w:rsidRPr="00BC1B1E">
        <w:rPr>
          <w:snapToGrid/>
        </w:rPr>
        <w:lastRenderedPageBreak/>
        <w:t>de données et d</w:t>
      </w:r>
      <w:r>
        <w:rPr>
          <w:snapToGrid/>
        </w:rPr>
        <w:t>’</w:t>
      </w:r>
      <w:r w:rsidRPr="00BC1B1E">
        <w:rPr>
          <w:snapToGrid/>
        </w:rPr>
        <w:t>information océanographiques (ODIS), vise à fournir des données complètes et en temps réel sur les aspects océanographiques, écologiques, socioculturels et économiques.</w:t>
      </w:r>
      <w:r w:rsidRPr="00BC1B1E">
        <w:rPr>
          <w:rFonts w:ascii="Calibri" w:eastAsia="DengXian" w:hAnsi="Calibri"/>
          <w:snapToGrid/>
          <w:color w:val="333333"/>
          <w:kern w:val="2"/>
          <w:sz w:val="26"/>
          <w:szCs w:val="26"/>
          <w:shd w:val="clear" w:color="auto" w:fill="FFFFFF"/>
          <w14:ligatures w14:val="standardContextual"/>
        </w:rPr>
        <w:t xml:space="preserve"> </w:t>
      </w:r>
      <w:r w:rsidRPr="00BC1B1E">
        <w:rPr>
          <w:snapToGrid/>
        </w:rPr>
        <w:t>La stratégie s</w:t>
      </w:r>
      <w:r>
        <w:rPr>
          <w:snapToGrid/>
        </w:rPr>
        <w:t>’</w:t>
      </w:r>
      <w:r w:rsidRPr="00BC1B1E">
        <w:rPr>
          <w:snapToGrid/>
        </w:rPr>
        <w:t>efforcera de remédier aux lacunes et aux besoins en matière d</w:t>
      </w:r>
      <w:r>
        <w:rPr>
          <w:snapToGrid/>
        </w:rPr>
        <w:t>’</w:t>
      </w:r>
      <w:r w:rsidRPr="00BC1B1E">
        <w:rPr>
          <w:snapToGrid/>
        </w:rPr>
        <w:t>observations, en préconisant des systèmes de données fédérés et distribués, des initiatives en matière de données ouvertes et la normalisation des variables d</w:t>
      </w:r>
      <w:r>
        <w:rPr>
          <w:snapToGrid/>
        </w:rPr>
        <w:t>’</w:t>
      </w:r>
      <w:r w:rsidRPr="00BC1B1E">
        <w:rPr>
          <w:snapToGrid/>
        </w:rPr>
        <w:t>observation de l</w:t>
      </w:r>
      <w:r>
        <w:rPr>
          <w:snapToGrid/>
        </w:rPr>
        <w:t>’</w:t>
      </w:r>
      <w:r w:rsidRPr="00BC1B1E">
        <w:rPr>
          <w:snapToGrid/>
        </w:rPr>
        <w:t>océan, afin de garantir que les données sont adaptées à l</w:t>
      </w:r>
      <w:r>
        <w:rPr>
          <w:snapToGrid/>
        </w:rPr>
        <w:t>’</w:t>
      </w:r>
      <w:r w:rsidRPr="00BC1B1E">
        <w:rPr>
          <w:snapToGrid/>
        </w:rPr>
        <w:t>usage qui en est fait et qu</w:t>
      </w:r>
      <w:r>
        <w:rPr>
          <w:snapToGrid/>
        </w:rPr>
        <w:t>’</w:t>
      </w:r>
      <w:r w:rsidRPr="00BC1B1E">
        <w:rPr>
          <w:snapToGrid/>
        </w:rPr>
        <w:t>elles permettent de prendre des décisions éclairées.</w:t>
      </w:r>
    </w:p>
    <w:tbl>
      <w:tblPr>
        <w:tblStyle w:val="Grilledutableau"/>
        <w:tblW w:w="0" w:type="auto"/>
        <w:tblInd w:w="1134" w:type="dxa"/>
        <w:tblLook w:val="04A0" w:firstRow="1" w:lastRow="0" w:firstColumn="1" w:lastColumn="0" w:noHBand="0" w:noVBand="1"/>
      </w:tblPr>
      <w:tblGrid>
        <w:gridCol w:w="8494"/>
      </w:tblGrid>
      <w:tr w:rsidR="002B5378" w14:paraId="04612326" w14:textId="77777777" w:rsidTr="002B5378">
        <w:tc>
          <w:tcPr>
            <w:tcW w:w="9628" w:type="dxa"/>
          </w:tcPr>
          <w:p w14:paraId="6754B8CF" w14:textId="77777777" w:rsidR="002B5378" w:rsidRPr="002B5378" w:rsidRDefault="002B5378" w:rsidP="002B5378">
            <w:pPr>
              <w:pStyle w:val="b"/>
              <w:tabs>
                <w:tab w:val="clear" w:pos="1134"/>
              </w:tabs>
              <w:spacing w:before="120"/>
              <w:ind w:left="26" w:firstLine="0"/>
              <w:rPr>
                <w:b/>
                <w:bCs/>
                <w:snapToGrid/>
              </w:rPr>
            </w:pPr>
            <w:r w:rsidRPr="004C7ECB">
              <w:rPr>
                <w:b/>
                <w:bCs/>
                <w:snapToGrid/>
              </w:rPr>
              <w:t>Activité : Obser</w:t>
            </w:r>
            <w:r w:rsidRPr="002B5378">
              <w:rPr>
                <w:b/>
                <w:bCs/>
                <w:snapToGrid/>
              </w:rPr>
              <w:t>vation, collecte et gestion de données</w:t>
            </w:r>
          </w:p>
          <w:p w14:paraId="00742FF9" w14:textId="6389DC28" w:rsidR="002B5378" w:rsidRDefault="002B5378" w:rsidP="002B5378">
            <w:pPr>
              <w:pStyle w:val="b"/>
              <w:tabs>
                <w:tab w:val="clear" w:pos="1134"/>
              </w:tabs>
              <w:spacing w:before="120" w:after="120"/>
              <w:ind w:left="0" w:firstLine="0"/>
              <w:rPr>
                <w:snapToGrid/>
              </w:rPr>
            </w:pPr>
            <w:r w:rsidRPr="002B5378">
              <w:rPr>
                <w:snapToGrid/>
              </w:rPr>
              <w:t xml:space="preserve">Pierre angulaire de la stratégie, cette activité se caractérise par l’amélioration tactique des pratiques d’observation, de collecte de données et de gestion grâce à l’intégration d’outils et de technologies innovants. Il s’agit notamment de s’engager à affiner les méthodes de collecte de données et à développer des systèmes permettant un partage solide des données. Des initiatives de formation spécifiques seront mises en œuvre afin de doter les décideurs et les parties prenantes des compétences nécessaires pour utiliser efficacement ces outils à des fins de suivi, d’évaluation et de prise de décisions éclairée, à l’appui de la gestion durable de l’océan. </w:t>
            </w:r>
          </w:p>
        </w:tc>
      </w:tr>
    </w:tbl>
    <w:p w14:paraId="7B623DD5" w14:textId="6FAC8A52" w:rsidR="00BC1B1E" w:rsidRPr="00BC1B1E" w:rsidRDefault="00BC1B1E" w:rsidP="002B5378">
      <w:pPr>
        <w:pStyle w:val="b"/>
        <w:spacing w:before="240"/>
        <w:rPr>
          <w:rFonts w:eastAsia="DengXian Light"/>
          <w:i/>
          <w:iCs/>
          <w:snapToGrid/>
          <w:color w:val="365F91" w:themeColor="accent1" w:themeShade="BF"/>
        </w:rPr>
      </w:pPr>
      <w:r w:rsidRPr="00BC1B1E">
        <w:rPr>
          <w:rFonts w:eastAsia="DengXian Light"/>
          <w:i/>
          <w:iCs/>
          <w:snapToGrid/>
          <w:color w:val="365F91" w:themeColor="accent1" w:themeShade="BF"/>
        </w:rPr>
        <w:t>3 .</w:t>
      </w:r>
      <w:r w:rsidRPr="00BC1B1E">
        <w:rPr>
          <w:rFonts w:eastAsia="DengXian Light"/>
          <w:i/>
          <w:iCs/>
          <w:snapToGrid/>
          <w:color w:val="365F91" w:themeColor="accent1" w:themeShade="BF"/>
        </w:rPr>
        <w:tab/>
        <w:t xml:space="preserve">Amélioration de la collaboration intersectorielle et transfrontalière </w:t>
      </w:r>
    </w:p>
    <w:p w14:paraId="02EB15B6" w14:textId="1109EEAE" w:rsidR="00BC1B1E" w:rsidRDefault="00BC1B1E" w:rsidP="00BC1B1E">
      <w:pPr>
        <w:pStyle w:val="b"/>
        <w:ind w:firstLine="0"/>
        <w:rPr>
          <w:snapToGrid/>
        </w:rPr>
      </w:pPr>
      <w:r w:rsidRPr="00BC1B1E">
        <w:rPr>
          <w:snapToGrid/>
        </w:rPr>
        <w:t>Reconnaissant la nature interdépendante des défis liés à l</w:t>
      </w:r>
      <w:r>
        <w:rPr>
          <w:snapToGrid/>
        </w:rPr>
        <w:t>’</w:t>
      </w:r>
      <w:r w:rsidRPr="00BC1B1E">
        <w:rPr>
          <w:snapToGrid/>
        </w:rPr>
        <w:t>océan, la stratégie encourage les approches inclusives de la collaboration et de la coordination intersectorielles et transfrontalières.</w:t>
      </w:r>
      <w:r w:rsidRPr="00BC1B1E">
        <w:rPr>
          <w:rFonts w:ascii="Calibri" w:eastAsia="DengXian" w:hAnsi="Calibri"/>
          <w:snapToGrid/>
          <w:color w:val="333333"/>
          <w:kern w:val="2"/>
          <w:sz w:val="26"/>
          <w:szCs w:val="26"/>
          <w:shd w:val="clear" w:color="auto" w:fill="FFFFFF"/>
          <w14:ligatures w14:val="standardContextual"/>
        </w:rPr>
        <w:t xml:space="preserve"> </w:t>
      </w:r>
      <w:r w:rsidRPr="00BC1B1E">
        <w:rPr>
          <w:snapToGrid/>
        </w:rPr>
        <w:t>S</w:t>
      </w:r>
      <w:r>
        <w:rPr>
          <w:snapToGrid/>
        </w:rPr>
        <w:t>’</w:t>
      </w:r>
      <w:r w:rsidRPr="00BC1B1E">
        <w:rPr>
          <w:snapToGrid/>
        </w:rPr>
        <w:t>appuyant sur les fondements collaboratifs des programmes et initiatives de la COI existants, tels que la Décennie de l</w:t>
      </w:r>
      <w:r>
        <w:rPr>
          <w:snapToGrid/>
        </w:rPr>
        <w:t>’</w:t>
      </w:r>
      <w:r w:rsidRPr="00BC1B1E">
        <w:rPr>
          <w:snapToGrid/>
        </w:rPr>
        <w:t>Océan, elle favorise les partenariats avec divers détenteurs de droits et parties prenantes, notamment dans des secteurs tels que l</w:t>
      </w:r>
      <w:r>
        <w:rPr>
          <w:snapToGrid/>
        </w:rPr>
        <w:t>’</w:t>
      </w:r>
      <w:r w:rsidRPr="00BC1B1E">
        <w:rPr>
          <w:snapToGrid/>
        </w:rPr>
        <w:t>énergie, le tourisme, le transport maritime et la pêche. La stratégie facilite le dialogue et la planification intégrée pour aider à identifier des synergies, des compromis et des solutions avantageuses pour tous en faveur de la gestion durable de l</w:t>
      </w:r>
      <w:r>
        <w:rPr>
          <w:snapToGrid/>
        </w:rPr>
        <w:t>’</w:t>
      </w:r>
      <w:r w:rsidRPr="00BC1B1E">
        <w:rPr>
          <w:snapToGrid/>
        </w:rPr>
        <w:t>océan.</w:t>
      </w:r>
    </w:p>
    <w:tbl>
      <w:tblPr>
        <w:tblStyle w:val="Grilledutableau"/>
        <w:tblW w:w="0" w:type="auto"/>
        <w:tblInd w:w="1134" w:type="dxa"/>
        <w:tblLook w:val="04A0" w:firstRow="1" w:lastRow="0" w:firstColumn="1" w:lastColumn="0" w:noHBand="0" w:noVBand="1"/>
      </w:tblPr>
      <w:tblGrid>
        <w:gridCol w:w="8494"/>
      </w:tblGrid>
      <w:tr w:rsidR="002B5378" w14:paraId="6D2DC483" w14:textId="77777777" w:rsidTr="002B5378">
        <w:tc>
          <w:tcPr>
            <w:tcW w:w="9628" w:type="dxa"/>
          </w:tcPr>
          <w:p w14:paraId="74B59DFF" w14:textId="22381F16" w:rsidR="002B5378" w:rsidRPr="002B5378" w:rsidRDefault="002B5378" w:rsidP="002B5378">
            <w:pPr>
              <w:pStyle w:val="b"/>
              <w:spacing w:before="120"/>
              <w:ind w:left="0" w:firstLine="0"/>
              <w:rPr>
                <w:b/>
                <w:bCs/>
                <w:snapToGrid/>
              </w:rPr>
            </w:pPr>
            <w:r w:rsidRPr="002B5378">
              <w:rPr>
                <w:b/>
                <w:bCs/>
                <w:snapToGrid/>
              </w:rPr>
              <w:t>Activité</w:t>
            </w:r>
            <w:r w:rsidR="00DE726F">
              <w:rPr>
                <w:b/>
                <w:bCs/>
                <w:snapToGrid/>
              </w:rPr>
              <w:t> </w:t>
            </w:r>
            <w:r w:rsidRPr="002B5378">
              <w:rPr>
                <w:b/>
                <w:bCs/>
                <w:snapToGrid/>
              </w:rPr>
              <w:t>: Collaboration et engagement des parties prenantes</w:t>
            </w:r>
          </w:p>
          <w:p w14:paraId="3618B6E8" w14:textId="59D56175" w:rsidR="002B5378" w:rsidRDefault="002B5378" w:rsidP="002B5378">
            <w:pPr>
              <w:pStyle w:val="b"/>
              <w:spacing w:before="120" w:after="120"/>
              <w:ind w:left="0" w:firstLine="0"/>
              <w:rPr>
                <w:snapToGrid/>
              </w:rPr>
            </w:pPr>
            <w:r w:rsidRPr="002B5378">
              <w:rPr>
                <w:snapToGrid/>
              </w:rPr>
              <w:t>Pour atteindre ce résultat, il conviendra de mettre en place un cadre de collaboration solide, associant divers groupes, y compris les populations autochtones et les communautés locales, au processus de planification de l’océan. Les réseaux seront renforcés et les stratégies de communication améliorées afin de favoriser la collaboration internationale et l’engagement des différentes parties prenantes. Des orientations pour la mise en place de plates-formes de dialogue inclusif et de partage des meilleures pratiques en matière de co</w:t>
            </w:r>
            <w:r w:rsidR="004C7ECB">
              <w:rPr>
                <w:snapToGrid/>
              </w:rPr>
              <w:noBreakHyphen/>
            </w:r>
            <w:r w:rsidRPr="002B5378">
              <w:rPr>
                <w:snapToGrid/>
              </w:rPr>
              <w:t xml:space="preserve">gestion seront élaborées afin d’intégrer les savoirs locaux et autochtones, de promouvoir une approche de la gouvernance de l’océan qui tienne compte des spécificités culturelles, et d’enrichir la collaboration intersectorielle et transfrontalière.  </w:t>
            </w:r>
          </w:p>
        </w:tc>
      </w:tr>
    </w:tbl>
    <w:p w14:paraId="1B29CAF5" w14:textId="527EF761" w:rsidR="00BC1B1E" w:rsidRPr="00BC1B1E" w:rsidRDefault="00BC1B1E" w:rsidP="00BC1B1E">
      <w:pPr>
        <w:pStyle w:val="b"/>
        <w:spacing w:before="240"/>
        <w:rPr>
          <w:rFonts w:eastAsia="DengXian Light"/>
          <w:i/>
          <w:iCs/>
          <w:snapToGrid/>
          <w:color w:val="365F91" w:themeColor="accent1" w:themeShade="BF"/>
        </w:rPr>
      </w:pPr>
      <w:bookmarkStart w:id="10" w:name="_heading=h.6htlemnpztcn" w:colFirst="0" w:colLast="0"/>
      <w:bookmarkEnd w:id="10"/>
      <w:r w:rsidRPr="00BC1B1E">
        <w:rPr>
          <w:rFonts w:eastAsia="DengXian Light"/>
          <w:i/>
          <w:iCs/>
          <w:snapToGrid/>
          <w:color w:val="365F91" w:themeColor="accent1" w:themeShade="BF"/>
        </w:rPr>
        <w:t>4.</w:t>
      </w:r>
      <w:r w:rsidRPr="00BC1B1E">
        <w:rPr>
          <w:rFonts w:eastAsia="DengXian Light"/>
          <w:i/>
          <w:iCs/>
          <w:snapToGrid/>
          <w:color w:val="365F91" w:themeColor="accent1" w:themeShade="BF"/>
        </w:rPr>
        <w:tab/>
        <w:t>Amélioration des connaissances/capacités des parties prenantes</w:t>
      </w:r>
    </w:p>
    <w:p w14:paraId="2D5BD89F" w14:textId="6ECB22D0" w:rsidR="00BC1B1E" w:rsidRDefault="00BC1B1E" w:rsidP="00BC1B1E">
      <w:pPr>
        <w:pStyle w:val="b"/>
        <w:ind w:firstLine="0"/>
        <w:rPr>
          <w:snapToGrid/>
        </w:rPr>
      </w:pPr>
      <w:r w:rsidRPr="00BC1B1E">
        <w:rPr>
          <w:snapToGrid/>
        </w:rPr>
        <w:t>La stratégie vise à intensifier les efforts de développement des capacités dans tous les aspects de la planification et de la gestion durables de l</w:t>
      </w:r>
      <w:r>
        <w:rPr>
          <w:snapToGrid/>
        </w:rPr>
        <w:t>’</w:t>
      </w:r>
      <w:r w:rsidRPr="00BC1B1E">
        <w:rPr>
          <w:snapToGrid/>
        </w:rPr>
        <w:t>océan, en s</w:t>
      </w:r>
      <w:r>
        <w:rPr>
          <w:snapToGrid/>
        </w:rPr>
        <w:t>’</w:t>
      </w:r>
      <w:r w:rsidRPr="00BC1B1E">
        <w:rPr>
          <w:snapToGrid/>
        </w:rPr>
        <w:t>alignant étroitement sur la Stratégie globale de la COI pour le développement des capacités.</w:t>
      </w:r>
      <w:r w:rsidRPr="00BC1B1E">
        <w:rPr>
          <w:rFonts w:ascii="Calibri" w:eastAsia="DengXian" w:hAnsi="Calibri"/>
          <w:snapToGrid/>
          <w:color w:val="333333"/>
          <w:kern w:val="2"/>
          <w:sz w:val="26"/>
          <w:szCs w:val="26"/>
          <w:shd w:val="clear" w:color="auto" w:fill="FFFFFF"/>
          <w14:ligatures w14:val="standardContextual"/>
        </w:rPr>
        <w:t xml:space="preserve"> </w:t>
      </w:r>
      <w:r w:rsidRPr="00BC1B1E">
        <w:rPr>
          <w:snapToGrid/>
        </w:rPr>
        <w:t>La stratégie s</w:t>
      </w:r>
      <w:r>
        <w:rPr>
          <w:snapToGrid/>
        </w:rPr>
        <w:t>’</w:t>
      </w:r>
      <w:r w:rsidRPr="00BC1B1E">
        <w:rPr>
          <w:snapToGrid/>
        </w:rPr>
        <w:t>appuiera sur les efforts existants des programmes et initiatives de la COI et les complètera, en se concentrant sur les actions nécessaires pour atteindre les six résultats clés de la Stratégie pour le développement des capacités.</w:t>
      </w:r>
      <w:r w:rsidRPr="00BC1B1E">
        <w:rPr>
          <w:rFonts w:ascii="Calibri" w:eastAsia="DengXian" w:hAnsi="Calibri"/>
          <w:snapToGrid/>
          <w:color w:val="333333"/>
          <w:kern w:val="2"/>
          <w:sz w:val="26"/>
          <w:szCs w:val="26"/>
          <w:shd w:val="clear" w:color="auto" w:fill="FFFFFF"/>
          <w14:ligatures w14:val="standardContextual"/>
        </w:rPr>
        <w:t xml:space="preserve"> </w:t>
      </w:r>
      <w:r w:rsidRPr="00BC1B1E">
        <w:rPr>
          <w:snapToGrid/>
        </w:rPr>
        <w:t>Ces priorités comprennent le développement des ressources humaines, l</w:t>
      </w:r>
      <w:r>
        <w:rPr>
          <w:snapToGrid/>
        </w:rPr>
        <w:t>’</w:t>
      </w:r>
      <w:r w:rsidRPr="00BC1B1E">
        <w:rPr>
          <w:snapToGrid/>
        </w:rPr>
        <w:t>amélioration de l</w:t>
      </w:r>
      <w:r>
        <w:rPr>
          <w:snapToGrid/>
        </w:rPr>
        <w:t>’</w:t>
      </w:r>
      <w:r w:rsidRPr="00BC1B1E">
        <w:rPr>
          <w:snapToGrid/>
        </w:rPr>
        <w:t xml:space="preserve">accès aux infrastructures physiques, le renforcement des mécanismes mondiaux et régionaux, la promotion de </w:t>
      </w:r>
      <w:r w:rsidRPr="00BC1B1E">
        <w:rPr>
          <w:snapToGrid/>
        </w:rPr>
        <w:lastRenderedPageBreak/>
        <w:t>l</w:t>
      </w:r>
      <w:r>
        <w:rPr>
          <w:snapToGrid/>
        </w:rPr>
        <w:t>’</w:t>
      </w:r>
      <w:r w:rsidRPr="00BC1B1E">
        <w:rPr>
          <w:snapToGrid/>
        </w:rPr>
        <w:t>élaboration de politiques en matière de recherche océanographique, l</w:t>
      </w:r>
      <w:r>
        <w:rPr>
          <w:snapToGrid/>
        </w:rPr>
        <w:t>’</w:t>
      </w:r>
      <w:r w:rsidRPr="00BC1B1E">
        <w:rPr>
          <w:snapToGrid/>
        </w:rPr>
        <w:t>accroissement de la visibilité et de la sensibilisation, et le renforcement de la mobilisation durable des ressources. Il s</w:t>
      </w:r>
      <w:r>
        <w:rPr>
          <w:snapToGrid/>
        </w:rPr>
        <w:t>’</w:t>
      </w:r>
      <w:r w:rsidRPr="00BC1B1E">
        <w:rPr>
          <w:snapToGrid/>
        </w:rPr>
        <w:t xml:space="preserve">agit de doter les décideurs, les responsables politiques, les détenteurs de droits et les parties prenantes des compétences et des connaissances nécessaires pour une gestion écosystémique et une planification par zone efficaces.  </w:t>
      </w:r>
    </w:p>
    <w:tbl>
      <w:tblPr>
        <w:tblStyle w:val="Grilledutableau"/>
        <w:tblW w:w="0" w:type="auto"/>
        <w:tblInd w:w="1134" w:type="dxa"/>
        <w:tblLook w:val="04A0" w:firstRow="1" w:lastRow="0" w:firstColumn="1" w:lastColumn="0" w:noHBand="0" w:noVBand="1"/>
      </w:tblPr>
      <w:tblGrid>
        <w:gridCol w:w="8494"/>
      </w:tblGrid>
      <w:tr w:rsidR="002B5378" w14:paraId="4469E086" w14:textId="77777777" w:rsidTr="002B5378">
        <w:tc>
          <w:tcPr>
            <w:tcW w:w="9628" w:type="dxa"/>
          </w:tcPr>
          <w:p w14:paraId="6970FC7D" w14:textId="40F4C226" w:rsidR="002B5378" w:rsidRPr="002B5378" w:rsidRDefault="002B5378" w:rsidP="002B5378">
            <w:pPr>
              <w:pStyle w:val="b"/>
              <w:spacing w:before="120"/>
              <w:ind w:left="0" w:firstLine="0"/>
              <w:rPr>
                <w:b/>
                <w:bCs/>
                <w:snapToGrid/>
              </w:rPr>
            </w:pPr>
            <w:r w:rsidRPr="002B5378">
              <w:rPr>
                <w:b/>
                <w:bCs/>
                <w:snapToGrid/>
              </w:rPr>
              <w:t>Activité</w:t>
            </w:r>
            <w:r w:rsidR="00DE726F">
              <w:rPr>
                <w:b/>
                <w:bCs/>
                <w:snapToGrid/>
              </w:rPr>
              <w:t> </w:t>
            </w:r>
            <w:r w:rsidRPr="002B5378">
              <w:rPr>
                <w:b/>
                <w:bCs/>
                <w:snapToGrid/>
              </w:rPr>
              <w:t>: Développement des capacités</w:t>
            </w:r>
          </w:p>
          <w:p w14:paraId="2BD2789D" w14:textId="6A486872" w:rsidR="002B5378" w:rsidRDefault="002B5378" w:rsidP="002B5378">
            <w:pPr>
              <w:pStyle w:val="b"/>
              <w:spacing w:after="120"/>
              <w:ind w:left="0" w:firstLine="0"/>
              <w:rPr>
                <w:snapToGrid/>
              </w:rPr>
            </w:pPr>
            <w:r w:rsidRPr="002B5378">
              <w:rPr>
                <w:snapToGrid/>
              </w:rPr>
              <w:t>Pour atteindre ce résultat, un programme ciblé de développement des capacités sera mis en œuvre dans le cadre de la stratégie, qui comprendra des ateliers et des séminaires adaptés aux besoins des utilisateurs, y compris une formation au contrôle de la qualité et à l’analyse des données, avec l’appui de programmes tels que Ocean</w:t>
            </w:r>
            <w:r w:rsidR="004C7ECB">
              <w:rPr>
                <w:snapToGrid/>
              </w:rPr>
              <w:t> </w:t>
            </w:r>
            <w:r w:rsidRPr="002B5378">
              <w:rPr>
                <w:snapToGrid/>
              </w:rPr>
              <w:t xml:space="preserve">CD-Hub et l’Académie mondiale OceanTeacher. Un soutien supplémentaire consiste à intégrer la planification de l’océan dans les plans nationaux de développement et à faciliter la mise en place de plates-formes d’échange de connaissances. Cette approche garantit l’alignement des politiques nationales sur les meilleures pratiques internationales, ce qui permet de prendre des décisions éclairées et de mettre en œuvre les politiques avec succès. Les activités de développement des capacités seront étroitement coordonnées avec le Centre de coordination du développement des capacités dans le cadre de la Stratégie de la COI pour le développement des capacités, afin d’identifier les besoins des États membres et des utilisateurs en matière d’appui au développement des capacités dans le domaine de la planification et de la gestion durables de l’océan.  </w:t>
            </w:r>
          </w:p>
        </w:tc>
      </w:tr>
    </w:tbl>
    <w:p w14:paraId="5D95F671" w14:textId="22C6B33B" w:rsidR="00BC1B1E" w:rsidRPr="00BC1B1E" w:rsidRDefault="00BC1B1E" w:rsidP="002B5378">
      <w:pPr>
        <w:pStyle w:val="b"/>
        <w:spacing w:before="240"/>
        <w:rPr>
          <w:rFonts w:eastAsia="DengXian Light"/>
          <w:i/>
          <w:iCs/>
          <w:snapToGrid/>
          <w:color w:val="365F91" w:themeColor="accent1" w:themeShade="BF"/>
        </w:rPr>
      </w:pPr>
      <w:bookmarkStart w:id="11" w:name="_heading=h.4hhlxin3ve05" w:colFirst="0" w:colLast="0"/>
      <w:bookmarkEnd w:id="11"/>
      <w:r w:rsidRPr="00BC1B1E">
        <w:rPr>
          <w:rFonts w:eastAsia="DengXian Light"/>
          <w:i/>
          <w:iCs/>
          <w:snapToGrid/>
          <w:color w:val="365F91" w:themeColor="accent1" w:themeShade="BF"/>
        </w:rPr>
        <w:t>5.</w:t>
      </w:r>
      <w:r w:rsidRPr="00BC1B1E">
        <w:rPr>
          <w:rFonts w:eastAsia="DengXian Light"/>
          <w:i/>
          <w:iCs/>
          <w:snapToGrid/>
          <w:color w:val="365F91" w:themeColor="accent1" w:themeShade="BF"/>
        </w:rPr>
        <w:tab/>
        <w:t>Intégration de l’adaptation au changement climatique et de l’atténuation de ses effets, de la résilience des zones côtières et de la conservation de la biodiversité dans les processus de planification de l’océan</w:t>
      </w:r>
    </w:p>
    <w:p w14:paraId="5D1C3FC4" w14:textId="0F7DD2D5" w:rsidR="00BC1B1E" w:rsidRPr="002B5378" w:rsidRDefault="00BC1B1E" w:rsidP="00BC1B1E">
      <w:pPr>
        <w:pStyle w:val="b"/>
        <w:ind w:firstLine="0"/>
        <w:rPr>
          <w:snapToGrid/>
          <w:spacing w:val="-2"/>
        </w:rPr>
      </w:pPr>
      <w:r w:rsidRPr="002B5378">
        <w:rPr>
          <w:snapToGrid/>
          <w:spacing w:val="-2"/>
        </w:rPr>
        <w:t>Face à la nécessité urgente de lutter contre les effets du changement climatique et la perte de biodiversité marine, la stratégie propose des initiatives visant à intégrer l’adaptation au changement climatique et l’atténuation de ses effets, ainsi que les aspects liés à la conservation et à la restauration des écosystèmes, dans la planification de l’océan. Il s’agira d’œuvrer en coordination avec les initiatives de la COI relatives au climat, à la biodiversité et aux aléas côtiers afin d’élaborer des outils et des lignes directrices qui identifient et intègrent des mesures de résilience, de produire des connaissances scientifiques sur le rôle des écosystèmes océaniques dans les questions climatiques, telles que celles liées aux habitats de carbone bleu et aux écosystèmes qui fournissent des services connexes.</w:t>
      </w:r>
      <w:r w:rsidRPr="002B5378">
        <w:rPr>
          <w:rFonts w:ascii="Calibri" w:eastAsia="DengXian" w:hAnsi="Calibri"/>
          <w:snapToGrid/>
          <w:color w:val="333333"/>
          <w:spacing w:val="-2"/>
          <w:kern w:val="2"/>
          <w:sz w:val="26"/>
          <w:szCs w:val="26"/>
          <w:shd w:val="clear" w:color="auto" w:fill="FFFFFF"/>
          <w14:ligatures w14:val="standardContextual"/>
        </w:rPr>
        <w:t xml:space="preserve"> </w:t>
      </w:r>
      <w:r w:rsidRPr="002B5378">
        <w:rPr>
          <w:snapToGrid/>
          <w:spacing w:val="-2"/>
        </w:rPr>
        <w:t xml:space="preserve">En intégrant les travaux et les projections climatologiques dans les processus de planification, la stratégie vise à donner aux pays les moyens de gérer efficacement les risques et les vulnérabilités liés au climat et aux aléas côtiers. </w:t>
      </w:r>
    </w:p>
    <w:tbl>
      <w:tblPr>
        <w:tblStyle w:val="Grilledutableau"/>
        <w:tblW w:w="0" w:type="auto"/>
        <w:tblInd w:w="1134" w:type="dxa"/>
        <w:tblLook w:val="04A0" w:firstRow="1" w:lastRow="0" w:firstColumn="1" w:lastColumn="0" w:noHBand="0" w:noVBand="1"/>
      </w:tblPr>
      <w:tblGrid>
        <w:gridCol w:w="8494"/>
      </w:tblGrid>
      <w:tr w:rsidR="002B5378" w14:paraId="49A35D49" w14:textId="77777777" w:rsidTr="002B5378">
        <w:tc>
          <w:tcPr>
            <w:tcW w:w="9628" w:type="dxa"/>
          </w:tcPr>
          <w:p w14:paraId="5F3EE7C1" w14:textId="77777777" w:rsidR="002B5378" w:rsidRPr="002B5378" w:rsidRDefault="002B5378" w:rsidP="002B5378">
            <w:pPr>
              <w:pStyle w:val="b"/>
              <w:tabs>
                <w:tab w:val="clear" w:pos="1134"/>
              </w:tabs>
              <w:spacing w:before="120"/>
              <w:ind w:left="0" w:firstLine="26"/>
              <w:rPr>
                <w:rFonts w:cs="Arial"/>
                <w:b/>
                <w:bCs/>
                <w:snapToGrid/>
                <w:spacing w:val="-3"/>
              </w:rPr>
            </w:pPr>
            <w:r w:rsidRPr="002B5378">
              <w:rPr>
                <w:rFonts w:cs="Arial"/>
                <w:b/>
                <w:bCs/>
                <w:snapToGrid/>
                <w:spacing w:val="-3"/>
              </w:rPr>
              <w:t>Activité : Élaboration de lignes directrices et assistance en matière de planification</w:t>
            </w:r>
          </w:p>
          <w:p w14:paraId="44CB630A" w14:textId="0B4DBCB8" w:rsidR="002B5378" w:rsidRDefault="002B5378" w:rsidP="002B5378">
            <w:pPr>
              <w:pStyle w:val="b"/>
              <w:spacing w:after="120"/>
              <w:ind w:left="0" w:firstLine="0"/>
              <w:rPr>
                <w:snapToGrid/>
              </w:rPr>
            </w:pPr>
            <w:r w:rsidRPr="002B5378">
              <w:rPr>
                <w:snapToGrid/>
              </w:rPr>
              <w:t>Pour atteindre ce résultat, la stratégie prévoit explicitement l’élaboration et la diffusion de lignes directrices spécialisées ainsi qu’une assistance en matière de planification. Ces outils et cadres, conçus pour prendre en compte les mesures de résilience climatique et côtière, apportent un soutien technique aux États membres en les aidant à intégrer ces mesures dans leurs cadres de gouvernance de l’océan. Cette initiative vise à renforcer la capacité des gouvernements à mettre en œuvre des stratégies efficaces de gestion des aléas climatiques et côtiers, à promouvoir des pratiques adaptables à l’évolution des conditions climatiques et à veiller à ce que la planification de l’océan soit résiliente et réponde aux changements environnementaux.</w:t>
            </w:r>
          </w:p>
        </w:tc>
      </w:tr>
    </w:tbl>
    <w:p w14:paraId="268947CB" w14:textId="1789447B" w:rsidR="00BC1B1E" w:rsidRPr="00BC1B1E" w:rsidRDefault="00BC1B1E" w:rsidP="00950C5F">
      <w:pPr>
        <w:pStyle w:val="Titre3"/>
        <w:spacing w:before="240" w:after="220"/>
        <w:rPr>
          <w:rFonts w:eastAsia="DengXian Light"/>
          <w:snapToGrid/>
        </w:rPr>
      </w:pPr>
      <w:bookmarkStart w:id="12" w:name="_Toc170139295"/>
      <w:r w:rsidRPr="008D199E">
        <w:rPr>
          <w:rFonts w:eastAsia="DengXian Light"/>
          <w:snapToGrid/>
        </w:rPr>
        <w:lastRenderedPageBreak/>
        <w:t>IV.</w:t>
      </w:r>
      <w:r w:rsidRPr="008D199E">
        <w:rPr>
          <w:rFonts w:eastAsia="DengXian Light"/>
          <w:snapToGrid/>
        </w:rPr>
        <w:tab/>
        <w:t>Mise en œuvre</w:t>
      </w:r>
      <w:bookmarkEnd w:id="12"/>
    </w:p>
    <w:p w14:paraId="7B93FCA7" w14:textId="19BCB816" w:rsidR="00BC1B1E" w:rsidRPr="00BC1B1E" w:rsidRDefault="00BC1B1E" w:rsidP="00950C5F">
      <w:pPr>
        <w:pStyle w:val="Marge"/>
        <w:spacing w:after="220"/>
        <w:rPr>
          <w:snapToGrid/>
          <w:highlight w:val="white"/>
        </w:rPr>
      </w:pPr>
      <w:r w:rsidRPr="00BC1B1E">
        <w:rPr>
          <w:snapToGrid/>
          <w:highlight w:val="white"/>
        </w:rPr>
        <w:t>23.</w:t>
      </w:r>
      <w:r w:rsidRPr="00BC1B1E">
        <w:rPr>
          <w:snapToGrid/>
          <w:highlight w:val="white"/>
        </w:rPr>
        <w:tab/>
        <w:t>La mise en œuvre de la Stratégie de la COI sur la planification et la gestion durables de l</w:t>
      </w:r>
      <w:r>
        <w:rPr>
          <w:snapToGrid/>
          <w:highlight w:val="white"/>
        </w:rPr>
        <w:t>’</w:t>
      </w:r>
      <w:r w:rsidRPr="00BC1B1E">
        <w:rPr>
          <w:snapToGrid/>
          <w:highlight w:val="white"/>
        </w:rPr>
        <w:t>océan (2024-2030) sera conçue et mise en œuvre conjointement par les différents programmes de la COI, en étroite collaboration avec les États membres de la COI. Cette stratégie englobant de nombreux aspects de la planification et de la gestion de l</w:t>
      </w:r>
      <w:r>
        <w:rPr>
          <w:snapToGrid/>
          <w:highlight w:val="white"/>
        </w:rPr>
        <w:t>’</w:t>
      </w:r>
      <w:r w:rsidRPr="00BC1B1E">
        <w:rPr>
          <w:snapToGrid/>
          <w:highlight w:val="white"/>
        </w:rPr>
        <w:t>océan, il sera essentiel qu</w:t>
      </w:r>
      <w:r>
        <w:rPr>
          <w:snapToGrid/>
          <w:highlight w:val="white"/>
        </w:rPr>
        <w:t>’</w:t>
      </w:r>
      <w:r w:rsidRPr="00BC1B1E">
        <w:rPr>
          <w:snapToGrid/>
          <w:highlight w:val="white"/>
        </w:rPr>
        <w:t>à la fois les États membres et les programmes de la COI apportent en permanence des contributions et rendent compte régulièrement des progrès accomplis.</w:t>
      </w:r>
    </w:p>
    <w:p w14:paraId="77507E90" w14:textId="16E0D16D" w:rsidR="00BC1B1E" w:rsidRPr="00BC1B1E" w:rsidRDefault="00BC1B1E" w:rsidP="00950C5F">
      <w:pPr>
        <w:pStyle w:val="Marge"/>
        <w:spacing w:after="220"/>
        <w:rPr>
          <w:snapToGrid/>
          <w:highlight w:val="white"/>
        </w:rPr>
      </w:pPr>
      <w:r w:rsidRPr="00BC1B1E">
        <w:rPr>
          <w:snapToGrid/>
          <w:highlight w:val="white"/>
        </w:rPr>
        <w:t>24.</w:t>
      </w:r>
      <w:r w:rsidRPr="00BC1B1E">
        <w:rPr>
          <w:snapToGrid/>
          <w:highlight w:val="white"/>
        </w:rPr>
        <w:tab/>
        <w:t>Les partenariats de collaboration sont essentiels pour réaliser les objec</w:t>
      </w:r>
      <w:r w:rsidRPr="009A2AE3">
        <w:rPr>
          <w:snapToGrid/>
        </w:rPr>
        <w:t>tifs de la stratégie. L</w:t>
      </w:r>
      <w:r w:rsidRPr="00BC1B1E">
        <w:rPr>
          <w:snapToGrid/>
          <w:highlight w:val="white"/>
        </w:rPr>
        <w:t>e vaste réseau d</w:t>
      </w:r>
      <w:r>
        <w:rPr>
          <w:snapToGrid/>
          <w:highlight w:val="white"/>
        </w:rPr>
        <w:t>’</w:t>
      </w:r>
      <w:r w:rsidRPr="00BC1B1E">
        <w:rPr>
          <w:snapToGrid/>
          <w:highlight w:val="white"/>
        </w:rPr>
        <w:t>experts de la COI et son engagement en faveur de la coopération mondiale et régionale offrent aux États membres un soutien précieux en faveur du développement des capacités dans divers aspects de la planification et de la gestion de l</w:t>
      </w:r>
      <w:r>
        <w:rPr>
          <w:snapToGrid/>
          <w:highlight w:val="white"/>
        </w:rPr>
        <w:t>’</w:t>
      </w:r>
      <w:r w:rsidRPr="00BC1B1E">
        <w:rPr>
          <w:snapToGrid/>
          <w:highlight w:val="white"/>
        </w:rPr>
        <w:t>océan. La mise en œuvre de la stratégie comportera les éléments suivants :</w:t>
      </w:r>
    </w:p>
    <w:p w14:paraId="661449BB" w14:textId="67582C56" w:rsidR="00BC1B1E" w:rsidRPr="00BC1B1E" w:rsidRDefault="00BC1B1E" w:rsidP="00950C5F">
      <w:pPr>
        <w:pStyle w:val="b"/>
        <w:spacing w:after="220"/>
        <w:rPr>
          <w:b/>
          <w:snapToGrid/>
        </w:rPr>
      </w:pPr>
      <w:r>
        <w:rPr>
          <w:bCs/>
          <w:snapToGrid/>
        </w:rPr>
        <w:t>(i)</w:t>
      </w:r>
      <w:r>
        <w:rPr>
          <w:bCs/>
          <w:snapToGrid/>
        </w:rPr>
        <w:tab/>
      </w:r>
      <w:r>
        <w:rPr>
          <w:bCs/>
          <w:snapToGrid/>
        </w:rPr>
        <w:tab/>
      </w:r>
      <w:r w:rsidRPr="00BC1B1E">
        <w:rPr>
          <w:b/>
          <w:snapToGrid/>
        </w:rPr>
        <w:t>Action à l</w:t>
      </w:r>
      <w:r>
        <w:rPr>
          <w:b/>
          <w:snapToGrid/>
        </w:rPr>
        <w:t>’</w:t>
      </w:r>
      <w:r w:rsidRPr="00BC1B1E">
        <w:rPr>
          <w:b/>
          <w:snapToGrid/>
        </w:rPr>
        <w:t>échelle régionale</w:t>
      </w:r>
      <w:r w:rsidRPr="00BC1B1E">
        <w:rPr>
          <w:snapToGrid/>
        </w:rPr>
        <w:t>. La création d</w:t>
      </w:r>
      <w:r>
        <w:rPr>
          <w:snapToGrid/>
        </w:rPr>
        <w:t>’</w:t>
      </w:r>
      <w:r w:rsidRPr="00BC1B1E">
        <w:rPr>
          <w:snapToGrid/>
        </w:rPr>
        <w:t>organes subsidiaires régionaux, tels que l</w:t>
      </w:r>
      <w:r>
        <w:rPr>
          <w:snapToGrid/>
        </w:rPr>
        <w:t>’</w:t>
      </w:r>
      <w:r w:rsidRPr="00BC1B1E">
        <w:rPr>
          <w:snapToGrid/>
        </w:rPr>
        <w:t>IOCARIBE, l</w:t>
      </w:r>
      <w:r>
        <w:rPr>
          <w:snapToGrid/>
        </w:rPr>
        <w:t>’</w:t>
      </w:r>
      <w:r w:rsidRPr="00BC1B1E">
        <w:rPr>
          <w:snapToGrid/>
        </w:rPr>
        <w:t>IOCAFRICA, la WESTPAC et l</w:t>
      </w:r>
      <w:r>
        <w:rPr>
          <w:snapToGrid/>
        </w:rPr>
        <w:t>’</w:t>
      </w:r>
      <w:r w:rsidRPr="00BC1B1E">
        <w:rPr>
          <w:snapToGrid/>
        </w:rPr>
        <w:t>IOCINDIO, a permis pendant plusieurs dizaines d</w:t>
      </w:r>
      <w:r>
        <w:rPr>
          <w:snapToGrid/>
        </w:rPr>
        <w:t>’</w:t>
      </w:r>
      <w:r w:rsidRPr="00BC1B1E">
        <w:rPr>
          <w:snapToGrid/>
        </w:rPr>
        <w:t>an</w:t>
      </w:r>
      <w:r w:rsidRPr="00C14377">
        <w:rPr>
          <w:snapToGrid/>
        </w:rPr>
        <w:t>nées de faciliter la coopération régionale et le partage des connaissances au sein de la COI-UNESCO. Ces organes ont pour principale mission de favoriser la coopération à l’échelle régionale pour traiter les questions relatives à l’océan communes aux États membres de chaque région, co</w:t>
      </w:r>
      <w:r w:rsidRPr="00BC1B1E">
        <w:rPr>
          <w:snapToGrid/>
        </w:rPr>
        <w:t>nformément aux programmes mondiaux.</w:t>
      </w:r>
      <w:r w:rsidRPr="00BC1B1E">
        <w:rPr>
          <w:rFonts w:ascii="Calibri" w:eastAsia="DengXian" w:hAnsi="Calibri"/>
          <w:snapToGrid/>
          <w:color w:val="333333"/>
          <w:kern w:val="2"/>
          <w:sz w:val="26"/>
          <w:szCs w:val="26"/>
          <w:shd w:val="clear" w:color="auto" w:fill="FFFFFF"/>
          <w14:ligatures w14:val="standardContextual"/>
        </w:rPr>
        <w:t xml:space="preserve"> </w:t>
      </w:r>
      <w:r w:rsidRPr="00BC1B1E">
        <w:rPr>
          <w:snapToGrid/>
        </w:rPr>
        <w:t>Bien qu</w:t>
      </w:r>
      <w:r>
        <w:rPr>
          <w:snapToGrid/>
        </w:rPr>
        <w:t>’</w:t>
      </w:r>
      <w:r w:rsidRPr="00BC1B1E">
        <w:rPr>
          <w:snapToGrid/>
        </w:rPr>
        <w:t>à différents niveaux de mise en œuvre, les organes subsidiaires régionaux de la COI élaborent déjà des activités collaboratives de planification de l</w:t>
      </w:r>
      <w:r>
        <w:rPr>
          <w:snapToGrid/>
        </w:rPr>
        <w:t>’</w:t>
      </w:r>
      <w:r w:rsidRPr="00BC1B1E">
        <w:rPr>
          <w:snapToGrid/>
        </w:rPr>
        <w:t>espace marin dans le cadre de projets pilotes et de collaborations au niveau régional dans ce domaine, qui rassemblent les pays et les parties prenantes d</w:t>
      </w:r>
      <w:r>
        <w:rPr>
          <w:snapToGrid/>
        </w:rPr>
        <w:t>’</w:t>
      </w:r>
      <w:r w:rsidRPr="00BC1B1E">
        <w:rPr>
          <w:snapToGrid/>
        </w:rPr>
        <w:t>une région pour relever des défis communs, échanger des expériences et mettre au point des approches transfrontalières coordonnées, cruciales pour la survie des écosystèmes océaniques et des communautés côtières.</w:t>
      </w:r>
      <w:r w:rsidRPr="00BC1B1E">
        <w:rPr>
          <w:rFonts w:ascii="Calibri" w:eastAsia="DengXian" w:hAnsi="Calibri"/>
          <w:snapToGrid/>
          <w:color w:val="333333"/>
          <w:kern w:val="2"/>
          <w:sz w:val="26"/>
          <w:szCs w:val="26"/>
          <w:shd w:val="clear" w:color="auto" w:fill="FFFFFF"/>
          <w14:ligatures w14:val="standardContextual"/>
        </w:rPr>
        <w:t xml:space="preserve"> </w:t>
      </w:r>
      <w:r w:rsidRPr="00BC1B1E">
        <w:rPr>
          <w:snapToGrid/>
        </w:rPr>
        <w:t>Étant donné que la stratégie sera mise en œuvre aux niveaux régional et national, la participation de l</w:t>
      </w:r>
      <w:r>
        <w:rPr>
          <w:snapToGrid/>
        </w:rPr>
        <w:t>’</w:t>
      </w:r>
      <w:r w:rsidRPr="00BC1B1E">
        <w:rPr>
          <w:snapToGrid/>
        </w:rPr>
        <w:t>ensemble des organes subsidiaires régionaux et des autres groupements régionaux œuvrant dans le domaine de l</w:t>
      </w:r>
      <w:r>
        <w:rPr>
          <w:snapToGrid/>
        </w:rPr>
        <w:t>’</w:t>
      </w:r>
      <w:r w:rsidRPr="00BC1B1E">
        <w:rPr>
          <w:snapToGrid/>
        </w:rPr>
        <w:t>océan (tels que les alliances régionales du Système mondial d</w:t>
      </w:r>
      <w:r>
        <w:rPr>
          <w:snapToGrid/>
        </w:rPr>
        <w:t>’</w:t>
      </w:r>
      <w:r w:rsidRPr="00BC1B1E">
        <w:rPr>
          <w:snapToGrid/>
        </w:rPr>
        <w:t>observation de l</w:t>
      </w:r>
      <w:r>
        <w:rPr>
          <w:snapToGrid/>
        </w:rPr>
        <w:t>’</w:t>
      </w:r>
      <w:r w:rsidRPr="00BC1B1E">
        <w:rPr>
          <w:snapToGrid/>
        </w:rPr>
        <w:t>océan, les conventions relatives aux mers régionales et les grands écosystèmes marins) en dehors de la COI sera nécessaire pour définir des priorités et des mesures réalisables et adaptées à chaque région, ce qui permettra aux régions d</w:t>
      </w:r>
      <w:r>
        <w:rPr>
          <w:snapToGrid/>
        </w:rPr>
        <w:t>’</w:t>
      </w:r>
      <w:r w:rsidRPr="00BC1B1E">
        <w:rPr>
          <w:snapToGrid/>
        </w:rPr>
        <w:t>être autonomes et réactives pour gérer le programme en fonction des besoins contextuels locaux.</w:t>
      </w:r>
    </w:p>
    <w:p w14:paraId="335D68AC" w14:textId="4AE2AB2B" w:rsidR="00BC1B1E" w:rsidRPr="00B06592" w:rsidRDefault="00BC1B1E" w:rsidP="00950C5F">
      <w:pPr>
        <w:pStyle w:val="b"/>
        <w:spacing w:after="220"/>
        <w:rPr>
          <w:b/>
          <w:snapToGrid/>
          <w:spacing w:val="-2"/>
        </w:rPr>
      </w:pPr>
      <w:r>
        <w:rPr>
          <w:bCs/>
          <w:snapToGrid/>
        </w:rPr>
        <w:t>(ii)</w:t>
      </w:r>
      <w:r>
        <w:rPr>
          <w:bCs/>
          <w:snapToGrid/>
        </w:rPr>
        <w:tab/>
      </w:r>
      <w:r w:rsidRPr="00BC1B1E">
        <w:rPr>
          <w:b/>
          <w:snapToGrid/>
        </w:rPr>
        <w:t>Programmes de la COI</w:t>
      </w:r>
      <w:r w:rsidRPr="00BC1B1E">
        <w:rPr>
          <w:snapToGrid/>
        </w:rPr>
        <w:t>.</w:t>
      </w:r>
      <w:r w:rsidRPr="00B06592">
        <w:rPr>
          <w:snapToGrid/>
          <w:spacing w:val="-2"/>
        </w:rPr>
        <w:t xml:space="preserve"> La stratégie vise à fournir une orientation globale aux programmes et projets de la COI, afin d’assurer un alignement cohérent des efforts de gestion et de planification de l’océan et des zones côtières. En s’appuyant sur les initiatives existantes, la coordination sera renforcée pour assurer la cohérence entre les projets en vue de la réalisation des objectifs stratégiques de la stratégie. Il faudra ainsi faire appel aux conseils d’experts issus de collaborations établies telles que le Groupe mixte d’experts chargé d’étudier les aspects scientifiques de la protection de l’environnement marin (GESAMP).</w:t>
      </w:r>
      <w:r w:rsidRPr="00B06592">
        <w:rPr>
          <w:rFonts w:ascii="Calibri" w:eastAsia="DengXian" w:hAnsi="Calibri"/>
          <w:snapToGrid/>
          <w:color w:val="333333"/>
          <w:spacing w:val="-2"/>
          <w:kern w:val="2"/>
          <w:sz w:val="26"/>
          <w:szCs w:val="26"/>
          <w:shd w:val="clear" w:color="auto" w:fill="FFFFFF"/>
          <w14:ligatures w14:val="standardContextual"/>
        </w:rPr>
        <w:t xml:space="preserve"> </w:t>
      </w:r>
      <w:r w:rsidRPr="00B06592">
        <w:rPr>
          <w:snapToGrid/>
          <w:spacing w:val="-2"/>
        </w:rPr>
        <w:t>Des efforts seront également déployés pour garantir l’accessibilité des ressources et des données de tous les programmes et projets par l’intermédiaire de plates</w:t>
      </w:r>
      <w:r w:rsidR="009A2AE3">
        <w:rPr>
          <w:snapToGrid/>
          <w:spacing w:val="-2"/>
        </w:rPr>
        <w:noBreakHyphen/>
      </w:r>
      <w:r w:rsidRPr="00B06592">
        <w:rPr>
          <w:snapToGrid/>
          <w:spacing w:val="-2"/>
        </w:rPr>
        <w:t>formes en accès libre telles que le Portail d’initiation à l’océan, le Système de données et d’information océanographiques (ODIS), le Système d’informations sur la biodiversité de l’océan (OBIS) et d’autres. En outre, la stratégie favorisera la collaboration et le développement des capacités par le biais d’initiatives telles que l’Académie mondiale OceanTeacher, l’Ocean CD-Hub ou le réseau des jeunes spécialistes de l’océan.</w:t>
      </w:r>
    </w:p>
    <w:p w14:paraId="21854AE1" w14:textId="3B70B848" w:rsidR="00BC1B1E" w:rsidRPr="00511548" w:rsidRDefault="00BC1B1E" w:rsidP="00950C5F">
      <w:pPr>
        <w:pStyle w:val="b"/>
        <w:spacing w:after="220"/>
        <w:rPr>
          <w:snapToGrid/>
          <w:spacing w:val="-2"/>
        </w:rPr>
      </w:pPr>
      <w:r>
        <w:rPr>
          <w:snapToGrid/>
        </w:rPr>
        <w:tab/>
      </w:r>
      <w:r w:rsidRPr="00511548">
        <w:rPr>
          <w:snapToGrid/>
          <w:spacing w:val="-2"/>
        </w:rPr>
        <w:t xml:space="preserve">En outre, la stratégie renforcera les collaborations existantes, telles que les actions conjointes entre la COI et le Programme marin du patrimoine mondial de l’UNESCO, afin d’assurer la protection des sites marins du patrimoine mondial dans le cadre de plans de gestion pertinents, ainsi qu’avec le réseau de réserves de biosphère marines et côtières de l’UNESCO. Par ailleurs, l’initiative MSPglobal jouera un rôle clé compte tenu des lignes directrices et des bonnes pratiques établies pour la planification de l’espace marin, qui </w:t>
      </w:r>
      <w:r w:rsidRPr="00511548">
        <w:rPr>
          <w:snapToGrid/>
          <w:spacing w:val="-2"/>
        </w:rPr>
        <w:lastRenderedPageBreak/>
        <w:t>constituent des outils et des ressources précieux pour les décideurs. Ces ressources aident à élaborer des processus de planification de l’espace marin inclusifs et adaptables, englobant les facteurs écologiques, sociaux et économiques dans la prise de décisions. Sur la base de cette expertise existante, la stratégie étendra et adaptera ces ressources afin d’englober le champ plus large de la planification et de la gestion de l’océan.</w:t>
      </w:r>
    </w:p>
    <w:p w14:paraId="11965CA7" w14:textId="5B854C95" w:rsidR="00BC1B1E" w:rsidRPr="00BC1B1E" w:rsidRDefault="00BC1B1E" w:rsidP="00950C5F">
      <w:pPr>
        <w:pStyle w:val="b"/>
        <w:spacing w:after="220"/>
        <w:rPr>
          <w:b/>
          <w:snapToGrid/>
        </w:rPr>
      </w:pPr>
      <w:r>
        <w:rPr>
          <w:bCs/>
          <w:snapToGrid/>
        </w:rPr>
        <w:t>(iii)</w:t>
      </w:r>
      <w:r>
        <w:rPr>
          <w:bCs/>
          <w:snapToGrid/>
        </w:rPr>
        <w:tab/>
      </w:r>
      <w:r w:rsidRPr="00BC1B1E">
        <w:rPr>
          <w:b/>
          <w:snapToGrid/>
        </w:rPr>
        <w:t>Collaboration avec des entités au sein et en dehors du système des Nations Unies</w:t>
      </w:r>
      <w:r w:rsidRPr="00BC1B1E">
        <w:rPr>
          <w:snapToGrid/>
        </w:rPr>
        <w:t>. En s</w:t>
      </w:r>
      <w:r>
        <w:rPr>
          <w:snapToGrid/>
        </w:rPr>
        <w:t>’</w:t>
      </w:r>
      <w:r w:rsidRPr="00BC1B1E">
        <w:rPr>
          <w:snapToGrid/>
        </w:rPr>
        <w:t>appuyant sur les partenariats existants, la stratégie visera à accroître la collaboration avec divers organismes et programmes des Nations Unies et d</w:t>
      </w:r>
      <w:r>
        <w:rPr>
          <w:snapToGrid/>
        </w:rPr>
        <w:t>’</w:t>
      </w:r>
      <w:r w:rsidRPr="00BC1B1E">
        <w:rPr>
          <w:snapToGrid/>
        </w:rPr>
        <w:t>autres organisations. Ces entités comprennent, par exemple, le Programme des Nations Unies pour l</w:t>
      </w:r>
      <w:r>
        <w:rPr>
          <w:snapToGrid/>
        </w:rPr>
        <w:t>’</w:t>
      </w:r>
      <w:r w:rsidRPr="00BC1B1E">
        <w:rPr>
          <w:snapToGrid/>
        </w:rPr>
        <w:t>environnement (PNUE), l</w:t>
      </w:r>
      <w:r>
        <w:rPr>
          <w:snapToGrid/>
        </w:rPr>
        <w:t>’</w:t>
      </w:r>
      <w:r w:rsidRPr="00BC1B1E">
        <w:rPr>
          <w:snapToGrid/>
        </w:rPr>
        <w:t>Organisation météorologique mondiale (OMM), la Convention sur la diversité biologique, le Programme des Nations Unies pour le développement (PNUD), l</w:t>
      </w:r>
      <w:r>
        <w:rPr>
          <w:snapToGrid/>
        </w:rPr>
        <w:t>’</w:t>
      </w:r>
      <w:r w:rsidRPr="00BC1B1E">
        <w:rPr>
          <w:snapToGrid/>
        </w:rPr>
        <w:t xml:space="preserve">Organisation des Nations </w:t>
      </w:r>
      <w:r w:rsidR="00950C5F">
        <w:rPr>
          <w:snapToGrid/>
        </w:rPr>
        <w:t>U</w:t>
      </w:r>
      <w:r w:rsidRPr="00BC1B1E">
        <w:rPr>
          <w:snapToGrid/>
        </w:rPr>
        <w:t>nies pour l</w:t>
      </w:r>
      <w:r>
        <w:rPr>
          <w:snapToGrid/>
        </w:rPr>
        <w:t>’</w:t>
      </w:r>
      <w:r w:rsidRPr="00BC1B1E">
        <w:rPr>
          <w:snapToGrid/>
        </w:rPr>
        <w:t>alimentation et l</w:t>
      </w:r>
      <w:r>
        <w:rPr>
          <w:snapToGrid/>
        </w:rPr>
        <w:t>’</w:t>
      </w:r>
      <w:r w:rsidRPr="00BC1B1E">
        <w:rPr>
          <w:snapToGrid/>
        </w:rPr>
        <w:t>agriculture (FAO), la Commission européenne et la Coalition Action Océan 2030.</w:t>
      </w:r>
      <w:r w:rsidRPr="00BC1B1E">
        <w:rPr>
          <w:b/>
          <w:snapToGrid/>
        </w:rPr>
        <w:t xml:space="preserve">  </w:t>
      </w:r>
    </w:p>
    <w:p w14:paraId="506D2E03" w14:textId="62E575DC" w:rsidR="00BC1B1E" w:rsidRPr="00BC1B1E" w:rsidRDefault="00BC1B1E" w:rsidP="00950C5F">
      <w:pPr>
        <w:pStyle w:val="b"/>
        <w:spacing w:after="220"/>
        <w:rPr>
          <w:b/>
          <w:snapToGrid/>
        </w:rPr>
      </w:pPr>
      <w:r>
        <w:rPr>
          <w:bCs/>
          <w:snapToGrid/>
        </w:rPr>
        <w:t>(iv)</w:t>
      </w:r>
      <w:r>
        <w:rPr>
          <w:bCs/>
          <w:snapToGrid/>
        </w:rPr>
        <w:tab/>
      </w:r>
      <w:r w:rsidRPr="00BC1B1E">
        <w:rPr>
          <w:b/>
          <w:snapToGrid/>
        </w:rPr>
        <w:t>Collaboration avec des acteurs extérieurs</w:t>
      </w:r>
      <w:r w:rsidRPr="00BC1B1E">
        <w:rPr>
          <w:snapToGrid/>
        </w:rPr>
        <w:t>. La collaboration avec les organisations intergouvernementales (OIG) et les organisations non gouvernementales (ONG) apportera une expertise en matière de plaidoyer, de mobilisation de la population et de savoirs locaux et autochtones pour une planification de l</w:t>
      </w:r>
      <w:r>
        <w:rPr>
          <w:snapToGrid/>
        </w:rPr>
        <w:t>’</w:t>
      </w:r>
      <w:r w:rsidRPr="00BC1B1E">
        <w:rPr>
          <w:snapToGrid/>
        </w:rPr>
        <w:t>océan plus inclusive et socialement équitable. Dans le même temps, la collaboration d</w:t>
      </w:r>
      <w:r>
        <w:rPr>
          <w:snapToGrid/>
        </w:rPr>
        <w:t>’</w:t>
      </w:r>
      <w:r w:rsidRPr="00BC1B1E">
        <w:rPr>
          <w:snapToGrid/>
        </w:rPr>
        <w:t>établissements universitaires favorisera le progrès scientifique, encouragera la prise de décisions fondée sur des données probantes et assurera la formation des futurs professionnels de la planification de l</w:t>
      </w:r>
      <w:r>
        <w:rPr>
          <w:snapToGrid/>
        </w:rPr>
        <w:t>’</w:t>
      </w:r>
      <w:r w:rsidRPr="00BC1B1E">
        <w:rPr>
          <w:snapToGrid/>
        </w:rPr>
        <w:t>océan.</w:t>
      </w:r>
      <w:r w:rsidRPr="00BC1B1E">
        <w:rPr>
          <w:rFonts w:ascii="Calibri" w:eastAsia="DengXian" w:hAnsi="Calibri"/>
          <w:snapToGrid/>
          <w:color w:val="333333"/>
          <w:kern w:val="2"/>
          <w:sz w:val="26"/>
          <w:szCs w:val="26"/>
          <w:shd w:val="clear" w:color="auto" w:fill="FFFFFF"/>
          <w14:ligatures w14:val="standardContextual"/>
        </w:rPr>
        <w:t xml:space="preserve"> </w:t>
      </w:r>
      <w:r w:rsidRPr="00BC1B1E">
        <w:rPr>
          <w:snapToGrid/>
        </w:rPr>
        <w:t>En outre, les partenariats avec le secteur privé permettront de mobiliser des ressources, de l</w:t>
      </w:r>
      <w:r>
        <w:rPr>
          <w:snapToGrid/>
        </w:rPr>
        <w:t>’</w:t>
      </w:r>
      <w:r w:rsidRPr="00BC1B1E">
        <w:rPr>
          <w:snapToGrid/>
        </w:rPr>
        <w:t>innovation et de l</w:t>
      </w:r>
      <w:r>
        <w:rPr>
          <w:snapToGrid/>
        </w:rPr>
        <w:t>’</w:t>
      </w:r>
      <w:r w:rsidRPr="00BC1B1E">
        <w:rPr>
          <w:snapToGrid/>
        </w:rPr>
        <w:t>expertise dans ce domaine en vue d</w:t>
      </w:r>
      <w:r>
        <w:rPr>
          <w:snapToGrid/>
        </w:rPr>
        <w:t>’</w:t>
      </w:r>
      <w:r w:rsidRPr="00BC1B1E">
        <w:rPr>
          <w:snapToGrid/>
        </w:rPr>
        <w:t>améliorer l</w:t>
      </w:r>
      <w:r>
        <w:rPr>
          <w:snapToGrid/>
        </w:rPr>
        <w:t>’</w:t>
      </w:r>
      <w:r w:rsidRPr="00BC1B1E">
        <w:rPr>
          <w:snapToGrid/>
        </w:rPr>
        <w:t>efficacité des initiatives de planification de l</w:t>
      </w:r>
      <w:r>
        <w:rPr>
          <w:snapToGrid/>
        </w:rPr>
        <w:t>’</w:t>
      </w:r>
      <w:r w:rsidRPr="00BC1B1E">
        <w:rPr>
          <w:snapToGrid/>
        </w:rPr>
        <w:t>océan et de garantir leur conformité, ce qui est essentiel à leur plein succès.</w:t>
      </w:r>
      <w:r w:rsidRPr="00BC1B1E">
        <w:rPr>
          <w:rFonts w:ascii="Calibri" w:eastAsia="DengXian" w:hAnsi="Calibri"/>
          <w:snapToGrid/>
          <w:color w:val="333333"/>
          <w:kern w:val="2"/>
          <w:sz w:val="26"/>
          <w:szCs w:val="26"/>
          <w:shd w:val="clear" w:color="auto" w:fill="FFFFFF"/>
          <w14:ligatures w14:val="standardContextual"/>
        </w:rPr>
        <w:t xml:space="preserve"> </w:t>
      </w:r>
      <w:r w:rsidRPr="00BC1B1E">
        <w:rPr>
          <w:snapToGrid/>
        </w:rPr>
        <w:t>En outre, la collaboration avec les différents canaux de communication contribuera à sensibiliser le public, à promouvoir sa participation et à lui faire comprendre l</w:t>
      </w:r>
      <w:r>
        <w:rPr>
          <w:snapToGrid/>
        </w:rPr>
        <w:t>’</w:t>
      </w:r>
      <w:r w:rsidRPr="00BC1B1E">
        <w:rPr>
          <w:snapToGrid/>
        </w:rPr>
        <w:t>importance de la planification et de la gestion durables de l</w:t>
      </w:r>
      <w:r>
        <w:rPr>
          <w:snapToGrid/>
        </w:rPr>
        <w:t>’</w:t>
      </w:r>
      <w:r w:rsidRPr="00BC1B1E">
        <w:rPr>
          <w:snapToGrid/>
        </w:rPr>
        <w:t>océan.</w:t>
      </w:r>
      <w:r w:rsidRPr="00BC1B1E">
        <w:rPr>
          <w:rFonts w:ascii="Calibri" w:eastAsia="DengXian" w:hAnsi="Calibri"/>
          <w:snapToGrid/>
          <w:color w:val="333333"/>
          <w:kern w:val="2"/>
          <w:sz w:val="26"/>
          <w:szCs w:val="26"/>
          <w:shd w:val="clear" w:color="auto" w:fill="FFFFFF"/>
          <w14:ligatures w14:val="standardContextual"/>
        </w:rPr>
        <w:t xml:space="preserve"> </w:t>
      </w:r>
      <w:r w:rsidRPr="00BC1B1E">
        <w:rPr>
          <w:snapToGrid/>
        </w:rPr>
        <w:t>Ces partenariats catalyseront la recherche, l</w:t>
      </w:r>
      <w:r>
        <w:rPr>
          <w:snapToGrid/>
        </w:rPr>
        <w:t>’</w:t>
      </w:r>
      <w:r w:rsidRPr="00BC1B1E">
        <w:rPr>
          <w:snapToGrid/>
        </w:rPr>
        <w:t>innovation et l</w:t>
      </w:r>
      <w:r>
        <w:rPr>
          <w:snapToGrid/>
        </w:rPr>
        <w:t>’</w:t>
      </w:r>
      <w:r w:rsidRPr="00BC1B1E">
        <w:rPr>
          <w:snapToGrid/>
        </w:rPr>
        <w:t>échange de connaissances, ce qui permettra de mettre au point des outils et des méthodes de pointe pour une mise en œuvre efficace de la planification de l</w:t>
      </w:r>
      <w:r>
        <w:rPr>
          <w:snapToGrid/>
        </w:rPr>
        <w:t>’</w:t>
      </w:r>
      <w:r w:rsidRPr="00BC1B1E">
        <w:rPr>
          <w:snapToGrid/>
        </w:rPr>
        <w:t>océan.</w:t>
      </w:r>
    </w:p>
    <w:p w14:paraId="078AFD8A" w14:textId="74B1D9F6" w:rsidR="00BC1B1E" w:rsidRPr="00C14377" w:rsidRDefault="00BC1B1E" w:rsidP="00950C5F">
      <w:pPr>
        <w:pStyle w:val="b"/>
        <w:spacing w:after="220"/>
        <w:rPr>
          <w:snapToGrid/>
          <w:spacing w:val="-3"/>
        </w:rPr>
      </w:pPr>
      <w:r>
        <w:rPr>
          <w:bCs/>
          <w:snapToGrid/>
        </w:rPr>
        <w:t>(v)</w:t>
      </w:r>
      <w:r>
        <w:rPr>
          <w:bCs/>
          <w:snapToGrid/>
        </w:rPr>
        <w:tab/>
      </w:r>
      <w:r w:rsidRPr="00511548">
        <w:rPr>
          <w:b/>
          <w:snapToGrid/>
          <w:spacing w:val="-3"/>
        </w:rPr>
        <w:t>Décennie de l’Océan</w:t>
      </w:r>
      <w:r w:rsidRPr="00511548">
        <w:rPr>
          <w:snapToGrid/>
          <w:spacing w:val="-3"/>
        </w:rPr>
        <w:t>.</w:t>
      </w:r>
      <w:r w:rsidRPr="00511548">
        <w:rPr>
          <w:rFonts w:ascii="Times New Roman" w:hAnsi="Times New Roman"/>
          <w:snapToGrid/>
          <w:spacing w:val="-3"/>
          <w:sz w:val="24"/>
        </w:rPr>
        <w:t xml:space="preserve"> </w:t>
      </w:r>
      <w:r w:rsidRPr="00511548">
        <w:rPr>
          <w:snapToGrid/>
          <w:spacing w:val="-3"/>
        </w:rPr>
        <w:t>Une tâche importante de la COI consiste à appuyer et à faciliter la mise en œuvre de la Décennie des Nations Unies pour les sciences océaniques au service du développement durable (Décennie de l’Océan). Le nouveau programme de la Décennie sur la planification durable de l’océan, lancé lors de la Conférence 2024 de la Décennie de l’Océan à Barcelone, com</w:t>
      </w:r>
      <w:r w:rsidRPr="00C14377">
        <w:rPr>
          <w:snapToGrid/>
          <w:spacing w:val="-3"/>
        </w:rPr>
        <w:t>plète la stratégie à l’échelle de la COI sur la planification et la gestion durables de l’océan (2024-2030) en fournissant un outil permettant de soutenir la mise en œuvre des stratégies nationales en matière de planification et de gestion durables de l’océan.</w:t>
      </w:r>
      <w:r w:rsidRPr="00C14377">
        <w:rPr>
          <w:rFonts w:ascii="Calibri" w:eastAsia="DengXian" w:hAnsi="Calibri"/>
          <w:snapToGrid/>
          <w:color w:val="333333"/>
          <w:spacing w:val="-3"/>
          <w:kern w:val="2"/>
          <w:sz w:val="26"/>
          <w:szCs w:val="26"/>
          <w:shd w:val="clear" w:color="auto" w:fill="FFFFFF"/>
          <w14:ligatures w14:val="standardContextual"/>
        </w:rPr>
        <w:t xml:space="preserve"> </w:t>
      </w:r>
      <w:r w:rsidRPr="00C14377">
        <w:rPr>
          <w:snapToGrid/>
          <w:spacing w:val="-3"/>
        </w:rPr>
        <w:t>Les activités du programme, conçues et mises en œuvre conjointement, garantiront que les projets comblent les lacunes critiques des États membres en matière de recherche, de connaissances et de développement des capacités.</w:t>
      </w:r>
      <w:r w:rsidRPr="00C14377">
        <w:rPr>
          <w:rFonts w:ascii="Calibri" w:eastAsia="DengXian" w:hAnsi="Calibri"/>
          <w:snapToGrid/>
          <w:color w:val="333333"/>
          <w:spacing w:val="-3"/>
          <w:kern w:val="2"/>
          <w:sz w:val="26"/>
          <w:szCs w:val="26"/>
          <w:shd w:val="clear" w:color="auto" w:fill="FFFFFF"/>
          <w14:ligatures w14:val="standardContextual"/>
        </w:rPr>
        <w:t xml:space="preserve"> </w:t>
      </w:r>
      <w:r w:rsidRPr="00C14377">
        <w:rPr>
          <w:snapToGrid/>
          <w:spacing w:val="-3"/>
        </w:rPr>
        <w:t>En outre, l’approche itérative du programme permet d’adapter et d’affiner les priorités pour répondre aux nouveaux défis. Ces synergies sont essentielles pour atteindre les objectifs de la stratégie à l’échelle de la COI, en favorisant des pratiques de gestion intégrée, adaptative et résiliente de l’océan qui renforcent la coopération mondiale et régionale et contribuent à la durabilité et à l’équité à long terme des économies océaniques.</w:t>
      </w:r>
    </w:p>
    <w:p w14:paraId="7A2D3F71" w14:textId="4FF003E3" w:rsidR="00BC1B1E" w:rsidRPr="00C14377" w:rsidRDefault="00BC1B1E" w:rsidP="00950C5F">
      <w:pPr>
        <w:keepNext/>
        <w:keepLines/>
        <w:tabs>
          <w:tab w:val="clear" w:pos="567"/>
        </w:tabs>
        <w:snapToGrid/>
        <w:spacing w:before="240" w:after="220"/>
        <w:outlineLvl w:val="1"/>
        <w:rPr>
          <w:rFonts w:eastAsia="DengXian Light"/>
          <w:snapToGrid/>
          <w:color w:val="000000"/>
          <w:szCs w:val="22"/>
          <w:u w:val="single"/>
          <w:lang w:eastAsia="en-GB"/>
        </w:rPr>
      </w:pPr>
      <w:bookmarkStart w:id="13" w:name="_Toc170139296"/>
      <w:r w:rsidRPr="00C14377">
        <w:rPr>
          <w:rFonts w:eastAsia="DengXian Light"/>
          <w:snapToGrid/>
          <w:color w:val="000000"/>
          <w:szCs w:val="22"/>
          <w:u w:val="single"/>
          <w:lang w:eastAsia="en-GB"/>
        </w:rPr>
        <w:t>Mécanisme d’orientation</w:t>
      </w:r>
      <w:bookmarkEnd w:id="13"/>
    </w:p>
    <w:p w14:paraId="34E7C79D" w14:textId="34DDDA6C" w:rsidR="00BC1B1E" w:rsidRPr="00BC1B1E" w:rsidRDefault="00BC1B1E" w:rsidP="00950C5F">
      <w:pPr>
        <w:pStyle w:val="Marge"/>
        <w:spacing w:after="220"/>
        <w:rPr>
          <w:snapToGrid/>
          <w:highlight w:val="white"/>
        </w:rPr>
      </w:pPr>
      <w:r w:rsidRPr="00C14377">
        <w:rPr>
          <w:snapToGrid/>
        </w:rPr>
        <w:t>25.</w:t>
      </w:r>
      <w:r w:rsidRPr="00C14377">
        <w:rPr>
          <w:snapToGrid/>
        </w:rPr>
        <w:tab/>
        <w:t xml:space="preserve">Un </w:t>
      </w:r>
      <w:r w:rsidRPr="00C14377">
        <w:rPr>
          <w:snapToGrid/>
          <w:u w:val="single"/>
        </w:rPr>
        <w:t>groupe de travail de la COI sur la planification et la gestion durables de l’océan</w:t>
      </w:r>
      <w:r w:rsidRPr="00C14377">
        <w:rPr>
          <w:snapToGrid/>
        </w:rPr>
        <w:t xml:space="preserve"> sera créé pour guider la mise en œuvre efficace de cette stratég</w:t>
      </w:r>
      <w:r w:rsidRPr="00BC1B1E">
        <w:rPr>
          <w:snapToGrid/>
          <w:highlight w:val="white"/>
        </w:rPr>
        <w:t>ie. Ce groupe sera chargé de suivre et d</w:t>
      </w:r>
      <w:r>
        <w:rPr>
          <w:snapToGrid/>
          <w:highlight w:val="white"/>
        </w:rPr>
        <w:t>’</w:t>
      </w:r>
      <w:r w:rsidRPr="00BC1B1E">
        <w:rPr>
          <w:snapToGrid/>
          <w:highlight w:val="white"/>
        </w:rPr>
        <w:t>orienter les activités liées à la planification et à la gestion de l</w:t>
      </w:r>
      <w:r>
        <w:rPr>
          <w:snapToGrid/>
          <w:highlight w:val="white"/>
        </w:rPr>
        <w:t>’</w:t>
      </w:r>
      <w:r w:rsidRPr="00BC1B1E">
        <w:rPr>
          <w:snapToGrid/>
          <w:highlight w:val="white"/>
        </w:rPr>
        <w:t>océan dans le cadre de tous les programmes de la COI, tout en entreprenant de nouvelles activités à la demande des organes directeurs de la COI. Il jouera également un rôle essentiel dans l</w:t>
      </w:r>
      <w:r>
        <w:rPr>
          <w:snapToGrid/>
          <w:highlight w:val="white"/>
        </w:rPr>
        <w:t>’</w:t>
      </w:r>
      <w:r w:rsidRPr="00BC1B1E">
        <w:rPr>
          <w:snapToGrid/>
          <w:highlight w:val="white"/>
        </w:rPr>
        <w:t>élaboration et l</w:t>
      </w:r>
      <w:r>
        <w:rPr>
          <w:snapToGrid/>
          <w:highlight w:val="white"/>
        </w:rPr>
        <w:t>’</w:t>
      </w:r>
      <w:r w:rsidRPr="00BC1B1E">
        <w:rPr>
          <w:snapToGrid/>
          <w:highlight w:val="white"/>
        </w:rPr>
        <w:t>exécution de la stratégie.</w:t>
      </w:r>
      <w:r w:rsidRPr="00BC1B1E">
        <w:rPr>
          <w:rFonts w:ascii="Calibri" w:eastAsia="DengXian" w:hAnsi="Calibri"/>
          <w:snapToGrid/>
          <w:color w:val="333333"/>
          <w:kern w:val="2"/>
          <w:sz w:val="26"/>
          <w:szCs w:val="26"/>
          <w:shd w:val="clear" w:color="auto" w:fill="FFFFFF"/>
          <w14:ligatures w14:val="standardContextual"/>
        </w:rPr>
        <w:t xml:space="preserve"> </w:t>
      </w:r>
      <w:r w:rsidRPr="00BC1B1E">
        <w:rPr>
          <w:snapToGrid/>
          <w:highlight w:val="white"/>
        </w:rPr>
        <w:t>Un plan de mise en œuvre sera élaboré et régulièrement mis à jour pour s</w:t>
      </w:r>
      <w:r>
        <w:rPr>
          <w:snapToGrid/>
          <w:highlight w:val="white"/>
        </w:rPr>
        <w:t>’</w:t>
      </w:r>
      <w:r w:rsidRPr="00BC1B1E">
        <w:rPr>
          <w:snapToGrid/>
          <w:highlight w:val="white"/>
        </w:rPr>
        <w:t>aligner sur l</w:t>
      </w:r>
      <w:r>
        <w:rPr>
          <w:snapToGrid/>
          <w:highlight w:val="white"/>
        </w:rPr>
        <w:t>’</w:t>
      </w:r>
      <w:r w:rsidRPr="00BC1B1E">
        <w:rPr>
          <w:snapToGrid/>
          <w:highlight w:val="white"/>
        </w:rPr>
        <w:t>évolution des outils et des cadres scientifiques internationaux.</w:t>
      </w:r>
    </w:p>
    <w:p w14:paraId="3AE1ABBA" w14:textId="2ED7D3A7" w:rsidR="00BC1B1E" w:rsidRPr="00950C5F" w:rsidRDefault="00BC1B1E" w:rsidP="00950C5F">
      <w:pPr>
        <w:pStyle w:val="Marge"/>
        <w:spacing w:after="220"/>
        <w:rPr>
          <w:snapToGrid/>
          <w:highlight w:val="white"/>
        </w:rPr>
      </w:pPr>
      <w:r w:rsidRPr="00BC1B1E">
        <w:rPr>
          <w:snapToGrid/>
          <w:highlight w:val="white"/>
        </w:rPr>
        <w:lastRenderedPageBreak/>
        <w:t>26.</w:t>
      </w:r>
      <w:r w:rsidRPr="00BC1B1E">
        <w:rPr>
          <w:snapToGrid/>
          <w:highlight w:val="white"/>
        </w:rPr>
        <w:tab/>
      </w:r>
      <w:r w:rsidRPr="00950C5F">
        <w:rPr>
          <w:snapToGrid/>
          <w:highlight w:val="white"/>
        </w:rPr>
        <w:t>Dans un souci d’efficacité, le groupe de travail sera composé d’une équipe représentative qui pourra s’adjoindre des compétences supplémentaires lorsque cela sera nécessaire et utile. Parmi les membres figureront des représentants des organes subsidiaires régionaux de la COI, ainsi que des représentants désignés par les organes directeurs de chaque programme de la COI (le cas échéant), ainsi que des experts nommés par les États membres de la COI en réponse à un appel par lettre circulaire.</w:t>
      </w:r>
      <w:r w:rsidRPr="00950C5F">
        <w:rPr>
          <w:rFonts w:ascii="Calibri" w:eastAsia="DengXian" w:hAnsi="Calibri"/>
          <w:snapToGrid/>
          <w:color w:val="333333"/>
          <w:kern w:val="2"/>
          <w:sz w:val="26"/>
          <w:szCs w:val="26"/>
          <w:shd w:val="clear" w:color="auto" w:fill="FFFFFF"/>
          <w14:ligatures w14:val="standardContextual"/>
        </w:rPr>
        <w:t xml:space="preserve"> </w:t>
      </w:r>
      <w:r w:rsidRPr="00950C5F">
        <w:rPr>
          <w:snapToGrid/>
          <w:highlight w:val="white"/>
        </w:rPr>
        <w:t>Sous réserve de discussions ultérieures, des co</w:t>
      </w:r>
      <w:r w:rsidR="00950C5F" w:rsidRPr="00950C5F">
        <w:rPr>
          <w:snapToGrid/>
          <w:highlight w:val="white"/>
        </w:rPr>
        <w:noBreakHyphen/>
        <w:t>p</w:t>
      </w:r>
      <w:r w:rsidRPr="00950C5F">
        <w:rPr>
          <w:snapToGrid/>
          <w:highlight w:val="white"/>
        </w:rPr>
        <w:t>résidents désignés seront élus à tour de rôle.</w:t>
      </w:r>
    </w:p>
    <w:p w14:paraId="7E85C24D" w14:textId="6BF7ED1C" w:rsidR="00BC1B1E" w:rsidRPr="00BC1B1E" w:rsidRDefault="00BC1B1E" w:rsidP="00950C5F">
      <w:pPr>
        <w:pStyle w:val="Marge"/>
        <w:spacing w:after="220"/>
        <w:rPr>
          <w:snapToGrid/>
          <w:highlight w:val="white"/>
        </w:rPr>
      </w:pPr>
      <w:r w:rsidRPr="00BC1B1E">
        <w:rPr>
          <w:snapToGrid/>
          <w:highlight w:val="white"/>
        </w:rPr>
        <w:t>27.</w:t>
      </w:r>
      <w:r w:rsidRPr="00BC1B1E">
        <w:rPr>
          <w:snapToGrid/>
          <w:highlight w:val="white"/>
        </w:rPr>
        <w:tab/>
        <w:t>Le groupe de travail se réunira deux fois par an tout d</w:t>
      </w:r>
      <w:r>
        <w:rPr>
          <w:snapToGrid/>
          <w:highlight w:val="white"/>
        </w:rPr>
        <w:t>’</w:t>
      </w:r>
      <w:r w:rsidRPr="00BC1B1E">
        <w:rPr>
          <w:snapToGrid/>
          <w:highlight w:val="white"/>
        </w:rPr>
        <w:t>abord pour guider l</w:t>
      </w:r>
      <w:r>
        <w:rPr>
          <w:snapToGrid/>
          <w:highlight w:val="white"/>
        </w:rPr>
        <w:t>’</w:t>
      </w:r>
      <w:r w:rsidRPr="00BC1B1E">
        <w:rPr>
          <w:snapToGrid/>
          <w:highlight w:val="white"/>
        </w:rPr>
        <w:t>élaboration d</w:t>
      </w:r>
      <w:r>
        <w:rPr>
          <w:snapToGrid/>
          <w:highlight w:val="white"/>
        </w:rPr>
        <w:t>’</w:t>
      </w:r>
      <w:r w:rsidRPr="00BC1B1E">
        <w:rPr>
          <w:snapToGrid/>
          <w:highlight w:val="white"/>
        </w:rPr>
        <w:t xml:space="preserve">une </w:t>
      </w:r>
      <w:r w:rsidRPr="00BC1B1E">
        <w:rPr>
          <w:snapToGrid/>
          <w:highlight w:val="white"/>
          <w:u w:val="single"/>
        </w:rPr>
        <w:t>stratégie de mise en œuvre</w:t>
      </w:r>
      <w:r w:rsidRPr="00BC1B1E">
        <w:rPr>
          <w:snapToGrid/>
          <w:highlight w:val="white"/>
        </w:rPr>
        <w:t xml:space="preserve"> et pour suivre et actualiser la mise en œuvre de la stratégie, en abordant des questions spécifiques liées au programme concernant la planification et la gestion durables de l</w:t>
      </w:r>
      <w:r>
        <w:rPr>
          <w:snapToGrid/>
          <w:highlight w:val="white"/>
        </w:rPr>
        <w:t>’</w:t>
      </w:r>
      <w:r w:rsidRPr="00BC1B1E">
        <w:rPr>
          <w:snapToGrid/>
          <w:highlight w:val="white"/>
        </w:rPr>
        <w:t>océan, ainsi que des questions émergentes.</w:t>
      </w:r>
      <w:r w:rsidRPr="00BC1B1E">
        <w:rPr>
          <w:rFonts w:ascii="Calibri" w:eastAsia="DengXian" w:hAnsi="Calibri"/>
          <w:snapToGrid/>
          <w:color w:val="333333"/>
          <w:kern w:val="2"/>
          <w:sz w:val="26"/>
          <w:szCs w:val="26"/>
          <w:shd w:val="clear" w:color="auto" w:fill="FFFFFF"/>
          <w14:ligatures w14:val="standardContextual"/>
        </w:rPr>
        <w:t xml:space="preserve"> </w:t>
      </w:r>
      <w:r w:rsidRPr="00BC1B1E">
        <w:rPr>
          <w:snapToGrid/>
          <w:highlight w:val="white"/>
        </w:rPr>
        <w:t>Les États membres recevront des mises à jour pour commentaires une fois par exercice biennal pendant toute la durée de la stratégie, en fonction du calendrier des sessions de l</w:t>
      </w:r>
      <w:r>
        <w:rPr>
          <w:snapToGrid/>
          <w:highlight w:val="white"/>
        </w:rPr>
        <w:t>’</w:t>
      </w:r>
      <w:r w:rsidRPr="00BC1B1E">
        <w:rPr>
          <w:snapToGrid/>
          <w:highlight w:val="white"/>
        </w:rPr>
        <w:t>Assemblée, dans le cadre d</w:t>
      </w:r>
      <w:r>
        <w:rPr>
          <w:snapToGrid/>
          <w:highlight w:val="white"/>
        </w:rPr>
        <w:t>’</w:t>
      </w:r>
      <w:r w:rsidRPr="00BC1B1E">
        <w:rPr>
          <w:snapToGrid/>
          <w:highlight w:val="white"/>
        </w:rPr>
        <w:t>un point permanent de l</w:t>
      </w:r>
      <w:r>
        <w:rPr>
          <w:snapToGrid/>
          <w:highlight w:val="white"/>
        </w:rPr>
        <w:t>’</w:t>
      </w:r>
      <w:r w:rsidRPr="00BC1B1E">
        <w:rPr>
          <w:snapToGrid/>
          <w:highlight w:val="white"/>
        </w:rPr>
        <w:t>ordre du jour.</w:t>
      </w:r>
      <w:r w:rsidRPr="00BC1B1E">
        <w:rPr>
          <w:rFonts w:ascii="Calibri" w:eastAsia="DengXian" w:hAnsi="Calibri"/>
          <w:snapToGrid/>
          <w:color w:val="333333"/>
          <w:kern w:val="2"/>
          <w:sz w:val="26"/>
          <w:szCs w:val="26"/>
          <w:shd w:val="clear" w:color="auto" w:fill="FFFFFF"/>
          <w14:ligatures w14:val="standardContextual"/>
        </w:rPr>
        <w:t xml:space="preserve"> </w:t>
      </w:r>
      <w:r w:rsidRPr="00BC1B1E">
        <w:rPr>
          <w:snapToGrid/>
          <w:highlight w:val="white"/>
        </w:rPr>
        <w:t>En outre, le groupe de travail fournira des orientations à intégrer dans les processus d</w:t>
      </w:r>
      <w:r>
        <w:rPr>
          <w:snapToGrid/>
          <w:highlight w:val="white"/>
        </w:rPr>
        <w:t>’</w:t>
      </w:r>
      <w:r w:rsidRPr="00BC1B1E">
        <w:rPr>
          <w:snapToGrid/>
          <w:highlight w:val="white"/>
        </w:rPr>
        <w:t>élaboration des stratégies à moyen terme de l</w:t>
      </w:r>
      <w:r>
        <w:rPr>
          <w:snapToGrid/>
          <w:highlight w:val="white"/>
        </w:rPr>
        <w:t>’</w:t>
      </w:r>
      <w:r w:rsidRPr="00BC1B1E">
        <w:rPr>
          <w:snapToGrid/>
          <w:highlight w:val="white"/>
        </w:rPr>
        <w:t>UNESCO et de la COI qui seront lancés en 2027. Ces réunions permettront de superviser et d</w:t>
      </w:r>
      <w:r>
        <w:rPr>
          <w:snapToGrid/>
          <w:highlight w:val="white"/>
        </w:rPr>
        <w:t>’</w:t>
      </w:r>
      <w:r w:rsidRPr="00BC1B1E">
        <w:rPr>
          <w:snapToGrid/>
          <w:highlight w:val="white"/>
        </w:rPr>
        <w:t>affiner en permanence la stratégie, ce qui favorisera son efficacité et son adaptabilité à l</w:t>
      </w:r>
      <w:r>
        <w:rPr>
          <w:snapToGrid/>
          <w:highlight w:val="white"/>
        </w:rPr>
        <w:t>’</w:t>
      </w:r>
      <w:r w:rsidRPr="00BC1B1E">
        <w:rPr>
          <w:snapToGrid/>
          <w:highlight w:val="white"/>
        </w:rPr>
        <w:t>évolution des défis et des opportunités.</w:t>
      </w:r>
    </w:p>
    <w:p w14:paraId="6C7C0BF7" w14:textId="236BA518" w:rsidR="00BC1B1E" w:rsidRPr="00511548" w:rsidRDefault="00BC1B1E" w:rsidP="00BC1B1E">
      <w:pPr>
        <w:pStyle w:val="Marge"/>
        <w:rPr>
          <w:rFonts w:eastAsia="Arial"/>
          <w:b/>
          <w:i/>
          <w:iCs/>
          <w:snapToGrid/>
        </w:rPr>
      </w:pPr>
      <w:r w:rsidRPr="00BC1B1E">
        <w:rPr>
          <w:rFonts w:eastAsia="Arial"/>
          <w:b/>
          <w:snapToGrid/>
        </w:rPr>
        <w:t xml:space="preserve">Tableau 1. </w:t>
      </w:r>
      <w:r w:rsidRPr="00511548">
        <w:rPr>
          <w:i/>
          <w:iCs/>
          <w:snapToGrid/>
        </w:rPr>
        <w:t>Activités alignées sur la progression des objectifs stratégiques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96"/>
        <w:gridCol w:w="2268"/>
        <w:gridCol w:w="5670"/>
      </w:tblGrid>
      <w:tr w:rsidR="00BC1B1E" w:rsidRPr="00BC1B1E" w14:paraId="04919E67" w14:textId="77777777" w:rsidTr="00B06592">
        <w:trPr>
          <w:trHeight w:val="285"/>
          <w:tblHeader/>
        </w:trPr>
        <w:tc>
          <w:tcPr>
            <w:tcW w:w="1696" w:type="dxa"/>
            <w:shd w:val="clear" w:color="auto" w:fill="666666"/>
            <w:tcMar>
              <w:top w:w="100" w:type="dxa"/>
              <w:left w:w="28" w:type="dxa"/>
              <w:bottom w:w="100" w:type="dxa"/>
              <w:right w:w="57" w:type="dxa"/>
            </w:tcMar>
          </w:tcPr>
          <w:p w14:paraId="5D79F1C7" w14:textId="77777777" w:rsidR="00BC1B1E" w:rsidRPr="00BC1B1E" w:rsidRDefault="00BC1B1E" w:rsidP="00B06592">
            <w:pPr>
              <w:widowControl w:val="0"/>
              <w:pBdr>
                <w:top w:val="nil"/>
                <w:left w:val="nil"/>
                <w:bottom w:val="nil"/>
                <w:right w:val="nil"/>
                <w:between w:val="nil"/>
              </w:pBdr>
              <w:tabs>
                <w:tab w:val="clear" w:pos="567"/>
              </w:tabs>
              <w:snapToGrid/>
              <w:rPr>
                <w:rFonts w:eastAsia="Times New Roman" w:cs="Arial"/>
                <w:b/>
                <w:snapToGrid/>
                <w:color w:val="FFFFFF"/>
                <w:sz w:val="19"/>
                <w:szCs w:val="19"/>
                <w:lang w:val="en-GB" w:eastAsia="en-GB"/>
              </w:rPr>
            </w:pPr>
            <w:r w:rsidRPr="00BC1B1E">
              <w:rPr>
                <w:rFonts w:eastAsia="Times New Roman" w:cs="Arial"/>
                <w:b/>
                <w:snapToGrid/>
                <w:color w:val="FFFFFF"/>
                <w:sz w:val="19"/>
                <w:szCs w:val="19"/>
                <w:lang w:val="en-GB" w:eastAsia="en-GB"/>
              </w:rPr>
              <w:t>Activités</w:t>
            </w:r>
          </w:p>
        </w:tc>
        <w:tc>
          <w:tcPr>
            <w:tcW w:w="2268" w:type="dxa"/>
            <w:shd w:val="clear" w:color="auto" w:fill="666666"/>
            <w:tcMar>
              <w:top w:w="100" w:type="dxa"/>
              <w:left w:w="28" w:type="dxa"/>
              <w:bottom w:w="100" w:type="dxa"/>
              <w:right w:w="57" w:type="dxa"/>
            </w:tcMar>
          </w:tcPr>
          <w:p w14:paraId="2A3D5768" w14:textId="77777777" w:rsidR="00BC1B1E" w:rsidRPr="00BC1B1E" w:rsidRDefault="00BC1B1E" w:rsidP="00B06592">
            <w:pPr>
              <w:widowControl w:val="0"/>
              <w:pBdr>
                <w:top w:val="nil"/>
                <w:left w:val="nil"/>
                <w:bottom w:val="nil"/>
                <w:right w:val="nil"/>
                <w:between w:val="nil"/>
              </w:pBdr>
              <w:tabs>
                <w:tab w:val="clear" w:pos="567"/>
              </w:tabs>
              <w:snapToGrid/>
              <w:rPr>
                <w:rFonts w:eastAsia="Times New Roman" w:cs="Arial"/>
                <w:b/>
                <w:snapToGrid/>
                <w:color w:val="FFFFFF"/>
                <w:sz w:val="19"/>
                <w:szCs w:val="19"/>
                <w:lang w:val="en-GB" w:eastAsia="en-GB"/>
              </w:rPr>
            </w:pPr>
            <w:r w:rsidRPr="00BC1B1E">
              <w:rPr>
                <w:rFonts w:eastAsia="Times New Roman" w:cs="Arial"/>
                <w:b/>
                <w:snapToGrid/>
                <w:color w:val="FFFFFF"/>
                <w:sz w:val="19"/>
                <w:szCs w:val="19"/>
                <w:lang w:val="en-GB" w:eastAsia="en-GB"/>
              </w:rPr>
              <w:t>Initiatives de la COI</w:t>
            </w:r>
          </w:p>
        </w:tc>
        <w:tc>
          <w:tcPr>
            <w:tcW w:w="5670" w:type="dxa"/>
            <w:tcBorders>
              <w:top w:val="single" w:sz="4" w:space="0" w:color="000000"/>
              <w:left w:val="single" w:sz="4" w:space="0" w:color="000000"/>
              <w:bottom w:val="single" w:sz="4" w:space="0" w:color="000000"/>
              <w:right w:val="single" w:sz="4" w:space="0" w:color="000000"/>
            </w:tcBorders>
            <w:shd w:val="clear" w:color="auto" w:fill="666666"/>
            <w:tcMar>
              <w:top w:w="99" w:type="dxa"/>
              <w:left w:w="28" w:type="dxa"/>
              <w:bottom w:w="99" w:type="dxa"/>
              <w:right w:w="57" w:type="dxa"/>
            </w:tcMar>
          </w:tcPr>
          <w:p w14:paraId="0E4EEAC7" w14:textId="77777777" w:rsidR="00BC1B1E" w:rsidRPr="00BC1B1E" w:rsidRDefault="00BC1B1E" w:rsidP="00B06592">
            <w:pPr>
              <w:widowControl w:val="0"/>
              <w:tabs>
                <w:tab w:val="clear" w:pos="567"/>
              </w:tabs>
              <w:snapToGrid/>
              <w:rPr>
                <w:rFonts w:eastAsia="Times New Roman" w:cs="Arial"/>
                <w:snapToGrid/>
                <w:color w:val="FFFFFF"/>
                <w:sz w:val="19"/>
                <w:szCs w:val="19"/>
                <w:lang w:val="en-GB" w:eastAsia="en-GB"/>
              </w:rPr>
            </w:pPr>
            <w:r w:rsidRPr="00BC1B1E">
              <w:rPr>
                <w:rFonts w:eastAsia="Times New Roman" w:cs="Arial"/>
                <w:b/>
                <w:snapToGrid/>
                <w:color w:val="FFFFFF"/>
                <w:sz w:val="19"/>
                <w:szCs w:val="19"/>
                <w:lang w:val="en-GB" w:eastAsia="en-GB"/>
              </w:rPr>
              <w:t>Exemples</w:t>
            </w:r>
          </w:p>
        </w:tc>
      </w:tr>
      <w:tr w:rsidR="00BC1B1E" w:rsidRPr="00BC1B1E" w14:paraId="1EC41A58" w14:textId="77777777" w:rsidTr="00B06592">
        <w:trPr>
          <w:trHeight w:val="295"/>
        </w:trPr>
        <w:tc>
          <w:tcPr>
            <w:tcW w:w="1696" w:type="dxa"/>
            <w:vMerge w:val="restart"/>
            <w:shd w:val="clear" w:color="auto" w:fill="auto"/>
            <w:tcMar>
              <w:top w:w="100" w:type="dxa"/>
              <w:left w:w="28" w:type="dxa"/>
              <w:bottom w:w="100" w:type="dxa"/>
              <w:right w:w="57" w:type="dxa"/>
            </w:tcMar>
          </w:tcPr>
          <w:p w14:paraId="61767B2E" w14:textId="77777777" w:rsidR="00BC1B1E" w:rsidRPr="00BC1B1E" w:rsidRDefault="00BC1B1E" w:rsidP="00BC1B1E">
            <w:pPr>
              <w:widowControl w:val="0"/>
              <w:tabs>
                <w:tab w:val="clear" w:pos="567"/>
              </w:tabs>
              <w:snapToGrid/>
              <w:rPr>
                <w:rFonts w:eastAsia="Times New Roman" w:cs="Arial"/>
                <w:b/>
                <w:snapToGrid/>
                <w:color w:val="4E5763"/>
                <w:sz w:val="19"/>
                <w:szCs w:val="19"/>
                <w:lang w:val="en-GB" w:eastAsia="en-GB"/>
              </w:rPr>
            </w:pPr>
            <w:r w:rsidRPr="00BC1B1E">
              <w:rPr>
                <w:rFonts w:eastAsia="Times New Roman" w:cs="Arial"/>
                <w:b/>
                <w:snapToGrid/>
                <w:color w:val="4E5763"/>
                <w:sz w:val="19"/>
                <w:szCs w:val="19"/>
                <w:lang w:val="en-GB" w:eastAsia="en-GB"/>
              </w:rPr>
              <w:t>Développement des capacités</w:t>
            </w:r>
          </w:p>
        </w:tc>
        <w:tc>
          <w:tcPr>
            <w:tcW w:w="2268" w:type="dxa"/>
            <w:vMerge w:val="restart"/>
            <w:shd w:val="clear" w:color="auto" w:fill="auto"/>
            <w:tcMar>
              <w:top w:w="100" w:type="dxa"/>
              <w:left w:w="28" w:type="dxa"/>
              <w:bottom w:w="100" w:type="dxa"/>
              <w:right w:w="57" w:type="dxa"/>
            </w:tcMar>
          </w:tcPr>
          <w:p w14:paraId="2D544021" w14:textId="789D5CA3" w:rsidR="00BC1B1E" w:rsidRPr="00BC1B1E" w:rsidRDefault="00BC1B1E" w:rsidP="00B06592">
            <w:pPr>
              <w:widowControl w:val="0"/>
              <w:tabs>
                <w:tab w:val="clear" w:pos="567"/>
              </w:tabs>
              <w:snapToGrid/>
              <w:rPr>
                <w:rFonts w:eastAsia="Times New Roman" w:cs="Arial"/>
                <w:snapToGrid/>
                <w:sz w:val="19"/>
                <w:szCs w:val="19"/>
                <w:lang w:eastAsia="en-GB"/>
              </w:rPr>
            </w:pPr>
            <w:r w:rsidRPr="00BC1B1E">
              <w:rPr>
                <w:rFonts w:eastAsia="Times New Roman" w:cs="Arial"/>
                <w:snapToGrid/>
                <w:sz w:val="19"/>
                <w:szCs w:val="19"/>
                <w:lang w:eastAsia="en-GB"/>
              </w:rPr>
              <w:t xml:space="preserve">Académie </w:t>
            </w:r>
            <w:r w:rsidR="00E110F7">
              <w:rPr>
                <w:rFonts w:eastAsia="Times New Roman" w:cs="Arial"/>
                <w:snapToGrid/>
                <w:sz w:val="19"/>
                <w:szCs w:val="19"/>
                <w:lang w:eastAsia="en-GB"/>
              </w:rPr>
              <w:t>m</w:t>
            </w:r>
            <w:r w:rsidRPr="00BC1B1E">
              <w:rPr>
                <w:rFonts w:eastAsia="Times New Roman" w:cs="Arial"/>
                <w:snapToGrid/>
                <w:sz w:val="19"/>
                <w:szCs w:val="19"/>
                <w:lang w:eastAsia="en-GB"/>
              </w:rPr>
              <w:t>ondiale OceanTeacher, Ocean CD-Hub,</w:t>
            </w:r>
            <w:r w:rsidR="00B06592" w:rsidRPr="007900EE">
              <w:rPr>
                <w:rFonts w:eastAsia="Times New Roman" w:cs="Arial"/>
                <w:snapToGrid/>
                <w:sz w:val="19"/>
                <w:szCs w:val="19"/>
                <w:lang w:eastAsia="en-GB"/>
              </w:rPr>
              <w:t xml:space="preserve"> </w:t>
            </w:r>
            <w:r w:rsidRPr="00BC1B1E">
              <w:rPr>
                <w:rFonts w:eastAsia="Times New Roman" w:cs="Arial"/>
                <w:snapToGrid/>
                <w:sz w:val="19"/>
                <w:szCs w:val="19"/>
                <w:lang w:eastAsia="en-GB"/>
              </w:rPr>
              <w:t>OceanExpert, Portail d</w:t>
            </w:r>
            <w:r w:rsidRPr="007900EE">
              <w:rPr>
                <w:rFonts w:eastAsia="Times New Roman" w:cs="Arial"/>
                <w:snapToGrid/>
                <w:sz w:val="19"/>
                <w:szCs w:val="19"/>
                <w:lang w:eastAsia="en-GB"/>
              </w:rPr>
              <w:t>’</w:t>
            </w:r>
            <w:r w:rsidRPr="00BC1B1E">
              <w:rPr>
                <w:rFonts w:eastAsia="Times New Roman" w:cs="Arial"/>
                <w:snapToGrid/>
                <w:sz w:val="19"/>
                <w:szCs w:val="19"/>
                <w:lang w:eastAsia="en-GB"/>
              </w:rPr>
              <w:t>initiation à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 réseau des jeunes spécialistes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w:t>
            </w:r>
          </w:p>
        </w:tc>
        <w:tc>
          <w:tcPr>
            <w:tcW w:w="5670" w:type="dxa"/>
            <w:tcBorders>
              <w:top w:val="single" w:sz="5" w:space="0" w:color="000000"/>
              <w:left w:val="single" w:sz="5" w:space="0" w:color="000000"/>
              <w:bottom w:val="single" w:sz="5" w:space="0" w:color="000000"/>
              <w:right w:val="single" w:sz="5" w:space="0" w:color="000000"/>
            </w:tcBorders>
            <w:tcMar>
              <w:top w:w="0" w:type="dxa"/>
              <w:left w:w="28" w:type="dxa"/>
              <w:bottom w:w="0" w:type="dxa"/>
              <w:right w:w="57" w:type="dxa"/>
            </w:tcMar>
          </w:tcPr>
          <w:p w14:paraId="142D0922" w14:textId="24E83D0C"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Organiser des ateliers pour partager l</w:t>
            </w:r>
            <w:r w:rsidRPr="007900EE">
              <w:rPr>
                <w:rFonts w:eastAsia="Times New Roman" w:cs="Arial"/>
                <w:snapToGrid/>
                <w:sz w:val="19"/>
                <w:szCs w:val="19"/>
                <w:lang w:eastAsia="en-GB"/>
              </w:rPr>
              <w:t>’</w:t>
            </w:r>
            <w:r w:rsidRPr="00BC1B1E">
              <w:rPr>
                <w:rFonts w:eastAsia="Times New Roman" w:cs="Arial"/>
                <w:snapToGrid/>
                <w:sz w:val="19"/>
                <w:szCs w:val="19"/>
                <w:lang w:eastAsia="en-GB"/>
              </w:rPr>
              <w:t>expertise entre les États membres et les communautés de pratique.</w:t>
            </w:r>
          </w:p>
        </w:tc>
      </w:tr>
      <w:tr w:rsidR="00BC1B1E" w:rsidRPr="00BC1B1E" w14:paraId="4F762FA3" w14:textId="77777777" w:rsidTr="00B06592">
        <w:trPr>
          <w:trHeight w:val="360"/>
        </w:trPr>
        <w:tc>
          <w:tcPr>
            <w:tcW w:w="1696" w:type="dxa"/>
            <w:vMerge/>
            <w:shd w:val="clear" w:color="auto" w:fill="auto"/>
            <w:tcMar>
              <w:top w:w="100" w:type="dxa"/>
              <w:left w:w="28" w:type="dxa"/>
              <w:bottom w:w="100" w:type="dxa"/>
              <w:right w:w="57" w:type="dxa"/>
            </w:tcMar>
          </w:tcPr>
          <w:p w14:paraId="64337643"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254CCF71"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0EBEF97F" w14:textId="0B666BFE"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Organiser des programmes de développement des capacités, notamment des cours de formation sur la planification et la gestion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w:t>
            </w:r>
          </w:p>
        </w:tc>
      </w:tr>
      <w:tr w:rsidR="00BC1B1E" w:rsidRPr="00BC1B1E" w14:paraId="51563A13" w14:textId="77777777" w:rsidTr="00B06592">
        <w:trPr>
          <w:trHeight w:val="360"/>
        </w:trPr>
        <w:tc>
          <w:tcPr>
            <w:tcW w:w="1696" w:type="dxa"/>
            <w:vMerge/>
            <w:shd w:val="clear" w:color="auto" w:fill="auto"/>
            <w:tcMar>
              <w:top w:w="100" w:type="dxa"/>
              <w:left w:w="28" w:type="dxa"/>
              <w:bottom w:w="100" w:type="dxa"/>
              <w:right w:w="57" w:type="dxa"/>
            </w:tcMar>
          </w:tcPr>
          <w:p w14:paraId="040E6A64"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38144091"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7BFDC407" w14:textId="77777777"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Former les responsables de la collecte des données et les gestionnaires de données à tous les aspects de la collecte et de la gestion des données.</w:t>
            </w:r>
          </w:p>
        </w:tc>
      </w:tr>
      <w:tr w:rsidR="00BC1B1E" w:rsidRPr="00BC1B1E" w14:paraId="53DF83F0" w14:textId="77777777" w:rsidTr="00B06592">
        <w:trPr>
          <w:trHeight w:val="215"/>
        </w:trPr>
        <w:tc>
          <w:tcPr>
            <w:tcW w:w="1696" w:type="dxa"/>
            <w:vMerge/>
            <w:shd w:val="clear" w:color="auto" w:fill="auto"/>
            <w:tcMar>
              <w:top w:w="100" w:type="dxa"/>
              <w:left w:w="28" w:type="dxa"/>
              <w:bottom w:w="100" w:type="dxa"/>
              <w:right w:w="57" w:type="dxa"/>
            </w:tcMar>
          </w:tcPr>
          <w:p w14:paraId="73FEDCB7"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13665550"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57E3A937" w14:textId="6A4EB8EC"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Fournir une formation sur l</w:t>
            </w:r>
            <w:r w:rsidRPr="007900EE">
              <w:rPr>
                <w:rFonts w:eastAsia="Times New Roman" w:cs="Arial"/>
                <w:snapToGrid/>
                <w:sz w:val="19"/>
                <w:szCs w:val="19"/>
                <w:lang w:eastAsia="en-GB"/>
              </w:rPr>
              <w:t>’</w:t>
            </w:r>
            <w:r w:rsidRPr="00BC1B1E">
              <w:rPr>
                <w:rFonts w:eastAsia="Times New Roman" w:cs="Arial"/>
                <w:snapToGrid/>
                <w:sz w:val="19"/>
                <w:szCs w:val="19"/>
                <w:lang w:eastAsia="en-GB"/>
              </w:rPr>
              <w:t>extraction de connaissances à partir de données.</w:t>
            </w:r>
          </w:p>
        </w:tc>
      </w:tr>
      <w:tr w:rsidR="00BC1B1E" w:rsidRPr="00BC1B1E" w14:paraId="2DF1A033" w14:textId="77777777" w:rsidTr="00B06592">
        <w:trPr>
          <w:trHeight w:val="425"/>
        </w:trPr>
        <w:tc>
          <w:tcPr>
            <w:tcW w:w="1696" w:type="dxa"/>
            <w:vMerge/>
            <w:shd w:val="clear" w:color="auto" w:fill="auto"/>
            <w:tcMar>
              <w:top w:w="100" w:type="dxa"/>
              <w:left w:w="28" w:type="dxa"/>
              <w:bottom w:w="100" w:type="dxa"/>
              <w:right w:w="57" w:type="dxa"/>
            </w:tcMar>
          </w:tcPr>
          <w:p w14:paraId="40D569AD"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5643E35E"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05767EF8" w14:textId="02B93D98"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Fournir un soutien technique aux États membres qui souhaitent intégrer la planification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 dans leurs plans nationaux et régionaux de développement.</w:t>
            </w:r>
          </w:p>
        </w:tc>
      </w:tr>
      <w:tr w:rsidR="00BC1B1E" w:rsidRPr="00BC1B1E" w14:paraId="1C64BB4A" w14:textId="77777777" w:rsidTr="00B06592">
        <w:trPr>
          <w:trHeight w:val="650"/>
        </w:trPr>
        <w:tc>
          <w:tcPr>
            <w:tcW w:w="1696" w:type="dxa"/>
            <w:vMerge/>
            <w:shd w:val="clear" w:color="auto" w:fill="auto"/>
            <w:tcMar>
              <w:top w:w="100" w:type="dxa"/>
              <w:left w:w="28" w:type="dxa"/>
              <w:bottom w:w="100" w:type="dxa"/>
              <w:right w:w="57" w:type="dxa"/>
            </w:tcMar>
          </w:tcPr>
          <w:p w14:paraId="299B8F88"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4FDE276D"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189B6454" w14:textId="7B43392D"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Offrir des plates-formes d</w:t>
            </w:r>
            <w:r w:rsidRPr="007900EE">
              <w:rPr>
                <w:rFonts w:eastAsia="Times New Roman" w:cs="Arial"/>
                <w:snapToGrid/>
                <w:sz w:val="19"/>
                <w:szCs w:val="19"/>
                <w:lang w:eastAsia="en-GB"/>
              </w:rPr>
              <w:t>’</w:t>
            </w:r>
            <w:r w:rsidRPr="00BC1B1E">
              <w:rPr>
                <w:rFonts w:eastAsia="Times New Roman" w:cs="Arial"/>
                <w:snapToGrid/>
                <w:sz w:val="19"/>
                <w:szCs w:val="19"/>
                <w:lang w:eastAsia="en-GB"/>
              </w:rPr>
              <w:t>échange de connaissances sur l</w:t>
            </w:r>
            <w:r w:rsidRPr="007900EE">
              <w:rPr>
                <w:rFonts w:eastAsia="Times New Roman" w:cs="Arial"/>
                <w:snapToGrid/>
                <w:sz w:val="19"/>
                <w:szCs w:val="19"/>
                <w:lang w:eastAsia="en-GB"/>
              </w:rPr>
              <w:t>’</w:t>
            </w:r>
            <w:r w:rsidRPr="00BC1B1E">
              <w:rPr>
                <w:rFonts w:eastAsia="Times New Roman" w:cs="Arial"/>
                <w:snapToGrid/>
                <w:sz w:val="19"/>
                <w:szCs w:val="19"/>
                <w:lang w:eastAsia="en-GB"/>
              </w:rPr>
              <w:t>alignement des politiques nationales sur les bonnes pratiques ou méthodologies convenues et sur les processus d</w:t>
            </w:r>
            <w:r w:rsidRPr="007900EE">
              <w:rPr>
                <w:rFonts w:eastAsia="Times New Roman" w:cs="Arial"/>
                <w:snapToGrid/>
                <w:sz w:val="19"/>
                <w:szCs w:val="19"/>
                <w:lang w:eastAsia="en-GB"/>
              </w:rPr>
              <w:t>’</w:t>
            </w:r>
            <w:r w:rsidRPr="00BC1B1E">
              <w:rPr>
                <w:rFonts w:eastAsia="Times New Roman" w:cs="Arial"/>
                <w:snapToGrid/>
                <w:sz w:val="19"/>
                <w:szCs w:val="19"/>
                <w:lang w:eastAsia="en-GB"/>
              </w:rPr>
              <w:t>évaluation mondiale existants dans le domaine de la gestion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w:t>
            </w:r>
          </w:p>
        </w:tc>
      </w:tr>
      <w:tr w:rsidR="00BC1B1E" w:rsidRPr="00BC1B1E" w14:paraId="78736E57" w14:textId="77777777" w:rsidTr="00B06592">
        <w:trPr>
          <w:trHeight w:val="547"/>
        </w:trPr>
        <w:tc>
          <w:tcPr>
            <w:tcW w:w="1696" w:type="dxa"/>
            <w:vMerge w:val="restart"/>
            <w:shd w:val="clear" w:color="auto" w:fill="auto"/>
            <w:tcMar>
              <w:top w:w="100" w:type="dxa"/>
              <w:left w:w="28" w:type="dxa"/>
              <w:bottom w:w="100" w:type="dxa"/>
              <w:right w:w="57" w:type="dxa"/>
            </w:tcMar>
          </w:tcPr>
          <w:p w14:paraId="5F71D861" w14:textId="77777777" w:rsidR="00BC1B1E" w:rsidRPr="00BC1B1E" w:rsidRDefault="00BC1B1E" w:rsidP="00BC1B1E">
            <w:pPr>
              <w:widowControl w:val="0"/>
              <w:tabs>
                <w:tab w:val="clear" w:pos="567"/>
              </w:tabs>
              <w:snapToGrid/>
              <w:rPr>
                <w:rFonts w:eastAsia="Times New Roman" w:cs="Arial"/>
                <w:b/>
                <w:snapToGrid/>
                <w:color w:val="4E5763"/>
                <w:sz w:val="19"/>
                <w:szCs w:val="19"/>
                <w:lang w:val="en-GB" w:eastAsia="en-GB"/>
              </w:rPr>
            </w:pPr>
            <w:r w:rsidRPr="00BC1B1E">
              <w:rPr>
                <w:rFonts w:eastAsia="Times New Roman" w:cs="Arial"/>
                <w:b/>
                <w:snapToGrid/>
                <w:color w:val="4E5763"/>
                <w:sz w:val="19"/>
                <w:szCs w:val="19"/>
                <w:lang w:val="en-GB" w:eastAsia="en-GB"/>
              </w:rPr>
              <w:t>Collaboration et communication</w:t>
            </w:r>
          </w:p>
        </w:tc>
        <w:tc>
          <w:tcPr>
            <w:tcW w:w="2268" w:type="dxa"/>
            <w:vMerge w:val="restart"/>
            <w:shd w:val="clear" w:color="auto" w:fill="auto"/>
            <w:tcMar>
              <w:top w:w="100" w:type="dxa"/>
              <w:left w:w="28" w:type="dxa"/>
              <w:bottom w:w="100" w:type="dxa"/>
              <w:right w:w="57" w:type="dxa"/>
            </w:tcMar>
          </w:tcPr>
          <w:p w14:paraId="2D86DA8E" w14:textId="715C77C4" w:rsidR="00BC1B1E" w:rsidRPr="00BC1B1E" w:rsidRDefault="00BC1B1E" w:rsidP="00BC1B1E">
            <w:pPr>
              <w:widowControl w:val="0"/>
              <w:tabs>
                <w:tab w:val="clear" w:pos="567"/>
              </w:tabs>
              <w:snapToGrid/>
              <w:rPr>
                <w:rFonts w:eastAsia="Times New Roman" w:cs="Arial"/>
                <w:b/>
                <w:snapToGrid/>
                <w:sz w:val="19"/>
                <w:szCs w:val="19"/>
                <w:lang w:eastAsia="en-GB"/>
              </w:rPr>
            </w:pPr>
            <w:r w:rsidRPr="00BC1B1E">
              <w:rPr>
                <w:rFonts w:eastAsia="Times New Roman" w:cs="Arial"/>
                <w:snapToGrid/>
                <w:sz w:val="19"/>
                <w:szCs w:val="19"/>
                <w:highlight w:val="white"/>
                <w:lang w:eastAsia="en-GB"/>
              </w:rPr>
              <w:t xml:space="preserve">Organes subsidiaires régionaux, </w:t>
            </w:r>
            <w:r w:rsidRPr="00BC1B1E">
              <w:rPr>
                <w:rFonts w:eastAsia="Times New Roman" w:cs="Arial"/>
                <w:snapToGrid/>
                <w:sz w:val="19"/>
                <w:szCs w:val="19"/>
                <w:lang w:eastAsia="en-GB"/>
              </w:rPr>
              <w:t>Groupe mixte d</w:t>
            </w:r>
            <w:r w:rsidRPr="007900EE">
              <w:rPr>
                <w:rFonts w:eastAsia="Times New Roman" w:cs="Arial"/>
                <w:snapToGrid/>
                <w:sz w:val="19"/>
                <w:szCs w:val="19"/>
                <w:lang w:eastAsia="en-GB"/>
              </w:rPr>
              <w:t>’</w:t>
            </w:r>
            <w:r w:rsidRPr="00BC1B1E">
              <w:rPr>
                <w:rFonts w:eastAsia="Times New Roman" w:cs="Arial"/>
                <w:snapToGrid/>
                <w:sz w:val="19"/>
                <w:szCs w:val="19"/>
                <w:lang w:eastAsia="en-GB"/>
              </w:rPr>
              <w:t>experts chargé d</w:t>
            </w:r>
            <w:r w:rsidRPr="007900EE">
              <w:rPr>
                <w:rFonts w:eastAsia="Times New Roman" w:cs="Arial"/>
                <w:snapToGrid/>
                <w:sz w:val="19"/>
                <w:szCs w:val="19"/>
                <w:lang w:eastAsia="en-GB"/>
              </w:rPr>
              <w:t>’</w:t>
            </w:r>
            <w:r w:rsidRPr="00BC1B1E">
              <w:rPr>
                <w:rFonts w:eastAsia="Times New Roman" w:cs="Arial"/>
                <w:snapToGrid/>
                <w:sz w:val="19"/>
                <w:szCs w:val="19"/>
                <w:lang w:eastAsia="en-GB"/>
              </w:rPr>
              <w:t>étudier les aspects scientifiques de la protection de l</w:t>
            </w:r>
            <w:r w:rsidRPr="007900EE">
              <w:rPr>
                <w:rFonts w:eastAsia="Times New Roman" w:cs="Arial"/>
                <w:snapToGrid/>
                <w:sz w:val="19"/>
                <w:szCs w:val="19"/>
                <w:lang w:eastAsia="en-GB"/>
              </w:rPr>
              <w:t>’</w:t>
            </w:r>
            <w:r w:rsidRPr="00BC1B1E">
              <w:rPr>
                <w:rFonts w:eastAsia="Times New Roman" w:cs="Arial"/>
                <w:snapToGrid/>
                <w:sz w:val="19"/>
                <w:szCs w:val="19"/>
                <w:lang w:eastAsia="en-GB"/>
              </w:rPr>
              <w:t>environnement marin, OceanOPS</w:t>
            </w:r>
          </w:p>
        </w:tc>
        <w:tc>
          <w:tcPr>
            <w:tcW w:w="5670" w:type="dxa"/>
            <w:tcBorders>
              <w:top w:val="single" w:sz="5" w:space="0" w:color="000000"/>
              <w:left w:val="single" w:sz="5" w:space="0" w:color="000000"/>
              <w:bottom w:val="single" w:sz="5" w:space="0" w:color="000000"/>
              <w:right w:val="single" w:sz="5" w:space="0" w:color="000000"/>
            </w:tcBorders>
            <w:tcMar>
              <w:top w:w="0" w:type="dxa"/>
              <w:left w:w="28" w:type="dxa"/>
              <w:bottom w:w="0" w:type="dxa"/>
              <w:right w:w="57" w:type="dxa"/>
            </w:tcMar>
          </w:tcPr>
          <w:p w14:paraId="297B40D8" w14:textId="77777777"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 xml:space="preserve">Fournir un soutien ciblé et adapté au contexte en mettant des connaissances et une expertise spécialisées à la disposition des décideurs et des gestionnaires. </w:t>
            </w:r>
          </w:p>
        </w:tc>
      </w:tr>
      <w:tr w:rsidR="00BC1B1E" w:rsidRPr="00BC1B1E" w14:paraId="021AB5E2" w14:textId="77777777" w:rsidTr="00B06592">
        <w:trPr>
          <w:trHeight w:val="499"/>
        </w:trPr>
        <w:tc>
          <w:tcPr>
            <w:tcW w:w="1696" w:type="dxa"/>
            <w:vMerge/>
            <w:shd w:val="clear" w:color="auto" w:fill="auto"/>
            <w:tcMar>
              <w:top w:w="100" w:type="dxa"/>
              <w:left w:w="28" w:type="dxa"/>
              <w:bottom w:w="100" w:type="dxa"/>
              <w:right w:w="57" w:type="dxa"/>
            </w:tcMar>
          </w:tcPr>
          <w:p w14:paraId="7F5CF191"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2BAC5285"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0CE68220" w14:textId="3A6C5B5D"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Promouvoir l</w:t>
            </w:r>
            <w:r w:rsidRPr="007900EE">
              <w:rPr>
                <w:rFonts w:eastAsia="Times New Roman" w:cs="Arial"/>
                <w:snapToGrid/>
                <w:sz w:val="19"/>
                <w:szCs w:val="19"/>
                <w:lang w:eastAsia="en-GB"/>
              </w:rPr>
              <w:t>’</w:t>
            </w:r>
            <w:r w:rsidRPr="00BC1B1E">
              <w:rPr>
                <w:rFonts w:eastAsia="Times New Roman" w:cs="Arial"/>
                <w:snapToGrid/>
                <w:sz w:val="19"/>
                <w:szCs w:val="19"/>
                <w:lang w:eastAsia="en-GB"/>
              </w:rPr>
              <w:t>échange d</w:t>
            </w:r>
            <w:r w:rsidRPr="007900EE">
              <w:rPr>
                <w:rFonts w:eastAsia="Times New Roman" w:cs="Arial"/>
                <w:snapToGrid/>
                <w:sz w:val="19"/>
                <w:szCs w:val="19"/>
                <w:lang w:eastAsia="en-GB"/>
              </w:rPr>
              <w:t>’</w:t>
            </w:r>
            <w:r w:rsidRPr="00BC1B1E">
              <w:rPr>
                <w:rFonts w:eastAsia="Times New Roman" w:cs="Arial"/>
                <w:snapToGrid/>
                <w:sz w:val="19"/>
                <w:szCs w:val="19"/>
                <w:lang w:eastAsia="en-GB"/>
              </w:rPr>
              <w:t>expériences et d</w:t>
            </w:r>
            <w:r w:rsidRPr="007900EE">
              <w:rPr>
                <w:rFonts w:eastAsia="Times New Roman" w:cs="Arial"/>
                <w:snapToGrid/>
                <w:sz w:val="19"/>
                <w:szCs w:val="19"/>
                <w:lang w:eastAsia="en-GB"/>
              </w:rPr>
              <w:t>’</w:t>
            </w:r>
            <w:r w:rsidRPr="00BC1B1E">
              <w:rPr>
                <w:rFonts w:eastAsia="Times New Roman" w:cs="Arial"/>
                <w:snapToGrid/>
                <w:sz w:val="19"/>
                <w:szCs w:val="19"/>
                <w:lang w:eastAsia="en-GB"/>
              </w:rPr>
              <w:t>enseignements tirés de projets pilotes en matière de planification et de gestion durables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 entre les États membres.</w:t>
            </w:r>
          </w:p>
        </w:tc>
      </w:tr>
      <w:tr w:rsidR="00BC1B1E" w:rsidRPr="00BC1B1E" w14:paraId="1F4D2E5B" w14:textId="77777777" w:rsidTr="00B06592">
        <w:trPr>
          <w:trHeight w:val="104"/>
        </w:trPr>
        <w:tc>
          <w:tcPr>
            <w:tcW w:w="1696" w:type="dxa"/>
            <w:vMerge/>
            <w:shd w:val="clear" w:color="auto" w:fill="auto"/>
            <w:tcMar>
              <w:top w:w="100" w:type="dxa"/>
              <w:left w:w="28" w:type="dxa"/>
              <w:bottom w:w="100" w:type="dxa"/>
              <w:right w:w="57" w:type="dxa"/>
            </w:tcMar>
          </w:tcPr>
          <w:p w14:paraId="55C051AD"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4E0A4AFE"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7BEBC763" w14:textId="30FE0F01" w:rsidR="00BC1B1E" w:rsidRPr="00BC1B1E" w:rsidRDefault="00BC1B1E" w:rsidP="00B06592">
            <w:pPr>
              <w:widowControl w:val="0"/>
              <w:tabs>
                <w:tab w:val="clear" w:pos="567"/>
              </w:tabs>
              <w:snapToGrid/>
              <w:jc w:val="both"/>
              <w:rPr>
                <w:rFonts w:eastAsia="Times New Roman" w:cs="Arial"/>
                <w:snapToGrid/>
                <w:spacing w:val="-3"/>
                <w:sz w:val="19"/>
                <w:szCs w:val="19"/>
                <w:lang w:eastAsia="en-GB"/>
              </w:rPr>
            </w:pPr>
            <w:r w:rsidRPr="00BC1B1E">
              <w:rPr>
                <w:rFonts w:eastAsia="Times New Roman" w:cs="Arial"/>
                <w:snapToGrid/>
                <w:spacing w:val="-3"/>
                <w:sz w:val="19"/>
                <w:szCs w:val="19"/>
                <w:lang w:eastAsia="en-GB"/>
              </w:rPr>
              <w:t>Convoquer des groupes de travail ou des comités intersectoriels et transfrontaliers afin d</w:t>
            </w:r>
            <w:r w:rsidRPr="007900EE">
              <w:rPr>
                <w:rFonts w:eastAsia="Times New Roman" w:cs="Arial"/>
                <w:snapToGrid/>
                <w:spacing w:val="-3"/>
                <w:sz w:val="19"/>
                <w:szCs w:val="19"/>
                <w:lang w:eastAsia="en-GB"/>
              </w:rPr>
              <w:t>’</w:t>
            </w:r>
            <w:r w:rsidRPr="00BC1B1E">
              <w:rPr>
                <w:rFonts w:eastAsia="Times New Roman" w:cs="Arial"/>
                <w:snapToGrid/>
                <w:spacing w:val="-3"/>
                <w:sz w:val="19"/>
                <w:szCs w:val="19"/>
                <w:lang w:eastAsia="en-GB"/>
              </w:rPr>
              <w:t>aborder les défis et les opportunités communs.</w:t>
            </w:r>
          </w:p>
        </w:tc>
      </w:tr>
      <w:tr w:rsidR="00BC1B1E" w:rsidRPr="00BC1B1E" w14:paraId="0B6AD0B2" w14:textId="77777777" w:rsidTr="00B06592">
        <w:trPr>
          <w:trHeight w:val="360"/>
        </w:trPr>
        <w:tc>
          <w:tcPr>
            <w:tcW w:w="1696" w:type="dxa"/>
            <w:vMerge/>
            <w:shd w:val="clear" w:color="auto" w:fill="auto"/>
            <w:tcMar>
              <w:top w:w="100" w:type="dxa"/>
              <w:left w:w="28" w:type="dxa"/>
              <w:bottom w:w="100" w:type="dxa"/>
              <w:right w:w="57" w:type="dxa"/>
            </w:tcMar>
          </w:tcPr>
          <w:p w14:paraId="6EF8299B"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41610343"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41C7072B" w14:textId="13D96068" w:rsidR="00BC1B1E" w:rsidRPr="00BC1B1E" w:rsidRDefault="00BC1B1E" w:rsidP="00B06592">
            <w:pPr>
              <w:widowControl w:val="0"/>
              <w:tabs>
                <w:tab w:val="clear" w:pos="567"/>
              </w:tabs>
              <w:snapToGrid/>
              <w:jc w:val="both"/>
              <w:rPr>
                <w:rFonts w:eastAsia="Times New Roman" w:cs="Arial"/>
                <w:snapToGrid/>
                <w:spacing w:val="-2"/>
                <w:sz w:val="19"/>
                <w:szCs w:val="19"/>
                <w:lang w:eastAsia="en-GB"/>
              </w:rPr>
            </w:pPr>
            <w:r w:rsidRPr="00BC1B1E">
              <w:rPr>
                <w:rFonts w:eastAsia="Times New Roman" w:cs="Arial"/>
                <w:snapToGrid/>
                <w:spacing w:val="-2"/>
                <w:sz w:val="19"/>
                <w:szCs w:val="19"/>
                <w:lang w:eastAsia="en-GB"/>
              </w:rPr>
              <w:t>Organiser des projets et des initiatives conjoints qui favorisent la planification et la gestion durables de l</w:t>
            </w:r>
            <w:r w:rsidRPr="007900EE">
              <w:rPr>
                <w:rFonts w:eastAsia="Times New Roman" w:cs="Arial"/>
                <w:snapToGrid/>
                <w:spacing w:val="-2"/>
                <w:sz w:val="19"/>
                <w:szCs w:val="19"/>
                <w:lang w:eastAsia="en-GB"/>
              </w:rPr>
              <w:t>’</w:t>
            </w:r>
            <w:r w:rsidRPr="00BC1B1E">
              <w:rPr>
                <w:rFonts w:eastAsia="Times New Roman" w:cs="Arial"/>
                <w:snapToGrid/>
                <w:spacing w:val="-2"/>
                <w:sz w:val="19"/>
                <w:szCs w:val="19"/>
                <w:lang w:eastAsia="en-GB"/>
              </w:rPr>
              <w:t>océan dans tous les secteurs.</w:t>
            </w:r>
          </w:p>
        </w:tc>
      </w:tr>
      <w:tr w:rsidR="00BC1B1E" w:rsidRPr="00BC1B1E" w14:paraId="0A3617A0" w14:textId="77777777" w:rsidTr="00B06592">
        <w:trPr>
          <w:trHeight w:val="360"/>
        </w:trPr>
        <w:tc>
          <w:tcPr>
            <w:tcW w:w="1696" w:type="dxa"/>
            <w:vMerge/>
            <w:shd w:val="clear" w:color="auto" w:fill="auto"/>
            <w:tcMar>
              <w:top w:w="100" w:type="dxa"/>
              <w:left w:w="28" w:type="dxa"/>
              <w:bottom w:w="100" w:type="dxa"/>
              <w:right w:w="57" w:type="dxa"/>
            </w:tcMar>
          </w:tcPr>
          <w:p w14:paraId="1BD4E880"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51E833F1"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541D7C4A" w14:textId="77777777"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Fournir aux États membres un soutien en matière de communication et élaborer des stratégies de communication.</w:t>
            </w:r>
          </w:p>
        </w:tc>
      </w:tr>
      <w:tr w:rsidR="00BC1B1E" w:rsidRPr="00BC1B1E" w14:paraId="46441634" w14:textId="77777777" w:rsidTr="00B06592">
        <w:trPr>
          <w:trHeight w:val="360"/>
        </w:trPr>
        <w:tc>
          <w:tcPr>
            <w:tcW w:w="1696" w:type="dxa"/>
            <w:vMerge/>
            <w:shd w:val="clear" w:color="auto" w:fill="auto"/>
            <w:tcMar>
              <w:top w:w="100" w:type="dxa"/>
              <w:left w:w="28" w:type="dxa"/>
              <w:bottom w:w="100" w:type="dxa"/>
              <w:right w:w="57" w:type="dxa"/>
            </w:tcMar>
          </w:tcPr>
          <w:p w14:paraId="58350873"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05920DE1"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4F2B2C02" w14:textId="77777777"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Mettre en place des mécanismes (ou promouvoir les mécanismes existants) pour encourager la participation des populations autochtones et des communautés locales aux processus de prise de décisions.</w:t>
            </w:r>
          </w:p>
        </w:tc>
      </w:tr>
      <w:tr w:rsidR="00BC1B1E" w:rsidRPr="00BC1B1E" w14:paraId="54D20E31" w14:textId="77777777" w:rsidTr="00B06592">
        <w:trPr>
          <w:trHeight w:val="360"/>
        </w:trPr>
        <w:tc>
          <w:tcPr>
            <w:tcW w:w="1696" w:type="dxa"/>
            <w:vMerge/>
            <w:shd w:val="clear" w:color="auto" w:fill="auto"/>
            <w:tcMar>
              <w:top w:w="100" w:type="dxa"/>
              <w:left w:w="28" w:type="dxa"/>
              <w:bottom w:w="100" w:type="dxa"/>
              <w:right w:w="57" w:type="dxa"/>
            </w:tcMar>
          </w:tcPr>
          <w:p w14:paraId="3D149BB0"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5AA57DC3"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19D67EFA" w14:textId="77777777" w:rsidR="00BC1B1E" w:rsidRPr="00BC1B1E" w:rsidRDefault="00BC1B1E" w:rsidP="00B06592">
            <w:pPr>
              <w:widowControl w:val="0"/>
              <w:tabs>
                <w:tab w:val="clear" w:pos="567"/>
              </w:tabs>
              <w:snapToGrid/>
              <w:jc w:val="both"/>
              <w:rPr>
                <w:rFonts w:eastAsia="Times New Roman" w:cs="Arial"/>
                <w:snapToGrid/>
                <w:spacing w:val="-4"/>
                <w:sz w:val="19"/>
                <w:szCs w:val="19"/>
                <w:lang w:eastAsia="en-GB"/>
              </w:rPr>
            </w:pPr>
            <w:r w:rsidRPr="00BC1B1E">
              <w:rPr>
                <w:rFonts w:eastAsia="Times New Roman" w:cs="Arial"/>
                <w:snapToGrid/>
                <w:spacing w:val="-4"/>
                <w:sz w:val="19"/>
                <w:szCs w:val="19"/>
                <w:lang w:eastAsia="en-GB"/>
              </w:rPr>
              <w:t>Mettre en place des mécanismes de coordination et de communication intersectorielles et transfrontalières permanentes.</w:t>
            </w:r>
          </w:p>
        </w:tc>
      </w:tr>
      <w:tr w:rsidR="00BC1B1E" w:rsidRPr="00BC1B1E" w14:paraId="7B97BCF8" w14:textId="77777777" w:rsidTr="00B06592">
        <w:trPr>
          <w:trHeight w:val="360"/>
        </w:trPr>
        <w:tc>
          <w:tcPr>
            <w:tcW w:w="1696" w:type="dxa"/>
            <w:vMerge/>
            <w:shd w:val="clear" w:color="auto" w:fill="auto"/>
            <w:tcMar>
              <w:top w:w="100" w:type="dxa"/>
              <w:left w:w="28" w:type="dxa"/>
              <w:bottom w:w="100" w:type="dxa"/>
              <w:right w:w="57" w:type="dxa"/>
            </w:tcMar>
          </w:tcPr>
          <w:p w14:paraId="197751AF"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11855EEC"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44974DFD" w14:textId="3E55EF0D"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Mettre en place des plates-formes et des cadres d</w:t>
            </w:r>
            <w:r w:rsidRPr="007900EE">
              <w:rPr>
                <w:rFonts w:eastAsia="Times New Roman" w:cs="Arial"/>
                <w:snapToGrid/>
                <w:sz w:val="19"/>
                <w:szCs w:val="19"/>
                <w:lang w:eastAsia="en-GB"/>
              </w:rPr>
              <w:t>’</w:t>
            </w:r>
            <w:r w:rsidRPr="00BC1B1E">
              <w:rPr>
                <w:rFonts w:eastAsia="Times New Roman" w:cs="Arial"/>
                <w:snapToGrid/>
                <w:sz w:val="19"/>
                <w:szCs w:val="19"/>
                <w:lang w:eastAsia="en-GB"/>
              </w:rPr>
              <w:t xml:space="preserve">engagement </w:t>
            </w:r>
            <w:r w:rsidRPr="00210697">
              <w:rPr>
                <w:rFonts w:eastAsia="Times New Roman" w:cs="Arial"/>
                <w:snapToGrid/>
                <w:sz w:val="19"/>
                <w:szCs w:val="19"/>
                <w:lang w:eastAsia="en-GB"/>
              </w:rPr>
              <w:t>multiparti</w:t>
            </w:r>
            <w:r w:rsidR="00210697" w:rsidRPr="00210697">
              <w:rPr>
                <w:rFonts w:eastAsia="Times New Roman" w:cs="Arial"/>
                <w:snapToGrid/>
                <w:sz w:val="19"/>
                <w:szCs w:val="19"/>
                <w:lang w:eastAsia="en-GB"/>
              </w:rPr>
              <w:t>te</w:t>
            </w:r>
            <w:r w:rsidRPr="00210697">
              <w:rPr>
                <w:rFonts w:eastAsia="Times New Roman" w:cs="Arial"/>
                <w:snapToGrid/>
                <w:sz w:val="19"/>
                <w:szCs w:val="19"/>
                <w:lang w:eastAsia="en-GB"/>
              </w:rPr>
              <w:t>s</w:t>
            </w:r>
            <w:r w:rsidRPr="00BC1B1E">
              <w:rPr>
                <w:rFonts w:eastAsia="Times New Roman" w:cs="Arial"/>
                <w:snapToGrid/>
                <w:sz w:val="19"/>
                <w:szCs w:val="19"/>
                <w:lang w:eastAsia="en-GB"/>
              </w:rPr>
              <w:t>.</w:t>
            </w:r>
          </w:p>
        </w:tc>
      </w:tr>
      <w:tr w:rsidR="00BC1B1E" w:rsidRPr="00BC1B1E" w14:paraId="0E4F9773" w14:textId="77777777" w:rsidTr="00B06592">
        <w:trPr>
          <w:trHeight w:val="360"/>
        </w:trPr>
        <w:tc>
          <w:tcPr>
            <w:tcW w:w="1696" w:type="dxa"/>
            <w:vMerge/>
            <w:shd w:val="clear" w:color="auto" w:fill="auto"/>
            <w:tcMar>
              <w:top w:w="100" w:type="dxa"/>
              <w:left w:w="28" w:type="dxa"/>
              <w:bottom w:w="100" w:type="dxa"/>
              <w:right w:w="57" w:type="dxa"/>
            </w:tcMar>
          </w:tcPr>
          <w:p w14:paraId="0739830A"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4464BD5F"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67C1BBD4" w14:textId="44CC570D"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Tirer parti des réseaux, des capacités techniques et de l</w:t>
            </w:r>
            <w:r w:rsidRPr="007900EE">
              <w:rPr>
                <w:rFonts w:eastAsia="Times New Roman" w:cs="Arial"/>
                <w:snapToGrid/>
                <w:sz w:val="19"/>
                <w:szCs w:val="19"/>
                <w:lang w:eastAsia="en-GB"/>
              </w:rPr>
              <w:t>’</w:t>
            </w:r>
            <w:r w:rsidRPr="00BC1B1E">
              <w:rPr>
                <w:rFonts w:eastAsia="Times New Roman" w:cs="Arial"/>
                <w:snapToGrid/>
                <w:sz w:val="19"/>
                <w:szCs w:val="19"/>
                <w:lang w:eastAsia="en-GB"/>
              </w:rPr>
              <w:t>expertise dans l</w:t>
            </w:r>
            <w:r w:rsidRPr="007900EE">
              <w:rPr>
                <w:rFonts w:eastAsia="Times New Roman" w:cs="Arial"/>
                <w:snapToGrid/>
                <w:sz w:val="19"/>
                <w:szCs w:val="19"/>
                <w:lang w:eastAsia="en-GB"/>
              </w:rPr>
              <w:t>’</w:t>
            </w:r>
            <w:r w:rsidRPr="00BC1B1E">
              <w:rPr>
                <w:rFonts w:eastAsia="Times New Roman" w:cs="Arial"/>
                <w:snapToGrid/>
                <w:sz w:val="19"/>
                <w:szCs w:val="19"/>
                <w:lang w:eastAsia="en-GB"/>
              </w:rPr>
              <w:t>interface sciences océaniques-politiques-société, ainsi que dans le domaine de la planification de l</w:t>
            </w:r>
            <w:r w:rsidRPr="007900EE">
              <w:rPr>
                <w:rFonts w:eastAsia="Times New Roman" w:cs="Arial"/>
                <w:snapToGrid/>
                <w:sz w:val="19"/>
                <w:szCs w:val="19"/>
                <w:lang w:eastAsia="en-GB"/>
              </w:rPr>
              <w:t>’</w:t>
            </w:r>
            <w:r w:rsidRPr="00BC1B1E">
              <w:rPr>
                <w:rFonts w:eastAsia="Times New Roman" w:cs="Arial"/>
                <w:snapToGrid/>
                <w:sz w:val="19"/>
                <w:szCs w:val="19"/>
                <w:lang w:eastAsia="en-GB"/>
              </w:rPr>
              <w:t>espace marin.</w:t>
            </w:r>
          </w:p>
        </w:tc>
      </w:tr>
      <w:tr w:rsidR="00BC1B1E" w:rsidRPr="00BC1B1E" w14:paraId="52A5EAB9" w14:textId="77777777" w:rsidTr="00B06592">
        <w:trPr>
          <w:trHeight w:val="184"/>
        </w:trPr>
        <w:tc>
          <w:tcPr>
            <w:tcW w:w="1696" w:type="dxa"/>
            <w:vMerge/>
            <w:shd w:val="clear" w:color="auto" w:fill="auto"/>
            <w:tcMar>
              <w:top w:w="100" w:type="dxa"/>
              <w:left w:w="28" w:type="dxa"/>
              <w:bottom w:w="100" w:type="dxa"/>
              <w:right w:w="57" w:type="dxa"/>
            </w:tcMar>
          </w:tcPr>
          <w:p w14:paraId="1E71CBAE"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0E9F8ED5"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4" w:space="0" w:color="auto"/>
              <w:right w:val="single" w:sz="5" w:space="0" w:color="000000"/>
            </w:tcBorders>
            <w:tcMar>
              <w:top w:w="0" w:type="dxa"/>
              <w:left w:w="28" w:type="dxa"/>
              <w:bottom w:w="0" w:type="dxa"/>
              <w:right w:w="57" w:type="dxa"/>
            </w:tcMar>
          </w:tcPr>
          <w:p w14:paraId="1A3732D6" w14:textId="405D5177"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Promouvoir le dialogue et l</w:t>
            </w:r>
            <w:r w:rsidRPr="007900EE">
              <w:rPr>
                <w:rFonts w:eastAsia="Times New Roman" w:cs="Arial"/>
                <w:snapToGrid/>
                <w:sz w:val="19"/>
                <w:szCs w:val="19"/>
                <w:lang w:eastAsia="en-GB"/>
              </w:rPr>
              <w:t>’</w:t>
            </w:r>
            <w:r w:rsidRPr="00BC1B1E">
              <w:rPr>
                <w:rFonts w:eastAsia="Times New Roman" w:cs="Arial"/>
                <w:snapToGrid/>
                <w:sz w:val="19"/>
                <w:szCs w:val="19"/>
                <w:lang w:eastAsia="en-GB"/>
              </w:rPr>
              <w:t>échange de bonnes pratiques entre les États membres sur l</w:t>
            </w:r>
            <w:r w:rsidRPr="007900EE">
              <w:rPr>
                <w:rFonts w:eastAsia="Times New Roman" w:cs="Arial"/>
                <w:snapToGrid/>
                <w:sz w:val="19"/>
                <w:szCs w:val="19"/>
                <w:lang w:eastAsia="en-GB"/>
              </w:rPr>
              <w:t>’</w:t>
            </w:r>
            <w:r w:rsidRPr="00BC1B1E">
              <w:rPr>
                <w:rFonts w:eastAsia="Times New Roman" w:cs="Arial"/>
                <w:snapToGrid/>
                <w:sz w:val="19"/>
                <w:szCs w:val="19"/>
                <w:lang w:eastAsia="en-GB"/>
              </w:rPr>
              <w:t>adoption et la mise en œuvre de lignes directrices et de normes mondiales en matière de planification et de gestion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w:t>
            </w:r>
          </w:p>
        </w:tc>
      </w:tr>
      <w:tr w:rsidR="00BC1B1E" w:rsidRPr="00BC1B1E" w14:paraId="1259A948" w14:textId="77777777" w:rsidTr="00B06592">
        <w:trPr>
          <w:trHeight w:val="619"/>
        </w:trPr>
        <w:tc>
          <w:tcPr>
            <w:tcW w:w="1696" w:type="dxa"/>
            <w:vMerge/>
            <w:shd w:val="clear" w:color="auto" w:fill="auto"/>
            <w:tcMar>
              <w:top w:w="100" w:type="dxa"/>
              <w:left w:w="28" w:type="dxa"/>
              <w:bottom w:w="100" w:type="dxa"/>
              <w:right w:w="57" w:type="dxa"/>
            </w:tcMar>
          </w:tcPr>
          <w:p w14:paraId="422A90C6"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tcBorders>
              <w:right w:val="single" w:sz="4" w:space="0" w:color="auto"/>
            </w:tcBorders>
            <w:shd w:val="clear" w:color="auto" w:fill="auto"/>
            <w:tcMar>
              <w:top w:w="100" w:type="dxa"/>
              <w:left w:w="28" w:type="dxa"/>
              <w:bottom w:w="100" w:type="dxa"/>
              <w:right w:w="57" w:type="dxa"/>
            </w:tcMar>
          </w:tcPr>
          <w:p w14:paraId="7600E666"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14:paraId="1B93DB88" w14:textId="1EFCDD85"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Promouvoir l</w:t>
            </w:r>
            <w:r w:rsidRPr="007900EE">
              <w:rPr>
                <w:rFonts w:eastAsia="Times New Roman" w:cs="Arial"/>
                <w:snapToGrid/>
                <w:sz w:val="19"/>
                <w:szCs w:val="19"/>
                <w:lang w:eastAsia="en-GB"/>
              </w:rPr>
              <w:t>’</w:t>
            </w:r>
            <w:r w:rsidRPr="00BC1B1E">
              <w:rPr>
                <w:rFonts w:eastAsia="Times New Roman" w:cs="Arial"/>
                <w:snapToGrid/>
                <w:sz w:val="19"/>
                <w:szCs w:val="19"/>
                <w:lang w:eastAsia="en-GB"/>
              </w:rPr>
              <w:t>harmonisation des approches existantes, telles que les plans pour un océan durable, les feuilles de route sur l</w:t>
            </w:r>
            <w:r w:rsidRPr="007900EE">
              <w:rPr>
                <w:rFonts w:eastAsia="Times New Roman" w:cs="Arial"/>
                <w:snapToGrid/>
                <w:sz w:val="19"/>
                <w:szCs w:val="19"/>
                <w:lang w:eastAsia="en-GB"/>
              </w:rPr>
              <w:t>’</w:t>
            </w:r>
            <w:r w:rsidRPr="00BC1B1E">
              <w:rPr>
                <w:rFonts w:eastAsia="Times New Roman" w:cs="Arial"/>
                <w:snapToGrid/>
                <w:sz w:val="19"/>
                <w:szCs w:val="19"/>
                <w:lang w:eastAsia="en-GB"/>
              </w:rPr>
              <w:t>économie océanique et les comptes nationaux relatifs à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 par des campagnes de communication et des efforts de plaidoyer.</w:t>
            </w:r>
          </w:p>
        </w:tc>
      </w:tr>
      <w:tr w:rsidR="00BC1B1E" w:rsidRPr="00BC1B1E" w14:paraId="5111767F" w14:textId="77777777" w:rsidTr="00B06592">
        <w:trPr>
          <w:trHeight w:val="523"/>
        </w:trPr>
        <w:tc>
          <w:tcPr>
            <w:tcW w:w="1696" w:type="dxa"/>
            <w:vMerge w:val="restart"/>
            <w:shd w:val="clear" w:color="auto" w:fill="auto"/>
            <w:tcMar>
              <w:top w:w="100" w:type="dxa"/>
              <w:left w:w="28" w:type="dxa"/>
              <w:bottom w:w="100" w:type="dxa"/>
              <w:right w:w="57" w:type="dxa"/>
            </w:tcMar>
          </w:tcPr>
          <w:p w14:paraId="1F9FDB73" w14:textId="6E531589" w:rsidR="00BC1B1E" w:rsidRPr="00BC1B1E" w:rsidRDefault="00BC1B1E" w:rsidP="00BC1B1E">
            <w:pPr>
              <w:widowControl w:val="0"/>
              <w:tabs>
                <w:tab w:val="clear" w:pos="567"/>
              </w:tabs>
              <w:snapToGrid/>
              <w:rPr>
                <w:rFonts w:eastAsia="Times New Roman" w:cs="Arial"/>
                <w:b/>
                <w:snapToGrid/>
                <w:color w:val="4E5763"/>
                <w:sz w:val="19"/>
                <w:szCs w:val="19"/>
                <w:lang w:eastAsia="en-GB"/>
              </w:rPr>
            </w:pPr>
            <w:r w:rsidRPr="00BC1B1E">
              <w:rPr>
                <w:rFonts w:eastAsia="Times New Roman" w:cs="Arial"/>
                <w:b/>
                <w:snapToGrid/>
                <w:color w:val="4E5763"/>
                <w:sz w:val="19"/>
                <w:szCs w:val="19"/>
                <w:lang w:eastAsia="en-GB"/>
              </w:rPr>
              <w:t>Observation, collecte et</w:t>
            </w:r>
            <w:r w:rsidR="00916495">
              <w:rPr>
                <w:rFonts w:eastAsia="Times New Roman" w:cs="Arial"/>
                <w:b/>
                <w:snapToGrid/>
                <w:color w:val="4E5763"/>
                <w:sz w:val="19"/>
                <w:szCs w:val="19"/>
                <w:lang w:eastAsia="en-GB"/>
              </w:rPr>
              <w:t> </w:t>
            </w:r>
            <w:r w:rsidRPr="00BC1B1E">
              <w:rPr>
                <w:rFonts w:eastAsia="Times New Roman" w:cs="Arial"/>
                <w:b/>
                <w:snapToGrid/>
                <w:color w:val="4E5763"/>
                <w:sz w:val="19"/>
                <w:szCs w:val="19"/>
                <w:lang w:eastAsia="en-GB"/>
              </w:rPr>
              <w:t>gestion de</w:t>
            </w:r>
            <w:r w:rsidR="00916495">
              <w:rPr>
                <w:rFonts w:eastAsia="Times New Roman" w:cs="Arial"/>
                <w:b/>
                <w:snapToGrid/>
                <w:color w:val="4E5763"/>
                <w:sz w:val="19"/>
                <w:szCs w:val="19"/>
                <w:lang w:eastAsia="en-GB"/>
              </w:rPr>
              <w:t> </w:t>
            </w:r>
            <w:r w:rsidRPr="00BC1B1E">
              <w:rPr>
                <w:rFonts w:eastAsia="Times New Roman" w:cs="Arial"/>
                <w:b/>
                <w:snapToGrid/>
                <w:color w:val="4E5763"/>
                <w:sz w:val="19"/>
                <w:szCs w:val="19"/>
                <w:lang w:eastAsia="en-GB"/>
              </w:rPr>
              <w:t>données</w:t>
            </w:r>
          </w:p>
        </w:tc>
        <w:tc>
          <w:tcPr>
            <w:tcW w:w="2268" w:type="dxa"/>
            <w:vMerge w:val="restart"/>
            <w:shd w:val="clear" w:color="auto" w:fill="auto"/>
            <w:tcMar>
              <w:top w:w="100" w:type="dxa"/>
              <w:left w:w="28" w:type="dxa"/>
              <w:bottom w:w="100" w:type="dxa"/>
              <w:right w:w="57" w:type="dxa"/>
            </w:tcMar>
          </w:tcPr>
          <w:p w14:paraId="52B28D9D" w14:textId="75A3F94B" w:rsidR="00BC1B1E" w:rsidRPr="00BC1B1E" w:rsidRDefault="00BC1B1E" w:rsidP="00BC1B1E">
            <w:pPr>
              <w:widowControl w:val="0"/>
              <w:tabs>
                <w:tab w:val="clear" w:pos="567"/>
              </w:tabs>
              <w:snapToGrid/>
              <w:rPr>
                <w:rFonts w:eastAsia="Times New Roman" w:cs="Arial"/>
                <w:snapToGrid/>
                <w:sz w:val="19"/>
                <w:szCs w:val="19"/>
                <w:lang w:eastAsia="en-GB"/>
              </w:rPr>
            </w:pPr>
            <w:r w:rsidRPr="00BC1B1E">
              <w:rPr>
                <w:rFonts w:eastAsia="Times New Roman" w:cs="Arial"/>
                <w:snapToGrid/>
                <w:sz w:val="19"/>
                <w:szCs w:val="19"/>
                <w:lang w:eastAsia="en-GB"/>
              </w:rPr>
              <w:t>Système mondial d</w:t>
            </w:r>
            <w:r w:rsidRPr="007900EE">
              <w:rPr>
                <w:rFonts w:eastAsia="Times New Roman" w:cs="Arial"/>
                <w:snapToGrid/>
                <w:sz w:val="19"/>
                <w:szCs w:val="19"/>
                <w:lang w:eastAsia="en-GB"/>
              </w:rPr>
              <w:t>’</w:t>
            </w:r>
            <w:r w:rsidRPr="00BC1B1E">
              <w:rPr>
                <w:rFonts w:eastAsia="Times New Roman" w:cs="Arial"/>
                <w:snapToGrid/>
                <w:sz w:val="19"/>
                <w:szCs w:val="19"/>
                <w:lang w:eastAsia="en-GB"/>
              </w:rPr>
              <w:t>observation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 CoastPredict, Groupe sur les données du secteur privé de la Décennie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 Système mondial d</w:t>
            </w:r>
            <w:r w:rsidRPr="007900EE">
              <w:rPr>
                <w:rFonts w:eastAsia="Times New Roman" w:cs="Arial"/>
                <w:snapToGrid/>
                <w:sz w:val="19"/>
                <w:szCs w:val="19"/>
                <w:lang w:eastAsia="en-GB"/>
              </w:rPr>
              <w:t>’</w:t>
            </w:r>
            <w:r w:rsidRPr="00BC1B1E">
              <w:rPr>
                <w:rFonts w:eastAsia="Times New Roman" w:cs="Arial"/>
                <w:snapToGrid/>
                <w:sz w:val="19"/>
                <w:szCs w:val="19"/>
                <w:lang w:eastAsia="en-GB"/>
              </w:rPr>
              <w:t>observation du climat, Réseau mondial d</w:t>
            </w:r>
            <w:r w:rsidRPr="007900EE">
              <w:rPr>
                <w:rFonts w:eastAsia="Times New Roman" w:cs="Arial"/>
                <w:snapToGrid/>
                <w:sz w:val="19"/>
                <w:szCs w:val="19"/>
                <w:lang w:eastAsia="en-GB"/>
              </w:rPr>
              <w:t>’</w:t>
            </w:r>
            <w:r w:rsidRPr="00BC1B1E">
              <w:rPr>
                <w:rFonts w:eastAsia="Times New Roman" w:cs="Arial"/>
                <w:snapToGrid/>
                <w:sz w:val="19"/>
                <w:szCs w:val="19"/>
                <w:lang w:eastAsia="en-GB"/>
              </w:rPr>
              <w:t>observation de l</w:t>
            </w:r>
            <w:r w:rsidRPr="007900EE">
              <w:rPr>
                <w:rFonts w:eastAsia="Times New Roman" w:cs="Arial"/>
                <w:snapToGrid/>
                <w:sz w:val="19"/>
                <w:szCs w:val="19"/>
                <w:lang w:eastAsia="en-GB"/>
              </w:rPr>
              <w:t>’</w:t>
            </w:r>
            <w:r w:rsidRPr="00BC1B1E">
              <w:rPr>
                <w:rFonts w:eastAsia="Times New Roman" w:cs="Arial"/>
                <w:snapToGrid/>
                <w:sz w:val="19"/>
                <w:szCs w:val="19"/>
                <w:lang w:eastAsia="en-GB"/>
              </w:rPr>
              <w:t>acidification des océans, Échange international des données et de l</w:t>
            </w:r>
            <w:r w:rsidRPr="007900EE">
              <w:rPr>
                <w:rFonts w:eastAsia="Times New Roman" w:cs="Arial"/>
                <w:snapToGrid/>
                <w:sz w:val="19"/>
                <w:szCs w:val="19"/>
                <w:lang w:eastAsia="en-GB"/>
              </w:rPr>
              <w:t>’</w:t>
            </w:r>
            <w:r w:rsidRPr="00BC1B1E">
              <w:rPr>
                <w:rFonts w:eastAsia="Times New Roman" w:cs="Arial"/>
                <w:snapToGrid/>
                <w:sz w:val="19"/>
                <w:szCs w:val="19"/>
                <w:lang w:eastAsia="en-GB"/>
              </w:rPr>
              <w:t>information océanographiques, Système d</w:t>
            </w:r>
            <w:r w:rsidRPr="007900EE">
              <w:rPr>
                <w:rFonts w:eastAsia="Times New Roman" w:cs="Arial"/>
                <w:snapToGrid/>
                <w:sz w:val="19"/>
                <w:szCs w:val="19"/>
                <w:lang w:eastAsia="en-GB"/>
              </w:rPr>
              <w:t>’</w:t>
            </w:r>
            <w:r w:rsidRPr="00BC1B1E">
              <w:rPr>
                <w:rFonts w:eastAsia="Times New Roman" w:cs="Arial"/>
                <w:snapToGrid/>
                <w:sz w:val="19"/>
                <w:szCs w:val="19"/>
                <w:lang w:eastAsia="en-GB"/>
              </w:rPr>
              <w:t>informations sur la biodiversité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 Système de données et d</w:t>
            </w:r>
            <w:r w:rsidRPr="007900EE">
              <w:rPr>
                <w:rFonts w:eastAsia="Times New Roman" w:cs="Arial"/>
                <w:snapToGrid/>
                <w:sz w:val="19"/>
                <w:szCs w:val="19"/>
                <w:lang w:eastAsia="en-GB"/>
              </w:rPr>
              <w:t>’</w:t>
            </w:r>
            <w:r w:rsidRPr="00BC1B1E">
              <w:rPr>
                <w:rFonts w:eastAsia="Times New Roman" w:cs="Arial"/>
                <w:snapToGrid/>
                <w:sz w:val="19"/>
                <w:szCs w:val="19"/>
                <w:lang w:eastAsia="en-GB"/>
              </w:rPr>
              <w:t>information océanographiques de la</w:t>
            </w:r>
            <w:r w:rsidR="00852A0F">
              <w:rPr>
                <w:rFonts w:eastAsia="Times New Roman" w:cs="Arial"/>
                <w:snapToGrid/>
                <w:sz w:val="19"/>
                <w:szCs w:val="19"/>
                <w:lang w:eastAsia="en-GB"/>
              </w:rPr>
              <w:t> </w:t>
            </w:r>
            <w:r w:rsidRPr="00BC1B1E">
              <w:rPr>
                <w:rFonts w:eastAsia="Times New Roman" w:cs="Arial"/>
                <w:snapToGrid/>
                <w:sz w:val="19"/>
                <w:szCs w:val="19"/>
                <w:lang w:eastAsia="en-GB"/>
              </w:rPr>
              <w:t>COI</w:t>
            </w:r>
          </w:p>
        </w:tc>
        <w:tc>
          <w:tcPr>
            <w:tcW w:w="5670" w:type="dxa"/>
            <w:tcBorders>
              <w:top w:val="single" w:sz="4" w:space="0" w:color="auto"/>
              <w:left w:val="single" w:sz="5" w:space="0" w:color="000000"/>
              <w:bottom w:val="single" w:sz="5" w:space="0" w:color="000000"/>
              <w:right w:val="single" w:sz="5" w:space="0" w:color="000000"/>
            </w:tcBorders>
            <w:tcMar>
              <w:top w:w="0" w:type="dxa"/>
              <w:left w:w="28" w:type="dxa"/>
              <w:bottom w:w="0" w:type="dxa"/>
              <w:right w:w="57" w:type="dxa"/>
            </w:tcMar>
          </w:tcPr>
          <w:p w14:paraId="26EF9AC6" w14:textId="1CEEC023"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Encourager les États membres à soutenir l</w:t>
            </w:r>
            <w:r w:rsidRPr="007900EE">
              <w:rPr>
                <w:rFonts w:eastAsia="Times New Roman" w:cs="Arial"/>
                <w:snapToGrid/>
                <w:sz w:val="19"/>
                <w:szCs w:val="19"/>
                <w:lang w:eastAsia="en-GB"/>
              </w:rPr>
              <w:t>’</w:t>
            </w:r>
            <w:r w:rsidRPr="00BC1B1E">
              <w:rPr>
                <w:rFonts w:eastAsia="Times New Roman" w:cs="Arial"/>
                <w:snapToGrid/>
                <w:sz w:val="19"/>
                <w:szCs w:val="19"/>
                <w:lang w:eastAsia="en-GB"/>
              </w:rPr>
              <w:t>élaboration de plans de mise en œuvre pour l</w:t>
            </w:r>
            <w:r w:rsidRPr="007900EE">
              <w:rPr>
                <w:rFonts w:eastAsia="Times New Roman" w:cs="Arial"/>
                <w:snapToGrid/>
                <w:sz w:val="19"/>
                <w:szCs w:val="19"/>
                <w:lang w:eastAsia="en-GB"/>
              </w:rPr>
              <w:t>’</w:t>
            </w:r>
            <w:r w:rsidRPr="00BC1B1E">
              <w:rPr>
                <w:rFonts w:eastAsia="Times New Roman" w:cs="Arial"/>
                <w:snapToGrid/>
                <w:sz w:val="19"/>
                <w:szCs w:val="19"/>
                <w:lang w:eastAsia="en-GB"/>
              </w:rPr>
              <w:t>observation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 en vue d</w:t>
            </w:r>
            <w:r w:rsidRPr="007900EE">
              <w:rPr>
                <w:rFonts w:eastAsia="Times New Roman" w:cs="Arial"/>
                <w:snapToGrid/>
                <w:sz w:val="19"/>
                <w:szCs w:val="19"/>
                <w:lang w:eastAsia="en-GB"/>
              </w:rPr>
              <w:t>’</w:t>
            </w:r>
            <w:r w:rsidRPr="00BC1B1E">
              <w:rPr>
                <w:rFonts w:eastAsia="Times New Roman" w:cs="Arial"/>
                <w:snapToGrid/>
                <w:sz w:val="19"/>
                <w:szCs w:val="19"/>
                <w:lang w:eastAsia="en-GB"/>
              </w:rPr>
              <w:t>appliquer la stratégie.</w:t>
            </w:r>
          </w:p>
        </w:tc>
      </w:tr>
      <w:tr w:rsidR="00BC1B1E" w:rsidRPr="00BC1B1E" w14:paraId="39390C42" w14:textId="77777777" w:rsidTr="00B06592">
        <w:trPr>
          <w:trHeight w:val="491"/>
        </w:trPr>
        <w:tc>
          <w:tcPr>
            <w:tcW w:w="1696" w:type="dxa"/>
            <w:vMerge/>
            <w:shd w:val="clear" w:color="auto" w:fill="auto"/>
            <w:tcMar>
              <w:top w:w="100" w:type="dxa"/>
              <w:left w:w="28" w:type="dxa"/>
              <w:bottom w:w="100" w:type="dxa"/>
              <w:right w:w="57" w:type="dxa"/>
            </w:tcMar>
          </w:tcPr>
          <w:p w14:paraId="25FBB470" w14:textId="77777777" w:rsidR="00BC1B1E" w:rsidRPr="00BC1B1E" w:rsidRDefault="00BC1B1E" w:rsidP="00BC1B1E">
            <w:pPr>
              <w:widowControl w:val="0"/>
              <w:tabs>
                <w:tab w:val="clear" w:pos="567"/>
              </w:tabs>
              <w:snapToGrid/>
              <w:rPr>
                <w:rFonts w:eastAsia="Times New Roman" w:cs="Arial"/>
                <w:b/>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4445FF69" w14:textId="77777777" w:rsidR="00BC1B1E" w:rsidRPr="00BC1B1E" w:rsidRDefault="00BC1B1E" w:rsidP="00BC1B1E">
            <w:pPr>
              <w:widowControl w:val="0"/>
              <w:tabs>
                <w:tab w:val="clear" w:pos="567"/>
              </w:tabs>
              <w:snapToGrid/>
              <w:rPr>
                <w:rFonts w:eastAsia="Times New Roman" w:cs="Arial"/>
                <w:snapToGrid/>
                <w:sz w:val="19"/>
                <w:szCs w:val="19"/>
                <w:lang w:eastAsia="en-GB"/>
              </w:rPr>
            </w:pPr>
          </w:p>
        </w:tc>
        <w:tc>
          <w:tcPr>
            <w:tcW w:w="5670" w:type="dxa"/>
            <w:tcBorders>
              <w:top w:val="single" w:sz="5" w:space="0" w:color="000000"/>
              <w:left w:val="single" w:sz="5" w:space="0" w:color="000000"/>
              <w:bottom w:val="single" w:sz="5" w:space="0" w:color="000000"/>
              <w:right w:val="single" w:sz="5" w:space="0" w:color="000000"/>
            </w:tcBorders>
            <w:tcMar>
              <w:top w:w="0" w:type="dxa"/>
              <w:left w:w="28" w:type="dxa"/>
              <w:bottom w:w="0" w:type="dxa"/>
              <w:right w:w="57" w:type="dxa"/>
            </w:tcMar>
          </w:tcPr>
          <w:p w14:paraId="4C642700" w14:textId="55274592"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Encourager les États membres à adopter des méthodes et des technologies avancées de collecte de données qui améliorent la précision, l</w:t>
            </w:r>
            <w:r w:rsidRPr="007900EE">
              <w:rPr>
                <w:rFonts w:eastAsia="Times New Roman" w:cs="Arial"/>
                <w:snapToGrid/>
                <w:sz w:val="19"/>
                <w:szCs w:val="19"/>
                <w:lang w:eastAsia="en-GB"/>
              </w:rPr>
              <w:t>’</w:t>
            </w:r>
            <w:r w:rsidRPr="00BC1B1E">
              <w:rPr>
                <w:rFonts w:eastAsia="Times New Roman" w:cs="Arial"/>
                <w:snapToGrid/>
                <w:sz w:val="19"/>
                <w:szCs w:val="19"/>
                <w:lang w:eastAsia="en-GB"/>
              </w:rPr>
              <w:t>efficacité et la portée de la collecte de données environnementales, sociales et économiques.</w:t>
            </w:r>
          </w:p>
        </w:tc>
      </w:tr>
      <w:tr w:rsidR="00BC1B1E" w:rsidRPr="00BC1B1E" w14:paraId="07670CC2" w14:textId="77777777" w:rsidTr="00B06592">
        <w:trPr>
          <w:trHeight w:val="508"/>
        </w:trPr>
        <w:tc>
          <w:tcPr>
            <w:tcW w:w="1696" w:type="dxa"/>
            <w:vMerge/>
            <w:shd w:val="clear" w:color="auto" w:fill="auto"/>
            <w:tcMar>
              <w:top w:w="100" w:type="dxa"/>
              <w:left w:w="28" w:type="dxa"/>
              <w:bottom w:w="100" w:type="dxa"/>
              <w:right w:w="57" w:type="dxa"/>
            </w:tcMar>
          </w:tcPr>
          <w:p w14:paraId="5C9810F9"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50D007DB"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57CA4FDF" w14:textId="0E62826A"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Faciliter l</w:t>
            </w:r>
            <w:r w:rsidRPr="007900EE">
              <w:rPr>
                <w:rFonts w:eastAsia="Times New Roman" w:cs="Arial"/>
                <w:snapToGrid/>
                <w:sz w:val="19"/>
                <w:szCs w:val="19"/>
                <w:lang w:eastAsia="en-GB"/>
              </w:rPr>
              <w:t>’</w:t>
            </w:r>
            <w:r w:rsidRPr="00BC1B1E">
              <w:rPr>
                <w:rFonts w:eastAsia="Times New Roman" w:cs="Arial"/>
                <w:snapToGrid/>
                <w:sz w:val="19"/>
                <w:szCs w:val="19"/>
                <w:lang w:eastAsia="en-GB"/>
              </w:rPr>
              <w:t>échange de bonnes pratiques et de méthodologies pour la mise en place de systèmes de données et de connaissances relatives à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 entre les États membres.</w:t>
            </w:r>
          </w:p>
        </w:tc>
      </w:tr>
      <w:tr w:rsidR="00BC1B1E" w:rsidRPr="00BC1B1E" w14:paraId="2AA815A0" w14:textId="77777777" w:rsidTr="00B06592">
        <w:trPr>
          <w:trHeight w:val="360"/>
        </w:trPr>
        <w:tc>
          <w:tcPr>
            <w:tcW w:w="1696" w:type="dxa"/>
            <w:vMerge/>
            <w:shd w:val="clear" w:color="auto" w:fill="auto"/>
            <w:tcMar>
              <w:top w:w="100" w:type="dxa"/>
              <w:left w:w="28" w:type="dxa"/>
              <w:bottom w:w="100" w:type="dxa"/>
              <w:right w:w="57" w:type="dxa"/>
            </w:tcMar>
          </w:tcPr>
          <w:p w14:paraId="176133CA"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070C8089"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05ABCB6F" w14:textId="77777777"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Promouvoir les initiatives en matière de données ouvertes et la normalisation des variables océaniques essentielles dans les programmes existants.</w:t>
            </w:r>
          </w:p>
        </w:tc>
      </w:tr>
      <w:tr w:rsidR="00BC1B1E" w:rsidRPr="00BC1B1E" w14:paraId="14F5061F" w14:textId="77777777" w:rsidTr="00B06592">
        <w:trPr>
          <w:trHeight w:val="360"/>
        </w:trPr>
        <w:tc>
          <w:tcPr>
            <w:tcW w:w="1696" w:type="dxa"/>
            <w:vMerge/>
            <w:shd w:val="clear" w:color="auto" w:fill="auto"/>
            <w:tcMar>
              <w:top w:w="100" w:type="dxa"/>
              <w:left w:w="28" w:type="dxa"/>
              <w:bottom w:w="100" w:type="dxa"/>
              <w:right w:w="57" w:type="dxa"/>
            </w:tcMar>
          </w:tcPr>
          <w:p w14:paraId="0D526CBA"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2E21C7A1"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60F43DD5" w14:textId="35978D22"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Défendre et promouvoir les méthodes, lignes directrices et manuels recommandés pour la collecte de données relatives à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w:t>
            </w:r>
          </w:p>
        </w:tc>
      </w:tr>
      <w:tr w:rsidR="00BC1B1E" w:rsidRPr="00BC1B1E" w14:paraId="2D8FB121" w14:textId="77777777" w:rsidTr="00B06592">
        <w:trPr>
          <w:trHeight w:val="104"/>
        </w:trPr>
        <w:tc>
          <w:tcPr>
            <w:tcW w:w="1696" w:type="dxa"/>
            <w:vMerge/>
            <w:shd w:val="clear" w:color="auto" w:fill="auto"/>
            <w:tcMar>
              <w:top w:w="100" w:type="dxa"/>
              <w:left w:w="28" w:type="dxa"/>
              <w:bottom w:w="100" w:type="dxa"/>
              <w:right w:w="57" w:type="dxa"/>
            </w:tcMar>
          </w:tcPr>
          <w:p w14:paraId="16F8A2C3"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5B88E1F6"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2D519361" w14:textId="7C329F23"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Axer la recherche</w:t>
            </w:r>
            <w:r w:rsidR="00852A0F">
              <w:rPr>
                <w:rFonts w:eastAsia="Times New Roman" w:cs="Arial"/>
                <w:snapToGrid/>
                <w:sz w:val="19"/>
                <w:szCs w:val="19"/>
                <w:lang w:eastAsia="en-GB"/>
              </w:rPr>
              <w:t xml:space="preserve"> </w:t>
            </w:r>
            <w:r w:rsidR="00852A0F" w:rsidRPr="00104A05">
              <w:rPr>
                <w:rFonts w:eastAsia="Times New Roman" w:cs="Arial"/>
                <w:snapToGrid/>
                <w:sz w:val="19"/>
                <w:szCs w:val="19"/>
                <w:lang w:eastAsia="en-GB"/>
              </w:rPr>
              <w:t>et</w:t>
            </w:r>
            <w:r w:rsidRPr="00BC1B1E">
              <w:rPr>
                <w:rFonts w:eastAsia="Times New Roman" w:cs="Arial"/>
                <w:snapToGrid/>
                <w:sz w:val="19"/>
                <w:szCs w:val="19"/>
                <w:lang w:eastAsia="en-GB"/>
              </w:rPr>
              <w:t xml:space="preserve"> la collecte et la gestion des données connexes sur les lacunes spécifiques en matière de connaissances, telles que la dynamique des écosystèmes, l</w:t>
            </w:r>
            <w:r w:rsidRPr="007900EE">
              <w:rPr>
                <w:rFonts w:eastAsia="Times New Roman" w:cs="Arial"/>
                <w:snapToGrid/>
                <w:sz w:val="19"/>
                <w:szCs w:val="19"/>
                <w:lang w:eastAsia="en-GB"/>
              </w:rPr>
              <w:t>’</w:t>
            </w:r>
            <w:r w:rsidRPr="00BC1B1E">
              <w:rPr>
                <w:rFonts w:eastAsia="Times New Roman" w:cs="Arial"/>
                <w:snapToGrid/>
                <w:sz w:val="19"/>
                <w:szCs w:val="19"/>
                <w:lang w:eastAsia="en-GB"/>
              </w:rPr>
              <w:t>évaluation des menaces et la comptabilisation du capital naturel.</w:t>
            </w:r>
          </w:p>
        </w:tc>
      </w:tr>
      <w:tr w:rsidR="00BC1B1E" w:rsidRPr="00BC1B1E" w14:paraId="3A4E2F3A" w14:textId="77777777" w:rsidTr="00B06592">
        <w:trPr>
          <w:trHeight w:val="460"/>
        </w:trPr>
        <w:tc>
          <w:tcPr>
            <w:tcW w:w="1696" w:type="dxa"/>
            <w:vMerge/>
            <w:shd w:val="clear" w:color="auto" w:fill="auto"/>
            <w:tcMar>
              <w:top w:w="100" w:type="dxa"/>
              <w:left w:w="28" w:type="dxa"/>
              <w:bottom w:w="100" w:type="dxa"/>
              <w:right w:w="57" w:type="dxa"/>
            </w:tcMar>
          </w:tcPr>
          <w:p w14:paraId="7C8AFE00"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7B3F3CFC"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44137A78" w14:textId="1E50A2DC"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Encourager la recherche transdisciplinaire et la collecte et la gestion de données connexes, afin de favoriser des solutions innovantes et une compréhension globale de la gestion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w:t>
            </w:r>
          </w:p>
        </w:tc>
      </w:tr>
      <w:tr w:rsidR="00BC1B1E" w:rsidRPr="00BC1B1E" w14:paraId="6AB7A7B1" w14:textId="77777777" w:rsidTr="007900EE">
        <w:trPr>
          <w:trHeight w:val="104"/>
        </w:trPr>
        <w:tc>
          <w:tcPr>
            <w:tcW w:w="1696" w:type="dxa"/>
            <w:vMerge/>
            <w:shd w:val="clear" w:color="auto" w:fill="auto"/>
            <w:tcMar>
              <w:top w:w="100" w:type="dxa"/>
              <w:left w:w="28" w:type="dxa"/>
              <w:bottom w:w="100" w:type="dxa"/>
              <w:right w:w="57" w:type="dxa"/>
            </w:tcMar>
          </w:tcPr>
          <w:p w14:paraId="6476918B"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2268" w:type="dxa"/>
            <w:vMerge/>
            <w:shd w:val="clear" w:color="auto" w:fill="auto"/>
            <w:tcMar>
              <w:top w:w="100" w:type="dxa"/>
              <w:left w:w="28" w:type="dxa"/>
              <w:bottom w:w="100" w:type="dxa"/>
              <w:right w:w="57" w:type="dxa"/>
            </w:tcMar>
          </w:tcPr>
          <w:p w14:paraId="33BA7AA8"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14004DDC" w14:textId="342228BC"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Mettre au point et utiliser des techniques avancées de modélisation et de prévision à l</w:t>
            </w:r>
            <w:r w:rsidRPr="007900EE">
              <w:rPr>
                <w:rFonts w:eastAsia="Times New Roman" w:cs="Arial"/>
                <w:snapToGrid/>
                <w:sz w:val="19"/>
                <w:szCs w:val="19"/>
                <w:lang w:eastAsia="en-GB"/>
              </w:rPr>
              <w:t>’</w:t>
            </w:r>
            <w:r w:rsidRPr="00BC1B1E">
              <w:rPr>
                <w:rFonts w:eastAsia="Times New Roman" w:cs="Arial"/>
                <w:snapToGrid/>
                <w:sz w:val="19"/>
                <w:szCs w:val="19"/>
                <w:lang w:eastAsia="en-GB"/>
              </w:rPr>
              <w:t>appui de la prise de décisions en matière de gestion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w:t>
            </w:r>
          </w:p>
        </w:tc>
      </w:tr>
      <w:tr w:rsidR="00BC1B1E" w:rsidRPr="00BC1B1E" w14:paraId="1B018F52" w14:textId="77777777" w:rsidTr="00B06592">
        <w:trPr>
          <w:trHeight w:val="559"/>
        </w:trPr>
        <w:tc>
          <w:tcPr>
            <w:tcW w:w="1696" w:type="dxa"/>
            <w:vMerge w:val="restart"/>
            <w:shd w:val="clear" w:color="auto" w:fill="auto"/>
            <w:tcMar>
              <w:top w:w="100" w:type="dxa"/>
              <w:left w:w="28" w:type="dxa"/>
              <w:bottom w:w="100" w:type="dxa"/>
              <w:right w:w="57" w:type="dxa"/>
            </w:tcMar>
          </w:tcPr>
          <w:p w14:paraId="22A9290A" w14:textId="77777777" w:rsidR="00BC1B1E" w:rsidRPr="00BC1B1E" w:rsidRDefault="00BC1B1E" w:rsidP="00BC1B1E">
            <w:pPr>
              <w:widowControl w:val="0"/>
              <w:tabs>
                <w:tab w:val="clear" w:pos="567"/>
              </w:tabs>
              <w:snapToGrid/>
              <w:rPr>
                <w:rFonts w:eastAsia="Times New Roman" w:cs="Arial"/>
                <w:b/>
                <w:snapToGrid/>
                <w:color w:val="4E5763"/>
                <w:sz w:val="19"/>
                <w:szCs w:val="19"/>
                <w:lang w:val="en-GB" w:eastAsia="en-GB"/>
              </w:rPr>
            </w:pPr>
            <w:r w:rsidRPr="00BC1B1E">
              <w:rPr>
                <w:rFonts w:eastAsia="Times New Roman" w:cs="Arial"/>
                <w:b/>
                <w:snapToGrid/>
                <w:color w:val="4E5763"/>
                <w:sz w:val="19"/>
                <w:szCs w:val="19"/>
                <w:lang w:val="en-GB" w:eastAsia="en-GB"/>
              </w:rPr>
              <w:lastRenderedPageBreak/>
              <w:t>Soutien financier et plaidoyer</w:t>
            </w:r>
          </w:p>
        </w:tc>
        <w:tc>
          <w:tcPr>
            <w:tcW w:w="2268" w:type="dxa"/>
            <w:vMerge w:val="restart"/>
            <w:shd w:val="clear" w:color="auto" w:fill="auto"/>
            <w:tcMar>
              <w:top w:w="100" w:type="dxa"/>
              <w:left w:w="28" w:type="dxa"/>
              <w:bottom w:w="100" w:type="dxa"/>
              <w:right w:w="57" w:type="dxa"/>
            </w:tcMar>
          </w:tcPr>
          <w:p w14:paraId="4E982226" w14:textId="0AB8AE9C" w:rsidR="00BC1B1E" w:rsidRPr="00BC1B1E" w:rsidRDefault="00BC1B1E" w:rsidP="00BC1B1E">
            <w:pPr>
              <w:widowControl w:val="0"/>
              <w:tabs>
                <w:tab w:val="clear" w:pos="567"/>
              </w:tabs>
              <w:snapToGrid/>
              <w:rPr>
                <w:rFonts w:eastAsia="Times New Roman" w:cs="Arial"/>
                <w:snapToGrid/>
                <w:sz w:val="19"/>
                <w:szCs w:val="19"/>
                <w:lang w:val="en-GB" w:eastAsia="en-GB"/>
              </w:rPr>
            </w:pPr>
            <w:r w:rsidRPr="00BC1B1E">
              <w:rPr>
                <w:rFonts w:eastAsia="Times New Roman" w:cs="Arial"/>
                <w:snapToGrid/>
                <w:sz w:val="19"/>
                <w:szCs w:val="19"/>
                <w:lang w:val="en-GB" w:eastAsia="en-GB"/>
              </w:rPr>
              <w:t>Décennie de l</w:t>
            </w:r>
            <w:r w:rsidRPr="007900EE">
              <w:rPr>
                <w:rFonts w:eastAsia="Times New Roman" w:cs="Arial"/>
                <w:snapToGrid/>
                <w:sz w:val="19"/>
                <w:szCs w:val="19"/>
                <w:lang w:val="en-GB" w:eastAsia="en-GB"/>
              </w:rPr>
              <w:t>’</w:t>
            </w:r>
            <w:r w:rsidRPr="00BC1B1E">
              <w:rPr>
                <w:rFonts w:eastAsia="Times New Roman" w:cs="Arial"/>
                <w:snapToGrid/>
                <w:sz w:val="19"/>
                <w:szCs w:val="19"/>
                <w:lang w:val="en-GB" w:eastAsia="en-GB"/>
              </w:rPr>
              <w:t>Océan,</w:t>
            </w:r>
          </w:p>
          <w:p w14:paraId="3D62EA84" w14:textId="77777777" w:rsidR="00BC1B1E" w:rsidRPr="00BC1B1E" w:rsidRDefault="00BC1B1E" w:rsidP="00BC1B1E">
            <w:pPr>
              <w:widowControl w:val="0"/>
              <w:tabs>
                <w:tab w:val="clear" w:pos="567"/>
              </w:tabs>
              <w:snapToGrid/>
              <w:rPr>
                <w:rFonts w:eastAsia="Times New Roman" w:cs="Arial"/>
                <w:snapToGrid/>
                <w:sz w:val="19"/>
                <w:szCs w:val="19"/>
                <w:lang w:val="en-GB" w:eastAsia="en-GB"/>
              </w:rPr>
            </w:pPr>
            <w:r w:rsidRPr="00BC1B1E">
              <w:rPr>
                <w:rFonts w:eastAsia="Times New Roman" w:cs="Arial"/>
                <w:snapToGrid/>
                <w:sz w:val="19"/>
                <w:szCs w:val="19"/>
                <w:lang w:val="en-GB" w:eastAsia="en-GB"/>
              </w:rPr>
              <w:t>MSPglobal</w:t>
            </w:r>
          </w:p>
        </w:tc>
        <w:tc>
          <w:tcPr>
            <w:tcW w:w="5670" w:type="dxa"/>
            <w:tcBorders>
              <w:top w:val="single" w:sz="5" w:space="0" w:color="000000"/>
              <w:left w:val="single" w:sz="5" w:space="0" w:color="000000"/>
              <w:bottom w:val="single" w:sz="5" w:space="0" w:color="000000"/>
              <w:right w:val="single" w:sz="5" w:space="0" w:color="000000"/>
            </w:tcBorders>
            <w:tcMar>
              <w:top w:w="0" w:type="dxa"/>
              <w:left w:w="28" w:type="dxa"/>
              <w:bottom w:w="0" w:type="dxa"/>
              <w:right w:w="57" w:type="dxa"/>
            </w:tcMar>
          </w:tcPr>
          <w:p w14:paraId="16CB9436" w14:textId="69E3EB39" w:rsidR="00BC1B1E" w:rsidRPr="00BC1B1E" w:rsidRDefault="00BC1B1E" w:rsidP="00B06592">
            <w:pPr>
              <w:widowControl w:val="0"/>
              <w:tabs>
                <w:tab w:val="clear" w:pos="567"/>
              </w:tabs>
              <w:snapToGrid/>
              <w:jc w:val="both"/>
              <w:rPr>
                <w:rFonts w:eastAsia="Times New Roman" w:cs="Arial"/>
                <w:snapToGrid/>
                <w:sz w:val="19"/>
                <w:szCs w:val="19"/>
                <w:lang w:val="en-GB" w:eastAsia="en-GB"/>
              </w:rPr>
            </w:pPr>
            <w:r w:rsidRPr="00BC1B1E">
              <w:rPr>
                <w:rFonts w:eastAsia="Times New Roman" w:cs="Arial"/>
                <w:snapToGrid/>
                <w:sz w:val="19"/>
                <w:szCs w:val="19"/>
                <w:lang w:eastAsia="en-GB"/>
              </w:rPr>
              <w:t>Coordonner les discussions et les séances de partage des connaissances sur les stratégies visant à obtenir des financements pour certains aspects de la planification et de la gestion durables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w:t>
            </w:r>
          </w:p>
        </w:tc>
      </w:tr>
      <w:tr w:rsidR="00BC1B1E" w:rsidRPr="00BC1B1E" w14:paraId="100F4F67" w14:textId="77777777" w:rsidTr="00B06592">
        <w:trPr>
          <w:trHeight w:val="519"/>
        </w:trPr>
        <w:tc>
          <w:tcPr>
            <w:tcW w:w="1696" w:type="dxa"/>
            <w:vMerge/>
            <w:shd w:val="clear" w:color="auto" w:fill="auto"/>
            <w:tcMar>
              <w:top w:w="100" w:type="dxa"/>
              <w:left w:w="28" w:type="dxa"/>
              <w:bottom w:w="100" w:type="dxa"/>
              <w:right w:w="57" w:type="dxa"/>
            </w:tcMar>
          </w:tcPr>
          <w:p w14:paraId="25E3FD01"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val="en-GB" w:eastAsia="en-GB"/>
              </w:rPr>
            </w:pPr>
          </w:p>
        </w:tc>
        <w:tc>
          <w:tcPr>
            <w:tcW w:w="2268" w:type="dxa"/>
            <w:vMerge/>
            <w:tcBorders>
              <w:bottom w:val="single" w:sz="4" w:space="0" w:color="auto"/>
            </w:tcBorders>
            <w:shd w:val="clear" w:color="auto" w:fill="auto"/>
            <w:tcMar>
              <w:top w:w="100" w:type="dxa"/>
              <w:left w:w="28" w:type="dxa"/>
              <w:bottom w:w="100" w:type="dxa"/>
              <w:right w:w="57" w:type="dxa"/>
            </w:tcMar>
          </w:tcPr>
          <w:p w14:paraId="366DDC64"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val="en-GB" w:eastAsia="en-GB"/>
              </w:rPr>
            </w:pPr>
          </w:p>
        </w:tc>
        <w:tc>
          <w:tcPr>
            <w:tcW w:w="5670" w:type="dxa"/>
            <w:tcBorders>
              <w:top w:val="nil"/>
              <w:left w:val="single" w:sz="5" w:space="0" w:color="000000"/>
              <w:bottom w:val="single" w:sz="5" w:space="0" w:color="000000"/>
              <w:right w:val="single" w:sz="5" w:space="0" w:color="000000"/>
            </w:tcBorders>
            <w:tcMar>
              <w:top w:w="0" w:type="dxa"/>
              <w:left w:w="28" w:type="dxa"/>
              <w:bottom w:w="0" w:type="dxa"/>
              <w:right w:w="57" w:type="dxa"/>
            </w:tcMar>
          </w:tcPr>
          <w:p w14:paraId="2FACB7AE" w14:textId="5D3CF781"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Mettre en place un mécanisme permettant de mettre en relation les initiatives de planification et de gestion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 avec des donateurs philanthropiques potentiels, afin de renforcer les possibilités de financement et la mobilisation des ressources.</w:t>
            </w:r>
          </w:p>
        </w:tc>
      </w:tr>
      <w:tr w:rsidR="00BC1B1E" w:rsidRPr="00BC1B1E" w14:paraId="6D3B3896" w14:textId="77777777" w:rsidTr="00B06592">
        <w:trPr>
          <w:trHeight w:val="400"/>
        </w:trPr>
        <w:tc>
          <w:tcPr>
            <w:tcW w:w="1696" w:type="dxa"/>
            <w:vMerge w:val="restart"/>
            <w:tcBorders>
              <w:right w:val="single" w:sz="4" w:space="0" w:color="auto"/>
            </w:tcBorders>
            <w:shd w:val="clear" w:color="auto" w:fill="auto"/>
            <w:tcMar>
              <w:top w:w="100" w:type="dxa"/>
              <w:left w:w="28" w:type="dxa"/>
              <w:bottom w:w="100" w:type="dxa"/>
              <w:right w:w="57" w:type="dxa"/>
            </w:tcMar>
          </w:tcPr>
          <w:p w14:paraId="3665D6F2" w14:textId="14C1EEB1" w:rsidR="00BC1B1E" w:rsidRPr="00BC1B1E" w:rsidRDefault="00BC1B1E" w:rsidP="00BC1B1E">
            <w:pPr>
              <w:widowControl w:val="0"/>
              <w:tabs>
                <w:tab w:val="clear" w:pos="567"/>
              </w:tabs>
              <w:snapToGrid/>
              <w:rPr>
                <w:rFonts w:eastAsia="Times New Roman" w:cs="Arial"/>
                <w:b/>
                <w:snapToGrid/>
                <w:color w:val="4E5763"/>
                <w:sz w:val="19"/>
                <w:szCs w:val="19"/>
                <w:lang w:eastAsia="en-GB"/>
              </w:rPr>
            </w:pPr>
            <w:r w:rsidRPr="00BC1B1E">
              <w:rPr>
                <w:rFonts w:eastAsia="Times New Roman" w:cs="Arial"/>
                <w:b/>
                <w:snapToGrid/>
                <w:color w:val="4E5763"/>
                <w:sz w:val="19"/>
                <w:szCs w:val="19"/>
                <w:lang w:eastAsia="en-GB"/>
              </w:rPr>
              <w:t>Élaboration de lignes directrices et assistance en</w:t>
            </w:r>
            <w:r w:rsidR="00A97A9B">
              <w:rPr>
                <w:rFonts w:eastAsia="Times New Roman" w:cs="Arial"/>
                <w:b/>
                <w:snapToGrid/>
                <w:color w:val="4E5763"/>
                <w:sz w:val="19"/>
                <w:szCs w:val="19"/>
                <w:lang w:eastAsia="en-GB"/>
              </w:rPr>
              <w:t> </w:t>
            </w:r>
            <w:r w:rsidRPr="00BC1B1E">
              <w:rPr>
                <w:rFonts w:eastAsia="Times New Roman" w:cs="Arial"/>
                <w:b/>
                <w:snapToGrid/>
                <w:color w:val="4E5763"/>
                <w:sz w:val="19"/>
                <w:szCs w:val="19"/>
                <w:lang w:eastAsia="en-GB"/>
              </w:rPr>
              <w:t>matière de planification</w:t>
            </w:r>
          </w:p>
          <w:p w14:paraId="7BF3C20D" w14:textId="77777777" w:rsidR="00BC1B1E" w:rsidRPr="00BC1B1E" w:rsidRDefault="00BC1B1E" w:rsidP="00BC1B1E">
            <w:pPr>
              <w:widowControl w:val="0"/>
              <w:tabs>
                <w:tab w:val="clear" w:pos="567"/>
              </w:tabs>
              <w:snapToGrid/>
              <w:rPr>
                <w:rFonts w:eastAsia="Times New Roman" w:cs="Arial"/>
                <w:b/>
                <w:snapToGrid/>
                <w:color w:val="4E5763"/>
                <w:sz w:val="19"/>
                <w:szCs w:val="19"/>
                <w:lang w:eastAsia="en-GB"/>
              </w:rPr>
            </w:pPr>
          </w:p>
        </w:tc>
        <w:tc>
          <w:tcPr>
            <w:tcW w:w="2268" w:type="dxa"/>
            <w:vMerge w:val="restart"/>
            <w:tcBorders>
              <w:top w:val="single" w:sz="4" w:space="0" w:color="auto"/>
              <w:left w:val="single" w:sz="4" w:space="0" w:color="auto"/>
              <w:right w:val="single" w:sz="4" w:space="0" w:color="auto"/>
            </w:tcBorders>
            <w:shd w:val="clear" w:color="auto" w:fill="auto"/>
            <w:tcMar>
              <w:top w:w="100" w:type="dxa"/>
              <w:left w:w="28" w:type="dxa"/>
              <w:bottom w:w="100" w:type="dxa"/>
              <w:right w:w="57" w:type="dxa"/>
            </w:tcMar>
          </w:tcPr>
          <w:p w14:paraId="51685925" w14:textId="77777777" w:rsidR="00BC1B1E" w:rsidRPr="00BC1B1E" w:rsidRDefault="00BC1B1E" w:rsidP="00BC1B1E">
            <w:pPr>
              <w:tabs>
                <w:tab w:val="clear" w:pos="567"/>
              </w:tabs>
              <w:snapToGrid/>
              <w:rPr>
                <w:rFonts w:eastAsia="Times New Roman" w:cs="Arial"/>
                <w:snapToGrid/>
                <w:sz w:val="19"/>
                <w:szCs w:val="19"/>
                <w:lang w:eastAsia="en-GB"/>
              </w:rPr>
            </w:pPr>
            <w:r w:rsidRPr="00BC1B1E">
              <w:rPr>
                <w:rFonts w:eastAsia="Times New Roman" w:cs="Arial"/>
                <w:snapToGrid/>
                <w:sz w:val="19"/>
                <w:szCs w:val="19"/>
                <w:lang w:eastAsia="en-GB"/>
              </w:rPr>
              <w:t>MSPglobal,</w:t>
            </w:r>
            <w:r w:rsidRPr="00BC1B1E">
              <w:rPr>
                <w:rFonts w:eastAsia="Times New Roman" w:cs="Arial"/>
                <w:snapToGrid/>
                <w:sz w:val="19"/>
                <w:szCs w:val="19"/>
                <w:lang w:eastAsia="en-GB"/>
              </w:rPr>
              <w:br/>
              <w:t>Projet international de coordination des données sur le carbone océanique,</w:t>
            </w:r>
          </w:p>
          <w:p w14:paraId="2B30B3FD" w14:textId="77777777" w:rsidR="00BC1B1E" w:rsidRPr="00BC1B1E" w:rsidRDefault="00BC1B1E" w:rsidP="00BC1B1E">
            <w:pPr>
              <w:tabs>
                <w:tab w:val="clear" w:pos="567"/>
              </w:tabs>
              <w:snapToGrid/>
              <w:rPr>
                <w:rFonts w:eastAsia="Times New Roman" w:cs="Arial"/>
                <w:b/>
                <w:snapToGrid/>
                <w:sz w:val="19"/>
                <w:szCs w:val="19"/>
                <w:lang w:eastAsia="en-GB"/>
              </w:rPr>
            </w:pPr>
            <w:r w:rsidRPr="00BC1B1E">
              <w:rPr>
                <w:rFonts w:eastAsia="Times New Roman" w:cs="Arial"/>
                <w:snapToGrid/>
                <w:sz w:val="19"/>
                <w:szCs w:val="19"/>
                <w:lang w:eastAsia="en-GB"/>
              </w:rPr>
              <w:t>programmes de sciences océaniques</w:t>
            </w:r>
          </w:p>
        </w:tc>
        <w:tc>
          <w:tcPr>
            <w:tcW w:w="5670" w:type="dxa"/>
            <w:tcBorders>
              <w:top w:val="single" w:sz="5" w:space="0" w:color="000000"/>
              <w:left w:val="single" w:sz="4" w:space="0" w:color="auto"/>
              <w:bottom w:val="single" w:sz="5" w:space="0" w:color="000000"/>
              <w:right w:val="single" w:sz="5" w:space="0" w:color="000000"/>
            </w:tcBorders>
            <w:tcMar>
              <w:top w:w="0" w:type="dxa"/>
              <w:left w:w="28" w:type="dxa"/>
              <w:bottom w:w="0" w:type="dxa"/>
              <w:right w:w="57" w:type="dxa"/>
            </w:tcMar>
          </w:tcPr>
          <w:p w14:paraId="0675B8B2" w14:textId="3CE29031" w:rsidR="00BC1B1E" w:rsidRPr="00BC1B1E" w:rsidRDefault="00BC1B1E" w:rsidP="00B06592">
            <w:pPr>
              <w:widowControl w:val="0"/>
              <w:tabs>
                <w:tab w:val="clear" w:pos="567"/>
              </w:tabs>
              <w:snapToGrid/>
              <w:jc w:val="both"/>
              <w:rPr>
                <w:rFonts w:eastAsia="Times New Roman" w:cs="Arial"/>
                <w:snapToGrid/>
                <w:sz w:val="19"/>
                <w:szCs w:val="19"/>
                <w:lang w:val="en-GB" w:eastAsia="en-GB"/>
              </w:rPr>
            </w:pPr>
            <w:r w:rsidRPr="00BC1B1E">
              <w:rPr>
                <w:rFonts w:eastAsia="Times New Roman" w:cs="Arial"/>
                <w:snapToGrid/>
                <w:sz w:val="19"/>
                <w:szCs w:val="19"/>
                <w:lang w:eastAsia="en-GB"/>
              </w:rPr>
              <w:t>Élaborer des outils et des lignes directrices pour intégrer la résilience climatique et les mesures de conservation dans la planification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w:t>
            </w:r>
          </w:p>
        </w:tc>
      </w:tr>
      <w:tr w:rsidR="00BC1B1E" w:rsidRPr="00BC1B1E" w14:paraId="3F88AC74" w14:textId="77777777" w:rsidTr="00B06592">
        <w:trPr>
          <w:trHeight w:val="615"/>
        </w:trPr>
        <w:tc>
          <w:tcPr>
            <w:tcW w:w="1696" w:type="dxa"/>
            <w:vMerge/>
            <w:tcBorders>
              <w:right w:val="single" w:sz="4" w:space="0" w:color="auto"/>
            </w:tcBorders>
            <w:shd w:val="clear" w:color="auto" w:fill="auto"/>
            <w:tcMar>
              <w:top w:w="100" w:type="dxa"/>
              <w:left w:w="28" w:type="dxa"/>
              <w:bottom w:w="100" w:type="dxa"/>
              <w:right w:w="57" w:type="dxa"/>
            </w:tcMar>
          </w:tcPr>
          <w:p w14:paraId="13F6CDFA"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val="en-GB" w:eastAsia="en-GB"/>
              </w:rPr>
            </w:pPr>
          </w:p>
        </w:tc>
        <w:tc>
          <w:tcPr>
            <w:tcW w:w="2268" w:type="dxa"/>
            <w:vMerge/>
            <w:tcBorders>
              <w:left w:val="single" w:sz="4" w:space="0" w:color="auto"/>
              <w:right w:val="single" w:sz="4" w:space="0" w:color="auto"/>
            </w:tcBorders>
            <w:shd w:val="clear" w:color="auto" w:fill="auto"/>
            <w:tcMar>
              <w:top w:w="100" w:type="dxa"/>
              <w:left w:w="28" w:type="dxa"/>
              <w:bottom w:w="100" w:type="dxa"/>
              <w:right w:w="57" w:type="dxa"/>
            </w:tcMar>
          </w:tcPr>
          <w:p w14:paraId="7E48B07B"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val="en-GB" w:eastAsia="en-GB"/>
              </w:rPr>
            </w:pPr>
          </w:p>
        </w:tc>
        <w:tc>
          <w:tcPr>
            <w:tcW w:w="5670" w:type="dxa"/>
            <w:tcBorders>
              <w:top w:val="nil"/>
              <w:left w:val="single" w:sz="4" w:space="0" w:color="auto"/>
              <w:bottom w:val="single" w:sz="5" w:space="0" w:color="000000"/>
              <w:right w:val="single" w:sz="5" w:space="0" w:color="000000"/>
            </w:tcBorders>
            <w:tcMar>
              <w:top w:w="0" w:type="dxa"/>
              <w:left w:w="28" w:type="dxa"/>
              <w:bottom w:w="0" w:type="dxa"/>
              <w:right w:w="57" w:type="dxa"/>
            </w:tcMar>
          </w:tcPr>
          <w:p w14:paraId="45A75585" w14:textId="73811BE9" w:rsidR="00BC1B1E" w:rsidRPr="00BC1B1E" w:rsidRDefault="00BC1B1E" w:rsidP="00B06592">
            <w:pPr>
              <w:widowControl w:val="0"/>
              <w:tabs>
                <w:tab w:val="clear" w:pos="567"/>
              </w:tabs>
              <w:snapToGrid/>
              <w:jc w:val="both"/>
              <w:rPr>
                <w:rFonts w:eastAsia="Times New Roman" w:cs="Arial"/>
                <w:snapToGrid/>
                <w:sz w:val="19"/>
                <w:szCs w:val="19"/>
                <w:lang w:val="en-GB" w:eastAsia="en-GB"/>
              </w:rPr>
            </w:pPr>
            <w:r w:rsidRPr="00BC1B1E">
              <w:rPr>
                <w:rFonts w:eastAsia="Times New Roman" w:cs="Arial"/>
                <w:snapToGrid/>
                <w:sz w:val="19"/>
                <w:szCs w:val="19"/>
                <w:lang w:eastAsia="en-GB"/>
              </w:rPr>
              <w:t>Élaborer et publier régulièrement des rapports et des évaluations sur les bonnes pratiques et les orientations en matière de planification et de gestion durables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w:t>
            </w:r>
          </w:p>
        </w:tc>
      </w:tr>
      <w:tr w:rsidR="00BC1B1E" w:rsidRPr="00BC1B1E" w14:paraId="179D6477" w14:textId="77777777" w:rsidTr="00B06592">
        <w:trPr>
          <w:trHeight w:val="369"/>
        </w:trPr>
        <w:tc>
          <w:tcPr>
            <w:tcW w:w="1696" w:type="dxa"/>
            <w:vMerge/>
            <w:tcBorders>
              <w:right w:val="single" w:sz="4" w:space="0" w:color="auto"/>
            </w:tcBorders>
            <w:shd w:val="clear" w:color="auto" w:fill="auto"/>
            <w:tcMar>
              <w:top w:w="100" w:type="dxa"/>
              <w:left w:w="28" w:type="dxa"/>
              <w:bottom w:w="100" w:type="dxa"/>
              <w:right w:w="57" w:type="dxa"/>
            </w:tcMar>
          </w:tcPr>
          <w:p w14:paraId="794CAF82"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val="en-GB" w:eastAsia="en-GB"/>
              </w:rPr>
            </w:pPr>
          </w:p>
        </w:tc>
        <w:tc>
          <w:tcPr>
            <w:tcW w:w="2268" w:type="dxa"/>
            <w:vMerge/>
            <w:tcBorders>
              <w:left w:val="single" w:sz="4" w:space="0" w:color="auto"/>
              <w:right w:val="single" w:sz="4" w:space="0" w:color="auto"/>
            </w:tcBorders>
            <w:shd w:val="clear" w:color="auto" w:fill="auto"/>
            <w:tcMar>
              <w:top w:w="100" w:type="dxa"/>
              <w:left w:w="28" w:type="dxa"/>
              <w:bottom w:w="100" w:type="dxa"/>
              <w:right w:w="57" w:type="dxa"/>
            </w:tcMar>
          </w:tcPr>
          <w:p w14:paraId="0DF61879"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val="en-GB" w:eastAsia="en-GB"/>
              </w:rPr>
            </w:pPr>
          </w:p>
        </w:tc>
        <w:tc>
          <w:tcPr>
            <w:tcW w:w="5670" w:type="dxa"/>
            <w:tcBorders>
              <w:top w:val="nil"/>
              <w:left w:val="single" w:sz="4" w:space="0" w:color="auto"/>
              <w:bottom w:val="single" w:sz="5" w:space="0" w:color="000000"/>
              <w:right w:val="single" w:sz="5" w:space="0" w:color="000000"/>
            </w:tcBorders>
            <w:tcMar>
              <w:top w:w="0" w:type="dxa"/>
              <w:left w:w="28" w:type="dxa"/>
              <w:bottom w:w="0" w:type="dxa"/>
              <w:right w:w="57" w:type="dxa"/>
            </w:tcMar>
          </w:tcPr>
          <w:p w14:paraId="35159261" w14:textId="343A0C08" w:rsidR="00BC1B1E" w:rsidRPr="00BC1B1E" w:rsidRDefault="00BC1B1E" w:rsidP="009F61A3">
            <w:pPr>
              <w:widowControl w:val="0"/>
              <w:tabs>
                <w:tab w:val="clear" w:pos="567"/>
              </w:tabs>
              <w:snapToGrid/>
              <w:rPr>
                <w:rFonts w:eastAsia="Times New Roman" w:cs="Arial"/>
                <w:snapToGrid/>
                <w:sz w:val="19"/>
                <w:szCs w:val="19"/>
                <w:lang w:val="en-GB" w:eastAsia="en-GB"/>
              </w:rPr>
            </w:pPr>
            <w:r w:rsidRPr="00BC1B1E">
              <w:rPr>
                <w:rFonts w:eastAsia="Times New Roman" w:cs="Arial"/>
                <w:snapToGrid/>
                <w:sz w:val="19"/>
                <w:szCs w:val="19"/>
                <w:lang w:eastAsia="en-GB"/>
              </w:rPr>
              <w:t>Faciliter l</w:t>
            </w:r>
            <w:r w:rsidRPr="007900EE">
              <w:rPr>
                <w:rFonts w:eastAsia="Times New Roman" w:cs="Arial"/>
                <w:snapToGrid/>
                <w:sz w:val="19"/>
                <w:szCs w:val="19"/>
                <w:lang w:eastAsia="en-GB"/>
              </w:rPr>
              <w:t>’</w:t>
            </w:r>
            <w:r w:rsidRPr="00BC1B1E">
              <w:rPr>
                <w:rFonts w:eastAsia="Times New Roman" w:cs="Arial"/>
                <w:snapToGrid/>
                <w:sz w:val="19"/>
                <w:szCs w:val="19"/>
                <w:lang w:eastAsia="en-GB"/>
              </w:rPr>
              <w:t>élaboration de lignes directrices et de normes mondiales pour la planification et la gestion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w:t>
            </w:r>
          </w:p>
        </w:tc>
      </w:tr>
      <w:tr w:rsidR="00BC1B1E" w:rsidRPr="00BC1B1E" w14:paraId="50FCA897" w14:textId="77777777" w:rsidTr="00B06592">
        <w:trPr>
          <w:trHeight w:val="365"/>
        </w:trPr>
        <w:tc>
          <w:tcPr>
            <w:tcW w:w="1696" w:type="dxa"/>
            <w:vMerge/>
            <w:tcBorders>
              <w:right w:val="single" w:sz="4" w:space="0" w:color="auto"/>
            </w:tcBorders>
            <w:shd w:val="clear" w:color="auto" w:fill="auto"/>
            <w:tcMar>
              <w:top w:w="100" w:type="dxa"/>
              <w:left w:w="28" w:type="dxa"/>
              <w:bottom w:w="100" w:type="dxa"/>
              <w:right w:w="57" w:type="dxa"/>
            </w:tcMar>
          </w:tcPr>
          <w:p w14:paraId="0C23D8D0"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val="en-GB" w:eastAsia="en-GB"/>
              </w:rPr>
            </w:pPr>
          </w:p>
        </w:tc>
        <w:tc>
          <w:tcPr>
            <w:tcW w:w="2268" w:type="dxa"/>
            <w:vMerge/>
            <w:tcBorders>
              <w:left w:val="single" w:sz="4" w:space="0" w:color="auto"/>
              <w:right w:val="single" w:sz="4" w:space="0" w:color="auto"/>
            </w:tcBorders>
            <w:shd w:val="clear" w:color="auto" w:fill="auto"/>
            <w:tcMar>
              <w:top w:w="100" w:type="dxa"/>
              <w:left w:w="28" w:type="dxa"/>
              <w:bottom w:w="100" w:type="dxa"/>
              <w:right w:w="57" w:type="dxa"/>
            </w:tcMar>
          </w:tcPr>
          <w:p w14:paraId="56416426"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val="en-GB" w:eastAsia="en-GB"/>
              </w:rPr>
            </w:pPr>
          </w:p>
        </w:tc>
        <w:tc>
          <w:tcPr>
            <w:tcW w:w="5670" w:type="dxa"/>
            <w:tcBorders>
              <w:top w:val="nil"/>
              <w:left w:val="single" w:sz="4" w:space="0" w:color="auto"/>
              <w:bottom w:val="single" w:sz="5" w:space="0" w:color="000000"/>
              <w:right w:val="single" w:sz="5" w:space="0" w:color="000000"/>
            </w:tcBorders>
            <w:tcMar>
              <w:top w:w="0" w:type="dxa"/>
              <w:left w:w="28" w:type="dxa"/>
              <w:bottom w:w="0" w:type="dxa"/>
              <w:right w:w="57" w:type="dxa"/>
            </w:tcMar>
          </w:tcPr>
          <w:p w14:paraId="25ABF5AD" w14:textId="2058A55C" w:rsidR="00BC1B1E" w:rsidRPr="00BC1B1E" w:rsidRDefault="00BC1B1E" w:rsidP="00B06592">
            <w:pPr>
              <w:widowControl w:val="0"/>
              <w:tabs>
                <w:tab w:val="clear" w:pos="567"/>
              </w:tabs>
              <w:snapToGrid/>
              <w:jc w:val="both"/>
              <w:rPr>
                <w:rFonts w:eastAsia="Times New Roman" w:cs="Arial"/>
                <w:snapToGrid/>
                <w:sz w:val="19"/>
                <w:szCs w:val="19"/>
                <w:lang w:val="en-GB" w:eastAsia="en-GB"/>
              </w:rPr>
            </w:pPr>
            <w:r w:rsidRPr="00BC1B1E">
              <w:rPr>
                <w:rFonts w:eastAsia="Times New Roman" w:cs="Arial"/>
                <w:snapToGrid/>
                <w:sz w:val="19"/>
                <w:szCs w:val="19"/>
                <w:lang w:eastAsia="en-GB"/>
              </w:rPr>
              <w:t>Aider les États membres à faciliter l</w:t>
            </w:r>
            <w:r w:rsidRPr="007900EE">
              <w:rPr>
                <w:rFonts w:eastAsia="Times New Roman" w:cs="Arial"/>
                <w:snapToGrid/>
                <w:sz w:val="19"/>
                <w:szCs w:val="19"/>
                <w:lang w:eastAsia="en-GB"/>
              </w:rPr>
              <w:t>’</w:t>
            </w:r>
            <w:r w:rsidRPr="00BC1B1E">
              <w:rPr>
                <w:rFonts w:eastAsia="Times New Roman" w:cs="Arial"/>
                <w:snapToGrid/>
                <w:sz w:val="19"/>
                <w:szCs w:val="19"/>
                <w:lang w:eastAsia="en-GB"/>
              </w:rPr>
              <w:t>intégration des principes de planification et de gestion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 de manière efficace.</w:t>
            </w:r>
          </w:p>
        </w:tc>
      </w:tr>
      <w:tr w:rsidR="00BC1B1E" w:rsidRPr="00BC1B1E" w14:paraId="024E0342" w14:textId="77777777" w:rsidTr="00B06592">
        <w:trPr>
          <w:trHeight w:val="529"/>
        </w:trPr>
        <w:tc>
          <w:tcPr>
            <w:tcW w:w="1696" w:type="dxa"/>
            <w:vMerge/>
            <w:tcBorders>
              <w:right w:val="single" w:sz="4" w:space="0" w:color="auto"/>
            </w:tcBorders>
            <w:shd w:val="clear" w:color="auto" w:fill="auto"/>
            <w:tcMar>
              <w:top w:w="100" w:type="dxa"/>
              <w:left w:w="28" w:type="dxa"/>
              <w:bottom w:w="100" w:type="dxa"/>
              <w:right w:w="57" w:type="dxa"/>
            </w:tcMar>
          </w:tcPr>
          <w:p w14:paraId="07DC9249"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val="en-GB" w:eastAsia="en-GB"/>
              </w:rPr>
            </w:pPr>
          </w:p>
        </w:tc>
        <w:tc>
          <w:tcPr>
            <w:tcW w:w="2268" w:type="dxa"/>
            <w:vMerge/>
            <w:tcBorders>
              <w:left w:val="single" w:sz="4" w:space="0" w:color="auto"/>
              <w:right w:val="single" w:sz="4" w:space="0" w:color="auto"/>
            </w:tcBorders>
            <w:shd w:val="clear" w:color="auto" w:fill="auto"/>
            <w:tcMar>
              <w:top w:w="100" w:type="dxa"/>
              <w:left w:w="28" w:type="dxa"/>
              <w:bottom w:w="100" w:type="dxa"/>
              <w:right w:w="57" w:type="dxa"/>
            </w:tcMar>
          </w:tcPr>
          <w:p w14:paraId="33E49D70"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val="en-GB" w:eastAsia="en-GB"/>
              </w:rPr>
            </w:pPr>
          </w:p>
        </w:tc>
        <w:tc>
          <w:tcPr>
            <w:tcW w:w="5670" w:type="dxa"/>
            <w:tcBorders>
              <w:top w:val="nil"/>
              <w:left w:val="single" w:sz="4" w:space="0" w:color="auto"/>
              <w:bottom w:val="single" w:sz="4" w:space="0" w:color="auto"/>
              <w:right w:val="single" w:sz="5" w:space="0" w:color="000000"/>
            </w:tcBorders>
            <w:tcMar>
              <w:top w:w="0" w:type="dxa"/>
              <w:left w:w="28" w:type="dxa"/>
              <w:bottom w:w="0" w:type="dxa"/>
              <w:right w:w="57" w:type="dxa"/>
            </w:tcMar>
          </w:tcPr>
          <w:p w14:paraId="64789DE3" w14:textId="2B7AE2FE" w:rsidR="00BC1B1E" w:rsidRPr="00BC1B1E" w:rsidRDefault="00BC1B1E" w:rsidP="00B06592">
            <w:pPr>
              <w:widowControl w:val="0"/>
              <w:tabs>
                <w:tab w:val="clear" w:pos="567"/>
              </w:tabs>
              <w:snapToGrid/>
              <w:jc w:val="both"/>
              <w:rPr>
                <w:rFonts w:eastAsia="Times New Roman" w:cs="Arial"/>
                <w:snapToGrid/>
                <w:spacing w:val="-3"/>
                <w:sz w:val="19"/>
                <w:szCs w:val="19"/>
                <w:lang w:val="en-GB" w:eastAsia="en-GB"/>
              </w:rPr>
            </w:pPr>
            <w:r w:rsidRPr="00BC1B1E">
              <w:rPr>
                <w:rFonts w:eastAsia="Times New Roman" w:cs="Arial"/>
                <w:snapToGrid/>
                <w:spacing w:val="-3"/>
                <w:sz w:val="19"/>
                <w:szCs w:val="19"/>
                <w:lang w:eastAsia="en-GB"/>
              </w:rPr>
              <w:t>Aider les États membres à élaborer conjointement des feuilles de route complètes pour guider le développement et la mise en œuvre d</w:t>
            </w:r>
            <w:r w:rsidRPr="007900EE">
              <w:rPr>
                <w:rFonts w:eastAsia="Times New Roman" w:cs="Arial"/>
                <w:snapToGrid/>
                <w:spacing w:val="-3"/>
                <w:sz w:val="19"/>
                <w:szCs w:val="19"/>
                <w:lang w:eastAsia="en-GB"/>
              </w:rPr>
              <w:t>’</w:t>
            </w:r>
            <w:r w:rsidRPr="00BC1B1E">
              <w:rPr>
                <w:rFonts w:eastAsia="Times New Roman" w:cs="Arial"/>
                <w:snapToGrid/>
                <w:spacing w:val="-3"/>
                <w:sz w:val="19"/>
                <w:szCs w:val="19"/>
                <w:lang w:eastAsia="en-GB"/>
              </w:rPr>
              <w:t>approches liées à la planification et à la gestion durables de l</w:t>
            </w:r>
            <w:r w:rsidRPr="007900EE">
              <w:rPr>
                <w:rFonts w:eastAsia="Times New Roman" w:cs="Arial"/>
                <w:snapToGrid/>
                <w:spacing w:val="-3"/>
                <w:sz w:val="19"/>
                <w:szCs w:val="19"/>
                <w:lang w:eastAsia="en-GB"/>
              </w:rPr>
              <w:t>’</w:t>
            </w:r>
            <w:r w:rsidRPr="00BC1B1E">
              <w:rPr>
                <w:rFonts w:eastAsia="Times New Roman" w:cs="Arial"/>
                <w:snapToGrid/>
                <w:spacing w:val="-3"/>
                <w:sz w:val="19"/>
                <w:szCs w:val="19"/>
                <w:lang w:eastAsia="en-GB"/>
              </w:rPr>
              <w:t>océan.</w:t>
            </w:r>
          </w:p>
        </w:tc>
      </w:tr>
      <w:tr w:rsidR="00BC1B1E" w:rsidRPr="00BC1B1E" w14:paraId="668A7072" w14:textId="77777777" w:rsidTr="00B06592">
        <w:trPr>
          <w:trHeight w:val="529"/>
        </w:trPr>
        <w:tc>
          <w:tcPr>
            <w:tcW w:w="1696" w:type="dxa"/>
            <w:tcBorders>
              <w:right w:val="single" w:sz="4" w:space="0" w:color="auto"/>
            </w:tcBorders>
            <w:shd w:val="clear" w:color="auto" w:fill="auto"/>
            <w:tcMar>
              <w:top w:w="100" w:type="dxa"/>
              <w:left w:w="28" w:type="dxa"/>
              <w:bottom w:w="100" w:type="dxa"/>
              <w:right w:w="57" w:type="dxa"/>
            </w:tcMar>
          </w:tcPr>
          <w:p w14:paraId="05DF9CC6"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val="en-GB" w:eastAsia="en-GB"/>
              </w:rPr>
            </w:pPr>
          </w:p>
        </w:tc>
        <w:tc>
          <w:tcPr>
            <w:tcW w:w="2268" w:type="dxa"/>
            <w:tcBorders>
              <w:left w:val="single" w:sz="4" w:space="0" w:color="auto"/>
              <w:bottom w:val="single" w:sz="4" w:space="0" w:color="auto"/>
              <w:right w:val="single" w:sz="4" w:space="0" w:color="auto"/>
            </w:tcBorders>
            <w:shd w:val="clear" w:color="auto" w:fill="auto"/>
            <w:tcMar>
              <w:top w:w="100" w:type="dxa"/>
              <w:left w:w="28" w:type="dxa"/>
              <w:bottom w:w="100" w:type="dxa"/>
              <w:right w:w="57" w:type="dxa"/>
            </w:tcMar>
          </w:tcPr>
          <w:p w14:paraId="6E8E0855" w14:textId="77777777" w:rsidR="00BC1B1E" w:rsidRPr="00BC1B1E" w:rsidRDefault="00BC1B1E" w:rsidP="00BC1B1E">
            <w:pPr>
              <w:widowControl w:val="0"/>
              <w:pBdr>
                <w:top w:val="nil"/>
                <w:left w:val="nil"/>
                <w:bottom w:val="nil"/>
                <w:right w:val="nil"/>
                <w:between w:val="nil"/>
              </w:pBdr>
              <w:tabs>
                <w:tab w:val="clear" w:pos="567"/>
              </w:tabs>
              <w:snapToGrid/>
              <w:rPr>
                <w:rFonts w:eastAsia="Times New Roman" w:cs="Arial"/>
                <w:i/>
                <w:snapToGrid/>
                <w:color w:val="4E5763"/>
                <w:sz w:val="19"/>
                <w:szCs w:val="19"/>
                <w:lang w:val="en-GB" w:eastAsia="en-GB"/>
              </w:rPr>
            </w:pPr>
          </w:p>
        </w:tc>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57" w:type="dxa"/>
            </w:tcMar>
          </w:tcPr>
          <w:p w14:paraId="59E2A2BF" w14:textId="04798B88" w:rsidR="00BC1B1E" w:rsidRPr="00BC1B1E" w:rsidRDefault="00BC1B1E" w:rsidP="00B06592">
            <w:pPr>
              <w:widowControl w:val="0"/>
              <w:tabs>
                <w:tab w:val="clear" w:pos="567"/>
              </w:tabs>
              <w:snapToGrid/>
              <w:jc w:val="both"/>
              <w:rPr>
                <w:rFonts w:eastAsia="Times New Roman" w:cs="Arial"/>
                <w:snapToGrid/>
                <w:sz w:val="19"/>
                <w:szCs w:val="19"/>
                <w:lang w:eastAsia="en-GB"/>
              </w:rPr>
            </w:pPr>
            <w:r w:rsidRPr="00BC1B1E">
              <w:rPr>
                <w:rFonts w:eastAsia="Times New Roman" w:cs="Arial"/>
                <w:snapToGrid/>
                <w:sz w:val="19"/>
                <w:szCs w:val="19"/>
                <w:lang w:eastAsia="en-GB"/>
              </w:rPr>
              <w:t>Identifier les nouveaux éléments de preuve scientifiques à intégrer dans les processus/outils de planification durable de l</w:t>
            </w:r>
            <w:r w:rsidRPr="007900EE">
              <w:rPr>
                <w:rFonts w:eastAsia="Times New Roman" w:cs="Arial"/>
                <w:snapToGrid/>
                <w:sz w:val="19"/>
                <w:szCs w:val="19"/>
                <w:lang w:eastAsia="en-GB"/>
              </w:rPr>
              <w:t>’</w:t>
            </w:r>
            <w:r w:rsidRPr="00BC1B1E">
              <w:rPr>
                <w:rFonts w:eastAsia="Times New Roman" w:cs="Arial"/>
                <w:snapToGrid/>
                <w:sz w:val="19"/>
                <w:szCs w:val="19"/>
                <w:lang w:eastAsia="en-GB"/>
              </w:rPr>
              <w:t>océan.</w:t>
            </w:r>
          </w:p>
        </w:tc>
      </w:tr>
    </w:tbl>
    <w:p w14:paraId="3EF65AD0" w14:textId="0B79772B" w:rsidR="00BC1B1E" w:rsidRPr="00511548" w:rsidRDefault="00BC1B1E" w:rsidP="009F61A3">
      <w:pPr>
        <w:pStyle w:val="Marge"/>
        <w:spacing w:before="240"/>
        <w:jc w:val="left"/>
        <w:rPr>
          <w:i/>
          <w:iCs/>
          <w:snapToGrid/>
        </w:rPr>
      </w:pPr>
      <w:r w:rsidRPr="00BC1B1E">
        <w:rPr>
          <w:b/>
          <w:snapToGrid/>
          <w:lang w:val="en-GB"/>
        </w:rPr>
        <w:t xml:space="preserve">Tableau 2. </w:t>
      </w:r>
      <w:r w:rsidRPr="00511548">
        <w:rPr>
          <w:i/>
          <w:iCs/>
          <w:snapToGrid/>
        </w:rPr>
        <w:t xml:space="preserve">Contribution potentielle des programmes de la COI aux objectifs stratégiques </w:t>
      </w:r>
      <w:r w:rsidR="009F61A3">
        <w:rPr>
          <w:i/>
          <w:iCs/>
          <w:snapToGrid/>
        </w:rPr>
        <w:br/>
      </w:r>
      <w:r w:rsidRPr="00511548">
        <w:rPr>
          <w:i/>
          <w:iCs/>
          <w:snapToGrid/>
        </w:rPr>
        <w:t>(</w:t>
      </w:r>
      <w:r w:rsidR="009F61A3">
        <w:rPr>
          <w:i/>
          <w:iCs/>
          <w:snapToGrid/>
        </w:rPr>
        <w:t>L</w:t>
      </w:r>
      <w:r w:rsidRPr="00511548">
        <w:rPr>
          <w:i/>
          <w:iCs/>
          <w:snapToGrid/>
        </w:rPr>
        <w:t>orsqu’une contribution ou une synergie existe, la cellule est surlignée en vert</w:t>
      </w:r>
      <w:r w:rsidR="009F61A3">
        <w:rPr>
          <w:i/>
          <w:iCs/>
          <w:snapToGrid/>
        </w:rPr>
        <w:t>.</w:t>
      </w:r>
      <w:r w:rsidRPr="00511548">
        <w:rPr>
          <w:i/>
          <w:iCs/>
          <w:snapToGrid/>
        </w:rPr>
        <w:t>)</w:t>
      </w:r>
    </w:p>
    <w:tbl>
      <w:tblPr>
        <w:tblW w:w="9815" w:type="dxa"/>
        <w:tblBorders>
          <w:top w:val="nil"/>
          <w:left w:val="nil"/>
          <w:bottom w:val="nil"/>
          <w:right w:val="nil"/>
          <w:insideH w:val="nil"/>
          <w:insideV w:val="nil"/>
        </w:tblBorders>
        <w:tblLayout w:type="fixed"/>
        <w:tblLook w:val="0600" w:firstRow="0" w:lastRow="0" w:firstColumn="0" w:lastColumn="0" w:noHBand="1" w:noVBand="1"/>
      </w:tblPr>
      <w:tblGrid>
        <w:gridCol w:w="3676"/>
        <w:gridCol w:w="1701"/>
        <w:gridCol w:w="1701"/>
        <w:gridCol w:w="1276"/>
        <w:gridCol w:w="1461"/>
      </w:tblGrid>
      <w:tr w:rsidR="00BC1B1E" w:rsidRPr="00BC1B1E" w14:paraId="33D95740" w14:textId="77777777" w:rsidTr="007900EE">
        <w:trPr>
          <w:trHeight w:val="319"/>
          <w:tblHeader/>
        </w:trPr>
        <w:tc>
          <w:tcPr>
            <w:tcW w:w="3676" w:type="dxa"/>
            <w:vMerge w:val="restart"/>
            <w:tcBorders>
              <w:top w:val="single" w:sz="8" w:space="0" w:color="000000"/>
              <w:left w:val="single" w:sz="8" w:space="0" w:color="000000"/>
              <w:bottom w:val="single" w:sz="8" w:space="0" w:color="000000"/>
              <w:right w:val="single" w:sz="8" w:space="0" w:color="000000"/>
            </w:tcBorders>
            <w:shd w:val="clear" w:color="auto" w:fill="666666"/>
            <w:tcMar>
              <w:top w:w="0" w:type="dxa"/>
              <w:left w:w="100" w:type="dxa"/>
              <w:bottom w:w="0" w:type="dxa"/>
              <w:right w:w="100" w:type="dxa"/>
            </w:tcMar>
          </w:tcPr>
          <w:p w14:paraId="77BF8735" w14:textId="77777777" w:rsidR="00BC1B1E" w:rsidRPr="00BC1B1E" w:rsidRDefault="00BC1B1E" w:rsidP="007900EE">
            <w:pPr>
              <w:tabs>
                <w:tab w:val="clear" w:pos="567"/>
              </w:tabs>
              <w:snapToGrid/>
              <w:spacing w:before="40"/>
              <w:jc w:val="center"/>
              <w:rPr>
                <w:rFonts w:eastAsia="Times New Roman" w:cs="Arial"/>
                <w:b/>
                <w:snapToGrid/>
                <w:color w:val="FFFFFF"/>
                <w:sz w:val="18"/>
                <w:szCs w:val="18"/>
                <w:lang w:val="en-GB" w:eastAsia="en-GB"/>
              </w:rPr>
            </w:pPr>
            <w:r w:rsidRPr="00BC1B1E">
              <w:rPr>
                <w:rFonts w:eastAsia="Times New Roman" w:cs="Arial"/>
                <w:b/>
                <w:snapToGrid/>
                <w:color w:val="FFFFFF"/>
                <w:sz w:val="18"/>
                <w:szCs w:val="18"/>
                <w:lang w:val="en-GB" w:eastAsia="en-GB"/>
              </w:rPr>
              <w:t>Programmes de la COI</w:t>
            </w:r>
          </w:p>
        </w:tc>
        <w:tc>
          <w:tcPr>
            <w:tcW w:w="6139" w:type="dxa"/>
            <w:gridSpan w:val="4"/>
            <w:tcBorders>
              <w:top w:val="single" w:sz="8" w:space="0" w:color="000000"/>
              <w:left w:val="single" w:sz="8" w:space="0" w:color="000000"/>
              <w:bottom w:val="single" w:sz="8" w:space="0" w:color="000000"/>
              <w:right w:val="single" w:sz="8" w:space="0" w:color="000000"/>
            </w:tcBorders>
            <w:shd w:val="clear" w:color="auto" w:fill="666666"/>
            <w:tcMar>
              <w:top w:w="0" w:type="dxa"/>
              <w:left w:w="57" w:type="dxa"/>
              <w:bottom w:w="0" w:type="dxa"/>
              <w:right w:w="28" w:type="dxa"/>
            </w:tcMar>
          </w:tcPr>
          <w:p w14:paraId="09B30527" w14:textId="77777777" w:rsidR="00BC1B1E" w:rsidRPr="00BC1B1E" w:rsidRDefault="00BC1B1E" w:rsidP="007900EE">
            <w:pPr>
              <w:tabs>
                <w:tab w:val="clear" w:pos="567"/>
              </w:tabs>
              <w:snapToGrid/>
              <w:spacing w:before="40"/>
              <w:rPr>
                <w:rFonts w:eastAsia="Times New Roman" w:cs="Arial"/>
                <w:b/>
                <w:snapToGrid/>
                <w:color w:val="FFFFFF"/>
                <w:sz w:val="18"/>
                <w:szCs w:val="18"/>
                <w:lang w:val="en-GB" w:eastAsia="en-GB"/>
              </w:rPr>
            </w:pPr>
            <w:r w:rsidRPr="00BC1B1E">
              <w:rPr>
                <w:rFonts w:eastAsia="Times New Roman" w:cs="Arial"/>
                <w:b/>
                <w:snapToGrid/>
                <w:color w:val="FFFFFF"/>
                <w:sz w:val="18"/>
                <w:szCs w:val="18"/>
                <w:lang w:val="en-GB" w:eastAsia="en-GB"/>
              </w:rPr>
              <w:t>Objectifs stratégiques</w:t>
            </w:r>
          </w:p>
        </w:tc>
      </w:tr>
      <w:tr w:rsidR="00BC1B1E" w:rsidRPr="00BC1B1E" w14:paraId="57361963" w14:textId="77777777" w:rsidTr="007900EE">
        <w:trPr>
          <w:trHeight w:val="525"/>
          <w:tblHeader/>
        </w:trPr>
        <w:tc>
          <w:tcPr>
            <w:tcW w:w="3676" w:type="dxa"/>
            <w:vMerge/>
            <w:tcBorders>
              <w:top w:val="single" w:sz="8" w:space="0" w:color="000000"/>
              <w:left w:val="single" w:sz="8" w:space="0" w:color="000000"/>
              <w:bottom w:val="single" w:sz="8" w:space="0" w:color="000000"/>
              <w:right w:val="single" w:sz="8" w:space="0" w:color="000000"/>
            </w:tcBorders>
            <w:shd w:val="clear" w:color="auto" w:fill="666666"/>
            <w:tcMar>
              <w:top w:w="0" w:type="dxa"/>
              <w:left w:w="100" w:type="dxa"/>
              <w:bottom w:w="0" w:type="dxa"/>
              <w:right w:w="100" w:type="dxa"/>
            </w:tcMar>
          </w:tcPr>
          <w:p w14:paraId="33F500ED" w14:textId="77777777" w:rsidR="00BC1B1E" w:rsidRPr="00BC1B1E" w:rsidRDefault="00BC1B1E" w:rsidP="00BC1B1E">
            <w:pPr>
              <w:tabs>
                <w:tab w:val="clear" w:pos="567"/>
              </w:tabs>
              <w:snapToGrid/>
              <w:rPr>
                <w:rFonts w:eastAsia="Times New Roman" w:cs="Arial"/>
                <w:b/>
                <w:snapToGrid/>
                <w:color w:val="FFFFFF"/>
                <w:sz w:val="18"/>
                <w:szCs w:val="18"/>
                <w:lang w:val="en-GB"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666666"/>
            <w:tcMar>
              <w:top w:w="0" w:type="dxa"/>
              <w:left w:w="57" w:type="dxa"/>
              <w:bottom w:w="0" w:type="dxa"/>
              <w:right w:w="28" w:type="dxa"/>
            </w:tcMar>
          </w:tcPr>
          <w:p w14:paraId="5931534C" w14:textId="4B9D247D" w:rsidR="00BC1B1E" w:rsidRPr="00BC1B1E" w:rsidRDefault="00BC1B1E" w:rsidP="00BC1B1E">
            <w:pPr>
              <w:tabs>
                <w:tab w:val="clear" w:pos="567"/>
              </w:tabs>
              <w:snapToGrid/>
              <w:rPr>
                <w:rFonts w:eastAsia="Times New Roman" w:cs="Arial"/>
                <w:bCs/>
                <w:snapToGrid/>
                <w:color w:val="FFFFFF"/>
                <w:sz w:val="18"/>
                <w:szCs w:val="18"/>
                <w:lang w:eastAsia="en-GB"/>
              </w:rPr>
            </w:pPr>
            <w:r w:rsidRPr="00BC1B1E">
              <w:rPr>
                <w:rFonts w:eastAsia="Times New Roman" w:cs="Arial"/>
                <w:bCs/>
                <w:snapToGrid/>
                <w:color w:val="FFFFFF"/>
                <w:sz w:val="18"/>
                <w:szCs w:val="18"/>
                <w:lang w:eastAsia="en-GB"/>
              </w:rPr>
              <w:t>Intégration accrue et prise en compte systématique des approches de planification et de gestion durables de l</w:t>
            </w:r>
            <w:r>
              <w:rPr>
                <w:rFonts w:eastAsia="Times New Roman" w:cs="Arial"/>
                <w:bCs/>
                <w:snapToGrid/>
                <w:color w:val="FFFFFF"/>
                <w:sz w:val="18"/>
                <w:szCs w:val="18"/>
                <w:lang w:eastAsia="en-GB"/>
              </w:rPr>
              <w:t>’</w:t>
            </w:r>
            <w:r w:rsidRPr="00BC1B1E">
              <w:rPr>
                <w:rFonts w:eastAsia="Times New Roman" w:cs="Arial"/>
                <w:bCs/>
                <w:snapToGrid/>
                <w:color w:val="FFFFFF"/>
                <w:sz w:val="18"/>
                <w:szCs w:val="18"/>
                <w:lang w:eastAsia="en-GB"/>
              </w:rPr>
              <w:t>océan</w:t>
            </w:r>
          </w:p>
        </w:tc>
        <w:tc>
          <w:tcPr>
            <w:tcW w:w="1701" w:type="dxa"/>
            <w:tcBorders>
              <w:top w:val="single" w:sz="8" w:space="0" w:color="000000"/>
              <w:left w:val="single" w:sz="8" w:space="0" w:color="000000"/>
              <w:bottom w:val="single" w:sz="8" w:space="0" w:color="000000"/>
              <w:right w:val="single" w:sz="8" w:space="0" w:color="000000"/>
            </w:tcBorders>
            <w:shd w:val="clear" w:color="auto" w:fill="666666"/>
            <w:tcMar>
              <w:top w:w="0" w:type="dxa"/>
              <w:left w:w="57" w:type="dxa"/>
              <w:bottom w:w="0" w:type="dxa"/>
              <w:right w:w="28" w:type="dxa"/>
            </w:tcMar>
          </w:tcPr>
          <w:p w14:paraId="54556439" w14:textId="77777777" w:rsidR="00BC1B1E" w:rsidRPr="00BC1B1E" w:rsidRDefault="00BC1B1E" w:rsidP="007900EE">
            <w:pPr>
              <w:tabs>
                <w:tab w:val="clear" w:pos="567"/>
              </w:tabs>
              <w:snapToGrid/>
              <w:spacing w:after="40"/>
              <w:rPr>
                <w:rFonts w:eastAsia="Times New Roman" w:cs="Arial"/>
                <w:bCs/>
                <w:snapToGrid/>
                <w:color w:val="FFFFFF"/>
                <w:sz w:val="18"/>
                <w:szCs w:val="18"/>
                <w:lang w:eastAsia="en-GB"/>
              </w:rPr>
            </w:pPr>
            <w:r w:rsidRPr="00BC1B1E">
              <w:rPr>
                <w:rFonts w:eastAsia="Times New Roman" w:cs="Arial"/>
                <w:bCs/>
                <w:snapToGrid/>
                <w:color w:val="FFFFFF"/>
                <w:sz w:val="18"/>
                <w:szCs w:val="18"/>
                <w:lang w:eastAsia="en-GB"/>
              </w:rPr>
              <w:t>Meilleure gestion des observations, des données, des cadres de données et des connaissances aux fins de la gestion écosystémique et des applications sectorielles</w:t>
            </w:r>
          </w:p>
        </w:tc>
        <w:tc>
          <w:tcPr>
            <w:tcW w:w="1276" w:type="dxa"/>
            <w:tcBorders>
              <w:top w:val="single" w:sz="8" w:space="0" w:color="000000"/>
              <w:left w:val="single" w:sz="8" w:space="0" w:color="000000"/>
              <w:bottom w:val="single" w:sz="8" w:space="0" w:color="000000"/>
              <w:right w:val="single" w:sz="8" w:space="0" w:color="000000"/>
            </w:tcBorders>
            <w:shd w:val="clear" w:color="auto" w:fill="666666"/>
            <w:tcMar>
              <w:top w:w="0" w:type="dxa"/>
              <w:left w:w="57" w:type="dxa"/>
              <w:bottom w:w="0" w:type="dxa"/>
              <w:right w:w="28" w:type="dxa"/>
            </w:tcMar>
          </w:tcPr>
          <w:p w14:paraId="6AF2C1D6" w14:textId="77777777" w:rsidR="00BC1B1E" w:rsidRPr="00BC1B1E" w:rsidRDefault="00BC1B1E" w:rsidP="00BC1B1E">
            <w:pPr>
              <w:tabs>
                <w:tab w:val="clear" w:pos="567"/>
              </w:tabs>
              <w:snapToGrid/>
              <w:rPr>
                <w:rFonts w:eastAsia="Times New Roman" w:cs="Arial"/>
                <w:bCs/>
                <w:snapToGrid/>
                <w:color w:val="FFFFFF"/>
                <w:spacing w:val="-2"/>
                <w:sz w:val="18"/>
                <w:szCs w:val="18"/>
                <w:lang w:eastAsia="en-GB"/>
              </w:rPr>
            </w:pPr>
            <w:r w:rsidRPr="00BC1B1E">
              <w:rPr>
                <w:rFonts w:eastAsia="Times New Roman" w:cs="Arial"/>
                <w:bCs/>
                <w:snapToGrid/>
                <w:color w:val="FFFFFF"/>
                <w:spacing w:val="-2"/>
                <w:sz w:val="18"/>
                <w:szCs w:val="18"/>
                <w:lang w:eastAsia="en-GB"/>
              </w:rPr>
              <w:t>Meilleure coordination intersectorielle et transfrontalière</w:t>
            </w:r>
          </w:p>
        </w:tc>
        <w:tc>
          <w:tcPr>
            <w:tcW w:w="1461" w:type="dxa"/>
            <w:tcBorders>
              <w:top w:val="single" w:sz="8" w:space="0" w:color="000000"/>
              <w:left w:val="single" w:sz="8" w:space="0" w:color="000000"/>
              <w:bottom w:val="single" w:sz="8" w:space="0" w:color="000000"/>
              <w:right w:val="single" w:sz="8" w:space="0" w:color="000000"/>
            </w:tcBorders>
            <w:shd w:val="clear" w:color="auto" w:fill="666666"/>
            <w:tcMar>
              <w:top w:w="0" w:type="dxa"/>
              <w:left w:w="57" w:type="dxa"/>
              <w:bottom w:w="0" w:type="dxa"/>
              <w:right w:w="57" w:type="dxa"/>
            </w:tcMar>
          </w:tcPr>
          <w:p w14:paraId="7E03147E" w14:textId="77777777" w:rsidR="00BC1B1E" w:rsidRPr="00BC1B1E" w:rsidRDefault="00BC1B1E" w:rsidP="00BC1B1E">
            <w:pPr>
              <w:tabs>
                <w:tab w:val="clear" w:pos="567"/>
              </w:tabs>
              <w:snapToGrid/>
              <w:spacing w:after="160"/>
              <w:rPr>
                <w:rFonts w:eastAsia="Times New Roman" w:cs="Arial"/>
                <w:bCs/>
                <w:snapToGrid/>
                <w:color w:val="FFFFFF"/>
                <w:spacing w:val="-2"/>
                <w:sz w:val="18"/>
                <w:szCs w:val="18"/>
                <w:lang w:eastAsia="en-GB"/>
              </w:rPr>
            </w:pPr>
            <w:r w:rsidRPr="00BC1B1E">
              <w:rPr>
                <w:rFonts w:eastAsia="Times New Roman" w:cs="Arial"/>
                <w:bCs/>
                <w:snapToGrid/>
                <w:color w:val="FFFFFF"/>
                <w:spacing w:val="-2"/>
                <w:sz w:val="18"/>
                <w:szCs w:val="18"/>
                <w:lang w:eastAsia="en-GB"/>
              </w:rPr>
              <w:t>Élargissement du développement des capacités</w:t>
            </w:r>
          </w:p>
        </w:tc>
      </w:tr>
      <w:tr w:rsidR="00BC1B1E" w:rsidRPr="00BC1B1E" w14:paraId="24A206B2" w14:textId="77777777" w:rsidTr="007900EE">
        <w:trPr>
          <w:trHeight w:val="231"/>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178CF4B" w14:textId="077849DF"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t>Système mondial d</w:t>
            </w:r>
            <w:r>
              <w:rPr>
                <w:rFonts w:eastAsia="Times New Roman" w:cs="Arial"/>
                <w:snapToGrid/>
                <w:sz w:val="18"/>
                <w:szCs w:val="18"/>
                <w:lang w:eastAsia="en-GB"/>
              </w:rPr>
              <w:t>’</w:t>
            </w:r>
            <w:r w:rsidRPr="00BC1B1E">
              <w:rPr>
                <w:rFonts w:eastAsia="Times New Roman" w:cs="Arial"/>
                <w:snapToGrid/>
                <w:sz w:val="18"/>
                <w:szCs w:val="18"/>
                <w:lang w:eastAsia="en-GB"/>
              </w:rPr>
              <w:t>observation de l</w:t>
            </w:r>
            <w:r>
              <w:rPr>
                <w:rFonts w:eastAsia="Times New Roman" w:cs="Arial"/>
                <w:snapToGrid/>
                <w:sz w:val="18"/>
                <w:szCs w:val="18"/>
                <w:lang w:eastAsia="en-GB"/>
              </w:rPr>
              <w:t>’</w:t>
            </w:r>
            <w:r w:rsidRPr="00BC1B1E">
              <w:rPr>
                <w:rFonts w:eastAsia="Times New Roman" w:cs="Arial"/>
                <w:snapToGrid/>
                <w:sz w:val="18"/>
                <w:szCs w:val="18"/>
                <w:lang w:eastAsia="en-GB"/>
              </w:rPr>
              <w:t xml:space="preserve">océan (GOOS) </w:t>
            </w: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2B55267"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21271150"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2CFE002"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BD1A48A"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r w:rsidR="00BC1B1E" w:rsidRPr="00BC1B1E" w14:paraId="630637E6" w14:textId="77777777" w:rsidTr="007900EE">
        <w:trPr>
          <w:trHeight w:val="346"/>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6E795DB" w14:textId="722010FB"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t xml:space="preserve">Données et information </w:t>
            </w:r>
            <w:r w:rsidR="001C45AE">
              <w:rPr>
                <w:rFonts w:eastAsia="Times New Roman" w:cs="Arial"/>
                <w:snapToGrid/>
                <w:sz w:val="18"/>
                <w:szCs w:val="18"/>
                <w:lang w:eastAsia="en-GB"/>
              </w:rPr>
              <w:t>–</w:t>
            </w:r>
            <w:r w:rsidRPr="00BC1B1E">
              <w:rPr>
                <w:rFonts w:eastAsia="Times New Roman" w:cs="Arial"/>
                <w:snapToGrid/>
                <w:sz w:val="18"/>
                <w:szCs w:val="18"/>
                <w:lang w:eastAsia="en-GB"/>
              </w:rPr>
              <w:t xml:space="preserve"> Échange international des données et de l</w:t>
            </w:r>
            <w:r>
              <w:rPr>
                <w:rFonts w:eastAsia="Times New Roman" w:cs="Arial"/>
                <w:snapToGrid/>
                <w:sz w:val="18"/>
                <w:szCs w:val="18"/>
                <w:lang w:eastAsia="en-GB"/>
              </w:rPr>
              <w:t>’</w:t>
            </w:r>
            <w:r w:rsidRPr="00BC1B1E">
              <w:rPr>
                <w:rFonts w:eastAsia="Times New Roman" w:cs="Arial"/>
                <w:snapToGrid/>
                <w:sz w:val="18"/>
                <w:szCs w:val="18"/>
                <w:lang w:eastAsia="en-GB"/>
              </w:rPr>
              <w:t xml:space="preserve">information océanographiques (IODE) </w:t>
            </w: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D6CDF6E"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44C455F4"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B22470F"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D0CE6FD"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r w:rsidR="00BC1B1E" w:rsidRPr="00BC1B1E" w14:paraId="7BBB57FA" w14:textId="77777777" w:rsidTr="007900EE">
        <w:trPr>
          <w:trHeight w:val="219"/>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9B510B" w14:textId="1B08BF48"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t>Système d</w:t>
            </w:r>
            <w:r>
              <w:rPr>
                <w:rFonts w:eastAsia="Times New Roman" w:cs="Arial"/>
                <w:snapToGrid/>
                <w:sz w:val="18"/>
                <w:szCs w:val="18"/>
                <w:lang w:eastAsia="en-GB"/>
              </w:rPr>
              <w:t>’</w:t>
            </w:r>
            <w:r w:rsidRPr="00BC1B1E">
              <w:rPr>
                <w:rFonts w:eastAsia="Times New Roman" w:cs="Arial"/>
                <w:snapToGrid/>
                <w:sz w:val="18"/>
                <w:szCs w:val="18"/>
                <w:lang w:eastAsia="en-GB"/>
              </w:rPr>
              <w:t>informations sur la biodiversité de l</w:t>
            </w:r>
            <w:r>
              <w:rPr>
                <w:rFonts w:eastAsia="Times New Roman" w:cs="Arial"/>
                <w:snapToGrid/>
                <w:sz w:val="18"/>
                <w:szCs w:val="18"/>
                <w:lang w:eastAsia="en-GB"/>
              </w:rPr>
              <w:t>’</w:t>
            </w:r>
            <w:r w:rsidRPr="00BC1B1E">
              <w:rPr>
                <w:rFonts w:eastAsia="Times New Roman" w:cs="Arial"/>
                <w:snapToGrid/>
                <w:sz w:val="18"/>
                <w:szCs w:val="18"/>
                <w:lang w:eastAsia="en-GB"/>
              </w:rPr>
              <w:t xml:space="preserve">océan (OBIS) </w:t>
            </w: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180C858"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2492BE66"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C9F199C"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EA6453E"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r w:rsidR="00BC1B1E" w:rsidRPr="00BC1B1E" w14:paraId="2041B01D" w14:textId="77777777" w:rsidTr="007900EE">
        <w:trPr>
          <w:trHeight w:val="289"/>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D2B06C8" w14:textId="22EF5A0D"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t>Carte générale bathymétrique des océans (GEBCO)</w:t>
            </w:r>
            <w:r w:rsidR="00F60962">
              <w:rPr>
                <w:rFonts w:eastAsia="Times New Roman" w:cs="Arial"/>
                <w:snapToGrid/>
                <w:sz w:val="18"/>
                <w:szCs w:val="18"/>
                <w:lang w:eastAsia="en-GB"/>
              </w:rPr>
              <w:t xml:space="preserve"> </w:t>
            </w:r>
            <w:r w:rsidRPr="00BC1B1E">
              <w:rPr>
                <w:rFonts w:eastAsia="Times New Roman" w:cs="Arial"/>
                <w:snapToGrid/>
                <w:sz w:val="18"/>
                <w:szCs w:val="18"/>
                <w:lang w:eastAsia="en-GB"/>
              </w:rPr>
              <w:t>/</w:t>
            </w:r>
            <w:r w:rsidR="00F60962">
              <w:rPr>
                <w:rFonts w:eastAsia="Times New Roman" w:cs="Arial"/>
                <w:snapToGrid/>
                <w:sz w:val="18"/>
                <w:szCs w:val="18"/>
                <w:lang w:eastAsia="en-GB"/>
              </w:rPr>
              <w:t xml:space="preserve"> </w:t>
            </w:r>
            <w:r w:rsidRPr="00BC1B1E">
              <w:rPr>
                <w:rFonts w:eastAsia="Times New Roman" w:cs="Arial"/>
                <w:snapToGrid/>
                <w:sz w:val="18"/>
                <w:szCs w:val="18"/>
                <w:lang w:eastAsia="en-GB"/>
              </w:rPr>
              <w:t>pro</w:t>
            </w:r>
            <w:r w:rsidRPr="00E7618B">
              <w:rPr>
                <w:rFonts w:eastAsia="Times New Roman" w:cs="Arial"/>
                <w:snapToGrid/>
                <w:sz w:val="18"/>
                <w:szCs w:val="18"/>
                <w:lang w:eastAsia="en-GB"/>
              </w:rPr>
              <w:t>jet « Seabed 2030 »</w:t>
            </w:r>
            <w:r w:rsidRPr="00BC1B1E">
              <w:rPr>
                <w:rFonts w:eastAsia="Times New Roman" w:cs="Arial"/>
                <w:snapToGrid/>
                <w:sz w:val="18"/>
                <w:szCs w:val="18"/>
                <w:lang w:eastAsia="en-GB"/>
              </w:rPr>
              <w:t xml:space="preserve"> </w:t>
            </w: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6B01553"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3C2EF5DB"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09AB131"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98C8E72"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r w:rsidR="00BC1B1E" w:rsidRPr="00BC1B1E" w14:paraId="600676D9" w14:textId="77777777" w:rsidTr="007900EE">
        <w:trPr>
          <w:trHeight w:val="513"/>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30E1664" w14:textId="5CDAAE0B"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t>Centre conjoint OMM-COI de soutien aux programmes d</w:t>
            </w:r>
            <w:r>
              <w:rPr>
                <w:rFonts w:eastAsia="Times New Roman" w:cs="Arial"/>
                <w:snapToGrid/>
                <w:sz w:val="18"/>
                <w:szCs w:val="18"/>
                <w:lang w:eastAsia="en-GB"/>
              </w:rPr>
              <w:t>’</w:t>
            </w:r>
            <w:r w:rsidRPr="00BC1B1E">
              <w:rPr>
                <w:rFonts w:eastAsia="Times New Roman" w:cs="Arial"/>
                <w:snapToGrid/>
                <w:sz w:val="18"/>
                <w:szCs w:val="18"/>
                <w:lang w:eastAsia="en-GB"/>
              </w:rPr>
              <w:t>observ</w:t>
            </w:r>
            <w:r w:rsidRPr="00E7618B">
              <w:rPr>
                <w:rFonts w:eastAsia="Times New Roman" w:cs="Arial"/>
                <w:snapToGrid/>
                <w:sz w:val="18"/>
                <w:szCs w:val="18"/>
                <w:lang w:eastAsia="en-GB"/>
              </w:rPr>
              <w:t>ation in situ dans le</w:t>
            </w:r>
            <w:r w:rsidRPr="00BC1B1E">
              <w:rPr>
                <w:rFonts w:eastAsia="Times New Roman" w:cs="Arial"/>
                <w:snapToGrid/>
                <w:sz w:val="18"/>
                <w:szCs w:val="18"/>
                <w:lang w:eastAsia="en-GB"/>
              </w:rPr>
              <w:t>s domaines de l</w:t>
            </w:r>
            <w:r>
              <w:rPr>
                <w:rFonts w:eastAsia="Times New Roman" w:cs="Arial"/>
                <w:snapToGrid/>
                <w:sz w:val="18"/>
                <w:szCs w:val="18"/>
                <w:lang w:eastAsia="en-GB"/>
              </w:rPr>
              <w:t>’</w:t>
            </w:r>
            <w:r w:rsidRPr="00BC1B1E">
              <w:rPr>
                <w:rFonts w:eastAsia="Times New Roman" w:cs="Arial"/>
                <w:snapToGrid/>
                <w:sz w:val="18"/>
                <w:szCs w:val="18"/>
                <w:lang w:eastAsia="en-GB"/>
              </w:rPr>
              <w:t xml:space="preserve">océanographie et de la météorologie maritime (OceanOPS) </w:t>
            </w: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E7DA33E"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54EC3BBE"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5BCC709"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62C6409"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r w:rsidR="00BC1B1E" w:rsidRPr="00BC1B1E" w14:paraId="7578825A" w14:textId="77777777" w:rsidTr="007900EE">
        <w:trPr>
          <w:trHeight w:val="228"/>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30A4AE8" w14:textId="46B51366"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lastRenderedPageBreak/>
              <w:t>Système mondial d</w:t>
            </w:r>
            <w:r>
              <w:rPr>
                <w:rFonts w:eastAsia="Times New Roman" w:cs="Arial"/>
                <w:snapToGrid/>
                <w:sz w:val="18"/>
                <w:szCs w:val="18"/>
                <w:lang w:eastAsia="en-GB"/>
              </w:rPr>
              <w:t>’</w:t>
            </w:r>
            <w:r w:rsidRPr="00BC1B1E">
              <w:rPr>
                <w:rFonts w:eastAsia="Times New Roman" w:cs="Arial"/>
                <w:snapToGrid/>
                <w:sz w:val="18"/>
                <w:szCs w:val="18"/>
                <w:lang w:eastAsia="en-GB"/>
              </w:rPr>
              <w:t xml:space="preserve">observation du niveau de la mer (GLOSS) </w:t>
            </w: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CE88B95"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303FC326"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92E5190"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0FBC31A"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r w:rsidR="00BC1B1E" w:rsidRPr="00BC1B1E" w14:paraId="7B125C49" w14:textId="77777777" w:rsidTr="007900EE">
        <w:trPr>
          <w:trHeight w:val="303"/>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B2DA298" w14:textId="4BB6E8A0"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t>Programme sur les efflorescences algales nuisibles et travaux connexes sur les nutriments, l</w:t>
            </w:r>
            <w:r>
              <w:rPr>
                <w:rFonts w:eastAsia="Times New Roman" w:cs="Arial"/>
                <w:snapToGrid/>
                <w:sz w:val="18"/>
                <w:szCs w:val="18"/>
                <w:lang w:eastAsia="en-GB"/>
              </w:rPr>
              <w:t>’</w:t>
            </w:r>
            <w:r w:rsidRPr="00BC1B1E">
              <w:rPr>
                <w:rFonts w:eastAsia="Times New Roman" w:cs="Arial"/>
                <w:snapToGrid/>
                <w:sz w:val="18"/>
                <w:szCs w:val="18"/>
                <w:lang w:eastAsia="en-GB"/>
              </w:rPr>
              <w:t>eutrophisation côtière et la</w:t>
            </w:r>
            <w:r w:rsidR="007900EE">
              <w:rPr>
                <w:rFonts w:eastAsia="Times New Roman" w:cs="Arial"/>
                <w:snapToGrid/>
                <w:sz w:val="18"/>
                <w:szCs w:val="18"/>
                <w:lang w:eastAsia="en-GB"/>
              </w:rPr>
              <w:t> </w:t>
            </w:r>
            <w:r w:rsidRPr="00BC1B1E">
              <w:rPr>
                <w:rFonts w:eastAsia="Times New Roman" w:cs="Arial"/>
                <w:snapToGrid/>
                <w:sz w:val="18"/>
                <w:szCs w:val="18"/>
                <w:lang w:eastAsia="en-GB"/>
              </w:rPr>
              <w:t>désoxygénation</w:t>
            </w: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0C36A47"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3D0DD17"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6EBE9724"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0B92D7A"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r w:rsidR="00BC1B1E" w:rsidRPr="00BC1B1E" w14:paraId="54DBCE5A" w14:textId="77777777" w:rsidTr="007900EE">
        <w:trPr>
          <w:trHeight w:val="291"/>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A6B5ADA" w14:textId="46929C1D"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t>Programme mondial d</w:t>
            </w:r>
            <w:r>
              <w:rPr>
                <w:rFonts w:eastAsia="Times New Roman" w:cs="Arial"/>
                <w:snapToGrid/>
                <w:sz w:val="18"/>
                <w:szCs w:val="18"/>
                <w:lang w:eastAsia="en-GB"/>
              </w:rPr>
              <w:t>’</w:t>
            </w:r>
            <w:r w:rsidRPr="00BC1B1E">
              <w:rPr>
                <w:rFonts w:eastAsia="Times New Roman" w:cs="Arial"/>
                <w:snapToGrid/>
                <w:sz w:val="18"/>
                <w:szCs w:val="18"/>
                <w:lang w:eastAsia="en-GB"/>
              </w:rPr>
              <w:t>alerte rapide aux tsunamis et d</w:t>
            </w:r>
            <w:r>
              <w:rPr>
                <w:rFonts w:eastAsia="Times New Roman" w:cs="Arial"/>
                <w:snapToGrid/>
                <w:sz w:val="18"/>
                <w:szCs w:val="18"/>
                <w:lang w:eastAsia="en-GB"/>
              </w:rPr>
              <w:t>’</w:t>
            </w:r>
            <w:r w:rsidRPr="00BC1B1E">
              <w:rPr>
                <w:rFonts w:eastAsia="Times New Roman" w:cs="Arial"/>
                <w:snapToGrid/>
                <w:sz w:val="18"/>
                <w:szCs w:val="18"/>
                <w:lang w:eastAsia="en-GB"/>
              </w:rPr>
              <w:t xml:space="preserve">atténuation de leurs effets </w:t>
            </w: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3891A43"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4DC1579A"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0D4A91EE"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CD08EB"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r w:rsidR="00BC1B1E" w:rsidRPr="00BC1B1E" w14:paraId="12E4E764" w14:textId="77777777" w:rsidTr="007900EE">
        <w:trPr>
          <w:trHeight w:val="270"/>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F882845" w14:textId="77777777" w:rsidR="00BC1B1E" w:rsidRPr="00BC1B1E" w:rsidRDefault="00BC1B1E" w:rsidP="00BC1B1E">
            <w:pPr>
              <w:tabs>
                <w:tab w:val="clear" w:pos="567"/>
              </w:tabs>
              <w:spacing w:before="40" w:afterLines="40" w:after="96"/>
              <w:rPr>
                <w:rFonts w:eastAsia="Times New Roman" w:cs="Arial"/>
                <w:snapToGrid/>
                <w:sz w:val="18"/>
                <w:szCs w:val="18"/>
                <w:lang w:val="en-GB" w:eastAsia="en-GB"/>
              </w:rPr>
            </w:pPr>
            <w:r w:rsidRPr="00BC1B1E">
              <w:rPr>
                <w:rFonts w:eastAsia="Times New Roman" w:cs="Arial"/>
                <w:snapToGrid/>
                <w:sz w:val="18"/>
                <w:szCs w:val="18"/>
                <w:lang w:val="en-GB" w:eastAsia="en-GB"/>
              </w:rPr>
              <w:t xml:space="preserve">Programme Tsunami Ready </w:t>
            </w: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757D8846" w14:textId="77777777" w:rsidR="00BC1B1E" w:rsidRPr="00BC1B1E" w:rsidRDefault="00BC1B1E" w:rsidP="00BC1B1E">
            <w:pPr>
              <w:tabs>
                <w:tab w:val="clear" w:pos="567"/>
              </w:tabs>
              <w:spacing w:before="40" w:afterLines="40" w:after="96"/>
              <w:rPr>
                <w:rFonts w:eastAsia="Times New Roman" w:cs="Arial"/>
                <w:snapToGrid/>
                <w:sz w:val="18"/>
                <w:szCs w:val="18"/>
                <w:lang w:val="en-GB" w:eastAsia="en-GB"/>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BE1E1E2" w14:textId="77777777" w:rsidR="00BC1B1E" w:rsidRPr="00BC1B1E" w:rsidRDefault="00BC1B1E" w:rsidP="00BC1B1E">
            <w:pPr>
              <w:tabs>
                <w:tab w:val="clear" w:pos="567"/>
              </w:tabs>
              <w:spacing w:before="40" w:afterLines="40" w:after="96"/>
              <w:rPr>
                <w:rFonts w:eastAsia="Times New Roman" w:cs="Arial"/>
                <w:snapToGrid/>
                <w:sz w:val="18"/>
                <w:szCs w:val="18"/>
                <w:lang w:val="en-GB"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53A39010" w14:textId="77777777" w:rsidR="00BC1B1E" w:rsidRPr="00BC1B1E" w:rsidRDefault="00BC1B1E" w:rsidP="00BC1B1E">
            <w:pPr>
              <w:tabs>
                <w:tab w:val="clear" w:pos="567"/>
              </w:tabs>
              <w:spacing w:before="40" w:afterLines="40" w:after="96"/>
              <w:rPr>
                <w:rFonts w:eastAsia="Times New Roman" w:cs="Arial"/>
                <w:snapToGrid/>
                <w:sz w:val="18"/>
                <w:szCs w:val="18"/>
                <w:lang w:val="en-GB" w:eastAsia="en-GB"/>
              </w:rPr>
            </w:pP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4DAA47B" w14:textId="77777777" w:rsidR="00BC1B1E" w:rsidRPr="00BC1B1E" w:rsidRDefault="00BC1B1E" w:rsidP="00BC1B1E">
            <w:pPr>
              <w:tabs>
                <w:tab w:val="clear" w:pos="567"/>
              </w:tabs>
              <w:spacing w:before="40" w:afterLines="40" w:after="96"/>
              <w:rPr>
                <w:rFonts w:eastAsia="Times New Roman" w:cs="Arial"/>
                <w:snapToGrid/>
                <w:sz w:val="18"/>
                <w:szCs w:val="18"/>
                <w:lang w:val="en-GB" w:eastAsia="en-GB"/>
              </w:rPr>
            </w:pPr>
          </w:p>
        </w:tc>
      </w:tr>
      <w:tr w:rsidR="00BC1B1E" w:rsidRPr="00BC1B1E" w14:paraId="0E50E823" w14:textId="77777777" w:rsidTr="007900EE">
        <w:trPr>
          <w:trHeight w:val="285"/>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28D9F99" w14:textId="042A084F"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t>Rapport sur l</w:t>
            </w:r>
            <w:r>
              <w:rPr>
                <w:rFonts w:eastAsia="Times New Roman" w:cs="Arial"/>
                <w:snapToGrid/>
                <w:sz w:val="18"/>
                <w:szCs w:val="18"/>
                <w:lang w:eastAsia="en-GB"/>
              </w:rPr>
              <w:t>’</w:t>
            </w:r>
            <w:r w:rsidRPr="00BC1B1E">
              <w:rPr>
                <w:rFonts w:eastAsia="Times New Roman" w:cs="Arial"/>
                <w:snapToGrid/>
                <w:sz w:val="18"/>
                <w:szCs w:val="18"/>
                <w:lang w:eastAsia="en-GB"/>
              </w:rPr>
              <w:t>état de l</w:t>
            </w:r>
            <w:r>
              <w:rPr>
                <w:rFonts w:eastAsia="Times New Roman" w:cs="Arial"/>
                <w:snapToGrid/>
                <w:sz w:val="18"/>
                <w:szCs w:val="18"/>
                <w:lang w:eastAsia="en-GB"/>
              </w:rPr>
              <w:t>’</w:t>
            </w:r>
            <w:r w:rsidRPr="00BC1B1E">
              <w:rPr>
                <w:rFonts w:eastAsia="Times New Roman" w:cs="Arial"/>
                <w:snapToGrid/>
                <w:sz w:val="18"/>
                <w:szCs w:val="18"/>
                <w:lang w:eastAsia="en-GB"/>
              </w:rPr>
              <w:t xml:space="preserve">océan </w:t>
            </w: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E309A3B"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6999A7C4"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6C5FE58"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4BB3E47"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r w:rsidR="00BC1B1E" w:rsidRPr="00BC1B1E" w14:paraId="6D1A8A61" w14:textId="77777777" w:rsidTr="007900EE">
        <w:trPr>
          <w:trHeight w:val="270"/>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0E63EFC"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t xml:space="preserve">Rapport mondial sur les sciences océaniques </w:t>
            </w: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C0B3333"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44B7E359"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D99B388"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C895F51"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r w:rsidR="00BC1B1E" w:rsidRPr="00BC1B1E" w14:paraId="2E5380EC" w14:textId="77777777" w:rsidTr="007900EE">
        <w:trPr>
          <w:trHeight w:val="263"/>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E3B9111" w14:textId="52122701"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t>Contribution à l</w:t>
            </w:r>
            <w:r>
              <w:rPr>
                <w:rFonts w:eastAsia="Times New Roman" w:cs="Arial"/>
                <w:snapToGrid/>
                <w:sz w:val="18"/>
                <w:szCs w:val="18"/>
                <w:lang w:eastAsia="en-GB"/>
              </w:rPr>
              <w:t>’</w:t>
            </w:r>
            <w:r w:rsidRPr="00BC1B1E">
              <w:rPr>
                <w:rFonts w:eastAsia="Times New Roman" w:cs="Arial"/>
                <w:snapToGrid/>
                <w:sz w:val="18"/>
                <w:szCs w:val="18"/>
                <w:lang w:eastAsia="en-GB"/>
              </w:rPr>
              <w:t xml:space="preserve">Évaluation mondiale </w:t>
            </w:r>
            <w:r w:rsidR="007900EE">
              <w:rPr>
                <w:rFonts w:eastAsia="Times New Roman" w:cs="Arial"/>
                <w:snapToGrid/>
                <w:sz w:val="18"/>
                <w:szCs w:val="18"/>
                <w:lang w:eastAsia="en-GB"/>
              </w:rPr>
              <w:br/>
            </w:r>
            <w:r w:rsidRPr="00BC1B1E">
              <w:rPr>
                <w:rFonts w:eastAsia="Times New Roman" w:cs="Arial"/>
                <w:snapToGrid/>
                <w:sz w:val="18"/>
                <w:szCs w:val="18"/>
                <w:lang w:eastAsia="en-GB"/>
              </w:rPr>
              <w:t>de l</w:t>
            </w:r>
            <w:r>
              <w:rPr>
                <w:rFonts w:eastAsia="Times New Roman" w:cs="Arial"/>
                <w:snapToGrid/>
                <w:sz w:val="18"/>
                <w:szCs w:val="18"/>
                <w:lang w:eastAsia="en-GB"/>
              </w:rPr>
              <w:t>’</w:t>
            </w:r>
            <w:r w:rsidRPr="00BC1B1E">
              <w:rPr>
                <w:rFonts w:eastAsia="Times New Roman" w:cs="Arial"/>
                <w:snapToGrid/>
                <w:sz w:val="18"/>
                <w:szCs w:val="18"/>
                <w:lang w:eastAsia="en-GB"/>
              </w:rPr>
              <w:t xml:space="preserve">océan </w:t>
            </w: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E390D52"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2DC0DBF5"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AC2FF53"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5C9EB46"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r w:rsidR="00BC1B1E" w:rsidRPr="00BC1B1E" w14:paraId="123D56E2" w14:textId="77777777" w:rsidTr="007900EE">
        <w:trPr>
          <w:trHeight w:val="270"/>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485A2D1" w14:textId="268CB708"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t>Évaluation des cibles de l</w:t>
            </w:r>
            <w:r>
              <w:rPr>
                <w:rFonts w:eastAsia="Times New Roman" w:cs="Arial"/>
                <w:snapToGrid/>
                <w:sz w:val="18"/>
                <w:szCs w:val="18"/>
                <w:lang w:eastAsia="en-GB"/>
              </w:rPr>
              <w:t>’</w:t>
            </w:r>
            <w:r w:rsidRPr="00BC1B1E">
              <w:rPr>
                <w:rFonts w:eastAsia="Times New Roman" w:cs="Arial"/>
                <w:snapToGrid/>
                <w:sz w:val="18"/>
                <w:szCs w:val="18"/>
                <w:lang w:eastAsia="en-GB"/>
              </w:rPr>
              <w:t>ODD 14</w:t>
            </w: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5C417E6"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6ED5A293"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4CAE14F"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6324993"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r w:rsidR="00BC1B1E" w:rsidRPr="00BC1B1E" w14:paraId="4D7C84A3" w14:textId="77777777" w:rsidTr="007900EE">
        <w:trPr>
          <w:trHeight w:val="270"/>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63AE4B5" w14:textId="77777777" w:rsidR="00BC1B1E" w:rsidRPr="00BC1B1E" w:rsidRDefault="00BC1B1E" w:rsidP="00BC1B1E">
            <w:pPr>
              <w:tabs>
                <w:tab w:val="clear" w:pos="567"/>
              </w:tabs>
              <w:spacing w:before="40" w:afterLines="40" w:after="96"/>
              <w:rPr>
                <w:rFonts w:eastAsia="Times New Roman" w:cs="Arial"/>
                <w:snapToGrid/>
                <w:sz w:val="18"/>
                <w:szCs w:val="18"/>
                <w:lang w:val="en-GB" w:eastAsia="en-GB"/>
              </w:rPr>
            </w:pPr>
            <w:r w:rsidRPr="00BC1B1E">
              <w:rPr>
                <w:rFonts w:eastAsia="Times New Roman" w:cs="Arial"/>
                <w:snapToGrid/>
                <w:sz w:val="18"/>
                <w:szCs w:val="18"/>
                <w:lang w:eastAsia="en-GB"/>
              </w:rPr>
              <w:t xml:space="preserve">Évaluations du </w:t>
            </w:r>
            <w:r w:rsidRPr="00BC1B1E">
              <w:rPr>
                <w:rFonts w:eastAsia="Times New Roman" w:cs="Arial"/>
                <w:snapToGrid/>
                <w:sz w:val="18"/>
                <w:szCs w:val="18"/>
                <w:lang w:val="en-GB" w:eastAsia="en-GB"/>
              </w:rPr>
              <w:t xml:space="preserve">GESAMP </w:t>
            </w: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C64CDF8" w14:textId="77777777" w:rsidR="00BC1B1E" w:rsidRPr="00BC1B1E" w:rsidRDefault="00BC1B1E" w:rsidP="00BC1B1E">
            <w:pPr>
              <w:tabs>
                <w:tab w:val="clear" w:pos="567"/>
              </w:tabs>
              <w:spacing w:before="40" w:afterLines="40" w:after="96"/>
              <w:rPr>
                <w:rFonts w:eastAsia="Times New Roman" w:cs="Arial"/>
                <w:snapToGrid/>
                <w:sz w:val="18"/>
                <w:szCs w:val="18"/>
                <w:lang w:val="en-GB"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323E713F" w14:textId="77777777" w:rsidR="00BC1B1E" w:rsidRPr="00BC1B1E" w:rsidRDefault="00BC1B1E" w:rsidP="00BC1B1E">
            <w:pPr>
              <w:tabs>
                <w:tab w:val="clear" w:pos="567"/>
              </w:tabs>
              <w:spacing w:before="40" w:afterLines="40" w:after="96"/>
              <w:rPr>
                <w:rFonts w:eastAsia="Times New Roman" w:cs="Arial"/>
                <w:snapToGrid/>
                <w:sz w:val="18"/>
                <w:szCs w:val="18"/>
                <w:lang w:val="en-GB" w:eastAsia="en-GB"/>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08B42AC" w14:textId="77777777" w:rsidR="00BC1B1E" w:rsidRPr="00BC1B1E" w:rsidRDefault="00BC1B1E" w:rsidP="00BC1B1E">
            <w:pPr>
              <w:tabs>
                <w:tab w:val="clear" w:pos="567"/>
              </w:tabs>
              <w:spacing w:before="40" w:afterLines="40" w:after="96"/>
              <w:rPr>
                <w:rFonts w:eastAsia="Times New Roman" w:cs="Arial"/>
                <w:snapToGrid/>
                <w:sz w:val="18"/>
                <w:szCs w:val="18"/>
                <w:lang w:val="en-GB" w:eastAsia="en-GB"/>
              </w:rPr>
            </w:pP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9899096" w14:textId="77777777" w:rsidR="00BC1B1E" w:rsidRPr="00BC1B1E" w:rsidRDefault="00BC1B1E" w:rsidP="00BC1B1E">
            <w:pPr>
              <w:tabs>
                <w:tab w:val="clear" w:pos="567"/>
              </w:tabs>
              <w:spacing w:before="40" w:afterLines="40" w:after="96"/>
              <w:rPr>
                <w:rFonts w:eastAsia="Times New Roman" w:cs="Arial"/>
                <w:snapToGrid/>
                <w:sz w:val="18"/>
                <w:szCs w:val="18"/>
                <w:lang w:val="en-GB" w:eastAsia="en-GB"/>
              </w:rPr>
            </w:pPr>
          </w:p>
        </w:tc>
      </w:tr>
      <w:tr w:rsidR="00BC1B1E" w:rsidRPr="00BC1B1E" w14:paraId="3F63A336" w14:textId="77777777" w:rsidTr="007900EE">
        <w:trPr>
          <w:trHeight w:val="304"/>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CF93942" w14:textId="300DDC56"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t>Programme mondial conjoint COI-DG MARE sur la planification de l</w:t>
            </w:r>
            <w:r>
              <w:rPr>
                <w:rFonts w:eastAsia="Times New Roman" w:cs="Arial"/>
                <w:snapToGrid/>
                <w:sz w:val="18"/>
                <w:szCs w:val="18"/>
                <w:lang w:eastAsia="en-GB"/>
              </w:rPr>
              <w:t>’</w:t>
            </w:r>
            <w:r w:rsidRPr="00BC1B1E">
              <w:rPr>
                <w:rFonts w:eastAsia="Times New Roman" w:cs="Arial"/>
                <w:snapToGrid/>
                <w:sz w:val="18"/>
                <w:szCs w:val="18"/>
                <w:lang w:eastAsia="en-GB"/>
              </w:rPr>
              <w:t>espace marin (MSPglobal)</w:t>
            </w: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40165CDD"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34F5537E"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4290CE02"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483BF645"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r w:rsidR="00BC1B1E" w:rsidRPr="00BC1B1E" w14:paraId="186E67A6" w14:textId="77777777" w:rsidTr="007900EE">
        <w:trPr>
          <w:trHeight w:val="304"/>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C7928E7" w14:textId="5C33456D"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t>Projets internationaux du FEM relatifs à l</w:t>
            </w:r>
            <w:r>
              <w:rPr>
                <w:rFonts w:eastAsia="Times New Roman" w:cs="Arial"/>
                <w:snapToGrid/>
                <w:sz w:val="18"/>
                <w:szCs w:val="18"/>
                <w:lang w:eastAsia="en-GB"/>
              </w:rPr>
              <w:t>’</w:t>
            </w:r>
            <w:r w:rsidRPr="00BC1B1E">
              <w:rPr>
                <w:rFonts w:eastAsia="Times New Roman" w:cs="Arial"/>
                <w:snapToGrid/>
                <w:sz w:val="18"/>
                <w:szCs w:val="18"/>
                <w:lang w:eastAsia="en-GB"/>
              </w:rPr>
              <w:t xml:space="preserve">eau : produits LEARN </w:t>
            </w: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7F232165"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1C52D16"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45F4F2E"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576D554E"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r w:rsidR="00BC1B1E" w:rsidRPr="00BC1B1E" w14:paraId="6CB8D745" w14:textId="77777777" w:rsidTr="007900EE">
        <w:trPr>
          <w:trHeight w:val="493"/>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E8AF916" w14:textId="44E9A2AA"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t xml:space="preserve">Académie mondiale OceanTeacher et autres services/plates-formes de la COI pour le développement des capacités </w:t>
            </w:r>
            <w:r w:rsidR="007900EE">
              <w:rPr>
                <w:rFonts w:eastAsia="Times New Roman" w:cs="Arial"/>
                <w:snapToGrid/>
                <w:sz w:val="18"/>
                <w:szCs w:val="18"/>
                <w:lang w:eastAsia="en-GB"/>
              </w:rPr>
              <w:br/>
            </w:r>
            <w:r w:rsidRPr="00BC1B1E">
              <w:rPr>
                <w:rFonts w:eastAsia="Times New Roman" w:cs="Arial"/>
                <w:snapToGrid/>
                <w:sz w:val="18"/>
                <w:szCs w:val="18"/>
                <w:lang w:eastAsia="en-GB"/>
              </w:rPr>
              <w:t xml:space="preserve">(par ex., Ocean CD-Hub, etc.) </w:t>
            </w: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14829A29"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160D036"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A20A619"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4190D7F0"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r w:rsidR="00BC1B1E" w:rsidRPr="00BC1B1E" w14:paraId="1677B184" w14:textId="77777777" w:rsidTr="007900EE">
        <w:trPr>
          <w:trHeight w:val="314"/>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A275E0B" w14:textId="0564CD34" w:rsidR="00BC1B1E" w:rsidRPr="00BC1B1E" w:rsidRDefault="00BC1B1E" w:rsidP="00BC1B1E">
            <w:pPr>
              <w:tabs>
                <w:tab w:val="clear" w:pos="567"/>
              </w:tabs>
              <w:spacing w:before="40" w:afterLines="40" w:after="96"/>
              <w:rPr>
                <w:rFonts w:eastAsia="Times New Roman" w:cs="Arial"/>
                <w:snapToGrid/>
                <w:sz w:val="18"/>
                <w:szCs w:val="18"/>
                <w:lang w:val="en-GB" w:eastAsia="en-GB"/>
              </w:rPr>
            </w:pPr>
            <w:r w:rsidRPr="00BC1B1E">
              <w:rPr>
                <w:rFonts w:eastAsia="Times New Roman" w:cs="Arial"/>
                <w:snapToGrid/>
                <w:sz w:val="18"/>
                <w:szCs w:val="18"/>
                <w:lang w:val="en-GB" w:eastAsia="en-GB"/>
              </w:rPr>
              <w:t>Programme d</w:t>
            </w:r>
            <w:r>
              <w:rPr>
                <w:rFonts w:eastAsia="Times New Roman" w:cs="Arial"/>
                <w:snapToGrid/>
                <w:sz w:val="18"/>
                <w:szCs w:val="18"/>
                <w:lang w:val="en-GB" w:eastAsia="en-GB"/>
              </w:rPr>
              <w:t>’</w:t>
            </w:r>
            <w:r w:rsidRPr="00BC1B1E">
              <w:rPr>
                <w:rFonts w:eastAsia="Times New Roman" w:cs="Arial"/>
                <w:snapToGrid/>
                <w:sz w:val="18"/>
                <w:szCs w:val="18"/>
                <w:lang w:val="en-GB" w:eastAsia="en-GB"/>
              </w:rPr>
              <w:t>initiation à l</w:t>
            </w:r>
            <w:r>
              <w:rPr>
                <w:rFonts w:eastAsia="Times New Roman" w:cs="Arial"/>
                <w:snapToGrid/>
                <w:sz w:val="18"/>
                <w:szCs w:val="18"/>
                <w:lang w:val="en-GB" w:eastAsia="en-GB"/>
              </w:rPr>
              <w:t>’</w:t>
            </w:r>
            <w:r w:rsidRPr="00BC1B1E">
              <w:rPr>
                <w:rFonts w:eastAsia="Times New Roman" w:cs="Arial"/>
                <w:snapToGrid/>
                <w:sz w:val="18"/>
                <w:szCs w:val="18"/>
                <w:lang w:val="en-GB" w:eastAsia="en-GB"/>
              </w:rPr>
              <w:t>océan</w:t>
            </w: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234F75BC" w14:textId="77777777" w:rsidR="00BC1B1E" w:rsidRPr="00BC1B1E" w:rsidRDefault="00BC1B1E" w:rsidP="00BC1B1E">
            <w:pPr>
              <w:tabs>
                <w:tab w:val="clear" w:pos="567"/>
              </w:tabs>
              <w:spacing w:before="40" w:afterLines="40" w:after="96"/>
              <w:rPr>
                <w:rFonts w:eastAsia="Times New Roman" w:cs="Arial"/>
                <w:snapToGrid/>
                <w:sz w:val="18"/>
                <w:szCs w:val="18"/>
                <w:lang w:val="en-GB" w:eastAsia="en-GB"/>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A646771" w14:textId="77777777" w:rsidR="00BC1B1E" w:rsidRPr="00BC1B1E" w:rsidRDefault="00BC1B1E" w:rsidP="00BC1B1E">
            <w:pPr>
              <w:tabs>
                <w:tab w:val="clear" w:pos="567"/>
              </w:tabs>
              <w:spacing w:before="40" w:afterLines="40" w:after="96"/>
              <w:rPr>
                <w:rFonts w:eastAsia="Times New Roman" w:cs="Arial"/>
                <w:snapToGrid/>
                <w:sz w:val="18"/>
                <w:szCs w:val="18"/>
                <w:lang w:val="en-GB" w:eastAsia="en-GB"/>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8E13218" w14:textId="77777777" w:rsidR="00BC1B1E" w:rsidRPr="00BC1B1E" w:rsidRDefault="00BC1B1E" w:rsidP="00BC1B1E">
            <w:pPr>
              <w:tabs>
                <w:tab w:val="clear" w:pos="567"/>
              </w:tabs>
              <w:spacing w:before="40" w:afterLines="40" w:after="96"/>
              <w:rPr>
                <w:rFonts w:eastAsia="Times New Roman" w:cs="Arial"/>
                <w:snapToGrid/>
                <w:sz w:val="18"/>
                <w:szCs w:val="18"/>
                <w:lang w:val="en-GB" w:eastAsia="en-GB"/>
              </w:rPr>
            </w:pPr>
          </w:p>
        </w:tc>
        <w:tc>
          <w:tcPr>
            <w:tcW w:w="146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324B869B" w14:textId="77777777" w:rsidR="00BC1B1E" w:rsidRPr="00BC1B1E" w:rsidRDefault="00BC1B1E" w:rsidP="00BC1B1E">
            <w:pPr>
              <w:tabs>
                <w:tab w:val="clear" w:pos="567"/>
              </w:tabs>
              <w:spacing w:before="40" w:afterLines="40" w:after="96"/>
              <w:rPr>
                <w:rFonts w:eastAsia="Times New Roman" w:cs="Arial"/>
                <w:snapToGrid/>
                <w:sz w:val="18"/>
                <w:szCs w:val="18"/>
                <w:lang w:val="en-GB" w:eastAsia="en-GB"/>
              </w:rPr>
            </w:pPr>
          </w:p>
        </w:tc>
      </w:tr>
      <w:tr w:rsidR="00BC1B1E" w:rsidRPr="00BC1B1E" w14:paraId="15033BAC" w14:textId="77777777" w:rsidTr="007900EE">
        <w:trPr>
          <w:trHeight w:val="225"/>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8E1DA31" w14:textId="14C4B996"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t>Centres de catégorie 2 de l</w:t>
            </w:r>
            <w:r>
              <w:rPr>
                <w:rFonts w:eastAsia="Times New Roman" w:cs="Arial"/>
                <w:snapToGrid/>
                <w:sz w:val="18"/>
                <w:szCs w:val="18"/>
                <w:lang w:eastAsia="en-GB"/>
              </w:rPr>
              <w:t>’</w:t>
            </w:r>
            <w:r w:rsidRPr="00BC1B1E">
              <w:rPr>
                <w:rFonts w:eastAsia="Times New Roman" w:cs="Arial"/>
                <w:snapToGrid/>
                <w:sz w:val="18"/>
                <w:szCs w:val="18"/>
                <w:lang w:eastAsia="en-GB"/>
              </w:rPr>
              <w:t>UNESCO</w:t>
            </w: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5B7C36FB"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7562954"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F7C55CE"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6FF494F4"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r w:rsidR="00BC1B1E" w:rsidRPr="00BC1B1E" w14:paraId="5F77F759" w14:textId="77777777" w:rsidTr="007900EE">
        <w:trPr>
          <w:trHeight w:val="270"/>
        </w:trPr>
        <w:tc>
          <w:tcPr>
            <w:tcW w:w="367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814DFAB" w14:textId="41165CC0" w:rsidR="00BC1B1E" w:rsidRPr="00BC1B1E" w:rsidRDefault="00BC1B1E" w:rsidP="00BC1B1E">
            <w:pPr>
              <w:tabs>
                <w:tab w:val="clear" w:pos="567"/>
              </w:tabs>
              <w:spacing w:before="40" w:afterLines="40" w:after="96"/>
              <w:rPr>
                <w:rFonts w:eastAsia="Times New Roman" w:cs="Arial"/>
                <w:snapToGrid/>
                <w:sz w:val="18"/>
                <w:szCs w:val="18"/>
                <w:lang w:eastAsia="en-GB"/>
              </w:rPr>
            </w:pPr>
            <w:r w:rsidRPr="00BC1B1E">
              <w:rPr>
                <w:rFonts w:eastAsia="Times New Roman" w:cs="Arial"/>
                <w:snapToGrid/>
                <w:sz w:val="18"/>
                <w:szCs w:val="18"/>
                <w:lang w:eastAsia="en-GB"/>
              </w:rPr>
              <w:t>Réseau des jeunes spécialistes de l</w:t>
            </w:r>
            <w:r>
              <w:rPr>
                <w:rFonts w:eastAsia="Times New Roman" w:cs="Arial"/>
                <w:snapToGrid/>
                <w:sz w:val="18"/>
                <w:szCs w:val="18"/>
                <w:lang w:eastAsia="en-GB"/>
              </w:rPr>
              <w:t>’</w:t>
            </w:r>
            <w:r w:rsidRPr="00BC1B1E">
              <w:rPr>
                <w:rFonts w:eastAsia="Times New Roman" w:cs="Arial"/>
                <w:snapToGrid/>
                <w:sz w:val="18"/>
                <w:szCs w:val="18"/>
                <w:lang w:eastAsia="en-GB"/>
              </w:rPr>
              <w:t xml:space="preserve">océan </w:t>
            </w:r>
          </w:p>
        </w:tc>
        <w:tc>
          <w:tcPr>
            <w:tcW w:w="170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13D58714"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1ABC996"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36611F43"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c>
          <w:tcPr>
            <w:tcW w:w="1461" w:type="dxa"/>
            <w:tcBorders>
              <w:top w:val="single" w:sz="8" w:space="0" w:color="000000"/>
              <w:left w:val="single" w:sz="8" w:space="0" w:color="000000"/>
              <w:bottom w:val="single" w:sz="8" w:space="0" w:color="000000"/>
              <w:right w:val="single" w:sz="8" w:space="0" w:color="000000"/>
            </w:tcBorders>
            <w:shd w:val="clear" w:color="auto" w:fill="D9EAD3"/>
            <w:tcMar>
              <w:top w:w="0" w:type="dxa"/>
              <w:left w:w="100" w:type="dxa"/>
              <w:bottom w:w="0" w:type="dxa"/>
              <w:right w:w="100" w:type="dxa"/>
            </w:tcMar>
          </w:tcPr>
          <w:p w14:paraId="46F927C8" w14:textId="77777777" w:rsidR="00BC1B1E" w:rsidRPr="00BC1B1E" w:rsidRDefault="00BC1B1E" w:rsidP="00BC1B1E">
            <w:pPr>
              <w:tabs>
                <w:tab w:val="clear" w:pos="567"/>
              </w:tabs>
              <w:spacing w:before="40" w:afterLines="40" w:after="96"/>
              <w:rPr>
                <w:rFonts w:eastAsia="Times New Roman" w:cs="Arial"/>
                <w:snapToGrid/>
                <w:sz w:val="18"/>
                <w:szCs w:val="18"/>
                <w:lang w:eastAsia="en-GB"/>
              </w:rPr>
            </w:pPr>
          </w:p>
        </w:tc>
      </w:tr>
    </w:tbl>
    <w:p w14:paraId="29838CA2" w14:textId="77777777" w:rsidR="00BC1B1E" w:rsidRDefault="00BC1B1E" w:rsidP="007900EE">
      <w:pPr>
        <w:pStyle w:val="Marge"/>
        <w:rPr>
          <w:snapToGrid/>
        </w:rPr>
      </w:pPr>
    </w:p>
    <w:p w14:paraId="768E1C89" w14:textId="77777777" w:rsidR="007900EE" w:rsidRPr="00B06592" w:rsidRDefault="007900EE" w:rsidP="007900EE">
      <w:pPr>
        <w:pStyle w:val="Marge"/>
        <w:rPr>
          <w:snapToGrid/>
        </w:rPr>
      </w:pPr>
    </w:p>
    <w:sectPr w:rsidR="007900EE" w:rsidRPr="00B06592" w:rsidSect="004A5C65">
      <w:headerReference w:type="even" r:id="rId13"/>
      <w:headerReference w:type="default" r:id="rId14"/>
      <w:headerReference w:type="first" r:id="rId15"/>
      <w:type w:val="oddPage"/>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90F27" w14:textId="77777777" w:rsidR="00F60940" w:rsidRDefault="00F60940">
      <w:r>
        <w:separator/>
      </w:r>
    </w:p>
  </w:endnote>
  <w:endnote w:type="continuationSeparator" w:id="0">
    <w:p w14:paraId="1B1B7252" w14:textId="77777777" w:rsidR="00F60940" w:rsidRDefault="00F6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3000B" w14:textId="77777777" w:rsidR="00F60940" w:rsidRDefault="00F60940">
      <w:r>
        <w:separator/>
      </w:r>
    </w:p>
  </w:footnote>
  <w:footnote w:type="continuationSeparator" w:id="0">
    <w:p w14:paraId="02B5D6A8" w14:textId="77777777" w:rsidR="00F60940" w:rsidRDefault="00F60940">
      <w:r>
        <w:continuationSeparator/>
      </w:r>
    </w:p>
  </w:footnote>
  <w:footnote w:id="1">
    <w:p w14:paraId="6E95A4DF" w14:textId="39F737E7" w:rsidR="00B15DB8" w:rsidRPr="00BC1B1E" w:rsidRDefault="00B15DB8" w:rsidP="00CD1DAF">
      <w:pPr>
        <w:pStyle w:val="Notedebasdepage"/>
        <w:jc w:val="both"/>
      </w:pPr>
      <w:r w:rsidRPr="00BC1B1E">
        <w:rPr>
          <w:rStyle w:val="Appelnotedebasdep"/>
        </w:rPr>
        <w:footnoteRef/>
      </w:r>
      <w:r w:rsidR="00C307B1" w:rsidRPr="00BC1B1E">
        <w:tab/>
      </w:r>
      <w:r w:rsidRPr="00BC1B1E">
        <w:t>Un « cadre de données » désigne une approche organisée de la gestion et du traitement des données tout au long de leur cycle de vie, qui comprend la collecte, le stockage, le traitement, l</w:t>
      </w:r>
      <w:r w:rsidR="00BC1B1E">
        <w:t>’</w:t>
      </w:r>
      <w:r w:rsidRPr="00BC1B1E">
        <w:t>analyse et la diffusion des données.</w:t>
      </w:r>
    </w:p>
  </w:footnote>
  <w:footnote w:id="2">
    <w:p w14:paraId="3A993A85" w14:textId="26AE24D8" w:rsidR="00D63DE8" w:rsidRPr="00BC1B1E" w:rsidRDefault="00D63DE8" w:rsidP="00CD1DAF">
      <w:pPr>
        <w:pStyle w:val="Notedebasdepage"/>
        <w:jc w:val="both"/>
      </w:pPr>
      <w:r w:rsidRPr="00BC1B1E">
        <w:rPr>
          <w:rStyle w:val="Appelnotedebasdep"/>
        </w:rPr>
        <w:footnoteRef/>
      </w:r>
      <w:r w:rsidR="00C307B1" w:rsidRPr="00BC1B1E">
        <w:tab/>
      </w:r>
      <w:r w:rsidR="00B15DB8" w:rsidRPr="00BC1B1E">
        <w:t xml:space="preserve">Réseau des économistes des Nations Unies, </w:t>
      </w:r>
      <w:r w:rsidR="00B15DB8" w:rsidRPr="00BC1B1E">
        <w:rPr>
          <w:i/>
        </w:rPr>
        <w:t xml:space="preserve">New </w:t>
      </w:r>
      <w:proofErr w:type="spellStart"/>
      <w:r w:rsidR="00B15DB8" w:rsidRPr="00BC1B1E">
        <w:rPr>
          <w:i/>
        </w:rPr>
        <w:t>Economics</w:t>
      </w:r>
      <w:proofErr w:type="spellEnd"/>
      <w:r w:rsidR="00B15DB8" w:rsidRPr="00BC1B1E">
        <w:rPr>
          <w:i/>
        </w:rPr>
        <w:t xml:space="preserve"> for </w:t>
      </w:r>
      <w:proofErr w:type="spellStart"/>
      <w:r w:rsidR="00B15DB8" w:rsidRPr="00BC1B1E">
        <w:rPr>
          <w:i/>
        </w:rPr>
        <w:t>Sustainable</w:t>
      </w:r>
      <w:proofErr w:type="spellEnd"/>
      <w:r w:rsidR="00B15DB8" w:rsidRPr="00BC1B1E">
        <w:rPr>
          <w:i/>
        </w:rPr>
        <w:t xml:space="preserve"> </w:t>
      </w:r>
      <w:proofErr w:type="spellStart"/>
      <w:r w:rsidR="00B15DB8" w:rsidRPr="00BC1B1E">
        <w:rPr>
          <w:i/>
        </w:rPr>
        <w:t>Development</w:t>
      </w:r>
      <w:proofErr w:type="spellEnd"/>
      <w:r w:rsidR="00B15DB8" w:rsidRPr="00BC1B1E">
        <w:rPr>
          <w:i/>
        </w:rPr>
        <w:t xml:space="preserve">: </w:t>
      </w:r>
      <w:proofErr w:type="spellStart"/>
      <w:r w:rsidR="00B15DB8" w:rsidRPr="00BC1B1E">
        <w:rPr>
          <w:i/>
        </w:rPr>
        <w:t>Sustainable</w:t>
      </w:r>
      <w:proofErr w:type="spellEnd"/>
      <w:r w:rsidR="00B15DB8" w:rsidRPr="00BC1B1E">
        <w:rPr>
          <w:i/>
        </w:rPr>
        <w:t xml:space="preserve"> Ocean Economy</w:t>
      </w:r>
      <w:r w:rsidR="00B15DB8" w:rsidRPr="00BC1B1E">
        <w:t xml:space="preserve"> (2023).</w:t>
      </w:r>
    </w:p>
  </w:footnote>
  <w:footnote w:id="3">
    <w:p w14:paraId="5D7CE9A6" w14:textId="6FDD39FA" w:rsidR="007C6797" w:rsidRPr="00BC1B1E" w:rsidRDefault="007C6797" w:rsidP="00CD1DAF">
      <w:pPr>
        <w:pStyle w:val="Notedebasdepage"/>
        <w:jc w:val="both"/>
      </w:pPr>
      <w:r w:rsidRPr="00BC1B1E">
        <w:rPr>
          <w:rStyle w:val="Appelnotedebasdep"/>
        </w:rPr>
        <w:footnoteRef/>
      </w:r>
      <w:r w:rsidRPr="00BC1B1E">
        <w:t xml:space="preserve"> </w:t>
      </w:r>
      <w:r w:rsidR="00C307B1" w:rsidRPr="00BC1B1E">
        <w:tab/>
      </w:r>
      <w:r w:rsidRPr="00BC1B1E">
        <w:t>COI-UNESCO, deuxième édition du Rapport de la COI sur l</w:t>
      </w:r>
      <w:r w:rsidR="00BC1B1E">
        <w:t>’</w:t>
      </w:r>
      <w:r w:rsidRPr="00BC1B1E">
        <w:t>état de l</w:t>
      </w:r>
      <w:r w:rsidR="00BC1B1E">
        <w:t>’</w:t>
      </w:r>
      <w:r w:rsidRPr="00BC1B1E">
        <w:t>océan (2024).</w:t>
      </w:r>
    </w:p>
  </w:footnote>
  <w:footnote w:id="4">
    <w:p w14:paraId="50F9BD24" w14:textId="318CAB99" w:rsidR="00B720A0" w:rsidRPr="00BC1B1E" w:rsidRDefault="00B720A0" w:rsidP="00CD1DAF">
      <w:pPr>
        <w:pStyle w:val="Notedebasdepage"/>
        <w:jc w:val="both"/>
      </w:pPr>
      <w:r w:rsidRPr="00BC1B1E">
        <w:rPr>
          <w:rStyle w:val="Appelnotedebasdep"/>
        </w:rPr>
        <w:footnoteRef/>
      </w:r>
      <w:r w:rsidR="00CD1DAF" w:rsidRPr="00BC1B1E">
        <w:tab/>
      </w:r>
      <w:r w:rsidRPr="00BC1B1E">
        <w:t>La stratégie sera mise en œuvre conformément au droit international, notamment à la Convention des Nations Unies sur le droit de la mer (UNCLOS).</w:t>
      </w:r>
    </w:p>
  </w:footnote>
  <w:footnote w:id="5">
    <w:p w14:paraId="2B646D8E" w14:textId="25CF70BA" w:rsidR="00BC1B1E" w:rsidRPr="00BC1B1E" w:rsidRDefault="00BC1B1E" w:rsidP="00BC1B1E">
      <w:pPr>
        <w:ind w:left="567" w:hanging="567"/>
        <w:jc w:val="both"/>
        <w:rPr>
          <w:rFonts w:cs="Arial"/>
          <w:sz w:val="20"/>
          <w:szCs w:val="20"/>
        </w:rPr>
      </w:pPr>
      <w:r w:rsidRPr="00BC1B1E">
        <w:rPr>
          <w:rStyle w:val="Appelnotedebasdep"/>
          <w:sz w:val="20"/>
          <w:szCs w:val="20"/>
        </w:rPr>
        <w:footnoteRef/>
      </w:r>
      <w:r w:rsidRPr="00BC1B1E">
        <w:rPr>
          <w:rFonts w:cs="Arial"/>
          <w:sz w:val="20"/>
          <w:szCs w:val="20"/>
        </w:rPr>
        <w:tab/>
        <w:t xml:space="preserve">FAIR : Facilement trouvable, Accessible, Interopérable et Réutilisable. Wilkinson, M., Dumontier, M., </w:t>
      </w:r>
      <w:proofErr w:type="spellStart"/>
      <w:r w:rsidRPr="00BC1B1E">
        <w:rPr>
          <w:rFonts w:cs="Arial"/>
          <w:sz w:val="20"/>
          <w:szCs w:val="20"/>
        </w:rPr>
        <w:t>Aalbersberg</w:t>
      </w:r>
      <w:proofErr w:type="spellEnd"/>
      <w:r w:rsidRPr="00BC1B1E">
        <w:rPr>
          <w:rFonts w:cs="Arial"/>
          <w:sz w:val="20"/>
          <w:szCs w:val="20"/>
        </w:rPr>
        <w:t xml:space="preserve">, I. </w:t>
      </w:r>
      <w:r w:rsidRPr="00A646C0">
        <w:rPr>
          <w:rFonts w:cs="Arial"/>
          <w:i/>
          <w:iCs/>
          <w:sz w:val="20"/>
          <w:szCs w:val="20"/>
        </w:rPr>
        <w:t>et al.</w:t>
      </w:r>
      <w:r w:rsidRPr="00BC1B1E">
        <w:rPr>
          <w:rFonts w:cs="Arial"/>
          <w:sz w:val="20"/>
          <w:szCs w:val="20"/>
        </w:rPr>
        <w:t xml:space="preserve"> (2016).</w:t>
      </w:r>
    </w:p>
  </w:footnote>
  <w:footnote w:id="6">
    <w:p w14:paraId="46CBB674" w14:textId="7D4A890D" w:rsidR="00BC1B1E" w:rsidRPr="00BC1B1E" w:rsidRDefault="00BC1B1E" w:rsidP="00BC1B1E">
      <w:pPr>
        <w:ind w:left="567" w:hanging="567"/>
        <w:jc w:val="both"/>
        <w:rPr>
          <w:rFonts w:cs="Arial"/>
          <w:sz w:val="20"/>
          <w:szCs w:val="20"/>
        </w:rPr>
      </w:pPr>
      <w:r w:rsidRPr="00BC1B1E">
        <w:rPr>
          <w:rStyle w:val="Appelnotedebasdep"/>
          <w:rFonts w:cs="Arial"/>
          <w:sz w:val="20"/>
          <w:szCs w:val="20"/>
        </w:rPr>
        <w:footnoteRef/>
      </w:r>
      <w:r w:rsidRPr="00BC1B1E">
        <w:rPr>
          <w:rFonts w:cs="Arial"/>
          <w:sz w:val="20"/>
          <w:szCs w:val="20"/>
        </w:rPr>
        <w:tab/>
        <w:t>La coordination et l</w:t>
      </w:r>
      <w:r>
        <w:rPr>
          <w:rFonts w:cs="Arial"/>
          <w:sz w:val="20"/>
          <w:szCs w:val="20"/>
        </w:rPr>
        <w:t>’</w:t>
      </w:r>
      <w:r w:rsidRPr="00BC1B1E">
        <w:rPr>
          <w:rFonts w:cs="Arial"/>
          <w:sz w:val="20"/>
          <w:szCs w:val="20"/>
        </w:rPr>
        <w:t>alignement des activités et des politiques entre les différents secteurs concernés, tels que la pêche, le transport maritime et le tourisme, afin de parvenir à une approche unifiée de la planification de l</w:t>
      </w:r>
      <w:r>
        <w:rPr>
          <w:rFonts w:cs="Arial"/>
          <w:sz w:val="20"/>
          <w:szCs w:val="20"/>
        </w:rPr>
        <w:t>’</w:t>
      </w:r>
      <w:r w:rsidRPr="00BC1B1E">
        <w:rPr>
          <w:rFonts w:cs="Arial"/>
          <w:sz w:val="20"/>
          <w:szCs w:val="20"/>
        </w:rPr>
        <w:t>océan.</w:t>
      </w:r>
    </w:p>
  </w:footnote>
  <w:footnote w:id="7">
    <w:p w14:paraId="10236021" w14:textId="439FA39C" w:rsidR="00BC1B1E" w:rsidRPr="00BC1B1E" w:rsidRDefault="00BC1B1E" w:rsidP="00BC1B1E">
      <w:pPr>
        <w:ind w:left="567" w:hanging="567"/>
        <w:jc w:val="both"/>
        <w:rPr>
          <w:sz w:val="20"/>
          <w:szCs w:val="20"/>
        </w:rPr>
      </w:pPr>
      <w:r w:rsidRPr="00BC1B1E">
        <w:rPr>
          <w:rStyle w:val="Appelnotedebasdep"/>
          <w:rFonts w:cs="Arial"/>
          <w:sz w:val="20"/>
          <w:szCs w:val="20"/>
        </w:rPr>
        <w:footnoteRef/>
      </w:r>
      <w:r w:rsidRPr="00BC1B1E">
        <w:rPr>
          <w:rFonts w:cs="Arial"/>
          <w:sz w:val="20"/>
          <w:szCs w:val="20"/>
        </w:rPr>
        <w:tab/>
        <w:t>La coopération entre des pays ou des régions voisins pour gérer des ressources et des environnements marins partagés. Ce type de coopération est essentiel pour traiter les questions qui dépassent les frontières nationales, telles que la protection des espèces marines migratrices.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723F" w14:textId="5643DB18" w:rsidR="00352A97" w:rsidRDefault="00986606" w:rsidP="00747723">
    <w:pPr>
      <w:pBdr>
        <w:top w:val="nil"/>
        <w:left w:val="nil"/>
        <w:bottom w:val="nil"/>
        <w:right w:val="nil"/>
        <w:between w:val="nil"/>
      </w:pBdr>
      <w:tabs>
        <w:tab w:val="center" w:pos="4153"/>
        <w:tab w:val="right" w:pos="8306"/>
      </w:tabs>
      <w:rPr>
        <w:color w:val="000000"/>
        <w:sz w:val="20"/>
        <w:szCs w:val="20"/>
      </w:rPr>
    </w:pPr>
    <w:r w:rsidRPr="001D52BC">
      <w:rPr>
        <w:color w:val="000000"/>
        <w:sz w:val="20"/>
        <w:szCs w:val="20"/>
        <w:lang w:val="pt-PT"/>
      </w:rPr>
      <w:t>IOC/EC-57/</w:t>
    </w:r>
    <w:r>
      <w:rPr>
        <w:color w:val="000000"/>
        <w:sz w:val="20"/>
        <w:szCs w:val="20"/>
        <w:lang w:val="pt-PT"/>
      </w:rPr>
      <w:t>4.</w:t>
    </w:r>
    <w:r w:rsidR="005630A7">
      <w:rPr>
        <w:color w:val="000000"/>
        <w:sz w:val="20"/>
        <w:szCs w:val="20"/>
        <w:lang w:val="pt-PT"/>
      </w:rPr>
      <w:t>3</w:t>
    </w:r>
    <w:r w:rsidRPr="001D52BC">
      <w:rPr>
        <w:color w:val="000000"/>
        <w:sz w:val="20"/>
        <w:szCs w:val="20"/>
        <w:lang w:val="pt-PT"/>
      </w:rPr>
      <w:t>.Doc(</w:t>
    </w:r>
    <w:r w:rsidR="005630A7">
      <w:rPr>
        <w:color w:val="000000"/>
        <w:sz w:val="20"/>
        <w:szCs w:val="20"/>
        <w:lang w:val="pt-PT"/>
      </w:rPr>
      <w:t>1</w:t>
    </w:r>
    <w:r w:rsidRPr="001D52BC">
      <w:rPr>
        <w:color w:val="000000"/>
        <w:sz w:val="20"/>
        <w:szCs w:val="20"/>
        <w:lang w:val="pt-PT"/>
      </w:rPr>
      <w:t>)</w:t>
    </w:r>
    <w:r w:rsidR="002255EC">
      <w:rPr>
        <w:color w:val="000000"/>
        <w:sz w:val="20"/>
        <w:szCs w:val="20"/>
        <w:lang w:val="pt-PT"/>
      </w:rPr>
      <w:t> Rev</w:t>
    </w:r>
    <w:r w:rsidR="005630A7">
      <w:rPr>
        <w:color w:val="000000"/>
        <w:sz w:val="20"/>
        <w:szCs w:val="20"/>
        <w:lang w:val="pt-PT"/>
      </w:rPr>
      <w:t>.</w:t>
    </w:r>
    <w:r w:rsidR="00747723">
      <w:rPr>
        <w:color w:val="000000"/>
        <w:sz w:val="20"/>
        <w:szCs w:val="20"/>
        <w:lang w:val="pt-PT"/>
      </w:rPr>
      <w:t xml:space="preserve"> – </w:t>
    </w:r>
    <w:r>
      <w:rPr>
        <w:color w:val="000000"/>
        <w:sz w:val="20"/>
        <w:szCs w:val="20"/>
      </w:rPr>
      <w:t>page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133C" w14:textId="774273BC" w:rsidR="00352A97" w:rsidRPr="00463CF8" w:rsidRDefault="00986606" w:rsidP="00CD1DAF">
    <w:pPr>
      <w:pBdr>
        <w:top w:val="nil"/>
        <w:left w:val="nil"/>
        <w:bottom w:val="nil"/>
        <w:right w:val="nil"/>
        <w:between w:val="nil"/>
      </w:pBdr>
      <w:tabs>
        <w:tab w:val="center" w:pos="4153"/>
        <w:tab w:val="right" w:pos="8306"/>
      </w:tabs>
      <w:ind w:left="6096"/>
      <w:jc w:val="right"/>
      <w:rPr>
        <w:color w:val="000000"/>
        <w:sz w:val="20"/>
        <w:szCs w:val="20"/>
      </w:rPr>
    </w:pPr>
    <w:r w:rsidRPr="00463CF8">
      <w:rPr>
        <w:color w:val="000000"/>
        <w:sz w:val="20"/>
        <w:szCs w:val="20"/>
        <w:lang w:val="pt-PT"/>
      </w:rPr>
      <w:t>IOC/EC-57/4.</w:t>
    </w:r>
    <w:r w:rsidR="005630A7" w:rsidRPr="00463CF8">
      <w:rPr>
        <w:color w:val="000000"/>
        <w:sz w:val="20"/>
        <w:szCs w:val="20"/>
        <w:lang w:val="pt-PT"/>
      </w:rPr>
      <w:t>3</w:t>
    </w:r>
    <w:r w:rsidRPr="00463CF8">
      <w:rPr>
        <w:color w:val="000000"/>
        <w:sz w:val="20"/>
        <w:szCs w:val="20"/>
        <w:lang w:val="pt-PT"/>
      </w:rPr>
      <w:t>.Doc(</w:t>
    </w:r>
    <w:r w:rsidR="005630A7" w:rsidRPr="00463CF8">
      <w:rPr>
        <w:color w:val="000000"/>
        <w:sz w:val="20"/>
        <w:szCs w:val="20"/>
        <w:lang w:val="pt-PT"/>
      </w:rPr>
      <w:t>1</w:t>
    </w:r>
    <w:r w:rsidRPr="00463CF8">
      <w:rPr>
        <w:color w:val="000000"/>
        <w:sz w:val="20"/>
        <w:szCs w:val="20"/>
        <w:lang w:val="pt-PT"/>
      </w:rPr>
      <w:t>)</w:t>
    </w:r>
    <w:r w:rsidR="005630A7" w:rsidRPr="00463CF8">
      <w:rPr>
        <w:color w:val="000000"/>
        <w:sz w:val="20"/>
        <w:szCs w:val="20"/>
        <w:lang w:val="pt-PT"/>
      </w:rPr>
      <w:t> Rev</w:t>
    </w:r>
    <w:r w:rsidR="00CD1DAF" w:rsidRPr="00463CF8">
      <w:rPr>
        <w:color w:val="000000"/>
        <w:sz w:val="20"/>
        <w:szCs w:val="20"/>
        <w:lang w:val="pt-PT"/>
      </w:rPr>
      <w:t>.</w:t>
    </w:r>
    <w:r w:rsidR="00747723" w:rsidRPr="00463CF8">
      <w:rPr>
        <w:color w:val="000000"/>
        <w:sz w:val="20"/>
        <w:szCs w:val="20"/>
        <w:lang w:val="pt-PT"/>
      </w:rPr>
      <w:t xml:space="preserve"> – </w:t>
    </w:r>
    <w:r w:rsidRPr="00463CF8">
      <w:rPr>
        <w:color w:val="000000"/>
        <w:sz w:val="20"/>
        <w:szCs w:val="20"/>
      </w:rPr>
      <w:t>page </w:t>
    </w:r>
    <w:r w:rsidRPr="00463CF8">
      <w:rPr>
        <w:color w:val="000000"/>
        <w:sz w:val="20"/>
        <w:szCs w:val="20"/>
      </w:rPr>
      <w:fldChar w:fldCharType="begin"/>
    </w:r>
    <w:r w:rsidRPr="00463CF8">
      <w:rPr>
        <w:color w:val="000000"/>
        <w:sz w:val="20"/>
        <w:szCs w:val="20"/>
      </w:rPr>
      <w:instrText>PAGE</w:instrText>
    </w:r>
    <w:r w:rsidRPr="00463CF8">
      <w:rPr>
        <w:color w:val="000000"/>
        <w:sz w:val="20"/>
        <w:szCs w:val="20"/>
      </w:rPr>
      <w:fldChar w:fldCharType="separate"/>
    </w:r>
    <w:r w:rsidRPr="00463CF8">
      <w:rPr>
        <w:noProof/>
        <w:color w:val="000000"/>
        <w:sz w:val="20"/>
        <w:szCs w:val="20"/>
      </w:rPr>
      <w:t>3</w:t>
    </w:r>
    <w:r w:rsidRPr="00463CF8">
      <w:rPr>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026BB" w14:textId="77777777" w:rsidR="00747723" w:rsidRDefault="00747723" w:rsidP="00747723">
    <w:pPr>
      <w:pStyle w:val="En-tte"/>
    </w:pPr>
    <w:r>
      <w:rPr>
        <w:noProof/>
      </w:rPr>
      <mc:AlternateContent>
        <mc:Choice Requires="wps">
          <w:drawing>
            <wp:anchor distT="45720" distB="45720" distL="114300" distR="114300" simplePos="0" relativeHeight="251660288" behindDoc="0" locked="0" layoutInCell="1" allowOverlap="1" wp14:anchorId="798AAEAB" wp14:editId="4BDC760D">
              <wp:simplePos x="0" y="0"/>
              <wp:positionH relativeFrom="column">
                <wp:posOffset>3533223</wp:posOffset>
              </wp:positionH>
              <wp:positionV relativeFrom="paragraph">
                <wp:posOffset>-92710</wp:posOffset>
              </wp:positionV>
              <wp:extent cx="2967990"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1404620"/>
                      </a:xfrm>
                      <a:prstGeom prst="rect">
                        <a:avLst/>
                      </a:prstGeom>
                      <a:noFill/>
                      <a:ln w="9525">
                        <a:noFill/>
                        <a:miter lim="800000"/>
                        <a:headEnd/>
                        <a:tailEnd/>
                      </a:ln>
                    </wps:spPr>
                    <wps:txbx>
                      <w:txbxContent>
                        <w:p w14:paraId="15063E4E" w14:textId="377F40FE" w:rsidR="00747723" w:rsidRPr="00CD1DAF" w:rsidRDefault="00747723" w:rsidP="00747723">
                          <w:pPr>
                            <w:pStyle w:val="Marge"/>
                            <w:tabs>
                              <w:tab w:val="left" w:pos="6237"/>
                              <w:tab w:val="left" w:pos="7088"/>
                            </w:tabs>
                            <w:spacing w:after="0"/>
                            <w:rPr>
                              <w:rFonts w:cs="Arial"/>
                              <w:b/>
                              <w:spacing w:val="-4"/>
                              <w:sz w:val="36"/>
                              <w:szCs w:val="36"/>
                            </w:rPr>
                          </w:pPr>
                          <w:bookmarkStart w:id="14" w:name="_Hlk54263549"/>
                          <w:r w:rsidRPr="00CD1DAF">
                            <w:rPr>
                              <w:rFonts w:cs="Arial"/>
                              <w:b/>
                              <w:spacing w:val="-4"/>
                              <w:sz w:val="36"/>
                              <w:szCs w:val="36"/>
                            </w:rPr>
                            <w:t>IOC/EC-57/4.</w:t>
                          </w:r>
                          <w:r w:rsidR="005630A7" w:rsidRPr="00CD1DAF">
                            <w:rPr>
                              <w:rFonts w:cs="Arial"/>
                              <w:b/>
                              <w:spacing w:val="-4"/>
                              <w:sz w:val="36"/>
                              <w:szCs w:val="36"/>
                            </w:rPr>
                            <w:t>3</w:t>
                          </w:r>
                          <w:r w:rsidRPr="00CD1DAF">
                            <w:rPr>
                              <w:rFonts w:cs="Arial"/>
                              <w:b/>
                              <w:spacing w:val="-4"/>
                              <w:sz w:val="36"/>
                              <w:szCs w:val="36"/>
                            </w:rPr>
                            <w:t>.Doc</w:t>
                          </w:r>
                          <w:bookmarkEnd w:id="14"/>
                          <w:r w:rsidRPr="00CD1DAF">
                            <w:rPr>
                              <w:rFonts w:cs="Arial"/>
                              <w:b/>
                              <w:spacing w:val="-4"/>
                              <w:sz w:val="36"/>
                              <w:szCs w:val="36"/>
                            </w:rPr>
                            <w:t>(</w:t>
                          </w:r>
                          <w:r w:rsidR="005630A7" w:rsidRPr="00CD1DAF">
                            <w:rPr>
                              <w:rFonts w:cs="Arial"/>
                              <w:b/>
                              <w:spacing w:val="-4"/>
                              <w:sz w:val="36"/>
                              <w:szCs w:val="36"/>
                            </w:rPr>
                            <w:t>1</w:t>
                          </w:r>
                          <w:r w:rsidRPr="00CD1DAF">
                            <w:rPr>
                              <w:rFonts w:cs="Arial"/>
                              <w:b/>
                              <w:spacing w:val="-4"/>
                              <w:sz w:val="36"/>
                              <w:szCs w:val="36"/>
                            </w:rPr>
                            <w:t>)</w:t>
                          </w:r>
                          <w:r w:rsidR="00CD1DAF" w:rsidRPr="00CD1DAF">
                            <w:rPr>
                              <w:rFonts w:cs="Arial"/>
                              <w:b/>
                              <w:spacing w:val="-4"/>
                              <w:sz w:val="36"/>
                              <w:szCs w:val="36"/>
                            </w:rPr>
                            <w:t> </w:t>
                          </w:r>
                          <w:r w:rsidR="005630A7" w:rsidRPr="00CD1DAF">
                            <w:rPr>
                              <w:rFonts w:cs="Arial"/>
                              <w:b/>
                              <w:spacing w:val="-4"/>
                              <w:sz w:val="36"/>
                              <w:szCs w:val="36"/>
                            </w:rPr>
                            <w:t>Rev</w:t>
                          </w:r>
                          <w:r w:rsidR="00CD1DAF" w:rsidRPr="00CD1DAF">
                            <w:rPr>
                              <w:rFonts w:cs="Arial"/>
                              <w:b/>
                              <w:spacing w:val="-4"/>
                              <w:sz w:val="36"/>
                              <w:szCs w:val="36"/>
                            </w:rPr>
                            <w:t>.</w:t>
                          </w:r>
                        </w:p>
                        <w:p w14:paraId="2B90E4A5" w14:textId="1D1D6A91" w:rsidR="00747723" w:rsidRPr="002A5D14" w:rsidRDefault="00747723" w:rsidP="00747723">
                          <w:pPr>
                            <w:pStyle w:val="Marge"/>
                            <w:tabs>
                              <w:tab w:val="left" w:pos="6237"/>
                            </w:tabs>
                            <w:spacing w:after="0"/>
                            <w:rPr>
                              <w:rFonts w:cs="Arial"/>
                              <w:szCs w:val="22"/>
                            </w:rPr>
                          </w:pPr>
                          <w:r w:rsidRPr="002A5D14">
                            <w:rPr>
                              <w:rFonts w:cs="Arial"/>
                              <w:szCs w:val="22"/>
                            </w:rPr>
                            <w:t xml:space="preserve">Paris, le </w:t>
                          </w:r>
                          <w:r w:rsidR="005630A7">
                            <w:rPr>
                              <w:rFonts w:cs="Arial"/>
                              <w:szCs w:val="22"/>
                            </w:rPr>
                            <w:t>3</w:t>
                          </w:r>
                          <w:r>
                            <w:rPr>
                              <w:rFonts w:cs="Arial"/>
                              <w:szCs w:val="22"/>
                            </w:rPr>
                            <w:t xml:space="preserve"> </w:t>
                          </w:r>
                          <w:r w:rsidR="005630A7">
                            <w:rPr>
                              <w:rFonts w:cs="Arial"/>
                              <w:szCs w:val="22"/>
                            </w:rPr>
                            <w:t>juin</w:t>
                          </w:r>
                          <w:r w:rsidRPr="002A5D14">
                            <w:rPr>
                              <w:rFonts w:cs="Arial"/>
                              <w:szCs w:val="22"/>
                            </w:rPr>
                            <w:t xml:space="preserve"> 202</w:t>
                          </w:r>
                          <w:r>
                            <w:rPr>
                              <w:rFonts w:cs="Arial"/>
                              <w:szCs w:val="22"/>
                            </w:rPr>
                            <w:t>4</w:t>
                          </w:r>
                          <w:r w:rsidRPr="002A5D14">
                            <w:rPr>
                              <w:rFonts w:cs="Arial"/>
                              <w:szCs w:val="22"/>
                            </w:rPr>
                            <w:t xml:space="preserve"> </w:t>
                          </w:r>
                        </w:p>
                        <w:p w14:paraId="70A04B28" w14:textId="77777777" w:rsidR="00747723" w:rsidRPr="00EB3895" w:rsidRDefault="00747723" w:rsidP="00747723">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AAEAB" id="_x0000_t202" coordsize="21600,21600" o:spt="202" path="m,l,21600r21600,l21600,xe">
              <v:stroke joinstyle="miter"/>
              <v:path gradientshapeok="t" o:connecttype="rect"/>
            </v:shapetype>
            <v:shape id="Zone de texte 2" o:spid="_x0000_s1026" type="#_x0000_t202" style="position:absolute;margin-left:278.2pt;margin-top:-7.3pt;width:233.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" filled="f" stroked="f">
              <v:textbox style="mso-fit-shape-to-text:t">
                <w:txbxContent>
                  <w:p w14:paraId="15063E4E" w14:textId="377F40FE" w:rsidR="00747723" w:rsidRPr="00CD1DAF" w:rsidRDefault="00747723" w:rsidP="00747723">
                    <w:pPr>
                      <w:pStyle w:val="Marge"/>
                      <w:tabs>
                        <w:tab w:val="left" w:pos="6237"/>
                        <w:tab w:val="left" w:pos="7088"/>
                      </w:tabs>
                      <w:spacing w:after="0"/>
                      <w:rPr>
                        <w:rFonts w:cs="Arial"/>
                        <w:b/>
                        <w:spacing w:val="-4"/>
                        <w:sz w:val="36"/>
                        <w:szCs w:val="36"/>
                      </w:rPr>
                    </w:pPr>
                    <w:bookmarkStart w:id="15" w:name="_Hlk54263549"/>
                    <w:r w:rsidRPr="00CD1DAF">
                      <w:rPr>
                        <w:rFonts w:cs="Arial"/>
                        <w:b/>
                        <w:spacing w:val="-4"/>
                        <w:sz w:val="36"/>
                        <w:szCs w:val="36"/>
                      </w:rPr>
                      <w:t>IOC/EC-57/4.</w:t>
                    </w:r>
                    <w:r w:rsidR="005630A7" w:rsidRPr="00CD1DAF">
                      <w:rPr>
                        <w:rFonts w:cs="Arial"/>
                        <w:b/>
                        <w:spacing w:val="-4"/>
                        <w:sz w:val="36"/>
                        <w:szCs w:val="36"/>
                      </w:rPr>
                      <w:t>3</w:t>
                    </w:r>
                    <w:r w:rsidRPr="00CD1DAF">
                      <w:rPr>
                        <w:rFonts w:cs="Arial"/>
                        <w:b/>
                        <w:spacing w:val="-4"/>
                        <w:sz w:val="36"/>
                        <w:szCs w:val="36"/>
                      </w:rPr>
                      <w:t>.Doc</w:t>
                    </w:r>
                    <w:bookmarkEnd w:id="15"/>
                    <w:r w:rsidRPr="00CD1DAF">
                      <w:rPr>
                        <w:rFonts w:cs="Arial"/>
                        <w:b/>
                        <w:spacing w:val="-4"/>
                        <w:sz w:val="36"/>
                        <w:szCs w:val="36"/>
                      </w:rPr>
                      <w:t>(</w:t>
                    </w:r>
                    <w:r w:rsidR="005630A7" w:rsidRPr="00CD1DAF">
                      <w:rPr>
                        <w:rFonts w:cs="Arial"/>
                        <w:b/>
                        <w:spacing w:val="-4"/>
                        <w:sz w:val="36"/>
                        <w:szCs w:val="36"/>
                      </w:rPr>
                      <w:t>1</w:t>
                    </w:r>
                    <w:r w:rsidRPr="00CD1DAF">
                      <w:rPr>
                        <w:rFonts w:cs="Arial"/>
                        <w:b/>
                        <w:spacing w:val="-4"/>
                        <w:sz w:val="36"/>
                        <w:szCs w:val="36"/>
                      </w:rPr>
                      <w:t>)</w:t>
                    </w:r>
                    <w:r w:rsidR="00CD1DAF" w:rsidRPr="00CD1DAF">
                      <w:rPr>
                        <w:rFonts w:cs="Arial"/>
                        <w:b/>
                        <w:spacing w:val="-4"/>
                        <w:sz w:val="36"/>
                        <w:szCs w:val="36"/>
                      </w:rPr>
                      <w:t> </w:t>
                    </w:r>
                    <w:r w:rsidR="005630A7" w:rsidRPr="00CD1DAF">
                      <w:rPr>
                        <w:rFonts w:cs="Arial"/>
                        <w:b/>
                        <w:spacing w:val="-4"/>
                        <w:sz w:val="36"/>
                        <w:szCs w:val="36"/>
                      </w:rPr>
                      <w:t>Rev</w:t>
                    </w:r>
                    <w:r w:rsidR="00CD1DAF" w:rsidRPr="00CD1DAF">
                      <w:rPr>
                        <w:rFonts w:cs="Arial"/>
                        <w:b/>
                        <w:spacing w:val="-4"/>
                        <w:sz w:val="36"/>
                        <w:szCs w:val="36"/>
                      </w:rPr>
                      <w:t>.</w:t>
                    </w:r>
                  </w:p>
                  <w:p w14:paraId="2B90E4A5" w14:textId="1D1D6A91" w:rsidR="00747723" w:rsidRPr="002A5D14" w:rsidRDefault="00747723" w:rsidP="00747723">
                    <w:pPr>
                      <w:pStyle w:val="Marge"/>
                      <w:tabs>
                        <w:tab w:val="left" w:pos="6237"/>
                      </w:tabs>
                      <w:spacing w:after="0"/>
                      <w:rPr>
                        <w:rFonts w:cs="Arial"/>
                        <w:szCs w:val="22"/>
                      </w:rPr>
                    </w:pPr>
                    <w:r w:rsidRPr="002A5D14">
                      <w:rPr>
                        <w:rFonts w:cs="Arial"/>
                        <w:szCs w:val="22"/>
                      </w:rPr>
                      <w:t xml:space="preserve">Paris, le </w:t>
                    </w:r>
                    <w:r w:rsidR="005630A7">
                      <w:rPr>
                        <w:rFonts w:cs="Arial"/>
                        <w:szCs w:val="22"/>
                      </w:rPr>
                      <w:t>3</w:t>
                    </w:r>
                    <w:r>
                      <w:rPr>
                        <w:rFonts w:cs="Arial"/>
                        <w:szCs w:val="22"/>
                      </w:rPr>
                      <w:t xml:space="preserve"> </w:t>
                    </w:r>
                    <w:r w:rsidR="005630A7">
                      <w:rPr>
                        <w:rFonts w:cs="Arial"/>
                        <w:szCs w:val="22"/>
                      </w:rPr>
                      <w:t>juin</w:t>
                    </w:r>
                    <w:r w:rsidRPr="002A5D14">
                      <w:rPr>
                        <w:rFonts w:cs="Arial"/>
                        <w:szCs w:val="22"/>
                      </w:rPr>
                      <w:t xml:space="preserve"> 202</w:t>
                    </w:r>
                    <w:r>
                      <w:rPr>
                        <w:rFonts w:cs="Arial"/>
                        <w:szCs w:val="22"/>
                      </w:rPr>
                      <w:t>4</w:t>
                    </w:r>
                    <w:r w:rsidRPr="002A5D14">
                      <w:rPr>
                        <w:rFonts w:cs="Arial"/>
                        <w:szCs w:val="22"/>
                      </w:rPr>
                      <w:t xml:space="preserve"> </w:t>
                    </w:r>
                  </w:p>
                  <w:p w14:paraId="70A04B28" w14:textId="77777777" w:rsidR="00747723" w:rsidRPr="00EB3895" w:rsidRDefault="00747723" w:rsidP="00747723">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Pr>
        <w:rFonts w:cs="Arial"/>
        <w:b/>
        <w:noProof/>
        <w:snapToGrid/>
        <w:szCs w:val="22"/>
        <w:lang w:eastAsia="fr-FR"/>
      </w:rPr>
      <w:drawing>
        <wp:anchor distT="0" distB="0" distL="114300" distR="114300" simplePos="0" relativeHeight="251659264" behindDoc="0" locked="0" layoutInCell="1" allowOverlap="1" wp14:anchorId="5609222C" wp14:editId="3770D2A5">
          <wp:simplePos x="0" y="0"/>
          <wp:positionH relativeFrom="column">
            <wp:posOffset>-103201</wp:posOffset>
          </wp:positionH>
          <wp:positionV relativeFrom="paragraph">
            <wp:posOffset>254000</wp:posOffset>
          </wp:positionV>
          <wp:extent cx="1578610" cy="1047115"/>
          <wp:effectExtent l="0" t="0" r="2540" b="635"/>
          <wp:wrapNone/>
          <wp:docPr id="97454475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t>Distribution limitée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006FE"/>
    <w:multiLevelType w:val="multilevel"/>
    <w:tmpl w:val="F9BAFD2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673778F"/>
    <w:multiLevelType w:val="multilevel"/>
    <w:tmpl w:val="D7C89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0F3AAF"/>
    <w:multiLevelType w:val="multilevel"/>
    <w:tmpl w:val="5A84CB80"/>
    <w:lvl w:ilvl="0">
      <w:start w:val="1"/>
      <w:numFmt w:val="lowerRoman"/>
      <w:lvlText w:val="(%1)"/>
      <w:lvlJc w:val="left"/>
      <w:pPr>
        <w:ind w:left="1440" w:hanging="360"/>
      </w:pPr>
      <w:rPr>
        <w:rFonts w:hint="default"/>
        <w:b/>
        <w:bCs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1"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055117"/>
    <w:multiLevelType w:val="hybridMultilevel"/>
    <w:tmpl w:val="4BAA46AE"/>
    <w:lvl w:ilvl="0" w:tplc="97CE26A8">
      <w:start w:val="1"/>
      <w:numFmt w:val="decimal"/>
      <w:lvlText w:val="%1."/>
      <w:lvlJc w:val="left"/>
      <w:pPr>
        <w:ind w:left="720" w:hanging="360"/>
      </w:pPr>
      <w:rPr>
        <w:rFonts w:eastAsia="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263FF1"/>
    <w:multiLevelType w:val="multilevel"/>
    <w:tmpl w:val="3D1CB5A8"/>
    <w:lvl w:ilvl="0">
      <w:start w:val="1"/>
      <w:numFmt w:val="decimal"/>
      <w:lvlText w:val="%1."/>
      <w:lvlJc w:val="left"/>
      <w:pPr>
        <w:ind w:left="720" w:hanging="360"/>
      </w:pPr>
      <w:rPr>
        <w:color w:val="00000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rPr>
        <w:b w:val="0"/>
        <w:bCs/>
      </w:r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3A11623F"/>
    <w:multiLevelType w:val="multilevel"/>
    <w:tmpl w:val="3C4A3064"/>
    <w:lvl w:ilvl="0">
      <w:start w:val="1"/>
      <w:numFmt w:val="decimal"/>
      <w:lvlText w:val="%1."/>
      <w:lvlJc w:val="left"/>
      <w:pPr>
        <w:ind w:left="0" w:firstLine="0"/>
      </w:pPr>
      <w:rPr>
        <w:rFonts w:hint="default"/>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heme="minorBidi" w:hAnsiTheme="minorBidi" w:cstheme="minorBid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A3D0F"/>
    <w:multiLevelType w:val="hybridMultilevel"/>
    <w:tmpl w:val="FE7EB8C2"/>
    <w:lvl w:ilvl="0" w:tplc="34760B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C61576"/>
    <w:multiLevelType w:val="hybridMultilevel"/>
    <w:tmpl w:val="61C8B530"/>
    <w:lvl w:ilvl="0" w:tplc="733AD892">
      <w:start w:val="1"/>
      <w:numFmt w:val="lowerRoman"/>
      <w:lvlText w:val="(%1)"/>
      <w:lvlJc w:val="left"/>
      <w:pPr>
        <w:ind w:left="720" w:hanging="720"/>
      </w:pPr>
      <w:rPr>
        <w:rFonts w:hint="default"/>
        <w:b/>
        <w:bCs/>
        <w:i/>
        <w:iCs/>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5A924E2"/>
    <w:multiLevelType w:val="multilevel"/>
    <w:tmpl w:val="5476A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6AD2269"/>
    <w:multiLevelType w:val="hybridMultilevel"/>
    <w:tmpl w:val="BB068D26"/>
    <w:lvl w:ilvl="0" w:tplc="32AC4466">
      <w:start w:val="1"/>
      <w:numFmt w:val="lowerRoman"/>
      <w:lvlText w:val="(%1)"/>
      <w:lvlJc w:val="left"/>
      <w:pPr>
        <w:ind w:left="720" w:hanging="360"/>
      </w:pPr>
      <w:rPr>
        <w:rFonts w:ascii="Arial" w:eastAsia="Times New Roman" w:hAnsi="Arial" w:cs="Times" w:hint="default"/>
        <w:w w:val="99"/>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6"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54081"/>
    <w:multiLevelType w:val="multilevel"/>
    <w:tmpl w:val="902A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20902"/>
    <w:multiLevelType w:val="multilevel"/>
    <w:tmpl w:val="9D52BE26"/>
    <w:lvl w:ilvl="0">
      <w:start w:val="1"/>
      <w:numFmt w:val="decimal"/>
      <w:lvlText w:val="%1."/>
      <w:lvlJc w:val="left"/>
      <w:pPr>
        <w:tabs>
          <w:tab w:val="num" w:pos="720"/>
        </w:tabs>
        <w:ind w:left="720" w:hanging="360"/>
      </w:pPr>
    </w:lvl>
    <w:lvl w:ilvl="1">
      <w:start w:val="1"/>
      <w:numFmt w:val="lowerRoman"/>
      <w:lvlText w:val="(%2)"/>
      <w:lvlJc w:val="left"/>
      <w:pPr>
        <w:ind w:left="2770" w:hanging="360"/>
      </w:pPr>
      <w:rPr>
        <w:rFonts w:hint="default"/>
        <w:b w:val="0"/>
        <w:i/>
        <w:iCs w:val="0"/>
        <w:sz w:val="22"/>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35"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521511">
    <w:abstractNumId w:val="10"/>
  </w:num>
  <w:num w:numId="2" w16cid:durableId="2014335776">
    <w:abstractNumId w:val="10"/>
  </w:num>
  <w:num w:numId="3" w16cid:durableId="1054548390">
    <w:abstractNumId w:val="5"/>
  </w:num>
  <w:num w:numId="4" w16cid:durableId="851457890">
    <w:abstractNumId w:val="28"/>
  </w:num>
  <w:num w:numId="5" w16cid:durableId="1671055135">
    <w:abstractNumId w:val="12"/>
  </w:num>
  <w:num w:numId="6" w16cid:durableId="1403985604">
    <w:abstractNumId w:val="21"/>
  </w:num>
  <w:num w:numId="7" w16cid:durableId="100998719">
    <w:abstractNumId w:val="33"/>
  </w:num>
  <w:num w:numId="8" w16cid:durableId="337855322">
    <w:abstractNumId w:val="26"/>
  </w:num>
  <w:num w:numId="9" w16cid:durableId="63185380">
    <w:abstractNumId w:val="5"/>
  </w:num>
  <w:num w:numId="10" w16cid:durableId="407771911">
    <w:abstractNumId w:val="5"/>
  </w:num>
  <w:num w:numId="11" w16cid:durableId="1369525284">
    <w:abstractNumId w:val="5"/>
  </w:num>
  <w:num w:numId="12" w16cid:durableId="617640213">
    <w:abstractNumId w:val="5"/>
  </w:num>
  <w:num w:numId="13" w16cid:durableId="71122322">
    <w:abstractNumId w:val="23"/>
  </w:num>
  <w:num w:numId="14" w16cid:durableId="60687292">
    <w:abstractNumId w:val="1"/>
  </w:num>
  <w:num w:numId="15" w16cid:durableId="121769899">
    <w:abstractNumId w:val="22"/>
  </w:num>
  <w:num w:numId="16" w16cid:durableId="1342509087">
    <w:abstractNumId w:val="5"/>
  </w:num>
  <w:num w:numId="17" w16cid:durableId="1501844500">
    <w:abstractNumId w:val="2"/>
  </w:num>
  <w:num w:numId="18" w16cid:durableId="808598241">
    <w:abstractNumId w:val="5"/>
  </w:num>
  <w:num w:numId="19" w16cid:durableId="1351030995">
    <w:abstractNumId w:val="0"/>
  </w:num>
  <w:num w:numId="20" w16cid:durableId="14246434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7251526">
    <w:abstractNumId w:val="25"/>
  </w:num>
  <w:num w:numId="22" w16cid:durableId="519128262">
    <w:abstractNumId w:val="7"/>
  </w:num>
  <w:num w:numId="23" w16cid:durableId="830101997">
    <w:abstractNumId w:val="35"/>
  </w:num>
  <w:num w:numId="24" w16cid:durableId="1712920942">
    <w:abstractNumId w:val="3"/>
  </w:num>
  <w:num w:numId="25" w16cid:durableId="227813424">
    <w:abstractNumId w:val="31"/>
  </w:num>
  <w:num w:numId="26" w16cid:durableId="1533809902">
    <w:abstractNumId w:val="9"/>
  </w:num>
  <w:num w:numId="27" w16cid:durableId="376438936">
    <w:abstractNumId w:val="29"/>
  </w:num>
  <w:num w:numId="28" w16cid:durableId="64885692">
    <w:abstractNumId w:val="16"/>
  </w:num>
  <w:num w:numId="29" w16cid:durableId="930627321">
    <w:abstractNumId w:val="36"/>
  </w:num>
  <w:num w:numId="30" w16cid:durableId="840435221">
    <w:abstractNumId w:val="24"/>
  </w:num>
  <w:num w:numId="31" w16cid:durableId="1554122535">
    <w:abstractNumId w:val="32"/>
  </w:num>
  <w:num w:numId="32" w16cid:durableId="2023241137">
    <w:abstractNumId w:val="11"/>
  </w:num>
  <w:num w:numId="33" w16cid:durableId="529226023">
    <w:abstractNumId w:val="4"/>
  </w:num>
  <w:num w:numId="34" w16cid:durableId="2006782783">
    <w:abstractNumId w:val="6"/>
  </w:num>
  <w:num w:numId="35" w16cid:durableId="1693217445">
    <w:abstractNumId w:val="30"/>
  </w:num>
  <w:num w:numId="36" w16cid:durableId="1576209687">
    <w:abstractNumId w:val="20"/>
  </w:num>
  <w:num w:numId="37" w16cid:durableId="1223754943">
    <w:abstractNumId w:val="27"/>
  </w:num>
  <w:num w:numId="38" w16cid:durableId="1252006601">
    <w:abstractNumId w:val="15"/>
  </w:num>
  <w:num w:numId="39" w16cid:durableId="123092363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7653280">
    <w:abstractNumId w:val="13"/>
  </w:num>
  <w:num w:numId="41" w16cid:durableId="574127536">
    <w:abstractNumId w:val="18"/>
  </w:num>
  <w:num w:numId="42" w16cid:durableId="1347712455">
    <w:abstractNumId w:val="14"/>
  </w:num>
  <w:num w:numId="43" w16cid:durableId="1913850757">
    <w:abstractNumId w:val="19"/>
  </w:num>
  <w:num w:numId="44" w16cid:durableId="1903969">
    <w:abstractNumId w:val="8"/>
  </w:num>
  <w:num w:numId="45" w16cid:durableId="6796986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16268"/>
    <w:rsid w:val="00016371"/>
    <w:rsid w:val="000259CC"/>
    <w:rsid w:val="00030118"/>
    <w:rsid w:val="000373A7"/>
    <w:rsid w:val="0005569A"/>
    <w:rsid w:val="00074EA3"/>
    <w:rsid w:val="00092A80"/>
    <w:rsid w:val="00092E0B"/>
    <w:rsid w:val="000A7149"/>
    <w:rsid w:val="000B0E4E"/>
    <w:rsid w:val="000B363E"/>
    <w:rsid w:val="000C2F8A"/>
    <w:rsid w:val="000D1483"/>
    <w:rsid w:val="000D39FC"/>
    <w:rsid w:val="000D4E4C"/>
    <w:rsid w:val="000E2A52"/>
    <w:rsid w:val="000E5AEB"/>
    <w:rsid w:val="000E7AEA"/>
    <w:rsid w:val="000F1DBA"/>
    <w:rsid w:val="000F258B"/>
    <w:rsid w:val="00100A35"/>
    <w:rsid w:val="00104A05"/>
    <w:rsid w:val="001077FC"/>
    <w:rsid w:val="0011081B"/>
    <w:rsid w:val="0011114C"/>
    <w:rsid w:val="0011169E"/>
    <w:rsid w:val="00120965"/>
    <w:rsid w:val="00141765"/>
    <w:rsid w:val="00153B84"/>
    <w:rsid w:val="00160056"/>
    <w:rsid w:val="00177B08"/>
    <w:rsid w:val="001912E2"/>
    <w:rsid w:val="001954CB"/>
    <w:rsid w:val="001A529C"/>
    <w:rsid w:val="001A6C83"/>
    <w:rsid w:val="001A6E27"/>
    <w:rsid w:val="001A789E"/>
    <w:rsid w:val="001C0C92"/>
    <w:rsid w:val="001C45AE"/>
    <w:rsid w:val="001C6211"/>
    <w:rsid w:val="001D2A46"/>
    <w:rsid w:val="001E1961"/>
    <w:rsid w:val="001E19D4"/>
    <w:rsid w:val="001E413E"/>
    <w:rsid w:val="001E73FE"/>
    <w:rsid w:val="001F1F04"/>
    <w:rsid w:val="001F5D62"/>
    <w:rsid w:val="00201171"/>
    <w:rsid w:val="00210697"/>
    <w:rsid w:val="00213953"/>
    <w:rsid w:val="00214CDB"/>
    <w:rsid w:val="002255EC"/>
    <w:rsid w:val="00226B0D"/>
    <w:rsid w:val="00232429"/>
    <w:rsid w:val="00234C33"/>
    <w:rsid w:val="002370FD"/>
    <w:rsid w:val="00250971"/>
    <w:rsid w:val="00261E65"/>
    <w:rsid w:val="00265314"/>
    <w:rsid w:val="0026619D"/>
    <w:rsid w:val="002750C1"/>
    <w:rsid w:val="00275103"/>
    <w:rsid w:val="00290100"/>
    <w:rsid w:val="002B4B18"/>
    <w:rsid w:val="002B5378"/>
    <w:rsid w:val="002C3E0F"/>
    <w:rsid w:val="002C665B"/>
    <w:rsid w:val="002D148D"/>
    <w:rsid w:val="002D2C1D"/>
    <w:rsid w:val="002D312F"/>
    <w:rsid w:val="002D374B"/>
    <w:rsid w:val="002E427B"/>
    <w:rsid w:val="002E70A1"/>
    <w:rsid w:val="00310E5D"/>
    <w:rsid w:val="00311ECE"/>
    <w:rsid w:val="003210F7"/>
    <w:rsid w:val="003214A8"/>
    <w:rsid w:val="0034355C"/>
    <w:rsid w:val="003442AA"/>
    <w:rsid w:val="00346C46"/>
    <w:rsid w:val="00352A97"/>
    <w:rsid w:val="00354ACA"/>
    <w:rsid w:val="003557A8"/>
    <w:rsid w:val="003561FB"/>
    <w:rsid w:val="00363D04"/>
    <w:rsid w:val="00365CD2"/>
    <w:rsid w:val="003705A5"/>
    <w:rsid w:val="003829C6"/>
    <w:rsid w:val="003873BA"/>
    <w:rsid w:val="003917F2"/>
    <w:rsid w:val="00397DEC"/>
    <w:rsid w:val="003A134A"/>
    <w:rsid w:val="003B58D6"/>
    <w:rsid w:val="003C0C2D"/>
    <w:rsid w:val="003C328B"/>
    <w:rsid w:val="003D329C"/>
    <w:rsid w:val="003D46DA"/>
    <w:rsid w:val="003D4875"/>
    <w:rsid w:val="003D675F"/>
    <w:rsid w:val="003E2147"/>
    <w:rsid w:val="003E27AC"/>
    <w:rsid w:val="003E52E7"/>
    <w:rsid w:val="003E651D"/>
    <w:rsid w:val="003F3C42"/>
    <w:rsid w:val="003F4C5B"/>
    <w:rsid w:val="00401C01"/>
    <w:rsid w:val="0041299F"/>
    <w:rsid w:val="004140D8"/>
    <w:rsid w:val="004213D0"/>
    <w:rsid w:val="0042218E"/>
    <w:rsid w:val="00432FCF"/>
    <w:rsid w:val="00433522"/>
    <w:rsid w:val="00436275"/>
    <w:rsid w:val="004573F3"/>
    <w:rsid w:val="004575FF"/>
    <w:rsid w:val="004618DE"/>
    <w:rsid w:val="004630BB"/>
    <w:rsid w:val="00463CF8"/>
    <w:rsid w:val="00463EA2"/>
    <w:rsid w:val="0048036B"/>
    <w:rsid w:val="004811C3"/>
    <w:rsid w:val="00484032"/>
    <w:rsid w:val="00491560"/>
    <w:rsid w:val="00494C58"/>
    <w:rsid w:val="0049574B"/>
    <w:rsid w:val="004A2F67"/>
    <w:rsid w:val="004A327F"/>
    <w:rsid w:val="004A5C65"/>
    <w:rsid w:val="004B08C6"/>
    <w:rsid w:val="004B35BF"/>
    <w:rsid w:val="004B6DD5"/>
    <w:rsid w:val="004C08D6"/>
    <w:rsid w:val="004C100E"/>
    <w:rsid w:val="004C128D"/>
    <w:rsid w:val="004C1526"/>
    <w:rsid w:val="004C1D3F"/>
    <w:rsid w:val="004C3E47"/>
    <w:rsid w:val="004C7ECB"/>
    <w:rsid w:val="004D05D2"/>
    <w:rsid w:val="004D0F08"/>
    <w:rsid w:val="00511548"/>
    <w:rsid w:val="00511D63"/>
    <w:rsid w:val="00512B91"/>
    <w:rsid w:val="00513180"/>
    <w:rsid w:val="005169D0"/>
    <w:rsid w:val="00533732"/>
    <w:rsid w:val="0054132D"/>
    <w:rsid w:val="005455CC"/>
    <w:rsid w:val="00562336"/>
    <w:rsid w:val="005630A7"/>
    <w:rsid w:val="00572AC5"/>
    <w:rsid w:val="00573163"/>
    <w:rsid w:val="00577145"/>
    <w:rsid w:val="00596B7E"/>
    <w:rsid w:val="005B5EF5"/>
    <w:rsid w:val="005D54DD"/>
    <w:rsid w:val="005E6087"/>
    <w:rsid w:val="005E64B5"/>
    <w:rsid w:val="005F3C7D"/>
    <w:rsid w:val="005F5216"/>
    <w:rsid w:val="00612922"/>
    <w:rsid w:val="0061757E"/>
    <w:rsid w:val="00623957"/>
    <w:rsid w:val="00643BEE"/>
    <w:rsid w:val="006519AE"/>
    <w:rsid w:val="00655725"/>
    <w:rsid w:val="00673F0C"/>
    <w:rsid w:val="006828F7"/>
    <w:rsid w:val="006835E4"/>
    <w:rsid w:val="00695BA3"/>
    <w:rsid w:val="006962E8"/>
    <w:rsid w:val="0069684F"/>
    <w:rsid w:val="006A3031"/>
    <w:rsid w:val="006B70A4"/>
    <w:rsid w:val="006C2C65"/>
    <w:rsid w:val="006D052A"/>
    <w:rsid w:val="006D36DB"/>
    <w:rsid w:val="006D6768"/>
    <w:rsid w:val="006E2A83"/>
    <w:rsid w:val="006E781E"/>
    <w:rsid w:val="006F1036"/>
    <w:rsid w:val="00707C1B"/>
    <w:rsid w:val="00727624"/>
    <w:rsid w:val="007449EA"/>
    <w:rsid w:val="00744D87"/>
    <w:rsid w:val="00747723"/>
    <w:rsid w:val="00747F34"/>
    <w:rsid w:val="00750241"/>
    <w:rsid w:val="00752AE7"/>
    <w:rsid w:val="0075363C"/>
    <w:rsid w:val="00753AFA"/>
    <w:rsid w:val="00755CED"/>
    <w:rsid w:val="0076217F"/>
    <w:rsid w:val="007701CE"/>
    <w:rsid w:val="0077135A"/>
    <w:rsid w:val="00773D5C"/>
    <w:rsid w:val="00783CE9"/>
    <w:rsid w:val="00784417"/>
    <w:rsid w:val="007900EE"/>
    <w:rsid w:val="007A06D3"/>
    <w:rsid w:val="007A1081"/>
    <w:rsid w:val="007A1A92"/>
    <w:rsid w:val="007A3E25"/>
    <w:rsid w:val="007A3F08"/>
    <w:rsid w:val="007A45CC"/>
    <w:rsid w:val="007A49EB"/>
    <w:rsid w:val="007A7EC6"/>
    <w:rsid w:val="007B5170"/>
    <w:rsid w:val="007B5CFA"/>
    <w:rsid w:val="007C2EE6"/>
    <w:rsid w:val="007C403E"/>
    <w:rsid w:val="007C6797"/>
    <w:rsid w:val="007E6082"/>
    <w:rsid w:val="007F2BA5"/>
    <w:rsid w:val="00807867"/>
    <w:rsid w:val="00814BE9"/>
    <w:rsid w:val="008253EB"/>
    <w:rsid w:val="00825A0D"/>
    <w:rsid w:val="00835BC3"/>
    <w:rsid w:val="0084012A"/>
    <w:rsid w:val="008425F5"/>
    <w:rsid w:val="00847684"/>
    <w:rsid w:val="0085153D"/>
    <w:rsid w:val="00852A0F"/>
    <w:rsid w:val="00854A72"/>
    <w:rsid w:val="008608E4"/>
    <w:rsid w:val="00862674"/>
    <w:rsid w:val="00863317"/>
    <w:rsid w:val="008718DE"/>
    <w:rsid w:val="008735A8"/>
    <w:rsid w:val="00873BED"/>
    <w:rsid w:val="008852E4"/>
    <w:rsid w:val="008871F2"/>
    <w:rsid w:val="0089608C"/>
    <w:rsid w:val="00896C79"/>
    <w:rsid w:val="008A5308"/>
    <w:rsid w:val="008A6802"/>
    <w:rsid w:val="008A680A"/>
    <w:rsid w:val="008B20A4"/>
    <w:rsid w:val="008B33AC"/>
    <w:rsid w:val="008C2185"/>
    <w:rsid w:val="008C24D0"/>
    <w:rsid w:val="008C3D95"/>
    <w:rsid w:val="008C59A5"/>
    <w:rsid w:val="008D199E"/>
    <w:rsid w:val="008D270A"/>
    <w:rsid w:val="008E3BE5"/>
    <w:rsid w:val="00902342"/>
    <w:rsid w:val="00903F7C"/>
    <w:rsid w:val="00904C98"/>
    <w:rsid w:val="009053BE"/>
    <w:rsid w:val="009063B7"/>
    <w:rsid w:val="00907D3B"/>
    <w:rsid w:val="00916495"/>
    <w:rsid w:val="009173FE"/>
    <w:rsid w:val="00920B40"/>
    <w:rsid w:val="009258EB"/>
    <w:rsid w:val="00926A99"/>
    <w:rsid w:val="00932970"/>
    <w:rsid w:val="00950C5F"/>
    <w:rsid w:val="00972BBF"/>
    <w:rsid w:val="00975664"/>
    <w:rsid w:val="0098415A"/>
    <w:rsid w:val="00986606"/>
    <w:rsid w:val="00995CE0"/>
    <w:rsid w:val="009965C6"/>
    <w:rsid w:val="009A2AE3"/>
    <w:rsid w:val="009B16C3"/>
    <w:rsid w:val="009B513F"/>
    <w:rsid w:val="009C2BC9"/>
    <w:rsid w:val="009E53F6"/>
    <w:rsid w:val="009E6CEB"/>
    <w:rsid w:val="009F4BD0"/>
    <w:rsid w:val="009F61A3"/>
    <w:rsid w:val="009F74E4"/>
    <w:rsid w:val="00A00B63"/>
    <w:rsid w:val="00A11434"/>
    <w:rsid w:val="00A16CB1"/>
    <w:rsid w:val="00A23875"/>
    <w:rsid w:val="00A33021"/>
    <w:rsid w:val="00A36041"/>
    <w:rsid w:val="00A45300"/>
    <w:rsid w:val="00A612F8"/>
    <w:rsid w:val="00A646C0"/>
    <w:rsid w:val="00A660D7"/>
    <w:rsid w:val="00A66C8F"/>
    <w:rsid w:val="00A70F48"/>
    <w:rsid w:val="00A75916"/>
    <w:rsid w:val="00A97A9B"/>
    <w:rsid w:val="00AA0893"/>
    <w:rsid w:val="00AB75F4"/>
    <w:rsid w:val="00AC28E6"/>
    <w:rsid w:val="00AC5B09"/>
    <w:rsid w:val="00B06592"/>
    <w:rsid w:val="00B10D0E"/>
    <w:rsid w:val="00B11A91"/>
    <w:rsid w:val="00B143FE"/>
    <w:rsid w:val="00B15DB8"/>
    <w:rsid w:val="00B243F2"/>
    <w:rsid w:val="00B2519D"/>
    <w:rsid w:val="00B3786B"/>
    <w:rsid w:val="00B473FC"/>
    <w:rsid w:val="00B54018"/>
    <w:rsid w:val="00B541B4"/>
    <w:rsid w:val="00B54421"/>
    <w:rsid w:val="00B557FF"/>
    <w:rsid w:val="00B567B2"/>
    <w:rsid w:val="00B61EE3"/>
    <w:rsid w:val="00B720A0"/>
    <w:rsid w:val="00B80382"/>
    <w:rsid w:val="00B8681D"/>
    <w:rsid w:val="00B872CA"/>
    <w:rsid w:val="00B94791"/>
    <w:rsid w:val="00BA15F5"/>
    <w:rsid w:val="00BC1245"/>
    <w:rsid w:val="00BC1B1E"/>
    <w:rsid w:val="00BC76D0"/>
    <w:rsid w:val="00BC7D37"/>
    <w:rsid w:val="00BD147E"/>
    <w:rsid w:val="00BD5A86"/>
    <w:rsid w:val="00BE3F20"/>
    <w:rsid w:val="00BE6632"/>
    <w:rsid w:val="00C03984"/>
    <w:rsid w:val="00C05FC8"/>
    <w:rsid w:val="00C06A6D"/>
    <w:rsid w:val="00C108A8"/>
    <w:rsid w:val="00C12EE8"/>
    <w:rsid w:val="00C13094"/>
    <w:rsid w:val="00C138E0"/>
    <w:rsid w:val="00C14377"/>
    <w:rsid w:val="00C152E2"/>
    <w:rsid w:val="00C307B1"/>
    <w:rsid w:val="00C34D65"/>
    <w:rsid w:val="00C3501E"/>
    <w:rsid w:val="00C41845"/>
    <w:rsid w:val="00C44E32"/>
    <w:rsid w:val="00C602FA"/>
    <w:rsid w:val="00C80B7D"/>
    <w:rsid w:val="00C84B6A"/>
    <w:rsid w:val="00C91036"/>
    <w:rsid w:val="00CA1880"/>
    <w:rsid w:val="00CA48CF"/>
    <w:rsid w:val="00CA5AB7"/>
    <w:rsid w:val="00CB5521"/>
    <w:rsid w:val="00CC085D"/>
    <w:rsid w:val="00CC3A67"/>
    <w:rsid w:val="00CC501A"/>
    <w:rsid w:val="00CD1DAF"/>
    <w:rsid w:val="00CE5093"/>
    <w:rsid w:val="00CE7C2F"/>
    <w:rsid w:val="00D02C09"/>
    <w:rsid w:val="00D032AC"/>
    <w:rsid w:val="00D07FD3"/>
    <w:rsid w:val="00D12204"/>
    <w:rsid w:val="00D17CC1"/>
    <w:rsid w:val="00D23B0B"/>
    <w:rsid w:val="00D23EDD"/>
    <w:rsid w:val="00D302AD"/>
    <w:rsid w:val="00D31445"/>
    <w:rsid w:val="00D4515E"/>
    <w:rsid w:val="00D557FA"/>
    <w:rsid w:val="00D63DE8"/>
    <w:rsid w:val="00D86646"/>
    <w:rsid w:val="00D92213"/>
    <w:rsid w:val="00DA1C1E"/>
    <w:rsid w:val="00DA71B9"/>
    <w:rsid w:val="00DC1F0C"/>
    <w:rsid w:val="00DC3CAB"/>
    <w:rsid w:val="00DC4341"/>
    <w:rsid w:val="00DC7F96"/>
    <w:rsid w:val="00DD53BA"/>
    <w:rsid w:val="00DD6E32"/>
    <w:rsid w:val="00DE726F"/>
    <w:rsid w:val="00DF1829"/>
    <w:rsid w:val="00E01577"/>
    <w:rsid w:val="00E110F7"/>
    <w:rsid w:val="00E174A3"/>
    <w:rsid w:val="00E44D2F"/>
    <w:rsid w:val="00E54757"/>
    <w:rsid w:val="00E55D32"/>
    <w:rsid w:val="00E55EEC"/>
    <w:rsid w:val="00E5717B"/>
    <w:rsid w:val="00E621C7"/>
    <w:rsid w:val="00E62B3E"/>
    <w:rsid w:val="00E62C51"/>
    <w:rsid w:val="00E65D5E"/>
    <w:rsid w:val="00E70B35"/>
    <w:rsid w:val="00E71F05"/>
    <w:rsid w:val="00E72FD7"/>
    <w:rsid w:val="00E7618B"/>
    <w:rsid w:val="00E80CF6"/>
    <w:rsid w:val="00E912CA"/>
    <w:rsid w:val="00E94A5D"/>
    <w:rsid w:val="00EA33BE"/>
    <w:rsid w:val="00EB0EBC"/>
    <w:rsid w:val="00EB3895"/>
    <w:rsid w:val="00EC2B4A"/>
    <w:rsid w:val="00ED39E0"/>
    <w:rsid w:val="00ED74B0"/>
    <w:rsid w:val="00EE44EE"/>
    <w:rsid w:val="00EF3A55"/>
    <w:rsid w:val="00EF53F9"/>
    <w:rsid w:val="00F017CE"/>
    <w:rsid w:val="00F04FBD"/>
    <w:rsid w:val="00F053B6"/>
    <w:rsid w:val="00F067C8"/>
    <w:rsid w:val="00F06878"/>
    <w:rsid w:val="00F077E7"/>
    <w:rsid w:val="00F13119"/>
    <w:rsid w:val="00F20476"/>
    <w:rsid w:val="00F44F19"/>
    <w:rsid w:val="00F50BF5"/>
    <w:rsid w:val="00F60534"/>
    <w:rsid w:val="00F60940"/>
    <w:rsid w:val="00F60962"/>
    <w:rsid w:val="00F90CD8"/>
    <w:rsid w:val="00F90FAD"/>
    <w:rsid w:val="00F92310"/>
    <w:rsid w:val="00F94805"/>
    <w:rsid w:val="00FA4D92"/>
    <w:rsid w:val="00FA60C7"/>
    <w:rsid w:val="00FB3993"/>
    <w:rsid w:val="00FC7B23"/>
    <w:rsid w:val="00FD078F"/>
    <w:rsid w:val="00FD630B"/>
    <w:rsid w:val="00FF4E1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uiPriority w:val="99"/>
    <w:semiHidden/>
    <w:rPr>
      <w:vertAlign w:val="superscript"/>
    </w:rPr>
  </w:style>
  <w:style w:type="paragraph" w:styleId="En-tte">
    <w:name w:val="header"/>
    <w:basedOn w:val="Normal"/>
    <w:link w:val="En-tteC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uiPriority w:val="99"/>
    <w:pPr>
      <w:ind w:firstLine="0"/>
    </w:pPr>
  </w:style>
  <w:style w:type="paragraph" w:styleId="Notedebasdepage">
    <w:name w:val="footnote text"/>
    <w:basedOn w:val="Normal"/>
    <w:link w:val="NotedebasdepageCar"/>
    <w:semiHidden/>
    <w:pPr>
      <w:ind w:left="567" w:hanging="567"/>
    </w:pPr>
    <w:rPr>
      <w:rFonts w:eastAsia="Times New Roman"/>
      <w:sz w:val="20"/>
      <w:szCs w:val="20"/>
      <w:lang w:eastAsia="en-US"/>
    </w:rPr>
  </w:style>
  <w:style w:type="paragraph" w:styleId="Pieddepage">
    <w:name w:val="footer"/>
    <w:basedOn w:val="Normal"/>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Grilledutableau">
    <w:name w:val="Table Grid"/>
    <w:basedOn w:val="Tableau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36041"/>
    <w:rPr>
      <w:rFonts w:ascii="Tahoma" w:hAnsi="Tahoma" w:cs="Tahoma"/>
      <w:sz w:val="16"/>
      <w:szCs w:val="16"/>
    </w:rPr>
  </w:style>
  <w:style w:type="character" w:customStyle="1" w:styleId="TextedebullesCar">
    <w:name w:val="Texte de bulles Car"/>
    <w:link w:val="Textedebulles"/>
    <w:rsid w:val="00A36041"/>
    <w:rPr>
      <w:rFonts w:ascii="Tahoma" w:hAnsi="Tahoma" w:cs="Tahoma"/>
      <w:snapToGrid w:val="0"/>
      <w:sz w:val="16"/>
      <w:szCs w:val="16"/>
      <w:lang w:eastAsia="zh-CN"/>
    </w:rPr>
  </w:style>
  <w:style w:type="paragraph" w:styleId="Corpsdetexte">
    <w:name w:val="Body Text"/>
    <w:basedOn w:val="Normal"/>
    <w:link w:val="CorpsdetexteCar"/>
    <w:rsid w:val="005169D0"/>
    <w:pPr>
      <w:spacing w:after="120"/>
    </w:pPr>
  </w:style>
  <w:style w:type="character" w:customStyle="1" w:styleId="CorpsdetexteCar">
    <w:name w:val="Corps de texte Car"/>
    <w:link w:val="Corpsdetexte"/>
    <w:uiPriority w:val="99"/>
    <w:rsid w:val="005169D0"/>
    <w:rPr>
      <w:rFonts w:ascii="Arial" w:hAnsi="Arial"/>
      <w:snapToGrid w:val="0"/>
      <w:sz w:val="22"/>
      <w:szCs w:val="24"/>
    </w:rPr>
  </w:style>
  <w:style w:type="paragraph" w:styleId="Paragraphedeliste">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Lienhypertexte">
    <w:name w:val="Hyperlink"/>
    <w:uiPriority w:val="99"/>
    <w:unhideWhenUsed/>
    <w:rsid w:val="00100A35"/>
    <w:rPr>
      <w:color w:val="0000FF"/>
      <w:u w:val="single"/>
    </w:rPr>
  </w:style>
  <w:style w:type="paragraph" w:styleId="TM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Policepardfaut"/>
    <w:rsid w:val="007A7EC6"/>
  </w:style>
  <w:style w:type="character" w:customStyle="1" w:styleId="newskolongdesc">
    <w:name w:val="newskolongdesc"/>
    <w:basedOn w:val="Policepardfaut"/>
    <w:rsid w:val="007A7EC6"/>
  </w:style>
  <w:style w:type="paragraph" w:styleId="Titre">
    <w:name w:val="Title"/>
    <w:basedOn w:val="Normal"/>
    <w:link w:val="TitreC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reCar">
    <w:name w:val="Titre Car"/>
    <w:basedOn w:val="Policepardfaut"/>
    <w:link w:val="Titr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auweb1">
    <w:name w:val="Table Web 1"/>
    <w:basedOn w:val="Tableau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rsid w:val="007A7EC6"/>
    <w:pPr>
      <w:tabs>
        <w:tab w:val="clear" w:pos="567"/>
      </w:tabs>
      <w:snapToGrid/>
    </w:pPr>
    <w:rPr>
      <w:rFonts w:ascii="Courier New" w:eastAsia="Times New Roman" w:hAnsi="Courier New"/>
      <w:snapToGrid/>
      <w:sz w:val="20"/>
      <w:szCs w:val="20"/>
      <w:lang w:val="en-US" w:eastAsia="en-US"/>
    </w:rPr>
  </w:style>
  <w:style w:type="character" w:customStyle="1" w:styleId="TextebrutCar">
    <w:name w:val="Texte brut Car"/>
    <w:basedOn w:val="Policepardfaut"/>
    <w:link w:val="Textebrut"/>
    <w:rsid w:val="007A7EC6"/>
    <w:rPr>
      <w:rFonts w:ascii="Courier New" w:eastAsia="Times New Roman" w:hAnsi="Courier New"/>
      <w:lang w:val="en-US" w:eastAsia="en-US"/>
    </w:rPr>
  </w:style>
  <w:style w:type="character" w:styleId="lev">
    <w:name w:val="Strong"/>
    <w:qFormat/>
    <w:rsid w:val="007A7EC6"/>
    <w:rPr>
      <w:b/>
      <w:bCs/>
    </w:rPr>
  </w:style>
  <w:style w:type="table" w:styleId="Tableauweb2">
    <w:name w:val="Table Web 2"/>
    <w:basedOn w:val="Tableau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7A7EC6"/>
    <w:pPr>
      <w:tabs>
        <w:tab w:val="clear" w:pos="567"/>
      </w:tabs>
      <w:snapToGrid/>
      <w:ind w:left="720"/>
      <w:jc w:val="both"/>
    </w:pPr>
    <w:rPr>
      <w:rFonts w:eastAsia="Times New Roman"/>
      <w:snapToGrid/>
      <w:szCs w:val="20"/>
      <w:lang w:val="en-GB" w:eastAsia="en-US"/>
    </w:rPr>
  </w:style>
  <w:style w:type="character" w:customStyle="1" w:styleId="Retraitcorpsdetexte2Car">
    <w:name w:val="Retrait corps de texte 2 Car"/>
    <w:basedOn w:val="Policepardfaut"/>
    <w:link w:val="Retraitcorpsdetexte2"/>
    <w:rsid w:val="007A7EC6"/>
    <w:rPr>
      <w:rFonts w:ascii="Arial" w:eastAsia="Times New Roman" w:hAnsi="Arial"/>
      <w:sz w:val="22"/>
      <w:lang w:val="en-GB" w:eastAsia="en-US"/>
    </w:rPr>
  </w:style>
  <w:style w:type="paragraph" w:styleId="Retraitcorpsdetexte">
    <w:name w:val="Body Text Indent"/>
    <w:basedOn w:val="Normal"/>
    <w:link w:val="RetraitcorpsdetexteC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RetraitcorpsdetexteCar">
    <w:name w:val="Retrait corps de texte Car"/>
    <w:basedOn w:val="Policepardfaut"/>
    <w:link w:val="Retraitcorpsdetexte"/>
    <w:rsid w:val="007A7EC6"/>
    <w:rPr>
      <w:rFonts w:ascii="Arial" w:eastAsia="Times New Roman" w:hAnsi="Arial" w:cs="Arial"/>
      <w:sz w:val="22"/>
      <w:lang w:val="en-GB" w:eastAsia="en-US"/>
    </w:rPr>
  </w:style>
  <w:style w:type="character" w:styleId="Accentuation">
    <w:name w:val="Emphasis"/>
    <w:uiPriority w:val="20"/>
    <w:qFormat/>
    <w:rsid w:val="007A7EC6"/>
    <w:rPr>
      <w:b/>
      <w:bCs/>
      <w:i w:val="0"/>
      <w:iCs w:val="0"/>
    </w:rPr>
  </w:style>
  <w:style w:type="paragraph" w:styleId="Date">
    <w:name w:val="Date"/>
    <w:basedOn w:val="Normal"/>
    <w:next w:val="Normal"/>
    <w:link w:val="DateCar"/>
    <w:rsid w:val="007A7EC6"/>
    <w:pPr>
      <w:tabs>
        <w:tab w:val="clear" w:pos="567"/>
      </w:tabs>
      <w:snapToGrid/>
    </w:pPr>
    <w:rPr>
      <w:rFonts w:ascii="Times New Roman" w:eastAsia="Times New Roman" w:hAnsi="Times New Roman"/>
      <w:snapToGrid/>
      <w:sz w:val="24"/>
      <w:lang w:val="x-none" w:eastAsia="en-US"/>
    </w:rPr>
  </w:style>
  <w:style w:type="character" w:customStyle="1" w:styleId="DateCar">
    <w:name w:val="Date Car"/>
    <w:basedOn w:val="Policepardfaut"/>
    <w:link w:val="Date"/>
    <w:rsid w:val="007A7EC6"/>
    <w:rPr>
      <w:rFonts w:eastAsia="Times New Roman"/>
      <w:sz w:val="24"/>
      <w:szCs w:val="24"/>
      <w:lang w:val="x-none" w:eastAsia="en-US"/>
    </w:rPr>
  </w:style>
  <w:style w:type="paragraph" w:styleId="Sansinterligne">
    <w:name w:val="No Spacing"/>
    <w:basedOn w:val="Normal"/>
    <w:link w:val="SansinterligneCar"/>
    <w:qFormat/>
    <w:rsid w:val="007A7EC6"/>
    <w:pPr>
      <w:tabs>
        <w:tab w:val="clear" w:pos="567"/>
      </w:tabs>
      <w:snapToGrid/>
    </w:pPr>
    <w:rPr>
      <w:rFonts w:ascii="Times New Roman" w:eastAsia="Times New Roman" w:hAnsi="Times New Roman"/>
      <w:snapToGrid/>
      <w:sz w:val="24"/>
      <w:lang w:eastAsia="fr-FR"/>
    </w:rPr>
  </w:style>
  <w:style w:type="character" w:customStyle="1" w:styleId="SansinterligneCar">
    <w:name w:val="Sans interligne Car"/>
    <w:link w:val="Sansinterligne"/>
    <w:rsid w:val="007A7EC6"/>
    <w:rPr>
      <w:rFonts w:eastAsia="Times New Roman"/>
      <w:sz w:val="24"/>
      <w:szCs w:val="24"/>
      <w:lang w:eastAsia="fr-FR"/>
    </w:rPr>
  </w:style>
  <w:style w:type="character" w:styleId="Lienhypertextesuivivisit">
    <w:name w:val="FollowedHyperlink"/>
    <w:rsid w:val="007A7EC6"/>
    <w:rPr>
      <w:color w:val="800080"/>
      <w:u w:val="single"/>
    </w:rPr>
  </w:style>
  <w:style w:type="character" w:customStyle="1" w:styleId="fn">
    <w:name w:val="fn"/>
    <w:basedOn w:val="Policepardfaut"/>
    <w:rsid w:val="007A7EC6"/>
  </w:style>
  <w:style w:type="character" w:styleId="Marquedecommentaire">
    <w:name w:val="annotation reference"/>
    <w:rsid w:val="007A7EC6"/>
    <w:rPr>
      <w:sz w:val="16"/>
      <w:szCs w:val="16"/>
    </w:rPr>
  </w:style>
  <w:style w:type="paragraph" w:styleId="Commentaire">
    <w:name w:val="annotation text"/>
    <w:basedOn w:val="Normal"/>
    <w:link w:val="Commentaire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aireCar">
    <w:name w:val="Commentaire Car"/>
    <w:basedOn w:val="Policepardfaut"/>
    <w:link w:val="Commentaire"/>
    <w:rsid w:val="007A7EC6"/>
    <w:rPr>
      <w:rFonts w:eastAsia="Times New Roman"/>
      <w:lang w:val="en-US" w:eastAsia="en-US"/>
    </w:rPr>
  </w:style>
  <w:style w:type="paragraph" w:styleId="Objetducommentaire">
    <w:name w:val="annotation subject"/>
    <w:basedOn w:val="Commentaire"/>
    <w:next w:val="Commentaire"/>
    <w:link w:val="ObjetducommentaireCar"/>
    <w:rsid w:val="007A7EC6"/>
    <w:rPr>
      <w:b/>
      <w:bCs/>
      <w:lang w:val="x-none" w:eastAsia="x-none"/>
    </w:rPr>
  </w:style>
  <w:style w:type="character" w:customStyle="1" w:styleId="ObjetducommentaireCar">
    <w:name w:val="Objet du commentaire Car"/>
    <w:basedOn w:val="CommentaireCar"/>
    <w:link w:val="Objetducommentaire"/>
    <w:rsid w:val="007A7EC6"/>
    <w:rPr>
      <w:rFonts w:eastAsia="Times New Roman"/>
      <w:b/>
      <w:bCs/>
      <w:lang w:val="x-none" w:eastAsia="x-none"/>
    </w:rPr>
  </w:style>
  <w:style w:type="paragraph" w:styleId="Rvision">
    <w:name w:val="Revision"/>
    <w:hidden/>
    <w:uiPriority w:val="99"/>
    <w:semiHidden/>
    <w:rsid w:val="007A7EC6"/>
    <w:rPr>
      <w:rFonts w:eastAsia="Times New Roman"/>
      <w:sz w:val="24"/>
      <w:szCs w:val="24"/>
      <w:lang w:val="en-US" w:eastAsia="en-US"/>
    </w:rPr>
  </w:style>
  <w:style w:type="table" w:customStyle="1" w:styleId="TableGrid">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NotedebasdepageCar">
    <w:name w:val="Note de bas de page Car"/>
    <w:link w:val="Notedebasdepage"/>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auclassique1">
    <w:name w:val="Table Classic 1"/>
    <w:basedOn w:val="Tableau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Notedefin">
    <w:name w:val="endnote text"/>
    <w:basedOn w:val="Normal"/>
    <w:link w:val="Notedefin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NotedefinCar">
    <w:name w:val="Note de fin Car"/>
    <w:basedOn w:val="Policepardfaut"/>
    <w:link w:val="Notedefin"/>
    <w:rsid w:val="007A7EC6"/>
    <w:rPr>
      <w:rFonts w:eastAsia="Times New Roman"/>
      <w:lang w:val="en-US" w:eastAsia="en-US"/>
    </w:rPr>
  </w:style>
  <w:style w:type="character" w:styleId="Appeldenotedefin">
    <w:name w:val="endnote reference"/>
    <w:rsid w:val="007A7EC6"/>
    <w:rPr>
      <w:vertAlign w:val="superscript"/>
    </w:rPr>
  </w:style>
  <w:style w:type="character" w:customStyle="1" w:styleId="En-tteCar">
    <w:name w:val="En-tête Car"/>
    <w:basedOn w:val="Policepardfaut"/>
    <w:link w:val="En-tte"/>
    <w:uiPriority w:val="99"/>
    <w:locked/>
    <w:rsid w:val="003F3C42"/>
    <w:rPr>
      <w:rFonts w:ascii="Arial" w:eastAsia="Times New Roman" w:hAnsi="Arial"/>
      <w:snapToGrid w:val="0"/>
      <w:sz w:val="22"/>
      <w:szCs w:val="24"/>
      <w:lang w:eastAsia="en-US"/>
    </w:rPr>
  </w:style>
  <w:style w:type="table" w:customStyle="1" w:styleId="Grilledutableau1">
    <w:name w:val="Grille du tableau1"/>
    <w:basedOn w:val="TableauNormal"/>
    <w:next w:val="Grilledutableau"/>
    <w:rsid w:val="0056233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62336"/>
    <w:rPr>
      <w:color w:val="605E5C"/>
      <w:shd w:val="clear" w:color="auto" w:fill="E1DFDD"/>
    </w:rPr>
  </w:style>
  <w:style w:type="paragraph" w:styleId="TM3">
    <w:name w:val="toc 3"/>
    <w:basedOn w:val="Normal"/>
    <w:next w:val="Normal"/>
    <w:autoRedefine/>
    <w:uiPriority w:val="39"/>
    <w:unhideWhenUsed/>
    <w:rsid w:val="00EA33BE"/>
    <w:pPr>
      <w:tabs>
        <w:tab w:val="clear" w:pos="567"/>
        <w:tab w:val="left" w:pos="960"/>
        <w:tab w:val="right" w:leader="dot" w:pos="9628"/>
      </w:tabs>
      <w:spacing w:after="240"/>
      <w:ind w:left="567" w:hanging="567"/>
    </w:pPr>
  </w:style>
  <w:style w:type="paragraph" w:styleId="TM2">
    <w:name w:val="toc 2"/>
    <w:basedOn w:val="Normal"/>
    <w:next w:val="Normal"/>
    <w:autoRedefine/>
    <w:uiPriority w:val="39"/>
    <w:unhideWhenUsed/>
    <w:rsid w:val="00EA33BE"/>
    <w:pPr>
      <w:tabs>
        <w:tab w:val="clear" w:pos="567"/>
        <w:tab w:val="right" w:leader="dot" w:pos="9628"/>
      </w:tabs>
      <w:spacing w:after="10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267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esdoc.unesco.org/ark:/48223/pf00002268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81388"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nesdoc.unesco.org/ark:/48223/pf0000379054.locale=en" TargetMode="External"/><Relationship Id="rId4" Type="http://schemas.openxmlformats.org/officeDocument/2006/relationships/settings" Target="settings.xml"/><Relationship Id="rId9" Type="http://schemas.openxmlformats.org/officeDocument/2006/relationships/hyperlink" Target="https://oceanexpert.org/document/33359"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A8E70-39BF-1B4B-ACB3-A157E592358D}">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17</Pages>
  <Words>8123</Words>
  <Characters>46236</Characters>
  <Application>Microsoft Office Word</Application>
  <DocSecurity>0</DocSecurity>
  <Lines>948</Lines>
  <Paragraphs>188</Paragraphs>
  <ScaleCrop>false</ScaleCrop>
  <HeadingPairs>
    <vt:vector size="2" baseType="variant">
      <vt:variant>
        <vt:lpstr>Titre</vt:lpstr>
      </vt:variant>
      <vt:variant>
        <vt:i4>1</vt:i4>
      </vt:variant>
    </vt:vector>
  </HeadingPairs>
  <TitlesOfParts>
    <vt:vector size="1" baseType="lpstr">
      <vt:lpstr>Projet de Stratégie à l'échelle de la COI sur la planification et la gestion durables de l'océan</vt:lpstr>
    </vt:vector>
  </TitlesOfParts>
  <Company>Unesco</Company>
  <LinksUpToDate>false</LinksUpToDate>
  <CharactersWithSpaces>54226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Stratégie à l'échelle de la COI sur la planification et la gestion durables de l'océan (2024-2030)</dc:title>
  <dc:subject>IOC/EC-57/4.3.Doc(1) Rev.</dc:subject>
  <dc:creator>as.machu@unesco.org</dc:creator>
  <cp:keywords>18.12F</cp:keywords>
  <dc:description/>
  <cp:lastModifiedBy>Machu, Anne-sophie</cp:lastModifiedBy>
  <cp:revision>4</cp:revision>
  <cp:lastPrinted>2012-08-02T14:52:00Z</cp:lastPrinted>
  <dcterms:created xsi:type="dcterms:W3CDTF">2024-06-24T14:55:00Z</dcterms:created>
  <dcterms:modified xsi:type="dcterms:W3CDTF">2024-06-24T14:57:00Z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202402841</vt:lpwstr>
  </property>
</Properties>
</file>