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Layout w:type="fixed"/>
        <w:tblLook w:val="0000" w:firstRow="0" w:lastRow="0" w:firstColumn="0" w:lastColumn="0" w:noHBand="0" w:noVBand="0"/>
      </w:tblPr>
      <w:tblGrid>
        <w:gridCol w:w="6804"/>
        <w:gridCol w:w="2835"/>
      </w:tblGrid>
      <w:tr w:rsidR="00BC394C" w:rsidRPr="00A9407C" w14:paraId="12C5E326" w14:textId="77777777" w:rsidTr="00CD7135">
        <w:tc>
          <w:tcPr>
            <w:tcW w:w="6804" w:type="dxa"/>
          </w:tcPr>
          <w:p w14:paraId="27E86216" w14:textId="77777777" w:rsidR="00BC394C" w:rsidRPr="00A9407C" w:rsidRDefault="00BC394C" w:rsidP="0050224F">
            <w:pPr>
              <w:ind w:left="-105"/>
              <w:rPr>
                <w:rFonts w:asciiTheme="minorBidi" w:hAnsiTheme="minorBidi" w:cstheme="minorBidi"/>
                <w:sz w:val="22"/>
                <w:szCs w:val="22"/>
                <w:lang w:val="es-ES"/>
              </w:rPr>
            </w:pPr>
            <w:r w:rsidRPr="00A9407C">
              <w:rPr>
                <w:rFonts w:asciiTheme="minorBidi" w:hAnsiTheme="minorBidi" w:cstheme="minorBidi"/>
                <w:sz w:val="22"/>
                <w:szCs w:val="22"/>
                <w:lang w:val="es-ES"/>
              </w:rPr>
              <w:t>Distribución limitada</w:t>
            </w:r>
          </w:p>
          <w:p w14:paraId="1907B5CB" w14:textId="77777777" w:rsidR="00BC394C" w:rsidRPr="00A9407C" w:rsidRDefault="00BC394C" w:rsidP="0050224F">
            <w:pPr>
              <w:ind w:left="-105"/>
              <w:rPr>
                <w:rFonts w:asciiTheme="minorBidi" w:hAnsiTheme="minorBidi" w:cstheme="minorBidi"/>
                <w:sz w:val="22"/>
                <w:szCs w:val="22"/>
                <w:lang w:val="es-ES"/>
              </w:rPr>
            </w:pPr>
          </w:p>
        </w:tc>
        <w:tc>
          <w:tcPr>
            <w:tcW w:w="2835" w:type="dxa"/>
          </w:tcPr>
          <w:p w14:paraId="57D5F161" w14:textId="4DC8766E" w:rsidR="00BC394C" w:rsidRPr="00A9407C" w:rsidRDefault="008A3665" w:rsidP="001C6E92">
            <w:pPr>
              <w:tabs>
                <w:tab w:val="clear" w:pos="567"/>
              </w:tabs>
              <w:rPr>
                <w:rFonts w:asciiTheme="minorBidi" w:hAnsiTheme="minorBidi" w:cstheme="minorBidi"/>
                <w:b/>
                <w:sz w:val="22"/>
                <w:szCs w:val="22"/>
                <w:lang w:val="es-ES"/>
              </w:rPr>
            </w:pPr>
            <w:r w:rsidRPr="00A9407C">
              <w:rPr>
                <w:rFonts w:asciiTheme="minorBidi" w:hAnsiTheme="minorBidi" w:cstheme="minorBidi"/>
                <w:b/>
                <w:bCs/>
                <w:sz w:val="22"/>
                <w:szCs w:val="22"/>
                <w:lang w:val="es-ES"/>
              </w:rPr>
              <w:t>EC-57/DR.[4.7]</w:t>
            </w:r>
            <w:r w:rsidR="00BE24A9" w:rsidRPr="00A9407C">
              <w:rPr>
                <w:rFonts w:asciiTheme="minorBidi" w:hAnsiTheme="minorBidi" w:cstheme="minorBidi"/>
                <w:b/>
                <w:bCs/>
                <w:sz w:val="22"/>
                <w:szCs w:val="22"/>
                <w:lang w:val="es-ES"/>
              </w:rPr>
              <w:t xml:space="preserve"> Rev.</w:t>
            </w:r>
            <w:r w:rsidR="00986307" w:rsidRPr="00A9407C">
              <w:rPr>
                <w:rFonts w:asciiTheme="minorBidi" w:hAnsiTheme="minorBidi" w:cstheme="minorBidi"/>
                <w:b/>
                <w:bCs/>
                <w:sz w:val="22"/>
                <w:szCs w:val="22"/>
                <w:lang w:val="es-ES"/>
              </w:rPr>
              <w:t>2</w:t>
            </w:r>
          </w:p>
          <w:p w14:paraId="4599FEC3" w14:textId="43D4D724" w:rsidR="00BC394C" w:rsidRPr="00A9407C" w:rsidRDefault="00BC394C" w:rsidP="001C6E92">
            <w:pPr>
              <w:tabs>
                <w:tab w:val="clear" w:pos="567"/>
              </w:tabs>
              <w:rPr>
                <w:rFonts w:asciiTheme="minorBidi" w:hAnsiTheme="minorBidi" w:cstheme="minorBidi"/>
                <w:sz w:val="22"/>
                <w:szCs w:val="22"/>
                <w:lang w:val="es-ES"/>
              </w:rPr>
            </w:pPr>
            <w:r w:rsidRPr="00A9407C">
              <w:rPr>
                <w:rFonts w:asciiTheme="minorBidi" w:hAnsiTheme="minorBidi" w:cstheme="minorBidi"/>
                <w:sz w:val="22"/>
                <w:szCs w:val="22"/>
                <w:lang w:val="es-ES"/>
              </w:rPr>
              <w:t xml:space="preserve">París, </w:t>
            </w:r>
            <w:r w:rsidR="00986307" w:rsidRPr="00A9407C">
              <w:rPr>
                <w:rFonts w:asciiTheme="minorBidi" w:hAnsiTheme="minorBidi" w:cstheme="minorBidi"/>
                <w:sz w:val="22"/>
                <w:szCs w:val="22"/>
                <w:lang w:val="es-ES"/>
              </w:rPr>
              <w:t xml:space="preserve">26 </w:t>
            </w:r>
            <w:r w:rsidRPr="00A9407C">
              <w:rPr>
                <w:rFonts w:asciiTheme="minorBidi" w:hAnsiTheme="minorBidi" w:cstheme="minorBidi"/>
                <w:sz w:val="22"/>
                <w:szCs w:val="22"/>
                <w:lang w:val="es-ES"/>
              </w:rPr>
              <w:t>de junio de 2024</w:t>
            </w:r>
          </w:p>
          <w:p w14:paraId="3FCF6797" w14:textId="77777777" w:rsidR="00BC394C" w:rsidRPr="00A9407C" w:rsidRDefault="00BC394C" w:rsidP="001C6E92">
            <w:pPr>
              <w:tabs>
                <w:tab w:val="clear" w:pos="567"/>
              </w:tabs>
              <w:rPr>
                <w:rFonts w:asciiTheme="minorBidi" w:hAnsiTheme="minorBidi" w:cstheme="minorBidi"/>
                <w:sz w:val="22"/>
                <w:szCs w:val="22"/>
                <w:lang w:val="es-ES"/>
              </w:rPr>
            </w:pPr>
            <w:r w:rsidRPr="00A9407C">
              <w:rPr>
                <w:rFonts w:asciiTheme="minorBidi" w:hAnsiTheme="minorBidi" w:cstheme="minorBidi"/>
                <w:sz w:val="22"/>
                <w:szCs w:val="22"/>
                <w:lang w:val="es-ES"/>
              </w:rPr>
              <w:t>Original: inglés</w:t>
            </w:r>
          </w:p>
        </w:tc>
      </w:tr>
    </w:tbl>
    <w:p w14:paraId="4CA7F3BC" w14:textId="77777777" w:rsidR="00BC394C" w:rsidRPr="00A9407C" w:rsidRDefault="00BC394C" w:rsidP="00BC394C">
      <w:pPr>
        <w:spacing w:line="360" w:lineRule="auto"/>
        <w:rPr>
          <w:rFonts w:asciiTheme="minorBidi" w:hAnsiTheme="minorBidi" w:cstheme="minorBidi"/>
          <w:sz w:val="22"/>
          <w:szCs w:val="22"/>
          <w:lang w:val="es-ES"/>
        </w:rPr>
      </w:pPr>
    </w:p>
    <w:p w14:paraId="623E3F59" w14:textId="77777777" w:rsidR="002C28A8" w:rsidRPr="00A9407C" w:rsidRDefault="002C28A8" w:rsidP="008A3665">
      <w:pPr>
        <w:spacing w:after="120" w:line="360" w:lineRule="auto"/>
        <w:rPr>
          <w:rFonts w:asciiTheme="minorBidi" w:eastAsia="Calibri" w:hAnsiTheme="minorBidi" w:cstheme="minorBidi"/>
          <w:b/>
          <w:sz w:val="22"/>
          <w:szCs w:val="22"/>
          <w:lang w:val="es-ES"/>
        </w:rPr>
      </w:pPr>
      <w:r w:rsidRPr="00A9407C">
        <w:rPr>
          <w:rFonts w:asciiTheme="minorBidi" w:hAnsiTheme="minorBidi" w:cstheme="minorBidi"/>
          <w:b/>
          <w:bCs/>
          <w:sz w:val="22"/>
          <w:szCs w:val="22"/>
          <w:lang w:val="es-ES"/>
        </w:rPr>
        <w:t>PROYECTO DE RESOLUCIÓN EC-57/DR.[4.7]</w:t>
      </w:r>
    </w:p>
    <w:p w14:paraId="09112130" w14:textId="5DE8C3D8" w:rsidR="002C28A8" w:rsidRPr="00A9407C" w:rsidRDefault="002C28A8" w:rsidP="00252C0F">
      <w:pPr>
        <w:spacing w:after="240" w:line="360" w:lineRule="auto"/>
        <w:rPr>
          <w:rFonts w:asciiTheme="minorBidi" w:eastAsia="Calibri" w:hAnsiTheme="minorBidi" w:cstheme="minorBidi"/>
          <w:sz w:val="22"/>
          <w:szCs w:val="22"/>
          <w:lang w:val="es-ES"/>
        </w:rPr>
      </w:pPr>
      <w:r w:rsidRPr="00A9407C">
        <w:rPr>
          <w:rFonts w:asciiTheme="minorBidi" w:hAnsiTheme="minorBidi" w:cstheme="minorBidi"/>
          <w:sz w:val="22"/>
          <w:szCs w:val="22"/>
          <w:lang w:val="es-ES"/>
        </w:rPr>
        <w:t>Presentado por</w:t>
      </w:r>
      <w:r w:rsidR="00BE24A9" w:rsidRPr="00A9407C">
        <w:rPr>
          <w:rFonts w:asciiTheme="minorBidi" w:hAnsiTheme="minorBidi" w:cstheme="minorBidi"/>
          <w:sz w:val="22"/>
          <w:szCs w:val="22"/>
          <w:lang w:val="es-ES"/>
        </w:rPr>
        <w:t xml:space="preserve"> Alemania,</w:t>
      </w:r>
      <w:r w:rsidRPr="00A9407C">
        <w:rPr>
          <w:rFonts w:asciiTheme="minorBidi" w:hAnsiTheme="minorBidi" w:cstheme="minorBidi"/>
          <w:sz w:val="22"/>
          <w:szCs w:val="22"/>
          <w:lang w:val="es-ES"/>
        </w:rPr>
        <w:t xml:space="preserve"> la India, Marruecos y Portugal</w:t>
      </w:r>
    </w:p>
    <w:p w14:paraId="7132D878" w14:textId="77777777" w:rsidR="004B1009" w:rsidRPr="00A9407C" w:rsidRDefault="0050209F" w:rsidP="008B1B6F">
      <w:pPr>
        <w:spacing w:after="240"/>
        <w:ind w:right="-142"/>
        <w:rPr>
          <w:rStyle w:val="Heading2Char"/>
          <w:rFonts w:asciiTheme="minorBidi" w:hAnsiTheme="minorBidi" w:cstheme="minorBidi"/>
          <w:sz w:val="22"/>
          <w:szCs w:val="22"/>
          <w:lang w:val="es-ES"/>
        </w:rPr>
      </w:pPr>
      <w:r w:rsidRPr="00A9407C">
        <w:rPr>
          <w:rFonts w:asciiTheme="minorBidi" w:hAnsiTheme="minorBidi" w:cstheme="minorBidi"/>
          <w:b/>
          <w:bCs/>
          <w:sz w:val="22"/>
          <w:szCs w:val="22"/>
          <w:lang w:val="es-ES"/>
        </w:rPr>
        <w:t>EJECUCIÓN DEL DECENIO DE LAS NACIONES UNIDAS DE LAS CIENCIAS OCEÁNICAS PARA EL DESARROLLO SOSTENIBLE (2021-2030)</w:t>
      </w:r>
    </w:p>
    <w:p w14:paraId="46A76FFA" w14:textId="77777777" w:rsidR="002C28A8" w:rsidRPr="00A9407C" w:rsidRDefault="00252C0F" w:rsidP="004B1009">
      <w:pPr>
        <w:spacing w:after="240" w:line="360" w:lineRule="auto"/>
        <w:rPr>
          <w:rFonts w:asciiTheme="minorBidi" w:hAnsiTheme="minorBidi" w:cstheme="minorBidi"/>
          <w:sz w:val="22"/>
          <w:szCs w:val="22"/>
          <w:lang w:val="es-ES"/>
        </w:rPr>
      </w:pPr>
      <w:r w:rsidRPr="00A9407C">
        <w:rPr>
          <w:rFonts w:asciiTheme="minorBidi" w:hAnsiTheme="minorBidi" w:cstheme="minorBidi"/>
          <w:sz w:val="22"/>
          <w:szCs w:val="22"/>
          <w:lang w:val="es-ES"/>
        </w:rPr>
        <w:t xml:space="preserve">El Consejo Ejecutivo, </w:t>
      </w:r>
    </w:p>
    <w:p w14:paraId="70C616FC" w14:textId="0448E091" w:rsidR="00986307" w:rsidRPr="00A9407C" w:rsidRDefault="00986307" w:rsidP="008B1B6F">
      <w:pPr>
        <w:spacing w:after="240" w:line="360" w:lineRule="auto"/>
        <w:jc w:val="center"/>
        <w:rPr>
          <w:rFonts w:asciiTheme="minorBidi" w:hAnsiTheme="minorBidi" w:cstheme="minorBidi"/>
          <w:b/>
          <w:bCs/>
          <w:iCs/>
          <w:sz w:val="22"/>
          <w:szCs w:val="22"/>
          <w:lang w:val="es-ES"/>
        </w:rPr>
      </w:pPr>
      <w:r w:rsidRPr="00A9407C">
        <w:rPr>
          <w:rFonts w:asciiTheme="minorBidi" w:hAnsiTheme="minorBidi" w:cstheme="minorBidi"/>
          <w:b/>
          <w:bCs/>
          <w:sz w:val="22"/>
          <w:szCs w:val="22"/>
          <w:lang w:val="es-ES"/>
        </w:rPr>
        <w:t>Parte I</w:t>
      </w:r>
    </w:p>
    <w:p w14:paraId="207F9161" w14:textId="77777777" w:rsidR="004B1009" w:rsidRPr="00A9407C" w:rsidRDefault="0050209F" w:rsidP="008B1B6F">
      <w:pPr>
        <w:pStyle w:val="ListParagraph"/>
        <w:numPr>
          <w:ilvl w:val="0"/>
          <w:numId w:val="7"/>
        </w:numPr>
        <w:tabs>
          <w:tab w:val="clear" w:pos="567"/>
        </w:tabs>
        <w:spacing w:after="240"/>
        <w:ind w:left="567" w:hanging="567"/>
        <w:contextualSpacing w:val="0"/>
        <w:jc w:val="both"/>
        <w:rPr>
          <w:rFonts w:asciiTheme="minorBidi" w:hAnsiTheme="minorBidi" w:cstheme="minorBidi"/>
          <w:sz w:val="22"/>
          <w:szCs w:val="22"/>
          <w:lang w:val="es-ES"/>
        </w:rPr>
      </w:pPr>
      <w:r w:rsidRPr="00A9407C">
        <w:rPr>
          <w:rFonts w:asciiTheme="minorBidi" w:hAnsiTheme="minorBidi" w:cstheme="minorBidi"/>
          <w:b/>
          <w:bCs/>
          <w:sz w:val="22"/>
          <w:szCs w:val="22"/>
          <w:lang w:val="es-ES"/>
        </w:rPr>
        <w:t>Recordando</w:t>
      </w:r>
      <w:r w:rsidRPr="00A9407C">
        <w:rPr>
          <w:rFonts w:asciiTheme="minorBidi" w:hAnsiTheme="minorBidi" w:cstheme="minorBidi"/>
          <w:sz w:val="22"/>
          <w:szCs w:val="22"/>
          <w:lang w:val="es-ES"/>
        </w:rPr>
        <w:t xml:space="preserve"> las resoluciones EC-53/1, A-31/1, A-32/3 y EC-55/1 de la COI, relativas a la ejecución del Decenio de las Naciones Unidas de las Ciencias Oceánicas para el Desarrollo Sostenible (2021-2030) (“el Decenio”),</w:t>
      </w:r>
    </w:p>
    <w:p w14:paraId="62D9E43E" w14:textId="0F1FE929" w:rsidR="004B1009" w:rsidRPr="00A9407C" w:rsidRDefault="00B0721F" w:rsidP="008B1B6F">
      <w:pPr>
        <w:pStyle w:val="ListParagraph"/>
        <w:numPr>
          <w:ilvl w:val="0"/>
          <w:numId w:val="7"/>
        </w:numPr>
        <w:tabs>
          <w:tab w:val="clear" w:pos="567"/>
        </w:tabs>
        <w:spacing w:after="240"/>
        <w:ind w:left="567" w:hanging="567"/>
        <w:contextualSpacing w:val="0"/>
        <w:jc w:val="both"/>
        <w:rPr>
          <w:rFonts w:asciiTheme="minorBidi" w:hAnsiTheme="minorBidi" w:cstheme="minorBidi"/>
          <w:b/>
          <w:sz w:val="22"/>
          <w:szCs w:val="22"/>
          <w:lang w:val="es-ES"/>
        </w:rPr>
      </w:pPr>
      <w:r w:rsidRPr="00A9407C">
        <w:rPr>
          <w:rFonts w:asciiTheme="minorBidi" w:hAnsiTheme="minorBidi" w:cstheme="minorBidi"/>
          <w:b/>
          <w:bCs/>
          <w:sz w:val="22"/>
          <w:szCs w:val="22"/>
          <w:lang w:val="es-ES"/>
        </w:rPr>
        <w:t>Considerando</w:t>
      </w:r>
      <w:r w:rsidRPr="00A9407C">
        <w:rPr>
          <w:rFonts w:asciiTheme="minorBidi" w:hAnsiTheme="minorBidi" w:cstheme="minorBidi"/>
          <w:sz w:val="22"/>
          <w:szCs w:val="22"/>
          <w:lang w:val="es-ES"/>
        </w:rPr>
        <w:t xml:space="preserve"> el documento IOC/EC-57/4.7Doc(1) sobre el estado de ejecución del Decenio de las Naciones Unidas de las Ciencias Oceánicas para el Desarrollo Sostenible y perspectivas para 202</w:t>
      </w:r>
      <w:r w:rsidR="005D6AA0" w:rsidRPr="00A9407C">
        <w:rPr>
          <w:rFonts w:asciiTheme="minorBidi" w:hAnsiTheme="minorBidi" w:cstheme="minorBidi"/>
          <w:sz w:val="22"/>
          <w:szCs w:val="22"/>
          <w:lang w:val="es-ES"/>
        </w:rPr>
        <w:t>5</w:t>
      </w:r>
      <w:r w:rsidRPr="00A9407C">
        <w:rPr>
          <w:rFonts w:asciiTheme="minorBidi" w:hAnsiTheme="minorBidi" w:cstheme="minorBidi"/>
          <w:sz w:val="22"/>
          <w:szCs w:val="22"/>
          <w:lang w:val="es-ES"/>
        </w:rPr>
        <w:t>,</w:t>
      </w:r>
    </w:p>
    <w:p w14:paraId="5C16046D" w14:textId="4B168D61" w:rsidR="004B1009" w:rsidRPr="00A9407C" w:rsidRDefault="00F15785" w:rsidP="008B1B6F">
      <w:pPr>
        <w:pStyle w:val="ListParagraph"/>
        <w:numPr>
          <w:ilvl w:val="0"/>
          <w:numId w:val="7"/>
        </w:numPr>
        <w:tabs>
          <w:tab w:val="clear" w:pos="567"/>
        </w:tabs>
        <w:spacing w:after="240"/>
        <w:ind w:left="567" w:hanging="567"/>
        <w:contextualSpacing w:val="0"/>
        <w:jc w:val="both"/>
        <w:rPr>
          <w:rFonts w:asciiTheme="minorBidi" w:hAnsiTheme="minorBidi" w:cstheme="minorBidi"/>
          <w:b/>
          <w:sz w:val="22"/>
          <w:szCs w:val="22"/>
          <w:lang w:val="es-ES"/>
        </w:rPr>
      </w:pPr>
      <w:r w:rsidRPr="00A9407C">
        <w:rPr>
          <w:rFonts w:asciiTheme="minorBidi" w:hAnsiTheme="minorBidi" w:cstheme="minorBidi"/>
          <w:b/>
          <w:bCs/>
          <w:sz w:val="22"/>
          <w:szCs w:val="22"/>
          <w:lang w:val="es-ES"/>
        </w:rPr>
        <w:t>Toma nota con satisfacción</w:t>
      </w:r>
      <w:r w:rsidRPr="00A9407C">
        <w:rPr>
          <w:rFonts w:asciiTheme="minorBidi" w:hAnsiTheme="minorBidi" w:cstheme="minorBidi"/>
          <w:sz w:val="22"/>
          <w:szCs w:val="22"/>
          <w:lang w:val="es-ES"/>
        </w:rPr>
        <w:t xml:space="preserve"> de la contribución de la Junta Asesora del Decenio a la </w:t>
      </w:r>
      <w:r w:rsidR="005D6AA0" w:rsidRPr="00A9407C">
        <w:rPr>
          <w:rFonts w:asciiTheme="minorBidi" w:hAnsiTheme="minorBidi" w:cstheme="minorBidi"/>
          <w:sz w:val="22"/>
          <w:szCs w:val="22"/>
          <w:lang w:val="es-ES"/>
        </w:rPr>
        <w:t>ejecu</w:t>
      </w:r>
      <w:r w:rsidRPr="00A9407C">
        <w:rPr>
          <w:rFonts w:asciiTheme="minorBidi" w:hAnsiTheme="minorBidi" w:cstheme="minorBidi"/>
          <w:sz w:val="22"/>
          <w:szCs w:val="22"/>
          <w:lang w:val="es-ES"/>
        </w:rPr>
        <w:t xml:space="preserve">ción y el desarrollo estratégico del Decenio, y </w:t>
      </w:r>
      <w:r w:rsidRPr="00A9407C">
        <w:rPr>
          <w:rFonts w:asciiTheme="minorBidi" w:hAnsiTheme="minorBidi" w:cstheme="minorBidi"/>
          <w:b/>
          <w:bCs/>
          <w:sz w:val="22"/>
          <w:szCs w:val="22"/>
          <w:lang w:val="es-ES"/>
        </w:rPr>
        <w:t>acoge con beneplácito</w:t>
      </w:r>
      <w:r w:rsidRPr="00A9407C">
        <w:rPr>
          <w:rFonts w:asciiTheme="minorBidi" w:hAnsiTheme="minorBidi" w:cstheme="minorBidi"/>
          <w:sz w:val="22"/>
          <w:szCs w:val="22"/>
          <w:lang w:val="es-ES"/>
        </w:rPr>
        <w:t xml:space="preserve"> la renovación de sus miembros para el periodo 2024-2025, de conformidad con el mandato de la Junta;</w:t>
      </w:r>
    </w:p>
    <w:p w14:paraId="53B4A4A2" w14:textId="73F35D01" w:rsidR="0062287C" w:rsidRPr="00A9407C" w:rsidRDefault="00C512E0" w:rsidP="008B1B6F">
      <w:pPr>
        <w:pStyle w:val="ListParagraph"/>
        <w:numPr>
          <w:ilvl w:val="0"/>
          <w:numId w:val="7"/>
        </w:numPr>
        <w:tabs>
          <w:tab w:val="clear" w:pos="567"/>
        </w:tabs>
        <w:spacing w:after="240"/>
        <w:ind w:left="567" w:hanging="567"/>
        <w:contextualSpacing w:val="0"/>
        <w:jc w:val="both"/>
        <w:rPr>
          <w:rFonts w:asciiTheme="minorBidi" w:hAnsiTheme="minorBidi" w:cstheme="minorBidi"/>
          <w:b/>
          <w:sz w:val="22"/>
          <w:szCs w:val="22"/>
          <w:lang w:val="es-ES"/>
        </w:rPr>
      </w:pPr>
      <w:r w:rsidRPr="00A9407C">
        <w:rPr>
          <w:rFonts w:asciiTheme="minorBidi" w:hAnsiTheme="minorBidi" w:cstheme="minorBidi"/>
          <w:b/>
          <w:bCs/>
          <w:sz w:val="22"/>
          <w:szCs w:val="22"/>
          <w:lang w:val="es-ES"/>
        </w:rPr>
        <w:t>Acoge con beneplácito también</w:t>
      </w:r>
      <w:r w:rsidRPr="00A9407C">
        <w:rPr>
          <w:rFonts w:asciiTheme="minorBidi" w:hAnsiTheme="minorBidi" w:cstheme="minorBidi"/>
          <w:sz w:val="22"/>
          <w:szCs w:val="22"/>
          <w:lang w:val="es-ES"/>
        </w:rPr>
        <w:t xml:space="preserve"> el desarrollo del proceso Visión 2030 del Decenio del Océano, destinado a mejorar la ejecución estratégica del Decenio en el marco de sus 10 desafíos, y </w:t>
      </w:r>
      <w:r w:rsidRPr="00A9407C">
        <w:rPr>
          <w:rFonts w:asciiTheme="minorBidi" w:hAnsiTheme="minorBidi" w:cstheme="minorBidi"/>
          <w:b/>
          <w:bCs/>
          <w:sz w:val="22"/>
          <w:szCs w:val="22"/>
          <w:lang w:val="es-ES"/>
        </w:rPr>
        <w:t>expresa su agradecimiento</w:t>
      </w:r>
      <w:r w:rsidRPr="00A9407C">
        <w:rPr>
          <w:rFonts w:asciiTheme="minorBidi" w:hAnsiTheme="minorBidi" w:cstheme="minorBidi"/>
          <w:sz w:val="22"/>
          <w:szCs w:val="22"/>
          <w:lang w:val="es-ES"/>
        </w:rPr>
        <w:t xml:space="preserve"> a los copresidentes y a los miembros de los grupos de trabajo</w:t>
      </w:r>
      <w:r w:rsidR="00986307" w:rsidRPr="00A9407C">
        <w:rPr>
          <w:rFonts w:asciiTheme="minorBidi" w:hAnsiTheme="minorBidi" w:cstheme="minorBidi"/>
          <w:sz w:val="22"/>
          <w:szCs w:val="22"/>
          <w:lang w:val="es-ES"/>
        </w:rPr>
        <w:t xml:space="preserve"> de la Visión 2030</w:t>
      </w:r>
      <w:r w:rsidRPr="00A9407C">
        <w:rPr>
          <w:rFonts w:asciiTheme="minorBidi" w:hAnsiTheme="minorBidi" w:cstheme="minorBidi"/>
          <w:sz w:val="22"/>
          <w:szCs w:val="22"/>
          <w:lang w:val="es-ES"/>
        </w:rPr>
        <w:t>;</w:t>
      </w:r>
    </w:p>
    <w:p w14:paraId="11D20C90" w14:textId="7C0816E2" w:rsidR="00EE6C59" w:rsidRPr="00A9407C" w:rsidRDefault="00C512E0" w:rsidP="008B1B6F">
      <w:pPr>
        <w:pStyle w:val="ListParagraph"/>
        <w:numPr>
          <w:ilvl w:val="0"/>
          <w:numId w:val="7"/>
        </w:numPr>
        <w:tabs>
          <w:tab w:val="clear" w:pos="567"/>
        </w:tabs>
        <w:spacing w:after="240"/>
        <w:ind w:left="567" w:hanging="567"/>
        <w:contextualSpacing w:val="0"/>
        <w:jc w:val="both"/>
        <w:rPr>
          <w:rFonts w:asciiTheme="minorBidi" w:hAnsiTheme="minorBidi" w:cstheme="minorBidi"/>
          <w:b/>
          <w:sz w:val="22"/>
          <w:szCs w:val="22"/>
          <w:lang w:val="es-ES"/>
        </w:rPr>
      </w:pPr>
      <w:r w:rsidRPr="00A9407C">
        <w:rPr>
          <w:rFonts w:asciiTheme="minorBidi" w:hAnsiTheme="minorBidi" w:cstheme="minorBidi"/>
          <w:b/>
          <w:bCs/>
          <w:sz w:val="22"/>
          <w:szCs w:val="22"/>
          <w:lang w:val="es-ES"/>
        </w:rPr>
        <w:t>Toma nota</w:t>
      </w:r>
      <w:r w:rsidRPr="00A9407C">
        <w:rPr>
          <w:rFonts w:asciiTheme="minorBidi" w:hAnsiTheme="minorBidi" w:cstheme="minorBidi"/>
          <w:sz w:val="22"/>
          <w:szCs w:val="22"/>
          <w:lang w:val="es-ES"/>
        </w:rPr>
        <w:t xml:space="preserve"> de los resultados positivos obtenidos durante la Conferencia del Decenio del Océano de 2024 y </w:t>
      </w:r>
      <w:r w:rsidRPr="00A9407C">
        <w:rPr>
          <w:rFonts w:asciiTheme="minorBidi" w:hAnsiTheme="minorBidi" w:cstheme="minorBidi"/>
          <w:b/>
          <w:bCs/>
          <w:sz w:val="22"/>
          <w:szCs w:val="22"/>
          <w:lang w:val="es-ES"/>
        </w:rPr>
        <w:t>expresa su gratitud</w:t>
      </w:r>
      <w:r w:rsidRPr="00A9407C">
        <w:rPr>
          <w:rFonts w:asciiTheme="minorBidi" w:hAnsiTheme="minorBidi" w:cstheme="minorBidi"/>
          <w:sz w:val="22"/>
          <w:szCs w:val="22"/>
          <w:lang w:val="es-ES"/>
        </w:rPr>
        <w:t xml:space="preserve"> al Gobierno de España, </w:t>
      </w:r>
      <w:r w:rsidR="00986307" w:rsidRPr="00A9407C">
        <w:rPr>
          <w:rFonts w:asciiTheme="minorBidi" w:hAnsiTheme="minorBidi" w:cstheme="minorBidi"/>
          <w:sz w:val="22"/>
          <w:szCs w:val="22"/>
          <w:lang w:val="es-ES"/>
        </w:rPr>
        <w:t>la Generalitat de Cataluña y el</w:t>
      </w:r>
      <w:r w:rsidRPr="00A9407C">
        <w:rPr>
          <w:rFonts w:asciiTheme="minorBidi" w:hAnsiTheme="minorBidi" w:cstheme="minorBidi"/>
          <w:sz w:val="22"/>
          <w:szCs w:val="22"/>
          <w:lang w:val="es-ES"/>
        </w:rPr>
        <w:t xml:space="preserve"> Ayuntamiento de Barcelona por acoger este evento; </w:t>
      </w:r>
    </w:p>
    <w:p w14:paraId="541CCF4A" w14:textId="6DAC71A7" w:rsidR="004B1009" w:rsidRPr="00A9407C" w:rsidRDefault="00C512E0" w:rsidP="008B1B6F">
      <w:pPr>
        <w:pStyle w:val="ListParagraph"/>
        <w:numPr>
          <w:ilvl w:val="0"/>
          <w:numId w:val="7"/>
        </w:numPr>
        <w:tabs>
          <w:tab w:val="clear" w:pos="567"/>
        </w:tabs>
        <w:spacing w:after="240"/>
        <w:ind w:left="567" w:hanging="567"/>
        <w:contextualSpacing w:val="0"/>
        <w:jc w:val="both"/>
        <w:rPr>
          <w:rFonts w:asciiTheme="minorBidi" w:hAnsiTheme="minorBidi" w:cstheme="minorBidi"/>
          <w:b/>
          <w:sz w:val="22"/>
          <w:szCs w:val="22"/>
          <w:lang w:val="es-ES"/>
        </w:rPr>
      </w:pPr>
      <w:r w:rsidRPr="00A9407C">
        <w:rPr>
          <w:rFonts w:asciiTheme="minorBidi" w:hAnsiTheme="minorBidi" w:cstheme="minorBidi"/>
          <w:b/>
          <w:bCs/>
          <w:sz w:val="22"/>
          <w:szCs w:val="22"/>
          <w:lang w:val="es-ES"/>
        </w:rPr>
        <w:t>Afirma su apoyo</w:t>
      </w:r>
      <w:r w:rsidRPr="00A9407C">
        <w:rPr>
          <w:rFonts w:asciiTheme="minorBidi" w:hAnsiTheme="minorBidi" w:cstheme="minorBidi"/>
          <w:sz w:val="22"/>
          <w:szCs w:val="22"/>
          <w:lang w:val="es-ES"/>
        </w:rPr>
        <w:t xml:space="preserve"> a la aplicación de las prioridades y recomendaciones definidas en la</w:t>
      </w:r>
      <w:r w:rsidR="00986307" w:rsidRPr="00A9407C">
        <w:rPr>
          <w:rFonts w:asciiTheme="minorBidi" w:hAnsiTheme="minorBidi" w:cstheme="minorBidi"/>
          <w:sz w:val="22"/>
          <w:szCs w:val="22"/>
          <w:lang w:val="es-ES"/>
        </w:rPr>
        <w:t xml:space="preserve"> Declaración de Barcelona</w:t>
      </w:r>
      <w:r w:rsidR="00986307" w:rsidRPr="00A9407C">
        <w:rPr>
          <w:rStyle w:val="FootnoteReference"/>
          <w:rFonts w:asciiTheme="minorBidi" w:hAnsiTheme="minorBidi" w:cstheme="minorBidi"/>
          <w:sz w:val="22"/>
          <w:szCs w:val="22"/>
          <w:lang w:val="es-ES"/>
        </w:rPr>
        <w:footnoteReference w:id="1"/>
      </w:r>
      <w:r w:rsidRPr="00A9407C">
        <w:rPr>
          <w:rFonts w:asciiTheme="minorBidi" w:hAnsiTheme="minorBidi" w:cstheme="minorBidi"/>
          <w:sz w:val="22"/>
          <w:szCs w:val="22"/>
          <w:lang w:val="es-ES"/>
        </w:rPr>
        <w:t xml:space="preserve">, </w:t>
      </w:r>
    </w:p>
    <w:p w14:paraId="70492E0F" w14:textId="77777777" w:rsidR="004B1009" w:rsidRPr="00A9407C" w:rsidRDefault="0050209F" w:rsidP="008B1B6F">
      <w:pPr>
        <w:pStyle w:val="ListParagraph"/>
        <w:numPr>
          <w:ilvl w:val="0"/>
          <w:numId w:val="7"/>
        </w:numPr>
        <w:tabs>
          <w:tab w:val="clear" w:pos="567"/>
        </w:tabs>
        <w:spacing w:after="240"/>
        <w:ind w:left="567" w:hanging="567"/>
        <w:contextualSpacing w:val="0"/>
        <w:jc w:val="both"/>
        <w:rPr>
          <w:rFonts w:asciiTheme="minorBidi" w:hAnsiTheme="minorBidi" w:cstheme="minorBidi"/>
          <w:b/>
          <w:sz w:val="22"/>
          <w:szCs w:val="22"/>
          <w:lang w:val="es-ES"/>
        </w:rPr>
      </w:pPr>
      <w:r w:rsidRPr="00A9407C">
        <w:rPr>
          <w:rFonts w:asciiTheme="minorBidi" w:hAnsiTheme="minorBidi" w:cstheme="minorBidi"/>
          <w:b/>
          <w:bCs/>
          <w:sz w:val="22"/>
          <w:szCs w:val="22"/>
          <w:lang w:val="es-ES"/>
        </w:rPr>
        <w:t>Invita</w:t>
      </w:r>
      <w:r w:rsidRPr="00A9407C">
        <w:rPr>
          <w:rFonts w:asciiTheme="minorBidi" w:hAnsiTheme="minorBidi" w:cstheme="minorBidi"/>
          <w:sz w:val="22"/>
          <w:szCs w:val="22"/>
          <w:lang w:val="es-ES"/>
        </w:rPr>
        <w:t xml:space="preserve"> a los Estados Miembros y a los asociados a que:</w:t>
      </w:r>
    </w:p>
    <w:p w14:paraId="4278F008" w14:textId="549DA73F" w:rsidR="00B0721F" w:rsidRPr="00A9407C" w:rsidRDefault="006F1E83" w:rsidP="008B1B6F">
      <w:pPr>
        <w:pStyle w:val="ListParagraph"/>
        <w:numPr>
          <w:ilvl w:val="0"/>
          <w:numId w:val="10"/>
        </w:numPr>
        <w:tabs>
          <w:tab w:val="clear" w:pos="567"/>
        </w:tabs>
        <w:spacing w:after="240"/>
        <w:ind w:left="1134" w:hanging="567"/>
        <w:contextualSpacing w:val="0"/>
        <w:jc w:val="both"/>
        <w:rPr>
          <w:rFonts w:asciiTheme="minorBidi" w:eastAsia="MS Mincho" w:hAnsiTheme="minorBidi" w:cstheme="minorBidi"/>
          <w:sz w:val="22"/>
          <w:szCs w:val="22"/>
          <w:lang w:val="es-ES"/>
        </w:rPr>
      </w:pPr>
      <w:r w:rsidRPr="00A9407C">
        <w:rPr>
          <w:rFonts w:asciiTheme="minorBidi" w:hAnsiTheme="minorBidi" w:cstheme="minorBidi"/>
          <w:sz w:val="22"/>
          <w:szCs w:val="22"/>
          <w:lang w:val="es-ES"/>
        </w:rPr>
        <w:t xml:space="preserve">incorporen las prioridades y recomendaciones de la Visión 2030 del Decenio del Océano en sus marcos científicos y normativos nacionales y regionales, y las utilicen para fundamentar las decisiones en materia de presupuesto y dotación de recursos; </w:t>
      </w:r>
    </w:p>
    <w:p w14:paraId="1021B233" w14:textId="3F260A08" w:rsidR="0050209F" w:rsidRPr="00A9407C" w:rsidRDefault="0050209F" w:rsidP="008B1B6F">
      <w:pPr>
        <w:pStyle w:val="ListParagraph"/>
        <w:numPr>
          <w:ilvl w:val="0"/>
          <w:numId w:val="10"/>
        </w:numPr>
        <w:spacing w:after="240"/>
        <w:ind w:left="1134" w:hanging="567"/>
        <w:contextualSpacing w:val="0"/>
        <w:jc w:val="both"/>
        <w:rPr>
          <w:rFonts w:asciiTheme="minorBidi" w:eastAsia="MS Mincho" w:hAnsiTheme="minorBidi" w:cstheme="minorBidi"/>
          <w:sz w:val="22"/>
          <w:szCs w:val="22"/>
          <w:lang w:val="es-ES"/>
        </w:rPr>
      </w:pPr>
      <w:r w:rsidRPr="00A9407C">
        <w:rPr>
          <w:rFonts w:asciiTheme="minorBidi" w:hAnsiTheme="minorBidi" w:cstheme="minorBidi"/>
          <w:sz w:val="22"/>
          <w:szCs w:val="22"/>
          <w:lang w:val="es-ES"/>
        </w:rPr>
        <w:t>aporten contribuciones financieras voluntarias para respaldar la labor de la Secretaría de la COI en la coordinación del Decenio, en particular apoyo en especie (por ejemplo, en forma de préstamos de personal</w:t>
      </w:r>
      <w:r w:rsidR="00E331AB" w:rsidRPr="00A9407C">
        <w:rPr>
          <w:rFonts w:asciiTheme="minorBidi" w:hAnsiTheme="minorBidi" w:cstheme="minorBidi"/>
          <w:sz w:val="22"/>
          <w:szCs w:val="22"/>
          <w:lang w:val="es-ES"/>
        </w:rPr>
        <w:t xml:space="preserve"> y cesiones en comisión de servicio</w:t>
      </w:r>
      <w:r w:rsidRPr="00A9407C">
        <w:rPr>
          <w:rFonts w:asciiTheme="minorBidi" w:hAnsiTheme="minorBidi" w:cstheme="minorBidi"/>
          <w:sz w:val="22"/>
          <w:szCs w:val="22"/>
          <w:lang w:val="es-ES"/>
        </w:rPr>
        <w:t xml:space="preserve">) a la Unidad de Coordinación del Decenio (DCU); </w:t>
      </w:r>
    </w:p>
    <w:p w14:paraId="77BE00A7" w14:textId="3AA98406" w:rsidR="0050209F" w:rsidRPr="00A9407C" w:rsidRDefault="0050209F" w:rsidP="008B1B6F">
      <w:pPr>
        <w:pStyle w:val="ListParagraph"/>
        <w:numPr>
          <w:ilvl w:val="0"/>
          <w:numId w:val="10"/>
        </w:numPr>
        <w:tabs>
          <w:tab w:val="clear" w:pos="567"/>
        </w:tabs>
        <w:spacing w:after="240"/>
        <w:ind w:left="1134" w:hanging="567"/>
        <w:contextualSpacing w:val="0"/>
        <w:jc w:val="both"/>
        <w:rPr>
          <w:rFonts w:asciiTheme="minorBidi" w:eastAsia="MS Mincho" w:hAnsiTheme="minorBidi" w:cstheme="minorBidi"/>
          <w:sz w:val="22"/>
          <w:szCs w:val="22"/>
          <w:lang w:val="es-ES"/>
        </w:rPr>
      </w:pPr>
      <w:r w:rsidRPr="00A9407C">
        <w:rPr>
          <w:rFonts w:asciiTheme="minorBidi" w:hAnsiTheme="minorBidi" w:cstheme="minorBidi"/>
          <w:sz w:val="22"/>
          <w:szCs w:val="22"/>
          <w:lang w:val="es-ES"/>
        </w:rPr>
        <w:lastRenderedPageBreak/>
        <w:t>se ofrezcan a acoger y financiar acciones del Decenio, oficinas de coordinación del Decenio</w:t>
      </w:r>
      <w:r w:rsidR="00E27A04" w:rsidRPr="00A9407C">
        <w:rPr>
          <w:rFonts w:asciiTheme="minorBidi" w:hAnsiTheme="minorBidi" w:cstheme="minorBidi"/>
          <w:sz w:val="22"/>
          <w:szCs w:val="22"/>
          <w:lang w:val="es-ES"/>
        </w:rPr>
        <w:t xml:space="preserve"> (DCO)</w:t>
      </w:r>
      <w:r w:rsidRPr="00A9407C">
        <w:rPr>
          <w:rFonts w:asciiTheme="minorBidi" w:hAnsiTheme="minorBidi" w:cstheme="minorBidi"/>
          <w:sz w:val="22"/>
          <w:szCs w:val="22"/>
          <w:lang w:val="es-ES"/>
        </w:rPr>
        <w:t xml:space="preserve"> y centros de colaboración del Decenio, como se describe en el plan de ejecución del Decenio</w:t>
      </w:r>
      <w:r w:rsidR="00E27A04" w:rsidRPr="00A9407C">
        <w:rPr>
          <w:rFonts w:asciiTheme="minorBidi" w:hAnsiTheme="minorBidi" w:cstheme="minorBidi"/>
          <w:sz w:val="22"/>
          <w:szCs w:val="22"/>
          <w:lang w:val="es-ES"/>
        </w:rPr>
        <w:t xml:space="preserve"> (serie de la COI sobre el Decenio del Océano, número 20)</w:t>
      </w:r>
      <w:r w:rsidRPr="00A9407C">
        <w:rPr>
          <w:rFonts w:asciiTheme="minorBidi" w:hAnsiTheme="minorBidi" w:cstheme="minorBidi"/>
          <w:sz w:val="22"/>
          <w:szCs w:val="22"/>
          <w:lang w:val="es-ES"/>
        </w:rPr>
        <w:t xml:space="preserve">; </w:t>
      </w:r>
    </w:p>
    <w:p w14:paraId="4F2BF45D" w14:textId="7E07B1C7" w:rsidR="00B44157" w:rsidRPr="00A9407C" w:rsidRDefault="0050209F" w:rsidP="008B1B6F">
      <w:pPr>
        <w:pStyle w:val="ListParagraph"/>
        <w:numPr>
          <w:ilvl w:val="0"/>
          <w:numId w:val="10"/>
        </w:numPr>
        <w:tabs>
          <w:tab w:val="clear" w:pos="567"/>
        </w:tabs>
        <w:spacing w:after="240"/>
        <w:ind w:left="1134" w:hanging="567"/>
        <w:contextualSpacing w:val="0"/>
        <w:jc w:val="both"/>
        <w:rPr>
          <w:rFonts w:asciiTheme="minorBidi" w:eastAsia="MS Mincho" w:hAnsiTheme="minorBidi" w:cstheme="minorBidi"/>
          <w:sz w:val="22"/>
          <w:szCs w:val="22"/>
          <w:lang w:val="es-ES"/>
        </w:rPr>
      </w:pPr>
      <w:r w:rsidRPr="00A9407C">
        <w:rPr>
          <w:rFonts w:asciiTheme="minorBidi" w:hAnsiTheme="minorBidi" w:cstheme="minorBidi"/>
          <w:sz w:val="22"/>
          <w:szCs w:val="22"/>
          <w:lang w:val="es-ES"/>
        </w:rPr>
        <w:t xml:space="preserve">establezcan comités nacionales del Decenio para fomentar las actividades nacionales y la cooperación internacional; y </w:t>
      </w:r>
    </w:p>
    <w:p w14:paraId="644A6AA0" w14:textId="33042B1D" w:rsidR="00B44157" w:rsidRPr="00A9407C" w:rsidRDefault="005D6AA0" w:rsidP="008B1B6F">
      <w:pPr>
        <w:pStyle w:val="ListParagraph"/>
        <w:numPr>
          <w:ilvl w:val="0"/>
          <w:numId w:val="10"/>
        </w:numPr>
        <w:tabs>
          <w:tab w:val="clear" w:pos="567"/>
        </w:tabs>
        <w:spacing w:after="240"/>
        <w:ind w:left="1134" w:hanging="567"/>
        <w:contextualSpacing w:val="0"/>
        <w:jc w:val="both"/>
        <w:rPr>
          <w:rFonts w:asciiTheme="minorBidi" w:eastAsia="MS Mincho" w:hAnsiTheme="minorBidi" w:cstheme="minorBidi"/>
          <w:sz w:val="22"/>
          <w:szCs w:val="22"/>
          <w:lang w:val="es-ES"/>
        </w:rPr>
      </w:pPr>
      <w:r w:rsidRPr="00A9407C">
        <w:rPr>
          <w:rFonts w:asciiTheme="minorBidi" w:hAnsiTheme="minorBidi" w:cstheme="minorBidi"/>
          <w:sz w:val="22"/>
          <w:szCs w:val="22"/>
          <w:lang w:val="es-ES"/>
        </w:rPr>
        <w:t>organicen</w:t>
      </w:r>
      <w:r w:rsidR="0050209F" w:rsidRPr="00A9407C">
        <w:rPr>
          <w:rFonts w:asciiTheme="minorBidi" w:hAnsiTheme="minorBidi" w:cstheme="minorBidi"/>
          <w:sz w:val="22"/>
          <w:szCs w:val="22"/>
          <w:lang w:val="es-ES"/>
        </w:rPr>
        <w:t xml:space="preserve"> eventos regionales o internacionales de las partes interesadas en el Decenio;</w:t>
      </w:r>
    </w:p>
    <w:p w14:paraId="15E969F9" w14:textId="7CB3BE8B" w:rsidR="004B1009" w:rsidRPr="00A9407C" w:rsidRDefault="00C512E0" w:rsidP="008B1B6F">
      <w:pPr>
        <w:pStyle w:val="ListParagraph"/>
        <w:numPr>
          <w:ilvl w:val="0"/>
          <w:numId w:val="7"/>
        </w:numPr>
        <w:tabs>
          <w:tab w:val="clear" w:pos="567"/>
        </w:tabs>
        <w:spacing w:after="240"/>
        <w:ind w:left="567" w:hanging="567"/>
        <w:contextualSpacing w:val="0"/>
        <w:jc w:val="both"/>
        <w:rPr>
          <w:rFonts w:asciiTheme="minorBidi" w:hAnsiTheme="minorBidi" w:cstheme="minorBidi"/>
          <w:i/>
          <w:sz w:val="22"/>
          <w:szCs w:val="22"/>
          <w:lang w:val="es-ES"/>
        </w:rPr>
      </w:pPr>
      <w:r w:rsidRPr="00A9407C">
        <w:rPr>
          <w:rFonts w:asciiTheme="minorBidi" w:hAnsiTheme="minorBidi" w:cstheme="minorBidi"/>
          <w:b/>
          <w:bCs/>
          <w:sz w:val="22"/>
          <w:szCs w:val="22"/>
          <w:lang w:val="es-ES"/>
        </w:rPr>
        <w:t>Invita</w:t>
      </w:r>
      <w:r w:rsidRPr="00A9407C">
        <w:rPr>
          <w:rFonts w:asciiTheme="minorBidi" w:hAnsiTheme="minorBidi" w:cstheme="minorBidi"/>
          <w:sz w:val="22"/>
          <w:szCs w:val="22"/>
          <w:lang w:val="es-ES"/>
        </w:rPr>
        <w:t xml:space="preserve"> a los</w:t>
      </w:r>
      <w:r w:rsidR="00AD175D" w:rsidRPr="00A9407C">
        <w:rPr>
          <w:rFonts w:asciiTheme="minorBidi" w:hAnsiTheme="minorBidi" w:cstheme="minorBidi"/>
          <w:sz w:val="22"/>
          <w:szCs w:val="22"/>
          <w:lang w:val="es-ES"/>
        </w:rPr>
        <w:t xml:space="preserve"> Estados Miembros de las Naciones Unidas, los</w:t>
      </w:r>
      <w:r w:rsidRPr="00A9407C">
        <w:rPr>
          <w:rFonts w:asciiTheme="minorBidi" w:hAnsiTheme="minorBidi" w:cstheme="minorBidi"/>
          <w:sz w:val="22"/>
          <w:szCs w:val="22"/>
          <w:lang w:val="es-ES"/>
        </w:rPr>
        <w:t xml:space="preserve"> miembros de ONU-Océanos, las organizaciones científicas y académicas internacionales, las organizaciones no gubernamentales y otras partes interesadas pertinentes a que apoyen el Decenio en colaboración con la COI y a que contribuyan a su ejecución proponiendo acciones del </w:t>
      </w:r>
      <w:r w:rsidR="00DC5C1A" w:rsidRPr="00A9407C">
        <w:rPr>
          <w:rFonts w:asciiTheme="minorBidi" w:hAnsiTheme="minorBidi" w:cstheme="minorBidi"/>
          <w:sz w:val="22"/>
          <w:szCs w:val="22"/>
          <w:lang w:val="es-ES"/>
        </w:rPr>
        <w:t>Decenio</w:t>
      </w:r>
      <w:r w:rsidR="00AD175D" w:rsidRPr="00A9407C">
        <w:rPr>
          <w:rFonts w:asciiTheme="minorBidi" w:hAnsiTheme="minorBidi" w:cstheme="minorBidi"/>
          <w:sz w:val="22"/>
          <w:szCs w:val="22"/>
          <w:lang w:val="es-ES"/>
        </w:rPr>
        <w:t xml:space="preserve"> de conformidad con el plan de ejecución del Decenio</w:t>
      </w:r>
      <w:r w:rsidR="00DC5C1A" w:rsidRPr="00A9407C">
        <w:rPr>
          <w:rFonts w:asciiTheme="minorBidi" w:hAnsiTheme="minorBidi" w:cstheme="minorBidi"/>
          <w:sz w:val="22"/>
          <w:szCs w:val="22"/>
          <w:lang w:val="es-ES"/>
        </w:rPr>
        <w:t xml:space="preserve"> y</w:t>
      </w:r>
      <w:r w:rsidRPr="00A9407C">
        <w:rPr>
          <w:rFonts w:asciiTheme="minorBidi" w:hAnsiTheme="minorBidi" w:cstheme="minorBidi"/>
          <w:sz w:val="22"/>
          <w:szCs w:val="22"/>
          <w:lang w:val="es-ES"/>
        </w:rPr>
        <w:t xml:space="preserve"> facilitando la aplicación de las prioridades y recomendaciones del proceso Visión 2030;</w:t>
      </w:r>
    </w:p>
    <w:p w14:paraId="583DA9D1" w14:textId="61EE2753" w:rsidR="00AD175D" w:rsidRPr="00A9407C" w:rsidRDefault="00AD175D" w:rsidP="008B1B6F">
      <w:pPr>
        <w:pStyle w:val="ListParagraph"/>
        <w:spacing w:after="240"/>
        <w:ind w:left="0"/>
        <w:contextualSpacing w:val="0"/>
        <w:jc w:val="center"/>
        <w:rPr>
          <w:rFonts w:asciiTheme="minorBidi" w:hAnsiTheme="minorBidi" w:cstheme="minorBidi"/>
          <w:i/>
          <w:sz w:val="22"/>
          <w:szCs w:val="22"/>
          <w:lang w:val="es-ES"/>
        </w:rPr>
      </w:pPr>
      <w:r w:rsidRPr="00A9407C">
        <w:rPr>
          <w:rFonts w:asciiTheme="minorBidi" w:hAnsiTheme="minorBidi" w:cstheme="minorBidi"/>
          <w:b/>
          <w:bCs/>
          <w:sz w:val="22"/>
          <w:szCs w:val="22"/>
          <w:lang w:val="es-ES"/>
        </w:rPr>
        <w:t>Parte II</w:t>
      </w:r>
    </w:p>
    <w:p w14:paraId="006B7A96" w14:textId="73B980CD" w:rsidR="00BE24A9" w:rsidRPr="00A9407C" w:rsidRDefault="00BE24A9" w:rsidP="008B1B6F">
      <w:pPr>
        <w:pStyle w:val="ListParagraph"/>
        <w:numPr>
          <w:ilvl w:val="0"/>
          <w:numId w:val="7"/>
        </w:numPr>
        <w:tabs>
          <w:tab w:val="clear" w:pos="567"/>
        </w:tabs>
        <w:spacing w:after="240"/>
        <w:ind w:left="567" w:hanging="567"/>
        <w:contextualSpacing w:val="0"/>
        <w:jc w:val="both"/>
        <w:rPr>
          <w:rFonts w:asciiTheme="minorBidi" w:hAnsiTheme="minorBidi" w:cstheme="minorBidi"/>
          <w:i/>
          <w:sz w:val="22"/>
          <w:szCs w:val="22"/>
          <w:lang w:val="es-ES"/>
        </w:rPr>
      </w:pPr>
      <w:r w:rsidRPr="00A9407C">
        <w:rPr>
          <w:rFonts w:asciiTheme="minorBidi" w:hAnsiTheme="minorBidi" w:cstheme="minorBidi"/>
          <w:b/>
          <w:bCs/>
          <w:sz w:val="22"/>
          <w:szCs w:val="22"/>
          <w:lang w:val="es-ES"/>
        </w:rPr>
        <w:t xml:space="preserve">Habiendo examinado </w:t>
      </w:r>
      <w:r w:rsidRPr="00A9407C">
        <w:rPr>
          <w:rFonts w:asciiTheme="minorBidi" w:hAnsiTheme="minorBidi" w:cstheme="minorBidi"/>
          <w:sz w:val="22"/>
          <w:szCs w:val="22"/>
          <w:lang w:val="es-ES"/>
        </w:rPr>
        <w:t>el documento</w:t>
      </w:r>
      <w:r w:rsidRPr="00A9407C">
        <w:rPr>
          <w:rFonts w:asciiTheme="minorBidi" w:hAnsiTheme="minorBidi" w:cstheme="minorBidi"/>
          <w:b/>
          <w:bCs/>
          <w:sz w:val="22"/>
          <w:szCs w:val="22"/>
          <w:lang w:val="es-ES"/>
        </w:rPr>
        <w:t xml:space="preserve"> </w:t>
      </w:r>
      <w:r w:rsidRPr="00A9407C">
        <w:rPr>
          <w:rFonts w:asciiTheme="minorBidi" w:hAnsiTheme="minorBidi" w:cstheme="minorBidi"/>
          <w:bCs/>
          <w:iCs/>
          <w:color w:val="000000"/>
          <w:sz w:val="22"/>
          <w:szCs w:val="22"/>
          <w:lang w:val="es-ES"/>
        </w:rPr>
        <w:t>IOC/EC-57/4.7.Doc(2),</w:t>
      </w:r>
    </w:p>
    <w:p w14:paraId="369333E0" w14:textId="1529D922" w:rsidR="00AC3463" w:rsidRPr="00A9407C" w:rsidRDefault="00C512E0" w:rsidP="008B1B6F">
      <w:pPr>
        <w:pStyle w:val="ListParagraph"/>
        <w:numPr>
          <w:ilvl w:val="0"/>
          <w:numId w:val="7"/>
        </w:numPr>
        <w:tabs>
          <w:tab w:val="clear" w:pos="567"/>
        </w:tabs>
        <w:spacing w:after="240"/>
        <w:ind w:left="567" w:hanging="567"/>
        <w:contextualSpacing w:val="0"/>
        <w:jc w:val="both"/>
        <w:rPr>
          <w:rFonts w:asciiTheme="minorBidi" w:hAnsiTheme="minorBidi" w:cstheme="minorBidi"/>
          <w:i/>
          <w:sz w:val="22"/>
          <w:szCs w:val="22"/>
          <w:lang w:val="es-ES"/>
        </w:rPr>
      </w:pPr>
      <w:r w:rsidRPr="00A9407C">
        <w:rPr>
          <w:rFonts w:asciiTheme="minorBidi" w:hAnsiTheme="minorBidi" w:cstheme="minorBidi"/>
          <w:b/>
          <w:bCs/>
          <w:sz w:val="22"/>
          <w:szCs w:val="22"/>
          <w:lang w:val="es-ES"/>
        </w:rPr>
        <w:t>Toma nota también</w:t>
      </w:r>
      <w:r w:rsidRPr="00A9407C">
        <w:rPr>
          <w:rFonts w:asciiTheme="minorBidi" w:hAnsiTheme="minorBidi" w:cstheme="minorBidi"/>
          <w:sz w:val="22"/>
          <w:szCs w:val="22"/>
          <w:lang w:val="es-ES"/>
        </w:rPr>
        <w:t xml:space="preserve"> del proyecto de marco para </w:t>
      </w:r>
      <w:r w:rsidR="005D6AA0" w:rsidRPr="00A9407C">
        <w:rPr>
          <w:rFonts w:asciiTheme="minorBidi" w:hAnsiTheme="minorBidi" w:cstheme="minorBidi"/>
          <w:sz w:val="22"/>
          <w:szCs w:val="22"/>
          <w:lang w:val="es-ES"/>
        </w:rPr>
        <w:t>la evaluación</w:t>
      </w:r>
      <w:r w:rsidRPr="00A9407C">
        <w:rPr>
          <w:rFonts w:asciiTheme="minorBidi" w:hAnsiTheme="minorBidi" w:cstheme="minorBidi"/>
          <w:sz w:val="22"/>
          <w:szCs w:val="22"/>
          <w:lang w:val="es-ES"/>
        </w:rPr>
        <w:t xml:space="preserve"> de mitad de periodo del Decenio del Océano</w:t>
      </w:r>
      <w:r w:rsidR="00BE24A9" w:rsidRPr="00A9407C">
        <w:rPr>
          <w:rFonts w:asciiTheme="minorBidi" w:hAnsiTheme="minorBidi" w:cstheme="minorBidi"/>
          <w:sz w:val="22"/>
          <w:szCs w:val="22"/>
          <w:lang w:val="es-ES"/>
        </w:rPr>
        <w:t xml:space="preserve">, incluidas las posibles modificaciones examinadas </w:t>
      </w:r>
      <w:r w:rsidR="005D6AA0" w:rsidRPr="00A9407C">
        <w:rPr>
          <w:rFonts w:asciiTheme="minorBidi" w:hAnsiTheme="minorBidi" w:cstheme="minorBidi"/>
          <w:sz w:val="22"/>
          <w:szCs w:val="22"/>
          <w:lang w:val="es-ES"/>
        </w:rPr>
        <w:t>en</w:t>
      </w:r>
      <w:r w:rsidR="00BE24A9" w:rsidRPr="00A9407C">
        <w:rPr>
          <w:rFonts w:asciiTheme="minorBidi" w:hAnsiTheme="minorBidi" w:cstheme="minorBidi"/>
          <w:sz w:val="22"/>
          <w:szCs w:val="22"/>
          <w:lang w:val="es-ES"/>
        </w:rPr>
        <w:t xml:space="preserve"> la reunión,</w:t>
      </w:r>
      <w:r w:rsidRPr="00A9407C">
        <w:rPr>
          <w:rFonts w:asciiTheme="minorBidi" w:hAnsiTheme="minorBidi" w:cstheme="minorBidi"/>
          <w:sz w:val="22"/>
          <w:szCs w:val="22"/>
          <w:lang w:val="es-ES"/>
        </w:rPr>
        <w:t xml:space="preserve"> y </w:t>
      </w:r>
      <w:r w:rsidRPr="00A9407C">
        <w:rPr>
          <w:rFonts w:asciiTheme="minorBidi" w:hAnsiTheme="minorBidi" w:cstheme="minorBidi"/>
          <w:b/>
          <w:bCs/>
          <w:sz w:val="22"/>
          <w:szCs w:val="22"/>
          <w:lang w:val="es-ES"/>
        </w:rPr>
        <w:t>pide</w:t>
      </w:r>
      <w:r w:rsidRPr="00A9407C">
        <w:rPr>
          <w:rFonts w:asciiTheme="minorBidi" w:hAnsiTheme="minorBidi" w:cstheme="minorBidi"/>
          <w:sz w:val="22"/>
          <w:szCs w:val="22"/>
          <w:lang w:val="es-ES"/>
        </w:rPr>
        <w:t xml:space="preserve"> al Secretario Ejecutivo de la COI que</w:t>
      </w:r>
      <w:r w:rsidR="00AD175D" w:rsidRPr="00A9407C">
        <w:rPr>
          <w:rFonts w:asciiTheme="minorBidi" w:hAnsiTheme="minorBidi" w:cstheme="minorBidi"/>
          <w:sz w:val="22"/>
          <w:szCs w:val="22"/>
          <w:lang w:val="es-ES"/>
        </w:rPr>
        <w:t xml:space="preserve"> </w:t>
      </w:r>
      <w:r w:rsidR="00193E93" w:rsidRPr="00A9407C">
        <w:rPr>
          <w:rFonts w:asciiTheme="minorBidi" w:hAnsiTheme="minorBidi" w:cstheme="minorBidi"/>
          <w:sz w:val="22"/>
          <w:szCs w:val="22"/>
          <w:lang w:val="es-ES"/>
        </w:rPr>
        <w:t>realice</w:t>
      </w:r>
      <w:r w:rsidR="00AD175D" w:rsidRPr="00A9407C">
        <w:rPr>
          <w:rFonts w:asciiTheme="minorBidi" w:hAnsiTheme="minorBidi" w:cstheme="minorBidi"/>
          <w:sz w:val="22"/>
          <w:szCs w:val="22"/>
          <w:lang w:val="es-ES"/>
        </w:rPr>
        <w:t xml:space="preserve"> la evaluación de mitad de periodo en 2024-2025,</w:t>
      </w:r>
      <w:r w:rsidRPr="00A9407C">
        <w:rPr>
          <w:rFonts w:asciiTheme="minorBidi" w:hAnsiTheme="minorBidi" w:cstheme="minorBidi"/>
          <w:sz w:val="22"/>
          <w:szCs w:val="22"/>
          <w:lang w:val="es-ES"/>
        </w:rPr>
        <w:t xml:space="preserve"> informe a la Asamblea de la COI, en su 33ª reunión, sobre las conclusiones correspondientes</w:t>
      </w:r>
      <w:r w:rsidR="00BE24A9" w:rsidRPr="00A9407C">
        <w:rPr>
          <w:rFonts w:asciiTheme="minorBidi" w:hAnsiTheme="minorBidi" w:cstheme="minorBidi"/>
          <w:sz w:val="22"/>
          <w:szCs w:val="22"/>
          <w:lang w:val="es-ES"/>
        </w:rPr>
        <w:t xml:space="preserve"> y proponga decisiones adecuadas para aplicar </w:t>
      </w:r>
      <w:r w:rsidR="00595DA7" w:rsidRPr="00A9407C">
        <w:rPr>
          <w:rFonts w:asciiTheme="minorBidi" w:hAnsiTheme="minorBidi" w:cstheme="minorBidi"/>
          <w:sz w:val="22"/>
          <w:szCs w:val="22"/>
          <w:lang w:val="es-ES"/>
        </w:rPr>
        <w:t>es</w:t>
      </w:r>
      <w:r w:rsidR="00BE24A9" w:rsidRPr="00A9407C">
        <w:rPr>
          <w:rFonts w:asciiTheme="minorBidi" w:hAnsiTheme="minorBidi" w:cstheme="minorBidi"/>
          <w:sz w:val="22"/>
          <w:szCs w:val="22"/>
          <w:lang w:val="es-ES"/>
        </w:rPr>
        <w:t>as conclusiones</w:t>
      </w:r>
      <w:r w:rsidRPr="00A9407C">
        <w:rPr>
          <w:rFonts w:asciiTheme="minorBidi" w:hAnsiTheme="minorBidi" w:cstheme="minorBidi"/>
          <w:sz w:val="22"/>
          <w:szCs w:val="22"/>
          <w:lang w:val="es-ES"/>
        </w:rPr>
        <w:t>;</w:t>
      </w:r>
    </w:p>
    <w:p w14:paraId="4839D79D" w14:textId="70B56F43" w:rsidR="004B1009" w:rsidRPr="00A9407C" w:rsidRDefault="001C6E49" w:rsidP="008B1B6F">
      <w:pPr>
        <w:pStyle w:val="ListParagraph"/>
        <w:numPr>
          <w:ilvl w:val="0"/>
          <w:numId w:val="7"/>
        </w:numPr>
        <w:tabs>
          <w:tab w:val="clear" w:pos="567"/>
        </w:tabs>
        <w:spacing w:after="240"/>
        <w:ind w:left="567" w:hanging="567"/>
        <w:contextualSpacing w:val="0"/>
        <w:jc w:val="both"/>
        <w:rPr>
          <w:rFonts w:asciiTheme="minorBidi" w:hAnsiTheme="minorBidi" w:cstheme="minorBidi"/>
          <w:sz w:val="22"/>
          <w:szCs w:val="22"/>
          <w:lang w:val="es-ES"/>
        </w:rPr>
      </w:pPr>
      <w:r w:rsidRPr="00A9407C">
        <w:rPr>
          <w:rFonts w:asciiTheme="minorBidi" w:hAnsiTheme="minorBidi" w:cstheme="minorBidi"/>
          <w:b/>
          <w:bCs/>
          <w:sz w:val="22"/>
          <w:szCs w:val="22"/>
          <w:lang w:val="es-ES"/>
        </w:rPr>
        <w:t>Expresa su gratitud</w:t>
      </w:r>
      <w:r w:rsidRPr="00A9407C">
        <w:rPr>
          <w:rFonts w:asciiTheme="minorBidi" w:hAnsiTheme="minorBidi" w:cstheme="minorBidi"/>
          <w:sz w:val="22"/>
          <w:szCs w:val="22"/>
          <w:lang w:val="es-ES"/>
        </w:rPr>
        <w:t xml:space="preserve"> a los gobiernos del Canadá, Francia, el Japón, Bélgica (Gobierno de Flandes), Noruega, </w:t>
      </w:r>
      <w:r w:rsidR="00AD175D" w:rsidRPr="00A9407C">
        <w:rPr>
          <w:rFonts w:asciiTheme="minorBidi" w:hAnsiTheme="minorBidi" w:cstheme="minorBidi"/>
          <w:sz w:val="22"/>
          <w:szCs w:val="22"/>
          <w:lang w:val="es-ES"/>
        </w:rPr>
        <w:t xml:space="preserve">Alemania, Irlanda, </w:t>
      </w:r>
      <w:r w:rsidRPr="00A9407C">
        <w:rPr>
          <w:rFonts w:asciiTheme="minorBidi" w:hAnsiTheme="minorBidi" w:cstheme="minorBidi"/>
          <w:sz w:val="22"/>
          <w:szCs w:val="22"/>
          <w:lang w:val="es-ES"/>
        </w:rPr>
        <w:t>Portugal, la República de Corea y Suecia, así como a REV-Ocean y FUGRO, por sus valiosas contribuciones financieras al Decenio;</w:t>
      </w:r>
    </w:p>
    <w:p w14:paraId="6E11878F" w14:textId="61AFE5EE" w:rsidR="00500176" w:rsidRPr="00A9407C" w:rsidRDefault="00F97A1A" w:rsidP="008B1B6F">
      <w:pPr>
        <w:pStyle w:val="ListParagraph"/>
        <w:numPr>
          <w:ilvl w:val="0"/>
          <w:numId w:val="7"/>
        </w:numPr>
        <w:tabs>
          <w:tab w:val="clear" w:pos="567"/>
        </w:tabs>
        <w:spacing w:after="240"/>
        <w:ind w:left="567" w:hanging="567"/>
        <w:contextualSpacing w:val="0"/>
        <w:jc w:val="both"/>
        <w:rPr>
          <w:rFonts w:asciiTheme="minorBidi" w:hAnsiTheme="minorBidi" w:cstheme="minorBidi"/>
          <w:sz w:val="22"/>
          <w:szCs w:val="22"/>
          <w:lang w:val="es-ES"/>
        </w:rPr>
      </w:pPr>
      <w:r w:rsidRPr="00A9407C">
        <w:rPr>
          <w:rFonts w:asciiTheme="minorBidi" w:hAnsiTheme="minorBidi" w:cstheme="minorBidi"/>
          <w:b/>
          <w:bCs/>
          <w:sz w:val="22"/>
          <w:szCs w:val="22"/>
          <w:lang w:val="es-ES"/>
        </w:rPr>
        <w:t xml:space="preserve">Expresa su reconocimiento </w:t>
      </w:r>
      <w:r w:rsidRPr="00A9407C">
        <w:rPr>
          <w:rFonts w:asciiTheme="minorBidi" w:hAnsiTheme="minorBidi" w:cstheme="minorBidi"/>
          <w:sz w:val="22"/>
          <w:szCs w:val="22"/>
          <w:lang w:val="es-ES"/>
        </w:rPr>
        <w:t xml:space="preserve">a: </w:t>
      </w:r>
    </w:p>
    <w:p w14:paraId="318A7DE0" w14:textId="3072271E" w:rsidR="00500176" w:rsidRPr="00A9407C" w:rsidRDefault="00500176" w:rsidP="008B1B6F">
      <w:pPr>
        <w:pStyle w:val="ListParagraph"/>
        <w:numPr>
          <w:ilvl w:val="0"/>
          <w:numId w:val="16"/>
        </w:numPr>
        <w:tabs>
          <w:tab w:val="clear" w:pos="567"/>
        </w:tabs>
        <w:spacing w:after="240"/>
        <w:ind w:left="1134" w:hanging="567"/>
        <w:contextualSpacing w:val="0"/>
        <w:jc w:val="both"/>
        <w:rPr>
          <w:rFonts w:asciiTheme="minorBidi" w:eastAsia="MS Mincho" w:hAnsiTheme="minorBidi" w:cstheme="minorBidi"/>
          <w:sz w:val="22"/>
          <w:szCs w:val="22"/>
          <w:lang w:val="es-ES"/>
        </w:rPr>
      </w:pPr>
      <w:r w:rsidRPr="00A9407C">
        <w:rPr>
          <w:rFonts w:asciiTheme="minorBidi" w:hAnsiTheme="minorBidi" w:cstheme="minorBidi"/>
          <w:sz w:val="22"/>
          <w:szCs w:val="22"/>
          <w:lang w:val="es-ES"/>
        </w:rPr>
        <w:t xml:space="preserve">el Gobierno de Tailandia por acoger la </w:t>
      </w:r>
      <w:r w:rsidR="00595DA7" w:rsidRPr="00A9407C">
        <w:rPr>
          <w:rFonts w:asciiTheme="minorBidi" w:hAnsiTheme="minorBidi" w:cstheme="minorBidi"/>
          <w:sz w:val="22"/>
          <w:szCs w:val="22"/>
          <w:lang w:val="es-ES"/>
        </w:rPr>
        <w:t>S</w:t>
      </w:r>
      <w:r w:rsidRPr="00A9407C">
        <w:rPr>
          <w:rFonts w:asciiTheme="minorBidi" w:hAnsiTheme="minorBidi" w:cstheme="minorBidi"/>
          <w:sz w:val="22"/>
          <w:szCs w:val="22"/>
          <w:lang w:val="es-ES"/>
        </w:rPr>
        <w:t xml:space="preserve">egunda </w:t>
      </w:r>
      <w:r w:rsidR="00595DA7" w:rsidRPr="00A9407C">
        <w:rPr>
          <w:rFonts w:asciiTheme="minorBidi" w:hAnsiTheme="minorBidi" w:cstheme="minorBidi"/>
          <w:sz w:val="22"/>
          <w:szCs w:val="22"/>
          <w:lang w:val="es-ES"/>
        </w:rPr>
        <w:t>C</w:t>
      </w:r>
      <w:r w:rsidRPr="00A9407C">
        <w:rPr>
          <w:rFonts w:asciiTheme="minorBidi" w:hAnsiTheme="minorBidi" w:cstheme="minorBidi"/>
          <w:sz w:val="22"/>
          <w:szCs w:val="22"/>
          <w:lang w:val="es-ES"/>
        </w:rPr>
        <w:t xml:space="preserve">onferencia </w:t>
      </w:r>
      <w:r w:rsidR="00595DA7" w:rsidRPr="00A9407C">
        <w:rPr>
          <w:rFonts w:asciiTheme="minorBidi" w:hAnsiTheme="minorBidi" w:cstheme="minorBidi"/>
          <w:sz w:val="22"/>
          <w:szCs w:val="22"/>
          <w:lang w:val="es-ES"/>
        </w:rPr>
        <w:t>R</w:t>
      </w:r>
      <w:r w:rsidRPr="00A9407C">
        <w:rPr>
          <w:rFonts w:asciiTheme="minorBidi" w:hAnsiTheme="minorBidi" w:cstheme="minorBidi"/>
          <w:sz w:val="22"/>
          <w:szCs w:val="22"/>
          <w:lang w:val="es-ES"/>
        </w:rPr>
        <w:t>egional del Decenio del Océano de las Naciones Unidas en Bangkok, del 22 al 25 de abril de 2024;</w:t>
      </w:r>
      <w:r w:rsidR="00AD175D" w:rsidRPr="00A9407C">
        <w:rPr>
          <w:rFonts w:asciiTheme="minorBidi" w:hAnsiTheme="minorBidi" w:cstheme="minorBidi"/>
          <w:sz w:val="22"/>
          <w:szCs w:val="22"/>
          <w:lang w:val="es-ES"/>
        </w:rPr>
        <w:t xml:space="preserve"> y</w:t>
      </w:r>
    </w:p>
    <w:p w14:paraId="290BB6D8" w14:textId="0D0C754F" w:rsidR="00500176" w:rsidRPr="00A9407C" w:rsidRDefault="00500176" w:rsidP="008B1B6F">
      <w:pPr>
        <w:pStyle w:val="ListParagraph"/>
        <w:numPr>
          <w:ilvl w:val="0"/>
          <w:numId w:val="16"/>
        </w:numPr>
        <w:tabs>
          <w:tab w:val="clear" w:pos="567"/>
        </w:tabs>
        <w:spacing w:after="240"/>
        <w:ind w:left="1134" w:hanging="567"/>
        <w:contextualSpacing w:val="0"/>
        <w:jc w:val="both"/>
        <w:rPr>
          <w:rFonts w:asciiTheme="minorBidi" w:hAnsiTheme="minorBidi" w:cstheme="minorBidi"/>
          <w:sz w:val="22"/>
          <w:szCs w:val="22"/>
          <w:lang w:val="es-ES"/>
        </w:rPr>
      </w:pPr>
      <w:r w:rsidRPr="00A9407C">
        <w:rPr>
          <w:rFonts w:asciiTheme="minorBidi" w:hAnsiTheme="minorBidi" w:cstheme="minorBidi"/>
          <w:sz w:val="22"/>
          <w:szCs w:val="22"/>
          <w:lang w:val="es-ES"/>
        </w:rPr>
        <w:t>el Gobierno de la India por acoger la Conferencia Regional del Decenio para el Océano Índico en Hyderabad, del 1 al 3 de febrero de 2024;</w:t>
      </w:r>
    </w:p>
    <w:p w14:paraId="41724659" w14:textId="573A607D" w:rsidR="0050209F" w:rsidRPr="00A9407C" w:rsidRDefault="0050209F" w:rsidP="008B1B6F">
      <w:pPr>
        <w:pStyle w:val="ListParagraph"/>
        <w:keepNext/>
        <w:numPr>
          <w:ilvl w:val="0"/>
          <w:numId w:val="7"/>
        </w:numPr>
        <w:tabs>
          <w:tab w:val="clear" w:pos="567"/>
        </w:tabs>
        <w:spacing w:after="240"/>
        <w:ind w:left="567" w:hanging="567"/>
        <w:contextualSpacing w:val="0"/>
        <w:jc w:val="both"/>
        <w:rPr>
          <w:rFonts w:asciiTheme="minorBidi" w:hAnsiTheme="minorBidi" w:cstheme="minorBidi"/>
          <w:sz w:val="22"/>
          <w:szCs w:val="22"/>
          <w:lang w:val="es-ES"/>
        </w:rPr>
      </w:pPr>
      <w:r w:rsidRPr="00A9407C">
        <w:rPr>
          <w:rFonts w:asciiTheme="minorBidi" w:hAnsiTheme="minorBidi" w:cstheme="minorBidi"/>
          <w:b/>
          <w:bCs/>
          <w:sz w:val="22"/>
          <w:szCs w:val="22"/>
          <w:lang w:val="es-ES"/>
        </w:rPr>
        <w:t>Apoya</w:t>
      </w:r>
      <w:r w:rsidRPr="00A9407C">
        <w:rPr>
          <w:rFonts w:asciiTheme="minorBidi" w:hAnsiTheme="minorBidi" w:cstheme="minorBidi"/>
          <w:sz w:val="22"/>
          <w:szCs w:val="22"/>
          <w:lang w:val="es-ES"/>
        </w:rPr>
        <w:t xml:space="preserve"> la inscripción de nuevas acciones del Decenio </w:t>
      </w:r>
      <w:r w:rsidR="00C30FA4" w:rsidRPr="00A9407C">
        <w:rPr>
          <w:rFonts w:asciiTheme="minorBidi" w:hAnsiTheme="minorBidi" w:cstheme="minorBidi"/>
          <w:sz w:val="22"/>
          <w:szCs w:val="22"/>
          <w:lang w:val="es-ES"/>
        </w:rPr>
        <w:t>llevadas a cabo</w:t>
      </w:r>
      <w:r w:rsidRPr="00A9407C">
        <w:rPr>
          <w:rFonts w:asciiTheme="minorBidi" w:hAnsiTheme="minorBidi" w:cstheme="minorBidi"/>
          <w:sz w:val="22"/>
          <w:szCs w:val="22"/>
          <w:lang w:val="es-ES"/>
        </w:rPr>
        <w:t xml:space="preserve"> por la COI, a saber:</w:t>
      </w:r>
    </w:p>
    <w:p w14:paraId="0619CE9D" w14:textId="77777777" w:rsidR="00AD175D" w:rsidRPr="00A9407C" w:rsidRDefault="00AD175D" w:rsidP="008B1B6F">
      <w:pPr>
        <w:pStyle w:val="ListParagraph"/>
        <w:numPr>
          <w:ilvl w:val="0"/>
          <w:numId w:val="20"/>
        </w:numPr>
        <w:tabs>
          <w:tab w:val="clear" w:pos="567"/>
        </w:tabs>
        <w:spacing w:after="240"/>
        <w:ind w:left="1134" w:hanging="567"/>
        <w:contextualSpacing w:val="0"/>
        <w:jc w:val="both"/>
        <w:rPr>
          <w:rFonts w:asciiTheme="minorBidi" w:hAnsiTheme="minorBidi" w:cstheme="minorBidi"/>
          <w:sz w:val="22"/>
          <w:szCs w:val="22"/>
          <w:lang w:val="es-ES"/>
        </w:rPr>
      </w:pPr>
      <w:r w:rsidRPr="00A9407C">
        <w:rPr>
          <w:rFonts w:asciiTheme="minorBidi" w:hAnsiTheme="minorBidi" w:cstheme="minorBidi"/>
          <w:sz w:val="22"/>
          <w:szCs w:val="22"/>
          <w:lang w:val="es-ES"/>
        </w:rPr>
        <w:t>el programa de soluciones para las floraciones de algas nocivas;</w:t>
      </w:r>
    </w:p>
    <w:p w14:paraId="5801A1EB" w14:textId="0EB682D6" w:rsidR="00AC3463" w:rsidRPr="00A9407C" w:rsidRDefault="00B85B24" w:rsidP="008B1B6F">
      <w:pPr>
        <w:pStyle w:val="ListParagraph"/>
        <w:numPr>
          <w:ilvl w:val="0"/>
          <w:numId w:val="20"/>
        </w:numPr>
        <w:tabs>
          <w:tab w:val="clear" w:pos="567"/>
        </w:tabs>
        <w:spacing w:after="240"/>
        <w:ind w:left="1134" w:hanging="567"/>
        <w:contextualSpacing w:val="0"/>
        <w:jc w:val="both"/>
        <w:rPr>
          <w:rFonts w:asciiTheme="minorBidi" w:hAnsiTheme="minorBidi" w:cstheme="minorBidi"/>
          <w:sz w:val="22"/>
          <w:szCs w:val="22"/>
          <w:lang w:val="es-ES"/>
        </w:rPr>
      </w:pPr>
      <w:r w:rsidRPr="00A9407C">
        <w:rPr>
          <w:rFonts w:asciiTheme="minorBidi" w:hAnsiTheme="minorBidi" w:cstheme="minorBidi"/>
          <w:sz w:val="22"/>
          <w:szCs w:val="22"/>
          <w:lang w:val="es-ES"/>
        </w:rPr>
        <w:t>el programa del Decenio del Océano sobre la planificación sostenible del océano;</w:t>
      </w:r>
      <w:r w:rsidR="00996CB0" w:rsidRPr="00A9407C">
        <w:rPr>
          <w:rFonts w:asciiTheme="minorBidi" w:hAnsiTheme="minorBidi" w:cstheme="minorBidi"/>
          <w:sz w:val="22"/>
          <w:szCs w:val="22"/>
          <w:lang w:val="es-ES"/>
        </w:rPr>
        <w:t xml:space="preserve"> y</w:t>
      </w:r>
    </w:p>
    <w:p w14:paraId="51AD8930" w14:textId="101B7F4D" w:rsidR="00500176" w:rsidRPr="00A9407C" w:rsidRDefault="00B85B24" w:rsidP="008B1B6F">
      <w:pPr>
        <w:pStyle w:val="ListParagraph"/>
        <w:numPr>
          <w:ilvl w:val="0"/>
          <w:numId w:val="20"/>
        </w:numPr>
        <w:tabs>
          <w:tab w:val="clear" w:pos="567"/>
        </w:tabs>
        <w:spacing w:after="240"/>
        <w:ind w:left="1134" w:hanging="567"/>
        <w:contextualSpacing w:val="0"/>
        <w:jc w:val="both"/>
        <w:rPr>
          <w:rFonts w:asciiTheme="minorBidi" w:hAnsiTheme="minorBidi" w:cstheme="minorBidi"/>
          <w:sz w:val="22"/>
          <w:szCs w:val="22"/>
          <w:lang w:val="es-ES"/>
        </w:rPr>
      </w:pPr>
      <w:r w:rsidRPr="00A9407C">
        <w:rPr>
          <w:rFonts w:asciiTheme="minorBidi" w:hAnsiTheme="minorBidi" w:cstheme="minorBidi"/>
          <w:sz w:val="22"/>
          <w:szCs w:val="22"/>
          <w:lang w:val="es-ES"/>
        </w:rPr>
        <w:t xml:space="preserve">el programa SEAWARD del Decenio del Océano </w:t>
      </w:r>
      <w:r w:rsidR="00595DA7" w:rsidRPr="00A9407C">
        <w:rPr>
          <w:rFonts w:asciiTheme="minorBidi" w:hAnsiTheme="minorBidi" w:cstheme="minorBidi"/>
          <w:sz w:val="22"/>
          <w:szCs w:val="22"/>
          <w:lang w:val="es-ES"/>
        </w:rPr>
        <w:t>en</w:t>
      </w:r>
      <w:r w:rsidRPr="00A9407C">
        <w:rPr>
          <w:rFonts w:asciiTheme="minorBidi" w:hAnsiTheme="minorBidi" w:cstheme="minorBidi"/>
          <w:sz w:val="22"/>
          <w:szCs w:val="22"/>
          <w:lang w:val="es-ES"/>
        </w:rPr>
        <w:t xml:space="preserve"> África;</w:t>
      </w:r>
    </w:p>
    <w:p w14:paraId="64F35C99" w14:textId="58473446" w:rsidR="00CA6CC2" w:rsidRPr="00A9407C" w:rsidRDefault="00CA6CC2" w:rsidP="008B1B6F">
      <w:pPr>
        <w:pStyle w:val="ListParagraph"/>
        <w:numPr>
          <w:ilvl w:val="0"/>
          <w:numId w:val="7"/>
        </w:numPr>
        <w:tabs>
          <w:tab w:val="clear" w:pos="567"/>
        </w:tabs>
        <w:spacing w:after="240"/>
        <w:ind w:left="567" w:hanging="567"/>
        <w:contextualSpacing w:val="0"/>
        <w:jc w:val="both"/>
        <w:rPr>
          <w:rFonts w:asciiTheme="minorBidi" w:hAnsiTheme="minorBidi" w:cstheme="minorBidi"/>
          <w:b/>
          <w:bCs/>
          <w:iCs/>
          <w:color w:val="000000"/>
          <w:sz w:val="22"/>
          <w:szCs w:val="22"/>
          <w:lang w:val="es-ES"/>
        </w:rPr>
      </w:pPr>
      <w:r w:rsidRPr="00A9407C">
        <w:rPr>
          <w:rFonts w:asciiTheme="minorBidi" w:hAnsiTheme="minorBidi" w:cstheme="minorBidi"/>
          <w:b/>
          <w:bCs/>
          <w:sz w:val="22"/>
          <w:szCs w:val="22"/>
          <w:lang w:val="es-ES"/>
        </w:rPr>
        <w:t>Apoya</w:t>
      </w:r>
      <w:r w:rsidR="00BE24A9" w:rsidRPr="00A9407C">
        <w:rPr>
          <w:rFonts w:asciiTheme="minorBidi" w:hAnsiTheme="minorBidi" w:cstheme="minorBidi"/>
          <w:b/>
          <w:bCs/>
          <w:sz w:val="22"/>
          <w:szCs w:val="22"/>
          <w:lang w:val="es-ES"/>
        </w:rPr>
        <w:t xml:space="preserve"> también</w:t>
      </w:r>
      <w:r w:rsidRPr="00A9407C">
        <w:rPr>
          <w:rFonts w:asciiTheme="minorBidi" w:hAnsiTheme="minorBidi" w:cstheme="minorBidi"/>
          <w:sz w:val="22"/>
          <w:szCs w:val="22"/>
          <w:lang w:val="es-ES"/>
        </w:rPr>
        <w:t xml:space="preserve"> la función activa de</w:t>
      </w:r>
      <w:r w:rsidR="00C30FA4" w:rsidRPr="00A9407C">
        <w:rPr>
          <w:rFonts w:asciiTheme="minorBidi" w:hAnsiTheme="minorBidi" w:cstheme="minorBidi"/>
          <w:sz w:val="22"/>
          <w:szCs w:val="22"/>
          <w:lang w:val="es-ES"/>
        </w:rPr>
        <w:t>sempeñada por</w:t>
      </w:r>
      <w:r w:rsidRPr="00A9407C">
        <w:rPr>
          <w:rFonts w:asciiTheme="minorBidi" w:hAnsiTheme="minorBidi" w:cstheme="minorBidi"/>
          <w:sz w:val="22"/>
          <w:szCs w:val="22"/>
          <w:lang w:val="es-ES"/>
        </w:rPr>
        <w:t xml:space="preserve"> los órganos subsidiarios regionales y técnicos y los programas de la COI </w:t>
      </w:r>
      <w:r w:rsidR="00C30FA4" w:rsidRPr="00A9407C">
        <w:rPr>
          <w:rFonts w:asciiTheme="minorBidi" w:hAnsiTheme="minorBidi" w:cstheme="minorBidi"/>
          <w:sz w:val="22"/>
          <w:szCs w:val="22"/>
          <w:lang w:val="es-ES"/>
        </w:rPr>
        <w:t>para</w:t>
      </w:r>
      <w:r w:rsidRPr="00A9407C">
        <w:rPr>
          <w:rFonts w:asciiTheme="minorBidi" w:hAnsiTheme="minorBidi" w:cstheme="minorBidi"/>
          <w:sz w:val="22"/>
          <w:szCs w:val="22"/>
          <w:lang w:val="es-ES"/>
        </w:rPr>
        <w:t xml:space="preserve"> facilitar la coordinación regional y temática del Decenio y las actividades de movilización, en particular:</w:t>
      </w:r>
    </w:p>
    <w:p w14:paraId="67343511" w14:textId="5D3225AE" w:rsidR="00CA6CC2" w:rsidRPr="00A9407C" w:rsidRDefault="00CA6CC2" w:rsidP="008B1B6F">
      <w:pPr>
        <w:pStyle w:val="ListParagraph"/>
        <w:numPr>
          <w:ilvl w:val="0"/>
          <w:numId w:val="15"/>
        </w:numPr>
        <w:tabs>
          <w:tab w:val="clear" w:pos="567"/>
        </w:tabs>
        <w:spacing w:after="240"/>
        <w:ind w:left="1134" w:hanging="567"/>
        <w:contextualSpacing w:val="0"/>
        <w:jc w:val="both"/>
        <w:rPr>
          <w:rFonts w:asciiTheme="minorBidi" w:eastAsia="MS Mincho" w:hAnsiTheme="minorBidi" w:cstheme="minorBidi"/>
          <w:sz w:val="22"/>
          <w:szCs w:val="22"/>
          <w:lang w:val="es-ES"/>
        </w:rPr>
      </w:pPr>
      <w:r w:rsidRPr="00A9407C">
        <w:rPr>
          <w:rFonts w:asciiTheme="minorBidi" w:hAnsiTheme="minorBidi" w:cstheme="minorBidi"/>
          <w:sz w:val="22"/>
          <w:szCs w:val="22"/>
          <w:lang w:val="es-ES"/>
        </w:rPr>
        <w:t>la Secretaría de la Subcomisión de la COI para el Pacífico Occidental (WESTPAC)</w:t>
      </w:r>
      <w:r w:rsidR="00C30FA4" w:rsidRPr="00A9407C">
        <w:rPr>
          <w:rFonts w:asciiTheme="minorBidi" w:hAnsiTheme="minorBidi" w:cstheme="minorBidi"/>
          <w:sz w:val="22"/>
          <w:szCs w:val="22"/>
          <w:lang w:val="es-ES"/>
        </w:rPr>
        <w:t>,</w:t>
      </w:r>
      <w:r w:rsidRPr="00A9407C">
        <w:rPr>
          <w:rFonts w:asciiTheme="minorBidi" w:hAnsiTheme="minorBidi" w:cstheme="minorBidi"/>
          <w:sz w:val="22"/>
          <w:szCs w:val="22"/>
          <w:lang w:val="es-ES"/>
        </w:rPr>
        <w:t xml:space="preserve"> que actúa como oficina de coordinación del Decenio para la región del Pacífico Occidental;</w:t>
      </w:r>
    </w:p>
    <w:p w14:paraId="58E4C50F" w14:textId="67DC59C7" w:rsidR="00CA6CC2" w:rsidRPr="00A9407C" w:rsidRDefault="00CA6CC2" w:rsidP="008B1B6F">
      <w:pPr>
        <w:pStyle w:val="ListParagraph"/>
        <w:numPr>
          <w:ilvl w:val="0"/>
          <w:numId w:val="15"/>
        </w:numPr>
        <w:tabs>
          <w:tab w:val="clear" w:pos="567"/>
        </w:tabs>
        <w:spacing w:after="240"/>
        <w:ind w:left="1134" w:hanging="567"/>
        <w:contextualSpacing w:val="0"/>
        <w:jc w:val="both"/>
        <w:rPr>
          <w:rFonts w:asciiTheme="minorBidi" w:eastAsia="MS Mincho" w:hAnsiTheme="minorBidi" w:cstheme="minorBidi"/>
          <w:sz w:val="22"/>
          <w:szCs w:val="22"/>
          <w:lang w:val="es-ES"/>
        </w:rPr>
      </w:pPr>
      <w:r w:rsidRPr="00A9407C">
        <w:rPr>
          <w:rFonts w:asciiTheme="minorBidi" w:hAnsiTheme="minorBidi" w:cstheme="minorBidi"/>
          <w:sz w:val="22"/>
          <w:szCs w:val="22"/>
          <w:lang w:val="es-ES"/>
        </w:rPr>
        <w:t>la Secretaría de la Subcomisión de la COI para el Caribe y Regiones Adyacentes (IOCARIBE)</w:t>
      </w:r>
      <w:r w:rsidR="00C30FA4" w:rsidRPr="00A9407C">
        <w:rPr>
          <w:rFonts w:asciiTheme="minorBidi" w:hAnsiTheme="minorBidi" w:cstheme="minorBidi"/>
          <w:sz w:val="22"/>
          <w:szCs w:val="22"/>
          <w:lang w:val="es-ES"/>
        </w:rPr>
        <w:t>,</w:t>
      </w:r>
      <w:r w:rsidRPr="00A9407C">
        <w:rPr>
          <w:rFonts w:asciiTheme="minorBidi" w:hAnsiTheme="minorBidi" w:cstheme="minorBidi"/>
          <w:sz w:val="22"/>
          <w:szCs w:val="22"/>
          <w:lang w:val="es-ES"/>
        </w:rPr>
        <w:t xml:space="preserve"> que actúa como oficina de coordinación del Decenio para la región de América Tropical y el Caribe;</w:t>
      </w:r>
    </w:p>
    <w:p w14:paraId="5B68C244" w14:textId="0B6D1D3C" w:rsidR="00CA6CC2" w:rsidRPr="00A9407C" w:rsidRDefault="00CA6CC2" w:rsidP="008B1B6F">
      <w:pPr>
        <w:pStyle w:val="ListParagraph"/>
        <w:numPr>
          <w:ilvl w:val="0"/>
          <w:numId w:val="15"/>
        </w:numPr>
        <w:tabs>
          <w:tab w:val="clear" w:pos="567"/>
        </w:tabs>
        <w:spacing w:after="240"/>
        <w:ind w:left="1134" w:hanging="567"/>
        <w:contextualSpacing w:val="0"/>
        <w:jc w:val="both"/>
        <w:rPr>
          <w:rFonts w:asciiTheme="minorBidi" w:eastAsia="MS Mincho" w:hAnsiTheme="minorBidi" w:cstheme="minorBidi"/>
          <w:sz w:val="22"/>
          <w:szCs w:val="22"/>
          <w:lang w:val="es-ES"/>
        </w:rPr>
      </w:pPr>
      <w:r w:rsidRPr="00A9407C">
        <w:rPr>
          <w:rFonts w:asciiTheme="minorBidi" w:hAnsiTheme="minorBidi" w:cstheme="minorBidi"/>
          <w:sz w:val="22"/>
          <w:szCs w:val="22"/>
          <w:lang w:val="es-ES"/>
        </w:rPr>
        <w:lastRenderedPageBreak/>
        <w:t>la Secretaría de la Subcomisión de la COI para África y Estados Insulares Adyacentes (IOCAFRICA)</w:t>
      </w:r>
      <w:r w:rsidR="00C30FA4" w:rsidRPr="00A9407C">
        <w:rPr>
          <w:rFonts w:asciiTheme="minorBidi" w:hAnsiTheme="minorBidi" w:cstheme="minorBidi"/>
          <w:sz w:val="22"/>
          <w:szCs w:val="22"/>
          <w:lang w:val="es-ES"/>
        </w:rPr>
        <w:t>,</w:t>
      </w:r>
      <w:r w:rsidRPr="00A9407C">
        <w:rPr>
          <w:rFonts w:asciiTheme="minorBidi" w:hAnsiTheme="minorBidi" w:cstheme="minorBidi"/>
          <w:sz w:val="22"/>
          <w:szCs w:val="22"/>
          <w:lang w:val="es-ES"/>
        </w:rPr>
        <w:t xml:space="preserve"> que actúa como oficina de coordinación del Decenio para África;</w:t>
      </w:r>
    </w:p>
    <w:p w14:paraId="5CF1812B" w14:textId="6AE8F1D2" w:rsidR="00CA6CC2" w:rsidRPr="00A9407C" w:rsidRDefault="00CA6CC2" w:rsidP="008B1B6F">
      <w:pPr>
        <w:pStyle w:val="ListParagraph"/>
        <w:numPr>
          <w:ilvl w:val="0"/>
          <w:numId w:val="15"/>
        </w:numPr>
        <w:tabs>
          <w:tab w:val="clear" w:pos="567"/>
        </w:tabs>
        <w:spacing w:after="240"/>
        <w:ind w:left="1134" w:hanging="567"/>
        <w:contextualSpacing w:val="0"/>
        <w:jc w:val="both"/>
        <w:rPr>
          <w:rFonts w:asciiTheme="minorBidi" w:hAnsiTheme="minorBidi" w:cstheme="minorBidi"/>
          <w:sz w:val="22"/>
          <w:szCs w:val="22"/>
          <w:lang w:val="es-ES"/>
        </w:rPr>
      </w:pPr>
      <w:r w:rsidRPr="00A9407C">
        <w:rPr>
          <w:rFonts w:asciiTheme="minorBidi" w:hAnsiTheme="minorBidi" w:cstheme="minorBidi"/>
          <w:sz w:val="22"/>
          <w:szCs w:val="22"/>
          <w:lang w:val="es-ES"/>
        </w:rPr>
        <w:t>la Oficina del</w:t>
      </w:r>
      <w:r w:rsidR="00595DA7" w:rsidRPr="00A9407C">
        <w:rPr>
          <w:rFonts w:asciiTheme="minorBidi" w:hAnsiTheme="minorBidi" w:cstheme="minorBidi"/>
          <w:sz w:val="22"/>
          <w:szCs w:val="22"/>
          <w:lang w:val="es-ES"/>
        </w:rPr>
        <w:t xml:space="preserve"> programa</w:t>
      </w:r>
      <w:r w:rsidRPr="00A9407C">
        <w:rPr>
          <w:rFonts w:asciiTheme="minorBidi" w:hAnsiTheme="minorBidi" w:cstheme="minorBidi"/>
          <w:sz w:val="22"/>
          <w:szCs w:val="22"/>
          <w:lang w:val="es-ES"/>
        </w:rPr>
        <w:t xml:space="preserve"> IODE, que actúa como oficina de coordinación del Decenio para el intercambio de datos oceanográficos; </w:t>
      </w:r>
    </w:p>
    <w:p w14:paraId="37F53FFD" w14:textId="4F463174" w:rsidR="00CA6CC2" w:rsidRPr="00A9407C" w:rsidRDefault="00CA6CC2" w:rsidP="008B1B6F">
      <w:pPr>
        <w:pStyle w:val="ListParagraph"/>
        <w:numPr>
          <w:ilvl w:val="0"/>
          <w:numId w:val="15"/>
        </w:numPr>
        <w:tabs>
          <w:tab w:val="clear" w:pos="567"/>
        </w:tabs>
        <w:spacing w:after="240"/>
        <w:ind w:left="1134" w:hanging="567"/>
        <w:contextualSpacing w:val="0"/>
        <w:jc w:val="both"/>
        <w:rPr>
          <w:rFonts w:asciiTheme="minorBidi" w:hAnsiTheme="minorBidi" w:cstheme="minorBidi"/>
          <w:b/>
          <w:bCs/>
          <w:iCs/>
          <w:color w:val="000000"/>
          <w:sz w:val="22"/>
          <w:szCs w:val="22"/>
          <w:lang w:val="es-ES"/>
        </w:rPr>
      </w:pPr>
      <w:r w:rsidRPr="00A9407C">
        <w:rPr>
          <w:rFonts w:asciiTheme="minorBidi" w:hAnsiTheme="minorBidi" w:cstheme="minorBidi"/>
          <w:sz w:val="22"/>
          <w:szCs w:val="22"/>
          <w:lang w:val="es-ES"/>
        </w:rPr>
        <w:t>la Oficina de Proyectos del GOOS, que actúa como oficina de coordinación del Decenio para las observaciones oceánicas;</w:t>
      </w:r>
      <w:r w:rsidR="00996CB0" w:rsidRPr="00A9407C">
        <w:rPr>
          <w:rFonts w:asciiTheme="minorBidi" w:hAnsiTheme="minorBidi" w:cstheme="minorBidi"/>
          <w:sz w:val="22"/>
          <w:szCs w:val="22"/>
          <w:lang w:val="es-ES"/>
        </w:rPr>
        <w:t xml:space="preserve"> y</w:t>
      </w:r>
    </w:p>
    <w:p w14:paraId="56A49FEE" w14:textId="6A9E8306" w:rsidR="00B85B24" w:rsidRPr="00A9407C" w:rsidRDefault="00500176" w:rsidP="008B1B6F">
      <w:pPr>
        <w:pStyle w:val="ListParagraph"/>
        <w:numPr>
          <w:ilvl w:val="0"/>
          <w:numId w:val="15"/>
        </w:numPr>
        <w:tabs>
          <w:tab w:val="clear" w:pos="567"/>
        </w:tabs>
        <w:spacing w:after="240"/>
        <w:ind w:left="1134" w:hanging="567"/>
        <w:contextualSpacing w:val="0"/>
        <w:jc w:val="both"/>
        <w:rPr>
          <w:rFonts w:asciiTheme="minorBidi" w:hAnsiTheme="minorBidi" w:cstheme="minorBidi"/>
          <w:iCs/>
          <w:color w:val="000000" w:themeColor="text1"/>
          <w:sz w:val="22"/>
          <w:szCs w:val="22"/>
          <w:lang w:val="es-ES"/>
        </w:rPr>
      </w:pPr>
      <w:r w:rsidRPr="00A9407C">
        <w:rPr>
          <w:rFonts w:asciiTheme="minorBidi" w:hAnsiTheme="minorBidi" w:cstheme="minorBidi"/>
          <w:sz w:val="22"/>
          <w:szCs w:val="22"/>
          <w:lang w:val="es-ES"/>
        </w:rPr>
        <w:t xml:space="preserve">la Oficina Regional de Ciencia y Cultura de la UNESCO para Europa, que actúa como oficina de coordinación del </w:t>
      </w:r>
      <w:r w:rsidR="00C30FA4" w:rsidRPr="00A9407C">
        <w:rPr>
          <w:rFonts w:asciiTheme="minorBidi" w:hAnsiTheme="minorBidi" w:cstheme="minorBidi"/>
          <w:sz w:val="22"/>
          <w:szCs w:val="22"/>
          <w:lang w:val="es-ES"/>
        </w:rPr>
        <w:t>Decenio para</w:t>
      </w:r>
      <w:r w:rsidRPr="00A9407C">
        <w:rPr>
          <w:rFonts w:asciiTheme="minorBidi" w:hAnsiTheme="minorBidi" w:cstheme="minorBidi"/>
          <w:sz w:val="22"/>
          <w:szCs w:val="22"/>
          <w:lang w:val="es-ES"/>
        </w:rPr>
        <w:t xml:space="preserve"> el acercamiento entre las personas y el océano;</w:t>
      </w:r>
    </w:p>
    <w:p w14:paraId="04985132" w14:textId="323D46E8" w:rsidR="00CA6CC2" w:rsidRPr="00A9407C" w:rsidRDefault="00CA6CC2" w:rsidP="008B1B6F">
      <w:pPr>
        <w:pStyle w:val="ListParagraph"/>
        <w:numPr>
          <w:ilvl w:val="0"/>
          <w:numId w:val="7"/>
        </w:numPr>
        <w:tabs>
          <w:tab w:val="clear" w:pos="567"/>
        </w:tabs>
        <w:spacing w:after="240"/>
        <w:ind w:left="567" w:hanging="567"/>
        <w:contextualSpacing w:val="0"/>
        <w:jc w:val="both"/>
        <w:rPr>
          <w:rFonts w:asciiTheme="minorBidi" w:eastAsia="MS Mincho" w:hAnsiTheme="minorBidi" w:cstheme="minorBidi"/>
          <w:b/>
          <w:bCs/>
          <w:sz w:val="22"/>
          <w:szCs w:val="22"/>
          <w:lang w:val="es-ES"/>
        </w:rPr>
      </w:pPr>
      <w:r w:rsidRPr="00A9407C">
        <w:rPr>
          <w:rFonts w:asciiTheme="minorBidi" w:hAnsiTheme="minorBidi" w:cstheme="minorBidi"/>
          <w:b/>
          <w:bCs/>
          <w:sz w:val="22"/>
          <w:szCs w:val="22"/>
          <w:lang w:val="es-ES"/>
        </w:rPr>
        <w:t>Toma nota además</w:t>
      </w:r>
      <w:r w:rsidRPr="00A9407C">
        <w:rPr>
          <w:rFonts w:asciiTheme="minorBidi" w:hAnsiTheme="minorBidi" w:cstheme="minorBidi"/>
          <w:sz w:val="22"/>
          <w:szCs w:val="22"/>
          <w:lang w:val="es-ES"/>
        </w:rPr>
        <w:t xml:space="preserve"> de las necesidades de recursos definidas por la Unidad de Coordinación del Decenio, las oficina</w:t>
      </w:r>
      <w:r w:rsidR="00BE24A9" w:rsidRPr="00A9407C">
        <w:rPr>
          <w:rFonts w:asciiTheme="minorBidi" w:hAnsiTheme="minorBidi" w:cstheme="minorBidi"/>
          <w:sz w:val="22"/>
          <w:szCs w:val="22"/>
          <w:lang w:val="es-ES"/>
        </w:rPr>
        <w:t>s</w:t>
      </w:r>
      <w:r w:rsidRPr="00A9407C">
        <w:rPr>
          <w:rFonts w:asciiTheme="minorBidi" w:hAnsiTheme="minorBidi" w:cstheme="minorBidi"/>
          <w:sz w:val="22"/>
          <w:szCs w:val="22"/>
          <w:lang w:val="es-ES"/>
        </w:rPr>
        <w:t xml:space="preserve"> de coordinación del Decenio </w:t>
      </w:r>
      <w:r w:rsidR="00DD2617" w:rsidRPr="00A9407C">
        <w:rPr>
          <w:rFonts w:asciiTheme="minorBidi" w:hAnsiTheme="minorBidi" w:cstheme="minorBidi"/>
          <w:sz w:val="22"/>
          <w:szCs w:val="22"/>
          <w:lang w:val="es-ES"/>
        </w:rPr>
        <w:t>dirigi</w:t>
      </w:r>
      <w:r w:rsidRPr="00A9407C">
        <w:rPr>
          <w:rFonts w:asciiTheme="minorBidi" w:hAnsiTheme="minorBidi" w:cstheme="minorBidi"/>
          <w:sz w:val="22"/>
          <w:szCs w:val="22"/>
          <w:lang w:val="es-ES"/>
        </w:rPr>
        <w:t xml:space="preserve">das por la COI y las acciones del Decenio </w:t>
      </w:r>
      <w:r w:rsidR="00DD2617" w:rsidRPr="00A9407C">
        <w:rPr>
          <w:rFonts w:asciiTheme="minorBidi" w:hAnsiTheme="minorBidi" w:cstheme="minorBidi"/>
          <w:sz w:val="22"/>
          <w:szCs w:val="22"/>
          <w:lang w:val="es-ES"/>
        </w:rPr>
        <w:t>llevadas a cabo</w:t>
      </w:r>
      <w:r w:rsidRPr="00A9407C">
        <w:rPr>
          <w:rFonts w:asciiTheme="minorBidi" w:hAnsiTheme="minorBidi" w:cstheme="minorBidi"/>
          <w:sz w:val="22"/>
          <w:szCs w:val="22"/>
          <w:lang w:val="es-ES"/>
        </w:rPr>
        <w:t xml:space="preserve"> por la COI para cumplir sus compromisos en el marco del Decenio; </w:t>
      </w:r>
    </w:p>
    <w:p w14:paraId="626F9592" w14:textId="7794FFFF" w:rsidR="00CA6CC2" w:rsidRPr="00A9407C" w:rsidRDefault="00CA6CC2" w:rsidP="008B1B6F">
      <w:pPr>
        <w:pStyle w:val="ListParagraph"/>
        <w:numPr>
          <w:ilvl w:val="0"/>
          <w:numId w:val="7"/>
        </w:numPr>
        <w:tabs>
          <w:tab w:val="clear" w:pos="567"/>
        </w:tabs>
        <w:spacing w:after="240"/>
        <w:ind w:left="567" w:hanging="567"/>
        <w:contextualSpacing w:val="0"/>
        <w:jc w:val="both"/>
        <w:rPr>
          <w:rFonts w:asciiTheme="minorBidi" w:hAnsiTheme="minorBidi" w:cstheme="minorBidi"/>
          <w:b/>
          <w:bCs/>
          <w:iCs/>
          <w:color w:val="000000"/>
          <w:sz w:val="22"/>
          <w:szCs w:val="22"/>
          <w:lang w:val="es-ES"/>
        </w:rPr>
      </w:pPr>
      <w:r w:rsidRPr="00A9407C">
        <w:rPr>
          <w:rFonts w:asciiTheme="minorBidi" w:hAnsiTheme="minorBidi" w:cstheme="minorBidi"/>
          <w:b/>
          <w:bCs/>
          <w:sz w:val="22"/>
          <w:szCs w:val="22"/>
          <w:lang w:val="es-ES"/>
        </w:rPr>
        <w:t>Invita</w:t>
      </w:r>
      <w:r w:rsidRPr="00A9407C">
        <w:rPr>
          <w:rFonts w:asciiTheme="minorBidi" w:hAnsiTheme="minorBidi" w:cstheme="minorBidi"/>
          <w:sz w:val="22"/>
          <w:szCs w:val="22"/>
          <w:lang w:val="es-ES"/>
        </w:rPr>
        <w:t xml:space="preserve"> a los Estados Miembros, los asociados y las organizaciones donantes a que apoyen las acciones del Decenio</w:t>
      </w:r>
      <w:r w:rsidR="00DD2617" w:rsidRPr="00A9407C">
        <w:rPr>
          <w:rFonts w:asciiTheme="minorBidi" w:hAnsiTheme="minorBidi" w:cstheme="minorBidi"/>
          <w:sz w:val="22"/>
          <w:szCs w:val="22"/>
          <w:lang w:val="es-ES"/>
        </w:rPr>
        <w:t xml:space="preserve"> llevadas a cabo por la COI</w:t>
      </w:r>
      <w:r w:rsidRPr="00A9407C">
        <w:rPr>
          <w:rFonts w:asciiTheme="minorBidi" w:hAnsiTheme="minorBidi" w:cstheme="minorBidi"/>
          <w:sz w:val="22"/>
          <w:szCs w:val="22"/>
          <w:lang w:val="es-ES"/>
        </w:rPr>
        <w:t xml:space="preserve"> y los mecanismos de coordinación del Decenio, en particular mediante la asignación de recursos extrapresupuestarios a los programas y regiones pertinentes de la COI, con el fin de alcanzar sus ambiciones transformadoras, orientar a sus respectivas comunidades y cataliza</w:t>
      </w:r>
      <w:r w:rsidR="00996CB0" w:rsidRPr="00A9407C">
        <w:rPr>
          <w:rFonts w:asciiTheme="minorBidi" w:hAnsiTheme="minorBidi" w:cstheme="minorBidi"/>
          <w:sz w:val="22"/>
          <w:szCs w:val="22"/>
          <w:lang w:val="es-ES"/>
        </w:rPr>
        <w:t>r</w:t>
      </w:r>
      <w:r w:rsidRPr="00A9407C">
        <w:rPr>
          <w:rFonts w:asciiTheme="minorBidi" w:hAnsiTheme="minorBidi" w:cstheme="minorBidi"/>
          <w:sz w:val="22"/>
          <w:szCs w:val="22"/>
          <w:lang w:val="es-ES"/>
        </w:rPr>
        <w:t xml:space="preserve"> otras acciones durante el Decenio y después de él.</w:t>
      </w:r>
    </w:p>
    <w:p w14:paraId="6DC9FAE5" w14:textId="77777777" w:rsidR="004B1009" w:rsidRPr="00A9407C" w:rsidRDefault="004B1009" w:rsidP="008B1B6F">
      <w:pPr>
        <w:pStyle w:val="COI"/>
        <w:ind w:left="0" w:firstLine="0"/>
        <w:rPr>
          <w:rFonts w:asciiTheme="minorBidi" w:hAnsiTheme="minorBidi" w:cstheme="minorBidi"/>
          <w:sz w:val="22"/>
          <w:szCs w:val="22"/>
          <w:lang w:val="es-ES"/>
        </w:rPr>
      </w:pPr>
      <w:r w:rsidRPr="00A9407C">
        <w:rPr>
          <w:rFonts w:asciiTheme="minorBidi" w:hAnsiTheme="minorBidi" w:cstheme="minorBidi"/>
          <w:sz w:val="22"/>
          <w:szCs w:val="22"/>
          <w:lang w:val="es-ES"/>
        </w:rPr>
        <w:t>----------------------------</w:t>
      </w:r>
    </w:p>
    <w:p w14:paraId="78AB22DE" w14:textId="0193B68E" w:rsidR="004B1009" w:rsidRPr="00A9407C" w:rsidRDefault="004B1009" w:rsidP="008B1B6F">
      <w:pPr>
        <w:pStyle w:val="COI"/>
        <w:ind w:left="0" w:firstLine="0"/>
        <w:rPr>
          <w:rFonts w:asciiTheme="minorBidi" w:hAnsiTheme="minorBidi" w:cstheme="minorBidi"/>
          <w:sz w:val="22"/>
          <w:szCs w:val="22"/>
          <w:lang w:val="es-ES"/>
        </w:rPr>
      </w:pPr>
      <w:r w:rsidRPr="00A9407C">
        <w:rPr>
          <w:rFonts w:asciiTheme="minorBidi" w:hAnsiTheme="minorBidi" w:cstheme="minorBidi"/>
          <w:sz w:val="22"/>
          <w:szCs w:val="22"/>
          <w:lang w:val="es-ES"/>
        </w:rPr>
        <w:t>Repercusiones financieras: previstas en el</w:t>
      </w:r>
      <w:r w:rsidR="00DD2617" w:rsidRPr="00A9407C">
        <w:rPr>
          <w:rFonts w:asciiTheme="minorBidi" w:hAnsiTheme="minorBidi" w:cstheme="minorBidi"/>
          <w:sz w:val="22"/>
          <w:szCs w:val="22"/>
          <w:lang w:val="es-ES"/>
        </w:rPr>
        <w:t xml:space="preserve"> marco del</w:t>
      </w:r>
      <w:r w:rsidRPr="00A9407C">
        <w:rPr>
          <w:rFonts w:asciiTheme="minorBidi" w:hAnsiTheme="minorBidi" w:cstheme="minorBidi"/>
          <w:sz w:val="22"/>
          <w:szCs w:val="22"/>
          <w:lang w:val="es-ES"/>
        </w:rPr>
        <w:t xml:space="preserve"> Programa y Presupuesto Aprobados para 2024-2025.</w:t>
      </w:r>
    </w:p>
    <w:sectPr w:rsidR="004B1009" w:rsidRPr="00A9407C" w:rsidSect="00CD7135">
      <w:headerReference w:type="even" r:id="rId8"/>
      <w:headerReference w:type="default" r:id="rId9"/>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F85D1" w14:textId="77777777" w:rsidR="00E64DC9" w:rsidRDefault="00E64DC9" w:rsidP="0073078E">
      <w:r>
        <w:separator/>
      </w:r>
    </w:p>
  </w:endnote>
  <w:endnote w:type="continuationSeparator" w:id="0">
    <w:p w14:paraId="3A84A490" w14:textId="77777777" w:rsidR="00E64DC9" w:rsidRDefault="00E64DC9" w:rsidP="0073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F76FE" w14:textId="77777777" w:rsidR="00E64DC9" w:rsidRDefault="00E64DC9" w:rsidP="0073078E">
      <w:r>
        <w:separator/>
      </w:r>
    </w:p>
  </w:footnote>
  <w:footnote w:type="continuationSeparator" w:id="0">
    <w:p w14:paraId="28AA5F54" w14:textId="77777777" w:rsidR="00E64DC9" w:rsidRDefault="00E64DC9" w:rsidP="0073078E">
      <w:r>
        <w:continuationSeparator/>
      </w:r>
    </w:p>
  </w:footnote>
  <w:footnote w:id="1">
    <w:p w14:paraId="183AE696" w14:textId="31C369BE" w:rsidR="00986307" w:rsidRPr="008B1B6F" w:rsidRDefault="00986307">
      <w:pPr>
        <w:pStyle w:val="FootnoteText"/>
        <w:rPr>
          <w:rFonts w:asciiTheme="minorBidi" w:hAnsiTheme="minorBidi" w:cstheme="minorBidi"/>
          <w:sz w:val="18"/>
          <w:szCs w:val="18"/>
          <w:lang w:val="en-US"/>
        </w:rPr>
      </w:pPr>
      <w:r w:rsidRPr="008B1B6F">
        <w:rPr>
          <w:rStyle w:val="FootnoteReference"/>
          <w:rFonts w:asciiTheme="minorBidi" w:hAnsiTheme="minorBidi" w:cstheme="minorBidi"/>
          <w:sz w:val="18"/>
          <w:szCs w:val="18"/>
        </w:rPr>
        <w:footnoteRef/>
      </w:r>
      <w:r w:rsidRPr="008B1B6F">
        <w:rPr>
          <w:rFonts w:asciiTheme="minorBidi" w:hAnsiTheme="minorBidi" w:cstheme="minorBidi"/>
          <w:sz w:val="18"/>
          <w:szCs w:val="18"/>
        </w:rPr>
        <w:t xml:space="preserve"> </w:t>
      </w:r>
      <w:r w:rsidR="008B1B6F" w:rsidRPr="008B1B6F">
        <w:rPr>
          <w:rFonts w:asciiTheme="minorBidi" w:hAnsiTheme="minorBidi" w:cstheme="minorBidi"/>
          <w:sz w:val="18"/>
          <w:szCs w:val="18"/>
        </w:rPr>
        <w:tab/>
      </w:r>
      <w:hyperlink r:id="rId1" w:history="1">
        <w:r w:rsidR="008B1B6F" w:rsidRPr="008B1B6F">
          <w:rPr>
            <w:rStyle w:val="Hyperlink"/>
            <w:rFonts w:asciiTheme="minorBidi" w:hAnsiTheme="minorBidi" w:cstheme="minorBidi"/>
            <w:sz w:val="18"/>
            <w:szCs w:val="18"/>
          </w:rPr>
          <w:t>https://oceanexpert.org/document/34098</w:t>
        </w:r>
      </w:hyperlink>
      <w:r w:rsidR="008B1B6F">
        <w:rPr>
          <w:rFonts w:asciiTheme="minorBidi" w:hAnsiTheme="minorBidi" w:cstheme="min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EBBE6" w14:textId="4046E7AC" w:rsidR="0073078E" w:rsidRPr="001C6E92" w:rsidRDefault="00CA6CC2" w:rsidP="00CD7135">
    <w:pPr>
      <w:pStyle w:val="Header"/>
      <w:rPr>
        <w:rFonts w:asciiTheme="minorBidi" w:hAnsiTheme="minorBidi" w:cstheme="minorBidi"/>
        <w:sz w:val="22"/>
        <w:szCs w:val="22"/>
        <w:lang w:val="es-ES"/>
      </w:rPr>
    </w:pPr>
    <w:r w:rsidRPr="001C6E92">
      <w:rPr>
        <w:rFonts w:asciiTheme="minorBidi" w:hAnsiTheme="minorBidi" w:cstheme="minorBidi"/>
        <w:sz w:val="22"/>
        <w:szCs w:val="22"/>
        <w:lang w:val="es-ES"/>
      </w:rPr>
      <w:t>EC-57/DR.[4.7]</w:t>
    </w:r>
    <w:r w:rsidR="00996CB0">
      <w:rPr>
        <w:rFonts w:asciiTheme="minorBidi" w:hAnsiTheme="minorBidi" w:cstheme="minorBidi"/>
        <w:sz w:val="22"/>
        <w:szCs w:val="22"/>
        <w:lang w:val="es-ES"/>
      </w:rPr>
      <w:t xml:space="preserve"> Rev.2</w:t>
    </w:r>
    <w:r w:rsidR="008B1B6F">
      <w:rPr>
        <w:rFonts w:asciiTheme="minorBidi" w:hAnsiTheme="minorBidi" w:cstheme="minorBidi"/>
        <w:sz w:val="22"/>
        <w:szCs w:val="22"/>
        <w:lang w:val="es-ES"/>
      </w:rPr>
      <w:t xml:space="preserve"> – </w:t>
    </w:r>
    <w:r w:rsidR="001C6E92" w:rsidRPr="001C6E92">
      <w:rPr>
        <w:rFonts w:asciiTheme="minorBidi" w:hAnsiTheme="minorBidi" w:cstheme="minorBidi"/>
        <w:sz w:val="22"/>
        <w:szCs w:val="22"/>
        <w:lang w:val="es-ES"/>
      </w:rPr>
      <w:t>pág.</w:t>
    </w:r>
    <w:r w:rsidR="0073078E" w:rsidRPr="001C6E92">
      <w:rPr>
        <w:rFonts w:asciiTheme="minorBidi" w:hAnsiTheme="minorBidi" w:cstheme="minorBidi"/>
        <w:sz w:val="22"/>
        <w:szCs w:val="22"/>
        <w:lang w:val="es-ES"/>
      </w:rPr>
      <w:t xml:space="preserve"> </w:t>
    </w:r>
    <w:r w:rsidR="00DC168C" w:rsidRPr="001C6E92">
      <w:rPr>
        <w:rFonts w:asciiTheme="minorBidi" w:hAnsiTheme="minorBidi" w:cstheme="minorBidi"/>
        <w:sz w:val="22"/>
        <w:szCs w:val="22"/>
        <w:lang w:val="es-ES"/>
      </w:rPr>
      <w:fldChar w:fldCharType="begin"/>
    </w:r>
    <w:r w:rsidR="00DC168C" w:rsidRPr="001C6E92">
      <w:rPr>
        <w:rFonts w:asciiTheme="minorBidi" w:hAnsiTheme="minorBidi" w:cstheme="minorBidi"/>
        <w:sz w:val="22"/>
        <w:szCs w:val="22"/>
        <w:lang w:val="es-ES"/>
      </w:rPr>
      <w:instrText xml:space="preserve"> PAGE   \* MERGEFORMAT </w:instrText>
    </w:r>
    <w:r w:rsidR="00DC168C" w:rsidRPr="001C6E92">
      <w:rPr>
        <w:rFonts w:asciiTheme="minorBidi" w:hAnsiTheme="minorBidi" w:cstheme="minorBidi"/>
        <w:sz w:val="22"/>
        <w:szCs w:val="22"/>
        <w:lang w:val="es-ES"/>
      </w:rPr>
      <w:fldChar w:fldCharType="separate"/>
    </w:r>
    <w:r w:rsidR="004B1009" w:rsidRPr="001C6E92">
      <w:rPr>
        <w:rFonts w:asciiTheme="minorBidi" w:hAnsiTheme="minorBidi" w:cstheme="minorBidi"/>
        <w:noProof/>
        <w:sz w:val="22"/>
        <w:szCs w:val="22"/>
        <w:lang w:val="es-ES"/>
      </w:rPr>
      <w:t>2</w:t>
    </w:r>
    <w:r w:rsidR="00DC168C" w:rsidRPr="001C6E92">
      <w:rPr>
        <w:rFonts w:asciiTheme="minorBidi" w:hAnsiTheme="minorBidi" w:cstheme="minorBidi"/>
        <w:noProof/>
        <w:sz w:val="22"/>
        <w:szCs w:val="22"/>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D3BA" w14:textId="3C4CC3B7" w:rsidR="00CA6CC2" w:rsidRPr="001C6E92" w:rsidRDefault="00CA6CC2" w:rsidP="00CD7135">
    <w:pPr>
      <w:pStyle w:val="Header"/>
      <w:tabs>
        <w:tab w:val="clear" w:pos="4680"/>
        <w:tab w:val="clear" w:pos="9360"/>
      </w:tabs>
      <w:ind w:left="6521"/>
      <w:rPr>
        <w:rFonts w:asciiTheme="minorBidi" w:hAnsiTheme="minorBidi" w:cstheme="minorBidi"/>
        <w:sz w:val="22"/>
        <w:szCs w:val="22"/>
        <w:lang w:val="es-ES"/>
      </w:rPr>
    </w:pPr>
    <w:r w:rsidRPr="001C6E92">
      <w:rPr>
        <w:rFonts w:asciiTheme="minorBidi" w:hAnsiTheme="minorBidi" w:cstheme="minorBidi"/>
        <w:sz w:val="22"/>
        <w:szCs w:val="22"/>
        <w:lang w:val="es-ES"/>
      </w:rPr>
      <w:t>EC-57/DR.[4.7]</w:t>
    </w:r>
    <w:r w:rsidR="00996CB0">
      <w:rPr>
        <w:rFonts w:asciiTheme="minorBidi" w:hAnsiTheme="minorBidi" w:cstheme="minorBidi"/>
        <w:sz w:val="22"/>
        <w:szCs w:val="22"/>
        <w:lang w:val="es-ES"/>
      </w:rPr>
      <w:t xml:space="preserve"> Rev.2</w:t>
    </w:r>
    <w:r w:rsidR="00CD7135">
      <w:rPr>
        <w:rFonts w:asciiTheme="minorBidi" w:hAnsiTheme="minorBidi" w:cstheme="minorBidi"/>
        <w:sz w:val="22"/>
        <w:szCs w:val="22"/>
        <w:lang w:val="es-ES"/>
      </w:rPr>
      <w:t xml:space="preserve"> – </w:t>
    </w:r>
    <w:r w:rsidR="001C6E92" w:rsidRPr="001C6E92">
      <w:rPr>
        <w:rFonts w:asciiTheme="minorBidi" w:hAnsiTheme="minorBidi" w:cstheme="minorBidi"/>
        <w:sz w:val="22"/>
        <w:szCs w:val="22"/>
        <w:lang w:val="es-ES"/>
      </w:rPr>
      <w:t>pág.</w:t>
    </w:r>
    <w:r w:rsidRPr="001C6E92">
      <w:rPr>
        <w:rFonts w:asciiTheme="minorBidi" w:hAnsiTheme="minorBidi" w:cstheme="minorBidi"/>
        <w:sz w:val="22"/>
        <w:szCs w:val="22"/>
        <w:lang w:val="es-ES"/>
      </w:rPr>
      <w:t xml:space="preserve"> </w:t>
    </w:r>
    <w:r w:rsidRPr="001C6E92">
      <w:rPr>
        <w:rFonts w:asciiTheme="minorBidi" w:hAnsiTheme="minorBidi" w:cstheme="minorBidi"/>
        <w:sz w:val="22"/>
        <w:szCs w:val="22"/>
        <w:lang w:val="es-ES"/>
      </w:rPr>
      <w:fldChar w:fldCharType="begin"/>
    </w:r>
    <w:r w:rsidRPr="001C6E92">
      <w:rPr>
        <w:rFonts w:asciiTheme="minorBidi" w:hAnsiTheme="minorBidi" w:cstheme="minorBidi"/>
        <w:sz w:val="22"/>
        <w:szCs w:val="22"/>
        <w:lang w:val="es-ES"/>
      </w:rPr>
      <w:instrText xml:space="preserve"> PAGE   \* MERGEFORMAT </w:instrText>
    </w:r>
    <w:r w:rsidRPr="001C6E92">
      <w:rPr>
        <w:rFonts w:asciiTheme="minorBidi" w:hAnsiTheme="minorBidi" w:cstheme="minorBidi"/>
        <w:sz w:val="22"/>
        <w:szCs w:val="22"/>
        <w:lang w:val="es-ES"/>
      </w:rPr>
      <w:fldChar w:fldCharType="separate"/>
    </w:r>
    <w:r w:rsidRPr="001C6E92">
      <w:rPr>
        <w:rFonts w:asciiTheme="minorBidi" w:hAnsiTheme="minorBidi" w:cstheme="minorBidi"/>
        <w:sz w:val="22"/>
        <w:szCs w:val="22"/>
        <w:lang w:val="es-ES"/>
      </w:rPr>
      <w:t>2</w:t>
    </w:r>
    <w:r w:rsidRPr="001C6E92">
      <w:rPr>
        <w:rFonts w:asciiTheme="minorBidi" w:hAnsiTheme="minorBidi" w:cstheme="minorBidi"/>
        <w:noProof/>
        <w:sz w:val="22"/>
        <w:szCs w:val="22"/>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239FB"/>
    <w:multiLevelType w:val="multilevel"/>
    <w:tmpl w:val="8214B8B2"/>
    <w:styleLink w:val="JCOMM-list"/>
    <w:lvl w:ilvl="0">
      <w:start w:val="1"/>
      <w:numFmt w:val="none"/>
      <w:suff w:val="nothing"/>
      <w:lvlText w:val=""/>
      <w:lvlJc w:val="center"/>
      <w:pPr>
        <w:ind w:left="0" w:firstLine="288"/>
      </w:pPr>
      <w:rPr>
        <w:rFonts w:ascii="Arial" w:hAnsi="Arial" w:hint="default"/>
        <w:b/>
        <w:i w:val="0"/>
        <w:caps/>
        <w:sz w:val="24"/>
      </w:rPr>
    </w:lvl>
    <w:lvl w:ilvl="1">
      <w:start w:val="1"/>
      <w:numFmt w:val="decimal"/>
      <w:lvlText w:val="%2."/>
      <w:lvlJc w:val="left"/>
      <w:pPr>
        <w:ind w:left="720" w:hanging="720"/>
      </w:pPr>
      <w:rPr>
        <w:rFonts w:hint="default"/>
      </w:rPr>
    </w:lvl>
    <w:lvl w:ilvl="2">
      <w:start w:val="1"/>
      <w:numFmt w:val="decimal"/>
      <w:pStyle w:val="Heading2"/>
      <w:lvlText w:val="%2%3."/>
      <w:lvlJc w:val="left"/>
      <w:pPr>
        <w:ind w:left="720" w:hanging="720"/>
      </w:pPr>
      <w:rPr>
        <w:rFonts w:hint="default"/>
      </w:rPr>
    </w:lvl>
    <w:lvl w:ilvl="3">
      <w:start w:val="1"/>
      <w:numFmt w:val="decimal"/>
      <w:lvlText w:val="%4.%3.%2"/>
      <w:lvlJc w:val="left"/>
      <w:pPr>
        <w:ind w:left="720" w:hanging="720"/>
      </w:pPr>
      <w:rPr>
        <w:rFonts w:ascii="Arial" w:hAnsi="Arial" w:hint="default"/>
        <w:b w:val="0"/>
        <w:i w:val="0"/>
        <w:sz w:val="22"/>
      </w:rPr>
    </w:lvl>
    <w:lvl w:ilvl="4">
      <w:start w:val="1"/>
      <w:numFmt w:val="decimal"/>
      <w:lvlText w:val="%5.%2.%3.%4."/>
      <w:lvlJc w:val="left"/>
      <w:pPr>
        <w:ind w:left="720" w:hanging="720"/>
      </w:pPr>
      <w:rPr>
        <w:rFonts w:ascii="Arial" w:hAnsi="Arial"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66605E"/>
    <w:multiLevelType w:val="hybridMultilevel"/>
    <w:tmpl w:val="78CCAD28"/>
    <w:lvl w:ilvl="0" w:tplc="5258559A">
      <w:start w:val="1"/>
      <w:numFmt w:val="decimal"/>
      <w:lvlText w:val="%1."/>
      <w:lvlJc w:val="left"/>
      <w:pPr>
        <w:ind w:left="153" w:hanging="360"/>
      </w:pPr>
      <w:rPr>
        <w:rFonts w:ascii="Arial" w:hAnsi="Arial" w:hint="default"/>
        <w:b w:val="0"/>
        <w:i w:val="0"/>
        <w:iCs/>
        <w:sz w:val="22"/>
        <w:szCs w:val="22"/>
      </w:r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2" w15:restartNumberingAfterBreak="0">
    <w:nsid w:val="1E3A410E"/>
    <w:multiLevelType w:val="hybridMultilevel"/>
    <w:tmpl w:val="560EA81A"/>
    <w:lvl w:ilvl="0" w:tplc="3020A3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138E1"/>
    <w:multiLevelType w:val="hybridMultilevel"/>
    <w:tmpl w:val="CEAC1B78"/>
    <w:lvl w:ilvl="0" w:tplc="3C8ADCD2">
      <w:start w:val="1"/>
      <w:numFmt w:val="decimal"/>
      <w:lvlText w:val="%1."/>
      <w:lvlJc w:val="left"/>
      <w:pPr>
        <w:ind w:left="720" w:hanging="360"/>
      </w:pPr>
      <w:rPr>
        <w:rFonts w:ascii="Arial" w:hAnsi="Arial" w:cs="Arial"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5E6BCE"/>
    <w:multiLevelType w:val="hybridMultilevel"/>
    <w:tmpl w:val="08A60DF0"/>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D5F55"/>
    <w:multiLevelType w:val="hybridMultilevel"/>
    <w:tmpl w:val="326E06BC"/>
    <w:lvl w:ilvl="0" w:tplc="DC0EC350">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FD65BF"/>
    <w:multiLevelType w:val="hybridMultilevel"/>
    <w:tmpl w:val="5FACC7FE"/>
    <w:lvl w:ilvl="0" w:tplc="432A244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29475A6"/>
    <w:multiLevelType w:val="hybridMultilevel"/>
    <w:tmpl w:val="F3BE6406"/>
    <w:lvl w:ilvl="0" w:tplc="6D68BCE4">
      <w:start w:val="1"/>
      <w:numFmt w:val="lowerRoman"/>
      <w:lvlText w:val="(%1)"/>
      <w:lvlJc w:val="left"/>
      <w:pPr>
        <w:ind w:left="1290" w:hanging="720"/>
      </w:pPr>
      <w:rPr>
        <w:rFonts w:cs="Times New Roman"/>
      </w:rPr>
    </w:lvl>
    <w:lvl w:ilvl="1" w:tplc="040C0019">
      <w:start w:val="1"/>
      <w:numFmt w:val="lowerLetter"/>
      <w:lvlText w:val="%2."/>
      <w:lvlJc w:val="left"/>
      <w:pPr>
        <w:ind w:left="1650" w:hanging="360"/>
      </w:pPr>
      <w:rPr>
        <w:rFonts w:cs="Times New Roman"/>
      </w:rPr>
    </w:lvl>
    <w:lvl w:ilvl="2" w:tplc="040C001B">
      <w:start w:val="1"/>
      <w:numFmt w:val="lowerRoman"/>
      <w:lvlText w:val="%3."/>
      <w:lvlJc w:val="right"/>
      <w:pPr>
        <w:ind w:left="2370" w:hanging="180"/>
      </w:pPr>
      <w:rPr>
        <w:rFonts w:cs="Times New Roman"/>
      </w:rPr>
    </w:lvl>
    <w:lvl w:ilvl="3" w:tplc="040C000F">
      <w:start w:val="1"/>
      <w:numFmt w:val="decimal"/>
      <w:lvlText w:val="%4."/>
      <w:lvlJc w:val="left"/>
      <w:pPr>
        <w:ind w:left="3090" w:hanging="360"/>
      </w:pPr>
      <w:rPr>
        <w:rFonts w:cs="Times New Roman"/>
      </w:rPr>
    </w:lvl>
    <w:lvl w:ilvl="4" w:tplc="040C0019">
      <w:start w:val="1"/>
      <w:numFmt w:val="lowerLetter"/>
      <w:lvlText w:val="%5."/>
      <w:lvlJc w:val="left"/>
      <w:pPr>
        <w:ind w:left="3810" w:hanging="360"/>
      </w:pPr>
      <w:rPr>
        <w:rFonts w:cs="Times New Roman"/>
      </w:rPr>
    </w:lvl>
    <w:lvl w:ilvl="5" w:tplc="040C001B">
      <w:start w:val="1"/>
      <w:numFmt w:val="lowerRoman"/>
      <w:lvlText w:val="%6."/>
      <w:lvlJc w:val="right"/>
      <w:pPr>
        <w:ind w:left="4530" w:hanging="180"/>
      </w:pPr>
      <w:rPr>
        <w:rFonts w:cs="Times New Roman"/>
      </w:rPr>
    </w:lvl>
    <w:lvl w:ilvl="6" w:tplc="040C000F">
      <w:start w:val="1"/>
      <w:numFmt w:val="decimal"/>
      <w:lvlText w:val="%7."/>
      <w:lvlJc w:val="left"/>
      <w:pPr>
        <w:ind w:left="5250" w:hanging="360"/>
      </w:pPr>
      <w:rPr>
        <w:rFonts w:cs="Times New Roman"/>
      </w:rPr>
    </w:lvl>
    <w:lvl w:ilvl="7" w:tplc="040C0019">
      <w:start w:val="1"/>
      <w:numFmt w:val="lowerLetter"/>
      <w:lvlText w:val="%8."/>
      <w:lvlJc w:val="left"/>
      <w:pPr>
        <w:ind w:left="5970" w:hanging="360"/>
      </w:pPr>
      <w:rPr>
        <w:rFonts w:cs="Times New Roman"/>
      </w:rPr>
    </w:lvl>
    <w:lvl w:ilvl="8" w:tplc="040C001B">
      <w:start w:val="1"/>
      <w:numFmt w:val="lowerRoman"/>
      <w:lvlText w:val="%9."/>
      <w:lvlJc w:val="right"/>
      <w:pPr>
        <w:ind w:left="6690" w:hanging="180"/>
      </w:pPr>
      <w:rPr>
        <w:rFonts w:cs="Times New Roman"/>
      </w:rPr>
    </w:lvl>
  </w:abstractNum>
  <w:abstractNum w:abstractNumId="8" w15:restartNumberingAfterBreak="0">
    <w:nsid w:val="42C13349"/>
    <w:multiLevelType w:val="hybridMultilevel"/>
    <w:tmpl w:val="8B9EB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1379E8"/>
    <w:multiLevelType w:val="hybridMultilevel"/>
    <w:tmpl w:val="8C7A85B0"/>
    <w:lvl w:ilvl="0" w:tplc="16D65256">
      <w:start w:val="1"/>
      <w:numFmt w:val="lowerRoman"/>
      <w:lvlText w:val="%1)"/>
      <w:lvlJc w:val="left"/>
      <w:pPr>
        <w:ind w:left="873" w:hanging="720"/>
      </w:pPr>
      <w:rPr>
        <w:rFonts w:asciiTheme="minorBidi" w:eastAsia="Times New Roman" w:hAnsiTheme="minorBidi" w:cstheme="minorBidi"/>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10" w15:restartNumberingAfterBreak="0">
    <w:nsid w:val="4BD450B7"/>
    <w:multiLevelType w:val="hybridMultilevel"/>
    <w:tmpl w:val="A1F85074"/>
    <w:lvl w:ilvl="0" w:tplc="9BC8D4F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3053031"/>
    <w:multiLevelType w:val="hybridMultilevel"/>
    <w:tmpl w:val="E30E3590"/>
    <w:lvl w:ilvl="0" w:tplc="37F873DE">
      <w:start w:val="1"/>
      <w:numFmt w:val="lowerRoman"/>
      <w:lvlText w:val="%1)"/>
      <w:lvlJc w:val="left"/>
      <w:pPr>
        <w:ind w:left="1080" w:hanging="720"/>
      </w:pPr>
      <w:rPr>
        <w:rFonts w:asciiTheme="minorBidi" w:eastAsia="Times New Roman" w:hAnsiTheme="minorBidi" w:cstheme="minorBid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87333A"/>
    <w:multiLevelType w:val="hybridMultilevel"/>
    <w:tmpl w:val="9E24788C"/>
    <w:lvl w:ilvl="0" w:tplc="DA126A4E">
      <w:start w:val="5"/>
      <w:numFmt w:val="decimal"/>
      <w:lvlText w:val="%1."/>
      <w:lvlJc w:val="left"/>
      <w:pPr>
        <w:ind w:left="720" w:hanging="360"/>
      </w:pPr>
      <w:rPr>
        <w:rFonts w:hint="default"/>
        <w:b w:val="0"/>
        <w:color w:val="000000"/>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CD234C0"/>
    <w:multiLevelType w:val="hybridMultilevel"/>
    <w:tmpl w:val="FE2A30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1432EB"/>
    <w:multiLevelType w:val="hybridMultilevel"/>
    <w:tmpl w:val="5F0E0364"/>
    <w:lvl w:ilvl="0" w:tplc="9574300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15B0FCF"/>
    <w:multiLevelType w:val="hybridMultilevel"/>
    <w:tmpl w:val="119A9F4C"/>
    <w:lvl w:ilvl="0" w:tplc="9280D43C">
      <w:start w:val="1"/>
      <w:numFmt w:val="lowerRoman"/>
      <w:lvlText w:val="(%1)"/>
      <w:lvlJc w:val="left"/>
      <w:pPr>
        <w:ind w:left="1440" w:hanging="360"/>
      </w:pPr>
      <w:rPr>
        <w:rFonts w:ascii="Arial" w:eastAsia="Times New Roman"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BA4213"/>
    <w:multiLevelType w:val="hybridMultilevel"/>
    <w:tmpl w:val="F7F0599C"/>
    <w:lvl w:ilvl="0" w:tplc="34B805F2">
      <w:start w:val="1"/>
      <w:numFmt w:val="lowerRoman"/>
      <w:lvlText w:val="%1)"/>
      <w:lvlJc w:val="left"/>
      <w:pPr>
        <w:ind w:left="873" w:hanging="720"/>
      </w:pPr>
      <w:rPr>
        <w:rFonts w:asciiTheme="minorBidi" w:eastAsia="Times New Roman" w:hAnsiTheme="minorBidi" w:cstheme="minorBidi"/>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7" w15:restartNumberingAfterBreak="0">
    <w:nsid w:val="71F05144"/>
    <w:multiLevelType w:val="hybridMultilevel"/>
    <w:tmpl w:val="A6C0999C"/>
    <w:lvl w:ilvl="0" w:tplc="5DA4B3A6">
      <w:start w:val="1"/>
      <w:numFmt w:val="lowerRoman"/>
      <w:lvlText w:val="%1)"/>
      <w:lvlJc w:val="left"/>
      <w:pPr>
        <w:ind w:left="1080" w:hanging="720"/>
      </w:pPr>
      <w:rPr>
        <w:rFonts w:asciiTheme="minorBidi" w:eastAsia="Times New Roman" w:hAnsiTheme="minorBid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8C76A1"/>
    <w:multiLevelType w:val="hybridMultilevel"/>
    <w:tmpl w:val="5AA4A35A"/>
    <w:lvl w:ilvl="0" w:tplc="6C544708">
      <w:start w:val="1"/>
      <w:numFmt w:val="decimal"/>
      <w:lvlText w:val="%1."/>
      <w:lvlJc w:val="left"/>
      <w:pPr>
        <w:ind w:left="-3" w:hanging="564"/>
      </w:pPr>
      <w:rPr>
        <w:rFonts w:hint="default"/>
        <w:i/>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num w:numId="1" w16cid:durableId="648292028">
    <w:abstractNumId w:val="10"/>
  </w:num>
  <w:num w:numId="2" w16cid:durableId="1906914479">
    <w:abstractNumId w:val="14"/>
  </w:num>
  <w:num w:numId="3" w16cid:durableId="1040007716">
    <w:abstractNumId w:val="0"/>
  </w:num>
  <w:num w:numId="4" w16cid:durableId="1533306017">
    <w:abstractNumId w:val="3"/>
  </w:num>
  <w:num w:numId="5" w16cid:durableId="1163395605">
    <w:abstractNumId w:val="8"/>
  </w:num>
  <w:num w:numId="6" w16cid:durableId="8058578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2450552">
    <w:abstractNumId w:val="1"/>
  </w:num>
  <w:num w:numId="8" w16cid:durableId="1500340876">
    <w:abstractNumId w:val="18"/>
  </w:num>
  <w:num w:numId="9" w16cid:durableId="1416827722">
    <w:abstractNumId w:val="15"/>
  </w:num>
  <w:num w:numId="10" w16cid:durableId="1356150359">
    <w:abstractNumId w:val="17"/>
  </w:num>
  <w:num w:numId="11" w16cid:durableId="1864515772">
    <w:abstractNumId w:val="6"/>
  </w:num>
  <w:num w:numId="12" w16cid:durableId="1011758760">
    <w:abstractNumId w:val="5"/>
  </w:num>
  <w:num w:numId="13" w16cid:durableId="689994629">
    <w:abstractNumId w:val="13"/>
  </w:num>
  <w:num w:numId="14" w16cid:durableId="1613169617">
    <w:abstractNumId w:val="4"/>
  </w:num>
  <w:num w:numId="15" w16cid:durableId="608977052">
    <w:abstractNumId w:val="11"/>
  </w:num>
  <w:num w:numId="16" w16cid:durableId="1752119284">
    <w:abstractNumId w:val="16"/>
  </w:num>
  <w:num w:numId="17" w16cid:durableId="1966737518">
    <w:abstractNumId w:val="2"/>
  </w:num>
  <w:num w:numId="18" w16cid:durableId="1589534355">
    <w:abstractNumId w:val="12"/>
  </w:num>
  <w:num w:numId="19" w16cid:durableId="1361206993">
    <w:abstractNumId w:val="7"/>
  </w:num>
  <w:num w:numId="20" w16cid:durableId="4771110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4F"/>
    <w:rsid w:val="00033DD2"/>
    <w:rsid w:val="00052B5A"/>
    <w:rsid w:val="00067B5F"/>
    <w:rsid w:val="00075333"/>
    <w:rsid w:val="00082AAA"/>
    <w:rsid w:val="000C358C"/>
    <w:rsid w:val="000D0C6F"/>
    <w:rsid w:val="000D312B"/>
    <w:rsid w:val="000D4EDB"/>
    <w:rsid w:val="001105FE"/>
    <w:rsid w:val="0011490A"/>
    <w:rsid w:val="00130FBD"/>
    <w:rsid w:val="00145D48"/>
    <w:rsid w:val="001574F7"/>
    <w:rsid w:val="00183205"/>
    <w:rsid w:val="00193E93"/>
    <w:rsid w:val="001A5EE6"/>
    <w:rsid w:val="001C6E49"/>
    <w:rsid w:val="001C6E92"/>
    <w:rsid w:val="001E3923"/>
    <w:rsid w:val="001F3D2C"/>
    <w:rsid w:val="00205DCB"/>
    <w:rsid w:val="002066D1"/>
    <w:rsid w:val="00252C0F"/>
    <w:rsid w:val="00276749"/>
    <w:rsid w:val="002903F5"/>
    <w:rsid w:val="00290D11"/>
    <w:rsid w:val="00297B99"/>
    <w:rsid w:val="002C28A8"/>
    <w:rsid w:val="002C3EE1"/>
    <w:rsid w:val="002E41A7"/>
    <w:rsid w:val="003A770C"/>
    <w:rsid w:val="00413BC8"/>
    <w:rsid w:val="00452B11"/>
    <w:rsid w:val="00460755"/>
    <w:rsid w:val="00494C9A"/>
    <w:rsid w:val="004B1009"/>
    <w:rsid w:val="004D62AA"/>
    <w:rsid w:val="00500176"/>
    <w:rsid w:val="0050209F"/>
    <w:rsid w:val="0050224F"/>
    <w:rsid w:val="005039BF"/>
    <w:rsid w:val="00520D22"/>
    <w:rsid w:val="00571187"/>
    <w:rsid w:val="00582E0E"/>
    <w:rsid w:val="00595DA7"/>
    <w:rsid w:val="005B3C25"/>
    <w:rsid w:val="005D6AA0"/>
    <w:rsid w:val="005D7455"/>
    <w:rsid w:val="005E3B34"/>
    <w:rsid w:val="005F2AFD"/>
    <w:rsid w:val="00620E7B"/>
    <w:rsid w:val="00621A35"/>
    <w:rsid w:val="0062287C"/>
    <w:rsid w:val="00630B82"/>
    <w:rsid w:val="00647902"/>
    <w:rsid w:val="0069493D"/>
    <w:rsid w:val="00696F63"/>
    <w:rsid w:val="006B2C31"/>
    <w:rsid w:val="006D4CD7"/>
    <w:rsid w:val="006E4E82"/>
    <w:rsid w:val="006F1E83"/>
    <w:rsid w:val="0073078E"/>
    <w:rsid w:val="007E2A6D"/>
    <w:rsid w:val="007F5629"/>
    <w:rsid w:val="00821B0F"/>
    <w:rsid w:val="00856C2C"/>
    <w:rsid w:val="00861529"/>
    <w:rsid w:val="00891A95"/>
    <w:rsid w:val="008A3665"/>
    <w:rsid w:val="008B1B6F"/>
    <w:rsid w:val="008B69B4"/>
    <w:rsid w:val="0093595A"/>
    <w:rsid w:val="009371D8"/>
    <w:rsid w:val="00947577"/>
    <w:rsid w:val="00971C83"/>
    <w:rsid w:val="00986307"/>
    <w:rsid w:val="00996CB0"/>
    <w:rsid w:val="009C4402"/>
    <w:rsid w:val="009F7E71"/>
    <w:rsid w:val="00A2266E"/>
    <w:rsid w:val="00A4721B"/>
    <w:rsid w:val="00A9407C"/>
    <w:rsid w:val="00AB4A07"/>
    <w:rsid w:val="00AC3463"/>
    <w:rsid w:val="00AD175D"/>
    <w:rsid w:val="00AF2865"/>
    <w:rsid w:val="00B0721F"/>
    <w:rsid w:val="00B11D93"/>
    <w:rsid w:val="00B15066"/>
    <w:rsid w:val="00B44157"/>
    <w:rsid w:val="00B71CF5"/>
    <w:rsid w:val="00B85B24"/>
    <w:rsid w:val="00B97A05"/>
    <w:rsid w:val="00BB175E"/>
    <w:rsid w:val="00BC394C"/>
    <w:rsid w:val="00BC46DF"/>
    <w:rsid w:val="00BC4EC3"/>
    <w:rsid w:val="00BE24A9"/>
    <w:rsid w:val="00C16EAA"/>
    <w:rsid w:val="00C2489D"/>
    <w:rsid w:val="00C30FA4"/>
    <w:rsid w:val="00C512E0"/>
    <w:rsid w:val="00C81BBE"/>
    <w:rsid w:val="00C83611"/>
    <w:rsid w:val="00C94407"/>
    <w:rsid w:val="00CA3810"/>
    <w:rsid w:val="00CA6CC2"/>
    <w:rsid w:val="00CC3161"/>
    <w:rsid w:val="00CD7135"/>
    <w:rsid w:val="00D0146F"/>
    <w:rsid w:val="00D33751"/>
    <w:rsid w:val="00D46D6A"/>
    <w:rsid w:val="00D82BAB"/>
    <w:rsid w:val="00DB158C"/>
    <w:rsid w:val="00DC168C"/>
    <w:rsid w:val="00DC5C1A"/>
    <w:rsid w:val="00DD2617"/>
    <w:rsid w:val="00DD3E05"/>
    <w:rsid w:val="00DD7428"/>
    <w:rsid w:val="00DE18E8"/>
    <w:rsid w:val="00E16607"/>
    <w:rsid w:val="00E23AA8"/>
    <w:rsid w:val="00E27A04"/>
    <w:rsid w:val="00E331AB"/>
    <w:rsid w:val="00E43149"/>
    <w:rsid w:val="00E64DC9"/>
    <w:rsid w:val="00E74967"/>
    <w:rsid w:val="00EE6C59"/>
    <w:rsid w:val="00F15785"/>
    <w:rsid w:val="00F2071E"/>
    <w:rsid w:val="00F8714C"/>
    <w:rsid w:val="00F901AC"/>
    <w:rsid w:val="00F97A1A"/>
    <w:rsid w:val="00F97EE6"/>
    <w:rsid w:val="00FD364C"/>
    <w:rsid w:val="00FE3DA9"/>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9045B"/>
  <w15:docId w15:val="{2FA9B0F0-1DA4-4BDE-AD96-3F0692A6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A8"/>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2">
    <w:name w:val="heading 2"/>
    <w:basedOn w:val="Normal"/>
    <w:next w:val="Normal"/>
    <w:link w:val="Heading2Char"/>
    <w:autoRedefine/>
    <w:uiPriority w:val="9"/>
    <w:qFormat/>
    <w:rsid w:val="00947577"/>
    <w:pPr>
      <w:keepNext/>
      <w:widowControl w:val="0"/>
      <w:numPr>
        <w:ilvl w:val="2"/>
        <w:numId w:val="3"/>
      </w:numPr>
      <w:spacing w:before="240" w:after="60"/>
      <w:outlineLvl w:val="1"/>
    </w:pPr>
    <w:rPr>
      <w:rFonts w:ascii="Arial" w:eastAsiaTheme="majorEastAsia" w:hAnsi="Arial" w:cstheme="majorBidi"/>
      <w:b/>
      <w:bCs/>
      <w:iCs/>
      <w:snapToGrid/>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2Car">
    <w:name w:val="Titre 2 Car"/>
    <w:rsid w:val="00947577"/>
    <w:rPr>
      <w:rFonts w:ascii="Arial" w:eastAsia="Times New Roman" w:hAnsi="Arial" w:cs="Arial"/>
      <w:b/>
      <w:bCs/>
      <w:iCs/>
      <w:snapToGrid w:val="0"/>
      <w:szCs w:val="28"/>
      <w:lang w:val="en-GB"/>
    </w:rPr>
  </w:style>
  <w:style w:type="character" w:customStyle="1" w:styleId="Heading2Char">
    <w:name w:val="Heading 2 Char"/>
    <w:basedOn w:val="DefaultParagraphFont"/>
    <w:link w:val="Heading2"/>
    <w:rsid w:val="00947577"/>
    <w:rPr>
      <w:rFonts w:ascii="Arial" w:eastAsiaTheme="majorEastAsia" w:hAnsi="Arial" w:cstheme="majorBidi"/>
      <w:b/>
      <w:bCs/>
      <w:iCs/>
      <w:snapToGrid w:val="0"/>
      <w:szCs w:val="28"/>
      <w:lang w:val="en-GB"/>
    </w:rPr>
  </w:style>
  <w:style w:type="paragraph" w:customStyle="1" w:styleId="JCOMM">
    <w:name w:val="JCOMM"/>
    <w:basedOn w:val="Normal"/>
    <w:next w:val="Normal"/>
    <w:qFormat/>
    <w:rsid w:val="00947577"/>
    <w:pPr>
      <w:widowControl w:val="0"/>
      <w:spacing w:before="360" w:after="240"/>
      <w:jc w:val="center"/>
    </w:pPr>
    <w:rPr>
      <w:rFonts w:ascii="Arial" w:eastAsia="MS Mincho" w:hAnsi="Arial"/>
      <w:b/>
      <w:snapToGrid/>
      <w:sz w:val="16"/>
    </w:rPr>
  </w:style>
  <w:style w:type="numbering" w:customStyle="1" w:styleId="JCOMM-list">
    <w:name w:val="JCOMM-list"/>
    <w:uiPriority w:val="99"/>
    <w:rsid w:val="00947577"/>
    <w:pPr>
      <w:numPr>
        <w:numId w:val="3"/>
      </w:numPr>
    </w:pPr>
  </w:style>
  <w:style w:type="paragraph" w:styleId="BalloonText">
    <w:name w:val="Balloon Text"/>
    <w:basedOn w:val="Normal"/>
    <w:link w:val="BalloonTextChar"/>
    <w:uiPriority w:val="99"/>
    <w:semiHidden/>
    <w:unhideWhenUsed/>
    <w:rsid w:val="00C81BBE"/>
    <w:rPr>
      <w:rFonts w:ascii="Tahoma" w:hAnsi="Tahoma" w:cs="Tahoma"/>
      <w:sz w:val="16"/>
      <w:szCs w:val="16"/>
    </w:rPr>
  </w:style>
  <w:style w:type="character" w:customStyle="1" w:styleId="BalloonTextChar">
    <w:name w:val="Balloon Text Char"/>
    <w:basedOn w:val="DefaultParagraphFont"/>
    <w:link w:val="BalloonText"/>
    <w:uiPriority w:val="99"/>
    <w:semiHidden/>
    <w:rsid w:val="00C81BBE"/>
    <w:rPr>
      <w:rFonts w:ascii="Tahoma" w:eastAsia="Times New Roman" w:hAnsi="Tahoma" w:cs="Tahoma"/>
      <w:snapToGrid w:val="0"/>
      <w:sz w:val="16"/>
      <w:szCs w:val="16"/>
      <w:lang w:val="en-GB" w:eastAsia="en-US"/>
    </w:rPr>
  </w:style>
  <w:style w:type="paragraph" w:styleId="Header">
    <w:name w:val="header"/>
    <w:basedOn w:val="Normal"/>
    <w:link w:val="HeaderChar"/>
    <w:uiPriority w:val="99"/>
    <w:unhideWhenUsed/>
    <w:rsid w:val="0073078E"/>
    <w:pPr>
      <w:tabs>
        <w:tab w:val="clear" w:pos="567"/>
        <w:tab w:val="center" w:pos="4680"/>
        <w:tab w:val="right" w:pos="9360"/>
      </w:tabs>
    </w:pPr>
  </w:style>
  <w:style w:type="character" w:customStyle="1" w:styleId="HeaderChar">
    <w:name w:val="Header Char"/>
    <w:basedOn w:val="DefaultParagraphFont"/>
    <w:link w:val="Header"/>
    <w:uiPriority w:val="99"/>
    <w:rsid w:val="0073078E"/>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unhideWhenUsed/>
    <w:rsid w:val="0073078E"/>
    <w:pPr>
      <w:tabs>
        <w:tab w:val="clear" w:pos="567"/>
        <w:tab w:val="center" w:pos="4680"/>
        <w:tab w:val="right" w:pos="9360"/>
      </w:tabs>
    </w:pPr>
  </w:style>
  <w:style w:type="character" w:customStyle="1" w:styleId="FooterChar">
    <w:name w:val="Footer Char"/>
    <w:basedOn w:val="DefaultParagraphFont"/>
    <w:link w:val="Footer"/>
    <w:uiPriority w:val="99"/>
    <w:rsid w:val="0073078E"/>
    <w:rPr>
      <w:rFonts w:ascii="Times New Roman" w:eastAsia="Times New Roman" w:hAnsi="Times New Roman" w:cs="Times New Roman"/>
      <w:snapToGrid w:val="0"/>
      <w:sz w:val="24"/>
      <w:szCs w:val="24"/>
      <w:lang w:val="en-GB" w:eastAsia="en-US"/>
    </w:rPr>
  </w:style>
  <w:style w:type="character" w:styleId="FootnoteReference">
    <w:name w:val="footnote reference"/>
    <w:rsid w:val="004B1009"/>
    <w:rPr>
      <w:vertAlign w:val="superscript"/>
    </w:rPr>
  </w:style>
  <w:style w:type="paragraph" w:styleId="FootnoteText">
    <w:name w:val="footnote text"/>
    <w:basedOn w:val="Normal"/>
    <w:link w:val="FootnoteTextChar"/>
    <w:uiPriority w:val="99"/>
    <w:rsid w:val="004B1009"/>
    <w:pPr>
      <w:tabs>
        <w:tab w:val="clear" w:pos="567"/>
        <w:tab w:val="left" w:pos="709"/>
      </w:tabs>
      <w:ind w:left="567" w:hanging="567"/>
    </w:pPr>
    <w:rPr>
      <w:sz w:val="20"/>
      <w:szCs w:val="20"/>
      <w:lang w:val="fr-FR"/>
    </w:rPr>
  </w:style>
  <w:style w:type="character" w:customStyle="1" w:styleId="FootnoteTextChar">
    <w:name w:val="Footnote Text Char"/>
    <w:basedOn w:val="DefaultParagraphFont"/>
    <w:link w:val="FootnoteText"/>
    <w:uiPriority w:val="99"/>
    <w:rsid w:val="004B1009"/>
    <w:rPr>
      <w:rFonts w:ascii="Times New Roman" w:eastAsia="Times New Roman" w:hAnsi="Times New Roman" w:cs="Times New Roman"/>
      <w:snapToGrid w:val="0"/>
      <w:sz w:val="20"/>
      <w:szCs w:val="20"/>
      <w:lang w:eastAsia="en-US"/>
    </w:rPr>
  </w:style>
  <w:style w:type="paragraph" w:customStyle="1" w:styleId="COI">
    <w:name w:val="COI"/>
    <w:basedOn w:val="Normal"/>
    <w:link w:val="COIChar"/>
    <w:rsid w:val="004B1009"/>
    <w:pPr>
      <w:tabs>
        <w:tab w:val="clear" w:pos="567"/>
        <w:tab w:val="left" w:pos="709"/>
      </w:tabs>
      <w:spacing w:after="240"/>
      <w:ind w:left="720" w:hanging="360"/>
      <w:jc w:val="both"/>
    </w:pPr>
    <w:rPr>
      <w:lang w:val="fr-FR"/>
    </w:rPr>
  </w:style>
  <w:style w:type="character" w:customStyle="1" w:styleId="COIChar">
    <w:name w:val="COI Char"/>
    <w:link w:val="COI"/>
    <w:rsid w:val="004B1009"/>
    <w:rPr>
      <w:rFonts w:ascii="Times New Roman" w:eastAsia="Times New Roman" w:hAnsi="Times New Roman" w:cs="Times New Roman"/>
      <w:snapToGrid w:val="0"/>
      <w:sz w:val="24"/>
      <w:szCs w:val="24"/>
      <w:lang w:eastAsia="en-US"/>
    </w:rPr>
  </w:style>
  <w:style w:type="paragraph" w:customStyle="1" w:styleId="Listnumbered">
    <w:name w:val="List numbered"/>
    <w:basedOn w:val="ListBullet2"/>
    <w:autoRedefine/>
    <w:rsid w:val="004B1009"/>
    <w:pPr>
      <w:tabs>
        <w:tab w:val="num" w:pos="360"/>
        <w:tab w:val="left" w:pos="709"/>
      </w:tabs>
      <w:spacing w:after="240"/>
      <w:contextualSpacing w:val="0"/>
    </w:pPr>
    <w:rPr>
      <w:rFonts w:ascii="Arial" w:hAnsi="Arial"/>
      <w:sz w:val="22"/>
      <w:lang w:val="fr-FR"/>
    </w:rPr>
  </w:style>
  <w:style w:type="paragraph" w:customStyle="1" w:styleId="Listecouleur-Accent11">
    <w:name w:val="Liste couleur - Accent 11"/>
    <w:basedOn w:val="Normal"/>
    <w:qFormat/>
    <w:rsid w:val="004B1009"/>
    <w:pPr>
      <w:ind w:left="720"/>
      <w:contextualSpacing/>
    </w:pPr>
    <w:rPr>
      <w:rFonts w:ascii="Arial" w:hAnsi="Arial"/>
      <w:snapToGrid/>
      <w:sz w:val="22"/>
    </w:rPr>
  </w:style>
  <w:style w:type="paragraph" w:styleId="ListBullet2">
    <w:name w:val="List Bullet 2"/>
    <w:basedOn w:val="Normal"/>
    <w:uiPriority w:val="99"/>
    <w:semiHidden/>
    <w:unhideWhenUsed/>
    <w:rsid w:val="004B1009"/>
    <w:pPr>
      <w:ind w:left="1290" w:hanging="720"/>
      <w:contextualSpacing/>
    </w:pPr>
  </w:style>
  <w:style w:type="paragraph" w:styleId="ListParagraph">
    <w:name w:val="List Paragraph"/>
    <w:basedOn w:val="Normal"/>
    <w:uiPriority w:val="34"/>
    <w:qFormat/>
    <w:rsid w:val="004B1009"/>
    <w:pPr>
      <w:ind w:left="720"/>
      <w:contextualSpacing/>
    </w:pPr>
  </w:style>
  <w:style w:type="paragraph" w:customStyle="1" w:styleId="b">
    <w:name w:val="(b)"/>
    <w:basedOn w:val="Normal"/>
    <w:rsid w:val="0050209F"/>
    <w:pPr>
      <w:tabs>
        <w:tab w:val="clear" w:pos="567"/>
        <w:tab w:val="left" w:pos="-737"/>
        <w:tab w:val="left" w:pos="1134"/>
      </w:tabs>
      <w:spacing w:after="240"/>
      <w:ind w:left="1134" w:hanging="567"/>
      <w:jc w:val="both"/>
    </w:pPr>
  </w:style>
  <w:style w:type="paragraph" w:styleId="Revision">
    <w:name w:val="Revision"/>
    <w:hidden/>
    <w:uiPriority w:val="99"/>
    <w:semiHidden/>
    <w:rsid w:val="00D82BAB"/>
    <w:pPr>
      <w:spacing w:after="0" w:line="240" w:lineRule="auto"/>
    </w:pPr>
    <w:rPr>
      <w:rFonts w:ascii="Times New Roman" w:eastAsia="Times New Roman" w:hAnsi="Times New Roman" w:cs="Times New Roman"/>
      <w:snapToGrid w:val="0"/>
      <w:sz w:val="24"/>
      <w:szCs w:val="24"/>
      <w:lang w:val="en-GB" w:eastAsia="en-US"/>
    </w:rPr>
  </w:style>
  <w:style w:type="paragraph" w:customStyle="1" w:styleId="Default">
    <w:name w:val="Default"/>
    <w:rsid w:val="00B0721F"/>
    <w:pPr>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B0721F"/>
    <w:rPr>
      <w:sz w:val="16"/>
      <w:szCs w:val="16"/>
    </w:rPr>
  </w:style>
  <w:style w:type="paragraph" w:styleId="CommentText">
    <w:name w:val="annotation text"/>
    <w:basedOn w:val="Normal"/>
    <w:link w:val="CommentTextChar"/>
    <w:uiPriority w:val="99"/>
    <w:unhideWhenUsed/>
    <w:rsid w:val="00B0721F"/>
    <w:rPr>
      <w:sz w:val="20"/>
      <w:szCs w:val="20"/>
    </w:rPr>
  </w:style>
  <w:style w:type="character" w:customStyle="1" w:styleId="CommentTextChar">
    <w:name w:val="Comment Text Char"/>
    <w:basedOn w:val="DefaultParagraphFont"/>
    <w:link w:val="CommentText"/>
    <w:uiPriority w:val="99"/>
    <w:rsid w:val="00B0721F"/>
    <w:rPr>
      <w:rFonts w:ascii="Times New Roman" w:eastAsia="Times New Roman" w:hAnsi="Times New Roman" w:cs="Times New Roman"/>
      <w:snapToGrid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B0721F"/>
    <w:rPr>
      <w:b/>
      <w:bCs/>
    </w:rPr>
  </w:style>
  <w:style w:type="character" w:customStyle="1" w:styleId="CommentSubjectChar">
    <w:name w:val="Comment Subject Char"/>
    <w:basedOn w:val="CommentTextChar"/>
    <w:link w:val="CommentSubject"/>
    <w:uiPriority w:val="99"/>
    <w:semiHidden/>
    <w:rsid w:val="00B0721F"/>
    <w:rPr>
      <w:rFonts w:ascii="Times New Roman" w:eastAsia="Times New Roman" w:hAnsi="Times New Roman" w:cs="Times New Roman"/>
      <w:b/>
      <w:bCs/>
      <w:snapToGrid w:val="0"/>
      <w:sz w:val="20"/>
      <w:szCs w:val="20"/>
      <w:lang w:val="en-GB" w:eastAsia="en-US"/>
    </w:rPr>
  </w:style>
  <w:style w:type="character" w:styleId="Emphasis">
    <w:name w:val="Emphasis"/>
    <w:basedOn w:val="DefaultParagraphFont"/>
    <w:uiPriority w:val="20"/>
    <w:qFormat/>
    <w:rsid w:val="00500176"/>
    <w:rPr>
      <w:i/>
      <w:iCs/>
    </w:rPr>
  </w:style>
  <w:style w:type="character" w:customStyle="1" w:styleId="apple-converted-space">
    <w:name w:val="apple-converted-space"/>
    <w:basedOn w:val="DefaultParagraphFont"/>
    <w:rsid w:val="00500176"/>
  </w:style>
  <w:style w:type="character" w:styleId="Hyperlink">
    <w:name w:val="Hyperlink"/>
    <w:basedOn w:val="DefaultParagraphFont"/>
    <w:uiPriority w:val="99"/>
    <w:unhideWhenUsed/>
    <w:rsid w:val="00F15785"/>
    <w:rPr>
      <w:color w:val="0000FF"/>
      <w:u w:val="single"/>
    </w:rPr>
  </w:style>
  <w:style w:type="character" w:styleId="UnresolvedMention">
    <w:name w:val="Unresolved Mention"/>
    <w:basedOn w:val="DefaultParagraphFont"/>
    <w:uiPriority w:val="99"/>
    <w:semiHidden/>
    <w:unhideWhenUsed/>
    <w:rsid w:val="00C512E0"/>
    <w:rPr>
      <w:color w:val="605E5C"/>
      <w:shd w:val="clear" w:color="auto" w:fill="E1DFDD"/>
    </w:rPr>
  </w:style>
  <w:style w:type="character" w:styleId="FollowedHyperlink">
    <w:name w:val="FollowedHyperlink"/>
    <w:basedOn w:val="DefaultParagraphFont"/>
    <w:uiPriority w:val="99"/>
    <w:semiHidden/>
    <w:unhideWhenUsed/>
    <w:rsid w:val="009863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ceanexpert.org/document/3409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75AF3-A103-4DEF-9359-695CE9E1C73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1038</Words>
  <Characters>5526</Characters>
  <Application>Microsoft Office Word</Application>
  <DocSecurity>0</DocSecurity>
  <Lines>98</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Proyecto de resolución ec-57/DR.[4.7]</vt:lpstr>
      <vt:lpstr/>
    </vt:vector>
  </TitlesOfParts>
  <Company>Hewlett-Packard Company</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resolución EC-57/DR.[4.7]</dc:title>
  <dc:subject>EC-57/DR.[4.7]Rev.2</dc:subject>
  <dc:creator>Boned, Patrice</dc:creator>
  <dc:description/>
  <cp:lastModifiedBy>Lain, Ruben</cp:lastModifiedBy>
  <cp:revision>3</cp:revision>
  <cp:lastPrinted>2014-07-02T20:44:00Z</cp:lastPrinted>
  <dcterms:created xsi:type="dcterms:W3CDTF">2024-06-27T10:53:00Z</dcterms:created>
  <dcterms:modified xsi:type="dcterms:W3CDTF">2024-06-27T10:54:00Z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maria.bercial.arias</vt:lpwstr>
  </property>
  <property fmtid="{D5CDD505-2E9C-101B-9397-08002B2CF9AE}" pid="4" name="GeneratedDate">
    <vt:lpwstr>06/21/2024 11:03:01</vt:lpwstr>
  </property>
  <property fmtid="{D5CDD505-2E9C-101B-9397-08002B2CF9AE}" pid="5" name="OriginalDocID">
    <vt:lpwstr>bf6cec5c-afc8-44ab-8e35-cf98554e43b7</vt:lpwstr>
  </property>
  <property fmtid="{D5CDD505-2E9C-101B-9397-08002B2CF9AE}" pid="6" name="JobDCPMS">
    <vt:lpwstr>202402905</vt:lpwstr>
  </property>
  <property fmtid="{D5CDD505-2E9C-101B-9397-08002B2CF9AE}" pid="7" name="Language">
    <vt:lpwstr>S</vt:lpwstr>
  </property>
</Properties>
</file>